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046704F3" wp14:editId="7F358F0D">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44BDEF71" wp14:editId="45979658">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F85E40">
            <w:t>2</w:t>
          </w:r>
          <w:r w:rsidR="000474DF">
            <w:t xml:space="preserve"> </w:t>
          </w:r>
          <w:r w:rsidR="00185BA5">
            <w:t>–</w:t>
          </w:r>
          <w:r w:rsidR="000474DF">
            <w:t xml:space="preserve"> </w:t>
          </w:r>
          <w:r w:rsidR="00F85E40">
            <w:t>Regulatory asset base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9E128A">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3576"/>
      <w:r>
        <w:lastRenderedPageBreak/>
        <w:t>Note</w:t>
      </w:r>
      <w:bookmarkEnd w:id="2"/>
      <w:bookmarkEnd w:id="3"/>
      <w:bookmarkEnd w:id="4"/>
    </w:p>
    <w:p w:rsidR="00761454" w:rsidRDefault="00761454" w:rsidP="00761454">
      <w:pPr>
        <w:numPr>
          <w:ilvl w:val="0"/>
          <w:numId w:val="24"/>
        </w:numPr>
      </w:pPr>
      <w:r>
        <w:t xml:space="preserve">This </w:t>
      </w:r>
      <w:r w:rsidR="009E128A">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9E128A" w:rsidRDefault="009E128A"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3577"/>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F62F16"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3576" w:history="1">
            <w:r w:rsidR="00F62F16" w:rsidRPr="00665DAF">
              <w:rPr>
                <w:rStyle w:val="Hyperlink"/>
              </w:rPr>
              <w:t>Note</w:t>
            </w:r>
            <w:r w:rsidR="00F62F16">
              <w:rPr>
                <w:webHidden/>
              </w:rPr>
              <w:tab/>
            </w:r>
            <w:r w:rsidR="00F62F16">
              <w:rPr>
                <w:webHidden/>
              </w:rPr>
              <w:fldChar w:fldCharType="begin"/>
            </w:r>
            <w:r w:rsidR="00F62F16">
              <w:rPr>
                <w:webHidden/>
              </w:rPr>
              <w:instrText xml:space="preserve"> PAGEREF _Toc462753576 \h </w:instrText>
            </w:r>
            <w:r w:rsidR="00F62F16">
              <w:rPr>
                <w:webHidden/>
              </w:rPr>
            </w:r>
            <w:r w:rsidR="00F62F16">
              <w:rPr>
                <w:webHidden/>
              </w:rPr>
              <w:fldChar w:fldCharType="separate"/>
            </w:r>
            <w:r w:rsidR="00F62F16">
              <w:rPr>
                <w:webHidden/>
              </w:rPr>
              <w:t>2-2</w:t>
            </w:r>
            <w:r w:rsidR="00F62F16">
              <w:rPr>
                <w:webHidden/>
              </w:rPr>
              <w:fldChar w:fldCharType="end"/>
            </w:r>
          </w:hyperlink>
        </w:p>
        <w:p w:rsidR="00F62F16" w:rsidRDefault="00C5007A">
          <w:pPr>
            <w:pStyle w:val="TOC1"/>
            <w:rPr>
              <w:rFonts w:asciiTheme="minorHAnsi" w:eastAsiaTheme="minorEastAsia" w:hAnsiTheme="minorHAnsi"/>
              <w:b w:val="0"/>
              <w:color w:val="auto"/>
              <w:sz w:val="22"/>
              <w:lang w:val="en-AU" w:eastAsia="en-AU"/>
            </w:rPr>
          </w:pPr>
          <w:hyperlink w:anchor="_Toc462753577" w:history="1">
            <w:r w:rsidR="00F62F16" w:rsidRPr="00665DAF">
              <w:rPr>
                <w:rStyle w:val="Hyperlink"/>
              </w:rPr>
              <w:t>Contents</w:t>
            </w:r>
            <w:r w:rsidR="00F62F16">
              <w:rPr>
                <w:webHidden/>
              </w:rPr>
              <w:tab/>
            </w:r>
            <w:r w:rsidR="00F62F16">
              <w:rPr>
                <w:webHidden/>
              </w:rPr>
              <w:fldChar w:fldCharType="begin"/>
            </w:r>
            <w:r w:rsidR="00F62F16">
              <w:rPr>
                <w:webHidden/>
              </w:rPr>
              <w:instrText xml:space="preserve"> PAGEREF _Toc462753577 \h </w:instrText>
            </w:r>
            <w:r w:rsidR="00F62F16">
              <w:rPr>
                <w:webHidden/>
              </w:rPr>
            </w:r>
            <w:r w:rsidR="00F62F16">
              <w:rPr>
                <w:webHidden/>
              </w:rPr>
              <w:fldChar w:fldCharType="separate"/>
            </w:r>
            <w:r w:rsidR="00F62F16">
              <w:rPr>
                <w:webHidden/>
              </w:rPr>
              <w:t>2-3</w:t>
            </w:r>
            <w:r w:rsidR="00F62F16">
              <w:rPr>
                <w:webHidden/>
              </w:rPr>
              <w:fldChar w:fldCharType="end"/>
            </w:r>
          </w:hyperlink>
        </w:p>
        <w:p w:rsidR="00F62F16" w:rsidRDefault="00C5007A">
          <w:pPr>
            <w:pStyle w:val="TOC1"/>
            <w:rPr>
              <w:rFonts w:asciiTheme="minorHAnsi" w:eastAsiaTheme="minorEastAsia" w:hAnsiTheme="minorHAnsi"/>
              <w:b w:val="0"/>
              <w:color w:val="auto"/>
              <w:sz w:val="22"/>
              <w:lang w:val="en-AU" w:eastAsia="en-AU"/>
            </w:rPr>
          </w:pPr>
          <w:hyperlink w:anchor="_Toc462753578" w:history="1">
            <w:r w:rsidR="00F62F16" w:rsidRPr="00665DAF">
              <w:rPr>
                <w:rStyle w:val="Hyperlink"/>
              </w:rPr>
              <w:t>Shortened forms</w:t>
            </w:r>
            <w:r w:rsidR="00F62F16">
              <w:rPr>
                <w:webHidden/>
              </w:rPr>
              <w:tab/>
            </w:r>
            <w:r w:rsidR="00F62F16">
              <w:rPr>
                <w:webHidden/>
              </w:rPr>
              <w:fldChar w:fldCharType="begin"/>
            </w:r>
            <w:r w:rsidR="00F62F16">
              <w:rPr>
                <w:webHidden/>
              </w:rPr>
              <w:instrText xml:space="preserve"> PAGEREF _Toc462753578 \h </w:instrText>
            </w:r>
            <w:r w:rsidR="00F62F16">
              <w:rPr>
                <w:webHidden/>
              </w:rPr>
            </w:r>
            <w:r w:rsidR="00F62F16">
              <w:rPr>
                <w:webHidden/>
              </w:rPr>
              <w:fldChar w:fldCharType="separate"/>
            </w:r>
            <w:r w:rsidR="00F62F16">
              <w:rPr>
                <w:webHidden/>
              </w:rPr>
              <w:t>2-4</w:t>
            </w:r>
            <w:r w:rsidR="00F62F16">
              <w:rPr>
                <w:webHidden/>
              </w:rPr>
              <w:fldChar w:fldCharType="end"/>
            </w:r>
          </w:hyperlink>
        </w:p>
        <w:p w:rsidR="00F62F16" w:rsidRDefault="00C5007A">
          <w:pPr>
            <w:pStyle w:val="TOC1"/>
            <w:rPr>
              <w:rFonts w:asciiTheme="minorHAnsi" w:eastAsiaTheme="minorEastAsia" w:hAnsiTheme="minorHAnsi"/>
              <w:b w:val="0"/>
              <w:color w:val="auto"/>
              <w:sz w:val="22"/>
              <w:lang w:val="en-AU" w:eastAsia="en-AU"/>
            </w:rPr>
          </w:pPr>
          <w:hyperlink w:anchor="_Toc462753579" w:history="1">
            <w:r w:rsidR="00F62F16" w:rsidRPr="00665DAF">
              <w:rPr>
                <w:rStyle w:val="Hyperlink"/>
              </w:rPr>
              <w:t>2</w:t>
            </w:r>
            <w:r w:rsidR="00F62F16">
              <w:rPr>
                <w:rFonts w:asciiTheme="minorHAnsi" w:eastAsiaTheme="minorEastAsia" w:hAnsiTheme="minorHAnsi"/>
                <w:b w:val="0"/>
                <w:color w:val="auto"/>
                <w:sz w:val="22"/>
                <w:lang w:val="en-AU" w:eastAsia="en-AU"/>
              </w:rPr>
              <w:tab/>
            </w:r>
            <w:r w:rsidR="00F62F16" w:rsidRPr="00665DAF">
              <w:rPr>
                <w:rStyle w:val="Hyperlink"/>
              </w:rPr>
              <w:t>Regulatory asset base</w:t>
            </w:r>
            <w:r w:rsidR="00F62F16">
              <w:rPr>
                <w:webHidden/>
              </w:rPr>
              <w:tab/>
            </w:r>
            <w:r w:rsidR="00F62F16">
              <w:rPr>
                <w:webHidden/>
              </w:rPr>
              <w:fldChar w:fldCharType="begin"/>
            </w:r>
            <w:r w:rsidR="00F62F16">
              <w:rPr>
                <w:webHidden/>
              </w:rPr>
              <w:instrText xml:space="preserve"> PAGEREF _Toc462753579 \h </w:instrText>
            </w:r>
            <w:r w:rsidR="00F62F16">
              <w:rPr>
                <w:webHidden/>
              </w:rPr>
            </w:r>
            <w:r w:rsidR="00F62F16">
              <w:rPr>
                <w:webHidden/>
              </w:rPr>
              <w:fldChar w:fldCharType="separate"/>
            </w:r>
            <w:r w:rsidR="00F62F16">
              <w:rPr>
                <w:webHidden/>
              </w:rPr>
              <w:t>2-6</w:t>
            </w:r>
            <w:r w:rsidR="00F62F16">
              <w:rPr>
                <w:webHidden/>
              </w:rPr>
              <w:fldChar w:fldCharType="end"/>
            </w:r>
          </w:hyperlink>
        </w:p>
        <w:p w:rsidR="00F62F16" w:rsidRDefault="00C5007A">
          <w:pPr>
            <w:pStyle w:val="TOC2"/>
            <w:rPr>
              <w:rFonts w:asciiTheme="minorHAnsi" w:eastAsiaTheme="minorEastAsia" w:hAnsiTheme="minorHAnsi"/>
              <w:b w:val="0"/>
              <w:color w:val="auto"/>
              <w:sz w:val="22"/>
              <w:lang w:eastAsia="en-AU"/>
            </w:rPr>
          </w:pPr>
          <w:hyperlink w:anchor="_Toc462753580" w:history="1">
            <w:r w:rsidR="00F62F16" w:rsidRPr="00665DAF">
              <w:rPr>
                <w:rStyle w:val="Hyperlink"/>
              </w:rPr>
              <w:t>2.1</w:t>
            </w:r>
            <w:r w:rsidR="00F62F16">
              <w:rPr>
                <w:rFonts w:asciiTheme="minorHAnsi" w:eastAsiaTheme="minorEastAsia" w:hAnsiTheme="minorHAnsi"/>
                <w:b w:val="0"/>
                <w:color w:val="auto"/>
                <w:sz w:val="22"/>
                <w:lang w:eastAsia="en-AU"/>
              </w:rPr>
              <w:tab/>
            </w:r>
            <w:r w:rsidR="00F62F16" w:rsidRPr="00665DAF">
              <w:rPr>
                <w:rStyle w:val="Hyperlink"/>
              </w:rPr>
              <w:t>Draft decision</w:t>
            </w:r>
            <w:r w:rsidR="00F62F16">
              <w:rPr>
                <w:webHidden/>
              </w:rPr>
              <w:tab/>
            </w:r>
            <w:r w:rsidR="00F62F16">
              <w:rPr>
                <w:webHidden/>
              </w:rPr>
              <w:fldChar w:fldCharType="begin"/>
            </w:r>
            <w:r w:rsidR="00F62F16">
              <w:rPr>
                <w:webHidden/>
              </w:rPr>
              <w:instrText xml:space="preserve"> PAGEREF _Toc462753580 \h </w:instrText>
            </w:r>
            <w:r w:rsidR="00F62F16">
              <w:rPr>
                <w:webHidden/>
              </w:rPr>
            </w:r>
            <w:r w:rsidR="00F62F16">
              <w:rPr>
                <w:webHidden/>
              </w:rPr>
              <w:fldChar w:fldCharType="separate"/>
            </w:r>
            <w:r w:rsidR="00F62F16">
              <w:rPr>
                <w:webHidden/>
              </w:rPr>
              <w:t>2-6</w:t>
            </w:r>
            <w:r w:rsidR="00F62F16">
              <w:rPr>
                <w:webHidden/>
              </w:rPr>
              <w:fldChar w:fldCharType="end"/>
            </w:r>
          </w:hyperlink>
        </w:p>
        <w:p w:rsidR="00F62F16" w:rsidRDefault="00C5007A">
          <w:pPr>
            <w:pStyle w:val="TOC2"/>
            <w:rPr>
              <w:rFonts w:asciiTheme="minorHAnsi" w:eastAsiaTheme="minorEastAsia" w:hAnsiTheme="minorHAnsi"/>
              <w:b w:val="0"/>
              <w:color w:val="auto"/>
              <w:sz w:val="22"/>
              <w:lang w:eastAsia="en-AU"/>
            </w:rPr>
          </w:pPr>
          <w:hyperlink w:anchor="_Toc462753581" w:history="1">
            <w:r w:rsidR="00F62F16" w:rsidRPr="00665DAF">
              <w:rPr>
                <w:rStyle w:val="Hyperlink"/>
              </w:rPr>
              <w:t>2.2</w:t>
            </w:r>
            <w:r w:rsidR="00F62F16">
              <w:rPr>
                <w:rFonts w:asciiTheme="minorHAnsi" w:eastAsiaTheme="minorEastAsia" w:hAnsiTheme="minorHAnsi"/>
                <w:b w:val="0"/>
                <w:color w:val="auto"/>
                <w:sz w:val="22"/>
                <w:lang w:eastAsia="en-AU"/>
              </w:rPr>
              <w:tab/>
            </w:r>
            <w:r w:rsidR="00F62F16" w:rsidRPr="00665DAF">
              <w:rPr>
                <w:rStyle w:val="Hyperlink"/>
              </w:rPr>
              <w:t>TasNetworks' proposal</w:t>
            </w:r>
            <w:r w:rsidR="00F62F16">
              <w:rPr>
                <w:webHidden/>
              </w:rPr>
              <w:tab/>
            </w:r>
            <w:r w:rsidR="00F62F16">
              <w:rPr>
                <w:webHidden/>
              </w:rPr>
              <w:fldChar w:fldCharType="begin"/>
            </w:r>
            <w:r w:rsidR="00F62F16">
              <w:rPr>
                <w:webHidden/>
              </w:rPr>
              <w:instrText xml:space="preserve"> PAGEREF _Toc462753581 \h </w:instrText>
            </w:r>
            <w:r w:rsidR="00F62F16">
              <w:rPr>
                <w:webHidden/>
              </w:rPr>
            </w:r>
            <w:r w:rsidR="00F62F16">
              <w:rPr>
                <w:webHidden/>
              </w:rPr>
              <w:fldChar w:fldCharType="separate"/>
            </w:r>
            <w:r w:rsidR="00F62F16">
              <w:rPr>
                <w:webHidden/>
              </w:rPr>
              <w:t>2-8</w:t>
            </w:r>
            <w:r w:rsidR="00F62F16">
              <w:rPr>
                <w:webHidden/>
              </w:rPr>
              <w:fldChar w:fldCharType="end"/>
            </w:r>
          </w:hyperlink>
        </w:p>
        <w:p w:rsidR="00F62F16" w:rsidRDefault="00C5007A">
          <w:pPr>
            <w:pStyle w:val="TOC2"/>
            <w:rPr>
              <w:rFonts w:asciiTheme="minorHAnsi" w:eastAsiaTheme="minorEastAsia" w:hAnsiTheme="minorHAnsi"/>
              <w:b w:val="0"/>
              <w:color w:val="auto"/>
              <w:sz w:val="22"/>
              <w:lang w:eastAsia="en-AU"/>
            </w:rPr>
          </w:pPr>
          <w:hyperlink w:anchor="_Toc462753582" w:history="1">
            <w:r w:rsidR="00F62F16" w:rsidRPr="00665DAF">
              <w:rPr>
                <w:rStyle w:val="Hyperlink"/>
              </w:rPr>
              <w:t>2.3</w:t>
            </w:r>
            <w:r w:rsidR="00F62F16">
              <w:rPr>
                <w:rFonts w:asciiTheme="minorHAnsi" w:eastAsiaTheme="minorEastAsia" w:hAnsiTheme="minorHAnsi"/>
                <w:b w:val="0"/>
                <w:color w:val="auto"/>
                <w:sz w:val="22"/>
                <w:lang w:eastAsia="en-AU"/>
              </w:rPr>
              <w:tab/>
            </w:r>
            <w:r w:rsidR="00F62F16" w:rsidRPr="00665DAF">
              <w:rPr>
                <w:rStyle w:val="Hyperlink"/>
              </w:rPr>
              <w:t>Assessment approach</w:t>
            </w:r>
            <w:r w:rsidR="00F62F16">
              <w:rPr>
                <w:webHidden/>
              </w:rPr>
              <w:tab/>
            </w:r>
            <w:r w:rsidR="00F62F16">
              <w:rPr>
                <w:webHidden/>
              </w:rPr>
              <w:fldChar w:fldCharType="begin"/>
            </w:r>
            <w:r w:rsidR="00F62F16">
              <w:rPr>
                <w:webHidden/>
              </w:rPr>
              <w:instrText xml:space="preserve"> PAGEREF _Toc462753582 \h </w:instrText>
            </w:r>
            <w:r w:rsidR="00F62F16">
              <w:rPr>
                <w:webHidden/>
              </w:rPr>
            </w:r>
            <w:r w:rsidR="00F62F16">
              <w:rPr>
                <w:webHidden/>
              </w:rPr>
              <w:fldChar w:fldCharType="separate"/>
            </w:r>
            <w:r w:rsidR="00F62F16">
              <w:rPr>
                <w:webHidden/>
              </w:rPr>
              <w:t>2-9</w:t>
            </w:r>
            <w:r w:rsidR="00F62F16">
              <w:rPr>
                <w:webHidden/>
              </w:rPr>
              <w:fldChar w:fldCharType="end"/>
            </w:r>
          </w:hyperlink>
        </w:p>
        <w:p w:rsidR="00F62F16" w:rsidRDefault="00C5007A">
          <w:pPr>
            <w:pStyle w:val="TOC3"/>
            <w:rPr>
              <w:rFonts w:asciiTheme="minorHAnsi" w:eastAsiaTheme="minorEastAsia" w:hAnsiTheme="minorHAnsi"/>
              <w:lang w:eastAsia="en-AU"/>
            </w:rPr>
          </w:pPr>
          <w:hyperlink w:anchor="_Toc462753583" w:history="1">
            <w:r w:rsidR="00F62F16" w:rsidRPr="00665DAF">
              <w:rPr>
                <w:rStyle w:val="Hyperlink"/>
              </w:rPr>
              <w:t>2.3.1</w:t>
            </w:r>
            <w:r w:rsidR="00F62F16">
              <w:rPr>
                <w:rFonts w:asciiTheme="minorHAnsi" w:eastAsiaTheme="minorEastAsia" w:hAnsiTheme="minorHAnsi"/>
                <w:lang w:eastAsia="en-AU"/>
              </w:rPr>
              <w:tab/>
            </w:r>
            <w:r w:rsidR="00F62F16" w:rsidRPr="00665DAF">
              <w:rPr>
                <w:rStyle w:val="Hyperlink"/>
              </w:rPr>
              <w:t>Interrelationships</w:t>
            </w:r>
            <w:r w:rsidR="00F62F16">
              <w:rPr>
                <w:webHidden/>
              </w:rPr>
              <w:tab/>
            </w:r>
            <w:r w:rsidR="00F62F16">
              <w:rPr>
                <w:webHidden/>
              </w:rPr>
              <w:fldChar w:fldCharType="begin"/>
            </w:r>
            <w:r w:rsidR="00F62F16">
              <w:rPr>
                <w:webHidden/>
              </w:rPr>
              <w:instrText xml:space="preserve"> PAGEREF _Toc462753583 \h </w:instrText>
            </w:r>
            <w:r w:rsidR="00F62F16">
              <w:rPr>
                <w:webHidden/>
              </w:rPr>
            </w:r>
            <w:r w:rsidR="00F62F16">
              <w:rPr>
                <w:webHidden/>
              </w:rPr>
              <w:fldChar w:fldCharType="separate"/>
            </w:r>
            <w:r w:rsidR="00F62F16">
              <w:rPr>
                <w:webHidden/>
              </w:rPr>
              <w:t>2-11</w:t>
            </w:r>
            <w:r w:rsidR="00F62F16">
              <w:rPr>
                <w:webHidden/>
              </w:rPr>
              <w:fldChar w:fldCharType="end"/>
            </w:r>
          </w:hyperlink>
        </w:p>
        <w:p w:rsidR="00F62F16" w:rsidRDefault="00C5007A">
          <w:pPr>
            <w:pStyle w:val="TOC2"/>
            <w:rPr>
              <w:rFonts w:asciiTheme="minorHAnsi" w:eastAsiaTheme="minorEastAsia" w:hAnsiTheme="minorHAnsi"/>
              <w:b w:val="0"/>
              <w:color w:val="auto"/>
              <w:sz w:val="22"/>
              <w:lang w:eastAsia="en-AU"/>
            </w:rPr>
          </w:pPr>
          <w:hyperlink w:anchor="_Toc462753584" w:history="1">
            <w:r w:rsidR="00F62F16" w:rsidRPr="00665DAF">
              <w:rPr>
                <w:rStyle w:val="Hyperlink"/>
              </w:rPr>
              <w:t>2.4</w:t>
            </w:r>
            <w:r w:rsidR="00F62F16">
              <w:rPr>
                <w:rFonts w:asciiTheme="minorHAnsi" w:eastAsiaTheme="minorEastAsia" w:hAnsiTheme="minorHAnsi"/>
                <w:b w:val="0"/>
                <w:color w:val="auto"/>
                <w:sz w:val="22"/>
                <w:lang w:eastAsia="en-AU"/>
              </w:rPr>
              <w:tab/>
            </w:r>
            <w:r w:rsidR="00F62F16" w:rsidRPr="00665DAF">
              <w:rPr>
                <w:rStyle w:val="Hyperlink"/>
              </w:rPr>
              <w:t>Reasons for draft decision</w:t>
            </w:r>
            <w:r w:rsidR="00F62F16">
              <w:rPr>
                <w:webHidden/>
              </w:rPr>
              <w:tab/>
            </w:r>
            <w:r w:rsidR="00F62F16">
              <w:rPr>
                <w:webHidden/>
              </w:rPr>
              <w:fldChar w:fldCharType="begin"/>
            </w:r>
            <w:r w:rsidR="00F62F16">
              <w:rPr>
                <w:webHidden/>
              </w:rPr>
              <w:instrText xml:space="preserve"> PAGEREF _Toc462753584 \h </w:instrText>
            </w:r>
            <w:r w:rsidR="00F62F16">
              <w:rPr>
                <w:webHidden/>
              </w:rPr>
            </w:r>
            <w:r w:rsidR="00F62F16">
              <w:rPr>
                <w:webHidden/>
              </w:rPr>
              <w:fldChar w:fldCharType="separate"/>
            </w:r>
            <w:r w:rsidR="00F62F16">
              <w:rPr>
                <w:webHidden/>
              </w:rPr>
              <w:t>2-14</w:t>
            </w:r>
            <w:r w:rsidR="00F62F16">
              <w:rPr>
                <w:webHidden/>
              </w:rPr>
              <w:fldChar w:fldCharType="end"/>
            </w:r>
          </w:hyperlink>
        </w:p>
        <w:p w:rsidR="00F62F16" w:rsidRDefault="00C5007A">
          <w:pPr>
            <w:pStyle w:val="TOC3"/>
            <w:rPr>
              <w:rFonts w:asciiTheme="minorHAnsi" w:eastAsiaTheme="minorEastAsia" w:hAnsiTheme="minorHAnsi"/>
              <w:lang w:eastAsia="en-AU"/>
            </w:rPr>
          </w:pPr>
          <w:hyperlink w:anchor="_Toc462753585" w:history="1">
            <w:r w:rsidR="00F62F16" w:rsidRPr="00665DAF">
              <w:rPr>
                <w:rStyle w:val="Hyperlink"/>
              </w:rPr>
              <w:t>2.4.1</w:t>
            </w:r>
            <w:r w:rsidR="00F62F16">
              <w:rPr>
                <w:rFonts w:asciiTheme="minorHAnsi" w:eastAsiaTheme="minorEastAsia" w:hAnsiTheme="minorHAnsi"/>
                <w:lang w:eastAsia="en-AU"/>
              </w:rPr>
              <w:tab/>
            </w:r>
            <w:r w:rsidR="00F62F16" w:rsidRPr="00665DAF">
              <w:rPr>
                <w:rStyle w:val="Hyperlink"/>
              </w:rPr>
              <w:t>Opening RAB as at 1 July 2017</w:t>
            </w:r>
            <w:r w:rsidR="00F62F16">
              <w:rPr>
                <w:webHidden/>
              </w:rPr>
              <w:tab/>
            </w:r>
            <w:r w:rsidR="00F62F16">
              <w:rPr>
                <w:webHidden/>
              </w:rPr>
              <w:fldChar w:fldCharType="begin"/>
            </w:r>
            <w:r w:rsidR="00F62F16">
              <w:rPr>
                <w:webHidden/>
              </w:rPr>
              <w:instrText xml:space="preserve"> PAGEREF _Toc462753585 \h </w:instrText>
            </w:r>
            <w:r w:rsidR="00F62F16">
              <w:rPr>
                <w:webHidden/>
              </w:rPr>
            </w:r>
            <w:r w:rsidR="00F62F16">
              <w:rPr>
                <w:webHidden/>
              </w:rPr>
              <w:fldChar w:fldCharType="separate"/>
            </w:r>
            <w:r w:rsidR="00F62F16">
              <w:rPr>
                <w:webHidden/>
              </w:rPr>
              <w:t>2-14</w:t>
            </w:r>
            <w:r w:rsidR="00F62F16">
              <w:rPr>
                <w:webHidden/>
              </w:rPr>
              <w:fldChar w:fldCharType="end"/>
            </w:r>
          </w:hyperlink>
        </w:p>
        <w:p w:rsidR="00F62F16" w:rsidRDefault="00C5007A">
          <w:pPr>
            <w:pStyle w:val="TOC3"/>
            <w:rPr>
              <w:rFonts w:asciiTheme="minorHAnsi" w:eastAsiaTheme="minorEastAsia" w:hAnsiTheme="minorHAnsi"/>
              <w:lang w:eastAsia="en-AU"/>
            </w:rPr>
          </w:pPr>
          <w:hyperlink w:anchor="_Toc462753586" w:history="1">
            <w:r w:rsidR="00F62F16" w:rsidRPr="00665DAF">
              <w:rPr>
                <w:rStyle w:val="Hyperlink"/>
              </w:rPr>
              <w:t>2.4.2</w:t>
            </w:r>
            <w:r w:rsidR="00F62F16">
              <w:rPr>
                <w:rFonts w:asciiTheme="minorHAnsi" w:eastAsiaTheme="minorEastAsia" w:hAnsiTheme="minorHAnsi"/>
                <w:lang w:eastAsia="en-AU"/>
              </w:rPr>
              <w:tab/>
            </w:r>
            <w:r w:rsidR="00F62F16" w:rsidRPr="00665DAF">
              <w:rPr>
                <w:rStyle w:val="Hyperlink"/>
              </w:rPr>
              <w:t>Forecast closing RAB as at 30 June 2019</w:t>
            </w:r>
            <w:r w:rsidR="00F62F16">
              <w:rPr>
                <w:webHidden/>
              </w:rPr>
              <w:tab/>
            </w:r>
            <w:r w:rsidR="00F62F16">
              <w:rPr>
                <w:webHidden/>
              </w:rPr>
              <w:fldChar w:fldCharType="begin"/>
            </w:r>
            <w:r w:rsidR="00F62F16">
              <w:rPr>
                <w:webHidden/>
              </w:rPr>
              <w:instrText xml:space="preserve"> PAGEREF _Toc462753586 \h </w:instrText>
            </w:r>
            <w:r w:rsidR="00F62F16">
              <w:rPr>
                <w:webHidden/>
              </w:rPr>
            </w:r>
            <w:r w:rsidR="00F62F16">
              <w:rPr>
                <w:webHidden/>
              </w:rPr>
              <w:fldChar w:fldCharType="separate"/>
            </w:r>
            <w:r w:rsidR="00F62F16">
              <w:rPr>
                <w:webHidden/>
              </w:rPr>
              <w:t>2-16</w:t>
            </w:r>
            <w:r w:rsidR="00F62F16">
              <w:rPr>
                <w:webHidden/>
              </w:rPr>
              <w:fldChar w:fldCharType="end"/>
            </w:r>
          </w:hyperlink>
        </w:p>
        <w:p w:rsidR="00F62F16" w:rsidRDefault="00C5007A">
          <w:pPr>
            <w:pStyle w:val="TOC3"/>
            <w:rPr>
              <w:rFonts w:asciiTheme="minorHAnsi" w:eastAsiaTheme="minorEastAsia" w:hAnsiTheme="minorHAnsi"/>
              <w:lang w:eastAsia="en-AU"/>
            </w:rPr>
          </w:pPr>
          <w:hyperlink w:anchor="_Toc462753587" w:history="1">
            <w:r w:rsidR="00F62F16" w:rsidRPr="00665DAF">
              <w:rPr>
                <w:rStyle w:val="Hyperlink"/>
              </w:rPr>
              <w:t>2.4.3</w:t>
            </w:r>
            <w:r w:rsidR="00F62F16">
              <w:rPr>
                <w:rFonts w:asciiTheme="minorHAnsi" w:eastAsiaTheme="minorEastAsia" w:hAnsiTheme="minorHAnsi"/>
                <w:lang w:eastAsia="en-AU"/>
              </w:rPr>
              <w:tab/>
            </w:r>
            <w:r w:rsidR="00F62F16" w:rsidRPr="00665DAF">
              <w:rPr>
                <w:rStyle w:val="Hyperlink"/>
              </w:rPr>
              <w:t>Application of depreciation approach in RAB roll forward for next reset</w:t>
            </w:r>
            <w:r w:rsidR="00F62F16">
              <w:rPr>
                <w:webHidden/>
              </w:rPr>
              <w:tab/>
            </w:r>
            <w:r w:rsidR="00F62F16">
              <w:rPr>
                <w:webHidden/>
              </w:rPr>
              <w:fldChar w:fldCharType="begin"/>
            </w:r>
            <w:r w:rsidR="00F62F16">
              <w:rPr>
                <w:webHidden/>
              </w:rPr>
              <w:instrText xml:space="preserve"> PAGEREF _Toc462753587 \h </w:instrText>
            </w:r>
            <w:r w:rsidR="00F62F16">
              <w:rPr>
                <w:webHidden/>
              </w:rPr>
            </w:r>
            <w:r w:rsidR="00F62F16">
              <w:rPr>
                <w:webHidden/>
              </w:rPr>
              <w:fldChar w:fldCharType="separate"/>
            </w:r>
            <w:r w:rsidR="00F62F16">
              <w:rPr>
                <w:webHidden/>
              </w:rPr>
              <w:t>2-17</w:t>
            </w:r>
            <w:r w:rsidR="00F62F16">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3578"/>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proofErr w:type="spellStart"/>
            <w:r w:rsidRPr="00712239">
              <w:rPr>
                <w:rStyle w:val="AERtextsize8"/>
              </w:rPr>
              <w:t>DUoS</w:t>
            </w:r>
            <w:proofErr w:type="spellEnd"/>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w:t>
            </w:r>
            <w:proofErr w:type="spellStart"/>
            <w:r w:rsidRPr="00712239">
              <w:rPr>
                <w:rStyle w:val="AERtextsize8"/>
              </w:rPr>
              <w:t>Lintner</w:t>
            </w:r>
            <w:proofErr w:type="spellEnd"/>
            <w:r w:rsidRPr="00712239">
              <w:rPr>
                <w:rStyle w:val="AERtextsize8"/>
              </w:rPr>
              <w:t xml:space="preserve">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F85E40" w:rsidP="00F85E40">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3579"/>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156F5C" w:rsidRDefault="0013511E" w:rsidP="00156F5C">
      <w:pPr>
        <w:rPr>
          <w:rStyle w:val="AERbody"/>
        </w:rPr>
      </w:pPr>
      <w:r>
        <w:rPr>
          <w:rStyle w:val="AERbody"/>
        </w:rPr>
        <w:t xml:space="preserve">As part of our </w:t>
      </w:r>
      <w:r w:rsidR="00F13EB8">
        <w:rPr>
          <w:rStyle w:val="AERbody"/>
        </w:rPr>
        <w:t xml:space="preserve">distribution </w:t>
      </w:r>
      <w:r>
        <w:rPr>
          <w:rStyle w:val="AERbody"/>
        </w:rPr>
        <w:t>determination, w</w:t>
      </w:r>
      <w:r w:rsidR="00156F5C" w:rsidRPr="00156F5C">
        <w:rPr>
          <w:rStyle w:val="AERbody"/>
        </w:rPr>
        <w:t xml:space="preserve">e make a decision on </w:t>
      </w:r>
      <w:r w:rsidR="00156F5C">
        <w:rPr>
          <w:rStyle w:val="AERbody"/>
        </w:rPr>
        <w:t>TasNetworks</w:t>
      </w:r>
      <w:r w:rsidR="00156F5C" w:rsidRPr="00156F5C">
        <w:rPr>
          <w:rStyle w:val="AERbody"/>
        </w:rPr>
        <w:t xml:space="preserve">' opening regulatory asset base (RAB) as at 1 </w:t>
      </w:r>
      <w:r w:rsidR="00156F5C">
        <w:rPr>
          <w:rStyle w:val="AERbody"/>
        </w:rPr>
        <w:t>July 2017</w:t>
      </w:r>
      <w:r w:rsidR="00156F5C" w:rsidRPr="00156F5C">
        <w:rPr>
          <w:rStyle w:val="AERbody"/>
        </w:rPr>
        <w:t>.</w:t>
      </w:r>
      <w:r w:rsidR="00F13EB8">
        <w:rPr>
          <w:rStyle w:val="FootnoteReference"/>
        </w:rPr>
        <w:footnoteReference w:id="1"/>
      </w:r>
      <w:r w:rsidR="00156F5C" w:rsidRPr="00156F5C">
        <w:rPr>
          <w:rStyle w:val="AERbody"/>
        </w:rPr>
        <w:t xml:space="preserve"> We use the RAB at the start of each regulatory year to determine the return of capital (regulatory depreciation) and return on capital building block allowances. This attachment presents our </w:t>
      </w:r>
      <w:r w:rsidR="00156F5C">
        <w:rPr>
          <w:rStyle w:val="AERbody"/>
        </w:rPr>
        <w:t>draft</w:t>
      </w:r>
      <w:r w:rsidR="00156F5C" w:rsidRPr="00156F5C">
        <w:rPr>
          <w:rStyle w:val="AERbody"/>
        </w:rPr>
        <w:t xml:space="preserve"> decision on the opening RAB value as at 1 </w:t>
      </w:r>
      <w:r w:rsidR="00156F5C">
        <w:rPr>
          <w:rStyle w:val="AERbody"/>
        </w:rPr>
        <w:t>July 2017</w:t>
      </w:r>
      <w:r w:rsidR="00156F5C" w:rsidRPr="00156F5C">
        <w:rPr>
          <w:rStyle w:val="AERbody"/>
        </w:rPr>
        <w:t xml:space="preserve"> for </w:t>
      </w:r>
      <w:r w:rsidR="00156F5C">
        <w:rPr>
          <w:rStyle w:val="AERbody"/>
        </w:rPr>
        <w:t>TasNetworks</w:t>
      </w:r>
      <w:r w:rsidR="00156F5C" w:rsidRPr="00156F5C">
        <w:rPr>
          <w:rStyle w:val="AERbody"/>
        </w:rPr>
        <w:t xml:space="preserve"> and roll forward of the forecast RAB over the 201</w:t>
      </w:r>
      <w:r w:rsidR="00156F5C">
        <w:rPr>
          <w:rStyle w:val="AERbody"/>
        </w:rPr>
        <w:t>7</w:t>
      </w:r>
      <w:r w:rsidR="00156F5C" w:rsidRPr="00156F5C">
        <w:rPr>
          <w:rStyle w:val="AERbody"/>
        </w:rPr>
        <w:t>–</w:t>
      </w:r>
      <w:r w:rsidR="00156F5C">
        <w:rPr>
          <w:rStyle w:val="AERbody"/>
        </w:rPr>
        <w:t>19</w:t>
      </w:r>
      <w:r w:rsidR="00156F5C" w:rsidRPr="00156F5C">
        <w:rPr>
          <w:rStyle w:val="AERbody"/>
        </w:rPr>
        <w:t xml:space="preserve"> regulatory control period.</w:t>
      </w:r>
    </w:p>
    <w:p w:rsidR="00132D43" w:rsidRDefault="00132D43" w:rsidP="00132D43">
      <w:pPr>
        <w:pStyle w:val="Heading2"/>
      </w:pPr>
      <w:bookmarkStart w:id="72" w:name="_Toc462753580"/>
      <w:r>
        <w:t>Draft decision</w:t>
      </w:r>
      <w:bookmarkEnd w:id="72"/>
    </w:p>
    <w:p w:rsidR="00977411" w:rsidRDefault="00156F5C" w:rsidP="00977411">
      <w:pPr>
        <w:rPr>
          <w:rStyle w:val="AERbody"/>
        </w:rPr>
      </w:pPr>
      <w:r w:rsidRPr="00A449A3">
        <w:t xml:space="preserve">We </w:t>
      </w:r>
      <w:r w:rsidR="00C1281C">
        <w:t>determine an opening RAB value of $</w:t>
      </w:r>
      <w:r w:rsidR="006817AD">
        <w:t xml:space="preserve">1629.4 </w:t>
      </w:r>
      <w:r w:rsidR="00C1281C">
        <w:t>million ($ nominal) as at 1 July 2017 for TasNetworks.</w:t>
      </w:r>
      <w:r w:rsidR="00C1281C" w:rsidRPr="00A449A3">
        <w:t xml:space="preserve"> </w:t>
      </w:r>
      <w:r w:rsidR="00C1281C">
        <w:t>This value is $</w:t>
      </w:r>
      <w:r w:rsidR="006817AD">
        <w:t xml:space="preserve">17.4 </w:t>
      </w:r>
      <w:r w:rsidR="00C1281C">
        <w:t xml:space="preserve">million (or </w:t>
      </w:r>
      <w:r w:rsidR="006817AD">
        <w:t xml:space="preserve">1.1 </w:t>
      </w:r>
      <w:r w:rsidR="00C1281C">
        <w:t>per cent) lower than</w:t>
      </w:r>
      <w:r w:rsidRPr="00A449A3">
        <w:t xml:space="preserve"> </w:t>
      </w:r>
      <w:r>
        <w:t>TasNetworks</w:t>
      </w:r>
      <w:r w:rsidRPr="00A449A3">
        <w:t>' proposed opening RAB of $</w:t>
      </w:r>
      <w:r w:rsidR="006E5858">
        <w:t>1646.7</w:t>
      </w:r>
      <w:r w:rsidRPr="00A449A3">
        <w:t xml:space="preserve"> million ($ nominal) </w:t>
      </w:r>
      <w:r>
        <w:t xml:space="preserve">as </w:t>
      </w:r>
      <w:r w:rsidRPr="00A449A3">
        <w:t xml:space="preserve">at </w:t>
      </w:r>
      <w:r>
        <w:t xml:space="preserve">1 </w:t>
      </w:r>
      <w:r w:rsidR="00977411">
        <w:t>July</w:t>
      </w:r>
      <w:r>
        <w:t xml:space="preserve"> 201</w:t>
      </w:r>
      <w:r w:rsidR="00977411">
        <w:t>7</w:t>
      </w:r>
      <w:r w:rsidRPr="00A449A3">
        <w:t>.</w:t>
      </w:r>
      <w:r w:rsidRPr="00A449A3">
        <w:rPr>
          <w:rStyle w:val="FootnoteReference"/>
        </w:rPr>
        <w:footnoteReference w:id="2"/>
      </w:r>
      <w:r w:rsidRPr="00A449A3">
        <w:t xml:space="preserve"> </w:t>
      </w:r>
      <w:r w:rsidRPr="008B20E4">
        <w:rPr>
          <w:rStyle w:val="AERbody"/>
        </w:rPr>
        <w:t xml:space="preserve">This is because we have </w:t>
      </w:r>
      <w:r w:rsidR="00265C47">
        <w:rPr>
          <w:rStyle w:val="AERbody"/>
        </w:rPr>
        <w:t xml:space="preserve">updated the 2015–16 inflation </w:t>
      </w:r>
      <w:proofErr w:type="gramStart"/>
      <w:r w:rsidR="00265C47">
        <w:rPr>
          <w:rStyle w:val="AERbody"/>
        </w:rPr>
        <w:t>rate</w:t>
      </w:r>
      <w:proofErr w:type="gramEnd"/>
      <w:r w:rsidR="00265C47">
        <w:rPr>
          <w:rStyle w:val="AERbody"/>
        </w:rPr>
        <w:t xml:space="preserve"> with actual CPI </w:t>
      </w:r>
      <w:r w:rsidR="00F90250">
        <w:rPr>
          <w:rStyle w:val="AERbody"/>
        </w:rPr>
        <w:t>for indexation</w:t>
      </w:r>
      <w:r w:rsidR="00C1281C">
        <w:rPr>
          <w:rStyle w:val="AERbody"/>
        </w:rPr>
        <w:t xml:space="preserve"> in the RAB roll forward</w:t>
      </w:r>
      <w:r w:rsidR="00F90250">
        <w:rPr>
          <w:rStyle w:val="AERbody"/>
        </w:rPr>
        <w:t xml:space="preserve">. </w:t>
      </w:r>
    </w:p>
    <w:p w:rsidR="00977411" w:rsidRPr="00A449A3" w:rsidRDefault="00977411" w:rsidP="00977411">
      <w:pPr>
        <w:numPr>
          <w:ilvl w:val="0"/>
          <w:numId w:val="24"/>
        </w:numPr>
      </w:pPr>
      <w:r w:rsidRPr="00A449A3">
        <w:t xml:space="preserve">To determine the opening RAB as at </w:t>
      </w:r>
      <w:r>
        <w:t>1 July 2017</w:t>
      </w:r>
      <w:r w:rsidRPr="00A449A3">
        <w:t xml:space="preserve">, we have rolled forward the RAB over the </w:t>
      </w:r>
      <w:r>
        <w:t>2012–17</w:t>
      </w:r>
      <w:r w:rsidRPr="00A449A3">
        <w:t xml:space="preserve"> regulatory control period to determine a closing RAB value at </w:t>
      </w:r>
      <w:r>
        <w:t>3</w:t>
      </w:r>
      <w:r w:rsidR="00176E52">
        <w:t>0</w:t>
      </w:r>
      <w:r>
        <w:t xml:space="preserve"> </w:t>
      </w:r>
      <w:r w:rsidR="00176E52">
        <w:t>June</w:t>
      </w:r>
      <w:r>
        <w:t xml:space="preserve"> 201</w:t>
      </w:r>
      <w:r w:rsidR="00176E52">
        <w:t>7</w:t>
      </w:r>
      <w:r w:rsidRPr="00A449A3">
        <w:t xml:space="preserve">. This roll forward includes an adjustment at the end of the </w:t>
      </w:r>
      <w:r w:rsidR="00176E52">
        <w:t>2012–17</w:t>
      </w:r>
      <w:r w:rsidR="00176E52" w:rsidRPr="00A449A3">
        <w:t xml:space="preserve"> </w:t>
      </w:r>
      <w:r w:rsidRPr="00A449A3">
        <w:t xml:space="preserve">regulatory control </w:t>
      </w:r>
      <w:proofErr w:type="gramStart"/>
      <w:r w:rsidRPr="00A449A3">
        <w:t>period</w:t>
      </w:r>
      <w:proofErr w:type="gramEnd"/>
      <w:r w:rsidRPr="00A449A3">
        <w:t xml:space="preserve"> to account for the difference between actual 201</w:t>
      </w:r>
      <w:r w:rsidR="00176E52">
        <w:t>1–12</w:t>
      </w:r>
      <w:r w:rsidRPr="00A449A3">
        <w:t xml:space="preserve"> capex and the estimate approved at the </w:t>
      </w:r>
      <w:r w:rsidR="00176E52">
        <w:t>2012–17</w:t>
      </w:r>
      <w:r w:rsidR="00176E52" w:rsidRPr="00A449A3">
        <w:t xml:space="preserve"> </w:t>
      </w:r>
      <w:r w:rsidRPr="00A449A3">
        <w:t>determination.</w:t>
      </w:r>
      <w:r w:rsidRPr="00A449A3">
        <w:rPr>
          <w:rStyle w:val="FootnoteReference"/>
        </w:rPr>
        <w:footnoteReference w:id="3"/>
      </w:r>
      <w:r w:rsidRPr="00A449A3">
        <w:t xml:space="preserve"> </w:t>
      </w:r>
    </w:p>
    <w:p w:rsidR="00F62F16" w:rsidRPr="00B87BC9" w:rsidRDefault="002C7D76" w:rsidP="00605F76">
      <w:pPr>
        <w:pStyle w:val="ListParagraph"/>
        <w:numPr>
          <w:ilvl w:val="0"/>
          <w:numId w:val="24"/>
        </w:numPr>
      </w:pPr>
      <w:r>
        <w:fldChar w:fldCharType="begin"/>
      </w:r>
      <w:r>
        <w:instrText xml:space="preserve"> REF _Ref451354940 \h </w:instrText>
      </w:r>
      <w:r>
        <w:fldChar w:fldCharType="separate"/>
      </w:r>
      <w:r w:rsidR="00F62F16" w:rsidRPr="00B87BC9">
        <w:t>We determine a forecast closing RAB value at 3</w:t>
      </w:r>
      <w:r w:rsidR="00F62F16">
        <w:t>0</w:t>
      </w:r>
      <w:r w:rsidR="00F62F16" w:rsidRPr="00B87BC9">
        <w:t xml:space="preserve"> </w:t>
      </w:r>
      <w:r w:rsidR="00F62F16">
        <w:t>June</w:t>
      </w:r>
      <w:r w:rsidR="00F62F16" w:rsidRPr="00B87BC9">
        <w:t xml:space="preserve"> 20</w:t>
      </w:r>
      <w:r w:rsidR="00F62F16">
        <w:t>19</w:t>
      </w:r>
      <w:r w:rsidR="00F62F16" w:rsidRPr="00B87BC9">
        <w:t xml:space="preserve"> of $</w:t>
      </w:r>
      <w:r w:rsidR="00F62F16">
        <w:t>1753.9</w:t>
      </w:r>
      <w:r w:rsidR="00F62F16" w:rsidRPr="00B87BC9">
        <w:t> million ($ nominal). This is $</w:t>
      </w:r>
      <w:r w:rsidR="00F62F16">
        <w:t>9.4</w:t>
      </w:r>
      <w:r w:rsidR="00F62F16" w:rsidRPr="00B87BC9">
        <w:t xml:space="preserve"> million (or </w:t>
      </w:r>
      <w:r w:rsidR="00F62F16">
        <w:t>0.5</w:t>
      </w:r>
      <w:r w:rsidR="00F62F16" w:rsidRPr="00B87BC9">
        <w:t xml:space="preserve"> per cent) lower</w:t>
      </w:r>
      <w:r w:rsidR="00F62F16" w:rsidRPr="00B87BC9">
        <w:rPr>
          <w:rStyle w:val="AERbody"/>
        </w:rPr>
        <w:t xml:space="preserve"> than the amount of $</w:t>
      </w:r>
      <w:r w:rsidR="00F62F16">
        <w:rPr>
          <w:rStyle w:val="AERbody"/>
        </w:rPr>
        <w:t xml:space="preserve">1763.2 </w:t>
      </w:r>
      <w:r w:rsidR="00F62F16" w:rsidRPr="00B87BC9">
        <w:rPr>
          <w:rStyle w:val="AERbody"/>
        </w:rPr>
        <w:t xml:space="preserve">million ($ nominal) proposed by </w:t>
      </w:r>
      <w:r w:rsidR="00F62F16">
        <w:rPr>
          <w:rStyle w:val="AERbody"/>
        </w:rPr>
        <w:t>TasNetworks</w:t>
      </w:r>
      <w:r w:rsidR="00F62F16" w:rsidRPr="00B87BC9">
        <w:rPr>
          <w:rStyle w:val="AERbody"/>
        </w:rPr>
        <w:t xml:space="preserve">. Our </w:t>
      </w:r>
      <w:r w:rsidR="00F62F16">
        <w:rPr>
          <w:rStyle w:val="AERbody"/>
        </w:rPr>
        <w:t>draft</w:t>
      </w:r>
      <w:r w:rsidR="00F62F16" w:rsidRPr="00B87BC9">
        <w:rPr>
          <w:rStyle w:val="AERbody"/>
        </w:rPr>
        <w:t xml:space="preserve"> decision on the forecast closing RAB reflects the </w:t>
      </w:r>
      <w:r w:rsidR="00F62F16">
        <w:rPr>
          <w:rStyle w:val="AERbody"/>
        </w:rPr>
        <w:t>updated</w:t>
      </w:r>
      <w:r w:rsidR="00F62F16" w:rsidRPr="00B87BC9">
        <w:rPr>
          <w:rStyle w:val="AERbody"/>
        </w:rPr>
        <w:t xml:space="preserve"> opening RAB as at 1 </w:t>
      </w:r>
      <w:r w:rsidR="00F62F16">
        <w:rPr>
          <w:rStyle w:val="AERbody"/>
        </w:rPr>
        <w:t>July</w:t>
      </w:r>
      <w:r w:rsidR="00F62F16" w:rsidRPr="00B87BC9">
        <w:rPr>
          <w:rStyle w:val="AERbody"/>
        </w:rPr>
        <w:t xml:space="preserve"> 201</w:t>
      </w:r>
      <w:r w:rsidR="00F62F16">
        <w:rPr>
          <w:rStyle w:val="AERbody"/>
        </w:rPr>
        <w:t>7</w:t>
      </w:r>
      <w:r w:rsidR="00F62F16" w:rsidRPr="00B87BC9">
        <w:rPr>
          <w:rStyle w:val="AERbody"/>
        </w:rPr>
        <w:t xml:space="preserve">, and our </w:t>
      </w:r>
      <w:r w:rsidR="00F62F16">
        <w:rPr>
          <w:rStyle w:val="AERbody"/>
        </w:rPr>
        <w:t>draft</w:t>
      </w:r>
      <w:r w:rsidR="00F62F16" w:rsidRPr="00B87BC9">
        <w:rPr>
          <w:rStyle w:val="AERbody"/>
        </w:rPr>
        <w:t xml:space="preserve"> dec</w:t>
      </w:r>
      <w:r w:rsidR="00F62F16" w:rsidRPr="00B87BC9">
        <w:t xml:space="preserve">isions on </w:t>
      </w:r>
      <w:r w:rsidR="00F62F16">
        <w:t>the expected</w:t>
      </w:r>
      <w:r w:rsidR="00F62F16" w:rsidRPr="00B87BC9">
        <w:t xml:space="preserve"> inflation</w:t>
      </w:r>
      <w:r w:rsidR="00F62F16">
        <w:t xml:space="preserve"> rate</w:t>
      </w:r>
      <w:r w:rsidR="00F62F16" w:rsidRPr="00B87BC9">
        <w:t xml:space="preserve"> (attachment 3)</w:t>
      </w:r>
      <w:r w:rsidR="00F62F16">
        <w:t xml:space="preserve">, </w:t>
      </w:r>
      <w:r w:rsidR="00F62F16" w:rsidRPr="00B87BC9">
        <w:t>forecast depreciation (attachment 5) and</w:t>
      </w:r>
      <w:r w:rsidR="00F62F16" w:rsidRPr="002C7D76">
        <w:t xml:space="preserve"> </w:t>
      </w:r>
      <w:r w:rsidR="00F62F16" w:rsidRPr="00B87BC9">
        <w:t>forecast capex (attachment 6).</w:t>
      </w:r>
    </w:p>
    <w:p w:rsidR="00F62F16" w:rsidRDefault="00F62F16" w:rsidP="00605F76">
      <w:pPr>
        <w:pStyle w:val="ListParagraph"/>
        <w:numPr>
          <w:ilvl w:val="0"/>
          <w:numId w:val="24"/>
        </w:numPr>
      </w:pPr>
      <w:r>
        <w:t xml:space="preserve">Table </w:t>
      </w:r>
      <w:r>
        <w:rPr>
          <w:noProof/>
        </w:rPr>
        <w:t>2</w:t>
      </w:r>
      <w:r>
        <w:t>.</w:t>
      </w:r>
      <w:r>
        <w:rPr>
          <w:noProof/>
        </w:rPr>
        <w:t>2</w:t>
      </w:r>
      <w:r w:rsidRPr="002C7D76">
        <w:t xml:space="preserve"> sets out our </w:t>
      </w:r>
      <w:r>
        <w:t>draft</w:t>
      </w:r>
      <w:r w:rsidRPr="002C7D76">
        <w:t xml:space="preserve"> decision on the forecast RAB values for </w:t>
      </w:r>
      <w:r>
        <w:t>TasNetworks</w:t>
      </w:r>
      <w:r w:rsidRPr="002C7D76">
        <w:t xml:space="preserve"> over the </w:t>
      </w:r>
      <w:r>
        <w:t>2017–19</w:t>
      </w:r>
      <w:r w:rsidRPr="002C7D76">
        <w:t xml:space="preserve"> regulatory control </w:t>
      </w:r>
      <w:proofErr w:type="gramStart"/>
      <w:r w:rsidRPr="002C7D76">
        <w:t>period</w:t>
      </w:r>
      <w:proofErr w:type="gramEnd"/>
      <w:r w:rsidRPr="002C7D76">
        <w:t>.</w:t>
      </w:r>
    </w:p>
    <w:p w:rsidR="00F62F16" w:rsidRPr="002C7D76" w:rsidRDefault="00F62F16" w:rsidP="00605F76">
      <w:pPr>
        <w:pStyle w:val="ListParagraph"/>
        <w:numPr>
          <w:ilvl w:val="0"/>
          <w:numId w:val="24"/>
        </w:numPr>
      </w:pPr>
    </w:p>
    <w:p w:rsidR="00977411" w:rsidRDefault="00F62F16" w:rsidP="00977411">
      <w:pPr>
        <w:pStyle w:val="ListParagraph"/>
        <w:numPr>
          <w:ilvl w:val="0"/>
          <w:numId w:val="24"/>
        </w:numPr>
      </w:pPr>
      <w:r>
        <w:t xml:space="preserve">Table </w:t>
      </w:r>
      <w:r>
        <w:rPr>
          <w:noProof/>
        </w:rPr>
        <w:t>2</w:t>
      </w:r>
      <w:r>
        <w:t>.</w:t>
      </w:r>
      <w:r>
        <w:rPr>
          <w:noProof/>
        </w:rPr>
        <w:t>1</w:t>
      </w:r>
      <w:r w:rsidR="002C7D76">
        <w:fldChar w:fldCharType="end"/>
      </w:r>
      <w:r w:rsidR="00977411" w:rsidRPr="00977411">
        <w:t xml:space="preserve"> sets out our </w:t>
      </w:r>
      <w:r w:rsidR="00176E52">
        <w:t>draft</w:t>
      </w:r>
      <w:r w:rsidR="00977411" w:rsidRPr="00977411">
        <w:t xml:space="preserve"> decision on the roll forward of the RAB values for </w:t>
      </w:r>
      <w:r w:rsidR="00C1281C">
        <w:t xml:space="preserve">TasNetworks over </w:t>
      </w:r>
      <w:r w:rsidR="00977411" w:rsidRPr="00977411">
        <w:t xml:space="preserve">the </w:t>
      </w:r>
      <w:r w:rsidR="00176E52">
        <w:t>2012–17</w:t>
      </w:r>
      <w:r w:rsidR="00176E52" w:rsidRPr="00A449A3">
        <w:t xml:space="preserve"> </w:t>
      </w:r>
      <w:r w:rsidR="00977411" w:rsidRPr="00977411">
        <w:t>regulatory control period.</w:t>
      </w:r>
    </w:p>
    <w:p w:rsidR="00605F76" w:rsidRPr="00B87BC9" w:rsidRDefault="00605F76" w:rsidP="00605F76">
      <w:pPr>
        <w:pStyle w:val="ListParagraph"/>
        <w:numPr>
          <w:ilvl w:val="0"/>
          <w:numId w:val="24"/>
        </w:numPr>
      </w:pPr>
      <w:bookmarkStart w:id="73" w:name="_Ref451354940"/>
      <w:r w:rsidRPr="00B87BC9">
        <w:t>We determine a forecast closing RAB value at 3</w:t>
      </w:r>
      <w:r>
        <w:t>0</w:t>
      </w:r>
      <w:r w:rsidRPr="00B87BC9">
        <w:t xml:space="preserve"> </w:t>
      </w:r>
      <w:r>
        <w:t>June</w:t>
      </w:r>
      <w:r w:rsidRPr="00B87BC9">
        <w:t xml:space="preserve"> 20</w:t>
      </w:r>
      <w:r>
        <w:t>19</w:t>
      </w:r>
      <w:r w:rsidRPr="00B87BC9">
        <w:t xml:space="preserve"> of $</w:t>
      </w:r>
      <w:r>
        <w:t>1753.9</w:t>
      </w:r>
      <w:r w:rsidRPr="00B87BC9">
        <w:t> million ($ nominal). This is $</w:t>
      </w:r>
      <w:r>
        <w:t>9.4</w:t>
      </w:r>
      <w:r w:rsidRPr="00B87BC9">
        <w:t xml:space="preserve"> million (or </w:t>
      </w:r>
      <w:r>
        <w:t>0.5</w:t>
      </w:r>
      <w:r w:rsidRPr="00B87BC9">
        <w:t xml:space="preserve"> per cent) lower</w:t>
      </w:r>
      <w:r w:rsidRPr="00B87BC9">
        <w:rPr>
          <w:rStyle w:val="AERbody"/>
        </w:rPr>
        <w:t xml:space="preserve"> than the amount of $</w:t>
      </w:r>
      <w:r>
        <w:rPr>
          <w:rStyle w:val="AERbody"/>
        </w:rPr>
        <w:t xml:space="preserve">1763.2 </w:t>
      </w:r>
      <w:r w:rsidRPr="00B87BC9">
        <w:rPr>
          <w:rStyle w:val="AERbody"/>
        </w:rPr>
        <w:t xml:space="preserve">million ($ nominal) proposed by </w:t>
      </w:r>
      <w:r>
        <w:rPr>
          <w:rStyle w:val="AERbody"/>
        </w:rPr>
        <w:t>TasNetworks</w:t>
      </w:r>
      <w:r w:rsidRPr="00B87BC9">
        <w:rPr>
          <w:rStyle w:val="AERbody"/>
        </w:rPr>
        <w:t>.</w:t>
      </w:r>
      <w:r>
        <w:rPr>
          <w:rStyle w:val="FootnoteReference"/>
        </w:rPr>
        <w:footnoteReference w:id="4"/>
      </w:r>
      <w:r w:rsidRPr="00B87BC9">
        <w:rPr>
          <w:rStyle w:val="AERbody"/>
        </w:rPr>
        <w:t xml:space="preserve"> Our </w:t>
      </w:r>
      <w:r>
        <w:rPr>
          <w:rStyle w:val="AERbody"/>
        </w:rPr>
        <w:t>draft</w:t>
      </w:r>
      <w:r w:rsidRPr="00B87BC9">
        <w:rPr>
          <w:rStyle w:val="AERbody"/>
        </w:rPr>
        <w:t xml:space="preserve"> decision on the forecast closing RAB reflects the </w:t>
      </w:r>
      <w:r>
        <w:rPr>
          <w:rStyle w:val="AERbody"/>
        </w:rPr>
        <w:t>updated</w:t>
      </w:r>
      <w:r w:rsidRPr="00B87BC9">
        <w:rPr>
          <w:rStyle w:val="AERbody"/>
        </w:rPr>
        <w:t xml:space="preserve"> opening RAB as at 1 </w:t>
      </w:r>
      <w:r>
        <w:rPr>
          <w:rStyle w:val="AERbody"/>
        </w:rPr>
        <w:t>July</w:t>
      </w:r>
      <w:r w:rsidRPr="00B87BC9">
        <w:rPr>
          <w:rStyle w:val="AERbody"/>
        </w:rPr>
        <w:t xml:space="preserve"> 201</w:t>
      </w:r>
      <w:r>
        <w:rPr>
          <w:rStyle w:val="AERbody"/>
        </w:rPr>
        <w:t>7</w:t>
      </w:r>
      <w:r w:rsidRPr="00B87BC9">
        <w:rPr>
          <w:rStyle w:val="AERbody"/>
        </w:rPr>
        <w:t xml:space="preserve">, and our </w:t>
      </w:r>
      <w:r>
        <w:rPr>
          <w:rStyle w:val="AERbody"/>
        </w:rPr>
        <w:t>draft</w:t>
      </w:r>
      <w:r w:rsidRPr="00B87BC9">
        <w:rPr>
          <w:rStyle w:val="AERbody"/>
        </w:rPr>
        <w:t xml:space="preserve"> </w:t>
      </w:r>
      <w:r w:rsidRPr="00B87BC9">
        <w:rPr>
          <w:rStyle w:val="AERbody"/>
        </w:rPr>
        <w:lastRenderedPageBreak/>
        <w:t>dec</w:t>
      </w:r>
      <w:r w:rsidRPr="00B87BC9">
        <w:t xml:space="preserve">isions on </w:t>
      </w:r>
      <w:r>
        <w:t>the expected</w:t>
      </w:r>
      <w:r w:rsidRPr="00B87BC9">
        <w:t xml:space="preserve"> inflation</w:t>
      </w:r>
      <w:r>
        <w:t xml:space="preserve"> rate</w:t>
      </w:r>
      <w:r w:rsidRPr="00B87BC9">
        <w:t xml:space="preserve"> (attachment 3)</w:t>
      </w:r>
      <w:r>
        <w:t xml:space="preserve">, </w:t>
      </w:r>
      <w:r w:rsidRPr="00B87BC9">
        <w:t>forecast depreciation (attachment 5) and</w:t>
      </w:r>
      <w:r w:rsidRPr="002C7D76">
        <w:t xml:space="preserve"> </w:t>
      </w:r>
      <w:r w:rsidRPr="00B87BC9">
        <w:t>forecast capex (attachment 6).</w:t>
      </w:r>
    </w:p>
    <w:p w:rsidR="00605F76" w:rsidRDefault="00605F76" w:rsidP="00605F76">
      <w:pPr>
        <w:pStyle w:val="ListParagraph"/>
        <w:numPr>
          <w:ilvl w:val="0"/>
          <w:numId w:val="24"/>
        </w:numPr>
      </w:pPr>
      <w:r>
        <w:fldChar w:fldCharType="begin"/>
      </w:r>
      <w:r>
        <w:instrText xml:space="preserve"> REF _Ref451354958 \h </w:instrText>
      </w:r>
      <w:r>
        <w:fldChar w:fldCharType="separate"/>
      </w:r>
      <w:r w:rsidR="00F62F16">
        <w:t xml:space="preserve">Table </w:t>
      </w:r>
      <w:r w:rsidR="00F62F16">
        <w:rPr>
          <w:noProof/>
        </w:rPr>
        <w:t>2</w:t>
      </w:r>
      <w:r w:rsidR="00F62F16">
        <w:t>.</w:t>
      </w:r>
      <w:r w:rsidR="00F62F16">
        <w:rPr>
          <w:noProof/>
        </w:rPr>
        <w:t>2</w:t>
      </w:r>
      <w:r>
        <w:fldChar w:fldCharType="end"/>
      </w:r>
      <w:r w:rsidRPr="002C7D76">
        <w:t xml:space="preserve"> sets out our </w:t>
      </w:r>
      <w:r>
        <w:t>draft</w:t>
      </w:r>
      <w:r w:rsidRPr="002C7D76">
        <w:t xml:space="preserve"> decision on the forecast RAB values for </w:t>
      </w:r>
      <w:r>
        <w:t>TasNetworks</w:t>
      </w:r>
      <w:r w:rsidRPr="002C7D76">
        <w:t xml:space="preserve"> over the </w:t>
      </w:r>
      <w:r>
        <w:t>2017–19</w:t>
      </w:r>
      <w:r w:rsidRPr="002C7D76">
        <w:t xml:space="preserve"> regulatory control </w:t>
      </w:r>
      <w:proofErr w:type="gramStart"/>
      <w:r w:rsidRPr="002C7D76">
        <w:t>period</w:t>
      </w:r>
      <w:proofErr w:type="gramEnd"/>
      <w:r w:rsidRPr="002C7D76">
        <w:t>.</w:t>
      </w:r>
    </w:p>
    <w:p w:rsidR="00605F76" w:rsidRPr="002C7D76" w:rsidRDefault="00605F76" w:rsidP="00605F76">
      <w:pPr>
        <w:pStyle w:val="ListParagraph"/>
        <w:numPr>
          <w:ilvl w:val="0"/>
          <w:numId w:val="24"/>
        </w:numPr>
      </w:pPr>
    </w:p>
    <w:p w:rsidR="002C7D76" w:rsidRDefault="00176E52" w:rsidP="002C7D76">
      <w:pPr>
        <w:pStyle w:val="Caption"/>
      </w:pPr>
      <w:proofErr w:type="gramStart"/>
      <w:r>
        <w:t xml:space="preserve">Table </w:t>
      </w:r>
      <w:fldSimple w:instr=" STYLEREF 1 \s ">
        <w:r w:rsidR="00F62F16">
          <w:rPr>
            <w:noProof/>
          </w:rPr>
          <w:t>2</w:t>
        </w:r>
      </w:fldSimple>
      <w:r w:rsidR="002C7D76">
        <w:t>.</w:t>
      </w:r>
      <w:proofErr w:type="gramEnd"/>
      <w:r w:rsidR="00AC5DBB">
        <w:fldChar w:fldCharType="begin"/>
      </w:r>
      <w:r w:rsidR="00AC5DBB">
        <w:instrText xml:space="preserve"> SEQ Table \* ARABIC \s 1 </w:instrText>
      </w:r>
      <w:r w:rsidR="00AC5DBB">
        <w:fldChar w:fldCharType="separate"/>
      </w:r>
      <w:r w:rsidR="00F62F16">
        <w:rPr>
          <w:noProof/>
        </w:rPr>
        <w:t>1</w:t>
      </w:r>
      <w:r w:rsidR="00AC5DBB">
        <w:rPr>
          <w:noProof/>
        </w:rPr>
        <w:fldChar w:fldCharType="end"/>
      </w:r>
      <w:bookmarkEnd w:id="73"/>
      <w:r>
        <w:tab/>
        <w:t>AER's draft decision on TasNetworks' RAB for the 2012–17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176E52" w:rsidRPr="00237902" w:rsidTr="00BB4A1E">
        <w:trPr>
          <w:cnfStyle w:val="100000000000" w:firstRow="1" w:lastRow="0" w:firstColumn="0" w:lastColumn="0" w:oddVBand="0" w:evenVBand="0" w:oddHBand="0" w:evenHBand="0" w:firstRowFirstColumn="0" w:firstRowLastColumn="0" w:lastRowFirstColumn="0" w:lastRowLastColumn="0"/>
          <w:trHeight w:val="303"/>
          <w:tblHeader/>
        </w:trPr>
        <w:tc>
          <w:tcPr>
            <w:cnfStyle w:val="001000000000" w:firstRow="0" w:lastRow="0" w:firstColumn="1" w:lastColumn="0" w:oddVBand="0" w:evenVBand="0" w:oddHBand="0" w:evenHBand="0" w:firstRowFirstColumn="0" w:firstRowLastColumn="0" w:lastRowFirstColumn="0" w:lastRowLastColumn="0"/>
            <w:tcW w:w="2168" w:type="pct"/>
            <w:noWrap/>
            <w:hideMark/>
          </w:tcPr>
          <w:p w:rsidR="00176E52" w:rsidRPr="00176E52" w:rsidRDefault="00176E52" w:rsidP="00176E52">
            <w:r w:rsidRPr="00237902">
              <w:t> </w:t>
            </w:r>
          </w:p>
        </w:tc>
        <w:tc>
          <w:tcPr>
            <w:tcW w:w="566" w:type="pct"/>
            <w:noWrap/>
            <w:hideMark/>
          </w:tcPr>
          <w:p w:rsidR="00176E52" w:rsidRPr="00176E52" w:rsidRDefault="00176E52" w:rsidP="00176E52">
            <w:pPr>
              <w:cnfStyle w:val="100000000000" w:firstRow="1" w:lastRow="0" w:firstColumn="0" w:lastColumn="0" w:oddVBand="0" w:evenVBand="0" w:oddHBand="0" w:evenHBand="0" w:firstRowFirstColumn="0" w:firstRowLastColumn="0" w:lastRowFirstColumn="0" w:lastRowLastColumn="0"/>
            </w:pPr>
            <w:r>
              <w:t>2012–13</w:t>
            </w:r>
          </w:p>
        </w:tc>
        <w:tc>
          <w:tcPr>
            <w:tcW w:w="566" w:type="pct"/>
            <w:noWrap/>
            <w:hideMark/>
          </w:tcPr>
          <w:p w:rsidR="00176E52" w:rsidRPr="00176E52" w:rsidRDefault="00176E52" w:rsidP="00176E52">
            <w:pPr>
              <w:cnfStyle w:val="100000000000" w:firstRow="1" w:lastRow="0" w:firstColumn="0" w:lastColumn="0" w:oddVBand="0" w:evenVBand="0" w:oddHBand="0" w:evenHBand="0" w:firstRowFirstColumn="0" w:firstRowLastColumn="0" w:lastRowFirstColumn="0" w:lastRowLastColumn="0"/>
            </w:pPr>
            <w:r>
              <w:t>2013–14</w:t>
            </w:r>
          </w:p>
        </w:tc>
        <w:tc>
          <w:tcPr>
            <w:tcW w:w="567" w:type="pct"/>
            <w:noWrap/>
            <w:hideMark/>
          </w:tcPr>
          <w:p w:rsidR="00176E52" w:rsidRPr="00176E52" w:rsidRDefault="00176E52" w:rsidP="00176E52">
            <w:pPr>
              <w:cnfStyle w:val="100000000000" w:firstRow="1" w:lastRow="0" w:firstColumn="0" w:lastColumn="0" w:oddVBand="0" w:evenVBand="0" w:oddHBand="0" w:evenHBand="0" w:firstRowFirstColumn="0" w:firstRowLastColumn="0" w:lastRowFirstColumn="0" w:lastRowLastColumn="0"/>
            </w:pPr>
            <w:r>
              <w:t>2014–15</w:t>
            </w:r>
          </w:p>
        </w:tc>
        <w:tc>
          <w:tcPr>
            <w:tcW w:w="566" w:type="pct"/>
            <w:noWrap/>
            <w:hideMark/>
          </w:tcPr>
          <w:p w:rsidR="00176E52" w:rsidRPr="00BA3924" w:rsidRDefault="00176E52" w:rsidP="00176E52">
            <w:pPr>
              <w:cnfStyle w:val="100000000000" w:firstRow="1" w:lastRow="0" w:firstColumn="0" w:lastColumn="0" w:oddVBand="0" w:evenVBand="0" w:oddHBand="0" w:evenHBand="0" w:firstRowFirstColumn="0" w:firstRowLastColumn="0" w:lastRowFirstColumn="0" w:lastRowLastColumn="0"/>
              <w:rPr>
                <w:rStyle w:val="AERsuperscript"/>
              </w:rPr>
            </w:pPr>
            <w:r>
              <w:t>2015–16</w:t>
            </w:r>
            <w:r w:rsidR="00C1281C">
              <w:rPr>
                <w:rStyle w:val="AERsuperscript"/>
              </w:rPr>
              <w:t>a</w:t>
            </w:r>
          </w:p>
        </w:tc>
        <w:tc>
          <w:tcPr>
            <w:tcW w:w="567" w:type="pct"/>
            <w:noWrap/>
            <w:hideMark/>
          </w:tcPr>
          <w:p w:rsidR="00176E52" w:rsidRPr="00176E52" w:rsidRDefault="00176E52" w:rsidP="00176E52">
            <w:pPr>
              <w:cnfStyle w:val="100000000000" w:firstRow="1" w:lastRow="0" w:firstColumn="0" w:lastColumn="0" w:oddVBand="0" w:evenVBand="0" w:oddHBand="0" w:evenHBand="0" w:firstRowFirstColumn="0" w:firstRowLastColumn="0" w:lastRowFirstColumn="0" w:lastRowLastColumn="0"/>
            </w:pPr>
            <w:r>
              <w:t>2016–17</w:t>
            </w:r>
            <w:r w:rsidR="00C1281C">
              <w:rPr>
                <w:rStyle w:val="AERsuperscript"/>
              </w:rPr>
              <w:t>b</w:t>
            </w:r>
          </w:p>
        </w:tc>
      </w:tr>
      <w:tr w:rsidR="006817AD" w:rsidRPr="000663D7" w:rsidTr="00BB4A1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817AD" w:rsidRPr="006817AD" w:rsidRDefault="006817AD" w:rsidP="006817AD">
            <w:r w:rsidRPr="006817AD">
              <w:t>Opening RAB</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1445.2</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1486.9</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1539.3</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1557.0</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1606.3</w:t>
            </w:r>
          </w:p>
        </w:tc>
      </w:tr>
      <w:tr w:rsidR="006817AD" w:rsidRPr="00237902" w:rsidTr="00BB4A1E">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817AD" w:rsidRPr="006817AD" w:rsidRDefault="006817AD" w:rsidP="006817AD">
            <w:r w:rsidRPr="006817AD">
              <w:t xml:space="preserve">Capital </w:t>
            </w:r>
            <w:proofErr w:type="spellStart"/>
            <w:r w:rsidRPr="006817AD">
              <w:t>expenditure</w:t>
            </w:r>
            <w:r w:rsidRPr="006817AD">
              <w:rPr>
                <w:rStyle w:val="AERsuperscript"/>
              </w:rPr>
              <w:t>c</w:t>
            </w:r>
            <w:proofErr w:type="spellEnd"/>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89.3</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99.8</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89.2</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114.9</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125.7</w:t>
            </w:r>
          </w:p>
        </w:tc>
      </w:tr>
      <w:tr w:rsidR="006817AD" w:rsidRPr="00237902" w:rsidTr="00BB4A1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817AD" w:rsidRPr="006817AD" w:rsidRDefault="006817AD" w:rsidP="006817AD">
            <w:pPr>
              <w:rPr>
                <w:rStyle w:val="AERsuperscript"/>
              </w:rPr>
            </w:pPr>
            <w:r w:rsidRPr="006817AD">
              <w:t xml:space="preserve">Inflation indexation on opening </w:t>
            </w:r>
            <w:proofErr w:type="spellStart"/>
            <w:r w:rsidRPr="006817AD">
              <w:t>RAB</w:t>
            </w:r>
            <w:r w:rsidRPr="006817AD">
              <w:rPr>
                <w:rStyle w:val="AERsuperscript"/>
              </w:rPr>
              <w:t>d</w:t>
            </w:r>
            <w:proofErr w:type="spellEnd"/>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36.2</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43.6</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20.4</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20.4</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40.2</w:t>
            </w:r>
          </w:p>
        </w:tc>
      </w:tr>
      <w:tr w:rsidR="006817AD" w:rsidRPr="00237902" w:rsidTr="00BB4A1E">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817AD" w:rsidRPr="006817AD" w:rsidRDefault="006817AD" w:rsidP="006817AD">
            <w:pPr>
              <w:rPr>
                <w:rStyle w:val="AERsuperscript"/>
              </w:rPr>
            </w:pPr>
            <w:r w:rsidRPr="006817AD">
              <w:rPr>
                <w:rStyle w:val="AERtextitalic"/>
              </w:rPr>
              <w:t>Less</w:t>
            </w:r>
            <w:r w:rsidRPr="006817AD">
              <w:t xml:space="preserve">: straight-line </w:t>
            </w:r>
            <w:proofErr w:type="spellStart"/>
            <w:r w:rsidRPr="006817AD">
              <w:t>depreciation</w:t>
            </w:r>
            <w:r w:rsidRPr="006817AD">
              <w:rPr>
                <w:rStyle w:val="AERsuperscript"/>
              </w:rPr>
              <w:t>e</w:t>
            </w:r>
            <w:proofErr w:type="spellEnd"/>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83.8</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90.9</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91.9</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85.4</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87.6</w:t>
            </w:r>
          </w:p>
        </w:tc>
      </w:tr>
      <w:tr w:rsidR="006817AD" w:rsidRPr="00EB40A0" w:rsidTr="00BB4A1E">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817AD" w:rsidRPr="006817AD" w:rsidRDefault="006817AD" w:rsidP="006817AD">
            <w:r w:rsidRPr="006817AD">
              <w:t>Closing RAB</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1486.9</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1539.3</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1557.0</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1606.3</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1684.5</w:t>
            </w:r>
          </w:p>
        </w:tc>
      </w:tr>
      <w:tr w:rsidR="006817AD" w:rsidRPr="00237902" w:rsidTr="00176E52">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6817AD" w:rsidRPr="006817AD" w:rsidRDefault="006817AD" w:rsidP="006817AD">
            <w:r w:rsidRPr="006817AD">
              <w:t>Difference between estimated and actual 2011–12 capex (1 July 2011 to 30 June 2012)</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 </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 </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 </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 </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pPr>
            <w:r w:rsidRPr="006817AD">
              <w:t>–38.0</w:t>
            </w:r>
          </w:p>
        </w:tc>
      </w:tr>
      <w:tr w:rsidR="006817AD" w:rsidRPr="00237902" w:rsidTr="00176E52">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6817AD" w:rsidRPr="006817AD" w:rsidRDefault="006817AD" w:rsidP="006817AD">
            <w:r w:rsidRPr="006817AD">
              <w:t>Return on difference for 2011–12 capex</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 </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 </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 </w:t>
            </w:r>
          </w:p>
        </w:tc>
        <w:tc>
          <w:tcPr>
            <w:tcW w:w="566"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 </w:t>
            </w:r>
          </w:p>
        </w:tc>
        <w:tc>
          <w:tcPr>
            <w:tcW w:w="567" w:type="pct"/>
            <w:noWrap/>
            <w:vAlign w:val="bottom"/>
          </w:tcPr>
          <w:p w:rsidR="006817AD" w:rsidRPr="006817AD" w:rsidRDefault="006817AD" w:rsidP="006817AD">
            <w:pPr>
              <w:cnfStyle w:val="000000000000" w:firstRow="0" w:lastRow="0" w:firstColumn="0" w:lastColumn="0" w:oddVBand="0" w:evenVBand="0" w:oddHBand="0" w:evenHBand="0" w:firstRowFirstColumn="0" w:firstRowLastColumn="0" w:lastRowFirstColumn="0" w:lastRowLastColumn="0"/>
            </w:pPr>
            <w:r w:rsidRPr="006817AD">
              <w:t>–17.2</w:t>
            </w:r>
          </w:p>
        </w:tc>
      </w:tr>
      <w:tr w:rsidR="006817AD" w:rsidRPr="003D02A8" w:rsidTr="00176E52">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6817AD" w:rsidRPr="006817AD" w:rsidRDefault="006817AD" w:rsidP="006817AD">
            <w:pPr>
              <w:rPr>
                <w:rStyle w:val="Strong"/>
              </w:rPr>
            </w:pPr>
            <w:r w:rsidRPr="006817AD">
              <w:rPr>
                <w:rStyle w:val="Strong"/>
              </w:rPr>
              <w:t>Closing RAB as at 30 June 2017</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rPr>
                <w:rStyle w:val="Strong"/>
              </w:rPr>
            </w:pPr>
            <w:r w:rsidRPr="006817AD">
              <w:t> </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rPr>
                <w:rStyle w:val="Strong"/>
              </w:rPr>
            </w:pPr>
            <w:r w:rsidRPr="006817AD">
              <w:t> </w:t>
            </w:r>
          </w:p>
        </w:tc>
        <w:tc>
          <w:tcPr>
            <w:tcW w:w="567"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rPr>
                <w:rStyle w:val="Strong"/>
              </w:rPr>
            </w:pPr>
            <w:r w:rsidRPr="006817AD">
              <w:t> </w:t>
            </w:r>
          </w:p>
        </w:tc>
        <w:tc>
          <w:tcPr>
            <w:tcW w:w="566" w:type="pct"/>
            <w:noWrap/>
            <w:vAlign w:val="bottom"/>
          </w:tcPr>
          <w:p w:rsidR="006817AD" w:rsidRPr="006817AD" w:rsidRDefault="006817AD" w:rsidP="006817AD">
            <w:pPr>
              <w:cnfStyle w:val="000000010000" w:firstRow="0" w:lastRow="0" w:firstColumn="0" w:lastColumn="0" w:oddVBand="0" w:evenVBand="0" w:oddHBand="0" w:evenHBand="1" w:firstRowFirstColumn="0" w:firstRowLastColumn="0" w:lastRowFirstColumn="0" w:lastRowLastColumn="0"/>
              <w:rPr>
                <w:rStyle w:val="Strong"/>
              </w:rPr>
            </w:pPr>
            <w:r w:rsidRPr="006817AD">
              <w:t> </w:t>
            </w:r>
          </w:p>
        </w:tc>
        <w:tc>
          <w:tcPr>
            <w:tcW w:w="567" w:type="pct"/>
            <w:noWrap/>
            <w:vAlign w:val="bottom"/>
          </w:tcPr>
          <w:p w:rsidR="006817AD" w:rsidRPr="000241AC" w:rsidRDefault="006817AD" w:rsidP="006817AD">
            <w:pPr>
              <w:cnfStyle w:val="000000010000" w:firstRow="0" w:lastRow="0" w:firstColumn="0" w:lastColumn="0" w:oddVBand="0" w:evenVBand="0" w:oddHBand="0" w:evenHBand="1" w:firstRowFirstColumn="0" w:firstRowLastColumn="0" w:lastRowFirstColumn="0" w:lastRowLastColumn="0"/>
              <w:rPr>
                <w:rStyle w:val="Strong"/>
              </w:rPr>
            </w:pPr>
            <w:r w:rsidRPr="000241AC">
              <w:rPr>
                <w:rStyle w:val="Strong"/>
              </w:rPr>
              <w:t>1629.4</w:t>
            </w:r>
          </w:p>
        </w:tc>
      </w:tr>
    </w:tbl>
    <w:p w:rsidR="00176E52" w:rsidRPr="00A449A3" w:rsidRDefault="00176E52" w:rsidP="00176E52">
      <w:pPr>
        <w:pStyle w:val="AERtablesource"/>
        <w:numPr>
          <w:ilvl w:val="0"/>
          <w:numId w:val="24"/>
        </w:numPr>
      </w:pPr>
      <w:r w:rsidRPr="00A449A3">
        <w:t>Source:</w:t>
      </w:r>
      <w:r w:rsidRPr="00A449A3">
        <w:tab/>
        <w:t>AER analysis.</w:t>
      </w:r>
    </w:p>
    <w:p w:rsidR="00176E52" w:rsidRPr="00A449A3" w:rsidRDefault="00176E52" w:rsidP="00176E52">
      <w:pPr>
        <w:pStyle w:val="AERtablesource"/>
        <w:numPr>
          <w:ilvl w:val="0"/>
          <w:numId w:val="24"/>
        </w:numPr>
      </w:pPr>
      <w:r w:rsidRPr="00A449A3">
        <w:t>(a)</w:t>
      </w:r>
      <w:r w:rsidRPr="00A449A3">
        <w:tab/>
        <w:t>Based on estimated capex.</w:t>
      </w:r>
      <w:r w:rsidR="00C1281C">
        <w:t xml:space="preserve"> </w:t>
      </w:r>
      <w:r w:rsidR="00C1281C" w:rsidRPr="0054020F">
        <w:t>We will update the RAB roll forward for actual capex in the final decision.</w:t>
      </w:r>
    </w:p>
    <w:p w:rsidR="00C1281C" w:rsidRDefault="00176E52" w:rsidP="00176E52">
      <w:pPr>
        <w:pStyle w:val="AERtablesource"/>
        <w:numPr>
          <w:ilvl w:val="0"/>
          <w:numId w:val="24"/>
        </w:numPr>
      </w:pPr>
      <w:r w:rsidRPr="00A449A3">
        <w:t>(b)</w:t>
      </w:r>
      <w:r w:rsidRPr="00A449A3">
        <w:tab/>
      </w:r>
      <w:r w:rsidR="00C1281C">
        <w:t xml:space="preserve">Based on estimated capex provided by TasNetworks. We expect to update the RAB roll forward with a </w:t>
      </w:r>
      <w:r w:rsidR="00C1281C">
        <w:tab/>
        <w:t>revised capex estimate in the final decision, and true-up the RAB for actual capex at the next reset.</w:t>
      </w:r>
    </w:p>
    <w:p w:rsidR="00176E52" w:rsidRDefault="00C1281C" w:rsidP="00176E52">
      <w:pPr>
        <w:pStyle w:val="AERtablesource"/>
        <w:numPr>
          <w:ilvl w:val="0"/>
          <w:numId w:val="24"/>
        </w:numPr>
      </w:pPr>
      <w:r>
        <w:t>(c)</w:t>
      </w:r>
      <w:r>
        <w:tab/>
      </w:r>
      <w:r w:rsidR="00176E52" w:rsidRPr="00A449A3">
        <w:t xml:space="preserve">Net of disposals and </w:t>
      </w:r>
      <w:r w:rsidR="00176E52">
        <w:t xml:space="preserve">capital contributions, and </w:t>
      </w:r>
      <w:r w:rsidR="00176E52" w:rsidRPr="00A449A3">
        <w:t>adjusted for</w:t>
      </w:r>
      <w:r>
        <w:t xml:space="preserve"> actual</w:t>
      </w:r>
      <w:r w:rsidR="00176E52" w:rsidRPr="00A449A3">
        <w:t xml:space="preserve"> CPI.</w:t>
      </w:r>
    </w:p>
    <w:p w:rsidR="003328C1" w:rsidRDefault="003328C1" w:rsidP="003328C1">
      <w:pPr>
        <w:pStyle w:val="AERtablesource"/>
      </w:pPr>
      <w:r>
        <w:t>(d)</w:t>
      </w:r>
      <w:r>
        <w:tab/>
        <w:t>We will update the RAB roll forward for actual CPI for 2016–17 in the final decision.</w:t>
      </w:r>
    </w:p>
    <w:p w:rsidR="003328C1" w:rsidRPr="003328C1" w:rsidRDefault="003328C1" w:rsidP="003328C1">
      <w:pPr>
        <w:pStyle w:val="AERtablesource"/>
      </w:pPr>
      <w:r>
        <w:t>(e)</w:t>
      </w:r>
      <w:r>
        <w:tab/>
        <w:t xml:space="preserve">Adjusted for actual CPI. </w:t>
      </w:r>
      <w:proofErr w:type="gramStart"/>
      <w:r>
        <w:t>Based on actual as-incurred capex.</w:t>
      </w:r>
      <w:proofErr w:type="gramEnd"/>
    </w:p>
    <w:p w:rsidR="002C7D76" w:rsidRDefault="002C7D76" w:rsidP="002C7D76">
      <w:pPr>
        <w:pStyle w:val="Caption"/>
      </w:pPr>
      <w:bookmarkStart w:id="74" w:name="_Ref451354958"/>
      <w:proofErr w:type="gramStart"/>
      <w:r>
        <w:t xml:space="preserve">Table </w:t>
      </w:r>
      <w:fldSimple w:instr=" STYLEREF 1 \s ">
        <w:r w:rsidR="00F62F16">
          <w:rPr>
            <w:noProof/>
          </w:rPr>
          <w:t>2</w:t>
        </w:r>
      </w:fldSimple>
      <w:r>
        <w:t>.</w:t>
      </w:r>
      <w:proofErr w:type="gramEnd"/>
      <w:r w:rsidR="00AC5DBB">
        <w:fldChar w:fldCharType="begin"/>
      </w:r>
      <w:r w:rsidR="00AC5DBB">
        <w:instrText xml:space="preserve"> SEQ Table \* ARABIC \s 1 </w:instrText>
      </w:r>
      <w:r w:rsidR="00AC5DBB">
        <w:fldChar w:fldCharType="separate"/>
      </w:r>
      <w:r w:rsidR="00F62F16">
        <w:rPr>
          <w:noProof/>
        </w:rPr>
        <w:t>2</w:t>
      </w:r>
      <w:r w:rsidR="00AC5DBB">
        <w:rPr>
          <w:noProof/>
        </w:rPr>
        <w:fldChar w:fldCharType="end"/>
      </w:r>
      <w:bookmarkEnd w:id="74"/>
      <w:r>
        <w:tab/>
        <w:t>AER's draft decision on TasNetworks' RAB for the 2017–19 regulatory control period ($ million, nominal)</w:t>
      </w:r>
    </w:p>
    <w:tbl>
      <w:tblPr>
        <w:tblStyle w:val="AERtable-numbers"/>
        <w:tblW w:w="5000" w:type="pct"/>
        <w:tblLook w:val="04A0" w:firstRow="1" w:lastRow="0" w:firstColumn="1" w:lastColumn="0" w:noHBand="0" w:noVBand="1"/>
      </w:tblPr>
      <w:tblGrid>
        <w:gridCol w:w="5416"/>
        <w:gridCol w:w="1639"/>
        <w:gridCol w:w="1638"/>
      </w:tblGrid>
      <w:tr w:rsidR="002C7D76" w:rsidTr="000241AC">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5" w:type="pct"/>
            <w:tcBorders>
              <w:top w:val="nil"/>
              <w:left w:val="nil"/>
              <w:bottom w:val="nil"/>
              <w:right w:val="nil"/>
            </w:tcBorders>
            <w:noWrap/>
            <w:hideMark/>
          </w:tcPr>
          <w:p w:rsidR="002C7D76" w:rsidRPr="00502417" w:rsidRDefault="002C7D76" w:rsidP="002C7D76">
            <w:r w:rsidRPr="00502417">
              <w:t> </w:t>
            </w:r>
          </w:p>
        </w:tc>
        <w:tc>
          <w:tcPr>
            <w:tcW w:w="943" w:type="pct"/>
            <w:tcBorders>
              <w:top w:val="nil"/>
              <w:left w:val="nil"/>
              <w:bottom w:val="nil"/>
              <w:right w:val="nil"/>
            </w:tcBorders>
            <w:noWrap/>
            <w:hideMark/>
          </w:tcPr>
          <w:p w:rsidR="002C7D76" w:rsidRPr="00502417" w:rsidRDefault="002C7D76" w:rsidP="002C7D76">
            <w:pPr>
              <w:cnfStyle w:val="100000000000" w:firstRow="1" w:lastRow="0" w:firstColumn="0" w:lastColumn="0" w:oddVBand="0" w:evenVBand="0" w:oddHBand="0" w:evenHBand="0" w:firstRowFirstColumn="0" w:firstRowLastColumn="0" w:lastRowFirstColumn="0" w:lastRowLastColumn="0"/>
            </w:pPr>
            <w:r>
              <w:t>2017–18</w:t>
            </w:r>
          </w:p>
        </w:tc>
        <w:tc>
          <w:tcPr>
            <w:tcW w:w="943" w:type="pct"/>
            <w:tcBorders>
              <w:top w:val="nil"/>
              <w:left w:val="nil"/>
              <w:bottom w:val="nil"/>
              <w:right w:val="nil"/>
            </w:tcBorders>
            <w:noWrap/>
            <w:hideMark/>
          </w:tcPr>
          <w:p w:rsidR="002C7D76" w:rsidRPr="00502417" w:rsidRDefault="002C7D76" w:rsidP="002C7D76">
            <w:pPr>
              <w:cnfStyle w:val="100000000000" w:firstRow="1" w:lastRow="0" w:firstColumn="0" w:lastColumn="0" w:oddVBand="0" w:evenVBand="0" w:oddHBand="0" w:evenHBand="0" w:firstRowFirstColumn="0" w:firstRowLastColumn="0" w:lastRowFirstColumn="0" w:lastRowLastColumn="0"/>
            </w:pPr>
            <w:r>
              <w:t>2018–19</w:t>
            </w:r>
          </w:p>
        </w:tc>
      </w:tr>
      <w:tr w:rsidR="000241AC" w:rsidTr="000241AC">
        <w:trPr>
          <w:trHeight w:val="306"/>
        </w:trPr>
        <w:tc>
          <w:tcPr>
            <w:cnfStyle w:val="001000000000" w:firstRow="0" w:lastRow="0" w:firstColumn="1" w:lastColumn="0" w:oddVBand="0" w:evenVBand="0" w:oddHBand="0" w:evenHBand="0" w:firstRowFirstColumn="0" w:firstRowLastColumn="0" w:lastRowFirstColumn="0" w:lastRowLastColumn="0"/>
            <w:tcW w:w="3115" w:type="pct"/>
            <w:tcBorders>
              <w:top w:val="nil"/>
              <w:left w:val="nil"/>
              <w:bottom w:val="nil"/>
              <w:right w:val="nil"/>
            </w:tcBorders>
            <w:noWrap/>
            <w:hideMark/>
          </w:tcPr>
          <w:p w:rsidR="000241AC" w:rsidRPr="000241AC" w:rsidRDefault="000241AC" w:rsidP="000241AC">
            <w:r w:rsidRPr="000241AC">
              <w:t>Opening RAB</w:t>
            </w:r>
          </w:p>
        </w:tc>
        <w:tc>
          <w:tcPr>
            <w:tcW w:w="943" w:type="pct"/>
            <w:tcBorders>
              <w:top w:val="nil"/>
              <w:left w:val="nil"/>
              <w:bottom w:val="nil"/>
              <w:right w:val="nil"/>
            </w:tcBorders>
            <w:noWrap/>
            <w:vAlign w:val="bottom"/>
          </w:tcPr>
          <w:p w:rsidR="000241AC" w:rsidRPr="000241AC" w:rsidRDefault="000241AC" w:rsidP="000241AC">
            <w:pPr>
              <w:cnfStyle w:val="000000000000" w:firstRow="0" w:lastRow="0" w:firstColumn="0" w:lastColumn="0" w:oddVBand="0" w:evenVBand="0" w:oddHBand="0" w:evenHBand="0" w:firstRowFirstColumn="0" w:firstRowLastColumn="0" w:lastRowFirstColumn="0" w:lastRowLastColumn="0"/>
            </w:pPr>
            <w:r w:rsidRPr="000241AC">
              <w:t>1629.4</w:t>
            </w:r>
          </w:p>
        </w:tc>
        <w:tc>
          <w:tcPr>
            <w:tcW w:w="943" w:type="pct"/>
            <w:tcBorders>
              <w:top w:val="nil"/>
              <w:left w:val="nil"/>
              <w:bottom w:val="nil"/>
              <w:right w:val="nil"/>
            </w:tcBorders>
            <w:noWrap/>
            <w:vAlign w:val="bottom"/>
          </w:tcPr>
          <w:p w:rsidR="000241AC" w:rsidRPr="000241AC" w:rsidRDefault="000241AC" w:rsidP="000241AC">
            <w:pPr>
              <w:cnfStyle w:val="000000000000" w:firstRow="0" w:lastRow="0" w:firstColumn="0" w:lastColumn="0" w:oddVBand="0" w:evenVBand="0" w:oddHBand="0" w:evenHBand="0" w:firstRowFirstColumn="0" w:firstRowLastColumn="0" w:lastRowFirstColumn="0" w:lastRowLastColumn="0"/>
            </w:pPr>
            <w:r w:rsidRPr="000241AC">
              <w:t>1705.7</w:t>
            </w:r>
          </w:p>
        </w:tc>
      </w:tr>
      <w:tr w:rsidR="000241AC" w:rsidTr="000241A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5" w:type="pct"/>
            <w:tcBorders>
              <w:top w:val="nil"/>
              <w:left w:val="nil"/>
              <w:bottom w:val="nil"/>
              <w:right w:val="nil"/>
            </w:tcBorders>
            <w:noWrap/>
            <w:hideMark/>
          </w:tcPr>
          <w:p w:rsidR="000241AC" w:rsidRPr="000241AC" w:rsidRDefault="000241AC" w:rsidP="000241AC">
            <w:r w:rsidRPr="000241AC">
              <w:t xml:space="preserve">Capital </w:t>
            </w:r>
            <w:proofErr w:type="spellStart"/>
            <w:r w:rsidRPr="000241AC">
              <w:t>expenditure</w:t>
            </w:r>
            <w:r w:rsidRPr="000241AC">
              <w:rPr>
                <w:rStyle w:val="AERsuperscript"/>
              </w:rPr>
              <w:t>a</w:t>
            </w:r>
            <w:proofErr w:type="spellEnd"/>
          </w:p>
        </w:tc>
        <w:tc>
          <w:tcPr>
            <w:tcW w:w="943" w:type="pct"/>
            <w:tcBorders>
              <w:top w:val="nil"/>
              <w:left w:val="nil"/>
              <w:bottom w:val="nil"/>
              <w:right w:val="nil"/>
            </w:tcBorders>
            <w:noWrap/>
            <w:vAlign w:val="bottom"/>
          </w:tcPr>
          <w:p w:rsidR="000241AC" w:rsidRPr="000241AC" w:rsidRDefault="000241AC" w:rsidP="000241AC">
            <w:pPr>
              <w:cnfStyle w:val="000000010000" w:firstRow="0" w:lastRow="0" w:firstColumn="0" w:lastColumn="0" w:oddVBand="0" w:evenVBand="0" w:oddHBand="0" w:evenHBand="1" w:firstRowFirstColumn="0" w:firstRowLastColumn="0" w:lastRowFirstColumn="0" w:lastRowLastColumn="0"/>
            </w:pPr>
            <w:r w:rsidRPr="000241AC">
              <w:t>115.9</w:t>
            </w:r>
          </w:p>
        </w:tc>
        <w:tc>
          <w:tcPr>
            <w:tcW w:w="943" w:type="pct"/>
            <w:tcBorders>
              <w:top w:val="nil"/>
              <w:left w:val="nil"/>
              <w:bottom w:val="nil"/>
              <w:right w:val="nil"/>
            </w:tcBorders>
            <w:noWrap/>
            <w:vAlign w:val="bottom"/>
          </w:tcPr>
          <w:p w:rsidR="000241AC" w:rsidRPr="000241AC" w:rsidRDefault="000241AC" w:rsidP="000241AC">
            <w:pPr>
              <w:cnfStyle w:val="000000010000" w:firstRow="0" w:lastRow="0" w:firstColumn="0" w:lastColumn="0" w:oddVBand="0" w:evenVBand="0" w:oddHBand="0" w:evenHBand="1" w:firstRowFirstColumn="0" w:firstRowLastColumn="0" w:lastRowFirstColumn="0" w:lastRowLastColumn="0"/>
            </w:pPr>
            <w:r w:rsidRPr="000241AC">
              <w:t>107.2</w:t>
            </w:r>
          </w:p>
        </w:tc>
      </w:tr>
      <w:tr w:rsidR="000241AC" w:rsidTr="000241AC">
        <w:trPr>
          <w:trHeight w:val="306"/>
        </w:trPr>
        <w:tc>
          <w:tcPr>
            <w:cnfStyle w:val="001000000000" w:firstRow="0" w:lastRow="0" w:firstColumn="1" w:lastColumn="0" w:oddVBand="0" w:evenVBand="0" w:oddHBand="0" w:evenHBand="0" w:firstRowFirstColumn="0" w:firstRowLastColumn="0" w:lastRowFirstColumn="0" w:lastRowLastColumn="0"/>
            <w:tcW w:w="3115" w:type="pct"/>
            <w:tcBorders>
              <w:top w:val="nil"/>
              <w:left w:val="nil"/>
              <w:bottom w:val="nil"/>
              <w:right w:val="nil"/>
            </w:tcBorders>
            <w:noWrap/>
            <w:hideMark/>
          </w:tcPr>
          <w:p w:rsidR="000241AC" w:rsidRPr="000241AC" w:rsidRDefault="000241AC" w:rsidP="000241AC">
            <w:r w:rsidRPr="000241AC">
              <w:t>Inflation indexation on opening RAB</w:t>
            </w:r>
          </w:p>
        </w:tc>
        <w:tc>
          <w:tcPr>
            <w:tcW w:w="943" w:type="pct"/>
            <w:tcBorders>
              <w:top w:val="nil"/>
              <w:left w:val="nil"/>
              <w:bottom w:val="nil"/>
              <w:right w:val="nil"/>
            </w:tcBorders>
            <w:noWrap/>
            <w:vAlign w:val="bottom"/>
          </w:tcPr>
          <w:p w:rsidR="000241AC" w:rsidRPr="000241AC" w:rsidRDefault="000241AC" w:rsidP="000241AC">
            <w:pPr>
              <w:cnfStyle w:val="000000000000" w:firstRow="0" w:lastRow="0" w:firstColumn="0" w:lastColumn="0" w:oddVBand="0" w:evenVBand="0" w:oddHBand="0" w:evenHBand="0" w:firstRowFirstColumn="0" w:firstRowLastColumn="0" w:lastRowFirstColumn="0" w:lastRowLastColumn="0"/>
            </w:pPr>
            <w:r w:rsidRPr="000241AC">
              <w:t>39.9</w:t>
            </w:r>
          </w:p>
        </w:tc>
        <w:tc>
          <w:tcPr>
            <w:tcW w:w="943" w:type="pct"/>
            <w:tcBorders>
              <w:top w:val="nil"/>
              <w:left w:val="nil"/>
              <w:bottom w:val="nil"/>
              <w:right w:val="nil"/>
            </w:tcBorders>
            <w:noWrap/>
            <w:vAlign w:val="bottom"/>
          </w:tcPr>
          <w:p w:rsidR="000241AC" w:rsidRPr="000241AC" w:rsidRDefault="000241AC" w:rsidP="000241AC">
            <w:pPr>
              <w:cnfStyle w:val="000000000000" w:firstRow="0" w:lastRow="0" w:firstColumn="0" w:lastColumn="0" w:oddVBand="0" w:evenVBand="0" w:oddHBand="0" w:evenHBand="0" w:firstRowFirstColumn="0" w:firstRowLastColumn="0" w:lastRowFirstColumn="0" w:lastRowLastColumn="0"/>
            </w:pPr>
            <w:r w:rsidRPr="000241AC">
              <w:t>41.8</w:t>
            </w:r>
          </w:p>
        </w:tc>
      </w:tr>
      <w:tr w:rsidR="000241AC" w:rsidTr="000241AC">
        <w:trPr>
          <w:cnfStyle w:val="000000010000" w:firstRow="0" w:lastRow="0" w:firstColumn="0" w:lastColumn="0" w:oddVBand="0" w:evenVBand="0" w:oddHBand="0" w:evenHBand="1"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115" w:type="pct"/>
            <w:tcBorders>
              <w:top w:val="nil"/>
              <w:left w:val="nil"/>
              <w:bottom w:val="nil"/>
              <w:right w:val="nil"/>
            </w:tcBorders>
            <w:noWrap/>
            <w:hideMark/>
          </w:tcPr>
          <w:p w:rsidR="000241AC" w:rsidRPr="000241AC" w:rsidRDefault="000241AC" w:rsidP="000241AC">
            <w:r w:rsidRPr="000241AC">
              <w:rPr>
                <w:rStyle w:val="AERtextitalic"/>
              </w:rPr>
              <w:t>Less</w:t>
            </w:r>
            <w:r w:rsidRPr="000241AC">
              <w:t>: straight-line depreciation</w:t>
            </w:r>
          </w:p>
        </w:tc>
        <w:tc>
          <w:tcPr>
            <w:tcW w:w="943" w:type="pct"/>
            <w:tcBorders>
              <w:top w:val="nil"/>
              <w:left w:val="nil"/>
              <w:bottom w:val="nil"/>
              <w:right w:val="nil"/>
            </w:tcBorders>
            <w:noWrap/>
            <w:vAlign w:val="bottom"/>
          </w:tcPr>
          <w:p w:rsidR="000241AC" w:rsidRPr="000241AC" w:rsidRDefault="000241AC" w:rsidP="000241AC">
            <w:pPr>
              <w:cnfStyle w:val="000000010000" w:firstRow="0" w:lastRow="0" w:firstColumn="0" w:lastColumn="0" w:oddVBand="0" w:evenVBand="0" w:oddHBand="0" w:evenHBand="1" w:firstRowFirstColumn="0" w:firstRowLastColumn="0" w:lastRowFirstColumn="0" w:lastRowLastColumn="0"/>
            </w:pPr>
            <w:r w:rsidRPr="000241AC">
              <w:t>79.5</w:t>
            </w:r>
          </w:p>
        </w:tc>
        <w:tc>
          <w:tcPr>
            <w:tcW w:w="943" w:type="pct"/>
            <w:tcBorders>
              <w:top w:val="nil"/>
              <w:left w:val="nil"/>
              <w:bottom w:val="nil"/>
              <w:right w:val="nil"/>
            </w:tcBorders>
            <w:noWrap/>
            <w:vAlign w:val="bottom"/>
          </w:tcPr>
          <w:p w:rsidR="000241AC" w:rsidRPr="000241AC" w:rsidRDefault="000241AC" w:rsidP="000241AC">
            <w:pPr>
              <w:cnfStyle w:val="000000010000" w:firstRow="0" w:lastRow="0" w:firstColumn="0" w:lastColumn="0" w:oddVBand="0" w:evenVBand="0" w:oddHBand="0" w:evenHBand="1" w:firstRowFirstColumn="0" w:firstRowLastColumn="0" w:lastRowFirstColumn="0" w:lastRowLastColumn="0"/>
            </w:pPr>
            <w:r w:rsidRPr="000241AC">
              <w:t>100.8</w:t>
            </w:r>
          </w:p>
        </w:tc>
      </w:tr>
      <w:tr w:rsidR="000241AC" w:rsidRPr="00766861" w:rsidTr="000241AC">
        <w:trPr>
          <w:trHeight w:val="306"/>
        </w:trPr>
        <w:tc>
          <w:tcPr>
            <w:cnfStyle w:val="001000000000" w:firstRow="0" w:lastRow="0" w:firstColumn="1" w:lastColumn="0" w:oddVBand="0" w:evenVBand="0" w:oddHBand="0" w:evenHBand="0" w:firstRowFirstColumn="0" w:firstRowLastColumn="0" w:lastRowFirstColumn="0" w:lastRowLastColumn="0"/>
            <w:tcW w:w="3115" w:type="pct"/>
            <w:tcBorders>
              <w:top w:val="nil"/>
              <w:left w:val="nil"/>
              <w:bottom w:val="single" w:sz="4" w:space="0" w:color="365F91"/>
              <w:right w:val="nil"/>
            </w:tcBorders>
            <w:noWrap/>
            <w:hideMark/>
          </w:tcPr>
          <w:p w:rsidR="000241AC" w:rsidRPr="00766861" w:rsidRDefault="000241AC" w:rsidP="00766861">
            <w:r w:rsidRPr="00766861">
              <w:t>Closing RAB</w:t>
            </w:r>
          </w:p>
        </w:tc>
        <w:tc>
          <w:tcPr>
            <w:tcW w:w="943" w:type="pct"/>
            <w:tcBorders>
              <w:top w:val="nil"/>
              <w:left w:val="nil"/>
              <w:bottom w:val="single" w:sz="4" w:space="0" w:color="365F91"/>
              <w:right w:val="nil"/>
            </w:tcBorders>
            <w:noWrap/>
            <w:vAlign w:val="bottom"/>
          </w:tcPr>
          <w:p w:rsidR="000241AC" w:rsidRPr="00766861" w:rsidRDefault="000241AC" w:rsidP="00766861">
            <w:pPr>
              <w:cnfStyle w:val="000000000000" w:firstRow="0" w:lastRow="0" w:firstColumn="0" w:lastColumn="0" w:oddVBand="0" w:evenVBand="0" w:oddHBand="0" w:evenHBand="0" w:firstRowFirstColumn="0" w:firstRowLastColumn="0" w:lastRowFirstColumn="0" w:lastRowLastColumn="0"/>
            </w:pPr>
            <w:r w:rsidRPr="00766861">
              <w:t>1705.7</w:t>
            </w:r>
          </w:p>
        </w:tc>
        <w:tc>
          <w:tcPr>
            <w:tcW w:w="943" w:type="pct"/>
            <w:tcBorders>
              <w:top w:val="nil"/>
              <w:left w:val="nil"/>
              <w:bottom w:val="single" w:sz="4" w:space="0" w:color="365F91"/>
              <w:right w:val="nil"/>
            </w:tcBorders>
            <w:noWrap/>
            <w:vAlign w:val="bottom"/>
          </w:tcPr>
          <w:p w:rsidR="000241AC" w:rsidRPr="00766861" w:rsidRDefault="000241AC" w:rsidP="00766861">
            <w:pPr>
              <w:cnfStyle w:val="000000000000" w:firstRow="0" w:lastRow="0" w:firstColumn="0" w:lastColumn="0" w:oddVBand="0" w:evenVBand="0" w:oddHBand="0" w:evenHBand="0" w:firstRowFirstColumn="0" w:firstRowLastColumn="0" w:lastRowFirstColumn="0" w:lastRowLastColumn="0"/>
            </w:pPr>
            <w:r w:rsidRPr="00766861">
              <w:t>1753.9</w:t>
            </w:r>
          </w:p>
        </w:tc>
      </w:tr>
    </w:tbl>
    <w:p w:rsidR="003328C1" w:rsidRDefault="003328C1" w:rsidP="003328C1">
      <w:pPr>
        <w:pStyle w:val="AERtablesource"/>
      </w:pPr>
      <w:r>
        <w:t>Source:</w:t>
      </w:r>
      <w:r>
        <w:tab/>
        <w:t>AER analysis.</w:t>
      </w:r>
    </w:p>
    <w:p w:rsidR="003328C1" w:rsidRDefault="003328C1" w:rsidP="003328C1">
      <w:pPr>
        <w:pStyle w:val="AERtablesource"/>
      </w:pPr>
      <w:r>
        <w:t>(a)</w:t>
      </w:r>
      <w:r>
        <w:tab/>
      </w:r>
      <w:r w:rsidRPr="00A449A3">
        <w:t xml:space="preserve">Net of </w:t>
      </w:r>
      <w:r>
        <w:t xml:space="preserve">forecast </w:t>
      </w:r>
      <w:r w:rsidRPr="00A449A3">
        <w:t xml:space="preserve">disposals and </w:t>
      </w:r>
      <w:r>
        <w:t xml:space="preserve">capital contributions. </w:t>
      </w:r>
      <w:r w:rsidRPr="00482996">
        <w:t>In accordance with the timing assumptions of the post</w:t>
      </w:r>
      <w:r>
        <w:t>-</w:t>
      </w:r>
      <w:r w:rsidRPr="00482996">
        <w:t>tax revenue model (PTRM), the capex includes a half-WACC allowance to compensate for the six month period before capex is added to the RAB for revenue modelling.</w:t>
      </w:r>
    </w:p>
    <w:p w:rsidR="00E4749D" w:rsidRPr="00E4749D" w:rsidRDefault="00E4749D" w:rsidP="00E4749D">
      <w:r w:rsidRPr="001B4D9B">
        <w:lastRenderedPageBreak/>
        <w:t xml:space="preserve">We </w:t>
      </w:r>
      <w:r>
        <w:t>accept TasNetworks' proposal</w:t>
      </w:r>
      <w:r w:rsidRPr="001B4D9B">
        <w:t xml:space="preserve"> that the forecast depreciation approach </w:t>
      </w:r>
      <w:r>
        <w:t xml:space="preserve">(instead of an actual depreciation approach) </w:t>
      </w:r>
      <w:r w:rsidRPr="001B4D9B">
        <w:t>is to be used to establish the opening RAB at the commencement of the 20</w:t>
      </w:r>
      <w:r>
        <w:t>19</w:t>
      </w:r>
      <w:r w:rsidRPr="001B4D9B">
        <w:t>–2</w:t>
      </w:r>
      <w:r>
        <w:t>4</w:t>
      </w:r>
      <w:r w:rsidRPr="001B4D9B">
        <w:t xml:space="preserve"> regulatory control period.</w:t>
      </w:r>
      <w:r>
        <w:rPr>
          <w:rStyle w:val="FootnoteReference"/>
        </w:rPr>
        <w:footnoteReference w:id="5"/>
      </w:r>
      <w:r>
        <w:rPr>
          <w:rStyle w:val="FootnoteReference"/>
        </w:rPr>
        <w:t xml:space="preserve"> </w:t>
      </w:r>
      <w:r>
        <w:t xml:space="preserve"> </w:t>
      </w:r>
      <w:r w:rsidRPr="005954CE">
        <w:t xml:space="preserve">We consider this approach will provide sufficient incentives for </w:t>
      </w:r>
      <w:r>
        <w:t>TasNetworks</w:t>
      </w:r>
      <w:r w:rsidRPr="005954CE">
        <w:t xml:space="preserve"> to achieve capex efficiency gains over </w:t>
      </w:r>
      <w:r>
        <w:t xml:space="preserve">the 2017–19 regulatory control </w:t>
      </w:r>
      <w:proofErr w:type="gramStart"/>
      <w:r>
        <w:t>period</w:t>
      </w:r>
      <w:proofErr w:type="gramEnd"/>
      <w:r w:rsidRPr="005954CE">
        <w:t xml:space="preserve">. </w:t>
      </w:r>
    </w:p>
    <w:p w:rsidR="00132D43" w:rsidRDefault="004523B2" w:rsidP="00132D43">
      <w:pPr>
        <w:pStyle w:val="Heading2"/>
      </w:pPr>
      <w:bookmarkStart w:id="75" w:name="_Toc462753581"/>
      <w:r>
        <w:t>TasNetworks'</w:t>
      </w:r>
      <w:r w:rsidR="00132D43">
        <w:t xml:space="preserve"> proposal</w:t>
      </w:r>
      <w:bookmarkEnd w:id="75"/>
    </w:p>
    <w:p w:rsidR="00BA416F" w:rsidRPr="00A449A3" w:rsidRDefault="00BA416F" w:rsidP="00BA416F">
      <w:pPr>
        <w:numPr>
          <w:ilvl w:val="0"/>
          <w:numId w:val="24"/>
        </w:numPr>
      </w:pPr>
      <w:r>
        <w:t>TasNetworks</w:t>
      </w:r>
      <w:r w:rsidRPr="00A449A3">
        <w:t xml:space="preserve"> used our </w:t>
      </w:r>
      <w:r w:rsidR="00E4749D">
        <w:t>roll forward model (</w:t>
      </w:r>
      <w:r w:rsidRPr="00A449A3">
        <w:t>RFM</w:t>
      </w:r>
      <w:r w:rsidR="00E4749D">
        <w:t>)</w:t>
      </w:r>
      <w:r w:rsidRPr="00A449A3">
        <w:t xml:space="preserve"> to establish an opening RAB as at </w:t>
      </w:r>
      <w:r>
        <w:t>1</w:t>
      </w:r>
      <w:r w:rsidR="00B0649E">
        <w:t> </w:t>
      </w:r>
      <w:r w:rsidR="00264320">
        <w:t>July 2017</w:t>
      </w:r>
      <w:r w:rsidRPr="00A449A3">
        <w:t xml:space="preserve"> and our </w:t>
      </w:r>
      <w:r w:rsidR="00E4749D">
        <w:t>post-tax revenue model (</w:t>
      </w:r>
      <w:r w:rsidRPr="00A449A3">
        <w:t>PTRM</w:t>
      </w:r>
      <w:r w:rsidR="00E4749D">
        <w:t>)</w:t>
      </w:r>
      <w:r w:rsidRPr="00A449A3">
        <w:t xml:space="preserve"> to roll forward the RAB over the </w:t>
      </w:r>
      <w:r w:rsidR="00264320">
        <w:t>2017–19</w:t>
      </w:r>
      <w:r w:rsidRPr="00A449A3">
        <w:t xml:space="preserve"> regulatory control period.</w:t>
      </w:r>
    </w:p>
    <w:p w:rsidR="00BA416F" w:rsidRPr="00A449A3" w:rsidRDefault="00BA416F" w:rsidP="00BA416F">
      <w:pPr>
        <w:numPr>
          <w:ilvl w:val="0"/>
          <w:numId w:val="24"/>
        </w:numPr>
      </w:pPr>
      <w:r>
        <w:t>TasNetworks</w:t>
      </w:r>
      <w:r w:rsidRPr="00A449A3">
        <w:t xml:space="preserve"> proposed an opening RAB value as at 1 </w:t>
      </w:r>
      <w:r>
        <w:t>J</w:t>
      </w:r>
      <w:r w:rsidR="004D5284">
        <w:t>uly</w:t>
      </w:r>
      <w:r>
        <w:t xml:space="preserve"> 201</w:t>
      </w:r>
      <w:r w:rsidR="004D5284">
        <w:t>2</w:t>
      </w:r>
      <w:r w:rsidRPr="00A449A3">
        <w:t xml:space="preserve"> of $</w:t>
      </w:r>
      <w:r w:rsidR="001C2AD4">
        <w:t>1445.2</w:t>
      </w:r>
      <w:r w:rsidRPr="00A449A3">
        <w:t xml:space="preserve"> million ($ nominal).</w:t>
      </w:r>
      <w:r w:rsidR="00E4749D" w:rsidRPr="00A449A3">
        <w:rPr>
          <w:rStyle w:val="FootnoteReference"/>
        </w:rPr>
        <w:footnoteReference w:id="6"/>
      </w:r>
      <w:r w:rsidRPr="00A449A3">
        <w:t xml:space="preserve"> Rolling forward this RAB and using depreciation based on actual capex, </w:t>
      </w:r>
      <w:r>
        <w:t>TasNetworks</w:t>
      </w:r>
      <w:r w:rsidRPr="00A449A3">
        <w:t xml:space="preserve"> proposed a closing RAB as at </w:t>
      </w:r>
      <w:r>
        <w:t>3</w:t>
      </w:r>
      <w:r w:rsidR="004D5284">
        <w:t>0</w:t>
      </w:r>
      <w:r>
        <w:t xml:space="preserve"> </w:t>
      </w:r>
      <w:r w:rsidR="004D5284">
        <w:t>June</w:t>
      </w:r>
      <w:r>
        <w:t xml:space="preserve"> 201</w:t>
      </w:r>
      <w:r w:rsidR="004D5284">
        <w:t>7</w:t>
      </w:r>
      <w:r w:rsidRPr="00A449A3">
        <w:t xml:space="preserve"> of $</w:t>
      </w:r>
      <w:r w:rsidR="001C2AD4">
        <w:t>1646.7</w:t>
      </w:r>
      <w:r w:rsidRPr="00A449A3">
        <w:t xml:space="preserve"> million ($ nominal).</w:t>
      </w:r>
      <w:r w:rsidR="00072879">
        <w:t xml:space="preserve"> It has also adjusted the capex for 2011–12 and 2012–17 regulatory control period for movements in </w:t>
      </w:r>
      <w:r w:rsidR="00B0649E">
        <w:t xml:space="preserve">capitalised </w:t>
      </w:r>
      <w:r w:rsidR="00072879">
        <w:t>provisions.</w:t>
      </w:r>
      <w:r w:rsidR="00072879">
        <w:rPr>
          <w:rStyle w:val="FootnoteReference"/>
        </w:rPr>
        <w:footnoteReference w:id="7"/>
      </w:r>
      <w:r w:rsidRPr="00A449A3">
        <w:t xml:space="preserve"> </w:t>
      </w:r>
      <w:r w:rsidRPr="00A449A3">
        <w:fldChar w:fldCharType="begin"/>
      </w:r>
      <w:r w:rsidRPr="00A449A3">
        <w:instrText xml:space="preserve"> REF _Ref393095893 \h </w:instrText>
      </w:r>
      <w:r w:rsidRPr="00A449A3">
        <w:fldChar w:fldCharType="separate"/>
      </w:r>
      <w:r w:rsidR="00F62F16" w:rsidRPr="00A449A3">
        <w:t xml:space="preserve">Table </w:t>
      </w:r>
      <w:r w:rsidR="00F62F16">
        <w:rPr>
          <w:noProof/>
        </w:rPr>
        <w:t>2</w:t>
      </w:r>
      <w:r w:rsidR="00F62F16" w:rsidRPr="00A449A3">
        <w:t>.</w:t>
      </w:r>
      <w:r w:rsidR="00F62F16">
        <w:rPr>
          <w:noProof/>
        </w:rPr>
        <w:t>3</w:t>
      </w:r>
      <w:r w:rsidRPr="00A449A3">
        <w:fldChar w:fldCharType="end"/>
      </w:r>
      <w:r w:rsidRPr="00A449A3">
        <w:t xml:space="preserve"> presents </w:t>
      </w:r>
      <w:r>
        <w:t>TasNetworks'</w:t>
      </w:r>
      <w:r w:rsidRPr="00A449A3">
        <w:t xml:space="preserve"> proposed roll forward of its RAB during the </w:t>
      </w:r>
      <w:r>
        <w:t>201</w:t>
      </w:r>
      <w:r w:rsidR="004D5284">
        <w:t>2</w:t>
      </w:r>
      <w:r>
        <w:t>–1</w:t>
      </w:r>
      <w:r w:rsidR="004D5284">
        <w:t>7</w:t>
      </w:r>
      <w:r w:rsidRPr="00A449A3">
        <w:t xml:space="preserve"> regulatory control period. </w:t>
      </w:r>
    </w:p>
    <w:p w:rsidR="00BA416F" w:rsidRPr="00A449A3" w:rsidRDefault="00BA416F" w:rsidP="00BA416F">
      <w:pPr>
        <w:pStyle w:val="Caption"/>
      </w:pPr>
      <w:bookmarkStart w:id="76" w:name="_Ref393095893"/>
      <w:proofErr w:type="gramStart"/>
      <w:r w:rsidRPr="00A449A3">
        <w:t xml:space="preserve">Table </w:t>
      </w:r>
      <w:fldSimple w:instr=" STYLEREF 1 \s ">
        <w:r w:rsidR="00F62F16">
          <w:rPr>
            <w:noProof/>
          </w:rPr>
          <w:t>2</w:t>
        </w:r>
      </w:fldSimple>
      <w:r w:rsidRPr="00A449A3">
        <w:t>.</w:t>
      </w:r>
      <w:proofErr w:type="gramEnd"/>
      <w:r w:rsidRPr="00BA416F">
        <w:fldChar w:fldCharType="begin"/>
      </w:r>
      <w:r>
        <w:instrText xml:space="preserve"> SEQ Table \* ARABIC \s 1 </w:instrText>
      </w:r>
      <w:r w:rsidRPr="00BA416F">
        <w:fldChar w:fldCharType="separate"/>
      </w:r>
      <w:r w:rsidR="00F62F16">
        <w:rPr>
          <w:noProof/>
        </w:rPr>
        <w:t>3</w:t>
      </w:r>
      <w:r w:rsidRPr="00BA416F">
        <w:fldChar w:fldCharType="end"/>
      </w:r>
      <w:bookmarkEnd w:id="76"/>
      <w:r w:rsidRPr="00A449A3">
        <w:tab/>
      </w:r>
      <w:r>
        <w:t>TasNetworks'</w:t>
      </w:r>
      <w:r w:rsidRPr="00A449A3">
        <w:t xml:space="preserve"> proposed RAB for the </w:t>
      </w:r>
      <w:r w:rsidR="007B0D12">
        <w:t>2012–17</w:t>
      </w:r>
      <w:r w:rsidRPr="00A449A3">
        <w:t xml:space="preserve"> regulatory control period ($million, nominal)</w:t>
      </w:r>
    </w:p>
    <w:tbl>
      <w:tblPr>
        <w:tblStyle w:val="AERtable-numbers"/>
        <w:tblW w:w="8715" w:type="dxa"/>
        <w:tblLayout w:type="fixed"/>
        <w:tblLook w:val="04A0" w:firstRow="1" w:lastRow="0" w:firstColumn="1" w:lastColumn="0" w:noHBand="0" w:noVBand="1"/>
      </w:tblPr>
      <w:tblGrid>
        <w:gridCol w:w="4056"/>
        <w:gridCol w:w="931"/>
        <w:gridCol w:w="233"/>
        <w:gridCol w:w="699"/>
        <w:gridCol w:w="466"/>
        <w:gridCol w:w="465"/>
        <w:gridCol w:w="700"/>
        <w:gridCol w:w="232"/>
        <w:gridCol w:w="933"/>
      </w:tblGrid>
      <w:tr w:rsidR="004D5284" w:rsidTr="0075119B">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4D5284" w:rsidRPr="004D5284" w:rsidRDefault="004D5284" w:rsidP="004D5284">
            <w:r w:rsidRPr="00502417">
              <w:t> </w:t>
            </w:r>
          </w:p>
        </w:tc>
        <w:tc>
          <w:tcPr>
            <w:tcW w:w="931" w:type="dxa"/>
            <w:tcBorders>
              <w:top w:val="nil"/>
              <w:left w:val="nil"/>
              <w:bottom w:val="nil"/>
              <w:right w:val="nil"/>
            </w:tcBorders>
            <w:noWrap/>
            <w:hideMark/>
          </w:tcPr>
          <w:p w:rsidR="004D5284" w:rsidRPr="004D5284" w:rsidRDefault="004D5284" w:rsidP="004D5284">
            <w:pPr>
              <w:cnfStyle w:val="100000000000" w:firstRow="1" w:lastRow="0" w:firstColumn="0" w:lastColumn="0" w:oddVBand="0" w:evenVBand="0" w:oddHBand="0" w:evenHBand="0" w:firstRowFirstColumn="0" w:firstRowLastColumn="0" w:lastRowFirstColumn="0" w:lastRowLastColumn="0"/>
            </w:pPr>
            <w:r>
              <w:t>2012–13</w:t>
            </w:r>
          </w:p>
        </w:tc>
        <w:tc>
          <w:tcPr>
            <w:tcW w:w="932" w:type="dxa"/>
            <w:gridSpan w:val="2"/>
            <w:tcBorders>
              <w:top w:val="nil"/>
              <w:left w:val="nil"/>
              <w:bottom w:val="nil"/>
              <w:right w:val="nil"/>
            </w:tcBorders>
            <w:noWrap/>
            <w:hideMark/>
          </w:tcPr>
          <w:p w:rsidR="004D5284" w:rsidRPr="004D5284" w:rsidRDefault="004D5284" w:rsidP="004D5284">
            <w:pPr>
              <w:cnfStyle w:val="100000000000" w:firstRow="1" w:lastRow="0" w:firstColumn="0" w:lastColumn="0" w:oddVBand="0" w:evenVBand="0" w:oddHBand="0" w:evenHBand="0" w:firstRowFirstColumn="0" w:firstRowLastColumn="0" w:lastRowFirstColumn="0" w:lastRowLastColumn="0"/>
            </w:pPr>
            <w:r>
              <w:t>2013–14</w:t>
            </w:r>
          </w:p>
        </w:tc>
        <w:tc>
          <w:tcPr>
            <w:tcW w:w="931" w:type="dxa"/>
            <w:gridSpan w:val="2"/>
            <w:tcBorders>
              <w:top w:val="nil"/>
              <w:left w:val="nil"/>
              <w:bottom w:val="nil"/>
              <w:right w:val="nil"/>
            </w:tcBorders>
            <w:noWrap/>
            <w:hideMark/>
          </w:tcPr>
          <w:p w:rsidR="004D5284" w:rsidRPr="004D5284" w:rsidRDefault="004D5284" w:rsidP="004D5284">
            <w:pPr>
              <w:cnfStyle w:val="100000000000" w:firstRow="1" w:lastRow="0" w:firstColumn="0" w:lastColumn="0" w:oddVBand="0" w:evenVBand="0" w:oddHBand="0" w:evenHBand="0" w:firstRowFirstColumn="0" w:firstRowLastColumn="0" w:lastRowFirstColumn="0" w:lastRowLastColumn="0"/>
            </w:pPr>
            <w:r>
              <w:t>2014–15</w:t>
            </w:r>
          </w:p>
        </w:tc>
        <w:tc>
          <w:tcPr>
            <w:tcW w:w="932" w:type="dxa"/>
            <w:gridSpan w:val="2"/>
            <w:tcBorders>
              <w:top w:val="nil"/>
              <w:left w:val="nil"/>
              <w:bottom w:val="nil"/>
              <w:right w:val="nil"/>
            </w:tcBorders>
            <w:noWrap/>
            <w:hideMark/>
          </w:tcPr>
          <w:p w:rsidR="004D5284" w:rsidRPr="00BA3924" w:rsidRDefault="004D5284" w:rsidP="004D5284">
            <w:pPr>
              <w:cnfStyle w:val="100000000000" w:firstRow="1" w:lastRow="0" w:firstColumn="0" w:lastColumn="0" w:oddVBand="0" w:evenVBand="0" w:oddHBand="0" w:evenHBand="0" w:firstRowFirstColumn="0" w:firstRowLastColumn="0" w:lastRowFirstColumn="0" w:lastRowLastColumn="0"/>
              <w:rPr>
                <w:rStyle w:val="AERsuperscript"/>
              </w:rPr>
            </w:pPr>
            <w:r>
              <w:t>2015–16</w:t>
            </w:r>
            <w:r w:rsidR="00AD6C56">
              <w:rPr>
                <w:rStyle w:val="AERsuperscript"/>
              </w:rPr>
              <w:t>a</w:t>
            </w:r>
          </w:p>
        </w:tc>
        <w:tc>
          <w:tcPr>
            <w:tcW w:w="932" w:type="dxa"/>
            <w:tcBorders>
              <w:top w:val="nil"/>
              <w:left w:val="nil"/>
              <w:bottom w:val="nil"/>
              <w:right w:val="nil"/>
            </w:tcBorders>
            <w:noWrap/>
            <w:hideMark/>
          </w:tcPr>
          <w:p w:rsidR="004D5284" w:rsidRPr="004D5284" w:rsidRDefault="004D5284" w:rsidP="004D5284">
            <w:pPr>
              <w:cnfStyle w:val="100000000000" w:firstRow="1" w:lastRow="0" w:firstColumn="0" w:lastColumn="0" w:oddVBand="0" w:evenVBand="0" w:oddHBand="0" w:evenHBand="0" w:firstRowFirstColumn="0" w:firstRowLastColumn="0" w:lastRowFirstColumn="0" w:lastRowLastColumn="0"/>
            </w:pPr>
            <w:r>
              <w:t>2016–17</w:t>
            </w:r>
            <w:r w:rsidRPr="004D5284">
              <w:rPr>
                <w:rStyle w:val="AERsuperscript"/>
              </w:rPr>
              <w:t>a</w:t>
            </w:r>
          </w:p>
        </w:tc>
      </w:tr>
      <w:tr w:rsidR="008B0764" w:rsidTr="0075119B">
        <w:trPr>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8B0764" w:rsidRDefault="008B0764" w:rsidP="008B0764">
            <w:r w:rsidRPr="008B0764">
              <w:t>Opening RAB</w:t>
            </w:r>
          </w:p>
        </w:tc>
        <w:tc>
          <w:tcPr>
            <w:tcW w:w="931" w:type="dxa"/>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1445.2</w:t>
            </w:r>
          </w:p>
        </w:tc>
        <w:tc>
          <w:tcPr>
            <w:tcW w:w="932"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1486.9</w:t>
            </w:r>
          </w:p>
        </w:tc>
        <w:tc>
          <w:tcPr>
            <w:tcW w:w="931"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1539.3</w:t>
            </w:r>
          </w:p>
        </w:tc>
        <w:tc>
          <w:tcPr>
            <w:tcW w:w="932"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1557.0</w:t>
            </w:r>
          </w:p>
        </w:tc>
        <w:tc>
          <w:tcPr>
            <w:tcW w:w="932" w:type="dxa"/>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1625.5</w:t>
            </w:r>
          </w:p>
        </w:tc>
      </w:tr>
      <w:tr w:rsidR="008B0764" w:rsidTr="0075119B">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8B0764" w:rsidRDefault="008B0764" w:rsidP="008B0764">
            <w:r w:rsidRPr="008B0764">
              <w:t xml:space="preserve">Capital </w:t>
            </w:r>
            <w:proofErr w:type="spellStart"/>
            <w:r w:rsidRPr="008B0764">
              <w:t>expenditure</w:t>
            </w:r>
            <w:r w:rsidRPr="008B0764">
              <w:rPr>
                <w:rStyle w:val="AERsuperscript"/>
              </w:rPr>
              <w:t>b</w:t>
            </w:r>
            <w:proofErr w:type="spellEnd"/>
          </w:p>
        </w:tc>
        <w:tc>
          <w:tcPr>
            <w:tcW w:w="931" w:type="dxa"/>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89.3</w:t>
            </w:r>
          </w:p>
        </w:tc>
        <w:tc>
          <w:tcPr>
            <w:tcW w:w="932" w:type="dxa"/>
            <w:gridSpan w:val="2"/>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99.8</w:t>
            </w:r>
          </w:p>
        </w:tc>
        <w:tc>
          <w:tcPr>
            <w:tcW w:w="931" w:type="dxa"/>
            <w:gridSpan w:val="2"/>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89.2</w:t>
            </w:r>
          </w:p>
        </w:tc>
        <w:tc>
          <w:tcPr>
            <w:tcW w:w="932" w:type="dxa"/>
            <w:gridSpan w:val="2"/>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114.9</w:t>
            </w:r>
          </w:p>
        </w:tc>
        <w:tc>
          <w:tcPr>
            <w:tcW w:w="932" w:type="dxa"/>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125.7</w:t>
            </w:r>
          </w:p>
        </w:tc>
      </w:tr>
      <w:tr w:rsidR="008B0764" w:rsidTr="0075119B">
        <w:trPr>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8B0764" w:rsidRDefault="008B0764" w:rsidP="008B0764">
            <w:r w:rsidRPr="008B0764">
              <w:t>Inflation indexation on opening RAB</w:t>
            </w:r>
          </w:p>
        </w:tc>
        <w:tc>
          <w:tcPr>
            <w:tcW w:w="931" w:type="dxa"/>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36.2</w:t>
            </w:r>
          </w:p>
        </w:tc>
        <w:tc>
          <w:tcPr>
            <w:tcW w:w="932"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43.6</w:t>
            </w:r>
          </w:p>
        </w:tc>
        <w:tc>
          <w:tcPr>
            <w:tcW w:w="931"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20.4</w:t>
            </w:r>
          </w:p>
        </w:tc>
        <w:tc>
          <w:tcPr>
            <w:tcW w:w="932"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38.9</w:t>
            </w:r>
          </w:p>
        </w:tc>
        <w:tc>
          <w:tcPr>
            <w:tcW w:w="932" w:type="dxa"/>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40.6</w:t>
            </w:r>
          </w:p>
        </w:tc>
      </w:tr>
      <w:tr w:rsidR="008B0764" w:rsidTr="0075119B">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BA3924" w:rsidRDefault="008B0764" w:rsidP="008B0764">
            <w:pPr>
              <w:rPr>
                <w:rStyle w:val="AERsuperscript"/>
              </w:rPr>
            </w:pPr>
            <w:r w:rsidRPr="008B0764">
              <w:rPr>
                <w:rStyle w:val="AERtextitalic"/>
              </w:rPr>
              <w:t>Less</w:t>
            </w:r>
            <w:r w:rsidRPr="008B0764">
              <w:t xml:space="preserve">: straight-line </w:t>
            </w:r>
            <w:proofErr w:type="spellStart"/>
            <w:r w:rsidRPr="008B0764">
              <w:t>depreciation</w:t>
            </w:r>
            <w:r w:rsidR="00AD6C56">
              <w:rPr>
                <w:rStyle w:val="AERsuperscript"/>
              </w:rPr>
              <w:t>c</w:t>
            </w:r>
            <w:proofErr w:type="spellEnd"/>
          </w:p>
        </w:tc>
        <w:tc>
          <w:tcPr>
            <w:tcW w:w="931" w:type="dxa"/>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83.8</w:t>
            </w:r>
          </w:p>
        </w:tc>
        <w:tc>
          <w:tcPr>
            <w:tcW w:w="932" w:type="dxa"/>
            <w:gridSpan w:val="2"/>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90.9</w:t>
            </w:r>
          </w:p>
        </w:tc>
        <w:tc>
          <w:tcPr>
            <w:tcW w:w="931" w:type="dxa"/>
            <w:gridSpan w:val="2"/>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91.9</w:t>
            </w:r>
          </w:p>
        </w:tc>
        <w:tc>
          <w:tcPr>
            <w:tcW w:w="932" w:type="dxa"/>
            <w:gridSpan w:val="2"/>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85.4</w:t>
            </w:r>
          </w:p>
        </w:tc>
        <w:tc>
          <w:tcPr>
            <w:tcW w:w="932" w:type="dxa"/>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88.6</w:t>
            </w:r>
          </w:p>
        </w:tc>
      </w:tr>
      <w:tr w:rsidR="008B0764" w:rsidRPr="00A151D4" w:rsidTr="0075119B">
        <w:trPr>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8B0764" w:rsidRDefault="008B0764" w:rsidP="008B0764">
            <w:r w:rsidRPr="008B0764">
              <w:t>Closing RAB</w:t>
            </w:r>
          </w:p>
        </w:tc>
        <w:tc>
          <w:tcPr>
            <w:tcW w:w="931" w:type="dxa"/>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1486.9</w:t>
            </w:r>
          </w:p>
        </w:tc>
        <w:tc>
          <w:tcPr>
            <w:tcW w:w="932"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1539.3</w:t>
            </w:r>
          </w:p>
        </w:tc>
        <w:tc>
          <w:tcPr>
            <w:tcW w:w="931"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1557.0</w:t>
            </w:r>
          </w:p>
        </w:tc>
        <w:tc>
          <w:tcPr>
            <w:tcW w:w="932"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1625.5</w:t>
            </w:r>
          </w:p>
        </w:tc>
        <w:tc>
          <w:tcPr>
            <w:tcW w:w="932" w:type="dxa"/>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1703.1</w:t>
            </w:r>
          </w:p>
        </w:tc>
      </w:tr>
      <w:tr w:rsidR="008B0764" w:rsidTr="0075119B">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8B0764" w:rsidRDefault="008B0764" w:rsidP="00AD6C56">
            <w:r w:rsidRPr="008B0764">
              <w:t xml:space="preserve">Difference between estimated and actual </w:t>
            </w:r>
            <w:r w:rsidR="00AD6C56" w:rsidRPr="00176E52">
              <w:t>20</w:t>
            </w:r>
            <w:r w:rsidR="00AD6C56" w:rsidRPr="00AD6C56">
              <w:t>11–12 capex (1 July 2011 to 30 June 2012)</w:t>
            </w:r>
          </w:p>
        </w:tc>
        <w:tc>
          <w:tcPr>
            <w:tcW w:w="2329" w:type="dxa"/>
            <w:gridSpan w:val="4"/>
            <w:tcBorders>
              <w:top w:val="nil"/>
              <w:left w:val="nil"/>
              <w:bottom w:val="nil"/>
              <w:right w:val="nil"/>
            </w:tcBorders>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p>
        </w:tc>
        <w:tc>
          <w:tcPr>
            <w:tcW w:w="2330" w:type="dxa"/>
            <w:gridSpan w:val="4"/>
            <w:tcBorders>
              <w:top w:val="nil"/>
              <w:left w:val="nil"/>
              <w:bottom w:val="nil"/>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pPr>
            <w:r w:rsidRPr="008B0764">
              <w:t>–38.4</w:t>
            </w:r>
          </w:p>
        </w:tc>
      </w:tr>
      <w:tr w:rsidR="008B0764" w:rsidTr="0075119B">
        <w:trPr>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nil"/>
              <w:right w:val="nil"/>
            </w:tcBorders>
            <w:noWrap/>
            <w:hideMark/>
          </w:tcPr>
          <w:p w:rsidR="008B0764" w:rsidRPr="008B0764" w:rsidRDefault="008B0764" w:rsidP="008B0764">
            <w:r w:rsidRPr="008B0764">
              <w:t>Return on difference for 2011–12 capex</w:t>
            </w:r>
          </w:p>
        </w:tc>
        <w:tc>
          <w:tcPr>
            <w:tcW w:w="1164" w:type="dxa"/>
            <w:gridSpan w:val="2"/>
            <w:tcBorders>
              <w:top w:val="nil"/>
              <w:left w:val="nil"/>
              <w:bottom w:val="nil"/>
              <w:right w:val="nil"/>
            </w:tcBorders>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p>
        </w:tc>
        <w:tc>
          <w:tcPr>
            <w:tcW w:w="1165"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p>
        </w:tc>
        <w:tc>
          <w:tcPr>
            <w:tcW w:w="1165"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p>
        </w:tc>
        <w:tc>
          <w:tcPr>
            <w:tcW w:w="1165" w:type="dxa"/>
            <w:gridSpan w:val="2"/>
            <w:tcBorders>
              <w:top w:val="nil"/>
              <w:left w:val="nil"/>
              <w:bottom w:val="nil"/>
              <w:right w:val="nil"/>
            </w:tcBorders>
            <w:noWrap/>
            <w:vAlign w:val="bottom"/>
          </w:tcPr>
          <w:p w:rsidR="008B0764" w:rsidRPr="008B0764" w:rsidRDefault="008B0764" w:rsidP="008B0764">
            <w:pPr>
              <w:cnfStyle w:val="000000000000" w:firstRow="0" w:lastRow="0" w:firstColumn="0" w:lastColumn="0" w:oddVBand="0" w:evenVBand="0" w:oddHBand="0" w:evenHBand="0" w:firstRowFirstColumn="0" w:firstRowLastColumn="0" w:lastRowFirstColumn="0" w:lastRowLastColumn="0"/>
            </w:pPr>
            <w:r w:rsidRPr="008B0764">
              <w:t>–18.0</w:t>
            </w:r>
          </w:p>
        </w:tc>
      </w:tr>
      <w:tr w:rsidR="008B0764" w:rsidTr="0075119B">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056" w:type="dxa"/>
            <w:tcBorders>
              <w:top w:val="nil"/>
              <w:left w:val="nil"/>
              <w:bottom w:val="single" w:sz="4" w:space="0" w:color="365F91"/>
              <w:right w:val="nil"/>
            </w:tcBorders>
            <w:noWrap/>
            <w:hideMark/>
          </w:tcPr>
          <w:p w:rsidR="008B0764" w:rsidRPr="008B0764" w:rsidRDefault="00AD6C56" w:rsidP="00B0649E">
            <w:pPr>
              <w:rPr>
                <w:rStyle w:val="Strong"/>
              </w:rPr>
            </w:pPr>
            <w:r>
              <w:rPr>
                <w:rStyle w:val="Strong"/>
              </w:rPr>
              <w:t>Closing</w:t>
            </w:r>
            <w:r w:rsidRPr="008B0764">
              <w:rPr>
                <w:rStyle w:val="Strong"/>
              </w:rPr>
              <w:t xml:space="preserve"> </w:t>
            </w:r>
            <w:r w:rsidR="008B0764" w:rsidRPr="008B0764">
              <w:rPr>
                <w:rStyle w:val="Strong"/>
              </w:rPr>
              <w:t xml:space="preserve">RAB as at </w:t>
            </w:r>
            <w:r w:rsidR="00B0649E">
              <w:rPr>
                <w:rStyle w:val="Strong"/>
              </w:rPr>
              <w:t>30 June</w:t>
            </w:r>
            <w:r w:rsidR="008B0764" w:rsidRPr="008B0764">
              <w:rPr>
                <w:rStyle w:val="Strong"/>
              </w:rPr>
              <w:t xml:space="preserve"> 2017</w:t>
            </w:r>
          </w:p>
        </w:tc>
        <w:tc>
          <w:tcPr>
            <w:tcW w:w="931" w:type="dxa"/>
            <w:tcBorders>
              <w:top w:val="nil"/>
              <w:left w:val="nil"/>
              <w:bottom w:val="single" w:sz="4" w:space="0" w:color="365F91"/>
              <w:right w:val="nil"/>
            </w:tcBorders>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rPr>
                <w:rStyle w:val="Strong"/>
              </w:rPr>
            </w:pPr>
          </w:p>
        </w:tc>
        <w:tc>
          <w:tcPr>
            <w:tcW w:w="932" w:type="dxa"/>
            <w:gridSpan w:val="2"/>
            <w:tcBorders>
              <w:top w:val="nil"/>
              <w:left w:val="nil"/>
              <w:bottom w:val="single" w:sz="4" w:space="0" w:color="365F91"/>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rPr>
                <w:rStyle w:val="Strong"/>
              </w:rPr>
            </w:pPr>
          </w:p>
        </w:tc>
        <w:tc>
          <w:tcPr>
            <w:tcW w:w="931" w:type="dxa"/>
            <w:gridSpan w:val="2"/>
            <w:tcBorders>
              <w:top w:val="nil"/>
              <w:left w:val="nil"/>
              <w:bottom w:val="single" w:sz="4" w:space="0" w:color="365F91"/>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rPr>
                <w:rStyle w:val="Strong"/>
              </w:rPr>
            </w:pPr>
          </w:p>
        </w:tc>
        <w:tc>
          <w:tcPr>
            <w:tcW w:w="932" w:type="dxa"/>
            <w:gridSpan w:val="2"/>
            <w:tcBorders>
              <w:top w:val="nil"/>
              <w:left w:val="nil"/>
              <w:bottom w:val="single" w:sz="4" w:space="0" w:color="365F91"/>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rPr>
                <w:rStyle w:val="Strong"/>
              </w:rPr>
            </w:pPr>
          </w:p>
        </w:tc>
        <w:tc>
          <w:tcPr>
            <w:tcW w:w="932" w:type="dxa"/>
            <w:tcBorders>
              <w:top w:val="nil"/>
              <w:left w:val="nil"/>
              <w:bottom w:val="single" w:sz="4" w:space="0" w:color="365F91"/>
              <w:right w:val="nil"/>
            </w:tcBorders>
            <w:noWrap/>
            <w:vAlign w:val="bottom"/>
          </w:tcPr>
          <w:p w:rsidR="008B0764" w:rsidRPr="008B0764" w:rsidRDefault="008B0764" w:rsidP="008B0764">
            <w:pPr>
              <w:cnfStyle w:val="000000010000" w:firstRow="0" w:lastRow="0" w:firstColumn="0" w:lastColumn="0" w:oddVBand="0" w:evenVBand="0" w:oddHBand="0" w:evenHBand="1" w:firstRowFirstColumn="0" w:firstRowLastColumn="0" w:lastRowFirstColumn="0" w:lastRowLastColumn="0"/>
              <w:rPr>
                <w:rStyle w:val="Strong"/>
              </w:rPr>
            </w:pPr>
            <w:bookmarkStart w:id="77" w:name="OLE_LINK1"/>
            <w:r w:rsidRPr="008B0764">
              <w:rPr>
                <w:rStyle w:val="Strong"/>
              </w:rPr>
              <w:t>1646.7</w:t>
            </w:r>
            <w:bookmarkEnd w:id="77"/>
          </w:p>
        </w:tc>
      </w:tr>
    </w:tbl>
    <w:p w:rsidR="00BA416F" w:rsidRDefault="00BA416F" w:rsidP="00BA416F">
      <w:pPr>
        <w:pStyle w:val="AERtablesource"/>
      </w:pPr>
      <w:r w:rsidRPr="00A449A3">
        <w:t>Source:</w:t>
      </w:r>
      <w:r w:rsidRPr="00A449A3">
        <w:tab/>
      </w:r>
      <w:r>
        <w:t>TasNetworks</w:t>
      </w:r>
      <w:r w:rsidRPr="003321D6">
        <w:t xml:space="preserve">, </w:t>
      </w:r>
      <w:r w:rsidRPr="003321D6">
        <w:rPr>
          <w:rStyle w:val="Emphasis"/>
        </w:rPr>
        <w:t>Regulatory proposal</w:t>
      </w:r>
      <w:r w:rsidRPr="003321D6">
        <w:t xml:space="preserve">, </w:t>
      </w:r>
      <w:r w:rsidR="006F49B3">
        <w:t>January 2016</w:t>
      </w:r>
      <w:r w:rsidRPr="003321D6">
        <w:t xml:space="preserve">, </w:t>
      </w:r>
      <w:r>
        <w:rPr>
          <w:rStyle w:val="Emphasis"/>
        </w:rPr>
        <w:t>RFM</w:t>
      </w:r>
      <w:r w:rsidRPr="003321D6">
        <w:t>.</w:t>
      </w:r>
    </w:p>
    <w:p w:rsidR="00BA416F" w:rsidRPr="00A449A3" w:rsidRDefault="00BA416F" w:rsidP="00BA416F">
      <w:pPr>
        <w:pStyle w:val="AERtablesource"/>
      </w:pPr>
      <w:r w:rsidRPr="00A449A3">
        <w:t>(a)</w:t>
      </w:r>
      <w:r w:rsidRPr="00A449A3">
        <w:tab/>
        <w:t>Based on estimated capex.</w:t>
      </w:r>
    </w:p>
    <w:p w:rsidR="00BA416F" w:rsidRDefault="00BA416F" w:rsidP="00BA416F">
      <w:pPr>
        <w:pStyle w:val="AERtablesource"/>
      </w:pPr>
      <w:r w:rsidRPr="00A449A3">
        <w:t>(b)</w:t>
      </w:r>
      <w:r w:rsidRPr="00A449A3">
        <w:tab/>
        <w:t xml:space="preserve">Net of disposals </w:t>
      </w:r>
      <w:r>
        <w:t xml:space="preserve">and capital contributions, </w:t>
      </w:r>
      <w:r w:rsidRPr="00A449A3">
        <w:t>and adjusted for CPI.</w:t>
      </w:r>
    </w:p>
    <w:p w:rsidR="00AD6C56" w:rsidRPr="00AD6C56" w:rsidRDefault="00AD6C56" w:rsidP="00AD6C56">
      <w:pPr>
        <w:pStyle w:val="AERtablesource"/>
      </w:pPr>
      <w:r>
        <w:t>(c)</w:t>
      </w:r>
      <w:r>
        <w:tab/>
        <w:t xml:space="preserve">Adjusted for actual CPI. </w:t>
      </w:r>
      <w:proofErr w:type="gramStart"/>
      <w:r>
        <w:t>Based on actual as-incurred capex.</w:t>
      </w:r>
      <w:proofErr w:type="gramEnd"/>
    </w:p>
    <w:p w:rsidR="00BA416F" w:rsidRDefault="00BA416F" w:rsidP="00BA416F">
      <w:pPr>
        <w:numPr>
          <w:ilvl w:val="0"/>
          <w:numId w:val="24"/>
        </w:numPr>
      </w:pPr>
      <w:r>
        <w:lastRenderedPageBreak/>
        <w:t>TasNetworks</w:t>
      </w:r>
      <w:r w:rsidRPr="00A449A3">
        <w:t xml:space="preserve"> proposed a closing forecast RAB as at </w:t>
      </w:r>
      <w:r>
        <w:t>3</w:t>
      </w:r>
      <w:r w:rsidR="004D5284">
        <w:t>0</w:t>
      </w:r>
      <w:r>
        <w:t xml:space="preserve"> </w:t>
      </w:r>
      <w:r w:rsidR="004D5284">
        <w:t>June</w:t>
      </w:r>
      <w:r>
        <w:t xml:space="preserve"> 20</w:t>
      </w:r>
      <w:r w:rsidR="004D5284">
        <w:t>19</w:t>
      </w:r>
      <w:r w:rsidRPr="00A449A3">
        <w:t xml:space="preserve"> of $</w:t>
      </w:r>
      <w:r w:rsidR="00580DE8">
        <w:t>1763.2</w:t>
      </w:r>
      <w:r w:rsidRPr="00A449A3">
        <w:t xml:space="preserve"> million ($ nominal). This value reflects its proposed opening RAB, forecast capex, </w:t>
      </w:r>
      <w:r w:rsidR="00AD6C56">
        <w:t xml:space="preserve">expected </w:t>
      </w:r>
      <w:r w:rsidRPr="00A449A3">
        <w:t>inflation</w:t>
      </w:r>
      <w:r>
        <w:t>,</w:t>
      </w:r>
      <w:r w:rsidRPr="00A449A3">
        <w:t xml:space="preserve"> and depreciation (based on forecast capex) over the </w:t>
      </w:r>
      <w:r w:rsidR="00264320">
        <w:t>2017–19</w:t>
      </w:r>
      <w:r w:rsidRPr="00A449A3">
        <w:t xml:space="preserve"> regulatory control </w:t>
      </w:r>
      <w:proofErr w:type="gramStart"/>
      <w:r w:rsidRPr="00A449A3">
        <w:t>period</w:t>
      </w:r>
      <w:proofErr w:type="gramEnd"/>
      <w:r w:rsidRPr="00A449A3">
        <w:t xml:space="preserve">. Its projected RAB over the </w:t>
      </w:r>
      <w:r w:rsidR="00264320">
        <w:t>2017–19</w:t>
      </w:r>
      <w:r w:rsidRPr="00A449A3">
        <w:t xml:space="preserve"> regulatory control </w:t>
      </w:r>
      <w:proofErr w:type="gramStart"/>
      <w:r w:rsidRPr="00A449A3">
        <w:t>period</w:t>
      </w:r>
      <w:proofErr w:type="gramEnd"/>
      <w:r w:rsidRPr="00A449A3">
        <w:t xml:space="preserve"> is shown in</w:t>
      </w:r>
      <w:r>
        <w:t xml:space="preserve"> </w:t>
      </w:r>
      <w:r>
        <w:fldChar w:fldCharType="begin"/>
      </w:r>
      <w:r>
        <w:instrText xml:space="preserve"> REF _Ref393095900 \h </w:instrText>
      </w:r>
      <w:r>
        <w:fldChar w:fldCharType="separate"/>
      </w:r>
      <w:r w:rsidR="00F62F16" w:rsidRPr="00A449A3">
        <w:t xml:space="preserve">Table </w:t>
      </w:r>
      <w:r w:rsidR="00F62F16">
        <w:rPr>
          <w:noProof/>
        </w:rPr>
        <w:t>2</w:t>
      </w:r>
      <w:r w:rsidR="00F62F16" w:rsidRPr="00A449A3">
        <w:t>.</w:t>
      </w:r>
      <w:r w:rsidR="00F62F16">
        <w:rPr>
          <w:noProof/>
        </w:rPr>
        <w:t>4</w:t>
      </w:r>
      <w:r>
        <w:fldChar w:fldCharType="end"/>
      </w:r>
      <w:r w:rsidRPr="00A449A3">
        <w:t>.</w:t>
      </w:r>
    </w:p>
    <w:p w:rsidR="00BA416F" w:rsidRPr="00A449A3" w:rsidRDefault="00BA416F" w:rsidP="00BA416F">
      <w:pPr>
        <w:pStyle w:val="Caption"/>
      </w:pPr>
      <w:bookmarkStart w:id="78" w:name="_Ref393095900"/>
      <w:proofErr w:type="gramStart"/>
      <w:r w:rsidRPr="00A449A3">
        <w:t xml:space="preserve">Table </w:t>
      </w:r>
      <w:fldSimple w:instr=" STYLEREF 1 \s ">
        <w:r w:rsidR="00F62F16">
          <w:rPr>
            <w:noProof/>
          </w:rPr>
          <w:t>2</w:t>
        </w:r>
      </w:fldSimple>
      <w:r w:rsidRPr="00A449A3">
        <w:t>.</w:t>
      </w:r>
      <w:proofErr w:type="gramEnd"/>
      <w:r w:rsidRPr="00BA416F">
        <w:fldChar w:fldCharType="begin"/>
      </w:r>
      <w:r>
        <w:instrText xml:space="preserve"> SEQ Table \* ARABIC \s 1 </w:instrText>
      </w:r>
      <w:r w:rsidRPr="00BA416F">
        <w:fldChar w:fldCharType="separate"/>
      </w:r>
      <w:r w:rsidR="00F62F16">
        <w:rPr>
          <w:noProof/>
        </w:rPr>
        <w:t>4</w:t>
      </w:r>
      <w:r w:rsidRPr="00BA416F">
        <w:fldChar w:fldCharType="end"/>
      </w:r>
      <w:bookmarkEnd w:id="78"/>
      <w:r w:rsidRPr="00A449A3">
        <w:tab/>
      </w:r>
      <w:r>
        <w:t>TasNetworks'</w:t>
      </w:r>
      <w:r w:rsidRPr="00A449A3">
        <w:t xml:space="preserve"> proposed RAB for the </w:t>
      </w:r>
      <w:r w:rsidR="00264320">
        <w:t>2017–19</w:t>
      </w:r>
      <w:r w:rsidRPr="00A449A3">
        <w:t xml:space="preserve"> regulatory control period ($million, nominal)</w:t>
      </w:r>
    </w:p>
    <w:tbl>
      <w:tblPr>
        <w:tblStyle w:val="AERtable-numbers"/>
        <w:tblW w:w="8714" w:type="dxa"/>
        <w:tblLayout w:type="fixed"/>
        <w:tblLook w:val="04A0" w:firstRow="1" w:lastRow="0" w:firstColumn="1" w:lastColumn="0" w:noHBand="0" w:noVBand="1"/>
      </w:tblPr>
      <w:tblGrid>
        <w:gridCol w:w="5362"/>
        <w:gridCol w:w="1674"/>
        <w:gridCol w:w="1678"/>
      </w:tblGrid>
      <w:tr w:rsidR="00264320" w:rsidTr="004D5284">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000" w:firstRow="0" w:lastRow="0" w:firstColumn="1" w:lastColumn="0" w:oddVBand="0" w:evenVBand="0" w:oddHBand="0" w:evenHBand="0" w:firstRowFirstColumn="0" w:firstRowLastColumn="0" w:lastRowFirstColumn="0" w:lastRowLastColumn="0"/>
            <w:tcW w:w="5362" w:type="dxa"/>
            <w:tcBorders>
              <w:top w:val="nil"/>
              <w:left w:val="nil"/>
              <w:bottom w:val="nil"/>
              <w:right w:val="nil"/>
            </w:tcBorders>
            <w:noWrap/>
            <w:hideMark/>
          </w:tcPr>
          <w:p w:rsidR="00264320" w:rsidRPr="00BA416F" w:rsidRDefault="00264320" w:rsidP="00BA416F">
            <w:r w:rsidRPr="005E52CE">
              <w:t> </w:t>
            </w:r>
          </w:p>
        </w:tc>
        <w:tc>
          <w:tcPr>
            <w:tcW w:w="1674" w:type="dxa"/>
            <w:tcBorders>
              <w:top w:val="nil"/>
              <w:left w:val="nil"/>
              <w:bottom w:val="nil"/>
              <w:right w:val="nil"/>
            </w:tcBorders>
            <w:noWrap/>
            <w:hideMark/>
          </w:tcPr>
          <w:p w:rsidR="00264320" w:rsidRPr="00BA416F" w:rsidRDefault="00264320" w:rsidP="00264320">
            <w:pPr>
              <w:cnfStyle w:val="100000000000" w:firstRow="1" w:lastRow="0" w:firstColumn="0" w:lastColumn="0" w:oddVBand="0" w:evenVBand="0" w:oddHBand="0" w:evenHBand="0" w:firstRowFirstColumn="0" w:firstRowLastColumn="0" w:lastRowFirstColumn="0" w:lastRowLastColumn="0"/>
            </w:pPr>
            <w:r w:rsidRPr="005E52CE">
              <w:t>201</w:t>
            </w:r>
            <w:r>
              <w:t>7–18</w:t>
            </w:r>
          </w:p>
        </w:tc>
        <w:tc>
          <w:tcPr>
            <w:tcW w:w="1678" w:type="dxa"/>
            <w:tcBorders>
              <w:top w:val="nil"/>
              <w:left w:val="nil"/>
              <w:bottom w:val="nil"/>
              <w:right w:val="nil"/>
            </w:tcBorders>
            <w:noWrap/>
            <w:hideMark/>
          </w:tcPr>
          <w:p w:rsidR="00264320" w:rsidRPr="00BA416F" w:rsidRDefault="00264320" w:rsidP="00264320">
            <w:pPr>
              <w:cnfStyle w:val="100000000000" w:firstRow="1" w:lastRow="0" w:firstColumn="0" w:lastColumn="0" w:oddVBand="0" w:evenVBand="0" w:oddHBand="0" w:evenHBand="0" w:firstRowFirstColumn="0" w:firstRowLastColumn="0" w:lastRowFirstColumn="0" w:lastRowLastColumn="0"/>
            </w:pPr>
            <w:r w:rsidRPr="005E52CE">
              <w:t>201</w:t>
            </w:r>
            <w:r>
              <w:t>8–19</w:t>
            </w:r>
          </w:p>
        </w:tc>
      </w:tr>
      <w:tr w:rsidR="00713C75" w:rsidTr="004D5284">
        <w:trPr>
          <w:trHeight w:val="410"/>
        </w:trPr>
        <w:tc>
          <w:tcPr>
            <w:cnfStyle w:val="001000000000" w:firstRow="0" w:lastRow="0" w:firstColumn="1" w:lastColumn="0" w:oddVBand="0" w:evenVBand="0" w:oddHBand="0" w:evenHBand="0" w:firstRowFirstColumn="0" w:firstRowLastColumn="0" w:lastRowFirstColumn="0" w:lastRowLastColumn="0"/>
            <w:tcW w:w="5362" w:type="dxa"/>
            <w:tcBorders>
              <w:top w:val="nil"/>
              <w:left w:val="nil"/>
              <w:bottom w:val="nil"/>
              <w:right w:val="nil"/>
            </w:tcBorders>
            <w:noWrap/>
            <w:hideMark/>
          </w:tcPr>
          <w:p w:rsidR="00713C75" w:rsidRPr="00713C75" w:rsidRDefault="00713C75" w:rsidP="00713C75">
            <w:r w:rsidRPr="00713C75">
              <w:t>Opening RAB</w:t>
            </w:r>
          </w:p>
        </w:tc>
        <w:tc>
          <w:tcPr>
            <w:tcW w:w="1674" w:type="dxa"/>
            <w:tcBorders>
              <w:top w:val="nil"/>
              <w:left w:val="nil"/>
              <w:bottom w:val="nil"/>
              <w:right w:val="nil"/>
            </w:tcBorders>
            <w:noWrap/>
            <w:vAlign w:val="bottom"/>
          </w:tcPr>
          <w:p w:rsidR="00713C75" w:rsidRPr="00713C75" w:rsidRDefault="00713C75" w:rsidP="00713C75">
            <w:pPr>
              <w:cnfStyle w:val="000000000000" w:firstRow="0" w:lastRow="0" w:firstColumn="0" w:lastColumn="0" w:oddVBand="0" w:evenVBand="0" w:oddHBand="0" w:evenHBand="0" w:firstRowFirstColumn="0" w:firstRowLastColumn="0" w:lastRowFirstColumn="0" w:lastRowLastColumn="0"/>
            </w:pPr>
            <w:r w:rsidRPr="00713C75">
              <w:t>1646.7</w:t>
            </w:r>
          </w:p>
        </w:tc>
        <w:tc>
          <w:tcPr>
            <w:tcW w:w="1678" w:type="dxa"/>
            <w:tcBorders>
              <w:top w:val="nil"/>
              <w:left w:val="nil"/>
              <w:bottom w:val="nil"/>
              <w:right w:val="nil"/>
            </w:tcBorders>
            <w:noWrap/>
            <w:vAlign w:val="bottom"/>
          </w:tcPr>
          <w:p w:rsidR="00713C75" w:rsidRPr="00713C75" w:rsidRDefault="00713C75" w:rsidP="00713C75">
            <w:pPr>
              <w:cnfStyle w:val="000000000000" w:firstRow="0" w:lastRow="0" w:firstColumn="0" w:lastColumn="0" w:oddVBand="0" w:evenVBand="0" w:oddHBand="0" w:evenHBand="0" w:firstRowFirstColumn="0" w:firstRowLastColumn="0" w:lastRowFirstColumn="0" w:lastRowLastColumn="0"/>
            </w:pPr>
            <w:r w:rsidRPr="00713C75">
              <w:t>1713.2</w:t>
            </w:r>
          </w:p>
        </w:tc>
      </w:tr>
      <w:tr w:rsidR="00713C75" w:rsidTr="004D528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362" w:type="dxa"/>
            <w:tcBorders>
              <w:top w:val="nil"/>
              <w:left w:val="nil"/>
              <w:bottom w:val="nil"/>
              <w:right w:val="nil"/>
            </w:tcBorders>
            <w:noWrap/>
            <w:hideMark/>
          </w:tcPr>
          <w:p w:rsidR="00713C75" w:rsidRPr="00713C75" w:rsidRDefault="00713C75" w:rsidP="00713C75">
            <w:r w:rsidRPr="00713C75">
              <w:t xml:space="preserve">Capital </w:t>
            </w:r>
            <w:proofErr w:type="spellStart"/>
            <w:r w:rsidRPr="00713C75">
              <w:t>expenditure</w:t>
            </w:r>
            <w:r w:rsidRPr="00713C75">
              <w:rPr>
                <w:rStyle w:val="AERsuperscript"/>
              </w:rPr>
              <w:t>a</w:t>
            </w:r>
            <w:proofErr w:type="spellEnd"/>
          </w:p>
        </w:tc>
        <w:tc>
          <w:tcPr>
            <w:tcW w:w="1674" w:type="dxa"/>
            <w:tcBorders>
              <w:top w:val="nil"/>
              <w:left w:val="nil"/>
              <w:bottom w:val="nil"/>
              <w:right w:val="nil"/>
            </w:tcBorders>
            <w:noWrap/>
            <w:vAlign w:val="bottom"/>
          </w:tcPr>
          <w:p w:rsidR="00713C75" w:rsidRPr="00713C75" w:rsidRDefault="00713C75" w:rsidP="00713C75">
            <w:pPr>
              <w:cnfStyle w:val="000000010000" w:firstRow="0" w:lastRow="0" w:firstColumn="0" w:lastColumn="0" w:oddVBand="0" w:evenVBand="0" w:oddHBand="0" w:evenHBand="1" w:firstRowFirstColumn="0" w:firstRowLastColumn="0" w:lastRowFirstColumn="0" w:lastRowLastColumn="0"/>
            </w:pPr>
            <w:r w:rsidRPr="00713C75">
              <w:t>116.2</w:t>
            </w:r>
          </w:p>
        </w:tc>
        <w:tc>
          <w:tcPr>
            <w:tcW w:w="1678" w:type="dxa"/>
            <w:tcBorders>
              <w:top w:val="nil"/>
              <w:left w:val="nil"/>
              <w:bottom w:val="nil"/>
              <w:right w:val="nil"/>
            </w:tcBorders>
            <w:noWrap/>
            <w:vAlign w:val="bottom"/>
          </w:tcPr>
          <w:p w:rsidR="00713C75" w:rsidRPr="00713C75" w:rsidRDefault="00713C75" w:rsidP="00713C75">
            <w:pPr>
              <w:cnfStyle w:val="000000010000" w:firstRow="0" w:lastRow="0" w:firstColumn="0" w:lastColumn="0" w:oddVBand="0" w:evenVBand="0" w:oddHBand="0" w:evenHBand="1" w:firstRowFirstColumn="0" w:firstRowLastColumn="0" w:lastRowFirstColumn="0" w:lastRowLastColumn="0"/>
            </w:pPr>
            <w:r w:rsidRPr="00713C75">
              <w:t>107.6</w:t>
            </w:r>
          </w:p>
        </w:tc>
      </w:tr>
      <w:tr w:rsidR="00713C75" w:rsidTr="004D5284">
        <w:trPr>
          <w:trHeight w:val="410"/>
        </w:trPr>
        <w:tc>
          <w:tcPr>
            <w:cnfStyle w:val="001000000000" w:firstRow="0" w:lastRow="0" w:firstColumn="1" w:lastColumn="0" w:oddVBand="0" w:evenVBand="0" w:oddHBand="0" w:evenHBand="0" w:firstRowFirstColumn="0" w:firstRowLastColumn="0" w:lastRowFirstColumn="0" w:lastRowLastColumn="0"/>
            <w:tcW w:w="5362" w:type="dxa"/>
            <w:tcBorders>
              <w:top w:val="nil"/>
              <w:left w:val="nil"/>
              <w:bottom w:val="nil"/>
              <w:right w:val="nil"/>
            </w:tcBorders>
            <w:noWrap/>
            <w:hideMark/>
          </w:tcPr>
          <w:p w:rsidR="00713C75" w:rsidRPr="00713C75" w:rsidRDefault="00713C75" w:rsidP="00713C75">
            <w:r w:rsidRPr="00713C75">
              <w:t>Inflation indexation on opening RAB</w:t>
            </w:r>
          </w:p>
        </w:tc>
        <w:tc>
          <w:tcPr>
            <w:tcW w:w="1674" w:type="dxa"/>
            <w:tcBorders>
              <w:top w:val="nil"/>
              <w:left w:val="nil"/>
              <w:bottom w:val="nil"/>
              <w:right w:val="nil"/>
            </w:tcBorders>
            <w:noWrap/>
            <w:vAlign w:val="bottom"/>
          </w:tcPr>
          <w:p w:rsidR="00713C75" w:rsidRPr="00713C75" w:rsidRDefault="00713C75" w:rsidP="00713C75">
            <w:pPr>
              <w:cnfStyle w:val="000000000000" w:firstRow="0" w:lastRow="0" w:firstColumn="0" w:lastColumn="0" w:oddVBand="0" w:evenVBand="0" w:oddHBand="0" w:evenHBand="0" w:firstRowFirstColumn="0" w:firstRowLastColumn="0" w:lastRowFirstColumn="0" w:lastRowLastColumn="0"/>
            </w:pPr>
            <w:r w:rsidRPr="00713C75">
              <w:t>41.2</w:t>
            </w:r>
          </w:p>
        </w:tc>
        <w:tc>
          <w:tcPr>
            <w:tcW w:w="1678" w:type="dxa"/>
            <w:tcBorders>
              <w:top w:val="nil"/>
              <w:left w:val="nil"/>
              <w:bottom w:val="nil"/>
              <w:right w:val="nil"/>
            </w:tcBorders>
            <w:noWrap/>
            <w:vAlign w:val="bottom"/>
          </w:tcPr>
          <w:p w:rsidR="00713C75" w:rsidRPr="00713C75" w:rsidRDefault="00713C75" w:rsidP="00713C75">
            <w:pPr>
              <w:cnfStyle w:val="000000000000" w:firstRow="0" w:lastRow="0" w:firstColumn="0" w:lastColumn="0" w:oddVBand="0" w:evenVBand="0" w:oddHBand="0" w:evenHBand="0" w:firstRowFirstColumn="0" w:firstRowLastColumn="0" w:lastRowFirstColumn="0" w:lastRowLastColumn="0"/>
            </w:pPr>
            <w:r w:rsidRPr="00713C75">
              <w:t>42.8</w:t>
            </w:r>
          </w:p>
        </w:tc>
      </w:tr>
      <w:tr w:rsidR="00713C75" w:rsidTr="004D528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362" w:type="dxa"/>
            <w:tcBorders>
              <w:top w:val="nil"/>
              <w:left w:val="nil"/>
              <w:bottom w:val="nil"/>
              <w:right w:val="nil"/>
            </w:tcBorders>
            <w:noWrap/>
            <w:hideMark/>
          </w:tcPr>
          <w:p w:rsidR="00713C75" w:rsidRPr="00713C75" w:rsidRDefault="00713C75" w:rsidP="00713C75">
            <w:r w:rsidRPr="00713C75">
              <w:rPr>
                <w:rStyle w:val="AERtextitalic"/>
              </w:rPr>
              <w:t>Less</w:t>
            </w:r>
            <w:r w:rsidRPr="00713C75">
              <w:t>: straight-line depreciation</w:t>
            </w:r>
          </w:p>
        </w:tc>
        <w:tc>
          <w:tcPr>
            <w:tcW w:w="1674" w:type="dxa"/>
            <w:tcBorders>
              <w:top w:val="nil"/>
              <w:left w:val="nil"/>
              <w:bottom w:val="nil"/>
              <w:right w:val="nil"/>
            </w:tcBorders>
            <w:noWrap/>
            <w:vAlign w:val="bottom"/>
          </w:tcPr>
          <w:p w:rsidR="00713C75" w:rsidRPr="00713C75" w:rsidRDefault="00713C75" w:rsidP="00713C75">
            <w:pPr>
              <w:cnfStyle w:val="000000010000" w:firstRow="0" w:lastRow="0" w:firstColumn="0" w:lastColumn="0" w:oddVBand="0" w:evenVBand="0" w:oddHBand="0" w:evenHBand="1" w:firstRowFirstColumn="0" w:firstRowLastColumn="0" w:lastRowFirstColumn="0" w:lastRowLastColumn="0"/>
            </w:pPr>
            <w:r w:rsidRPr="00713C75">
              <w:t>90.8</w:t>
            </w:r>
          </w:p>
        </w:tc>
        <w:tc>
          <w:tcPr>
            <w:tcW w:w="1678" w:type="dxa"/>
            <w:tcBorders>
              <w:top w:val="nil"/>
              <w:left w:val="nil"/>
              <w:bottom w:val="nil"/>
              <w:right w:val="nil"/>
            </w:tcBorders>
            <w:noWrap/>
            <w:vAlign w:val="bottom"/>
          </w:tcPr>
          <w:p w:rsidR="00713C75" w:rsidRPr="00713C75" w:rsidRDefault="00713C75" w:rsidP="00713C75">
            <w:pPr>
              <w:cnfStyle w:val="000000010000" w:firstRow="0" w:lastRow="0" w:firstColumn="0" w:lastColumn="0" w:oddVBand="0" w:evenVBand="0" w:oddHBand="0" w:evenHBand="1" w:firstRowFirstColumn="0" w:firstRowLastColumn="0" w:lastRowFirstColumn="0" w:lastRowLastColumn="0"/>
            </w:pPr>
            <w:r w:rsidRPr="00713C75">
              <w:t>100.4</w:t>
            </w:r>
          </w:p>
        </w:tc>
      </w:tr>
      <w:tr w:rsidR="00713C75" w:rsidRPr="00766861" w:rsidTr="004D5284">
        <w:trPr>
          <w:trHeight w:val="410"/>
        </w:trPr>
        <w:tc>
          <w:tcPr>
            <w:cnfStyle w:val="001000000000" w:firstRow="0" w:lastRow="0" w:firstColumn="1" w:lastColumn="0" w:oddVBand="0" w:evenVBand="0" w:oddHBand="0" w:evenHBand="0" w:firstRowFirstColumn="0" w:firstRowLastColumn="0" w:lastRowFirstColumn="0" w:lastRowLastColumn="0"/>
            <w:tcW w:w="5362" w:type="dxa"/>
            <w:tcBorders>
              <w:top w:val="nil"/>
              <w:left w:val="nil"/>
              <w:bottom w:val="single" w:sz="4" w:space="0" w:color="365F91"/>
              <w:right w:val="nil"/>
            </w:tcBorders>
            <w:noWrap/>
            <w:hideMark/>
          </w:tcPr>
          <w:p w:rsidR="00713C75" w:rsidRPr="00766861" w:rsidRDefault="00713C75" w:rsidP="00766861">
            <w:r w:rsidRPr="00766861">
              <w:t>Closing RAB</w:t>
            </w:r>
          </w:p>
        </w:tc>
        <w:tc>
          <w:tcPr>
            <w:tcW w:w="1674" w:type="dxa"/>
            <w:tcBorders>
              <w:top w:val="nil"/>
              <w:left w:val="nil"/>
              <w:bottom w:val="single" w:sz="4" w:space="0" w:color="365F91"/>
              <w:right w:val="nil"/>
            </w:tcBorders>
            <w:noWrap/>
            <w:vAlign w:val="bottom"/>
          </w:tcPr>
          <w:p w:rsidR="00713C75" w:rsidRPr="00766861" w:rsidRDefault="00713C75" w:rsidP="00766861">
            <w:pPr>
              <w:cnfStyle w:val="000000000000" w:firstRow="0" w:lastRow="0" w:firstColumn="0" w:lastColumn="0" w:oddVBand="0" w:evenVBand="0" w:oddHBand="0" w:evenHBand="0" w:firstRowFirstColumn="0" w:firstRowLastColumn="0" w:lastRowFirstColumn="0" w:lastRowLastColumn="0"/>
            </w:pPr>
            <w:r w:rsidRPr="00766861">
              <w:t>1713.2</w:t>
            </w:r>
          </w:p>
        </w:tc>
        <w:tc>
          <w:tcPr>
            <w:tcW w:w="1678" w:type="dxa"/>
            <w:tcBorders>
              <w:top w:val="nil"/>
              <w:left w:val="nil"/>
              <w:bottom w:val="single" w:sz="4" w:space="0" w:color="365F91"/>
              <w:right w:val="nil"/>
            </w:tcBorders>
            <w:noWrap/>
            <w:vAlign w:val="bottom"/>
          </w:tcPr>
          <w:p w:rsidR="00713C75" w:rsidRPr="00766861" w:rsidRDefault="00713C75" w:rsidP="00766861">
            <w:pPr>
              <w:cnfStyle w:val="000000000000" w:firstRow="0" w:lastRow="0" w:firstColumn="0" w:lastColumn="0" w:oddVBand="0" w:evenVBand="0" w:oddHBand="0" w:evenHBand="0" w:firstRowFirstColumn="0" w:firstRowLastColumn="0" w:lastRowFirstColumn="0" w:lastRowLastColumn="0"/>
            </w:pPr>
            <w:r w:rsidRPr="00766861">
              <w:t>1763.2</w:t>
            </w:r>
          </w:p>
        </w:tc>
      </w:tr>
    </w:tbl>
    <w:p w:rsidR="00BA416F" w:rsidRPr="00A449A3" w:rsidRDefault="00BA416F" w:rsidP="00BA416F">
      <w:pPr>
        <w:pStyle w:val="AERtablesource"/>
      </w:pPr>
      <w:r w:rsidRPr="00A449A3">
        <w:t>Source:</w:t>
      </w:r>
      <w:r w:rsidRPr="00A449A3">
        <w:tab/>
      </w:r>
      <w:r>
        <w:t>TasNetworks</w:t>
      </w:r>
      <w:r w:rsidRPr="003321D6">
        <w:t xml:space="preserve">, </w:t>
      </w:r>
      <w:r w:rsidRPr="003321D6">
        <w:rPr>
          <w:rStyle w:val="Emphasis"/>
        </w:rPr>
        <w:t>Regulatory proposal</w:t>
      </w:r>
      <w:r w:rsidRPr="003321D6">
        <w:t xml:space="preserve">, </w:t>
      </w:r>
      <w:r w:rsidR="008D4F49">
        <w:t>January 2016</w:t>
      </w:r>
      <w:r w:rsidRPr="003321D6">
        <w:t xml:space="preserve">, </w:t>
      </w:r>
      <w:r w:rsidRPr="003321D6">
        <w:rPr>
          <w:rStyle w:val="Emphasis"/>
        </w:rPr>
        <w:t>PTRM</w:t>
      </w:r>
      <w:r w:rsidRPr="003321D6">
        <w:t>.</w:t>
      </w:r>
    </w:p>
    <w:p w:rsidR="00BA416F" w:rsidRPr="00A449A3" w:rsidRDefault="00BA416F" w:rsidP="00BA416F">
      <w:pPr>
        <w:pStyle w:val="AERtablesource"/>
      </w:pPr>
      <w:r w:rsidRPr="00A449A3">
        <w:t>(a)</w:t>
      </w:r>
      <w:r w:rsidRPr="00A449A3">
        <w:tab/>
        <w:t xml:space="preserve">Net of </w:t>
      </w:r>
      <w:r w:rsidR="00AD6C56">
        <w:t xml:space="preserve">forecast </w:t>
      </w:r>
      <w:r w:rsidRPr="00A449A3">
        <w:t>disposals and capital contributions.</w:t>
      </w:r>
      <w:r w:rsidR="00AD6C56">
        <w:t xml:space="preserve"> </w:t>
      </w:r>
      <w:proofErr w:type="gramStart"/>
      <w:r w:rsidR="00AD6C56" w:rsidRPr="005B4A68">
        <w:t xml:space="preserve">Inclusive of </w:t>
      </w:r>
      <w:r w:rsidR="00AD6C56">
        <w:t xml:space="preserve">equity raising costs and </w:t>
      </w:r>
      <w:r w:rsidR="00AD6C56" w:rsidRPr="005B4A68">
        <w:t>the half-WACC to account for the timing assumptions in the PTRM.</w:t>
      </w:r>
      <w:proofErr w:type="gramEnd"/>
    </w:p>
    <w:p w:rsidR="00BA416F" w:rsidRPr="00A449A3" w:rsidRDefault="00BA416F" w:rsidP="00BA416F">
      <w:pPr>
        <w:numPr>
          <w:ilvl w:val="0"/>
          <w:numId w:val="24"/>
        </w:numPr>
      </w:pPr>
      <w:r>
        <w:t>TasNetworks</w:t>
      </w:r>
      <w:r w:rsidRPr="00A449A3">
        <w:t xml:space="preserve"> proposed to apply a forecast depreciation approach to establish the RAB at the commencement of </w:t>
      </w:r>
      <w:r>
        <w:t xml:space="preserve">the </w:t>
      </w:r>
      <w:r w:rsidRPr="00A449A3">
        <w:t>20</w:t>
      </w:r>
      <w:r w:rsidR="00362331">
        <w:t>19</w:t>
      </w:r>
      <w:r w:rsidRPr="00A449A3">
        <w:t>–2</w:t>
      </w:r>
      <w:r w:rsidR="00362331">
        <w:t>4</w:t>
      </w:r>
      <w:r w:rsidRPr="00A449A3">
        <w:t xml:space="preserve"> regulatory control </w:t>
      </w:r>
      <w:proofErr w:type="gramStart"/>
      <w:r w:rsidRPr="00A449A3">
        <w:t>period</w:t>
      </w:r>
      <w:proofErr w:type="gramEnd"/>
      <w:r w:rsidRPr="00A449A3">
        <w:t xml:space="preserve">, consistent with the approach set out in our </w:t>
      </w:r>
      <w:r w:rsidR="0000613E" w:rsidRPr="002D4171">
        <w:rPr>
          <w:rStyle w:val="AERtextitalic"/>
        </w:rPr>
        <w:t>F</w:t>
      </w:r>
      <w:r w:rsidRPr="002D4171">
        <w:rPr>
          <w:rStyle w:val="AERtextitalic"/>
        </w:rPr>
        <w:t xml:space="preserve">ramework and approach </w:t>
      </w:r>
      <w:r w:rsidRPr="00A449A3">
        <w:t>paper.</w:t>
      </w:r>
      <w:r w:rsidRPr="00A449A3">
        <w:rPr>
          <w:rStyle w:val="FootnoteReference"/>
        </w:rPr>
        <w:footnoteReference w:id="8"/>
      </w:r>
      <w:r>
        <w:t xml:space="preserve"> </w:t>
      </w:r>
    </w:p>
    <w:p w:rsidR="00132D43" w:rsidRDefault="00132D43" w:rsidP="00132D43">
      <w:pPr>
        <w:pStyle w:val="Heading2"/>
      </w:pPr>
      <w:bookmarkStart w:id="79" w:name="_Toc462753582"/>
      <w:r>
        <w:t>Assessment approach</w:t>
      </w:r>
      <w:bookmarkEnd w:id="79"/>
    </w:p>
    <w:p w:rsidR="00BA416F" w:rsidRPr="00A449A3" w:rsidRDefault="00BA416F" w:rsidP="00156B5A">
      <w:pPr>
        <w:numPr>
          <w:ilvl w:val="0"/>
          <w:numId w:val="24"/>
        </w:numPr>
      </w:pPr>
      <w:r w:rsidRPr="00A449A3">
        <w:t xml:space="preserve">We </w:t>
      </w:r>
      <w:r w:rsidR="005754C2">
        <w:t>roll</w:t>
      </w:r>
      <w:r w:rsidRPr="00A449A3">
        <w:t xml:space="preserve"> forward the </w:t>
      </w:r>
      <w:r w:rsidR="00A94E41">
        <w:t>distributor</w:t>
      </w:r>
      <w:r w:rsidRPr="00A449A3">
        <w:t xml:space="preserve">'s RAB during the </w:t>
      </w:r>
      <w:r>
        <w:t>201</w:t>
      </w:r>
      <w:r w:rsidR="00362331">
        <w:t>2</w:t>
      </w:r>
      <w:r>
        <w:t>–1</w:t>
      </w:r>
      <w:r w:rsidR="00362331">
        <w:t>7</w:t>
      </w:r>
      <w:r w:rsidRPr="00A449A3">
        <w:t xml:space="preserve"> regulatory control period to establish the opening RAB at </w:t>
      </w:r>
      <w:r>
        <w:t xml:space="preserve">1 </w:t>
      </w:r>
      <w:r w:rsidR="00264320">
        <w:t>July 2017</w:t>
      </w:r>
      <w:r w:rsidRPr="00A449A3">
        <w:t>. This value can be adjusted for any differences in the forecast and actual capex, disposals and capital contributions</w:t>
      </w:r>
      <w:r w:rsidR="00362331">
        <w:t xml:space="preserve">. </w:t>
      </w:r>
      <w:r w:rsidRPr="00A449A3">
        <w:t>It may also be adjusted to reflect any changes in the use of the assets, with only assets used in the provision of standard control services to be included in the RAB.</w:t>
      </w:r>
      <w:r w:rsidRPr="00A449A3">
        <w:rPr>
          <w:rStyle w:val="FootnoteReference"/>
        </w:rPr>
        <w:footnoteReference w:id="9"/>
      </w:r>
    </w:p>
    <w:p w:rsidR="00BA416F" w:rsidRPr="00A449A3" w:rsidRDefault="00BA416F" w:rsidP="00BA416F">
      <w:pPr>
        <w:numPr>
          <w:ilvl w:val="0"/>
          <w:numId w:val="24"/>
        </w:numPr>
      </w:pPr>
      <w:r w:rsidRPr="00A449A3">
        <w:t xml:space="preserve">To determine the opening RAB, we developed an asset base RFM </w:t>
      </w:r>
      <w:r w:rsidR="00AF293D">
        <w:t>that</w:t>
      </w:r>
      <w:r w:rsidRPr="00A449A3">
        <w:t xml:space="preserve"> </w:t>
      </w:r>
      <w:r>
        <w:t>a</w:t>
      </w:r>
      <w:r w:rsidRPr="00A449A3">
        <w:t xml:space="preserve"> service provider must use the RFM in preparing its regulatory proposal.</w:t>
      </w:r>
      <w:r w:rsidRPr="00A449A3">
        <w:rPr>
          <w:rStyle w:val="FootnoteReference"/>
        </w:rPr>
        <w:footnoteReference w:id="10"/>
      </w:r>
      <w:r w:rsidRPr="00A449A3">
        <w:t xml:space="preserve"> The RFM rolls forward the RAB from the beginning of the final year of the 200</w:t>
      </w:r>
      <w:r w:rsidR="006F49B3">
        <w:t>7</w:t>
      </w:r>
      <w:r w:rsidRPr="00A449A3">
        <w:t>–1</w:t>
      </w:r>
      <w:r w:rsidR="006F49B3">
        <w:t>2</w:t>
      </w:r>
      <w:r w:rsidRPr="00A449A3">
        <w:t xml:space="preserve"> regulatory control </w:t>
      </w:r>
      <w:proofErr w:type="gramStart"/>
      <w:r w:rsidRPr="00A449A3">
        <w:t>period</w:t>
      </w:r>
      <w:proofErr w:type="gramEnd"/>
      <w:r w:rsidRPr="00A449A3">
        <w:t>,</w:t>
      </w:r>
      <w:r w:rsidR="00AF293D">
        <w:rPr>
          <w:rStyle w:val="FootnoteReference"/>
        </w:rPr>
        <w:footnoteReference w:id="11"/>
      </w:r>
      <w:r w:rsidRPr="00A449A3">
        <w:t xml:space="preserve"> through the </w:t>
      </w:r>
      <w:r>
        <w:t>201</w:t>
      </w:r>
      <w:r w:rsidR="00362331">
        <w:t>2</w:t>
      </w:r>
      <w:r>
        <w:t>–1</w:t>
      </w:r>
      <w:r w:rsidR="00362331">
        <w:t>7</w:t>
      </w:r>
      <w:r w:rsidRPr="00A449A3">
        <w:t xml:space="preserve"> regulatory control period, to the beginning of the </w:t>
      </w:r>
      <w:r w:rsidR="00AF293D">
        <w:t>2017–19</w:t>
      </w:r>
      <w:r w:rsidRPr="00A449A3">
        <w:t xml:space="preserve"> </w:t>
      </w:r>
      <w:r w:rsidR="00AF293D">
        <w:t xml:space="preserve">regulatory control </w:t>
      </w:r>
      <w:r w:rsidRPr="00A449A3">
        <w:t>period. The roll forward occurs for each year by:</w:t>
      </w:r>
    </w:p>
    <w:p w:rsidR="00BA416F" w:rsidRPr="00A449A3" w:rsidRDefault="00BA416F" w:rsidP="00BA416F">
      <w:pPr>
        <w:pStyle w:val="AERbulletlistfirststyle"/>
      </w:pPr>
      <w:r w:rsidRPr="00A449A3">
        <w:lastRenderedPageBreak/>
        <w:t xml:space="preserve">Adding an inflation (indexation) adjustment to the opening RAB for the relevant year. This adjustment </w:t>
      </w:r>
      <w:r w:rsidR="00A94E41">
        <w:t>is</w:t>
      </w:r>
      <w:r w:rsidRPr="00A449A3">
        <w:t xml:space="preserve"> consistent with the inflation factor used in the control mechanism.</w:t>
      </w:r>
      <w:r w:rsidRPr="00A449A3">
        <w:rPr>
          <w:rStyle w:val="FootnoteReference"/>
        </w:rPr>
        <w:footnoteReference w:id="12"/>
      </w:r>
    </w:p>
    <w:p w:rsidR="00011DA9" w:rsidRDefault="00011DA9" w:rsidP="00011DA9">
      <w:pPr>
        <w:pStyle w:val="AERbulletlistfirststyle"/>
      </w:pPr>
      <w:r>
        <w:t>Adding actual or estimated capex to the RAB for the relevant year.</w:t>
      </w:r>
      <w:r>
        <w:rPr>
          <w:rStyle w:val="FootnoteReference"/>
        </w:rPr>
        <w:footnoteReference w:id="13"/>
      </w:r>
      <w:r>
        <w:t xml:space="preserve"> We review a distributor's past capex and may exclude past capex from being rolled into the RAB where total capex exceeds the regulatory allowance.</w:t>
      </w:r>
      <w:r>
        <w:rPr>
          <w:rStyle w:val="FootnoteReference"/>
        </w:rPr>
        <w:footnoteReference w:id="14"/>
      </w:r>
      <w:r>
        <w:t xml:space="preserve"> The </w:t>
      </w:r>
      <w:r w:rsidRPr="00BD0C68">
        <w:t xml:space="preserve">details of our assessment approach </w:t>
      </w:r>
      <w:r>
        <w:t xml:space="preserve">for capex </w:t>
      </w:r>
      <w:r w:rsidR="007058A5">
        <w:t xml:space="preserve">overspending </w:t>
      </w:r>
      <w:r>
        <w:t xml:space="preserve">are set out in </w:t>
      </w:r>
      <w:r w:rsidRPr="00166EE4">
        <w:t xml:space="preserve">the </w:t>
      </w:r>
      <w:r w:rsidRPr="00BA4A28">
        <w:rPr>
          <w:rStyle w:val="AERtextitalic"/>
        </w:rPr>
        <w:t>Capital expenditure incentive guideline</w:t>
      </w:r>
      <w:r w:rsidRPr="00166EE4">
        <w:t>.</w:t>
      </w:r>
      <w:r>
        <w:rPr>
          <w:rStyle w:val="FootnoteReference"/>
        </w:rPr>
        <w:footnoteReference w:id="15"/>
      </w:r>
      <w:r>
        <w:t xml:space="preserve"> We note that under the transitional rules, our review of past capex does not apply to TasNetworks prior to 1 July 2014.</w:t>
      </w:r>
      <w:r>
        <w:rPr>
          <w:rStyle w:val="FootnoteReference"/>
        </w:rPr>
        <w:footnoteReference w:id="16"/>
      </w:r>
      <w:r>
        <w:t xml:space="preserve"> Also, the review of past capex does not include the last two years of the 2012–17 regulatory control </w:t>
      </w:r>
      <w:proofErr w:type="gramStart"/>
      <w:r>
        <w:t>period—</w:t>
      </w:r>
      <w:proofErr w:type="gramEnd"/>
      <w:r>
        <w:t>these will instead be reviewed at the next reset.</w:t>
      </w:r>
      <w:r>
        <w:rPr>
          <w:rStyle w:val="FootnoteReference"/>
        </w:rPr>
        <w:footnoteReference w:id="17"/>
      </w:r>
      <w:r>
        <w:t xml:space="preserve"> We check actual capex amounts against audited </w:t>
      </w:r>
      <w:r w:rsidR="00A94E41">
        <w:t>annual reporting RIN</w:t>
      </w:r>
      <w:r>
        <w:t xml:space="preserve"> data</w:t>
      </w:r>
      <w:r w:rsidRPr="00647A6A">
        <w:t xml:space="preserve"> </w:t>
      </w:r>
      <w:r w:rsidRPr="000F67F7">
        <w:t>and generally accept the cape</w:t>
      </w:r>
      <w:r>
        <w:t xml:space="preserve">x reported in those </w:t>
      </w:r>
      <w:r w:rsidR="00A94E41">
        <w:t>RINs</w:t>
      </w:r>
      <w:r>
        <w:t xml:space="preserve"> </w:t>
      </w:r>
      <w:r w:rsidRPr="000F67F7">
        <w:t>in rolling forward the RAB</w:t>
      </w:r>
      <w:r>
        <w:t>.</w:t>
      </w:r>
      <w:r>
        <w:rPr>
          <w:rStyle w:val="FootnoteReference"/>
        </w:rPr>
        <w:footnoteReference w:id="18"/>
      </w:r>
      <w:r>
        <w:t xml:space="preserve"> </w:t>
      </w:r>
      <w:r w:rsidRPr="006F6224">
        <w:t xml:space="preserve">However, there may be instances where adjustments are required to the annual </w:t>
      </w:r>
      <w:r>
        <w:t>re</w:t>
      </w:r>
      <w:r w:rsidR="00A94E41">
        <w:t>porting RIN</w:t>
      </w:r>
      <w:r w:rsidRPr="006F6224">
        <w:t xml:space="preserve"> data.</w:t>
      </w:r>
      <w:r w:rsidR="00C67B8E">
        <w:rPr>
          <w:rStyle w:val="FootnoteReference"/>
        </w:rPr>
        <w:footnoteReference w:id="19"/>
      </w:r>
      <w:r w:rsidRPr="006F6224">
        <w:t xml:space="preserve"> </w:t>
      </w:r>
    </w:p>
    <w:p w:rsidR="00BA416F" w:rsidRPr="00A449A3" w:rsidRDefault="00BA416F" w:rsidP="00BA416F">
      <w:pPr>
        <w:pStyle w:val="AERbulletlistfirststyle"/>
      </w:pPr>
      <w:r w:rsidRPr="00A449A3">
        <w:t>Subtracting depreciation from the RAB for the relevant year, calculated in accordance with the relevant distribution determination for that year.</w:t>
      </w:r>
      <w:r w:rsidRPr="00A449A3">
        <w:rPr>
          <w:rStyle w:val="FootnoteReference"/>
        </w:rPr>
        <w:footnoteReference w:id="20"/>
      </w:r>
      <w:r w:rsidRPr="00A449A3">
        <w:t xml:space="preserve"> Depreciation based on forecast or actual capex can be used to roll forward the RAB.</w:t>
      </w:r>
      <w:r w:rsidRPr="00A449A3">
        <w:rPr>
          <w:rStyle w:val="FootnoteReference"/>
        </w:rPr>
        <w:footnoteReference w:id="21"/>
      </w:r>
      <w:r w:rsidRPr="00A449A3">
        <w:t xml:space="preserve"> For this </w:t>
      </w:r>
      <w:r w:rsidR="004706F5">
        <w:t>draft</w:t>
      </w:r>
      <w:r w:rsidRPr="00A449A3">
        <w:t xml:space="preserve"> decision, we use depreciation based on actual capex for rolling forward </w:t>
      </w:r>
      <w:r>
        <w:t>TasNetworks'</w:t>
      </w:r>
      <w:r w:rsidRPr="00A449A3">
        <w:t xml:space="preserve"> RAB values over the </w:t>
      </w:r>
      <w:r>
        <w:t>201</w:t>
      </w:r>
      <w:r w:rsidR="007B0D12">
        <w:t>2</w:t>
      </w:r>
      <w:r>
        <w:t>–1</w:t>
      </w:r>
      <w:r w:rsidR="007B0D12">
        <w:t>7</w:t>
      </w:r>
      <w:r w:rsidRPr="00A449A3">
        <w:t xml:space="preserve"> regulatory control period.</w:t>
      </w:r>
      <w:r w:rsidRPr="00A449A3">
        <w:rPr>
          <w:rStyle w:val="FootnoteReference"/>
        </w:rPr>
        <w:footnoteReference w:id="22"/>
      </w:r>
      <w:r w:rsidRPr="00A449A3">
        <w:t xml:space="preserve"> However, depreciation based on forecast capex will be used for the </w:t>
      </w:r>
      <w:r w:rsidR="00264320">
        <w:t>2017–19</w:t>
      </w:r>
      <w:r w:rsidRPr="00A449A3">
        <w:t xml:space="preserve"> regulatory control period at the next reset.</w:t>
      </w:r>
      <w:r w:rsidRPr="00A449A3">
        <w:rPr>
          <w:rStyle w:val="FootnoteReference"/>
        </w:rPr>
        <w:footnoteReference w:id="23"/>
      </w:r>
    </w:p>
    <w:p w:rsidR="006D0F0C" w:rsidRDefault="006D0F0C" w:rsidP="006D0F0C">
      <w:pPr>
        <w:pStyle w:val="AERbulletlistfirststyle"/>
      </w:pPr>
      <w:r>
        <w:t>Subtracting any gross proceeds for asset disposals for the relevant year, by way of netting from capex to be added to the RAB.</w:t>
      </w:r>
      <w:r>
        <w:rPr>
          <w:rStyle w:val="FootnoteReference"/>
        </w:rPr>
        <w:footnoteReference w:id="24"/>
      </w:r>
      <w:r>
        <w:t xml:space="preserve"> We check these amounts against audited </w:t>
      </w:r>
      <w:r w:rsidR="009C5305">
        <w:t xml:space="preserve">annual </w:t>
      </w:r>
      <w:r>
        <w:t>re</w:t>
      </w:r>
      <w:r w:rsidR="009C5305">
        <w:t>porting RIN</w:t>
      </w:r>
      <w:r>
        <w:t xml:space="preserve"> data.</w:t>
      </w:r>
    </w:p>
    <w:p w:rsidR="00BA416F" w:rsidRPr="00A449A3" w:rsidRDefault="00BA416F" w:rsidP="00BA416F">
      <w:pPr>
        <w:rPr>
          <w:rStyle w:val="AERbody"/>
        </w:rPr>
      </w:pPr>
      <w:r w:rsidRPr="00A449A3">
        <w:rPr>
          <w:rStyle w:val="AERbody"/>
        </w:rPr>
        <w:lastRenderedPageBreak/>
        <w:t xml:space="preserve">These annual adjustments give the closing RAB for any particular year, which then becomes the opening RAB for the following year. Through this process the RFM rolls forward the RAB to the end of the </w:t>
      </w:r>
      <w:r w:rsidR="007B0D12">
        <w:rPr>
          <w:rStyle w:val="AERbody"/>
        </w:rPr>
        <w:t>2012–17</w:t>
      </w:r>
      <w:r w:rsidRPr="00A449A3">
        <w:rPr>
          <w:rStyle w:val="AERbody"/>
        </w:rPr>
        <w:t xml:space="preserve"> regulatory control </w:t>
      </w:r>
      <w:proofErr w:type="gramStart"/>
      <w:r w:rsidRPr="00A449A3">
        <w:rPr>
          <w:rStyle w:val="AERbody"/>
        </w:rPr>
        <w:t>period</w:t>
      </w:r>
      <w:proofErr w:type="gramEnd"/>
      <w:r w:rsidRPr="00A449A3">
        <w:rPr>
          <w:rStyle w:val="AERbody"/>
        </w:rPr>
        <w:t xml:space="preserve">. The PTRM used to calculate the annual revenue requirement for the </w:t>
      </w:r>
      <w:r w:rsidR="00264320">
        <w:rPr>
          <w:rStyle w:val="AERbody"/>
        </w:rPr>
        <w:t>2017–19</w:t>
      </w:r>
      <w:r w:rsidRPr="00A449A3">
        <w:rPr>
          <w:rStyle w:val="AERbody"/>
        </w:rPr>
        <w:t xml:space="preserve"> regulatory control period generally adopts the same RAB roll forward approach as the RFM, although the annual adjustments to the RAB are based on forecasts, rather than actual amounts.</w:t>
      </w:r>
    </w:p>
    <w:p w:rsidR="00BA416F" w:rsidRPr="00A449A3" w:rsidRDefault="00BA416F" w:rsidP="00BA416F">
      <w:pPr>
        <w:numPr>
          <w:ilvl w:val="0"/>
          <w:numId w:val="24"/>
        </w:numPr>
        <w:rPr>
          <w:rStyle w:val="AERbody"/>
        </w:rPr>
      </w:pPr>
      <w:r w:rsidRPr="00A449A3">
        <w:rPr>
          <w:rStyle w:val="AERbody"/>
        </w:rPr>
        <w:t xml:space="preserve">We </w:t>
      </w:r>
      <w:r w:rsidR="006D0F0C">
        <w:rPr>
          <w:rStyle w:val="AERbody"/>
        </w:rPr>
        <w:t>also</w:t>
      </w:r>
      <w:r w:rsidRPr="00A449A3">
        <w:rPr>
          <w:rStyle w:val="AERbody"/>
        </w:rPr>
        <w:t xml:space="preserve"> decide whether depreciation for establishing the </w:t>
      </w:r>
      <w:r w:rsidR="00EB21B2">
        <w:rPr>
          <w:rStyle w:val="AERbody"/>
        </w:rPr>
        <w:t>distributor</w:t>
      </w:r>
      <w:r w:rsidRPr="00A449A3">
        <w:rPr>
          <w:rStyle w:val="AERbody"/>
        </w:rPr>
        <w:t xml:space="preserve">'s RAB as at the commencement of the </w:t>
      </w:r>
      <w:r w:rsidR="007B0D12">
        <w:rPr>
          <w:rStyle w:val="AERbody"/>
        </w:rPr>
        <w:t>2019–24</w:t>
      </w:r>
      <w:r w:rsidRPr="00A449A3">
        <w:rPr>
          <w:rStyle w:val="AERbody"/>
        </w:rPr>
        <w:t xml:space="preserve"> regulatory control period is to be based on actual or forecast capex.</w:t>
      </w:r>
      <w:r w:rsidRPr="00A449A3">
        <w:rPr>
          <w:rStyle w:val="FootnoteReference"/>
        </w:rPr>
        <w:footnoteReference w:id="25"/>
      </w:r>
    </w:p>
    <w:p w:rsidR="00BA416F" w:rsidRPr="00A449A3" w:rsidRDefault="00BA416F" w:rsidP="00BA416F">
      <w:pPr>
        <w:numPr>
          <w:ilvl w:val="0"/>
          <w:numId w:val="24"/>
        </w:numPr>
        <w:rPr>
          <w:rStyle w:val="AERbody"/>
        </w:rPr>
      </w:pPr>
      <w:r w:rsidRPr="00A449A3">
        <w:rPr>
          <w:rStyle w:val="AERbody"/>
        </w:rPr>
        <w:t xml:space="preserve">The opening RAB for the </w:t>
      </w:r>
      <w:r w:rsidR="007B0D12">
        <w:rPr>
          <w:rStyle w:val="AERbody"/>
        </w:rPr>
        <w:t>2019–24</w:t>
      </w:r>
      <w:r w:rsidRPr="00A449A3">
        <w:rPr>
          <w:rStyle w:val="AERbody"/>
        </w:rPr>
        <w:t xml:space="preserve"> regulatory control period can be determined using depreciation based either on forecast or actual capex incurred during the </w:t>
      </w:r>
      <w:r w:rsidR="00264320">
        <w:rPr>
          <w:rStyle w:val="AERbody"/>
        </w:rPr>
        <w:t>2017–19</w:t>
      </w:r>
      <w:r w:rsidRPr="00A449A3">
        <w:rPr>
          <w:rStyle w:val="AERbody"/>
        </w:rPr>
        <w:t xml:space="preserve"> </w:t>
      </w:r>
      <w:r w:rsidR="00F96775">
        <w:rPr>
          <w:rStyle w:val="AERbody"/>
        </w:rPr>
        <w:t xml:space="preserve">regulatory control </w:t>
      </w:r>
      <w:r w:rsidRPr="00A449A3">
        <w:rPr>
          <w:rStyle w:val="AERbody"/>
        </w:rPr>
        <w:t xml:space="preserve">period. To roll forward the RAB using depreciation based on forecast capex, we would use the forecast depreciation contained in the PTRM for the </w:t>
      </w:r>
      <w:r w:rsidR="00264320">
        <w:rPr>
          <w:rStyle w:val="AERbody"/>
        </w:rPr>
        <w:t>2017–19</w:t>
      </w:r>
      <w:r w:rsidRPr="00A449A3">
        <w:rPr>
          <w:rStyle w:val="AERbody"/>
        </w:rPr>
        <w:t xml:space="preserve"> regulatory control period, adjusted for actual inflation. If the approach to roll forward the RAB using depreciation based on actual capex was adopted, we would recalculate the depreciation based on actual capex incurred during the </w:t>
      </w:r>
      <w:r w:rsidR="00264320">
        <w:rPr>
          <w:rStyle w:val="AERbody"/>
        </w:rPr>
        <w:t>2017–19</w:t>
      </w:r>
      <w:r w:rsidRPr="00A449A3">
        <w:rPr>
          <w:rStyle w:val="AERbody"/>
        </w:rPr>
        <w:t xml:space="preserve"> regulatory control period. </w:t>
      </w:r>
    </w:p>
    <w:p w:rsidR="00BA416F" w:rsidRPr="00A449A3" w:rsidRDefault="00BA416F" w:rsidP="00BA416F">
      <w:pPr>
        <w:numPr>
          <w:ilvl w:val="0"/>
          <w:numId w:val="24"/>
        </w:numPr>
        <w:rPr>
          <w:rStyle w:val="AERbody"/>
        </w:rPr>
      </w:pPr>
      <w:r w:rsidRPr="00A449A3">
        <w:rPr>
          <w:rStyle w:val="AERbody"/>
        </w:rPr>
        <w:t>Our decision on whether to use actual or forecast depreciation must be consistent with the capex incentive objective. We must have regard to:</w:t>
      </w:r>
      <w:r w:rsidRPr="00A449A3">
        <w:rPr>
          <w:rStyle w:val="FootnoteReference"/>
        </w:rPr>
        <w:footnoteReference w:id="26"/>
      </w:r>
    </w:p>
    <w:p w:rsidR="00BA416F" w:rsidRPr="00A449A3" w:rsidRDefault="00BA416F" w:rsidP="00BA416F">
      <w:pPr>
        <w:pStyle w:val="AERbulletlistfirststyle"/>
        <w:rPr>
          <w:rStyle w:val="AERbody"/>
        </w:rPr>
      </w:pPr>
      <w:r w:rsidRPr="00A449A3">
        <w:rPr>
          <w:rStyle w:val="AERbody"/>
        </w:rPr>
        <w:t>the incentives the service provider has to undertake efficient capex</w:t>
      </w:r>
    </w:p>
    <w:p w:rsidR="00BA416F" w:rsidRPr="00A449A3" w:rsidRDefault="00BA416F" w:rsidP="00BA416F">
      <w:pPr>
        <w:pStyle w:val="AERbulletlistfirststyle"/>
        <w:rPr>
          <w:rStyle w:val="AERbody"/>
        </w:rPr>
      </w:pPr>
      <w:r w:rsidRPr="00A449A3">
        <w:rPr>
          <w:rStyle w:val="AERbody"/>
        </w:rPr>
        <w:t>substitution possibilities between assets with different lives and the relative benefits of each</w:t>
      </w:r>
    </w:p>
    <w:p w:rsidR="00BA416F" w:rsidRPr="00A449A3" w:rsidRDefault="00BA416F" w:rsidP="00BA416F">
      <w:pPr>
        <w:pStyle w:val="AERbulletlistfirststyle"/>
        <w:rPr>
          <w:rStyle w:val="AERbody"/>
        </w:rPr>
      </w:pPr>
      <w:r w:rsidRPr="00A449A3">
        <w:rPr>
          <w:rStyle w:val="AERbody"/>
        </w:rPr>
        <w:t>the extent of overspending and inefficient overspending relative to the allowed forecast</w:t>
      </w:r>
    </w:p>
    <w:p w:rsidR="00BA416F" w:rsidRPr="00A449A3" w:rsidRDefault="00BA416F" w:rsidP="00BA416F">
      <w:pPr>
        <w:pStyle w:val="AERbulletlistfirststyle"/>
        <w:rPr>
          <w:rStyle w:val="AERbody"/>
        </w:rPr>
      </w:pPr>
      <w:r w:rsidRPr="00A449A3">
        <w:rPr>
          <w:rStyle w:val="AERbody"/>
        </w:rPr>
        <w:t>the capex incentive guideline</w:t>
      </w:r>
    </w:p>
    <w:p w:rsidR="00BA416F" w:rsidRPr="00A449A3" w:rsidRDefault="00BA416F" w:rsidP="00BA416F">
      <w:pPr>
        <w:pStyle w:val="AERbulletlistfirststyle"/>
        <w:rPr>
          <w:rStyle w:val="AERbody"/>
        </w:rPr>
      </w:pPr>
      <w:proofErr w:type="gramStart"/>
      <w:r w:rsidRPr="00A449A3">
        <w:rPr>
          <w:rStyle w:val="AERbody"/>
        </w:rPr>
        <w:t>the</w:t>
      </w:r>
      <w:proofErr w:type="gramEnd"/>
      <w:r w:rsidRPr="00A449A3">
        <w:rPr>
          <w:rStyle w:val="AERbody"/>
        </w:rPr>
        <w:t xml:space="preserve"> capital expenditure factors.</w:t>
      </w:r>
    </w:p>
    <w:p w:rsidR="00BA416F" w:rsidRPr="00BA416F" w:rsidRDefault="00BA416F" w:rsidP="00BA416F">
      <w:pPr>
        <w:pStyle w:val="Heading3"/>
      </w:pPr>
      <w:bookmarkStart w:id="80" w:name="_Toc419288067"/>
      <w:bookmarkStart w:id="81" w:name="_Toc433171830"/>
      <w:bookmarkStart w:id="82" w:name="_Toc462753583"/>
      <w:r w:rsidRPr="00A33FA2">
        <w:t>Interrelationships</w:t>
      </w:r>
      <w:bookmarkEnd w:id="80"/>
      <w:bookmarkEnd w:id="81"/>
      <w:bookmarkEnd w:id="82"/>
    </w:p>
    <w:p w:rsidR="00BA416F" w:rsidRPr="00A33FA2" w:rsidRDefault="00BA416F" w:rsidP="00BA416F">
      <w:pPr>
        <w:numPr>
          <w:ilvl w:val="0"/>
          <w:numId w:val="24"/>
        </w:numPr>
      </w:pPr>
      <w:r w:rsidRPr="00A33FA2">
        <w:t>The RAB is an input into the determination of the return on capital and depreciation (return of capital) building block allowances.</w:t>
      </w:r>
      <w:r w:rsidRPr="00A33FA2">
        <w:rPr>
          <w:rStyle w:val="FootnoteReference"/>
        </w:rPr>
        <w:footnoteReference w:id="27"/>
      </w:r>
      <w:r w:rsidRPr="00A33FA2">
        <w:t xml:space="preserve"> Factors that influence the RAB will therefore flow through to these building block components and the annual revenue requirement. Other things being equal, a higher RAB increases both the return on capital and depreciation allowances.</w:t>
      </w:r>
    </w:p>
    <w:p w:rsidR="00BA416F" w:rsidRPr="00A33FA2" w:rsidRDefault="00BA416F" w:rsidP="00BA416F">
      <w:pPr>
        <w:numPr>
          <w:ilvl w:val="0"/>
          <w:numId w:val="24"/>
        </w:numPr>
      </w:pPr>
      <w:r w:rsidRPr="00A33FA2">
        <w:t>The RAB is determined by various factors, including:</w:t>
      </w:r>
    </w:p>
    <w:p w:rsidR="00BA416F" w:rsidRPr="00A33FA2" w:rsidRDefault="00BA416F" w:rsidP="00BA416F">
      <w:pPr>
        <w:pStyle w:val="AERbulletlistfirststyle"/>
      </w:pPr>
      <w:r w:rsidRPr="00A33FA2">
        <w:lastRenderedPageBreak/>
        <w:t>the opening RAB (meaning the value of existing assets at the beginning of the regulatory control period)</w:t>
      </w:r>
    </w:p>
    <w:p w:rsidR="00BA416F" w:rsidRPr="00A33FA2" w:rsidRDefault="00BA416F" w:rsidP="00BA416F">
      <w:pPr>
        <w:pStyle w:val="AERbulletlistfirststyle"/>
      </w:pPr>
      <w:r w:rsidRPr="00A33FA2">
        <w:t>net capex</w:t>
      </w:r>
      <w:r w:rsidRPr="00A33FA2">
        <w:rPr>
          <w:rStyle w:val="FootnoteReference"/>
        </w:rPr>
        <w:footnoteReference w:id="28"/>
      </w:r>
    </w:p>
    <w:p w:rsidR="00BA416F" w:rsidRPr="00A33FA2" w:rsidRDefault="00BA416F" w:rsidP="00BA416F">
      <w:pPr>
        <w:pStyle w:val="AERbulletlistfirststyle"/>
      </w:pPr>
      <w:r w:rsidRPr="00A33FA2">
        <w:t>depreciation</w:t>
      </w:r>
    </w:p>
    <w:p w:rsidR="00BA416F" w:rsidRPr="00A33FA2" w:rsidRDefault="00BA416F" w:rsidP="00BA416F">
      <w:pPr>
        <w:pStyle w:val="AERbulletlistfirststyle"/>
      </w:pPr>
      <w:proofErr w:type="gramStart"/>
      <w:r w:rsidRPr="00A33FA2">
        <w:t>indexation</w:t>
      </w:r>
      <w:proofErr w:type="gramEnd"/>
      <w:r w:rsidRPr="00A33FA2">
        <w:t xml:space="preserve"> adjustment – so the RAB is presented in nominal terms, consistent with the rate of return.</w:t>
      </w:r>
    </w:p>
    <w:p w:rsidR="00BA416F" w:rsidRPr="00A33FA2" w:rsidRDefault="00BA416F" w:rsidP="00BA416F">
      <w:r w:rsidRPr="00A33FA2">
        <w:t xml:space="preserve">The opening RAB depends on the value of existing assets and will depend on actual net capex, actual inflation outcomes and depreciation in the past. </w:t>
      </w:r>
    </w:p>
    <w:p w:rsidR="00BA416F" w:rsidRPr="00A33FA2" w:rsidRDefault="00BA416F" w:rsidP="00BA416F">
      <w:r w:rsidRPr="00A33FA2">
        <w:t>The RAB when projected to the end of the regulatory control period increases due to both forecast new capex and the indexation adjustment. The size of the indexation adjustment depends on expected inflation (which also affects the nominal rate of return</w:t>
      </w:r>
      <w:r w:rsidR="00A85F85">
        <w:t xml:space="preserve"> or WACC</w:t>
      </w:r>
      <w:r w:rsidRPr="00A33FA2">
        <w:t xml:space="preserve">) and the size of the RAB at the start of each year. </w:t>
      </w:r>
    </w:p>
    <w:p w:rsidR="00292B5C" w:rsidRDefault="00292B5C" w:rsidP="00292B5C">
      <w:pPr>
        <w:numPr>
          <w:ilvl w:val="0"/>
          <w:numId w:val="24"/>
        </w:numPr>
      </w:pPr>
      <w:r w:rsidRPr="00E94F8A">
        <w:t>Depreciation reduces the RAB. The depreciation allowance depends on the size of the opening RAB</w:t>
      </w:r>
      <w:r>
        <w:t>,</w:t>
      </w:r>
      <w:r w:rsidRPr="00E94F8A">
        <w:t xml:space="preserve"> the forecast </w:t>
      </w:r>
      <w:r>
        <w:t xml:space="preserve">net </w:t>
      </w:r>
      <w:r w:rsidRPr="00E94F8A">
        <w:t>capex</w:t>
      </w:r>
      <w:r>
        <w:t xml:space="preserve"> and depreciation schedules applied to the assets</w:t>
      </w:r>
      <w:r w:rsidRPr="00E94F8A">
        <w:t>. By convention, the indexation adjustment is also offset against depreciation to prevent double counting of inflation in the RAB and WACC, which are both presented in nominal terms. This reduces the depreciation building block that feeds into the annual</w:t>
      </w:r>
      <w:r>
        <w:t xml:space="preserve"> </w:t>
      </w:r>
      <w:r w:rsidRPr="00E94F8A">
        <w:t>revenue requirement.</w:t>
      </w:r>
    </w:p>
    <w:p w:rsidR="00292B5C" w:rsidRDefault="00292B5C" w:rsidP="00292B5C">
      <w:r>
        <w:t>We maintain the RAB in real terms by indexing for inflation.</w:t>
      </w:r>
      <w:r>
        <w:rPr>
          <w:rStyle w:val="FootnoteReference"/>
        </w:rPr>
        <w:footnoteReference w:id="29"/>
      </w:r>
      <w:r>
        <w:t xml:space="preserve"> A nominal rate of return (WACC) is multiplied by the opening RAB to produce the return on capital building block.</w:t>
      </w:r>
      <w:r>
        <w:rPr>
          <w:rStyle w:val="FootnoteReference"/>
        </w:rPr>
        <w:footnoteReference w:id="30"/>
      </w:r>
      <w:r>
        <w:t xml:space="preserve"> T</w:t>
      </w:r>
      <w:r w:rsidRPr="00AC0983">
        <w:rPr>
          <w:rStyle w:val="AERbody"/>
        </w:rPr>
        <w:t>o prevent the double counting of inflation through the nominal WACC and indexed RAB,</w:t>
      </w:r>
      <w:r>
        <w:rPr>
          <w:rStyle w:val="FootnoteReference"/>
        </w:rPr>
        <w:footnoteReference w:id="31"/>
      </w:r>
      <w:r w:rsidRPr="00AC0983">
        <w:rPr>
          <w:rStyle w:val="AERbody"/>
        </w:rPr>
        <w:t xml:space="preserve"> the regulatory depreciation </w:t>
      </w:r>
      <w:r>
        <w:rPr>
          <w:rStyle w:val="AERbody"/>
        </w:rPr>
        <w:t xml:space="preserve">building block </w:t>
      </w:r>
      <w:r w:rsidRPr="00AC0983">
        <w:rPr>
          <w:rStyle w:val="AERbody"/>
        </w:rPr>
        <w:t>has an offsetting reduction for indexation of the RAB.</w:t>
      </w:r>
      <w:r w:rsidRPr="00AC0983">
        <w:rPr>
          <w:rStyle w:val="FootnoteReference"/>
        </w:rPr>
        <w:footnoteReference w:id="32"/>
      </w:r>
      <w:r w:rsidRPr="00AC0983">
        <w:rPr>
          <w:rStyle w:val="AERbody"/>
        </w:rPr>
        <w:t xml:space="preserve"> Indexation of the RAB and the offsetting adjustment made to depreciation results in smoother revenue recovery profile over the life of an asset than if the RAB was un</w:t>
      </w:r>
      <w:r>
        <w:rPr>
          <w:rStyle w:val="AERbody"/>
        </w:rPr>
        <w:t>-</w:t>
      </w:r>
      <w:r w:rsidRPr="00AC0983">
        <w:rPr>
          <w:rStyle w:val="AERbody"/>
        </w:rPr>
        <w:t>indexed. If the RAB was un</w:t>
      </w:r>
      <w:r>
        <w:rPr>
          <w:rStyle w:val="AERbody"/>
        </w:rPr>
        <w:t>-</w:t>
      </w:r>
      <w:r w:rsidRPr="00AC0983">
        <w:rPr>
          <w:rStyle w:val="AERbody"/>
        </w:rPr>
        <w:t xml:space="preserve">indexed, there would be no need for an offsetting adjustment to </w:t>
      </w:r>
      <w:r>
        <w:rPr>
          <w:rStyle w:val="AERbody"/>
        </w:rPr>
        <w:t xml:space="preserve">the </w:t>
      </w:r>
      <w:r w:rsidRPr="00AC0983">
        <w:rPr>
          <w:rStyle w:val="AERbody"/>
        </w:rPr>
        <w:t>depreciation</w:t>
      </w:r>
      <w:r>
        <w:rPr>
          <w:rStyle w:val="AERbody"/>
        </w:rPr>
        <w:t xml:space="preserve"> calculation of total revenue</w:t>
      </w:r>
      <w:r w:rsidRPr="00AC0983">
        <w:rPr>
          <w:rStyle w:val="AERbody"/>
        </w:rPr>
        <w:t xml:space="preserve">. This </w:t>
      </w:r>
      <w:r>
        <w:rPr>
          <w:rStyle w:val="AERbody"/>
        </w:rPr>
        <w:t xml:space="preserve">alternative approach </w:t>
      </w:r>
      <w:r w:rsidRPr="00AC0983">
        <w:rPr>
          <w:rStyle w:val="AERbody"/>
        </w:rPr>
        <w:t>provides for overall revenues being higher early in the asset's life (as a result of more depr</w:t>
      </w:r>
      <w:r w:rsidR="006A242A">
        <w:rPr>
          <w:rStyle w:val="AERbody"/>
        </w:rPr>
        <w:t>eciation being returned to the distributor</w:t>
      </w:r>
      <w:r w:rsidRPr="00AC0983">
        <w:rPr>
          <w:rStyle w:val="AERbody"/>
        </w:rPr>
        <w:t xml:space="preserve">) and lower in the </w:t>
      </w:r>
      <w:r w:rsidRPr="00AC0983">
        <w:rPr>
          <w:rStyle w:val="AERbody"/>
        </w:rPr>
        <w:lastRenderedPageBreak/>
        <w:t>future—producing a steeper downward sloping profile of total revenue.</w:t>
      </w:r>
      <w:r w:rsidRPr="00AC0983">
        <w:rPr>
          <w:rStyle w:val="FootnoteReference"/>
        </w:rPr>
        <w:footnoteReference w:id="33"/>
      </w:r>
      <w:r w:rsidRPr="00AC0983">
        <w:rPr>
          <w:rStyle w:val="AERbody"/>
        </w:rPr>
        <w:t xml:space="preserve"> </w:t>
      </w:r>
      <w:r w:rsidR="00A45A63" w:rsidRPr="00AC0983">
        <w:rPr>
          <w:rStyle w:val="AERbody"/>
        </w:rPr>
        <w:t>The implications of an un</w:t>
      </w:r>
      <w:r w:rsidR="00A45A63">
        <w:rPr>
          <w:rStyle w:val="AERbody"/>
        </w:rPr>
        <w:t>-</w:t>
      </w:r>
      <w:r w:rsidR="00A45A63" w:rsidRPr="00AC0983">
        <w:rPr>
          <w:rStyle w:val="AERbody"/>
        </w:rPr>
        <w:t>indexed RAB are discussed further in attachment 5.</w:t>
      </w:r>
    </w:p>
    <w:p w:rsidR="00BA416F" w:rsidRPr="00A33FA2" w:rsidRDefault="00BA416F" w:rsidP="00BA416F">
      <w:r w:rsidRPr="00A33FA2">
        <w:fldChar w:fldCharType="begin"/>
      </w:r>
      <w:r w:rsidRPr="00A33FA2">
        <w:instrText xml:space="preserve"> REF _Ref417385822 \h </w:instrText>
      </w:r>
      <w:r w:rsidRPr="00A33FA2">
        <w:fldChar w:fldCharType="separate"/>
      </w:r>
      <w:r w:rsidR="00F62F16" w:rsidRPr="00A33FA2">
        <w:t xml:space="preserve">Figure </w:t>
      </w:r>
      <w:r w:rsidR="00F62F16">
        <w:rPr>
          <w:noProof/>
        </w:rPr>
        <w:t>2</w:t>
      </w:r>
      <w:r w:rsidR="00F62F16" w:rsidRPr="00A33FA2">
        <w:t>.</w:t>
      </w:r>
      <w:r w:rsidR="00F62F16">
        <w:rPr>
          <w:noProof/>
        </w:rPr>
        <w:t>1</w:t>
      </w:r>
      <w:r w:rsidRPr="00A33FA2">
        <w:fldChar w:fldCharType="end"/>
      </w:r>
      <w:r w:rsidRPr="00A33FA2">
        <w:t xml:space="preserve"> shows the key drivers of the change in the RAB over the </w:t>
      </w:r>
      <w:r w:rsidR="00264320">
        <w:t>2017–19</w:t>
      </w:r>
      <w:r w:rsidRPr="00A33FA2">
        <w:t xml:space="preserve"> regulatory control </w:t>
      </w:r>
      <w:proofErr w:type="gramStart"/>
      <w:r w:rsidRPr="00A33FA2">
        <w:t>period</w:t>
      </w:r>
      <w:proofErr w:type="gramEnd"/>
      <w:r w:rsidRPr="00A33FA2">
        <w:t xml:space="preserve"> as proposed by </w:t>
      </w:r>
      <w:r>
        <w:t>TasNetworks</w:t>
      </w:r>
      <w:r w:rsidRPr="00A33FA2">
        <w:t xml:space="preserve">. Overall, the closing RAB at the end of the </w:t>
      </w:r>
      <w:r w:rsidR="00264320">
        <w:t>2017–19</w:t>
      </w:r>
      <w:r w:rsidRPr="00A33FA2">
        <w:t xml:space="preserve"> regul</w:t>
      </w:r>
      <w:r>
        <w:t xml:space="preserve">atory control period would be </w:t>
      </w:r>
      <w:r w:rsidR="00201BB8">
        <w:t>7.1</w:t>
      </w:r>
      <w:r w:rsidRPr="00A33FA2">
        <w:t xml:space="preserve"> per cent higher than the opening RAB at the start of that period based on the proposal, in nominal terms. The proposed forecast net capex increases the RAB by about </w:t>
      </w:r>
      <w:r w:rsidR="00201BB8">
        <w:t>13.6</w:t>
      </w:r>
      <w:r w:rsidRPr="00A33FA2">
        <w:t xml:space="preserve"> per cent, while </w:t>
      </w:r>
      <w:r w:rsidR="00A45A63">
        <w:t xml:space="preserve">expected </w:t>
      </w:r>
      <w:r w:rsidRPr="00A33FA2">
        <w:t>in</w:t>
      </w:r>
      <w:r>
        <w:t xml:space="preserve">flation increases it by about </w:t>
      </w:r>
      <w:r w:rsidR="00201BB8">
        <w:t>5.1</w:t>
      </w:r>
      <w:r w:rsidRPr="00A33FA2">
        <w:t xml:space="preserve"> per cent. Forecast depreciation, on the other hand, reduces the RAB by about </w:t>
      </w:r>
      <w:r w:rsidR="00201BB8">
        <w:t>11.6</w:t>
      </w:r>
      <w:r w:rsidRPr="00A33FA2">
        <w:t xml:space="preserve"> per cent.</w:t>
      </w:r>
    </w:p>
    <w:p w:rsidR="00BA416F" w:rsidRDefault="00BA416F" w:rsidP="00BA416F">
      <w:pPr>
        <w:pStyle w:val="Caption"/>
      </w:pPr>
      <w:bookmarkStart w:id="83" w:name="_Ref417385822"/>
      <w:proofErr w:type="gramStart"/>
      <w:r w:rsidRPr="00A33FA2">
        <w:t xml:space="preserve">Figure </w:t>
      </w:r>
      <w:fldSimple w:instr=" STYLEREF 1 \s ">
        <w:r w:rsidR="00F62F16">
          <w:rPr>
            <w:noProof/>
          </w:rPr>
          <w:t>2</w:t>
        </w:r>
      </w:fldSimple>
      <w:r w:rsidRPr="00A33FA2">
        <w:t>.</w:t>
      </w:r>
      <w:proofErr w:type="gramEnd"/>
      <w:r w:rsidRPr="00BA416F">
        <w:fldChar w:fldCharType="begin"/>
      </w:r>
      <w:r>
        <w:instrText xml:space="preserve"> SEQ Figure \* ARABIC \s 1 </w:instrText>
      </w:r>
      <w:r w:rsidRPr="00BA416F">
        <w:fldChar w:fldCharType="separate"/>
      </w:r>
      <w:r w:rsidR="00F62F16">
        <w:rPr>
          <w:noProof/>
        </w:rPr>
        <w:t>1</w:t>
      </w:r>
      <w:r w:rsidRPr="00BA416F">
        <w:fldChar w:fldCharType="end"/>
      </w:r>
      <w:bookmarkEnd w:id="83"/>
      <w:r w:rsidRPr="00A33FA2">
        <w:tab/>
        <w:t>Key drivers of changes in the RAB ($ million, nominal)</w:t>
      </w:r>
    </w:p>
    <w:p w:rsidR="00BA416F" w:rsidRPr="006D2E79" w:rsidRDefault="00D81907" w:rsidP="00BA416F">
      <w:r>
        <w:rPr>
          <w:noProof/>
          <w:lang w:eastAsia="en-AU"/>
        </w:rPr>
        <w:drawing>
          <wp:inline distT="0" distB="0" distL="0" distR="0" wp14:anchorId="4B616EC0" wp14:editId="73E2A40C">
            <wp:extent cx="5444116" cy="3653345"/>
            <wp:effectExtent l="0" t="0" r="444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5538" cy="3654299"/>
                    </a:xfrm>
                    <a:prstGeom prst="rect">
                      <a:avLst/>
                    </a:prstGeom>
                    <a:noFill/>
                  </pic:spPr>
                </pic:pic>
              </a:graphicData>
            </a:graphic>
          </wp:inline>
        </w:drawing>
      </w:r>
    </w:p>
    <w:p w:rsidR="00BA416F" w:rsidRPr="00A33FA2" w:rsidRDefault="00BA416F" w:rsidP="00BA416F">
      <w:pPr>
        <w:pStyle w:val="AERtablesource"/>
      </w:pPr>
      <w:r w:rsidRPr="00A33FA2">
        <w:t>Source:</w:t>
      </w:r>
      <w:r w:rsidRPr="00A33FA2">
        <w:tab/>
      </w:r>
      <w:r>
        <w:t>TasNetworks</w:t>
      </w:r>
      <w:r w:rsidRPr="003321D6">
        <w:t xml:space="preserve">, </w:t>
      </w:r>
      <w:r w:rsidRPr="003321D6">
        <w:rPr>
          <w:rStyle w:val="Emphasis"/>
        </w:rPr>
        <w:t>Regulatory proposal</w:t>
      </w:r>
      <w:r w:rsidRPr="003321D6">
        <w:t xml:space="preserve">, April 2015, Attachment </w:t>
      </w:r>
      <w:r w:rsidRPr="003321D6">
        <w:rPr>
          <w:rStyle w:val="Emphasis"/>
        </w:rPr>
        <w:t>CP 2016-20 PTRM</w:t>
      </w:r>
      <w:r w:rsidRPr="003321D6">
        <w:t>.</w:t>
      </w:r>
    </w:p>
    <w:p w:rsidR="00BA416F" w:rsidRPr="00FD2537" w:rsidRDefault="00BA416F" w:rsidP="00BA416F">
      <w:pPr>
        <w:pStyle w:val="ListParagraph"/>
        <w:numPr>
          <w:ilvl w:val="0"/>
          <w:numId w:val="24"/>
        </w:numPr>
        <w:rPr>
          <w:rStyle w:val="AERbody"/>
        </w:rPr>
      </w:pPr>
      <w:r>
        <w:t>TasNetworks</w:t>
      </w:r>
      <w:r w:rsidR="00A45A63">
        <w:t xml:space="preserve"> forecast depreciation of</w:t>
      </w:r>
      <w:r w:rsidRPr="00FD2537">
        <w:t xml:space="preserve"> </w:t>
      </w:r>
      <w:r w:rsidR="00A45A63">
        <w:t>$191.2 million ($ nominal)</w:t>
      </w:r>
      <w:r w:rsidRPr="00FD2537">
        <w:rPr>
          <w:rStyle w:val="AERbody"/>
        </w:rPr>
        <w:t xml:space="preserve">. </w:t>
      </w:r>
      <w:r w:rsidR="00A45A63">
        <w:rPr>
          <w:rStyle w:val="AERbody"/>
        </w:rPr>
        <w:t xml:space="preserve">We have </w:t>
      </w:r>
      <w:r w:rsidR="00DF4A2A">
        <w:rPr>
          <w:rStyle w:val="AERbody"/>
        </w:rPr>
        <w:t xml:space="preserve">largely </w:t>
      </w:r>
      <w:r w:rsidR="00A45A63">
        <w:rPr>
          <w:rStyle w:val="AERbody"/>
        </w:rPr>
        <w:t xml:space="preserve">accepted TasNetworks' depreciation proposal, subject to some </w:t>
      </w:r>
      <w:r w:rsidR="00DF4A2A">
        <w:rPr>
          <w:rStyle w:val="AERbody"/>
        </w:rPr>
        <w:t xml:space="preserve">input </w:t>
      </w:r>
      <w:r w:rsidR="00A45A63">
        <w:rPr>
          <w:rStyle w:val="AERbody"/>
        </w:rPr>
        <w:t>updates</w:t>
      </w:r>
      <w:r w:rsidR="00DF4A2A">
        <w:rPr>
          <w:rStyle w:val="AERbody"/>
        </w:rPr>
        <w:t xml:space="preserve"> and modelling corrections</w:t>
      </w:r>
      <w:r w:rsidR="00A45A63">
        <w:rPr>
          <w:rStyle w:val="AERbody"/>
        </w:rPr>
        <w:t xml:space="preserve">, as it satisfies the requirements of the NER in terms of the assigned </w:t>
      </w:r>
      <w:r w:rsidR="00D81907">
        <w:rPr>
          <w:rStyle w:val="AERbody"/>
        </w:rPr>
        <w:t xml:space="preserve">standard </w:t>
      </w:r>
      <w:r w:rsidR="00A45A63">
        <w:rPr>
          <w:rStyle w:val="AERbody"/>
        </w:rPr>
        <w:t xml:space="preserve">asset lives. This is discussed in attachment 5. </w:t>
      </w:r>
      <w:r w:rsidRPr="006311E4">
        <w:rPr>
          <w:rStyle w:val="AERbody"/>
        </w:rPr>
        <w:t>The depreciation amount largely depends on the opening RAB (which in turn depends on capex</w:t>
      </w:r>
      <w:r w:rsidR="00A45A63">
        <w:rPr>
          <w:rStyle w:val="AERbody"/>
        </w:rPr>
        <w:t xml:space="preserve"> in the past</w:t>
      </w:r>
      <w:r w:rsidRPr="006311E4">
        <w:rPr>
          <w:rStyle w:val="AERbody"/>
        </w:rPr>
        <w:t xml:space="preserve">). </w:t>
      </w:r>
      <w:r w:rsidR="00A45A63">
        <w:rPr>
          <w:rStyle w:val="AERbody"/>
        </w:rPr>
        <w:t>F</w:t>
      </w:r>
      <w:r w:rsidRPr="00FD2537">
        <w:rPr>
          <w:rStyle w:val="AERbody"/>
        </w:rPr>
        <w:t>orecast net capex</w:t>
      </w:r>
      <w:r w:rsidR="00A45A63">
        <w:rPr>
          <w:rStyle w:val="AERbody"/>
        </w:rPr>
        <w:t xml:space="preserve"> is a significant </w:t>
      </w:r>
      <w:r w:rsidRPr="00FD2537">
        <w:rPr>
          <w:rStyle w:val="AERbody"/>
        </w:rPr>
        <w:t>driver of the increase in the RAB</w:t>
      </w:r>
      <w:r w:rsidR="00A45A63">
        <w:rPr>
          <w:rStyle w:val="AERbody"/>
        </w:rPr>
        <w:t>. We</w:t>
      </w:r>
      <w:r w:rsidR="004E49E0">
        <w:rPr>
          <w:rStyle w:val="AERbody"/>
        </w:rPr>
        <w:t xml:space="preserve"> are</w:t>
      </w:r>
      <w:r w:rsidR="00A45A63">
        <w:rPr>
          <w:rStyle w:val="AERbody"/>
        </w:rPr>
        <w:t xml:space="preserve"> </w:t>
      </w:r>
      <w:r w:rsidR="00DF4A2A">
        <w:rPr>
          <w:rStyle w:val="AERbody"/>
        </w:rPr>
        <w:t>also</w:t>
      </w:r>
      <w:r w:rsidR="00A45A63">
        <w:rPr>
          <w:rStyle w:val="AERbody"/>
        </w:rPr>
        <w:t xml:space="preserve"> </w:t>
      </w:r>
      <w:r w:rsidR="00A45A63">
        <w:rPr>
          <w:rStyle w:val="AERbody"/>
        </w:rPr>
        <w:lastRenderedPageBreak/>
        <w:t>satisfied TasNetworks' proposed total forecast capex of</w:t>
      </w:r>
      <w:r w:rsidR="00EA702C">
        <w:rPr>
          <w:rStyle w:val="AERbody"/>
        </w:rPr>
        <w:t xml:space="preserve"> $2</w:t>
      </w:r>
      <w:r w:rsidR="00D81907">
        <w:rPr>
          <w:rStyle w:val="AERbody"/>
        </w:rPr>
        <w:t>1</w:t>
      </w:r>
      <w:r w:rsidR="00EA702C">
        <w:rPr>
          <w:rStyle w:val="AERbody"/>
        </w:rPr>
        <w:t>3.</w:t>
      </w:r>
      <w:r w:rsidR="00D81907">
        <w:rPr>
          <w:rStyle w:val="AERbody"/>
        </w:rPr>
        <w:t>4</w:t>
      </w:r>
      <w:r w:rsidR="00EA702C">
        <w:rPr>
          <w:rStyle w:val="AERbody"/>
        </w:rPr>
        <w:t xml:space="preserve"> million ($ </w:t>
      </w:r>
      <w:r w:rsidR="00D81907">
        <w:rPr>
          <w:rStyle w:val="AERbody"/>
        </w:rPr>
        <w:t>2016–17</w:t>
      </w:r>
      <w:r w:rsidR="00EA702C">
        <w:rPr>
          <w:rStyle w:val="AERbody"/>
        </w:rPr>
        <w:t>)</w:t>
      </w:r>
      <w:r w:rsidR="008B7F7D">
        <w:rPr>
          <w:rStyle w:val="FootnoteReference"/>
        </w:rPr>
        <w:footnoteReference w:id="34"/>
      </w:r>
      <w:r w:rsidR="00EA702C">
        <w:rPr>
          <w:rStyle w:val="AERbody"/>
        </w:rPr>
        <w:t xml:space="preserve"> for the 2017–19 regulatory control period reasonably reflects the capex criteria. We have therefore </w:t>
      </w:r>
      <w:r w:rsidR="00DF4A2A">
        <w:rPr>
          <w:rStyle w:val="AERbody"/>
        </w:rPr>
        <w:t>accepted</w:t>
      </w:r>
      <w:r w:rsidR="00EA702C">
        <w:rPr>
          <w:rStyle w:val="AERbody"/>
        </w:rPr>
        <w:t xml:space="preserve"> TasNetworks' proposed </w:t>
      </w:r>
      <w:r w:rsidR="00DF4A2A">
        <w:rPr>
          <w:rStyle w:val="AERbody"/>
        </w:rPr>
        <w:t xml:space="preserve">total forecast </w:t>
      </w:r>
      <w:r w:rsidR="00EA702C">
        <w:rPr>
          <w:rStyle w:val="AERbody"/>
        </w:rPr>
        <w:t xml:space="preserve">capex for the 2017–19 regulatory control </w:t>
      </w:r>
      <w:proofErr w:type="gramStart"/>
      <w:r w:rsidR="00EA702C">
        <w:rPr>
          <w:rStyle w:val="AERbody"/>
        </w:rPr>
        <w:t>period</w:t>
      </w:r>
      <w:proofErr w:type="gramEnd"/>
      <w:r w:rsidRPr="00FD2537">
        <w:rPr>
          <w:rStyle w:val="AERbody"/>
        </w:rPr>
        <w:t>.</w:t>
      </w:r>
      <w:r w:rsidR="00EA702C">
        <w:rPr>
          <w:rStyle w:val="FootnoteReference"/>
        </w:rPr>
        <w:footnoteReference w:id="35"/>
      </w:r>
      <w:r w:rsidRPr="00FD2537">
        <w:rPr>
          <w:rStyle w:val="AERbody"/>
        </w:rPr>
        <w:t xml:space="preserve"> Refer to attachment 6 for the discussion on forecast capex. </w:t>
      </w:r>
    </w:p>
    <w:p w:rsidR="00BA416F" w:rsidRPr="00A33FA2" w:rsidRDefault="00BA416F" w:rsidP="00BA416F">
      <w:pPr>
        <w:numPr>
          <w:ilvl w:val="0"/>
          <w:numId w:val="24"/>
        </w:numPr>
      </w:pPr>
      <w:r w:rsidRPr="00A33FA2">
        <w:t xml:space="preserve">A ten per cent increase in the opening RAB causes revenues to increase by about </w:t>
      </w:r>
      <w:r w:rsidR="00FC22EE">
        <w:t>7.0</w:t>
      </w:r>
      <w:r>
        <w:rPr>
          <w:rStyle w:val="AERbody"/>
        </w:rPr>
        <w:t> </w:t>
      </w:r>
      <w:r w:rsidRPr="00A33FA2">
        <w:rPr>
          <w:rStyle w:val="AERbody"/>
        </w:rPr>
        <w:t>per cent. However, the impact on revenues of the annual change in RAB depends on</w:t>
      </w:r>
      <w:r w:rsidRPr="00A33FA2">
        <w:t xml:space="preserve"> the source of the RAB change, as some drivers affect more than one building block cost.</w:t>
      </w:r>
      <w:r w:rsidRPr="00A33FA2">
        <w:rPr>
          <w:rStyle w:val="FootnoteReference"/>
        </w:rPr>
        <w:footnoteReference w:id="36"/>
      </w:r>
    </w:p>
    <w:p w:rsidR="00132D43" w:rsidRDefault="00132D43" w:rsidP="00132D43">
      <w:pPr>
        <w:pStyle w:val="Heading2"/>
      </w:pPr>
      <w:bookmarkStart w:id="84" w:name="_Toc462753584"/>
      <w:r>
        <w:t>Reasons for draft decision</w:t>
      </w:r>
      <w:bookmarkEnd w:id="84"/>
    </w:p>
    <w:p w:rsidR="00BA416F" w:rsidRPr="00782D76" w:rsidRDefault="00BA416F" w:rsidP="00BA416F">
      <w:pPr>
        <w:rPr>
          <w:rStyle w:val="AERbody"/>
        </w:rPr>
      </w:pPr>
      <w:r w:rsidRPr="00782D76">
        <w:rPr>
          <w:rStyle w:val="AERbody"/>
        </w:rPr>
        <w:t xml:space="preserve">We determine an opening RAB value for </w:t>
      </w:r>
      <w:r>
        <w:t>TasNetworks</w:t>
      </w:r>
      <w:r w:rsidRPr="003321D6">
        <w:t xml:space="preserve"> of $</w:t>
      </w:r>
      <w:r w:rsidR="002538F2">
        <w:t>1629.4</w:t>
      </w:r>
      <w:r w:rsidRPr="003321D6">
        <w:t xml:space="preserve"> million ($ nominal) </w:t>
      </w:r>
      <w:r>
        <w:t xml:space="preserve">as </w:t>
      </w:r>
      <w:r w:rsidRPr="003321D6">
        <w:t>at 1 </w:t>
      </w:r>
      <w:r w:rsidR="00264320">
        <w:t>July 2017</w:t>
      </w:r>
      <w:r w:rsidRPr="003321D6">
        <w:t xml:space="preserve">, a </w:t>
      </w:r>
      <w:r w:rsidR="00EA702C">
        <w:t>reduction</w:t>
      </w:r>
      <w:r w:rsidRPr="003321D6">
        <w:t xml:space="preserve"> of $</w:t>
      </w:r>
      <w:r w:rsidR="002538F2">
        <w:t>17.4</w:t>
      </w:r>
      <w:r w:rsidRPr="003321D6">
        <w:t xml:space="preserve"> million ($ nominal) or </w:t>
      </w:r>
      <w:r w:rsidR="002538F2">
        <w:t>1.1</w:t>
      </w:r>
      <w:r w:rsidRPr="003321D6">
        <w:t xml:space="preserve"> per cent from</w:t>
      </w:r>
      <w:r w:rsidRPr="00782D76">
        <w:rPr>
          <w:rStyle w:val="AERbody"/>
        </w:rPr>
        <w:t xml:space="preserve"> the proposed value. We forecast a closing RAB value </w:t>
      </w:r>
      <w:r w:rsidRPr="003321D6">
        <w:t>of $</w:t>
      </w:r>
      <w:r w:rsidR="002538F2">
        <w:t>1753.9</w:t>
      </w:r>
      <w:r w:rsidRPr="003321D6">
        <w:t xml:space="preserve"> million by </w:t>
      </w:r>
      <w:r w:rsidR="00621C1F">
        <w:t>30 June 2019</w:t>
      </w:r>
      <w:r w:rsidRPr="003321D6">
        <w:t>. This represents a reduction of $</w:t>
      </w:r>
      <w:r w:rsidR="002538F2">
        <w:t xml:space="preserve">9.4 </w:t>
      </w:r>
      <w:r w:rsidRPr="003321D6">
        <w:t xml:space="preserve">million or </w:t>
      </w:r>
      <w:r w:rsidR="002538F2">
        <w:t>0.5</w:t>
      </w:r>
      <w:r w:rsidRPr="003321D6">
        <w:t xml:space="preserve"> per cent</w:t>
      </w:r>
      <w:r w:rsidRPr="00782D76">
        <w:rPr>
          <w:rStyle w:val="AERbody"/>
        </w:rPr>
        <w:t xml:space="preserve"> compared to </w:t>
      </w:r>
      <w:r w:rsidR="00EA702C">
        <w:rPr>
          <w:rStyle w:val="AERbody"/>
        </w:rPr>
        <w:t>TasNetworks'</w:t>
      </w:r>
      <w:r w:rsidRPr="00782D76">
        <w:rPr>
          <w:rStyle w:val="AERbody"/>
        </w:rPr>
        <w:t xml:space="preserve"> proposal. The reasons for our </w:t>
      </w:r>
      <w:r w:rsidR="00EA702C">
        <w:rPr>
          <w:rStyle w:val="AERbody"/>
        </w:rPr>
        <w:t xml:space="preserve">draft </w:t>
      </w:r>
      <w:r w:rsidRPr="00782D76">
        <w:rPr>
          <w:rStyle w:val="AERbody"/>
        </w:rPr>
        <w:t>decision are discussed below.</w:t>
      </w:r>
    </w:p>
    <w:p w:rsidR="00BA416F" w:rsidRPr="00BA416F" w:rsidRDefault="00BA416F" w:rsidP="00BA416F">
      <w:pPr>
        <w:pStyle w:val="Heading3"/>
      </w:pPr>
      <w:bookmarkStart w:id="85" w:name="_Ref433025367"/>
      <w:bookmarkStart w:id="86" w:name="_Toc433171832"/>
      <w:bookmarkStart w:id="87" w:name="_Toc462753585"/>
      <w:r w:rsidRPr="008349B7">
        <w:t xml:space="preserve">Opening RAB as at 1 </w:t>
      </w:r>
      <w:r w:rsidR="00264320">
        <w:t>July 2017</w:t>
      </w:r>
      <w:bookmarkEnd w:id="85"/>
      <w:bookmarkEnd w:id="86"/>
      <w:bookmarkEnd w:id="87"/>
    </w:p>
    <w:p w:rsidR="001D5FE5" w:rsidRDefault="001D5FE5" w:rsidP="001D5FE5">
      <w:pPr>
        <w:rPr>
          <w:rStyle w:val="AERbody"/>
        </w:rPr>
      </w:pPr>
      <w:r w:rsidRPr="00A449A3">
        <w:t xml:space="preserve">We </w:t>
      </w:r>
      <w:r>
        <w:t>determine an opening RAB value of $</w:t>
      </w:r>
      <w:r w:rsidR="005E490E">
        <w:t>1629.4</w:t>
      </w:r>
      <w:r>
        <w:t xml:space="preserve"> million ($ nominal) as at 1 July 2017 for TasNetworks.</w:t>
      </w:r>
      <w:r w:rsidRPr="00A449A3">
        <w:t xml:space="preserve"> </w:t>
      </w:r>
      <w:r>
        <w:t>This value is $</w:t>
      </w:r>
      <w:r w:rsidR="005E490E">
        <w:t>17.4</w:t>
      </w:r>
      <w:r>
        <w:t xml:space="preserve"> million (or </w:t>
      </w:r>
      <w:r w:rsidR="005E490E">
        <w:t>1.1</w:t>
      </w:r>
      <w:r>
        <w:t xml:space="preserve"> per cent) lower than</w:t>
      </w:r>
      <w:r w:rsidRPr="00A449A3">
        <w:t xml:space="preserve"> </w:t>
      </w:r>
      <w:r>
        <w:t>TasNetworks</w:t>
      </w:r>
      <w:r w:rsidRPr="00A449A3">
        <w:t>' proposed opening RAB of $</w:t>
      </w:r>
      <w:r>
        <w:t>1646.7</w:t>
      </w:r>
      <w:r w:rsidRPr="00A449A3">
        <w:t xml:space="preserve"> million ($ nominal) </w:t>
      </w:r>
      <w:r>
        <w:t xml:space="preserve">as </w:t>
      </w:r>
      <w:r w:rsidRPr="00A449A3">
        <w:t xml:space="preserve">at </w:t>
      </w:r>
      <w:r>
        <w:t>1 July 2017</w:t>
      </w:r>
      <w:r w:rsidRPr="00A449A3">
        <w:t>.</w:t>
      </w:r>
      <w:r w:rsidRPr="00A449A3">
        <w:rPr>
          <w:rStyle w:val="FootnoteReference"/>
        </w:rPr>
        <w:footnoteReference w:id="37"/>
      </w:r>
      <w:r w:rsidRPr="00A449A3">
        <w:t xml:space="preserve"> </w:t>
      </w:r>
      <w:r w:rsidRPr="008B20E4">
        <w:rPr>
          <w:rStyle w:val="AERbody"/>
        </w:rPr>
        <w:t xml:space="preserve">This is because we </w:t>
      </w:r>
      <w:r>
        <w:rPr>
          <w:rStyle w:val="AERbody"/>
        </w:rPr>
        <w:t>updated the inflation input for 2015–16 using the actual March 2016 consumer price index (CPI) published by the Australian Bureau of Statistics.</w:t>
      </w:r>
      <w:r>
        <w:rPr>
          <w:rStyle w:val="FootnoteReference"/>
        </w:rPr>
        <w:footnoteReference w:id="38"/>
      </w:r>
      <w:r>
        <w:rPr>
          <w:rStyle w:val="AERbody"/>
        </w:rPr>
        <w:t xml:space="preserve"> </w:t>
      </w:r>
    </w:p>
    <w:p w:rsidR="00BA416F" w:rsidRDefault="00BA416F" w:rsidP="00BA416F">
      <w:r>
        <w:t xml:space="preserve">To determine the opening RAB </w:t>
      </w:r>
      <w:r w:rsidR="002B1CB5">
        <w:t xml:space="preserve">as </w:t>
      </w:r>
      <w:r w:rsidRPr="00782D76">
        <w:t xml:space="preserve">at 1 </w:t>
      </w:r>
      <w:r w:rsidR="00264320">
        <w:t>July 2017</w:t>
      </w:r>
      <w:r w:rsidRPr="00782D76">
        <w:t xml:space="preserve"> we have rolled forward the RAB over the </w:t>
      </w:r>
      <w:r w:rsidR="007B0D12">
        <w:t>2012–17</w:t>
      </w:r>
      <w:r w:rsidRPr="00782D76">
        <w:t xml:space="preserve"> regulatory control period to determine a closing RAB value </w:t>
      </w:r>
      <w:r>
        <w:t xml:space="preserve">as </w:t>
      </w:r>
      <w:r w:rsidRPr="00782D76">
        <w:t>at 3</w:t>
      </w:r>
      <w:r w:rsidR="00165235">
        <w:t>0</w:t>
      </w:r>
      <w:r w:rsidRPr="00782D76">
        <w:t> </w:t>
      </w:r>
      <w:r w:rsidR="00165235">
        <w:t>June</w:t>
      </w:r>
      <w:r w:rsidRPr="00782D76">
        <w:t xml:space="preserve"> 201</w:t>
      </w:r>
      <w:r w:rsidR="00165235">
        <w:t>7</w:t>
      </w:r>
      <w:r w:rsidRPr="00782D76">
        <w:t>. In doing so we reviewed the key inputs of</w:t>
      </w:r>
      <w:r>
        <w:t xml:space="preserve"> TasNetworks'</w:t>
      </w:r>
      <w:r w:rsidRPr="00782D76">
        <w:t xml:space="preserve"> proposed RFM, such as asset lives, </w:t>
      </w:r>
      <w:r>
        <w:t>actual gross capex</w:t>
      </w:r>
      <w:r w:rsidR="009D64EE">
        <w:t xml:space="preserve"> values</w:t>
      </w:r>
      <w:r>
        <w:t xml:space="preserve">, </w:t>
      </w:r>
      <w:r w:rsidR="009D64EE">
        <w:t>asset disposal values</w:t>
      </w:r>
      <w:r w:rsidR="002B1CB5">
        <w:t>,</w:t>
      </w:r>
      <w:r w:rsidR="009D64EE">
        <w:t xml:space="preserve"> </w:t>
      </w:r>
      <w:r w:rsidRPr="00782D76">
        <w:t xml:space="preserve">capital contribution </w:t>
      </w:r>
      <w:r w:rsidR="002B1CB5">
        <w:t xml:space="preserve">values, actual inflation </w:t>
      </w:r>
      <w:r w:rsidRPr="00782D76">
        <w:t xml:space="preserve">and rate of return. We found </w:t>
      </w:r>
      <w:r>
        <w:t xml:space="preserve">these </w:t>
      </w:r>
      <w:r w:rsidRPr="00782D76">
        <w:t xml:space="preserve">were </w:t>
      </w:r>
      <w:r w:rsidR="002B1CB5">
        <w:t xml:space="preserve">generally </w:t>
      </w:r>
      <w:r w:rsidRPr="00782D76">
        <w:t>correct and they reconcile with relevant data sources such</w:t>
      </w:r>
      <w:r>
        <w:t xml:space="preserve"> as</w:t>
      </w:r>
      <w:r w:rsidRPr="00782D76">
        <w:t xml:space="preserve"> annual reporting RIN data and the </w:t>
      </w:r>
      <w:r w:rsidR="007B0D12">
        <w:lastRenderedPageBreak/>
        <w:t>2012–17</w:t>
      </w:r>
      <w:r w:rsidRPr="00782D76">
        <w:t xml:space="preserve"> decision models.</w:t>
      </w:r>
      <w:r w:rsidRPr="00782D76">
        <w:rPr>
          <w:rStyle w:val="FootnoteReference"/>
        </w:rPr>
        <w:footnoteReference w:id="39"/>
      </w:r>
      <w:r w:rsidRPr="00782D76">
        <w:t xml:space="preserve"> </w:t>
      </w:r>
      <w:r w:rsidR="002B1CB5">
        <w:t>However, we consider TasNetworks' proposed RFM input should be updated for 2015–16 actual CPI as it is now available.</w:t>
      </w:r>
      <w:r w:rsidR="002B1CB5">
        <w:rPr>
          <w:rStyle w:val="FootnoteReference"/>
        </w:rPr>
        <w:footnoteReference w:id="40"/>
      </w:r>
    </w:p>
    <w:p w:rsidR="009D64EE" w:rsidRDefault="009D64EE" w:rsidP="009D64EE">
      <w:r>
        <w:t>We also</w:t>
      </w:r>
      <w:r w:rsidRPr="004B1B8E">
        <w:t xml:space="preserve"> </w:t>
      </w:r>
      <w:r>
        <w:t xml:space="preserve">consider the </w:t>
      </w:r>
      <w:r>
        <w:rPr>
          <w:rStyle w:val="AERbody"/>
        </w:rPr>
        <w:t>extent to which our roll forward of the RAB to 1 July 2017 contributes to the achievement of the capital expenditure incentive objective.</w:t>
      </w:r>
      <w:r>
        <w:rPr>
          <w:rStyle w:val="FootnoteReference"/>
        </w:rPr>
        <w:footnoteReference w:id="41"/>
      </w:r>
      <w:r>
        <w:rPr>
          <w:rStyle w:val="AERbody"/>
        </w:rPr>
        <w:t xml:space="preserve"> </w:t>
      </w:r>
      <w:r w:rsidRPr="00DB1673">
        <w:rPr>
          <w:rStyle w:val="AERbody"/>
        </w:rPr>
        <w:t xml:space="preserve">We note that under the transitional rules, in making this </w:t>
      </w:r>
      <w:r w:rsidR="0074099D">
        <w:rPr>
          <w:rStyle w:val="AERbody"/>
        </w:rPr>
        <w:t>distribution</w:t>
      </w:r>
      <w:r w:rsidRPr="00DB1673">
        <w:rPr>
          <w:rStyle w:val="AERbody"/>
        </w:rPr>
        <w:t xml:space="preserve"> determination</w:t>
      </w:r>
      <w:r>
        <w:rPr>
          <w:rStyle w:val="AERbody"/>
        </w:rPr>
        <w:t xml:space="preserve">, the review of past capex does not apply to </w:t>
      </w:r>
      <w:r w:rsidR="00C95199">
        <w:rPr>
          <w:rStyle w:val="AERbody"/>
        </w:rPr>
        <w:t>TasNetworks</w:t>
      </w:r>
      <w:r>
        <w:rPr>
          <w:rStyle w:val="AERbody"/>
        </w:rPr>
        <w:t xml:space="preserve"> prior to 1 July 2014.</w:t>
      </w:r>
      <w:r>
        <w:rPr>
          <w:rStyle w:val="FootnoteReference"/>
        </w:rPr>
        <w:footnoteReference w:id="42"/>
      </w:r>
      <w:r w:rsidRPr="00DB1673">
        <w:rPr>
          <w:rStyle w:val="AERbody"/>
        </w:rPr>
        <w:t xml:space="preserve"> </w:t>
      </w:r>
      <w:r>
        <w:t>Given this,</w:t>
      </w:r>
      <w:r w:rsidRPr="004B1B8E">
        <w:t xml:space="preserve"> the review period </w:t>
      </w:r>
      <w:r>
        <w:t xml:space="preserve">for this </w:t>
      </w:r>
      <w:r w:rsidR="00A651F3">
        <w:t>distribution</w:t>
      </w:r>
      <w:r>
        <w:t xml:space="preserve"> determination </w:t>
      </w:r>
      <w:r w:rsidRPr="00BA5DCF">
        <w:t xml:space="preserve">is limited </w:t>
      </w:r>
      <w:r>
        <w:t xml:space="preserve">to </w:t>
      </w:r>
      <w:r w:rsidRPr="004B1B8E">
        <w:t>2014</w:t>
      </w:r>
      <w:r>
        <w:t>–</w:t>
      </w:r>
      <w:r w:rsidRPr="004B1B8E">
        <w:t>15</w:t>
      </w:r>
      <w:r>
        <w:t xml:space="preserve"> capex</w:t>
      </w:r>
      <w:r w:rsidRPr="004B1B8E">
        <w:t>.</w:t>
      </w:r>
      <w:r>
        <w:rPr>
          <w:rStyle w:val="FootnoteReference"/>
        </w:rPr>
        <w:footnoteReference w:id="43"/>
      </w:r>
      <w:r>
        <w:t xml:space="preserve"> </w:t>
      </w:r>
      <w:r w:rsidR="00C95199">
        <w:t>TasNetworks'</w:t>
      </w:r>
      <w:r>
        <w:t xml:space="preserve"> </w:t>
      </w:r>
      <w:r w:rsidRPr="004B1B8E">
        <w:t>actual cap</w:t>
      </w:r>
      <w:r>
        <w:t>ex</w:t>
      </w:r>
      <w:r w:rsidRPr="004B1B8E">
        <w:t xml:space="preserve"> in</w:t>
      </w:r>
      <w:r>
        <w:t>curred in</w:t>
      </w:r>
      <w:r w:rsidRPr="004B1B8E">
        <w:t xml:space="preserve"> 2014</w:t>
      </w:r>
      <w:r>
        <w:t>–</w:t>
      </w:r>
      <w:r w:rsidRPr="004B1B8E">
        <w:t xml:space="preserve">15 is below the </w:t>
      </w:r>
      <w:r>
        <w:t>forecast</w:t>
      </w:r>
      <w:r w:rsidRPr="004B1B8E">
        <w:t xml:space="preserve"> allowance </w:t>
      </w:r>
      <w:r>
        <w:t xml:space="preserve">set at the previous </w:t>
      </w:r>
      <w:r w:rsidR="00C95199">
        <w:t>distribution</w:t>
      </w:r>
      <w:r>
        <w:t xml:space="preserve"> determination.</w:t>
      </w:r>
      <w:r w:rsidRPr="004B1B8E">
        <w:t xml:space="preserve"> </w:t>
      </w:r>
      <w:r>
        <w:t>T</w:t>
      </w:r>
      <w:r w:rsidRPr="004B1B8E">
        <w:t>herefore</w:t>
      </w:r>
      <w:r>
        <w:t>,</w:t>
      </w:r>
      <w:r w:rsidRPr="004B1B8E">
        <w:t xml:space="preserve"> the </w:t>
      </w:r>
      <w:r>
        <w:t>overspending requirement for an</w:t>
      </w:r>
      <w:r w:rsidRPr="004B1B8E">
        <w:t xml:space="preserve"> efficiency review</w:t>
      </w:r>
      <w:r>
        <w:t xml:space="preserve"> of past capex</w:t>
      </w:r>
      <w:r w:rsidRPr="004B1B8E">
        <w:t xml:space="preserve"> is not </w:t>
      </w:r>
      <w:r>
        <w:t>satisfied</w:t>
      </w:r>
      <w:r w:rsidRPr="004B1B8E">
        <w:t>.</w:t>
      </w:r>
      <w:r>
        <w:rPr>
          <w:rStyle w:val="FootnoteReference"/>
        </w:rPr>
        <w:footnoteReference w:id="44"/>
      </w:r>
      <w:r w:rsidRPr="004B1B8E">
        <w:t xml:space="preserve"> </w:t>
      </w:r>
      <w:r>
        <w:t>A</w:t>
      </w:r>
      <w:r w:rsidRPr="004B1B8E">
        <w:t xml:space="preserve">ccordingly, </w:t>
      </w:r>
      <w:r>
        <w:t>the</w:t>
      </w:r>
      <w:r w:rsidRPr="004B1B8E">
        <w:t xml:space="preserve"> </w:t>
      </w:r>
      <w:r>
        <w:t>capex</w:t>
      </w:r>
      <w:r w:rsidRPr="004B1B8E">
        <w:t xml:space="preserve"> incurred </w:t>
      </w:r>
      <w:r>
        <w:t>in that year</w:t>
      </w:r>
      <w:r w:rsidRPr="004B1B8E">
        <w:t xml:space="preserve"> is regarded as</w:t>
      </w:r>
      <w:r>
        <w:t xml:space="preserve"> prudent and</w:t>
      </w:r>
      <w:r w:rsidRPr="004B1B8E">
        <w:t xml:space="preserve"> efficient</w:t>
      </w:r>
      <w:r>
        <w:t>,</w:t>
      </w:r>
      <w:r w:rsidRPr="004B1B8E">
        <w:t xml:space="preserve"> and included in the </w:t>
      </w:r>
      <w:r>
        <w:t>RAB—this is discussed further in a</w:t>
      </w:r>
      <w:r w:rsidR="00D40A3C">
        <w:t>ppendix D</w:t>
      </w:r>
      <w:r>
        <w:t xml:space="preserve"> of capex attachment 6</w:t>
      </w:r>
      <w:r w:rsidRPr="004B1B8E">
        <w:t>.</w:t>
      </w:r>
      <w:r>
        <w:t xml:space="preserve"> </w:t>
      </w:r>
    </w:p>
    <w:p w:rsidR="009D64EE" w:rsidRDefault="009D64EE" w:rsidP="009D64EE">
      <w:r>
        <w:rPr>
          <w:rStyle w:val="AERbody"/>
        </w:rPr>
        <w:t xml:space="preserve">Further, for the purposes of this draft decision, we have included </w:t>
      </w:r>
      <w:r w:rsidR="00C71263">
        <w:rPr>
          <w:rStyle w:val="AERbody"/>
        </w:rPr>
        <w:t>TasNetworks'</w:t>
      </w:r>
      <w:r>
        <w:rPr>
          <w:rStyle w:val="AERbody"/>
        </w:rPr>
        <w:t xml:space="preserve"> estimated capex in 2015–16 and 2016–17 in the RAB roll forward to 1 July 2017. At the next reset, the 2015–16 and 2016–17 capex will form part of the review period for whether past capex should be excluded for inefficiency reasons.</w:t>
      </w:r>
      <w:r>
        <w:rPr>
          <w:rStyle w:val="FootnoteReference"/>
        </w:rPr>
        <w:footnoteReference w:id="45"/>
      </w:r>
      <w:r>
        <w:rPr>
          <w:rStyle w:val="AERbody"/>
        </w:rPr>
        <w:t xml:space="preserve"> Our RAB roll forward applies the incentive framework approved in the previous </w:t>
      </w:r>
      <w:r w:rsidR="0074099D">
        <w:rPr>
          <w:rStyle w:val="AERbody"/>
        </w:rPr>
        <w:t>distribution</w:t>
      </w:r>
      <w:r>
        <w:rPr>
          <w:rStyle w:val="AERbody"/>
        </w:rPr>
        <w:t xml:space="preserve"> determination, which included the use of an actual depreciation approach.</w:t>
      </w:r>
      <w:r>
        <w:rPr>
          <w:rStyle w:val="FootnoteReference"/>
        </w:rPr>
        <w:footnoteReference w:id="46"/>
      </w:r>
      <w:r>
        <w:rPr>
          <w:rStyle w:val="AERbody"/>
        </w:rPr>
        <w:t xml:space="preserve"> As such, we consider that the 2012–17 RAB roll forward contributes to an opening RAB (as at 1 July 2017) that includes capex that reflects prudent and efficient costs, in accordance with the capital expenditure criteria.</w:t>
      </w:r>
      <w:r>
        <w:rPr>
          <w:rStyle w:val="FootnoteReference"/>
        </w:rPr>
        <w:footnoteReference w:id="47"/>
      </w:r>
      <w:r w:rsidDel="004B6850">
        <w:rPr>
          <w:rStyle w:val="AERbody"/>
        </w:rPr>
        <w:t xml:space="preserve"> </w:t>
      </w:r>
    </w:p>
    <w:p w:rsidR="004E49E0" w:rsidRDefault="00EF116C" w:rsidP="004E49E0">
      <w:pPr>
        <w:rPr>
          <w:rStyle w:val="AERbody"/>
        </w:rPr>
      </w:pPr>
      <w:r>
        <w:rPr>
          <w:rStyle w:val="AERbody"/>
        </w:rPr>
        <w:t xml:space="preserve">CCP </w:t>
      </w:r>
      <w:r w:rsidR="00641B99">
        <w:rPr>
          <w:rStyle w:val="AERbody"/>
        </w:rPr>
        <w:t xml:space="preserve">member David Headberry made a submission that </w:t>
      </w:r>
      <w:r>
        <w:rPr>
          <w:rStyle w:val="AERbody"/>
        </w:rPr>
        <w:t>noted the importance of new capex on the growth of the RAB over time.</w:t>
      </w:r>
      <w:r>
        <w:rPr>
          <w:rStyle w:val="FootnoteReference"/>
        </w:rPr>
        <w:footnoteReference w:id="48"/>
      </w:r>
      <w:r>
        <w:rPr>
          <w:rStyle w:val="AERbody"/>
        </w:rPr>
        <w:t xml:space="preserve"> </w:t>
      </w:r>
      <w:r w:rsidR="009D64EE">
        <w:t xml:space="preserve">In this draft decision </w:t>
      </w:r>
      <w:r w:rsidR="009B405C">
        <w:t xml:space="preserve">(as discussed in attachment 6), </w:t>
      </w:r>
      <w:bookmarkStart w:id="88" w:name="_Toc427241675"/>
      <w:bookmarkStart w:id="89" w:name="_Toc433171833"/>
      <w:r w:rsidR="004E49E0">
        <w:rPr>
          <w:rStyle w:val="AERbody"/>
        </w:rPr>
        <w:t>we are satisfied TasNetworks' proposed total forecast capex of $2</w:t>
      </w:r>
      <w:r w:rsidR="001E3AB6">
        <w:rPr>
          <w:rStyle w:val="AERbody"/>
        </w:rPr>
        <w:t>1</w:t>
      </w:r>
      <w:r w:rsidR="004E49E0">
        <w:rPr>
          <w:rStyle w:val="AERbody"/>
        </w:rPr>
        <w:t>3.</w:t>
      </w:r>
      <w:r w:rsidR="001E3AB6">
        <w:rPr>
          <w:rStyle w:val="AERbody"/>
        </w:rPr>
        <w:t>4</w:t>
      </w:r>
      <w:r w:rsidR="004E49E0">
        <w:rPr>
          <w:rStyle w:val="AERbody"/>
        </w:rPr>
        <w:t xml:space="preserve"> million ($ </w:t>
      </w:r>
      <w:r w:rsidR="001E3AB6">
        <w:rPr>
          <w:rStyle w:val="AERbody"/>
        </w:rPr>
        <w:t>2016–17</w:t>
      </w:r>
      <w:r w:rsidR="004E49E0">
        <w:rPr>
          <w:rStyle w:val="AERbody"/>
        </w:rPr>
        <w:t xml:space="preserve">) for the 2017–19 regulatory control period reasonably reflects the capex criteria. We have therefore accepted TasNetworks' proposed total forecast capex for the 2017–19 regulatory control </w:t>
      </w:r>
      <w:proofErr w:type="gramStart"/>
      <w:r w:rsidR="004E49E0">
        <w:rPr>
          <w:rStyle w:val="AERbody"/>
        </w:rPr>
        <w:t>period</w:t>
      </w:r>
      <w:proofErr w:type="gramEnd"/>
      <w:r w:rsidR="004E49E0" w:rsidRPr="00FD2537">
        <w:rPr>
          <w:rStyle w:val="AERbody"/>
        </w:rPr>
        <w:t xml:space="preserve">. </w:t>
      </w:r>
    </w:p>
    <w:p w:rsidR="00605F76" w:rsidRDefault="00605F76" w:rsidP="004E49E0">
      <w:pPr>
        <w:rPr>
          <w:rStyle w:val="AERbody"/>
        </w:rPr>
      </w:pPr>
    </w:p>
    <w:p w:rsidR="00BA416F" w:rsidRPr="00BA416F" w:rsidRDefault="00BA416F" w:rsidP="004E49E0">
      <w:pPr>
        <w:pStyle w:val="Heading3"/>
      </w:pPr>
      <w:bookmarkStart w:id="90" w:name="_Toc462753586"/>
      <w:r w:rsidRPr="0024782E">
        <w:lastRenderedPageBreak/>
        <w:t>Forecast closing RAB as at 3</w:t>
      </w:r>
      <w:r w:rsidR="00E572E7">
        <w:t>0</w:t>
      </w:r>
      <w:r w:rsidRPr="0024782E">
        <w:t xml:space="preserve"> </w:t>
      </w:r>
      <w:r w:rsidR="00E572E7">
        <w:t>June</w:t>
      </w:r>
      <w:r w:rsidRPr="0024782E">
        <w:t xml:space="preserve"> 20</w:t>
      </w:r>
      <w:bookmarkEnd w:id="88"/>
      <w:bookmarkEnd w:id="89"/>
      <w:r w:rsidR="00E572E7">
        <w:t>19</w:t>
      </w:r>
      <w:bookmarkEnd w:id="90"/>
    </w:p>
    <w:p w:rsidR="00BA416F" w:rsidRPr="00BA416F" w:rsidRDefault="00BA416F" w:rsidP="00BA416F">
      <w:r w:rsidRPr="0024782E">
        <w:t xml:space="preserve">We forecast a closing RAB value </w:t>
      </w:r>
      <w:r w:rsidRPr="003F32B7">
        <w:t>of $</w:t>
      </w:r>
      <w:r w:rsidR="00AC3F09">
        <w:t>1753.9</w:t>
      </w:r>
      <w:r w:rsidRPr="003F32B7">
        <w:t> million ($ nominal) by 3</w:t>
      </w:r>
      <w:r w:rsidR="0058582C">
        <w:t>0</w:t>
      </w:r>
      <w:r w:rsidRPr="003F32B7">
        <w:t xml:space="preserve"> </w:t>
      </w:r>
      <w:r w:rsidR="0058582C">
        <w:t>June</w:t>
      </w:r>
      <w:r w:rsidRPr="003F32B7">
        <w:t xml:space="preserve"> 20</w:t>
      </w:r>
      <w:r w:rsidR="0058582C">
        <w:t>19</w:t>
      </w:r>
      <w:r w:rsidRPr="003F32B7">
        <w:t xml:space="preserve"> for </w:t>
      </w:r>
      <w:r>
        <w:t>TasNetworks</w:t>
      </w:r>
      <w:r w:rsidRPr="003F32B7">
        <w:t>. This represents a reduction of $</w:t>
      </w:r>
      <w:r w:rsidR="00AC3F09">
        <w:t>9.4</w:t>
      </w:r>
      <w:r w:rsidRPr="003F32B7">
        <w:t> million</w:t>
      </w:r>
      <w:r w:rsidR="00AC3F09">
        <w:t xml:space="preserve"> </w:t>
      </w:r>
      <w:r w:rsidRPr="003F32B7">
        <w:t xml:space="preserve">or </w:t>
      </w:r>
      <w:r w:rsidR="00AC3F09">
        <w:t>0.5</w:t>
      </w:r>
      <w:r w:rsidRPr="003F32B7">
        <w:t> per cent to</w:t>
      </w:r>
      <w:r w:rsidRPr="0024782E">
        <w:t xml:space="preserve"> </w:t>
      </w:r>
      <w:r>
        <w:t>TasNetworks'</w:t>
      </w:r>
      <w:r w:rsidRPr="0024782E">
        <w:t xml:space="preserve"> proposal. This reduction reflects our </w:t>
      </w:r>
      <w:r w:rsidR="004706F5">
        <w:t>draft</w:t>
      </w:r>
      <w:r w:rsidRPr="0024782E">
        <w:t xml:space="preserve"> decision on the inputs for determining the forecast RAB in the PTRM. To determine the forecast RAB value</w:t>
      </w:r>
      <w:r w:rsidR="00304EDE">
        <w:t xml:space="preserve"> for TasNetworks</w:t>
      </w:r>
      <w:r w:rsidRPr="0024782E">
        <w:t>, we amended the following PTRM inputs:</w:t>
      </w:r>
    </w:p>
    <w:p w:rsidR="00BA416F" w:rsidRPr="0024782E" w:rsidRDefault="00BA416F" w:rsidP="00BA416F">
      <w:pPr>
        <w:pStyle w:val="AERbulletlistfirststyle"/>
      </w:pPr>
      <w:r w:rsidRPr="0024782E">
        <w:t xml:space="preserve">We </w:t>
      </w:r>
      <w:r w:rsidR="00304EDE">
        <w:t>reduced</w:t>
      </w:r>
      <w:r w:rsidRPr="0024782E">
        <w:t xml:space="preserve"> </w:t>
      </w:r>
      <w:proofErr w:type="spellStart"/>
      <w:r w:rsidR="00E06B4E">
        <w:t>TasNetworks's</w:t>
      </w:r>
      <w:proofErr w:type="spellEnd"/>
      <w:r w:rsidR="00E06B4E">
        <w:t xml:space="preserve"> proposed</w:t>
      </w:r>
      <w:r w:rsidRPr="0024782E">
        <w:t xml:space="preserve"> opening RAB</w:t>
      </w:r>
      <w:r w:rsidR="00304EDE">
        <w:t xml:space="preserve"> as</w:t>
      </w:r>
      <w:r w:rsidRPr="0024782E">
        <w:t xml:space="preserve"> at 1 </w:t>
      </w:r>
      <w:r w:rsidR="00264320">
        <w:t>July 2017</w:t>
      </w:r>
      <w:r w:rsidR="00304EDE">
        <w:t xml:space="preserve"> by $</w:t>
      </w:r>
      <w:r w:rsidR="00AC3F09">
        <w:t>17.4</w:t>
      </w:r>
      <w:r w:rsidR="00304EDE">
        <w:t xml:space="preserve"> million or </w:t>
      </w:r>
      <w:r w:rsidR="00AC3F09">
        <w:t>1.1</w:t>
      </w:r>
      <w:r w:rsidR="00304EDE">
        <w:t xml:space="preserve"> per cent</w:t>
      </w:r>
      <w:r w:rsidR="0004332C">
        <w:t xml:space="preserve"> ($ nominal)</w:t>
      </w:r>
      <w:r w:rsidRPr="0024782E">
        <w:t xml:space="preserve"> </w:t>
      </w:r>
      <w:r w:rsidR="00304EDE">
        <w:t>(</w:t>
      </w:r>
      <w:r w:rsidRPr="0024782E">
        <w:t xml:space="preserve">section </w:t>
      </w:r>
      <w:r>
        <w:fldChar w:fldCharType="begin"/>
      </w:r>
      <w:r>
        <w:instrText xml:space="preserve"> REF _Ref433025367 \r \h </w:instrText>
      </w:r>
      <w:r>
        <w:fldChar w:fldCharType="separate"/>
      </w:r>
      <w:r w:rsidR="00F62F16">
        <w:t>2.4.1</w:t>
      </w:r>
      <w:r>
        <w:fldChar w:fldCharType="end"/>
      </w:r>
      <w:r w:rsidR="00304EDE">
        <w:t>)</w:t>
      </w:r>
      <w:r w:rsidRPr="0024782E">
        <w:t>.</w:t>
      </w:r>
    </w:p>
    <w:p w:rsidR="00BA416F" w:rsidRPr="0024782E" w:rsidRDefault="00BA416F" w:rsidP="00BA416F">
      <w:pPr>
        <w:pStyle w:val="AERbulletlistfirststyle"/>
      </w:pPr>
      <w:r w:rsidRPr="0024782E">
        <w:t xml:space="preserve">We reduced </w:t>
      </w:r>
      <w:r w:rsidR="00E06B4E">
        <w:t>TasNetworks'</w:t>
      </w:r>
      <w:r w:rsidRPr="0024782E">
        <w:t xml:space="preserve"> proposed </w:t>
      </w:r>
      <w:r w:rsidR="00304EDE">
        <w:t>expected</w:t>
      </w:r>
      <w:r w:rsidR="00304EDE" w:rsidRPr="0024782E">
        <w:t xml:space="preserve"> </w:t>
      </w:r>
      <w:r w:rsidRPr="0024782E">
        <w:t xml:space="preserve">inflation rate of </w:t>
      </w:r>
      <w:r w:rsidR="00AC3F09">
        <w:t>2.50</w:t>
      </w:r>
      <w:r w:rsidRPr="0024782E">
        <w:t xml:space="preserve"> per cent per annum to </w:t>
      </w:r>
      <w:r w:rsidR="00AC3F09">
        <w:t>2.45</w:t>
      </w:r>
      <w:r w:rsidRPr="0024782E">
        <w:t xml:space="preserve"> per cent per annum (attachment 3).</w:t>
      </w:r>
      <w:r w:rsidR="00304EDE">
        <w:t xml:space="preserve"> This results in a</w:t>
      </w:r>
      <w:r w:rsidR="00677A32">
        <w:t xml:space="preserve"> de</w:t>
      </w:r>
      <w:r w:rsidR="00304EDE">
        <w:t>crease to the indexation of the RAB component for the 2017–19 regulatory control period by $</w:t>
      </w:r>
      <w:r w:rsidR="00AC3F09">
        <w:t>1.7</w:t>
      </w:r>
      <w:r w:rsidR="0004332C">
        <w:t xml:space="preserve"> million </w:t>
      </w:r>
      <w:r w:rsidR="00304EDE">
        <w:t xml:space="preserve">or </w:t>
      </w:r>
      <w:r w:rsidR="00AC3F09">
        <w:t>2.0</w:t>
      </w:r>
      <w:r w:rsidR="00304EDE">
        <w:t xml:space="preserve"> per cent</w:t>
      </w:r>
      <w:r w:rsidR="0004332C">
        <w:t xml:space="preserve"> </w:t>
      </w:r>
      <w:r w:rsidR="00AC3F09">
        <w:t>($ nominal)</w:t>
      </w:r>
      <w:r w:rsidR="006D1573">
        <w:t>, all else being equal</w:t>
      </w:r>
      <w:r w:rsidR="00304EDE">
        <w:t>.</w:t>
      </w:r>
    </w:p>
    <w:p w:rsidR="00BA416F" w:rsidRDefault="00BA416F" w:rsidP="00BA416F">
      <w:pPr>
        <w:pStyle w:val="AERbulletlistfirststyle"/>
      </w:pPr>
      <w:r w:rsidRPr="0024782E">
        <w:t xml:space="preserve">We </w:t>
      </w:r>
      <w:r w:rsidR="00E06B4E">
        <w:t>reduced</w:t>
      </w:r>
      <w:r>
        <w:t xml:space="preserve"> </w:t>
      </w:r>
      <w:r w:rsidR="00E06B4E">
        <w:t>TasNetworks'</w:t>
      </w:r>
      <w:r w:rsidRPr="0024782E">
        <w:t xml:space="preserve"> proposed forecast depreciation for the </w:t>
      </w:r>
      <w:r w:rsidR="00264320">
        <w:t>2017–19</w:t>
      </w:r>
      <w:r w:rsidRPr="0024782E">
        <w:t xml:space="preserve"> regulatory control </w:t>
      </w:r>
      <w:r w:rsidRPr="003F32B7">
        <w:t>period by $</w:t>
      </w:r>
      <w:r w:rsidR="0004332C">
        <w:t>10.</w:t>
      </w:r>
      <w:r w:rsidR="00B74665">
        <w:t>9</w:t>
      </w:r>
      <w:r w:rsidRPr="003F32B7">
        <w:t xml:space="preserve"> million or </w:t>
      </w:r>
      <w:r w:rsidR="00BC5A6F">
        <w:t>5.</w:t>
      </w:r>
      <w:r w:rsidR="00B74665">
        <w:t>7</w:t>
      </w:r>
      <w:r w:rsidRPr="003F32B7">
        <w:t xml:space="preserve"> per cent </w:t>
      </w:r>
      <w:r w:rsidR="0004332C">
        <w:t xml:space="preserve">($ nominal) </w:t>
      </w:r>
      <w:r w:rsidRPr="003F32B7">
        <w:t>(attachment</w:t>
      </w:r>
      <w:r w:rsidRPr="0024782E">
        <w:t xml:space="preserve"> 5).</w:t>
      </w:r>
    </w:p>
    <w:p w:rsidR="00AC5DBB" w:rsidRPr="00AC5DBB" w:rsidRDefault="00AC5DBB" w:rsidP="00AC5DBB">
      <w:r w:rsidRPr="00AC5DBB">
        <w:fldChar w:fldCharType="begin"/>
      </w:r>
      <w:r w:rsidRPr="00AC5DBB">
        <w:instrText xml:space="preserve"> REF _Ref455474598 \h </w:instrText>
      </w:r>
      <w:r w:rsidRPr="00AC5DBB">
        <w:fldChar w:fldCharType="separate"/>
      </w:r>
      <w:r w:rsidR="00F62F16" w:rsidRPr="00AC5DBB">
        <w:t xml:space="preserve">Figure </w:t>
      </w:r>
      <w:r w:rsidR="00F62F16">
        <w:rPr>
          <w:noProof/>
        </w:rPr>
        <w:t>2</w:t>
      </w:r>
      <w:r w:rsidR="00F62F16" w:rsidRPr="00AC5DBB">
        <w:t>.</w:t>
      </w:r>
      <w:r w:rsidR="00F62F16">
        <w:rPr>
          <w:noProof/>
        </w:rPr>
        <w:t>2</w:t>
      </w:r>
      <w:r w:rsidRPr="00AC5DBB">
        <w:fldChar w:fldCharType="end"/>
      </w:r>
      <w:r w:rsidRPr="00AC5DBB">
        <w:t xml:space="preserve"> shows the key drivers of the change in </w:t>
      </w:r>
      <w:r>
        <w:t>TasNetworks</w:t>
      </w:r>
      <w:r w:rsidRPr="00AC5DBB">
        <w:t>'</w:t>
      </w:r>
      <w:r>
        <w:t xml:space="preserve"> RAB over the 2017–19</w:t>
      </w:r>
      <w:r w:rsidRPr="00AC5DBB">
        <w:t xml:space="preserve"> regulatory control </w:t>
      </w:r>
      <w:proofErr w:type="gramStart"/>
      <w:r w:rsidRPr="00AC5DBB">
        <w:t>period</w:t>
      </w:r>
      <w:proofErr w:type="gramEnd"/>
      <w:r w:rsidRPr="00AC5DBB">
        <w:t xml:space="preserve"> for this draft decision. Overall, the closing RAB at the end of the 2017–</w:t>
      </w:r>
      <w:r>
        <w:t>19</w:t>
      </w:r>
      <w:r w:rsidRPr="00AC5DBB">
        <w:t xml:space="preserve"> regulatory control period is forecast to be </w:t>
      </w:r>
      <w:r w:rsidR="00787D13">
        <w:t>7.6</w:t>
      </w:r>
      <w:r w:rsidRPr="00AC5DBB">
        <w:t xml:space="preserve"> per cent higher than the opening RAB at the start of that period, in nominal terms. The approved forecast net capex increases the RAB by about </w:t>
      </w:r>
      <w:r w:rsidR="00787D13">
        <w:t>13.7</w:t>
      </w:r>
      <w:r w:rsidRPr="00AC5DBB">
        <w:t xml:space="preserve"> per cent, while expected inflation increases it by about </w:t>
      </w:r>
      <w:r w:rsidR="00787D13">
        <w:t>5.0</w:t>
      </w:r>
      <w:r w:rsidRPr="00AC5DBB">
        <w:t xml:space="preserve"> per cent. Forecast depreciation, on the other hand, reduces the RAB by about </w:t>
      </w:r>
      <w:r w:rsidR="00787D13">
        <w:t>11.1</w:t>
      </w:r>
      <w:r w:rsidRPr="00AC5DBB">
        <w:t xml:space="preserve"> per cent.</w:t>
      </w:r>
    </w:p>
    <w:p w:rsidR="00AC5DBB" w:rsidRPr="00AC5DBB" w:rsidRDefault="00AC5DBB" w:rsidP="00AC5DBB">
      <w:pPr>
        <w:pStyle w:val="Charttitle"/>
      </w:pPr>
      <w:bookmarkStart w:id="91" w:name="_Ref455474598"/>
      <w:r w:rsidRPr="00AC5DBB">
        <w:t xml:space="preserve">Figure </w:t>
      </w:r>
      <w:fldSimple w:instr=" STYLEREF 1 \s ">
        <w:r w:rsidR="00F62F16">
          <w:rPr>
            <w:noProof/>
          </w:rPr>
          <w:t>2</w:t>
        </w:r>
      </w:fldSimple>
      <w:r w:rsidRPr="00AC5DBB">
        <w:t>.</w:t>
      </w:r>
      <w:r w:rsidR="00C5007A">
        <w:fldChar w:fldCharType="begin"/>
      </w:r>
      <w:r w:rsidR="00C5007A">
        <w:instrText xml:space="preserve"> SEQ Figure \* ARABIC \s 1 </w:instrText>
      </w:r>
      <w:r w:rsidR="00C5007A">
        <w:fldChar w:fldCharType="separate"/>
      </w:r>
      <w:r w:rsidR="00F62F16">
        <w:rPr>
          <w:noProof/>
        </w:rPr>
        <w:t>2</w:t>
      </w:r>
      <w:r w:rsidR="00C5007A">
        <w:rPr>
          <w:noProof/>
        </w:rPr>
        <w:fldChar w:fldCharType="end"/>
      </w:r>
      <w:bookmarkEnd w:id="91"/>
      <w:r w:rsidRPr="00AC5DBB">
        <w:tab/>
        <w:t>Key drivers of changes in the RAB ($ million, nominal)</w:t>
      </w:r>
    </w:p>
    <w:p w:rsidR="006857B3" w:rsidRDefault="00892D93" w:rsidP="006857B3">
      <w:r>
        <w:rPr>
          <w:noProof/>
          <w:lang w:eastAsia="en-AU"/>
        </w:rPr>
        <w:drawing>
          <wp:inline distT="0" distB="0" distL="0" distR="0" wp14:anchorId="09B38FA2">
            <wp:extent cx="4825093" cy="338620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44521" cy="3399836"/>
                    </a:xfrm>
                    <a:prstGeom prst="rect">
                      <a:avLst/>
                    </a:prstGeom>
                    <a:noFill/>
                  </pic:spPr>
                </pic:pic>
              </a:graphicData>
            </a:graphic>
          </wp:inline>
        </w:drawing>
      </w:r>
    </w:p>
    <w:p w:rsidR="00AC5DBB" w:rsidRDefault="00AC5DBB" w:rsidP="001E2579">
      <w:pPr>
        <w:pStyle w:val="AERtablesource"/>
      </w:pPr>
      <w:r w:rsidRPr="00AC5DBB">
        <w:t>Source:</w:t>
      </w:r>
      <w:r w:rsidRPr="00AC5DBB">
        <w:tab/>
        <w:t>AER analysis.</w:t>
      </w:r>
    </w:p>
    <w:p w:rsidR="00BA416F" w:rsidRPr="00BA416F" w:rsidRDefault="00BA416F" w:rsidP="00BA416F">
      <w:pPr>
        <w:pStyle w:val="Heading3"/>
      </w:pPr>
      <w:bookmarkStart w:id="92" w:name="_Toc427241676"/>
      <w:bookmarkStart w:id="93" w:name="_Toc433171834"/>
      <w:bookmarkStart w:id="94" w:name="_Toc462753587"/>
      <w:r w:rsidRPr="0024782E">
        <w:lastRenderedPageBreak/>
        <w:t>Application of depreciation approach in RAB roll forward for next reset</w:t>
      </w:r>
      <w:bookmarkEnd w:id="92"/>
      <w:bookmarkEnd w:id="93"/>
      <w:bookmarkEnd w:id="94"/>
    </w:p>
    <w:p w:rsidR="00BA416F" w:rsidRPr="0024782E" w:rsidRDefault="00BA416F" w:rsidP="00BA416F">
      <w:r>
        <w:t>TasNetworks</w:t>
      </w:r>
      <w:r w:rsidRPr="0024782E">
        <w:t xml:space="preserve"> propose</w:t>
      </w:r>
      <w:r>
        <w:t>d</w:t>
      </w:r>
      <w:r w:rsidRPr="0024782E">
        <w:t xml:space="preserve"> </w:t>
      </w:r>
      <w:r>
        <w:t>to use the forecast</w:t>
      </w:r>
      <w:r w:rsidRPr="0024782E">
        <w:t xml:space="preserve"> depreciation approach to roll forward the RAB for the commencement of its </w:t>
      </w:r>
      <w:r w:rsidR="007B0D12">
        <w:t>2019–24</w:t>
      </w:r>
      <w:r w:rsidRPr="0024782E">
        <w:t xml:space="preserve"> regulatory control period</w:t>
      </w:r>
      <w:r w:rsidR="00E06B4E">
        <w:t xml:space="preserve">, consistent with our </w:t>
      </w:r>
      <w:r w:rsidR="00E06B4E" w:rsidRPr="004E49E0">
        <w:rPr>
          <w:rStyle w:val="AERtextitalic"/>
        </w:rPr>
        <w:t>Framework and approach</w:t>
      </w:r>
      <w:r w:rsidRPr="0024782E">
        <w:t>.</w:t>
      </w:r>
      <w:r w:rsidR="00E06B4E">
        <w:rPr>
          <w:rStyle w:val="FootnoteReference"/>
        </w:rPr>
        <w:footnoteReference w:id="49"/>
      </w:r>
    </w:p>
    <w:p w:rsidR="00132D43" w:rsidRDefault="00BA416F" w:rsidP="00132D43">
      <w:r w:rsidRPr="0024782E">
        <w:t xml:space="preserve">We </w:t>
      </w:r>
      <w:r>
        <w:t xml:space="preserve">accept TasNetworks' forecast depreciation approach to </w:t>
      </w:r>
      <w:r w:rsidRPr="006D2E79">
        <w:t xml:space="preserve">roll forward the RAB for the commencement of its </w:t>
      </w:r>
      <w:r w:rsidR="007B0D12">
        <w:t>2019–24</w:t>
      </w:r>
      <w:r w:rsidRPr="006D2E79">
        <w:t xml:space="preserve"> regulatory control period</w:t>
      </w:r>
      <w:r>
        <w:t>.</w:t>
      </w:r>
      <w:r>
        <w:rPr>
          <w:rStyle w:val="FootnoteReference"/>
        </w:rPr>
        <w:footnoteReference w:id="50"/>
      </w:r>
      <w:r>
        <w:t xml:space="preserve"> </w:t>
      </w:r>
      <w:r w:rsidRPr="0024782E">
        <w:t xml:space="preserve">This approach was signalled in the AER's </w:t>
      </w:r>
      <w:r w:rsidR="00E06B4E" w:rsidRPr="004E49E0">
        <w:rPr>
          <w:rStyle w:val="AERtextitalic"/>
        </w:rPr>
        <w:t>F</w:t>
      </w:r>
      <w:r w:rsidRPr="004E49E0">
        <w:rPr>
          <w:rStyle w:val="AERtextitalic"/>
        </w:rPr>
        <w:t>ramework and approach</w:t>
      </w:r>
      <w:r w:rsidRPr="0024782E">
        <w:t xml:space="preserve">. As discussed in attachment 10, </w:t>
      </w:r>
      <w:r w:rsidR="000A279B">
        <w:t>TasNetworks is not currently subject to a</w:t>
      </w:r>
      <w:r w:rsidRPr="0024782E">
        <w:t xml:space="preserve"> </w:t>
      </w:r>
      <w:r w:rsidR="00BA13A5" w:rsidRPr="0024782E">
        <w:t xml:space="preserve">capital expenditure sharing scheme (CESS) </w:t>
      </w:r>
      <w:r w:rsidR="000A279B">
        <w:t xml:space="preserve">but we will apply the CESS </w:t>
      </w:r>
      <w:r w:rsidRPr="0024782E">
        <w:t xml:space="preserve">to </w:t>
      </w:r>
      <w:r>
        <w:t>TasNetworks</w:t>
      </w:r>
      <w:r w:rsidRPr="0024782E">
        <w:t xml:space="preserve"> over the </w:t>
      </w:r>
      <w:r w:rsidR="00264320">
        <w:t>2017–19</w:t>
      </w:r>
      <w:r w:rsidRPr="0024782E">
        <w:t xml:space="preserve"> regulatory control period. We consider this scheme will provide sufficient incentives for </w:t>
      </w:r>
      <w:r>
        <w:t>TasNetworks</w:t>
      </w:r>
      <w:r w:rsidRPr="0024782E">
        <w:t xml:space="preserve"> to achieve capex efficiency gains over that period. We are satisfied that the use of a forecast depreciation approach in combination with the application of the CESS and our other ex post capex measures are sufficient to achieve the capex incentive objective.</w:t>
      </w:r>
      <w:r w:rsidRPr="0024782E">
        <w:rPr>
          <w:rStyle w:val="FootnoteReference"/>
        </w:rPr>
        <w:footnoteReference w:id="51"/>
      </w:r>
    </w:p>
    <w:sectPr w:rsidR="00132D43" w:rsidSect="00CF42AA">
      <w:headerReference w:type="default" r:id="rId20"/>
      <w:footerReference w:type="even" r:id="rId21"/>
      <w:footerReference w:type="default" r:id="rId22"/>
      <w:footerReference w:type="first" r:id="rId23"/>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6E5" w:rsidRPr="00290C63" w:rsidRDefault="009546E5" w:rsidP="00290C63">
      <w:r>
        <w:separator/>
      </w:r>
    </w:p>
    <w:p w:rsidR="009546E5" w:rsidRDefault="009546E5"/>
  </w:endnote>
  <w:endnote w:type="continuationSeparator" w:id="0">
    <w:p w:rsidR="009546E5" w:rsidRPr="00290C63" w:rsidRDefault="009546E5" w:rsidP="00290C63">
      <w:r>
        <w:continuationSeparator/>
      </w:r>
    </w:p>
    <w:p w:rsidR="009546E5" w:rsidRDefault="009546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E5" w:rsidRPr="00290C63" w:rsidRDefault="009546E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F62F16">
      <w:rPr>
        <w:rStyle w:val="PageNumber"/>
        <w:noProof/>
      </w:rPr>
      <w:t>2-17</w:t>
    </w:r>
    <w:r w:rsidRPr="00290C63">
      <w:rPr>
        <w:rStyle w:val="PageNumber"/>
      </w:rPr>
      <w:fldChar w:fldCharType="end"/>
    </w:r>
    <w:r w:rsidRPr="00290C63">
      <w:rPr>
        <w:rStyle w:val="PageNumber"/>
      </w:rPr>
      <w:tab/>
      <w:t>Xxx report—month/year</w:t>
    </w:r>
  </w:p>
  <w:p w:rsidR="009546E5" w:rsidRDefault="009546E5"/>
  <w:p w:rsidR="009546E5" w:rsidRDefault="009546E5"/>
  <w:p w:rsidR="009546E5" w:rsidRDefault="009546E5"/>
  <w:p w:rsidR="009546E5" w:rsidRDefault="009546E5"/>
  <w:p w:rsidR="009546E5" w:rsidRDefault="009546E5"/>
  <w:p w:rsidR="009546E5" w:rsidRDefault="009546E5"/>
  <w:p w:rsidR="009546E5" w:rsidRDefault="009546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9546E5" w:rsidRPr="009B6F84" w:rsidRDefault="009546E5">
        <w:pPr>
          <w:pStyle w:val="Footer"/>
          <w:rPr>
            <w:sz w:val="20"/>
          </w:rPr>
        </w:pPr>
        <w:r>
          <w:fldChar w:fldCharType="begin"/>
        </w:r>
        <w:r>
          <w:instrText xml:space="preserve"> PAGE   \* MERGEFORMAT </w:instrText>
        </w:r>
        <w:r>
          <w:fldChar w:fldCharType="separate"/>
        </w:r>
        <w:r w:rsidR="00C5007A">
          <w:rPr>
            <w:noProof/>
          </w:rPr>
          <w:t>2-2</w:t>
        </w:r>
        <w:r>
          <w:rPr>
            <w:noProof/>
          </w:rPr>
          <w:fldChar w:fldCharType="end"/>
        </w:r>
        <w:r>
          <w:rPr>
            <w:noProof/>
          </w:rPr>
          <w:t xml:space="preserve">  </w:t>
        </w:r>
        <w:r>
          <w:t>Attachment 2 – Regulatory asset base</w:t>
        </w:r>
        <w:r w:rsidRPr="004523B2">
          <w:t xml:space="preserve"> | </w:t>
        </w:r>
        <w:r>
          <w:t>TasNetworks distribution draft determination</w:t>
        </w:r>
        <w:r w:rsidRPr="004523B2">
          <w:t xml:space="preserve"> 201</w:t>
        </w:r>
        <w:r>
          <w:t>7</w:t>
        </w:r>
        <w:r w:rsidRPr="004523B2">
          <w:t>–</w:t>
        </w:r>
        <w:r>
          <w:t>19</w:t>
        </w:r>
      </w:p>
    </w:sdtContent>
  </w:sdt>
  <w:p w:rsidR="009546E5" w:rsidRDefault="009546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E5" w:rsidRPr="00290C63" w:rsidRDefault="009546E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F62F16">
      <w:rPr>
        <w:noProof/>
      </w:rPr>
      <w:t>2-17</w:t>
    </w:r>
    <w:r w:rsidRPr="00290C63">
      <w:fldChar w:fldCharType="end"/>
    </w:r>
  </w:p>
  <w:p w:rsidR="009546E5" w:rsidRDefault="009546E5">
    <w:pPr>
      <w:pStyle w:val="Footer"/>
    </w:pPr>
  </w:p>
  <w:p w:rsidR="009546E5" w:rsidRDefault="009546E5"/>
  <w:p w:rsidR="009546E5" w:rsidRDefault="009546E5"/>
  <w:p w:rsidR="009546E5" w:rsidRDefault="009546E5"/>
  <w:p w:rsidR="009546E5" w:rsidRDefault="009546E5"/>
  <w:p w:rsidR="009546E5" w:rsidRDefault="009546E5"/>
  <w:p w:rsidR="009546E5" w:rsidRDefault="009546E5"/>
  <w:p w:rsidR="009546E5" w:rsidRDefault="009546E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E5" w:rsidRPr="00290C63" w:rsidRDefault="009546E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F62F16">
      <w:rPr>
        <w:rStyle w:val="PageNumber"/>
        <w:noProof/>
      </w:rPr>
      <w:t>2-17</w:t>
    </w:r>
    <w:r w:rsidRPr="00290C63">
      <w:rPr>
        <w:rStyle w:val="PageNumber"/>
      </w:rPr>
      <w:fldChar w:fldCharType="end"/>
    </w:r>
    <w:r w:rsidRPr="00290C63">
      <w:rPr>
        <w:rStyle w:val="PageNumber"/>
      </w:rPr>
      <w:tab/>
      <w:t>Xxx report—month/year</w:t>
    </w:r>
  </w:p>
  <w:p w:rsidR="009546E5" w:rsidRDefault="009546E5"/>
  <w:p w:rsidR="009546E5" w:rsidRDefault="009546E5"/>
  <w:p w:rsidR="009546E5" w:rsidRDefault="009546E5"/>
  <w:p w:rsidR="009546E5" w:rsidRDefault="009546E5"/>
  <w:p w:rsidR="009546E5" w:rsidRDefault="009546E5"/>
  <w:p w:rsidR="009546E5" w:rsidRDefault="009546E5"/>
  <w:p w:rsidR="009546E5" w:rsidRDefault="009546E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9546E5" w:rsidRPr="009B6F84" w:rsidRDefault="009546E5">
        <w:pPr>
          <w:pStyle w:val="Footer"/>
          <w:rPr>
            <w:sz w:val="20"/>
          </w:rPr>
        </w:pPr>
        <w:r>
          <w:fldChar w:fldCharType="begin"/>
        </w:r>
        <w:r>
          <w:instrText xml:space="preserve"> PAGE   \* MERGEFORMAT </w:instrText>
        </w:r>
        <w:r>
          <w:fldChar w:fldCharType="separate"/>
        </w:r>
        <w:r w:rsidR="00C5007A">
          <w:rPr>
            <w:noProof/>
          </w:rPr>
          <w:t>2-3</w:t>
        </w:r>
        <w:r>
          <w:rPr>
            <w:noProof/>
          </w:rPr>
          <w:fldChar w:fldCharType="end"/>
        </w:r>
        <w:r>
          <w:rPr>
            <w:noProof/>
          </w:rPr>
          <w:t xml:space="preserve">  </w:t>
        </w:r>
        <w:r>
          <w:t xml:space="preserve">Attachment 2 – Regulatory asset base </w:t>
        </w:r>
        <w:r w:rsidRPr="004523B2">
          <w:t xml:space="preserve">| </w:t>
        </w:r>
        <w:r>
          <w:t>TasNetworks distribution draft determination</w:t>
        </w:r>
        <w:r w:rsidRPr="004523B2">
          <w:t xml:space="preserve"> 201</w:t>
        </w:r>
        <w:r>
          <w:t>7</w:t>
        </w:r>
        <w:r w:rsidRPr="004523B2">
          <w:t>–</w:t>
        </w:r>
        <w:r>
          <w:t>19</w:t>
        </w:r>
      </w:p>
    </w:sdtContent>
  </w:sdt>
  <w:p w:rsidR="009546E5" w:rsidRDefault="009546E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E5" w:rsidRPr="00290C63" w:rsidRDefault="009546E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F62F16">
      <w:rPr>
        <w:noProof/>
      </w:rPr>
      <w:t>2-17</w:t>
    </w:r>
    <w:r w:rsidRPr="00290C63">
      <w:fldChar w:fldCharType="end"/>
    </w:r>
  </w:p>
  <w:p w:rsidR="009546E5" w:rsidRDefault="009546E5">
    <w:pPr>
      <w:pStyle w:val="Footer"/>
    </w:pPr>
  </w:p>
  <w:p w:rsidR="009546E5" w:rsidRDefault="009546E5"/>
  <w:p w:rsidR="009546E5" w:rsidRDefault="009546E5"/>
  <w:p w:rsidR="009546E5" w:rsidRDefault="009546E5"/>
  <w:p w:rsidR="009546E5" w:rsidRDefault="009546E5"/>
  <w:p w:rsidR="009546E5" w:rsidRDefault="009546E5"/>
  <w:p w:rsidR="009546E5" w:rsidRDefault="009546E5"/>
  <w:p w:rsidR="009546E5" w:rsidRDefault="009546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6E5" w:rsidRPr="00290C63" w:rsidRDefault="009546E5" w:rsidP="00290C63">
      <w:r>
        <w:separator/>
      </w:r>
    </w:p>
    <w:p w:rsidR="009546E5" w:rsidRDefault="009546E5"/>
  </w:footnote>
  <w:footnote w:type="continuationSeparator" w:id="0">
    <w:p w:rsidR="009546E5" w:rsidRPr="00290C63" w:rsidRDefault="009546E5" w:rsidP="00290C63">
      <w:r>
        <w:continuationSeparator/>
      </w:r>
    </w:p>
    <w:p w:rsidR="009546E5" w:rsidRDefault="009546E5"/>
  </w:footnote>
  <w:footnote w:id="1">
    <w:p w:rsidR="009546E5" w:rsidRDefault="009546E5">
      <w:pPr>
        <w:pStyle w:val="FootnoteText"/>
      </w:pPr>
      <w:r>
        <w:rPr>
          <w:rStyle w:val="FootnoteReference"/>
        </w:rPr>
        <w:footnoteRef/>
      </w:r>
      <w:r>
        <w:t xml:space="preserve"> </w:t>
      </w:r>
      <w:r>
        <w:tab/>
      </w:r>
      <w:proofErr w:type="gramStart"/>
      <w:r>
        <w:t>NER, cl. 6.12.1(6).</w:t>
      </w:r>
      <w:proofErr w:type="gramEnd"/>
    </w:p>
  </w:footnote>
  <w:footnote w:id="2">
    <w:p w:rsidR="009546E5" w:rsidRDefault="009546E5" w:rsidP="00156F5C">
      <w:pPr>
        <w:pStyle w:val="FootnoteText"/>
      </w:pPr>
      <w:r>
        <w:rPr>
          <w:rStyle w:val="FootnoteReference"/>
        </w:rPr>
        <w:footnoteRef/>
      </w:r>
      <w:r>
        <w:t xml:space="preserve"> </w:t>
      </w:r>
      <w:r>
        <w:tab/>
      </w:r>
      <w:proofErr w:type="gramStart"/>
      <w:r>
        <w:t xml:space="preserve">TasNetworks, </w:t>
      </w:r>
      <w:r>
        <w:rPr>
          <w:rStyle w:val="AERtextitalic"/>
        </w:rPr>
        <w:t>Regulatory proposal 2017–19</w:t>
      </w:r>
      <w:r>
        <w:t>, January 2016, p. 108, Table 9–1.</w:t>
      </w:r>
      <w:proofErr w:type="gramEnd"/>
      <w:r>
        <w:t xml:space="preserve"> </w:t>
      </w:r>
    </w:p>
  </w:footnote>
  <w:footnote w:id="3">
    <w:p w:rsidR="009546E5" w:rsidRDefault="009546E5" w:rsidP="00977411">
      <w:pPr>
        <w:pStyle w:val="FootnoteText"/>
      </w:pPr>
      <w:r>
        <w:rPr>
          <w:rStyle w:val="FootnoteReference"/>
        </w:rPr>
        <w:footnoteRef/>
      </w:r>
      <w:r>
        <w:t xml:space="preserve"> </w:t>
      </w:r>
      <w:r>
        <w:tab/>
        <w:t>The end of period adjustment will be positive (negative) if actual capex is higher (lower) than the estimate approved at the 2012–17</w:t>
      </w:r>
      <w:r w:rsidRPr="00A449A3">
        <w:t xml:space="preserve"> </w:t>
      </w:r>
      <w:r>
        <w:t>determination.</w:t>
      </w:r>
    </w:p>
  </w:footnote>
  <w:footnote w:id="4">
    <w:p w:rsidR="00605F76" w:rsidRDefault="00605F76" w:rsidP="00605F76">
      <w:pPr>
        <w:pStyle w:val="FootnoteText"/>
      </w:pPr>
      <w:r>
        <w:rPr>
          <w:rStyle w:val="FootnoteReference"/>
        </w:rPr>
        <w:footnoteRef/>
      </w:r>
      <w:r>
        <w:t xml:space="preserve"> </w:t>
      </w:r>
      <w:r>
        <w:tab/>
      </w:r>
      <w:proofErr w:type="gramStart"/>
      <w:r>
        <w:t xml:space="preserve">TasNetworks, </w:t>
      </w:r>
      <w:r>
        <w:rPr>
          <w:rStyle w:val="AERtextitalic"/>
        </w:rPr>
        <w:t>Regulatory proposal 2017–19</w:t>
      </w:r>
      <w:r>
        <w:t>, January 2016, p.109, Table 9–2.</w:t>
      </w:r>
      <w:proofErr w:type="gramEnd"/>
    </w:p>
  </w:footnote>
  <w:footnote w:id="5">
    <w:p w:rsidR="009546E5" w:rsidRDefault="009546E5" w:rsidP="00E4749D">
      <w:pPr>
        <w:pStyle w:val="FootnoteText"/>
      </w:pPr>
      <w:r>
        <w:rPr>
          <w:rStyle w:val="FootnoteReference"/>
        </w:rPr>
        <w:footnoteRef/>
      </w:r>
      <w:r>
        <w:t xml:space="preserve"> </w:t>
      </w:r>
      <w:r>
        <w:tab/>
      </w:r>
      <w:proofErr w:type="gramStart"/>
      <w:r w:rsidRPr="005954CE">
        <w:t>NER, c</w:t>
      </w:r>
      <w:r>
        <w:t xml:space="preserve">l. </w:t>
      </w:r>
      <w:r w:rsidRPr="005954CE">
        <w:t>6</w:t>
      </w:r>
      <w:r>
        <w:t>.12</w:t>
      </w:r>
      <w:r w:rsidRPr="005954CE">
        <w:t>.</w:t>
      </w:r>
      <w:r>
        <w:t>1</w:t>
      </w:r>
      <w:r w:rsidRPr="005954CE">
        <w:t>(</w:t>
      </w:r>
      <w:r>
        <w:t>18</w:t>
      </w:r>
      <w:r w:rsidRPr="005954CE">
        <w:t>).</w:t>
      </w:r>
      <w:proofErr w:type="gramEnd"/>
    </w:p>
  </w:footnote>
  <w:footnote w:id="6">
    <w:p w:rsidR="009546E5" w:rsidRPr="006F49B3" w:rsidRDefault="009546E5" w:rsidP="00E4749D">
      <w:pPr>
        <w:pStyle w:val="FootnoteText"/>
      </w:pPr>
      <w:r>
        <w:rPr>
          <w:rStyle w:val="FootnoteReference"/>
        </w:rPr>
        <w:footnoteRef/>
      </w:r>
      <w:r>
        <w:t xml:space="preserve"> </w:t>
      </w:r>
      <w:r>
        <w:tab/>
      </w:r>
      <w:proofErr w:type="gramStart"/>
      <w:r>
        <w:t xml:space="preserve">TasNetworks, </w:t>
      </w:r>
      <w:r w:rsidRPr="003321D6">
        <w:rPr>
          <w:rStyle w:val="Emphasis"/>
        </w:rPr>
        <w:t>Regulatory proposal</w:t>
      </w:r>
      <w:r>
        <w:rPr>
          <w:rStyle w:val="Emphasis"/>
        </w:rPr>
        <w:t xml:space="preserve"> 2017–19, </w:t>
      </w:r>
      <w:r w:rsidRPr="006F49B3">
        <w:rPr>
          <w:rStyle w:val="AERtextitalic"/>
          <w:i w:val="0"/>
        </w:rPr>
        <w:t>January 2016, p.108, Table 9–1.</w:t>
      </w:r>
      <w:proofErr w:type="gramEnd"/>
    </w:p>
  </w:footnote>
  <w:footnote w:id="7">
    <w:p w:rsidR="009546E5" w:rsidRDefault="009546E5" w:rsidP="00072879">
      <w:pPr>
        <w:pStyle w:val="FootnoteText"/>
      </w:pPr>
      <w:r>
        <w:rPr>
          <w:rStyle w:val="FootnoteReference"/>
        </w:rPr>
        <w:footnoteRef/>
      </w:r>
      <w:r>
        <w:t xml:space="preserve"> </w:t>
      </w:r>
      <w:r>
        <w:tab/>
      </w:r>
      <w:proofErr w:type="gramStart"/>
      <w:r>
        <w:t xml:space="preserve">TasNetworks, </w:t>
      </w:r>
      <w:r w:rsidRPr="003321D6">
        <w:rPr>
          <w:rStyle w:val="Emphasis"/>
        </w:rPr>
        <w:t>Regulatory proposal</w:t>
      </w:r>
      <w:r w:rsidRPr="003321D6">
        <w:t xml:space="preserve">, </w:t>
      </w:r>
      <w:r>
        <w:t>January 2016</w:t>
      </w:r>
      <w:r w:rsidRPr="003321D6">
        <w:t xml:space="preserve">, </w:t>
      </w:r>
      <w:r>
        <w:rPr>
          <w:rStyle w:val="Emphasis"/>
        </w:rPr>
        <w:t>RFM</w:t>
      </w:r>
      <w:r w:rsidRPr="003321D6">
        <w:t>.</w:t>
      </w:r>
      <w:proofErr w:type="gramEnd"/>
    </w:p>
    <w:p w:rsidR="009546E5" w:rsidRDefault="009546E5">
      <w:pPr>
        <w:pStyle w:val="FootnoteText"/>
      </w:pPr>
    </w:p>
  </w:footnote>
  <w:footnote w:id="8">
    <w:p w:rsidR="009546E5" w:rsidRDefault="009546E5" w:rsidP="00BA416F">
      <w:pPr>
        <w:pStyle w:val="FootnoteText"/>
      </w:pPr>
      <w:r>
        <w:rPr>
          <w:rStyle w:val="FootnoteReference"/>
        </w:rPr>
        <w:footnoteRef/>
      </w:r>
      <w:r>
        <w:t xml:space="preserve"> </w:t>
      </w:r>
      <w:r>
        <w:tab/>
      </w:r>
      <w:proofErr w:type="gramStart"/>
      <w:r>
        <w:t xml:space="preserve">TasNetworks, </w:t>
      </w:r>
      <w:r>
        <w:rPr>
          <w:rStyle w:val="AERtextitalic"/>
        </w:rPr>
        <w:t>Regulatory proposal</w:t>
      </w:r>
      <w:r>
        <w:t>, January 2016, p.113.</w:t>
      </w:r>
      <w:proofErr w:type="gramEnd"/>
      <w:r>
        <w:t xml:space="preserve"> </w:t>
      </w:r>
    </w:p>
  </w:footnote>
  <w:footnote w:id="9">
    <w:p w:rsidR="009546E5" w:rsidRDefault="009546E5" w:rsidP="00BA416F">
      <w:pPr>
        <w:pStyle w:val="FootnoteText"/>
      </w:pPr>
      <w:r>
        <w:rPr>
          <w:rStyle w:val="FootnoteReference"/>
        </w:rPr>
        <w:footnoteRef/>
      </w:r>
      <w:r>
        <w:t xml:space="preserve"> </w:t>
      </w:r>
      <w:r>
        <w:tab/>
      </w:r>
      <w:proofErr w:type="gramStart"/>
      <w:r>
        <w:t>NER, cl. S6.2.1.</w:t>
      </w:r>
      <w:proofErr w:type="gramEnd"/>
    </w:p>
  </w:footnote>
  <w:footnote w:id="10">
    <w:p w:rsidR="009546E5" w:rsidRDefault="009546E5" w:rsidP="00BA416F">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6.5.1(</w:t>
      </w:r>
      <w:proofErr w:type="gramStart"/>
      <w:r>
        <w:t>b</w:t>
      </w:r>
      <w:proofErr w:type="gramEnd"/>
      <w:r>
        <w:t>), 6.5.1(e), S6.1.3(7).</w:t>
      </w:r>
    </w:p>
  </w:footnote>
  <w:footnote w:id="11">
    <w:p w:rsidR="009546E5" w:rsidRDefault="009546E5">
      <w:pPr>
        <w:pStyle w:val="FootnoteText"/>
      </w:pPr>
      <w:r>
        <w:rPr>
          <w:rStyle w:val="FootnoteReference"/>
        </w:rPr>
        <w:footnoteRef/>
      </w:r>
      <w:r>
        <w:t xml:space="preserve"> </w:t>
      </w:r>
      <w:r>
        <w:tab/>
        <w:t>The roll forward commences in the final year of the 2007–12 regulatory control period to allow us to adjust for the difference between actual 2011–12 capex and the estimated 2011–12 capex used in our 2012 distribution determination. See NER, cl. </w:t>
      </w:r>
      <w:proofErr w:type="gramStart"/>
      <w:r>
        <w:t>S6.2.1(</w:t>
      </w:r>
      <w:proofErr w:type="gramEnd"/>
      <w:r>
        <w:t>e)(3).</w:t>
      </w:r>
    </w:p>
  </w:footnote>
  <w:footnote w:id="12">
    <w:p w:rsidR="009546E5" w:rsidRDefault="009546E5" w:rsidP="00BA416F">
      <w:pPr>
        <w:pStyle w:val="FootnoteText"/>
      </w:pPr>
      <w:r>
        <w:rPr>
          <w:rStyle w:val="FootnoteReference"/>
        </w:rPr>
        <w:footnoteRef/>
      </w:r>
      <w:r>
        <w:t xml:space="preserve"> </w:t>
      </w:r>
      <w:r>
        <w:tab/>
        <w:t>NER, cl. 6.5.1(e</w:t>
      </w:r>
      <w:proofErr w:type="gramStart"/>
      <w:r>
        <w:t>)(</w:t>
      </w:r>
      <w:proofErr w:type="gramEnd"/>
      <w:r>
        <w:t>3).</w:t>
      </w:r>
    </w:p>
  </w:footnote>
  <w:footnote w:id="13">
    <w:p w:rsidR="009546E5" w:rsidRDefault="009546E5" w:rsidP="00011DA9">
      <w:pPr>
        <w:pStyle w:val="FootnoteText"/>
      </w:pPr>
      <w:r>
        <w:rPr>
          <w:rStyle w:val="FootnoteReference"/>
        </w:rPr>
        <w:footnoteRef/>
      </w:r>
      <w:r>
        <w:t xml:space="preserve"> </w:t>
      </w:r>
      <w:r>
        <w:tab/>
      </w:r>
      <w:r w:rsidRPr="006F6224">
        <w:t>NER, c</w:t>
      </w:r>
      <w:r>
        <w:t xml:space="preserve">l. </w:t>
      </w:r>
      <w:proofErr w:type="gramStart"/>
      <w:r>
        <w:t>S6.2.1(</w:t>
      </w:r>
      <w:proofErr w:type="gramEnd"/>
      <w:r>
        <w:t>e</w:t>
      </w:r>
      <w:r w:rsidRPr="006F6224">
        <w:t>).</w:t>
      </w:r>
    </w:p>
  </w:footnote>
  <w:footnote w:id="14">
    <w:p w:rsidR="009546E5" w:rsidRDefault="009546E5" w:rsidP="00011DA9">
      <w:pPr>
        <w:pStyle w:val="FootnoteText"/>
      </w:pPr>
      <w:r>
        <w:rPr>
          <w:rStyle w:val="FootnoteReference"/>
        </w:rPr>
        <w:footnoteRef/>
      </w:r>
      <w:r>
        <w:t xml:space="preserve"> </w:t>
      </w:r>
      <w:r>
        <w:tab/>
      </w:r>
      <w:proofErr w:type="gramStart"/>
      <w:r w:rsidRPr="006F6224">
        <w:t>NER, c</w:t>
      </w:r>
      <w:r>
        <w:t>l</w:t>
      </w:r>
      <w:r w:rsidRPr="006F6224">
        <w:t>. S6.2.2A.</w:t>
      </w:r>
      <w:proofErr w:type="gramEnd"/>
    </w:p>
  </w:footnote>
  <w:footnote w:id="15">
    <w:p w:rsidR="009546E5" w:rsidRDefault="009546E5" w:rsidP="00011DA9">
      <w:pPr>
        <w:pStyle w:val="FootnoteText"/>
      </w:pPr>
      <w:r>
        <w:rPr>
          <w:rStyle w:val="FootnoteReference"/>
        </w:rPr>
        <w:footnoteRef/>
      </w:r>
      <w:r>
        <w:t xml:space="preserve"> </w:t>
      </w:r>
      <w:r>
        <w:tab/>
      </w:r>
      <w:proofErr w:type="gramStart"/>
      <w:r>
        <w:t xml:space="preserve">AER, </w:t>
      </w:r>
      <w:r w:rsidRPr="000B006F">
        <w:rPr>
          <w:rStyle w:val="AERtextitalic"/>
        </w:rPr>
        <w:t xml:space="preserve">Capital </w:t>
      </w:r>
      <w:r>
        <w:rPr>
          <w:rStyle w:val="AERtextitalic"/>
        </w:rPr>
        <w:t>e</w:t>
      </w:r>
      <w:r w:rsidRPr="000B006F">
        <w:rPr>
          <w:rStyle w:val="AERtextitalic"/>
        </w:rPr>
        <w:t xml:space="preserve">xpenditure </w:t>
      </w:r>
      <w:r>
        <w:rPr>
          <w:rStyle w:val="AERtextitalic"/>
        </w:rPr>
        <w:t>i</w:t>
      </w:r>
      <w:r w:rsidRPr="000B006F">
        <w:rPr>
          <w:rStyle w:val="AERtextitalic"/>
        </w:rPr>
        <w:t xml:space="preserve">ncentive </w:t>
      </w:r>
      <w:r>
        <w:rPr>
          <w:rStyle w:val="AERtextitalic"/>
        </w:rPr>
        <w:t>g</w:t>
      </w:r>
      <w:r w:rsidRPr="000B006F">
        <w:rPr>
          <w:rStyle w:val="AERtextitalic"/>
        </w:rPr>
        <w:t>uideline</w:t>
      </w:r>
      <w:r>
        <w:t>, November 2013, pp. 12–20.</w:t>
      </w:r>
      <w:proofErr w:type="gramEnd"/>
      <w:r w:rsidRPr="00953101">
        <w:t xml:space="preserve"> </w:t>
      </w:r>
    </w:p>
    <w:p w:rsidR="009546E5" w:rsidRDefault="009546E5" w:rsidP="00011DA9">
      <w:pPr>
        <w:pStyle w:val="FootnoteText"/>
      </w:pPr>
      <w:r>
        <w:tab/>
        <w:t xml:space="preserve">Under the NER, cl </w:t>
      </w:r>
      <w:proofErr w:type="gramStart"/>
      <w:r>
        <w:t>S6.2.2A(</w:t>
      </w:r>
      <w:proofErr w:type="gramEnd"/>
      <w:r>
        <w:t xml:space="preserve">b), the exclusion of </w:t>
      </w:r>
      <w:r w:rsidRPr="00166EE4">
        <w:t>inefficient</w:t>
      </w:r>
      <w:r>
        <w:t xml:space="preserve"> capex could only come from three areas: overspend in capex, margin paid to third party and capitalisation of opex as defined in </w:t>
      </w:r>
      <w:proofErr w:type="spellStart"/>
      <w:r>
        <w:t>cll</w:t>
      </w:r>
      <w:proofErr w:type="spellEnd"/>
      <w:r>
        <w:t xml:space="preserve">. </w:t>
      </w:r>
      <w:proofErr w:type="gramStart"/>
      <w:r>
        <w:t>S6.2.2A (c), (d) and (e) of the NER.</w:t>
      </w:r>
      <w:proofErr w:type="gramEnd"/>
    </w:p>
  </w:footnote>
  <w:footnote w:id="16">
    <w:p w:rsidR="009546E5" w:rsidRDefault="009546E5" w:rsidP="00011DA9">
      <w:pPr>
        <w:pStyle w:val="FootnoteText"/>
      </w:pPr>
      <w:r>
        <w:rPr>
          <w:rStyle w:val="FootnoteReference"/>
        </w:rPr>
        <w:footnoteRef/>
      </w:r>
      <w:r>
        <w:t xml:space="preserve"> </w:t>
      </w:r>
      <w:r>
        <w:tab/>
      </w:r>
      <w:proofErr w:type="gramStart"/>
      <w:r w:rsidRPr="006F6224">
        <w:t>NER, c</w:t>
      </w:r>
      <w:r>
        <w:t>l</w:t>
      </w:r>
      <w:r w:rsidRPr="006F6224">
        <w:t>.11.6</w:t>
      </w:r>
      <w:r>
        <w:t>2</w:t>
      </w:r>
      <w:r w:rsidRPr="006F6224">
        <w:t>.</w:t>
      </w:r>
      <w:proofErr w:type="gramEnd"/>
    </w:p>
  </w:footnote>
  <w:footnote w:id="17">
    <w:p w:rsidR="009546E5" w:rsidRDefault="009546E5" w:rsidP="00011DA9">
      <w:pPr>
        <w:pStyle w:val="FootnoteText"/>
      </w:pPr>
      <w:r>
        <w:rPr>
          <w:rStyle w:val="FootnoteReference"/>
        </w:rPr>
        <w:footnoteRef/>
      </w:r>
      <w:r>
        <w:t xml:space="preserve"> </w:t>
      </w:r>
      <w:r>
        <w:tab/>
        <w:t>NER, cl. </w:t>
      </w:r>
      <w:proofErr w:type="gramStart"/>
      <w:r>
        <w:t>S6.2.2(</w:t>
      </w:r>
      <w:proofErr w:type="gramEnd"/>
      <w:r>
        <w:t>a1). The two year lag ensures that actual capex (instead of estimated capex) is available when the review of past capex commences.</w:t>
      </w:r>
    </w:p>
  </w:footnote>
  <w:footnote w:id="18">
    <w:p w:rsidR="009546E5" w:rsidRDefault="009546E5" w:rsidP="00011DA9">
      <w:pPr>
        <w:pStyle w:val="FootnoteText"/>
      </w:pPr>
      <w:r>
        <w:rPr>
          <w:rStyle w:val="FootnoteReference"/>
        </w:rPr>
        <w:footnoteRef/>
      </w:r>
      <w:r>
        <w:t xml:space="preserve"> </w:t>
      </w:r>
      <w:r>
        <w:tab/>
        <w:t>We will update any estimated capex with actual capex at the time of the next reset.</w:t>
      </w:r>
    </w:p>
  </w:footnote>
  <w:footnote w:id="19">
    <w:p w:rsidR="009546E5" w:rsidRDefault="009546E5">
      <w:pPr>
        <w:pStyle w:val="FootnoteText"/>
      </w:pPr>
      <w:r>
        <w:rPr>
          <w:rStyle w:val="FootnoteReference"/>
        </w:rPr>
        <w:footnoteRef/>
      </w:r>
      <w:r>
        <w:t xml:space="preserve"> </w:t>
      </w:r>
      <w:r>
        <w:tab/>
        <w:t>For example, we make adjustment for movements in provisions if the actual capex amounts reported in the RIN include capitalised provisions.</w:t>
      </w:r>
    </w:p>
  </w:footnote>
  <w:footnote w:id="20">
    <w:p w:rsidR="009546E5" w:rsidRDefault="009546E5" w:rsidP="00BA416F">
      <w:pPr>
        <w:pStyle w:val="FootnoteText"/>
      </w:pPr>
      <w:r>
        <w:rPr>
          <w:rStyle w:val="FootnoteReference"/>
        </w:rPr>
        <w:footnoteRef/>
      </w:r>
      <w:r>
        <w:t xml:space="preserve"> </w:t>
      </w:r>
      <w:r>
        <w:tab/>
        <w:t xml:space="preserve">NER, cl. </w:t>
      </w:r>
      <w:proofErr w:type="gramStart"/>
      <w:r>
        <w:t>S6.2.1(</w:t>
      </w:r>
      <w:proofErr w:type="gramEnd"/>
      <w:r>
        <w:t>e)(5).</w:t>
      </w:r>
    </w:p>
  </w:footnote>
  <w:footnote w:id="21">
    <w:p w:rsidR="009546E5" w:rsidRDefault="009546E5" w:rsidP="00BA416F">
      <w:pPr>
        <w:pStyle w:val="FootnoteText"/>
      </w:pPr>
      <w:r>
        <w:rPr>
          <w:rStyle w:val="FootnoteReference"/>
        </w:rPr>
        <w:footnoteRef/>
      </w:r>
      <w:r>
        <w:t xml:space="preserve"> </w:t>
      </w:r>
      <w:r>
        <w:tab/>
      </w:r>
      <w:proofErr w:type="gramStart"/>
      <w:r>
        <w:t>NER, cl. 6.12.1(18).</w:t>
      </w:r>
      <w:proofErr w:type="gramEnd"/>
    </w:p>
  </w:footnote>
  <w:footnote w:id="22">
    <w:p w:rsidR="009546E5" w:rsidRPr="00E750F4" w:rsidRDefault="009546E5" w:rsidP="00E750F4">
      <w:pPr>
        <w:pStyle w:val="FootnoteText"/>
        <w:rPr>
          <w:rStyle w:val="AERtextitalic"/>
          <w:i w:val="0"/>
        </w:rPr>
      </w:pPr>
      <w:r>
        <w:rPr>
          <w:rStyle w:val="FootnoteReference"/>
        </w:rPr>
        <w:footnoteRef/>
      </w:r>
      <w:r>
        <w:t xml:space="preserve"> </w:t>
      </w:r>
      <w:r>
        <w:tab/>
        <w:t xml:space="preserve">The use of actual depreciation is consistent with the depreciation approach established in the 2012 distribution determination for TasNetworks. See AER, </w:t>
      </w:r>
      <w:r w:rsidRPr="009C5305">
        <w:rPr>
          <w:rStyle w:val="AERtextitalic"/>
        </w:rPr>
        <w:t>Final distribution determination</w:t>
      </w:r>
      <w:r>
        <w:rPr>
          <w:rStyle w:val="AERtextitalic"/>
        </w:rPr>
        <w:t>:</w:t>
      </w:r>
      <w:r w:rsidRPr="009C5305">
        <w:rPr>
          <w:rStyle w:val="AERtextitalic"/>
        </w:rPr>
        <w:t xml:space="preserve"> Aurora Energ</w:t>
      </w:r>
      <w:r>
        <w:rPr>
          <w:rStyle w:val="AERtextitalic"/>
        </w:rPr>
        <w:t xml:space="preserve">y 2012–17, </w:t>
      </w:r>
      <w:r w:rsidRPr="00E750F4">
        <w:rPr>
          <w:rStyle w:val="AERtextitalic"/>
          <w:i w:val="0"/>
        </w:rPr>
        <w:t>April 2012, p. 106.</w:t>
      </w:r>
    </w:p>
  </w:footnote>
  <w:footnote w:id="23">
    <w:p w:rsidR="009546E5" w:rsidRDefault="009546E5" w:rsidP="00BA416F">
      <w:pPr>
        <w:pStyle w:val="FootnoteText"/>
      </w:pPr>
      <w:r>
        <w:rPr>
          <w:rStyle w:val="FootnoteReference"/>
        </w:rPr>
        <w:footnoteRef/>
      </w:r>
      <w:r>
        <w:t xml:space="preserve"> </w:t>
      </w:r>
      <w:r>
        <w:tab/>
        <w:t xml:space="preserve">Refer to section 2.4.3 for the reasons. </w:t>
      </w:r>
    </w:p>
  </w:footnote>
  <w:footnote w:id="24">
    <w:p w:rsidR="009546E5" w:rsidRDefault="009546E5" w:rsidP="006D0F0C">
      <w:pPr>
        <w:pStyle w:val="FootnoteText"/>
      </w:pPr>
      <w:r>
        <w:rPr>
          <w:rStyle w:val="FootnoteReference"/>
        </w:rPr>
        <w:footnoteRef/>
      </w:r>
      <w:r>
        <w:t xml:space="preserve"> </w:t>
      </w:r>
      <w:r>
        <w:tab/>
      </w:r>
      <w:r w:rsidRPr="006F6224">
        <w:t>NER, c</w:t>
      </w:r>
      <w:r>
        <w:t>l</w:t>
      </w:r>
      <w:r w:rsidRPr="006F6224">
        <w:t xml:space="preserve">. </w:t>
      </w:r>
      <w:proofErr w:type="gramStart"/>
      <w:r w:rsidRPr="006F6224">
        <w:t>S6.2.1(</w:t>
      </w:r>
      <w:proofErr w:type="gramEnd"/>
      <w:r>
        <w:t>e</w:t>
      </w:r>
      <w:r w:rsidRPr="006F6224">
        <w:t>)(6).</w:t>
      </w:r>
    </w:p>
  </w:footnote>
  <w:footnote w:id="25">
    <w:p w:rsidR="009546E5" w:rsidRDefault="009546E5" w:rsidP="00BA416F">
      <w:pPr>
        <w:pStyle w:val="FootnoteText"/>
      </w:pPr>
      <w:r>
        <w:rPr>
          <w:rStyle w:val="FootnoteReference"/>
        </w:rPr>
        <w:footnoteRef/>
      </w:r>
      <w:r>
        <w:t xml:space="preserve"> </w:t>
      </w:r>
      <w:r>
        <w:tab/>
      </w:r>
      <w:proofErr w:type="gramStart"/>
      <w:r>
        <w:t>NER, cl. S6.2.2B.</w:t>
      </w:r>
      <w:proofErr w:type="gramEnd"/>
    </w:p>
  </w:footnote>
  <w:footnote w:id="26">
    <w:p w:rsidR="009546E5" w:rsidRDefault="009546E5" w:rsidP="00BA416F">
      <w:pPr>
        <w:pStyle w:val="FootnoteText"/>
      </w:pPr>
      <w:r>
        <w:rPr>
          <w:rStyle w:val="FootnoteReference"/>
        </w:rPr>
        <w:footnoteRef/>
      </w:r>
      <w:r>
        <w:t xml:space="preserve"> </w:t>
      </w:r>
      <w:r>
        <w:tab/>
      </w:r>
      <w:proofErr w:type="gramStart"/>
      <w:r>
        <w:t>NER, cl. S6.2.2B(c).</w:t>
      </w:r>
      <w:proofErr w:type="gramEnd"/>
    </w:p>
  </w:footnote>
  <w:footnote w:id="27">
    <w:p w:rsidR="009546E5" w:rsidRDefault="009546E5" w:rsidP="00BA416F">
      <w:pPr>
        <w:pStyle w:val="FootnoteText"/>
      </w:pPr>
      <w:r>
        <w:rPr>
          <w:rStyle w:val="FootnoteReference"/>
        </w:rPr>
        <w:footnoteRef/>
      </w:r>
      <w:r>
        <w:t xml:space="preserve"> </w:t>
      </w:r>
      <w:r>
        <w:tab/>
        <w:t>The size of the RAB also impacts the benchmark debt raising cost allowance. However, this amount is usually relatively small and therefore not a significant determinant of revenues overall.</w:t>
      </w:r>
    </w:p>
  </w:footnote>
  <w:footnote w:id="28">
    <w:p w:rsidR="009546E5" w:rsidRDefault="009546E5" w:rsidP="00BA416F">
      <w:pPr>
        <w:pStyle w:val="FootnoteText"/>
      </w:pPr>
      <w:r>
        <w:rPr>
          <w:rStyle w:val="FootnoteReference"/>
        </w:rPr>
        <w:footnoteRef/>
      </w:r>
      <w:r>
        <w:t xml:space="preserve"> </w:t>
      </w:r>
      <w:r>
        <w:tab/>
        <w:t xml:space="preserve">Net capex is gross capex less disposals and capital contributions. The rate of return or WACC also influences the size of the capex. This is because the capex is not depreciated in the year it is first incurred, but added to the RAB at the end of the year. Instead, the capex amount is escalated by half a WACC to arrive at an end of year value. It then begins depreciating the following year. </w:t>
      </w:r>
    </w:p>
  </w:footnote>
  <w:footnote w:id="29">
    <w:p w:rsidR="009546E5" w:rsidRDefault="009546E5" w:rsidP="00292B5C">
      <w:pPr>
        <w:pStyle w:val="FootnoteText"/>
      </w:pPr>
      <w:r>
        <w:rPr>
          <w:rStyle w:val="FootnoteReference"/>
        </w:rPr>
        <w:footnoteRef/>
      </w:r>
      <w:r>
        <w:t xml:space="preserve"> </w:t>
      </w:r>
      <w:r>
        <w:tab/>
      </w:r>
      <w:proofErr w:type="gramStart"/>
      <w:r w:rsidRPr="00D475D3">
        <w:t xml:space="preserve">NER, </w:t>
      </w:r>
      <w:proofErr w:type="spellStart"/>
      <w:r w:rsidRPr="00D475D3">
        <w:t>cl</w:t>
      </w:r>
      <w:r>
        <w:t>l</w:t>
      </w:r>
      <w:proofErr w:type="spellEnd"/>
      <w:r>
        <w:t>.</w:t>
      </w:r>
      <w:proofErr w:type="gramEnd"/>
      <w:r>
        <w:t xml:space="preserve"> 6.3.2(</w:t>
      </w:r>
      <w:proofErr w:type="gramStart"/>
      <w:r>
        <w:t>a</w:t>
      </w:r>
      <w:proofErr w:type="gramEnd"/>
      <w:r>
        <w:t>)(2) and 6.5.1(e)(3)</w:t>
      </w:r>
      <w:r w:rsidRPr="00D475D3">
        <w:t>.</w:t>
      </w:r>
    </w:p>
  </w:footnote>
  <w:footnote w:id="30">
    <w:p w:rsidR="009546E5" w:rsidRDefault="009546E5" w:rsidP="00292B5C">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6.5.2(a) and 6.5.2(d</w:t>
      </w:r>
      <w:proofErr w:type="gramStart"/>
      <w:r>
        <w:t>)(</w:t>
      </w:r>
      <w:proofErr w:type="gramEnd"/>
      <w:r>
        <w:t>2).</w:t>
      </w:r>
    </w:p>
  </w:footnote>
  <w:footnote w:id="31">
    <w:p w:rsidR="009546E5" w:rsidRDefault="009546E5" w:rsidP="00292B5C">
      <w:pPr>
        <w:pStyle w:val="FootnoteText"/>
      </w:pPr>
      <w:r>
        <w:rPr>
          <w:rStyle w:val="FootnoteReference"/>
        </w:rPr>
        <w:footnoteRef/>
      </w:r>
      <w:r>
        <w:t xml:space="preserve"> </w:t>
      </w:r>
      <w:r>
        <w:tab/>
        <w:t>NER, cl. 6.4.3(b</w:t>
      </w:r>
      <w:proofErr w:type="gramStart"/>
      <w:r>
        <w:t>)(</w:t>
      </w:r>
      <w:proofErr w:type="gramEnd"/>
      <w:r>
        <w:t>1)(ii).</w:t>
      </w:r>
    </w:p>
  </w:footnote>
  <w:footnote w:id="32">
    <w:p w:rsidR="009546E5" w:rsidRDefault="009546E5" w:rsidP="00292B5C">
      <w:pPr>
        <w:pStyle w:val="FootnoteText"/>
      </w:pPr>
      <w:r>
        <w:rPr>
          <w:rStyle w:val="FootnoteReference"/>
        </w:rPr>
        <w:footnoteRef/>
      </w:r>
      <w:r>
        <w:t xml:space="preserve"> </w:t>
      </w:r>
      <w:r>
        <w:tab/>
      </w:r>
      <w:r w:rsidRPr="00B06CAD">
        <w:t xml:space="preserve">If the asset lives are extremely long, such that the </w:t>
      </w:r>
      <w:r>
        <w:t>RAB</w:t>
      </w:r>
      <w:r w:rsidRPr="00B06CAD">
        <w:t xml:space="preserve"> depreciation rate is lower than the inflation rate, then</w:t>
      </w:r>
      <w:r>
        <w:t xml:space="preserve"> </w:t>
      </w:r>
      <w:r w:rsidRPr="00B06CAD">
        <w:t xml:space="preserve">negative regulatory depreciation can emerge. The indexation adjustment is greater than the </w:t>
      </w:r>
      <w:r>
        <w:t>RAB</w:t>
      </w:r>
      <w:r w:rsidRPr="00B06CAD">
        <w:t xml:space="preserve"> depreciation in</w:t>
      </w:r>
      <w:r>
        <w:t xml:space="preserve"> </w:t>
      </w:r>
      <w:r w:rsidRPr="00B06CAD">
        <w:t>such circumstances</w:t>
      </w:r>
      <w:r>
        <w:t xml:space="preserve">. Please also refer to section 5.3.1 of attachment 5 of this draft decision for further explanation of the offsetting adjustment to the depreciation.  </w:t>
      </w:r>
    </w:p>
  </w:footnote>
  <w:footnote w:id="33">
    <w:p w:rsidR="009546E5" w:rsidRDefault="009546E5" w:rsidP="00292B5C">
      <w:pPr>
        <w:pStyle w:val="FootnoteText"/>
      </w:pPr>
      <w:r>
        <w:rPr>
          <w:rStyle w:val="FootnoteReference"/>
        </w:rPr>
        <w:footnoteRef/>
      </w:r>
      <w:r>
        <w:t xml:space="preserve"> </w:t>
      </w:r>
      <w:r>
        <w:tab/>
        <w:t>A change of approach from an indexed RAB to an un-indexed RAB would result in an initial step change increase in revenues to preserve NPV neutrality.</w:t>
      </w:r>
    </w:p>
  </w:footnote>
  <w:footnote w:id="34">
    <w:p w:rsidR="008B7F7D" w:rsidRDefault="008B7F7D">
      <w:pPr>
        <w:pStyle w:val="FootnoteText"/>
      </w:pPr>
      <w:r>
        <w:rPr>
          <w:rStyle w:val="FootnoteReference"/>
        </w:rPr>
        <w:footnoteRef/>
      </w:r>
      <w:r>
        <w:t xml:space="preserve"> </w:t>
      </w:r>
      <w:r>
        <w:tab/>
        <w:t xml:space="preserve">This amount includes customer contributions and excludes equity raising costs and half WACC adjustment.  </w:t>
      </w:r>
    </w:p>
  </w:footnote>
  <w:footnote w:id="35">
    <w:p w:rsidR="009546E5" w:rsidRDefault="009546E5">
      <w:pPr>
        <w:pStyle w:val="FootnoteText"/>
      </w:pPr>
      <w:r>
        <w:rPr>
          <w:rStyle w:val="FootnoteReference"/>
        </w:rPr>
        <w:footnoteRef/>
      </w:r>
      <w:r>
        <w:t xml:space="preserve"> </w:t>
      </w:r>
      <w:r>
        <w:tab/>
        <w:t xml:space="preserve">We have </w:t>
      </w:r>
      <w:r w:rsidRPr="00D81907">
        <w:t>include</w:t>
      </w:r>
      <w:r>
        <w:t>d</w:t>
      </w:r>
      <w:r w:rsidRPr="00D81907">
        <w:t xml:space="preserve"> a half-WACC adjustment to take the values to end of year terms</w:t>
      </w:r>
      <w:r>
        <w:t xml:space="preserve"> for the purposes of RAB roll forward.</w:t>
      </w:r>
    </w:p>
  </w:footnote>
  <w:footnote w:id="36">
    <w:p w:rsidR="009546E5" w:rsidRDefault="009546E5" w:rsidP="00BA416F">
      <w:pPr>
        <w:pStyle w:val="FootnoteText"/>
      </w:pPr>
      <w:r>
        <w:rPr>
          <w:rStyle w:val="FootnoteReference"/>
        </w:rPr>
        <w:footnoteRef/>
      </w:r>
      <w:r>
        <w:t xml:space="preserve"> </w:t>
      </w:r>
      <w:r>
        <w:tab/>
        <w:t xml:space="preserve">If capex causes the RAB increase, return on capital, depreciation, and debt raising costs all increase too. If a reduction in depreciation causes the RAB increase, revenue could increase or decrease. In this case, the higher return on capital is offset (perhaps more than offset) by the reduction in depreciation allowance. Inflation naturally increases the RAB in nominal terms. </w:t>
      </w:r>
    </w:p>
  </w:footnote>
  <w:footnote w:id="37">
    <w:p w:rsidR="009546E5" w:rsidRDefault="009546E5" w:rsidP="001D5FE5">
      <w:pPr>
        <w:pStyle w:val="FootnoteText"/>
      </w:pPr>
      <w:r>
        <w:rPr>
          <w:rStyle w:val="FootnoteReference"/>
        </w:rPr>
        <w:footnoteRef/>
      </w:r>
      <w:r>
        <w:t xml:space="preserve"> </w:t>
      </w:r>
      <w:r>
        <w:tab/>
      </w:r>
      <w:proofErr w:type="gramStart"/>
      <w:r>
        <w:t xml:space="preserve">TasNetworks, </w:t>
      </w:r>
      <w:r>
        <w:rPr>
          <w:rStyle w:val="AERtextitalic"/>
        </w:rPr>
        <w:t>Regulatory proposal 2017–19</w:t>
      </w:r>
      <w:r>
        <w:t>, January 2016, p. 108.</w:t>
      </w:r>
      <w:proofErr w:type="gramEnd"/>
      <w:r>
        <w:t xml:space="preserve"> </w:t>
      </w:r>
    </w:p>
  </w:footnote>
  <w:footnote w:id="38">
    <w:p w:rsidR="009546E5" w:rsidRDefault="009546E5">
      <w:pPr>
        <w:pStyle w:val="FootnoteText"/>
      </w:pPr>
      <w:r>
        <w:rPr>
          <w:rStyle w:val="FootnoteReference"/>
        </w:rPr>
        <w:footnoteRef/>
      </w:r>
      <w:r>
        <w:t xml:space="preserve"> </w:t>
      </w:r>
      <w:r>
        <w:tab/>
        <w:t xml:space="preserve">The March quarter CPI is used as a proxy for the June financial year in the 2012–17 regulatory control </w:t>
      </w:r>
      <w:proofErr w:type="gramStart"/>
      <w:r>
        <w:t>period</w:t>
      </w:r>
      <w:proofErr w:type="gramEnd"/>
      <w:r>
        <w:t xml:space="preserve">. As discussed in attachment 14, the December quarter CPI will be used as a proxy for the June financial year for the 2017–19 regulatory control </w:t>
      </w:r>
      <w:proofErr w:type="gramStart"/>
      <w:r>
        <w:t>period</w:t>
      </w:r>
      <w:proofErr w:type="gramEnd"/>
      <w:r>
        <w:t>.</w:t>
      </w:r>
    </w:p>
  </w:footnote>
  <w:footnote w:id="39">
    <w:p w:rsidR="009546E5" w:rsidRDefault="009546E5" w:rsidP="00BA416F">
      <w:pPr>
        <w:pStyle w:val="FootnoteText"/>
      </w:pPr>
      <w:r>
        <w:rPr>
          <w:rStyle w:val="FootnoteReference"/>
        </w:rPr>
        <w:footnoteRef/>
      </w:r>
      <w:r>
        <w:t xml:space="preserve"> </w:t>
      </w:r>
      <w:r>
        <w:tab/>
      </w:r>
      <w:r w:rsidRPr="008914BF">
        <w:t xml:space="preserve">At the time of this </w:t>
      </w:r>
      <w:r>
        <w:t>draft</w:t>
      </w:r>
      <w:r w:rsidRPr="008914BF">
        <w:t xml:space="preserve"> decision</w:t>
      </w:r>
      <w:r>
        <w:t>,</w:t>
      </w:r>
      <w:r w:rsidRPr="008914BF">
        <w:t xml:space="preserve"> the roll forward of </w:t>
      </w:r>
      <w:proofErr w:type="spellStart"/>
      <w:r>
        <w:t>TasNetworks's</w:t>
      </w:r>
      <w:proofErr w:type="spellEnd"/>
      <w:r>
        <w:t xml:space="preserve"> RAB</w:t>
      </w:r>
      <w:r w:rsidRPr="008914BF">
        <w:t xml:space="preserve"> includes </w:t>
      </w:r>
      <w:r>
        <w:t>estimated</w:t>
      </w:r>
      <w:r w:rsidRPr="008914BF">
        <w:t xml:space="preserve"> capex</w:t>
      </w:r>
      <w:r>
        <w:t xml:space="preserve"> values</w:t>
      </w:r>
      <w:r w:rsidRPr="008914BF">
        <w:t xml:space="preserve"> for </w:t>
      </w:r>
      <w:r>
        <w:t xml:space="preserve">2015–16 and 2016–17. </w:t>
      </w:r>
      <w:r w:rsidRPr="00516A5D">
        <w:t>We will update the 201</w:t>
      </w:r>
      <w:r>
        <w:t>5–16</w:t>
      </w:r>
      <w:r w:rsidRPr="00516A5D">
        <w:t xml:space="preserve"> estimated capex </w:t>
      </w:r>
      <w:r>
        <w:t>with actuals in</w:t>
      </w:r>
      <w:r w:rsidRPr="00516A5D">
        <w:t xml:space="preserve"> the </w:t>
      </w:r>
      <w:r>
        <w:t>final</w:t>
      </w:r>
      <w:r w:rsidRPr="00516A5D">
        <w:t xml:space="preserve"> decision</w:t>
      </w:r>
      <w:r>
        <w:t>. We may also update the 2016–17 estimated capex with a revised estimate in the final decision.</w:t>
      </w:r>
    </w:p>
  </w:footnote>
  <w:footnote w:id="40">
    <w:p w:rsidR="009546E5" w:rsidRDefault="009546E5">
      <w:pPr>
        <w:pStyle w:val="FootnoteText"/>
      </w:pPr>
      <w:r>
        <w:rPr>
          <w:rStyle w:val="FootnoteReference"/>
        </w:rPr>
        <w:footnoteRef/>
      </w:r>
      <w:r>
        <w:t xml:space="preserve"> </w:t>
      </w:r>
      <w:r>
        <w:tab/>
        <w:t>In our final decision we will update the estimate for 2016–17 expected inflation with actual CPI.</w:t>
      </w:r>
    </w:p>
  </w:footnote>
  <w:footnote w:id="41">
    <w:p w:rsidR="009546E5" w:rsidRDefault="009546E5" w:rsidP="009D64EE">
      <w:pPr>
        <w:pStyle w:val="FootnoteText"/>
      </w:pPr>
      <w:r>
        <w:rPr>
          <w:rStyle w:val="FootnoteReference"/>
        </w:rPr>
        <w:footnoteRef/>
      </w:r>
      <w:r>
        <w:t xml:space="preserve"> </w:t>
      </w:r>
      <w:r>
        <w:tab/>
      </w:r>
      <w:proofErr w:type="gramStart"/>
      <w:r>
        <w:t>NER, cl. 6.12.2(b).</w:t>
      </w:r>
      <w:proofErr w:type="gramEnd"/>
    </w:p>
  </w:footnote>
  <w:footnote w:id="42">
    <w:p w:rsidR="009546E5" w:rsidRDefault="009546E5" w:rsidP="009D64EE">
      <w:pPr>
        <w:pStyle w:val="FootnoteText"/>
      </w:pPr>
      <w:r>
        <w:rPr>
          <w:rStyle w:val="FootnoteReference"/>
        </w:rPr>
        <w:footnoteRef/>
      </w:r>
      <w:r>
        <w:t xml:space="preserve"> </w:t>
      </w:r>
      <w:r>
        <w:tab/>
      </w:r>
      <w:proofErr w:type="gramStart"/>
      <w:r>
        <w:t>NER, cl. 11.62.</w:t>
      </w:r>
      <w:proofErr w:type="gramEnd"/>
    </w:p>
  </w:footnote>
  <w:footnote w:id="43">
    <w:p w:rsidR="009546E5" w:rsidRDefault="009546E5" w:rsidP="002B1CB5">
      <w:pPr>
        <w:pStyle w:val="FootnoteText"/>
      </w:pPr>
      <w:r>
        <w:rPr>
          <w:rStyle w:val="FootnoteReference"/>
        </w:rPr>
        <w:footnoteRef/>
      </w:r>
      <w:r>
        <w:t xml:space="preserve"> </w:t>
      </w:r>
      <w:r>
        <w:tab/>
      </w:r>
      <w:r w:rsidRPr="00BE3FAF">
        <w:rPr>
          <w:rStyle w:val="AERtexthighlight"/>
          <w:shd w:val="clear" w:color="auto" w:fill="auto"/>
        </w:rPr>
        <w:t xml:space="preserve">NER, cl. </w:t>
      </w:r>
      <w:proofErr w:type="gramStart"/>
      <w:r>
        <w:t>S6.2.2A(</w:t>
      </w:r>
      <w:proofErr w:type="gramEnd"/>
      <w:r>
        <w:t>a1)</w:t>
      </w:r>
      <w:r w:rsidRPr="00BE3FAF">
        <w:rPr>
          <w:rStyle w:val="AERtexthighlight"/>
          <w:shd w:val="clear" w:color="auto" w:fill="auto"/>
        </w:rPr>
        <w:t>.</w:t>
      </w:r>
    </w:p>
  </w:footnote>
  <w:footnote w:id="44">
    <w:p w:rsidR="009546E5" w:rsidRDefault="009546E5" w:rsidP="009D64EE">
      <w:pPr>
        <w:pStyle w:val="FootnoteText"/>
      </w:pPr>
      <w:r>
        <w:rPr>
          <w:rStyle w:val="FootnoteReference"/>
        </w:rPr>
        <w:footnoteRef/>
      </w:r>
      <w:r>
        <w:t xml:space="preserve"> </w:t>
      </w:r>
      <w:r>
        <w:tab/>
      </w:r>
      <w:proofErr w:type="gramStart"/>
      <w:r>
        <w:t>NER, cl. S6.2.2A(c).</w:t>
      </w:r>
      <w:proofErr w:type="gramEnd"/>
    </w:p>
  </w:footnote>
  <w:footnote w:id="45">
    <w:p w:rsidR="009546E5" w:rsidRDefault="009546E5" w:rsidP="009D64EE">
      <w:pPr>
        <w:pStyle w:val="FootnoteText"/>
      </w:pPr>
      <w:r>
        <w:rPr>
          <w:rStyle w:val="FootnoteReference"/>
        </w:rPr>
        <w:footnoteRef/>
      </w:r>
      <w:r>
        <w:t xml:space="preserve"> </w:t>
      </w:r>
      <w:r>
        <w:tab/>
        <w:t xml:space="preserve">Here, 'inefficiency' of past capex refers to three specific assessments (labelled the overspending, margin and capitalisation requirements) detailed in NER, cl. S6.2.2A. The details of our ex post assessment approach for capex are set out in AER, </w:t>
      </w:r>
      <w:r w:rsidRPr="00965D78">
        <w:rPr>
          <w:rStyle w:val="Emphasis"/>
        </w:rPr>
        <w:t>Capital expenditure incentive guideline</w:t>
      </w:r>
      <w:r>
        <w:t>, November 2013, pp. 12–20.</w:t>
      </w:r>
    </w:p>
  </w:footnote>
  <w:footnote w:id="46">
    <w:p w:rsidR="009546E5" w:rsidRPr="004E49E0" w:rsidRDefault="009546E5" w:rsidP="004E49E0">
      <w:pPr>
        <w:pStyle w:val="FootnoteText"/>
        <w:rPr>
          <w:i/>
        </w:rPr>
      </w:pPr>
      <w:r>
        <w:rPr>
          <w:rStyle w:val="FootnoteReference"/>
        </w:rPr>
        <w:footnoteRef/>
      </w:r>
      <w:r>
        <w:t xml:space="preserve"> </w:t>
      </w:r>
      <w:r>
        <w:tab/>
        <w:t xml:space="preserve">AER, </w:t>
      </w:r>
      <w:r w:rsidRPr="009C5305">
        <w:rPr>
          <w:rStyle w:val="AERtextitalic"/>
        </w:rPr>
        <w:t>Final distribution determination</w:t>
      </w:r>
      <w:r>
        <w:rPr>
          <w:rStyle w:val="AERtextitalic"/>
        </w:rPr>
        <w:t>:</w:t>
      </w:r>
      <w:r w:rsidRPr="009C5305">
        <w:rPr>
          <w:rStyle w:val="AERtextitalic"/>
        </w:rPr>
        <w:t xml:space="preserve"> Aurora Energ</w:t>
      </w:r>
      <w:r>
        <w:rPr>
          <w:rStyle w:val="AERtextitalic"/>
        </w:rPr>
        <w:t xml:space="preserve">y 2012–17, </w:t>
      </w:r>
      <w:r w:rsidRPr="004E49E0">
        <w:rPr>
          <w:rStyle w:val="AERtextitalic"/>
        </w:rPr>
        <w:t>April 2012, p. 106.</w:t>
      </w:r>
    </w:p>
  </w:footnote>
  <w:footnote w:id="47">
    <w:p w:rsidR="009546E5" w:rsidRDefault="009546E5" w:rsidP="009D64EE">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w:t>
      </w:r>
      <w:proofErr w:type="gramStart"/>
      <w:r>
        <w:t>6.4A(</w:t>
      </w:r>
      <w:proofErr w:type="gramEnd"/>
      <w:r>
        <w:t>a), 65.7(a), 6.5.7(c) and 6.12.2(b).</w:t>
      </w:r>
    </w:p>
  </w:footnote>
  <w:footnote w:id="48">
    <w:p w:rsidR="009546E5" w:rsidRDefault="009546E5" w:rsidP="00EF116C">
      <w:pPr>
        <w:pStyle w:val="FootnoteText"/>
      </w:pPr>
      <w:r>
        <w:rPr>
          <w:rStyle w:val="FootnoteReference"/>
        </w:rPr>
        <w:footnoteRef/>
      </w:r>
      <w:r>
        <w:t xml:space="preserve"> </w:t>
      </w:r>
      <w:r>
        <w:tab/>
        <w:t xml:space="preserve">CCP </w:t>
      </w:r>
      <w:r w:rsidR="00641B99">
        <w:t>(</w:t>
      </w:r>
      <w:r>
        <w:t>David Headberry</w:t>
      </w:r>
      <w:r w:rsidR="00641B99">
        <w:t>)</w:t>
      </w:r>
      <w:r>
        <w:t xml:space="preserve">, </w:t>
      </w:r>
      <w:r w:rsidRPr="00F94244">
        <w:rPr>
          <w:rStyle w:val="AERtextitalic"/>
        </w:rPr>
        <w:t xml:space="preserve">Submission </w:t>
      </w:r>
      <w:r w:rsidR="00641B99">
        <w:rPr>
          <w:rStyle w:val="AERtextitalic"/>
        </w:rPr>
        <w:t>to the AER, Response to the proposal from Tasmania's electricity distribution network service provider (TasNetworks - TND) for a revenue reset for the 2017–19 regulatory period, 4 May 2016,</w:t>
      </w:r>
      <w:r>
        <w:t xml:space="preserve"> p. 12.</w:t>
      </w:r>
    </w:p>
  </w:footnote>
  <w:footnote w:id="49">
    <w:p w:rsidR="009546E5" w:rsidRDefault="009546E5">
      <w:pPr>
        <w:pStyle w:val="FootnoteText"/>
      </w:pPr>
      <w:r>
        <w:rPr>
          <w:rStyle w:val="FootnoteReference"/>
        </w:rPr>
        <w:footnoteRef/>
      </w:r>
      <w:r>
        <w:t xml:space="preserve"> </w:t>
      </w:r>
      <w:r>
        <w:tab/>
      </w:r>
      <w:proofErr w:type="gramStart"/>
      <w:r>
        <w:t xml:space="preserve">AER, </w:t>
      </w:r>
      <w:r w:rsidRPr="00BC2C2F">
        <w:rPr>
          <w:rStyle w:val="AERtextitalic"/>
        </w:rPr>
        <w:t xml:space="preserve">Framework and </w:t>
      </w:r>
      <w:r>
        <w:rPr>
          <w:rStyle w:val="AERtextitalic"/>
        </w:rPr>
        <w:t>a</w:t>
      </w:r>
      <w:r w:rsidRPr="00BC2C2F">
        <w:rPr>
          <w:rStyle w:val="AERtextitalic"/>
        </w:rPr>
        <w:t xml:space="preserve">pproach for </w:t>
      </w:r>
      <w:r>
        <w:rPr>
          <w:rStyle w:val="AERtextitalic"/>
        </w:rPr>
        <w:t xml:space="preserve">TasNetworks Distribution for the regulatory control period commencing 1 July 2017, </w:t>
      </w:r>
      <w:r>
        <w:t>July 2015, p. 17.</w:t>
      </w:r>
      <w:proofErr w:type="gramEnd"/>
    </w:p>
  </w:footnote>
  <w:footnote w:id="50">
    <w:p w:rsidR="009546E5" w:rsidRDefault="009546E5" w:rsidP="00BA416F">
      <w:pPr>
        <w:pStyle w:val="FootnoteText"/>
      </w:pPr>
      <w:r>
        <w:rPr>
          <w:rStyle w:val="FootnoteReference"/>
        </w:rPr>
        <w:footnoteRef/>
      </w:r>
      <w:r>
        <w:t xml:space="preserve"> </w:t>
      </w:r>
      <w:r>
        <w:tab/>
      </w:r>
      <w:proofErr w:type="gramStart"/>
      <w:r>
        <w:t>TasNetworks</w:t>
      </w:r>
      <w:r w:rsidRPr="00747409">
        <w:t xml:space="preserve">, </w:t>
      </w:r>
      <w:r w:rsidRPr="00747409">
        <w:rPr>
          <w:rStyle w:val="AERtextitalic"/>
        </w:rPr>
        <w:t>Regulatory proposal</w:t>
      </w:r>
      <w:r w:rsidRPr="00747409">
        <w:t xml:space="preserve">, </w:t>
      </w:r>
      <w:r>
        <w:t xml:space="preserve">January 2016, </w:t>
      </w:r>
      <w:r w:rsidRPr="00747409">
        <w:t>p</w:t>
      </w:r>
      <w:r>
        <w:t>.113</w:t>
      </w:r>
      <w:r w:rsidRPr="00747409">
        <w:t>.</w:t>
      </w:r>
      <w:proofErr w:type="gramEnd"/>
    </w:p>
  </w:footnote>
  <w:footnote w:id="51">
    <w:p w:rsidR="009546E5" w:rsidRDefault="009546E5" w:rsidP="00BA416F">
      <w:pPr>
        <w:pStyle w:val="FootnoteText"/>
      </w:pPr>
      <w:r>
        <w:rPr>
          <w:rStyle w:val="FootnoteReference"/>
        </w:rPr>
        <w:footnoteRef/>
      </w:r>
      <w:r>
        <w:t xml:space="preserve"> </w:t>
      </w:r>
      <w:r>
        <w:tab/>
      </w:r>
      <w:r w:rsidRPr="00BC2C2F">
        <w:t>Our ex post capex measures are set out in the capex incentives guideline, AER,</w:t>
      </w:r>
      <w:r w:rsidRPr="00DF55FA">
        <w:rPr>
          <w:rStyle w:val="AERtextitalic"/>
        </w:rPr>
        <w:t xml:space="preserve"> Capital expenditure incentive guideline for electricity network service providers</w:t>
      </w:r>
      <w:r w:rsidRPr="00BC2C2F">
        <w:t xml:space="preserve">, November 2013, pp. 13–19, 20–21. The guideline also sets out how all our capex incentive measures are consistent with the capex incentive objective.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16" w:rsidRDefault="00F62F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16" w:rsidRDefault="00F62F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16" w:rsidRDefault="00F62F1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E5" w:rsidRDefault="00954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87B6D442"/>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bWqGFkc/W7uagX8O6C7KeSUB138iJZSBY9fg+eMUTGA=" w:saltValue="Nx0SGhF/XlCM5otwvsf4iw==" w:algorithmName="SHA-256"/>
  <w:defaultTabStop w:val="340"/>
  <w:characterSpacingControl w:val="doNotCompress"/>
  <w:hdrShapeDefaults>
    <o:shapedefaults v:ext="edit" spidmax="268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2 - regulatory asset base - september 2016 (D2015-00171122).docx"/>
  </w:docVars>
  <w:rsids>
    <w:rsidRoot w:val="00961A4A"/>
    <w:rsid w:val="000051DC"/>
    <w:rsid w:val="0000613E"/>
    <w:rsid w:val="0000658F"/>
    <w:rsid w:val="00011DA9"/>
    <w:rsid w:val="0001507B"/>
    <w:rsid w:val="00020016"/>
    <w:rsid w:val="00021202"/>
    <w:rsid w:val="00021C2B"/>
    <w:rsid w:val="000241AC"/>
    <w:rsid w:val="0002498B"/>
    <w:rsid w:val="0002517F"/>
    <w:rsid w:val="00026187"/>
    <w:rsid w:val="000266FC"/>
    <w:rsid w:val="000273B3"/>
    <w:rsid w:val="00027E2D"/>
    <w:rsid w:val="0003578C"/>
    <w:rsid w:val="0004332C"/>
    <w:rsid w:val="00044DA3"/>
    <w:rsid w:val="000474DF"/>
    <w:rsid w:val="00055A67"/>
    <w:rsid w:val="00063247"/>
    <w:rsid w:val="0006624E"/>
    <w:rsid w:val="000668A7"/>
    <w:rsid w:val="00070F9F"/>
    <w:rsid w:val="0007137B"/>
    <w:rsid w:val="00072879"/>
    <w:rsid w:val="00073B74"/>
    <w:rsid w:val="00076416"/>
    <w:rsid w:val="000805A8"/>
    <w:rsid w:val="0008190B"/>
    <w:rsid w:val="000836D9"/>
    <w:rsid w:val="00083EEB"/>
    <w:rsid w:val="00085663"/>
    <w:rsid w:val="00085EBF"/>
    <w:rsid w:val="00086B4E"/>
    <w:rsid w:val="00091B15"/>
    <w:rsid w:val="00091FB8"/>
    <w:rsid w:val="00095186"/>
    <w:rsid w:val="000A0E71"/>
    <w:rsid w:val="000A1C0C"/>
    <w:rsid w:val="000A279B"/>
    <w:rsid w:val="000A3020"/>
    <w:rsid w:val="000A4840"/>
    <w:rsid w:val="000A62C1"/>
    <w:rsid w:val="000A6A79"/>
    <w:rsid w:val="000A6C7B"/>
    <w:rsid w:val="000B0A7B"/>
    <w:rsid w:val="000B1173"/>
    <w:rsid w:val="000B5827"/>
    <w:rsid w:val="000B7037"/>
    <w:rsid w:val="000C02D1"/>
    <w:rsid w:val="000C06C0"/>
    <w:rsid w:val="000C0C63"/>
    <w:rsid w:val="000C2B40"/>
    <w:rsid w:val="000C5255"/>
    <w:rsid w:val="000D07A7"/>
    <w:rsid w:val="000D122C"/>
    <w:rsid w:val="000D75B0"/>
    <w:rsid w:val="000E1819"/>
    <w:rsid w:val="000E2620"/>
    <w:rsid w:val="000E4821"/>
    <w:rsid w:val="000E4AA9"/>
    <w:rsid w:val="000E6C72"/>
    <w:rsid w:val="000E7F39"/>
    <w:rsid w:val="000F0CCB"/>
    <w:rsid w:val="000F7B71"/>
    <w:rsid w:val="00100EA2"/>
    <w:rsid w:val="00101AA1"/>
    <w:rsid w:val="00102338"/>
    <w:rsid w:val="00104566"/>
    <w:rsid w:val="00104FF6"/>
    <w:rsid w:val="001114AA"/>
    <w:rsid w:val="00115743"/>
    <w:rsid w:val="00116EB2"/>
    <w:rsid w:val="0012132C"/>
    <w:rsid w:val="00124609"/>
    <w:rsid w:val="00125AB9"/>
    <w:rsid w:val="00126A4C"/>
    <w:rsid w:val="001270E3"/>
    <w:rsid w:val="00132D43"/>
    <w:rsid w:val="0013303F"/>
    <w:rsid w:val="00133366"/>
    <w:rsid w:val="00133F47"/>
    <w:rsid w:val="00134029"/>
    <w:rsid w:val="0013511E"/>
    <w:rsid w:val="00135BF2"/>
    <w:rsid w:val="00140663"/>
    <w:rsid w:val="00142C2D"/>
    <w:rsid w:val="00144C96"/>
    <w:rsid w:val="0014573B"/>
    <w:rsid w:val="001463A3"/>
    <w:rsid w:val="0015073A"/>
    <w:rsid w:val="00156B5A"/>
    <w:rsid w:val="00156F5C"/>
    <w:rsid w:val="001573E4"/>
    <w:rsid w:val="00160756"/>
    <w:rsid w:val="00161DC8"/>
    <w:rsid w:val="00162DC4"/>
    <w:rsid w:val="00165235"/>
    <w:rsid w:val="00166760"/>
    <w:rsid w:val="0017232E"/>
    <w:rsid w:val="00174102"/>
    <w:rsid w:val="001754EE"/>
    <w:rsid w:val="00176E52"/>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DFA"/>
    <w:rsid w:val="00194E00"/>
    <w:rsid w:val="00196AA4"/>
    <w:rsid w:val="0019745E"/>
    <w:rsid w:val="00197B16"/>
    <w:rsid w:val="001A530D"/>
    <w:rsid w:val="001A5FB3"/>
    <w:rsid w:val="001A7155"/>
    <w:rsid w:val="001B45A0"/>
    <w:rsid w:val="001B680E"/>
    <w:rsid w:val="001C2AD4"/>
    <w:rsid w:val="001D055E"/>
    <w:rsid w:val="001D5FE5"/>
    <w:rsid w:val="001E1B3F"/>
    <w:rsid w:val="001E2579"/>
    <w:rsid w:val="001E3AB6"/>
    <w:rsid w:val="001E7161"/>
    <w:rsid w:val="001F05A4"/>
    <w:rsid w:val="001F3D4A"/>
    <w:rsid w:val="001F492E"/>
    <w:rsid w:val="001F64EF"/>
    <w:rsid w:val="001F6DA3"/>
    <w:rsid w:val="002010BC"/>
    <w:rsid w:val="002016E7"/>
    <w:rsid w:val="00201BB8"/>
    <w:rsid w:val="00202E03"/>
    <w:rsid w:val="002033B9"/>
    <w:rsid w:val="002043D0"/>
    <w:rsid w:val="0020492C"/>
    <w:rsid w:val="00204EC9"/>
    <w:rsid w:val="00206505"/>
    <w:rsid w:val="0020743F"/>
    <w:rsid w:val="002100A5"/>
    <w:rsid w:val="00216C93"/>
    <w:rsid w:val="00223051"/>
    <w:rsid w:val="00224DB9"/>
    <w:rsid w:val="0022569A"/>
    <w:rsid w:val="0023005C"/>
    <w:rsid w:val="00231012"/>
    <w:rsid w:val="00233775"/>
    <w:rsid w:val="0023414B"/>
    <w:rsid w:val="00240545"/>
    <w:rsid w:val="00243635"/>
    <w:rsid w:val="00247079"/>
    <w:rsid w:val="00250B78"/>
    <w:rsid w:val="00251745"/>
    <w:rsid w:val="002538F2"/>
    <w:rsid w:val="002546F6"/>
    <w:rsid w:val="002552BA"/>
    <w:rsid w:val="00260016"/>
    <w:rsid w:val="00263AC0"/>
    <w:rsid w:val="00264264"/>
    <w:rsid w:val="00264320"/>
    <w:rsid w:val="00265C47"/>
    <w:rsid w:val="0026689B"/>
    <w:rsid w:val="0026772D"/>
    <w:rsid w:val="002730B2"/>
    <w:rsid w:val="00274C7E"/>
    <w:rsid w:val="002777CF"/>
    <w:rsid w:val="002810F2"/>
    <w:rsid w:val="00286874"/>
    <w:rsid w:val="00290C63"/>
    <w:rsid w:val="00290F66"/>
    <w:rsid w:val="00291A99"/>
    <w:rsid w:val="00292B5C"/>
    <w:rsid w:val="00292E13"/>
    <w:rsid w:val="00293B6D"/>
    <w:rsid w:val="00294B08"/>
    <w:rsid w:val="0029518C"/>
    <w:rsid w:val="002963DD"/>
    <w:rsid w:val="00296B65"/>
    <w:rsid w:val="002A5C70"/>
    <w:rsid w:val="002A7DEF"/>
    <w:rsid w:val="002B0696"/>
    <w:rsid w:val="002B1CB5"/>
    <w:rsid w:val="002C0222"/>
    <w:rsid w:val="002C1499"/>
    <w:rsid w:val="002C233C"/>
    <w:rsid w:val="002C517B"/>
    <w:rsid w:val="002C7D76"/>
    <w:rsid w:val="002D3509"/>
    <w:rsid w:val="002D4171"/>
    <w:rsid w:val="002D5457"/>
    <w:rsid w:val="002D72E8"/>
    <w:rsid w:val="002D79AD"/>
    <w:rsid w:val="002E268F"/>
    <w:rsid w:val="002E78DD"/>
    <w:rsid w:val="002E7B22"/>
    <w:rsid w:val="002F12EC"/>
    <w:rsid w:val="002F7986"/>
    <w:rsid w:val="00301B40"/>
    <w:rsid w:val="00301C82"/>
    <w:rsid w:val="003029EE"/>
    <w:rsid w:val="00304D38"/>
    <w:rsid w:val="00304EDE"/>
    <w:rsid w:val="00305CC8"/>
    <w:rsid w:val="00307F6D"/>
    <w:rsid w:val="00314D83"/>
    <w:rsid w:val="0031571F"/>
    <w:rsid w:val="003177A2"/>
    <w:rsid w:val="00317E02"/>
    <w:rsid w:val="00323C89"/>
    <w:rsid w:val="003271B5"/>
    <w:rsid w:val="00327A1E"/>
    <w:rsid w:val="00327E28"/>
    <w:rsid w:val="00330FD3"/>
    <w:rsid w:val="00331264"/>
    <w:rsid w:val="003328C1"/>
    <w:rsid w:val="00334C8D"/>
    <w:rsid w:val="003378BD"/>
    <w:rsid w:val="003424EA"/>
    <w:rsid w:val="00342C2F"/>
    <w:rsid w:val="003436EB"/>
    <w:rsid w:val="00343A18"/>
    <w:rsid w:val="00345744"/>
    <w:rsid w:val="003518B3"/>
    <w:rsid w:val="00353E79"/>
    <w:rsid w:val="00362331"/>
    <w:rsid w:val="00364EA0"/>
    <w:rsid w:val="00366981"/>
    <w:rsid w:val="00370678"/>
    <w:rsid w:val="0037214E"/>
    <w:rsid w:val="00372C85"/>
    <w:rsid w:val="00373845"/>
    <w:rsid w:val="003744E3"/>
    <w:rsid w:val="00375F71"/>
    <w:rsid w:val="00376219"/>
    <w:rsid w:val="0037663E"/>
    <w:rsid w:val="0037699E"/>
    <w:rsid w:val="00377A29"/>
    <w:rsid w:val="00377C69"/>
    <w:rsid w:val="0038135F"/>
    <w:rsid w:val="0038415D"/>
    <w:rsid w:val="0038461C"/>
    <w:rsid w:val="003846F1"/>
    <w:rsid w:val="00390E6A"/>
    <w:rsid w:val="00393ABE"/>
    <w:rsid w:val="00395DB6"/>
    <w:rsid w:val="00396AE1"/>
    <w:rsid w:val="00397398"/>
    <w:rsid w:val="003A19D0"/>
    <w:rsid w:val="003A371A"/>
    <w:rsid w:val="003A59CD"/>
    <w:rsid w:val="003A6B00"/>
    <w:rsid w:val="003B30B2"/>
    <w:rsid w:val="003B484F"/>
    <w:rsid w:val="003B504B"/>
    <w:rsid w:val="003B5179"/>
    <w:rsid w:val="003B685C"/>
    <w:rsid w:val="003B7FBA"/>
    <w:rsid w:val="003C5A87"/>
    <w:rsid w:val="003C6537"/>
    <w:rsid w:val="003C6711"/>
    <w:rsid w:val="003C6A13"/>
    <w:rsid w:val="003C764A"/>
    <w:rsid w:val="003C78BA"/>
    <w:rsid w:val="003D14B8"/>
    <w:rsid w:val="003D41F1"/>
    <w:rsid w:val="003D42AB"/>
    <w:rsid w:val="003D5B94"/>
    <w:rsid w:val="003E0902"/>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CD2"/>
    <w:rsid w:val="004523B2"/>
    <w:rsid w:val="00453FB4"/>
    <w:rsid w:val="0045777E"/>
    <w:rsid w:val="00465258"/>
    <w:rsid w:val="004706F5"/>
    <w:rsid w:val="00471BC6"/>
    <w:rsid w:val="00476221"/>
    <w:rsid w:val="004766F5"/>
    <w:rsid w:val="00480B4B"/>
    <w:rsid w:val="004838D8"/>
    <w:rsid w:val="00485DC4"/>
    <w:rsid w:val="00494D04"/>
    <w:rsid w:val="004A2939"/>
    <w:rsid w:val="004A40BA"/>
    <w:rsid w:val="004A43D1"/>
    <w:rsid w:val="004A492B"/>
    <w:rsid w:val="004B4412"/>
    <w:rsid w:val="004B50E2"/>
    <w:rsid w:val="004B6269"/>
    <w:rsid w:val="004C348C"/>
    <w:rsid w:val="004C462E"/>
    <w:rsid w:val="004C6CA3"/>
    <w:rsid w:val="004C7F5E"/>
    <w:rsid w:val="004D343C"/>
    <w:rsid w:val="004D372A"/>
    <w:rsid w:val="004D5284"/>
    <w:rsid w:val="004D540D"/>
    <w:rsid w:val="004D55BA"/>
    <w:rsid w:val="004D720C"/>
    <w:rsid w:val="004E0FA7"/>
    <w:rsid w:val="004E22EC"/>
    <w:rsid w:val="004E49E0"/>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0D3"/>
    <w:rsid w:val="005332A9"/>
    <w:rsid w:val="0053396D"/>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5057"/>
    <w:rsid w:val="005754C2"/>
    <w:rsid w:val="00575E97"/>
    <w:rsid w:val="00577716"/>
    <w:rsid w:val="00577A09"/>
    <w:rsid w:val="00580DE8"/>
    <w:rsid w:val="00582167"/>
    <w:rsid w:val="005829C2"/>
    <w:rsid w:val="0058464E"/>
    <w:rsid w:val="00584D8F"/>
    <w:rsid w:val="0058582C"/>
    <w:rsid w:val="00587A18"/>
    <w:rsid w:val="00587ADE"/>
    <w:rsid w:val="0059551E"/>
    <w:rsid w:val="005A0BEC"/>
    <w:rsid w:val="005A404D"/>
    <w:rsid w:val="005A4BE4"/>
    <w:rsid w:val="005A6824"/>
    <w:rsid w:val="005B1E3C"/>
    <w:rsid w:val="005B6518"/>
    <w:rsid w:val="005B704A"/>
    <w:rsid w:val="005B72D7"/>
    <w:rsid w:val="005C045F"/>
    <w:rsid w:val="005C16FE"/>
    <w:rsid w:val="005C1A3E"/>
    <w:rsid w:val="005C1FAB"/>
    <w:rsid w:val="005C21A4"/>
    <w:rsid w:val="005C26CC"/>
    <w:rsid w:val="005C4463"/>
    <w:rsid w:val="005D3D88"/>
    <w:rsid w:val="005D4692"/>
    <w:rsid w:val="005D48C4"/>
    <w:rsid w:val="005D6208"/>
    <w:rsid w:val="005D6366"/>
    <w:rsid w:val="005D7BA2"/>
    <w:rsid w:val="005E36C2"/>
    <w:rsid w:val="005E490E"/>
    <w:rsid w:val="005E4AF4"/>
    <w:rsid w:val="005F387E"/>
    <w:rsid w:val="005F3D6E"/>
    <w:rsid w:val="005F415A"/>
    <w:rsid w:val="005F630C"/>
    <w:rsid w:val="00601E0B"/>
    <w:rsid w:val="0060258B"/>
    <w:rsid w:val="00605F76"/>
    <w:rsid w:val="00610EF9"/>
    <w:rsid w:val="00612F4F"/>
    <w:rsid w:val="00614EA0"/>
    <w:rsid w:val="00615C6B"/>
    <w:rsid w:val="00617D4C"/>
    <w:rsid w:val="00621C1F"/>
    <w:rsid w:val="00621DCE"/>
    <w:rsid w:val="00621FC5"/>
    <w:rsid w:val="00622DA1"/>
    <w:rsid w:val="00624F2C"/>
    <w:rsid w:val="00632D6D"/>
    <w:rsid w:val="00636569"/>
    <w:rsid w:val="00636EF9"/>
    <w:rsid w:val="00641B99"/>
    <w:rsid w:val="00642C3E"/>
    <w:rsid w:val="00644A01"/>
    <w:rsid w:val="00651E2D"/>
    <w:rsid w:val="00652324"/>
    <w:rsid w:val="006577FB"/>
    <w:rsid w:val="0066104A"/>
    <w:rsid w:val="00663066"/>
    <w:rsid w:val="00663DAD"/>
    <w:rsid w:val="00664206"/>
    <w:rsid w:val="006649E7"/>
    <w:rsid w:val="00666634"/>
    <w:rsid w:val="00671692"/>
    <w:rsid w:val="00675E20"/>
    <w:rsid w:val="00676679"/>
    <w:rsid w:val="00677A32"/>
    <w:rsid w:val="006817AD"/>
    <w:rsid w:val="00683C89"/>
    <w:rsid w:val="006857B3"/>
    <w:rsid w:val="00687584"/>
    <w:rsid w:val="00691B53"/>
    <w:rsid w:val="00697D0B"/>
    <w:rsid w:val="006A12BA"/>
    <w:rsid w:val="006A242A"/>
    <w:rsid w:val="006A4739"/>
    <w:rsid w:val="006A66A1"/>
    <w:rsid w:val="006B032D"/>
    <w:rsid w:val="006B2395"/>
    <w:rsid w:val="006B40AC"/>
    <w:rsid w:val="006B4CF9"/>
    <w:rsid w:val="006B797C"/>
    <w:rsid w:val="006B7AC8"/>
    <w:rsid w:val="006C1736"/>
    <w:rsid w:val="006C329B"/>
    <w:rsid w:val="006C6303"/>
    <w:rsid w:val="006D0F0C"/>
    <w:rsid w:val="006D1573"/>
    <w:rsid w:val="006D550F"/>
    <w:rsid w:val="006D6146"/>
    <w:rsid w:val="006D7F7E"/>
    <w:rsid w:val="006E0CFF"/>
    <w:rsid w:val="006E4F7A"/>
    <w:rsid w:val="006E5858"/>
    <w:rsid w:val="006E6C35"/>
    <w:rsid w:val="006F0D92"/>
    <w:rsid w:val="006F267D"/>
    <w:rsid w:val="006F49B3"/>
    <w:rsid w:val="0070011E"/>
    <w:rsid w:val="00701CAB"/>
    <w:rsid w:val="007023BB"/>
    <w:rsid w:val="007041CC"/>
    <w:rsid w:val="00704DD7"/>
    <w:rsid w:val="007058A5"/>
    <w:rsid w:val="00707563"/>
    <w:rsid w:val="00713C75"/>
    <w:rsid w:val="00715F61"/>
    <w:rsid w:val="00721BE7"/>
    <w:rsid w:val="00722132"/>
    <w:rsid w:val="007228F7"/>
    <w:rsid w:val="0072348C"/>
    <w:rsid w:val="00724A37"/>
    <w:rsid w:val="007303C3"/>
    <w:rsid w:val="00731188"/>
    <w:rsid w:val="007356CC"/>
    <w:rsid w:val="007368E6"/>
    <w:rsid w:val="007375DF"/>
    <w:rsid w:val="0074099D"/>
    <w:rsid w:val="007429BE"/>
    <w:rsid w:val="00743223"/>
    <w:rsid w:val="00743349"/>
    <w:rsid w:val="0074403A"/>
    <w:rsid w:val="00746E01"/>
    <w:rsid w:val="0075119B"/>
    <w:rsid w:val="00751DCD"/>
    <w:rsid w:val="00755084"/>
    <w:rsid w:val="00757364"/>
    <w:rsid w:val="00757A77"/>
    <w:rsid w:val="00757BDF"/>
    <w:rsid w:val="007609D0"/>
    <w:rsid w:val="00761454"/>
    <w:rsid w:val="0076193D"/>
    <w:rsid w:val="00763E5D"/>
    <w:rsid w:val="00766861"/>
    <w:rsid w:val="00767740"/>
    <w:rsid w:val="00767B5E"/>
    <w:rsid w:val="00775460"/>
    <w:rsid w:val="00777EE6"/>
    <w:rsid w:val="00782EEA"/>
    <w:rsid w:val="00784B0C"/>
    <w:rsid w:val="00786CA4"/>
    <w:rsid w:val="00787D13"/>
    <w:rsid w:val="007909B4"/>
    <w:rsid w:val="00790E86"/>
    <w:rsid w:val="007949D7"/>
    <w:rsid w:val="0079769A"/>
    <w:rsid w:val="007A0143"/>
    <w:rsid w:val="007A34C2"/>
    <w:rsid w:val="007A396C"/>
    <w:rsid w:val="007A4B02"/>
    <w:rsid w:val="007B0BE3"/>
    <w:rsid w:val="007B0D12"/>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59A"/>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0A0B"/>
    <w:rsid w:val="008344F6"/>
    <w:rsid w:val="0083510F"/>
    <w:rsid w:val="00837BF3"/>
    <w:rsid w:val="008415DE"/>
    <w:rsid w:val="008420DE"/>
    <w:rsid w:val="00845865"/>
    <w:rsid w:val="00845C0B"/>
    <w:rsid w:val="0084799B"/>
    <w:rsid w:val="00850C90"/>
    <w:rsid w:val="00851209"/>
    <w:rsid w:val="0085171F"/>
    <w:rsid w:val="008658A1"/>
    <w:rsid w:val="0086716A"/>
    <w:rsid w:val="00870613"/>
    <w:rsid w:val="0087380F"/>
    <w:rsid w:val="0087648F"/>
    <w:rsid w:val="00876612"/>
    <w:rsid w:val="0087718C"/>
    <w:rsid w:val="00882BB1"/>
    <w:rsid w:val="008837AC"/>
    <w:rsid w:val="008879A2"/>
    <w:rsid w:val="008909DC"/>
    <w:rsid w:val="00892D93"/>
    <w:rsid w:val="00894255"/>
    <w:rsid w:val="008945AD"/>
    <w:rsid w:val="008A0645"/>
    <w:rsid w:val="008A1C02"/>
    <w:rsid w:val="008A370D"/>
    <w:rsid w:val="008A43EF"/>
    <w:rsid w:val="008A587D"/>
    <w:rsid w:val="008B0479"/>
    <w:rsid w:val="008B0764"/>
    <w:rsid w:val="008B16B0"/>
    <w:rsid w:val="008B1BD5"/>
    <w:rsid w:val="008B35CD"/>
    <w:rsid w:val="008B4093"/>
    <w:rsid w:val="008B5FCC"/>
    <w:rsid w:val="008B7F36"/>
    <w:rsid w:val="008B7F7D"/>
    <w:rsid w:val="008C0527"/>
    <w:rsid w:val="008C357F"/>
    <w:rsid w:val="008C5486"/>
    <w:rsid w:val="008D1661"/>
    <w:rsid w:val="008D27E0"/>
    <w:rsid w:val="008D4F49"/>
    <w:rsid w:val="008D5F90"/>
    <w:rsid w:val="008D6800"/>
    <w:rsid w:val="008D72F1"/>
    <w:rsid w:val="008E1691"/>
    <w:rsid w:val="008E4089"/>
    <w:rsid w:val="008E5AFF"/>
    <w:rsid w:val="008E7031"/>
    <w:rsid w:val="008E77DE"/>
    <w:rsid w:val="008F040C"/>
    <w:rsid w:val="008F07A3"/>
    <w:rsid w:val="008F3322"/>
    <w:rsid w:val="008F3519"/>
    <w:rsid w:val="008F3A0D"/>
    <w:rsid w:val="009001B6"/>
    <w:rsid w:val="00900E1B"/>
    <w:rsid w:val="0090131F"/>
    <w:rsid w:val="009058D5"/>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53796"/>
    <w:rsid w:val="009546E5"/>
    <w:rsid w:val="00954AF5"/>
    <w:rsid w:val="0096068E"/>
    <w:rsid w:val="00961A4A"/>
    <w:rsid w:val="009661DE"/>
    <w:rsid w:val="00972C7C"/>
    <w:rsid w:val="00975787"/>
    <w:rsid w:val="00976CA7"/>
    <w:rsid w:val="00977411"/>
    <w:rsid w:val="009776F4"/>
    <w:rsid w:val="00982DA2"/>
    <w:rsid w:val="00983C25"/>
    <w:rsid w:val="0098466D"/>
    <w:rsid w:val="009856B7"/>
    <w:rsid w:val="009859D6"/>
    <w:rsid w:val="00985C86"/>
    <w:rsid w:val="009A5FC3"/>
    <w:rsid w:val="009B405C"/>
    <w:rsid w:val="009B6F84"/>
    <w:rsid w:val="009B74B0"/>
    <w:rsid w:val="009C0152"/>
    <w:rsid w:val="009C1A74"/>
    <w:rsid w:val="009C3D42"/>
    <w:rsid w:val="009C491E"/>
    <w:rsid w:val="009C5305"/>
    <w:rsid w:val="009D0DF1"/>
    <w:rsid w:val="009D22D6"/>
    <w:rsid w:val="009D2C84"/>
    <w:rsid w:val="009D3906"/>
    <w:rsid w:val="009D3B62"/>
    <w:rsid w:val="009D5E35"/>
    <w:rsid w:val="009D64EE"/>
    <w:rsid w:val="009D6B46"/>
    <w:rsid w:val="009D6D24"/>
    <w:rsid w:val="009E128A"/>
    <w:rsid w:val="009E35B6"/>
    <w:rsid w:val="009E5ABC"/>
    <w:rsid w:val="009F3BBA"/>
    <w:rsid w:val="009F43B4"/>
    <w:rsid w:val="009F4940"/>
    <w:rsid w:val="009F5BA1"/>
    <w:rsid w:val="009F5C05"/>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1A60"/>
    <w:rsid w:val="00A4259A"/>
    <w:rsid w:val="00A428EE"/>
    <w:rsid w:val="00A443C2"/>
    <w:rsid w:val="00A4478A"/>
    <w:rsid w:val="00A44852"/>
    <w:rsid w:val="00A45A63"/>
    <w:rsid w:val="00A46D4D"/>
    <w:rsid w:val="00A50502"/>
    <w:rsid w:val="00A5087B"/>
    <w:rsid w:val="00A53409"/>
    <w:rsid w:val="00A53796"/>
    <w:rsid w:val="00A53848"/>
    <w:rsid w:val="00A56945"/>
    <w:rsid w:val="00A56A6E"/>
    <w:rsid w:val="00A57D04"/>
    <w:rsid w:val="00A60A26"/>
    <w:rsid w:val="00A61598"/>
    <w:rsid w:val="00A61777"/>
    <w:rsid w:val="00A63646"/>
    <w:rsid w:val="00A63914"/>
    <w:rsid w:val="00A651F3"/>
    <w:rsid w:val="00A67B66"/>
    <w:rsid w:val="00A816B7"/>
    <w:rsid w:val="00A84A99"/>
    <w:rsid w:val="00A84F46"/>
    <w:rsid w:val="00A85E87"/>
    <w:rsid w:val="00A85F85"/>
    <w:rsid w:val="00A86AEA"/>
    <w:rsid w:val="00A871F4"/>
    <w:rsid w:val="00A9431A"/>
    <w:rsid w:val="00A94E41"/>
    <w:rsid w:val="00A95988"/>
    <w:rsid w:val="00A959DF"/>
    <w:rsid w:val="00A97A1B"/>
    <w:rsid w:val="00AA2927"/>
    <w:rsid w:val="00AA3BEA"/>
    <w:rsid w:val="00AB2CB8"/>
    <w:rsid w:val="00AB419C"/>
    <w:rsid w:val="00AB4617"/>
    <w:rsid w:val="00AC1B2C"/>
    <w:rsid w:val="00AC3264"/>
    <w:rsid w:val="00AC3F09"/>
    <w:rsid w:val="00AC46AD"/>
    <w:rsid w:val="00AC4D2D"/>
    <w:rsid w:val="00AC58EC"/>
    <w:rsid w:val="00AC5DBB"/>
    <w:rsid w:val="00AC7282"/>
    <w:rsid w:val="00AC7961"/>
    <w:rsid w:val="00AC7E27"/>
    <w:rsid w:val="00AD246F"/>
    <w:rsid w:val="00AD314E"/>
    <w:rsid w:val="00AD5FCD"/>
    <w:rsid w:val="00AD6B48"/>
    <w:rsid w:val="00AD6C56"/>
    <w:rsid w:val="00AD7A3A"/>
    <w:rsid w:val="00AE1BF1"/>
    <w:rsid w:val="00AE23AB"/>
    <w:rsid w:val="00AE392D"/>
    <w:rsid w:val="00AE58FB"/>
    <w:rsid w:val="00AE5AF0"/>
    <w:rsid w:val="00AE663D"/>
    <w:rsid w:val="00AE73B3"/>
    <w:rsid w:val="00AF07E7"/>
    <w:rsid w:val="00AF0DD2"/>
    <w:rsid w:val="00AF293D"/>
    <w:rsid w:val="00AF31E1"/>
    <w:rsid w:val="00AF3A55"/>
    <w:rsid w:val="00AF3BBA"/>
    <w:rsid w:val="00AF4231"/>
    <w:rsid w:val="00B00B0E"/>
    <w:rsid w:val="00B00B26"/>
    <w:rsid w:val="00B02385"/>
    <w:rsid w:val="00B02F9D"/>
    <w:rsid w:val="00B05766"/>
    <w:rsid w:val="00B0649E"/>
    <w:rsid w:val="00B1235A"/>
    <w:rsid w:val="00B13048"/>
    <w:rsid w:val="00B13883"/>
    <w:rsid w:val="00B1716D"/>
    <w:rsid w:val="00B17A1D"/>
    <w:rsid w:val="00B207A0"/>
    <w:rsid w:val="00B21C21"/>
    <w:rsid w:val="00B22F54"/>
    <w:rsid w:val="00B24A7E"/>
    <w:rsid w:val="00B25C0C"/>
    <w:rsid w:val="00B30405"/>
    <w:rsid w:val="00B304B5"/>
    <w:rsid w:val="00B308A9"/>
    <w:rsid w:val="00B31047"/>
    <w:rsid w:val="00B33148"/>
    <w:rsid w:val="00B35CDF"/>
    <w:rsid w:val="00B403C2"/>
    <w:rsid w:val="00B405A1"/>
    <w:rsid w:val="00B42255"/>
    <w:rsid w:val="00B4438A"/>
    <w:rsid w:val="00B45AA2"/>
    <w:rsid w:val="00B479CA"/>
    <w:rsid w:val="00B5084F"/>
    <w:rsid w:val="00B5126A"/>
    <w:rsid w:val="00B514DD"/>
    <w:rsid w:val="00B51D6D"/>
    <w:rsid w:val="00B52AF0"/>
    <w:rsid w:val="00B53D5F"/>
    <w:rsid w:val="00B54051"/>
    <w:rsid w:val="00B561BD"/>
    <w:rsid w:val="00B56E03"/>
    <w:rsid w:val="00B62765"/>
    <w:rsid w:val="00B65DF5"/>
    <w:rsid w:val="00B74665"/>
    <w:rsid w:val="00B7679F"/>
    <w:rsid w:val="00B77159"/>
    <w:rsid w:val="00B8080B"/>
    <w:rsid w:val="00B82223"/>
    <w:rsid w:val="00B87452"/>
    <w:rsid w:val="00B87BA5"/>
    <w:rsid w:val="00B87BC9"/>
    <w:rsid w:val="00B87C39"/>
    <w:rsid w:val="00B93891"/>
    <w:rsid w:val="00B9562D"/>
    <w:rsid w:val="00BA13A5"/>
    <w:rsid w:val="00BA21DA"/>
    <w:rsid w:val="00BA2B60"/>
    <w:rsid w:val="00BA3924"/>
    <w:rsid w:val="00BA3C93"/>
    <w:rsid w:val="00BA416F"/>
    <w:rsid w:val="00BA4665"/>
    <w:rsid w:val="00BA7FD7"/>
    <w:rsid w:val="00BB1681"/>
    <w:rsid w:val="00BB2FB2"/>
    <w:rsid w:val="00BB3304"/>
    <w:rsid w:val="00BB4A1E"/>
    <w:rsid w:val="00BB6551"/>
    <w:rsid w:val="00BC4A10"/>
    <w:rsid w:val="00BC5A6F"/>
    <w:rsid w:val="00BD30F4"/>
    <w:rsid w:val="00BD3446"/>
    <w:rsid w:val="00BD59CF"/>
    <w:rsid w:val="00BE1312"/>
    <w:rsid w:val="00BE1F1B"/>
    <w:rsid w:val="00BE3F89"/>
    <w:rsid w:val="00BE47B5"/>
    <w:rsid w:val="00BE5FCE"/>
    <w:rsid w:val="00BE7A63"/>
    <w:rsid w:val="00C0079E"/>
    <w:rsid w:val="00C0572A"/>
    <w:rsid w:val="00C11745"/>
    <w:rsid w:val="00C1281C"/>
    <w:rsid w:val="00C13EBD"/>
    <w:rsid w:val="00C1631B"/>
    <w:rsid w:val="00C163AB"/>
    <w:rsid w:val="00C170F0"/>
    <w:rsid w:val="00C25962"/>
    <w:rsid w:val="00C25FA6"/>
    <w:rsid w:val="00C3099D"/>
    <w:rsid w:val="00C33011"/>
    <w:rsid w:val="00C362C1"/>
    <w:rsid w:val="00C41950"/>
    <w:rsid w:val="00C42C3B"/>
    <w:rsid w:val="00C47C41"/>
    <w:rsid w:val="00C5007A"/>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A92"/>
    <w:rsid w:val="00C67B8E"/>
    <w:rsid w:val="00C71263"/>
    <w:rsid w:val="00C71280"/>
    <w:rsid w:val="00C717BF"/>
    <w:rsid w:val="00C76178"/>
    <w:rsid w:val="00C84560"/>
    <w:rsid w:val="00C84E1A"/>
    <w:rsid w:val="00C86679"/>
    <w:rsid w:val="00C8792F"/>
    <w:rsid w:val="00C90472"/>
    <w:rsid w:val="00C91D6E"/>
    <w:rsid w:val="00C95199"/>
    <w:rsid w:val="00CA489E"/>
    <w:rsid w:val="00CA609A"/>
    <w:rsid w:val="00CA6FB4"/>
    <w:rsid w:val="00CA7089"/>
    <w:rsid w:val="00CB0279"/>
    <w:rsid w:val="00CB666B"/>
    <w:rsid w:val="00CB734B"/>
    <w:rsid w:val="00CB7844"/>
    <w:rsid w:val="00CC058C"/>
    <w:rsid w:val="00CC41B6"/>
    <w:rsid w:val="00CC5FC5"/>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2580"/>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0A3C"/>
    <w:rsid w:val="00D4360D"/>
    <w:rsid w:val="00D50D60"/>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1907"/>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2441"/>
    <w:rsid w:val="00DB3721"/>
    <w:rsid w:val="00DB5074"/>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DF4A2A"/>
    <w:rsid w:val="00E04818"/>
    <w:rsid w:val="00E06442"/>
    <w:rsid w:val="00E06952"/>
    <w:rsid w:val="00E06B4E"/>
    <w:rsid w:val="00E11E61"/>
    <w:rsid w:val="00E157B2"/>
    <w:rsid w:val="00E16055"/>
    <w:rsid w:val="00E16448"/>
    <w:rsid w:val="00E2221D"/>
    <w:rsid w:val="00E2332D"/>
    <w:rsid w:val="00E23993"/>
    <w:rsid w:val="00E2574F"/>
    <w:rsid w:val="00E25951"/>
    <w:rsid w:val="00E25B8C"/>
    <w:rsid w:val="00E30BB4"/>
    <w:rsid w:val="00E31CF6"/>
    <w:rsid w:val="00E34A4A"/>
    <w:rsid w:val="00E35AFC"/>
    <w:rsid w:val="00E41D39"/>
    <w:rsid w:val="00E44852"/>
    <w:rsid w:val="00E4749D"/>
    <w:rsid w:val="00E50A02"/>
    <w:rsid w:val="00E54106"/>
    <w:rsid w:val="00E54697"/>
    <w:rsid w:val="00E572E7"/>
    <w:rsid w:val="00E57A08"/>
    <w:rsid w:val="00E63631"/>
    <w:rsid w:val="00E64C2A"/>
    <w:rsid w:val="00E65C85"/>
    <w:rsid w:val="00E66199"/>
    <w:rsid w:val="00E70526"/>
    <w:rsid w:val="00E750F4"/>
    <w:rsid w:val="00E754B4"/>
    <w:rsid w:val="00E755EC"/>
    <w:rsid w:val="00E7624D"/>
    <w:rsid w:val="00E81724"/>
    <w:rsid w:val="00E819A4"/>
    <w:rsid w:val="00E82A10"/>
    <w:rsid w:val="00E833FA"/>
    <w:rsid w:val="00E84B74"/>
    <w:rsid w:val="00E87066"/>
    <w:rsid w:val="00E966BF"/>
    <w:rsid w:val="00EA0C04"/>
    <w:rsid w:val="00EA3D42"/>
    <w:rsid w:val="00EA6B1B"/>
    <w:rsid w:val="00EA702C"/>
    <w:rsid w:val="00EB1CBD"/>
    <w:rsid w:val="00EB21B2"/>
    <w:rsid w:val="00EB2F90"/>
    <w:rsid w:val="00EB3A34"/>
    <w:rsid w:val="00EB3C3F"/>
    <w:rsid w:val="00EB66F6"/>
    <w:rsid w:val="00EC0111"/>
    <w:rsid w:val="00EC04F1"/>
    <w:rsid w:val="00EC237F"/>
    <w:rsid w:val="00EC3D3B"/>
    <w:rsid w:val="00EC573A"/>
    <w:rsid w:val="00ED35C8"/>
    <w:rsid w:val="00ED3968"/>
    <w:rsid w:val="00ED7323"/>
    <w:rsid w:val="00EE28F3"/>
    <w:rsid w:val="00EE3CF2"/>
    <w:rsid w:val="00EE50D1"/>
    <w:rsid w:val="00EE7614"/>
    <w:rsid w:val="00EF116C"/>
    <w:rsid w:val="00EF49B7"/>
    <w:rsid w:val="00EF5110"/>
    <w:rsid w:val="00EF5890"/>
    <w:rsid w:val="00EF76BA"/>
    <w:rsid w:val="00F0231A"/>
    <w:rsid w:val="00F03463"/>
    <w:rsid w:val="00F036B7"/>
    <w:rsid w:val="00F0700F"/>
    <w:rsid w:val="00F07F1F"/>
    <w:rsid w:val="00F10411"/>
    <w:rsid w:val="00F10A9A"/>
    <w:rsid w:val="00F11B2D"/>
    <w:rsid w:val="00F121C2"/>
    <w:rsid w:val="00F13EB8"/>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2F16"/>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8759F"/>
    <w:rsid w:val="00F90250"/>
    <w:rsid w:val="00F90911"/>
    <w:rsid w:val="00F92FA6"/>
    <w:rsid w:val="00F9353B"/>
    <w:rsid w:val="00F937F1"/>
    <w:rsid w:val="00F952A0"/>
    <w:rsid w:val="00F96775"/>
    <w:rsid w:val="00FA31B1"/>
    <w:rsid w:val="00FA3320"/>
    <w:rsid w:val="00FA3C7F"/>
    <w:rsid w:val="00FA6246"/>
    <w:rsid w:val="00FB24ED"/>
    <w:rsid w:val="00FB3304"/>
    <w:rsid w:val="00FB5005"/>
    <w:rsid w:val="00FB60FE"/>
    <w:rsid w:val="00FB74E2"/>
    <w:rsid w:val="00FB778B"/>
    <w:rsid w:val="00FC22EE"/>
    <w:rsid w:val="00FD5614"/>
    <w:rsid w:val="00FD5E78"/>
    <w:rsid w:val="00FE0BE1"/>
    <w:rsid w:val="00FE0C00"/>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8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344988667">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699548447">
      <w:bodyDiv w:val="1"/>
      <w:marLeft w:val="0"/>
      <w:marRight w:val="0"/>
      <w:marTop w:val="0"/>
      <w:marBottom w:val="0"/>
      <w:divBdr>
        <w:top w:val="none" w:sz="0" w:space="0" w:color="auto"/>
        <w:left w:val="none" w:sz="0" w:space="0" w:color="auto"/>
        <w:bottom w:val="none" w:sz="0" w:space="0" w:color="auto"/>
        <w:right w:val="none" w:sz="0" w:space="0" w:color="auto"/>
      </w:divBdr>
    </w:div>
    <w:div w:id="1938638171">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jpeg"/><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B2CC96.dotm</Template>
  <TotalTime>0</TotalTime>
  <Pages>18</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AER draft decision - TasNetworks - Attachment 2 - Regulatory asset base</vt:lpstr>
    </vt:vector>
  </TitlesOfParts>
  <LinksUpToDate>false</LinksUpToDate>
  <CharactersWithSpaces>27520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2 - Regulatory asset base</dc:title>
  <dc:creator/>
  <cp:lastModifiedBy/>
  <cp:revision>1</cp:revision>
  <dcterms:created xsi:type="dcterms:W3CDTF">2016-09-28T01:08:00Z</dcterms:created>
  <dcterms:modified xsi:type="dcterms:W3CDTF">2016-09-28T01:08:00Z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2 - regulatory asset base - september 2016 (D2015-00171122).docx</vt:lpwstr>
  </property>
</Properties>
</file>