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F61" w:rsidRDefault="0068642E" w:rsidP="00290C63">
      <w:pPr>
        <w:rPr>
          <w:rFonts w:eastAsiaTheme="majorEastAsia" w:cstheme="majorBidi"/>
          <w:noProof/>
          <w:sz w:val="36"/>
          <w:szCs w:val="36"/>
          <w:lang w:eastAsia="en-AU"/>
        </w:rPr>
      </w:pPr>
      <w:bookmarkStart w:id="0" w:name="_GoBack"/>
      <w:bookmarkEnd w:id="0"/>
      <w:r w:rsidRPr="00303A07">
        <w:rPr>
          <w:noProof/>
          <w:lang w:eastAsia="en-AU"/>
        </w:rPr>
        <w:drawing>
          <wp:anchor distT="0" distB="0" distL="114300" distR="114300" simplePos="0" relativeHeight="251665408" behindDoc="1" locked="0" layoutInCell="1" allowOverlap="1" wp14:anchorId="1E4A82D9" wp14:editId="2B8A7588">
            <wp:simplePos x="0" y="0"/>
            <wp:positionH relativeFrom="column">
              <wp:posOffset>-1097915</wp:posOffset>
            </wp:positionH>
            <wp:positionV relativeFrom="paragraph">
              <wp:posOffset>-903301</wp:posOffset>
            </wp:positionV>
            <wp:extent cx="7572375" cy="1070356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2375" cy="10703560"/>
                    </a:xfrm>
                    <a:prstGeom prst="rect">
                      <a:avLst/>
                    </a:prstGeom>
                    <a:noFill/>
                  </pic:spPr>
                </pic:pic>
              </a:graphicData>
            </a:graphic>
            <wp14:sizeRelH relativeFrom="page">
              <wp14:pctWidth>0</wp14:pctWidth>
            </wp14:sizeRelH>
            <wp14:sizeRelV relativeFrom="page">
              <wp14:pctHeight>0</wp14:pctHeight>
            </wp14:sizeRelV>
          </wp:anchor>
        </w:drawing>
      </w:r>
      <w:r w:rsidR="00C53D48">
        <w:t xml:space="preserve"> </w:t>
      </w:r>
      <w:r w:rsidR="00CA3F61">
        <w:t xml:space="preserve"> </w:t>
      </w:r>
    </w:p>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B9733D">
            <w:t>DRAFT</w:t>
          </w:r>
          <w:r w:rsidR="00DA4752">
            <w:t xml:space="preserve"> DECISION</w:t>
          </w:r>
        </w:p>
        <w:p w:rsidR="00415F31" w:rsidRDefault="00A23DF5" w:rsidP="008F07A3">
          <w:pPr>
            <w:pStyle w:val="ReportSubtitle"/>
          </w:pPr>
          <w:r>
            <w:t>TasNetworks distribution</w:t>
          </w:r>
          <w:r w:rsidR="00415F31">
            <w:t xml:space="preserve"> </w:t>
          </w:r>
          <w:r w:rsidR="00DA4752">
            <w:t>determination</w:t>
          </w:r>
        </w:p>
        <w:p w:rsidR="00303A07" w:rsidRDefault="00303A07" w:rsidP="008F07A3">
          <w:pPr>
            <w:pStyle w:val="ReportSubtitle"/>
          </w:pPr>
          <w:r>
            <w:t>2017–18 to 201</w:t>
          </w:r>
          <w:r w:rsidR="00A23DF5">
            <w:t>8</w:t>
          </w:r>
          <w:r>
            <w:t>–</w:t>
          </w:r>
          <w:r w:rsidR="00A23DF5">
            <w:t>19</w:t>
          </w:r>
        </w:p>
        <w:p w:rsidR="008F07A3" w:rsidRPr="000A6C7B" w:rsidRDefault="008F07A3" w:rsidP="008F07A3">
          <w:pPr>
            <w:pStyle w:val="ReportSubtitle"/>
          </w:pPr>
        </w:p>
        <w:p w:rsidR="000A6C7B" w:rsidRPr="000A6C7B" w:rsidRDefault="00DA4752" w:rsidP="008F07A3">
          <w:pPr>
            <w:pStyle w:val="ReportSubtitle"/>
          </w:pPr>
          <w:r>
            <w:t xml:space="preserve">Attachment </w:t>
          </w:r>
          <w:r w:rsidR="00E7682C">
            <w:t>3</w:t>
          </w:r>
          <w:r>
            <w:t xml:space="preserve"> </w:t>
          </w:r>
          <w:r w:rsidR="00415F31">
            <w:rPr>
              <w:rFonts w:cs="Arial"/>
            </w:rPr>
            <w:t>–</w:t>
          </w:r>
          <w:r>
            <w:t xml:space="preserve"> </w:t>
          </w:r>
          <w:r w:rsidR="00E7682C">
            <w:t>Rate of return</w:t>
          </w:r>
        </w:p>
        <w:p w:rsidR="00B9733D" w:rsidRDefault="00B9733D" w:rsidP="00327A1E">
          <w:pPr>
            <w:pStyle w:val="ReportDate"/>
          </w:pPr>
        </w:p>
        <w:p w:rsidR="000A6C7B" w:rsidRPr="00327A1E" w:rsidRDefault="00A70E97" w:rsidP="00327A1E">
          <w:pPr>
            <w:pStyle w:val="ReportDate"/>
          </w:pPr>
          <w:r>
            <w:t>September</w:t>
          </w:r>
          <w:r w:rsidR="00303A07">
            <w:t xml:space="preserve"> </w:t>
          </w:r>
          <w:r w:rsidR="00DA4752">
            <w:t>201</w:t>
          </w:r>
          <w:r w:rsidR="00B9733D">
            <w:t>6</w:t>
          </w:r>
        </w:p>
      </w:sdtContent>
    </w:sdt>
    <w:p w:rsidR="00327A1E" w:rsidRPr="00290C63" w:rsidRDefault="00327A1E" w:rsidP="00290C63">
      <w:r>
        <w:br w:type="page"/>
      </w:r>
    </w:p>
    <w:p w:rsidR="000A6C7B" w:rsidRDefault="00A70E97" w:rsidP="00961A4A">
      <w:pPr>
        <w:pStyle w:val="Copyright"/>
      </w:pPr>
      <w:r>
        <w:lastRenderedPageBreak/>
        <w:t>© Commonwealth of Australia 2016</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B9562D" w:rsidRDefault="000A6C7B" w:rsidP="00B9562D">
      <w:pPr>
        <w:pStyle w:val="Copyright"/>
      </w:pPr>
      <w:r>
        <w:t xml:space="preserve">Tel: </w:t>
      </w:r>
      <w:r w:rsidR="007F235D">
        <w:t>1300 585 165</w:t>
      </w:r>
      <w:r w:rsidR="00951978">
        <w:br/>
      </w:r>
      <w:r>
        <w:t xml:space="preserve">Email: </w:t>
      </w:r>
      <w:hyperlink r:id="rId11" w:history="1">
        <w:r w:rsidRPr="00D64888">
          <w:rPr>
            <w:rStyle w:val="Hyperlink"/>
          </w:rPr>
          <w:t>AERInquiry@aer.gov.au</w:t>
        </w:r>
      </w:hyperlink>
      <w:r w:rsidR="00951978">
        <w:rPr>
          <w:rStyle w:val="Hyperlink"/>
        </w:rPr>
        <w:br/>
      </w:r>
    </w:p>
    <w:p w:rsidR="008F07A3" w:rsidRPr="009D3906" w:rsidRDefault="00415F31" w:rsidP="00B9562D">
      <w:pPr>
        <w:pStyle w:val="Copyright"/>
      </w:pPr>
      <w:r w:rsidRPr="009D3906">
        <w:t>AER reference:</w:t>
      </w:r>
      <w:r w:rsidRPr="009D3906">
        <w:tab/>
      </w:r>
      <w:r w:rsidR="00A70E97">
        <w:t>57461</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62754617"/>
      <w:r>
        <w:lastRenderedPageBreak/>
        <w:t>N</w:t>
      </w:r>
      <w:r w:rsidR="008F07A3">
        <w:t>ote</w:t>
      </w:r>
      <w:bookmarkEnd w:id="1"/>
      <w:bookmarkEnd w:id="2"/>
      <w:bookmarkEnd w:id="3"/>
      <w:bookmarkEnd w:id="4"/>
      <w:bookmarkEnd w:id="5"/>
    </w:p>
    <w:p w:rsidR="0007291A" w:rsidRDefault="0007291A" w:rsidP="0007291A">
      <w:pPr>
        <w:numPr>
          <w:ilvl w:val="0"/>
          <w:numId w:val="24"/>
        </w:numPr>
      </w:pPr>
      <w:r>
        <w:t>This attachment forms part of the AER's draft decision on TasNetworks' distribution determination for 2017</w:t>
      </w:r>
      <w:r w:rsidRPr="00F02D30">
        <w:t>–</w:t>
      </w:r>
      <w:r>
        <w:t>19. It should be read with all other parts of the draft decision.</w:t>
      </w:r>
    </w:p>
    <w:p w:rsidR="0007291A" w:rsidRDefault="0007291A" w:rsidP="0007291A">
      <w:pPr>
        <w:numPr>
          <w:ilvl w:val="0"/>
          <w:numId w:val="24"/>
        </w:numPr>
      </w:pPr>
      <w:r>
        <w:t>The draft decision includes the following documents:</w:t>
      </w:r>
    </w:p>
    <w:p w:rsidR="0007291A" w:rsidRDefault="0007291A" w:rsidP="0007291A">
      <w:pPr>
        <w:numPr>
          <w:ilvl w:val="0"/>
          <w:numId w:val="24"/>
        </w:numPr>
      </w:pPr>
      <w:r>
        <w:t>Overview</w:t>
      </w:r>
    </w:p>
    <w:p w:rsidR="0007291A" w:rsidRDefault="0007291A" w:rsidP="0007291A">
      <w:pPr>
        <w:numPr>
          <w:ilvl w:val="0"/>
          <w:numId w:val="24"/>
        </w:numPr>
      </w:pPr>
      <w:r>
        <w:t>Attachment 1 – Annual revenue requirement</w:t>
      </w:r>
    </w:p>
    <w:p w:rsidR="0007291A" w:rsidRDefault="0007291A" w:rsidP="0007291A">
      <w:pPr>
        <w:numPr>
          <w:ilvl w:val="0"/>
          <w:numId w:val="24"/>
        </w:numPr>
      </w:pPr>
      <w:r>
        <w:t>Attachment 2 – Regulatory asset base</w:t>
      </w:r>
    </w:p>
    <w:p w:rsidR="0007291A" w:rsidRDefault="0007291A" w:rsidP="0007291A">
      <w:pPr>
        <w:numPr>
          <w:ilvl w:val="0"/>
          <w:numId w:val="24"/>
        </w:numPr>
      </w:pPr>
      <w:r>
        <w:t>Attachment 3 – Rate of return</w:t>
      </w:r>
    </w:p>
    <w:p w:rsidR="0007291A" w:rsidRDefault="0007291A" w:rsidP="0007291A">
      <w:pPr>
        <w:numPr>
          <w:ilvl w:val="0"/>
          <w:numId w:val="24"/>
        </w:numPr>
      </w:pPr>
      <w:r>
        <w:t>Attachment 4 – Value of imputation credits</w:t>
      </w:r>
    </w:p>
    <w:p w:rsidR="0007291A" w:rsidRDefault="0007291A" w:rsidP="0007291A">
      <w:pPr>
        <w:numPr>
          <w:ilvl w:val="0"/>
          <w:numId w:val="24"/>
        </w:numPr>
      </w:pPr>
      <w:r>
        <w:t>Attachment 5 – Regulatory depreciation</w:t>
      </w:r>
    </w:p>
    <w:p w:rsidR="0007291A" w:rsidRDefault="0007291A" w:rsidP="0007291A">
      <w:pPr>
        <w:numPr>
          <w:ilvl w:val="0"/>
          <w:numId w:val="24"/>
        </w:numPr>
      </w:pPr>
      <w:r>
        <w:t xml:space="preserve">Attachment 6 – Capital expenditure </w:t>
      </w:r>
    </w:p>
    <w:p w:rsidR="0007291A" w:rsidRDefault="0007291A" w:rsidP="0007291A">
      <w:pPr>
        <w:numPr>
          <w:ilvl w:val="0"/>
          <w:numId w:val="24"/>
        </w:numPr>
      </w:pPr>
      <w:r>
        <w:t>Attachment 7 – Operating expenditure</w:t>
      </w:r>
    </w:p>
    <w:p w:rsidR="0007291A" w:rsidRDefault="0007291A" w:rsidP="0007291A">
      <w:pPr>
        <w:numPr>
          <w:ilvl w:val="0"/>
          <w:numId w:val="24"/>
        </w:numPr>
      </w:pPr>
      <w:r>
        <w:t>Attachment 8 – Corporate income tax</w:t>
      </w:r>
    </w:p>
    <w:p w:rsidR="0007291A" w:rsidRDefault="0007291A" w:rsidP="0007291A">
      <w:pPr>
        <w:numPr>
          <w:ilvl w:val="0"/>
          <w:numId w:val="24"/>
        </w:numPr>
      </w:pPr>
      <w:r>
        <w:t>Attachment 9 – Efficiency benefit sharing scheme</w:t>
      </w:r>
    </w:p>
    <w:p w:rsidR="0007291A" w:rsidRDefault="0007291A" w:rsidP="0007291A">
      <w:pPr>
        <w:numPr>
          <w:ilvl w:val="0"/>
          <w:numId w:val="24"/>
        </w:numPr>
      </w:pPr>
      <w:r>
        <w:t>Attachment 10 – Capital expenditure sharing scheme</w:t>
      </w:r>
    </w:p>
    <w:p w:rsidR="0007291A" w:rsidRDefault="0007291A" w:rsidP="0007291A">
      <w:pPr>
        <w:numPr>
          <w:ilvl w:val="0"/>
          <w:numId w:val="24"/>
        </w:numPr>
      </w:pPr>
      <w:r>
        <w:t>Attachment 11 – Service target performance incentive scheme</w:t>
      </w:r>
    </w:p>
    <w:p w:rsidR="0007291A" w:rsidRPr="00F02D30" w:rsidRDefault="0007291A" w:rsidP="0007291A">
      <w:pPr>
        <w:numPr>
          <w:ilvl w:val="0"/>
          <w:numId w:val="24"/>
        </w:numPr>
      </w:pPr>
      <w:r>
        <w:t>Attachment 12 – Demand management incentive scheme</w:t>
      </w:r>
    </w:p>
    <w:p w:rsidR="0007291A" w:rsidRPr="00F02D30" w:rsidRDefault="0007291A" w:rsidP="0007291A">
      <w:pPr>
        <w:numPr>
          <w:ilvl w:val="0"/>
          <w:numId w:val="24"/>
        </w:numPr>
      </w:pPr>
      <w:r>
        <w:t>Attachment 13 – Classification of services</w:t>
      </w:r>
    </w:p>
    <w:p w:rsidR="0007291A" w:rsidRDefault="0007291A" w:rsidP="0007291A">
      <w:pPr>
        <w:numPr>
          <w:ilvl w:val="0"/>
          <w:numId w:val="24"/>
        </w:numPr>
      </w:pPr>
      <w:r>
        <w:t>Attachment 14 – Control mechanisms</w:t>
      </w:r>
    </w:p>
    <w:p w:rsidR="0007291A" w:rsidRDefault="0007291A" w:rsidP="0007291A">
      <w:pPr>
        <w:numPr>
          <w:ilvl w:val="0"/>
          <w:numId w:val="24"/>
        </w:numPr>
      </w:pPr>
      <w:r>
        <w:t>Attachment 15 – Pass through events</w:t>
      </w:r>
    </w:p>
    <w:p w:rsidR="0007291A" w:rsidRDefault="0007291A" w:rsidP="0007291A">
      <w:pPr>
        <w:numPr>
          <w:ilvl w:val="0"/>
          <w:numId w:val="24"/>
        </w:numPr>
      </w:pPr>
      <w:r>
        <w:t>Attachment 16 – Alternative control services</w:t>
      </w:r>
    </w:p>
    <w:p w:rsidR="0007291A" w:rsidRDefault="0007291A" w:rsidP="0007291A">
      <w:pPr>
        <w:numPr>
          <w:ilvl w:val="0"/>
          <w:numId w:val="24"/>
        </w:numPr>
      </w:pPr>
      <w:r>
        <w:t>Attachment 17 – Negotiated services framework and criteria</w:t>
      </w:r>
    </w:p>
    <w:p w:rsidR="0007291A" w:rsidRDefault="0007291A" w:rsidP="0007291A">
      <w:pPr>
        <w:numPr>
          <w:ilvl w:val="0"/>
          <w:numId w:val="24"/>
        </w:numPr>
      </w:pPr>
      <w:r>
        <w:t>Attachment 18 – Connection policy</w:t>
      </w:r>
    </w:p>
    <w:p w:rsidR="0007291A" w:rsidRDefault="0007291A" w:rsidP="0007291A">
      <w:pPr>
        <w:numPr>
          <w:ilvl w:val="0"/>
          <w:numId w:val="24"/>
        </w:numPr>
      </w:pPr>
      <w:r>
        <w:t>Attachment 19 – Tariff structure statement</w:t>
      </w:r>
    </w:p>
    <w:p w:rsidR="0007291A" w:rsidRPr="008F07A3" w:rsidRDefault="0007291A" w:rsidP="0007291A">
      <w:pPr>
        <w:sectPr w:rsidR="0007291A"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62754618"/>
      <w:r>
        <w:lastRenderedPageBreak/>
        <w:t>Contents</w:t>
      </w:r>
      <w:bookmarkEnd w:id="6"/>
      <w:bookmarkEnd w:id="7"/>
    </w:p>
    <w:p w:rsidR="005D7BA2" w:rsidRDefault="005D7BA2">
      <w:pPr>
        <w:spacing w:line="240" w:lineRule="auto"/>
      </w:pPr>
    </w:p>
    <w:sdt>
      <w:sdtPr>
        <w:rPr>
          <w:b w:val="0"/>
          <w:noProof w:val="0"/>
          <w:color w:val="auto"/>
          <w:sz w:val="22"/>
          <w:lang w:val="en-AU" w:eastAsia="en-US"/>
        </w:rPr>
        <w:id w:val="-1430034921"/>
        <w:docPartObj>
          <w:docPartGallery w:val="Table of Contents"/>
          <w:docPartUnique/>
        </w:docPartObj>
      </w:sdtPr>
      <w:sdtEndPr>
        <w:rPr>
          <w:b/>
          <w:noProof/>
          <w:color w:val="70635A" w:themeColor="text2"/>
          <w:sz w:val="24"/>
          <w:lang w:val="en-US" w:eastAsia="ja-JP"/>
        </w:rPr>
      </w:sdtEndPr>
      <w:sdtContent>
        <w:p w:rsidR="00691B4D" w:rsidRDefault="00DB752F">
          <w:pPr>
            <w:pStyle w:val="TOC1"/>
            <w:rPr>
              <w:rFonts w:asciiTheme="minorHAnsi" w:eastAsiaTheme="minorEastAsia" w:hAnsiTheme="minorHAnsi"/>
              <w:b w:val="0"/>
              <w:color w:val="auto"/>
              <w:sz w:val="22"/>
              <w:lang w:val="en-AU" w:eastAsia="en-AU"/>
            </w:rPr>
          </w:pPr>
          <w:r>
            <w:fldChar w:fldCharType="begin"/>
          </w:r>
          <w:r>
            <w:instrText xml:space="preserve"> TOC \o "2-2" \h \z \t "Heading 1,1,Heading 3,3,Heading 7,1,Heading 8,2,Heading 9,3,Unnumbered Heading,1" </w:instrText>
          </w:r>
          <w:r>
            <w:fldChar w:fldCharType="separate"/>
          </w:r>
          <w:hyperlink w:anchor="_Toc462754617" w:history="1">
            <w:r w:rsidR="00691B4D" w:rsidRPr="00716DC0">
              <w:rPr>
                <w:rStyle w:val="Hyperlink"/>
              </w:rPr>
              <w:t>Note</w:t>
            </w:r>
            <w:r w:rsidR="00691B4D">
              <w:rPr>
                <w:webHidden/>
              </w:rPr>
              <w:tab/>
            </w:r>
            <w:r w:rsidR="00691B4D">
              <w:rPr>
                <w:webHidden/>
              </w:rPr>
              <w:fldChar w:fldCharType="begin"/>
            </w:r>
            <w:r w:rsidR="00691B4D">
              <w:rPr>
                <w:webHidden/>
              </w:rPr>
              <w:instrText xml:space="preserve"> PAGEREF _Toc462754617 \h </w:instrText>
            </w:r>
            <w:r w:rsidR="00691B4D">
              <w:rPr>
                <w:webHidden/>
              </w:rPr>
            </w:r>
            <w:r w:rsidR="00691B4D">
              <w:rPr>
                <w:webHidden/>
              </w:rPr>
              <w:fldChar w:fldCharType="separate"/>
            </w:r>
            <w:r w:rsidR="00691B4D">
              <w:rPr>
                <w:webHidden/>
              </w:rPr>
              <w:t>3-2</w:t>
            </w:r>
            <w:r w:rsidR="00691B4D">
              <w:rPr>
                <w:webHidden/>
              </w:rPr>
              <w:fldChar w:fldCharType="end"/>
            </w:r>
          </w:hyperlink>
        </w:p>
        <w:p w:rsidR="00691B4D" w:rsidRDefault="00AB6D99">
          <w:pPr>
            <w:pStyle w:val="TOC1"/>
            <w:rPr>
              <w:rFonts w:asciiTheme="minorHAnsi" w:eastAsiaTheme="minorEastAsia" w:hAnsiTheme="minorHAnsi"/>
              <w:b w:val="0"/>
              <w:color w:val="auto"/>
              <w:sz w:val="22"/>
              <w:lang w:val="en-AU" w:eastAsia="en-AU"/>
            </w:rPr>
          </w:pPr>
          <w:hyperlink w:anchor="_Toc462754618" w:history="1">
            <w:r w:rsidR="00691B4D" w:rsidRPr="00716DC0">
              <w:rPr>
                <w:rStyle w:val="Hyperlink"/>
              </w:rPr>
              <w:t>Contents</w:t>
            </w:r>
            <w:r w:rsidR="00691B4D">
              <w:rPr>
                <w:webHidden/>
              </w:rPr>
              <w:tab/>
            </w:r>
            <w:r w:rsidR="00691B4D">
              <w:rPr>
                <w:webHidden/>
              </w:rPr>
              <w:fldChar w:fldCharType="begin"/>
            </w:r>
            <w:r w:rsidR="00691B4D">
              <w:rPr>
                <w:webHidden/>
              </w:rPr>
              <w:instrText xml:space="preserve"> PAGEREF _Toc462754618 \h </w:instrText>
            </w:r>
            <w:r w:rsidR="00691B4D">
              <w:rPr>
                <w:webHidden/>
              </w:rPr>
            </w:r>
            <w:r w:rsidR="00691B4D">
              <w:rPr>
                <w:webHidden/>
              </w:rPr>
              <w:fldChar w:fldCharType="separate"/>
            </w:r>
            <w:r w:rsidR="00691B4D">
              <w:rPr>
                <w:webHidden/>
              </w:rPr>
              <w:t>3-3</w:t>
            </w:r>
            <w:r w:rsidR="00691B4D">
              <w:rPr>
                <w:webHidden/>
              </w:rPr>
              <w:fldChar w:fldCharType="end"/>
            </w:r>
          </w:hyperlink>
        </w:p>
        <w:p w:rsidR="00691B4D" w:rsidRDefault="00AB6D99">
          <w:pPr>
            <w:pStyle w:val="TOC1"/>
            <w:rPr>
              <w:rFonts w:asciiTheme="minorHAnsi" w:eastAsiaTheme="minorEastAsia" w:hAnsiTheme="minorHAnsi"/>
              <w:b w:val="0"/>
              <w:color w:val="auto"/>
              <w:sz w:val="22"/>
              <w:lang w:val="en-AU" w:eastAsia="en-AU"/>
            </w:rPr>
          </w:pPr>
          <w:hyperlink w:anchor="_Toc462754619" w:history="1">
            <w:r w:rsidR="00691B4D" w:rsidRPr="00716DC0">
              <w:rPr>
                <w:rStyle w:val="Hyperlink"/>
              </w:rPr>
              <w:t>Shortened forms</w:t>
            </w:r>
            <w:r w:rsidR="00691B4D">
              <w:rPr>
                <w:webHidden/>
              </w:rPr>
              <w:tab/>
            </w:r>
            <w:r w:rsidR="00691B4D">
              <w:rPr>
                <w:webHidden/>
              </w:rPr>
              <w:fldChar w:fldCharType="begin"/>
            </w:r>
            <w:r w:rsidR="00691B4D">
              <w:rPr>
                <w:webHidden/>
              </w:rPr>
              <w:instrText xml:space="preserve"> PAGEREF _Toc462754619 \h </w:instrText>
            </w:r>
            <w:r w:rsidR="00691B4D">
              <w:rPr>
                <w:webHidden/>
              </w:rPr>
            </w:r>
            <w:r w:rsidR="00691B4D">
              <w:rPr>
                <w:webHidden/>
              </w:rPr>
              <w:fldChar w:fldCharType="separate"/>
            </w:r>
            <w:r w:rsidR="00691B4D">
              <w:rPr>
                <w:webHidden/>
              </w:rPr>
              <w:t>3-6</w:t>
            </w:r>
            <w:r w:rsidR="00691B4D">
              <w:rPr>
                <w:webHidden/>
              </w:rPr>
              <w:fldChar w:fldCharType="end"/>
            </w:r>
          </w:hyperlink>
        </w:p>
        <w:p w:rsidR="00691B4D" w:rsidRDefault="00AB6D99">
          <w:pPr>
            <w:pStyle w:val="TOC1"/>
            <w:rPr>
              <w:rFonts w:asciiTheme="minorHAnsi" w:eastAsiaTheme="minorEastAsia" w:hAnsiTheme="minorHAnsi"/>
              <w:b w:val="0"/>
              <w:color w:val="auto"/>
              <w:sz w:val="22"/>
              <w:lang w:val="en-AU" w:eastAsia="en-AU"/>
            </w:rPr>
          </w:pPr>
          <w:hyperlink w:anchor="_Toc462754620" w:history="1">
            <w:r w:rsidR="00691B4D" w:rsidRPr="00716DC0">
              <w:rPr>
                <w:rStyle w:val="Hyperlink"/>
              </w:rPr>
              <w:t>3</w:t>
            </w:r>
            <w:r w:rsidR="00691B4D">
              <w:rPr>
                <w:rFonts w:asciiTheme="minorHAnsi" w:eastAsiaTheme="minorEastAsia" w:hAnsiTheme="minorHAnsi"/>
                <w:b w:val="0"/>
                <w:color w:val="auto"/>
                <w:sz w:val="22"/>
                <w:lang w:val="en-AU" w:eastAsia="en-AU"/>
              </w:rPr>
              <w:tab/>
            </w:r>
            <w:r w:rsidR="00691B4D" w:rsidRPr="00716DC0">
              <w:rPr>
                <w:rStyle w:val="Hyperlink"/>
              </w:rPr>
              <w:t>Rate of return</w:t>
            </w:r>
            <w:r w:rsidR="00691B4D">
              <w:rPr>
                <w:webHidden/>
              </w:rPr>
              <w:tab/>
            </w:r>
            <w:r w:rsidR="00691B4D">
              <w:rPr>
                <w:webHidden/>
              </w:rPr>
              <w:fldChar w:fldCharType="begin"/>
            </w:r>
            <w:r w:rsidR="00691B4D">
              <w:rPr>
                <w:webHidden/>
              </w:rPr>
              <w:instrText xml:space="preserve"> PAGEREF _Toc462754620 \h </w:instrText>
            </w:r>
            <w:r w:rsidR="00691B4D">
              <w:rPr>
                <w:webHidden/>
              </w:rPr>
            </w:r>
            <w:r w:rsidR="00691B4D">
              <w:rPr>
                <w:webHidden/>
              </w:rPr>
              <w:fldChar w:fldCharType="separate"/>
            </w:r>
            <w:r w:rsidR="00691B4D">
              <w:rPr>
                <w:webHidden/>
              </w:rPr>
              <w:t>3-7</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21" w:history="1">
            <w:r w:rsidR="00691B4D" w:rsidRPr="00716DC0">
              <w:rPr>
                <w:rStyle w:val="Hyperlink"/>
              </w:rPr>
              <w:t>3.1</w:t>
            </w:r>
            <w:r w:rsidR="00691B4D">
              <w:rPr>
                <w:rFonts w:asciiTheme="minorHAnsi" w:eastAsiaTheme="minorEastAsia" w:hAnsiTheme="minorHAnsi"/>
                <w:b w:val="0"/>
                <w:color w:val="auto"/>
                <w:sz w:val="22"/>
                <w:lang w:eastAsia="en-AU"/>
              </w:rPr>
              <w:tab/>
            </w:r>
            <w:r w:rsidR="00691B4D" w:rsidRPr="00716DC0">
              <w:rPr>
                <w:rStyle w:val="Hyperlink"/>
              </w:rPr>
              <w:t>Draft decision</w:t>
            </w:r>
            <w:r w:rsidR="00691B4D">
              <w:rPr>
                <w:webHidden/>
              </w:rPr>
              <w:tab/>
            </w:r>
            <w:r w:rsidR="00691B4D">
              <w:rPr>
                <w:webHidden/>
              </w:rPr>
              <w:fldChar w:fldCharType="begin"/>
            </w:r>
            <w:r w:rsidR="00691B4D">
              <w:rPr>
                <w:webHidden/>
              </w:rPr>
              <w:instrText xml:space="preserve"> PAGEREF _Toc462754621 \h </w:instrText>
            </w:r>
            <w:r w:rsidR="00691B4D">
              <w:rPr>
                <w:webHidden/>
              </w:rPr>
            </w:r>
            <w:r w:rsidR="00691B4D">
              <w:rPr>
                <w:webHidden/>
              </w:rPr>
              <w:fldChar w:fldCharType="separate"/>
            </w:r>
            <w:r w:rsidR="00691B4D">
              <w:rPr>
                <w:webHidden/>
              </w:rPr>
              <w:t>3-7</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22" w:history="1">
            <w:r w:rsidR="00691B4D" w:rsidRPr="00716DC0">
              <w:rPr>
                <w:rStyle w:val="Hyperlink"/>
              </w:rPr>
              <w:t>3.2</w:t>
            </w:r>
            <w:r w:rsidR="00691B4D">
              <w:rPr>
                <w:rFonts w:asciiTheme="minorHAnsi" w:eastAsiaTheme="minorEastAsia" w:hAnsiTheme="minorHAnsi"/>
                <w:b w:val="0"/>
                <w:color w:val="auto"/>
                <w:sz w:val="22"/>
                <w:lang w:eastAsia="en-AU"/>
              </w:rPr>
              <w:tab/>
            </w:r>
            <w:r w:rsidR="00691B4D" w:rsidRPr="00716DC0">
              <w:rPr>
                <w:rStyle w:val="Hyperlink"/>
              </w:rPr>
              <w:t>TasNetworks' proposal</w:t>
            </w:r>
            <w:r w:rsidR="00691B4D">
              <w:rPr>
                <w:webHidden/>
              </w:rPr>
              <w:tab/>
            </w:r>
            <w:r w:rsidR="00691B4D">
              <w:rPr>
                <w:webHidden/>
              </w:rPr>
              <w:fldChar w:fldCharType="begin"/>
            </w:r>
            <w:r w:rsidR="00691B4D">
              <w:rPr>
                <w:webHidden/>
              </w:rPr>
              <w:instrText xml:space="preserve"> PAGEREF _Toc462754622 \h </w:instrText>
            </w:r>
            <w:r w:rsidR="00691B4D">
              <w:rPr>
                <w:webHidden/>
              </w:rPr>
            </w:r>
            <w:r w:rsidR="00691B4D">
              <w:rPr>
                <w:webHidden/>
              </w:rPr>
              <w:fldChar w:fldCharType="separate"/>
            </w:r>
            <w:r w:rsidR="00691B4D">
              <w:rPr>
                <w:webHidden/>
              </w:rPr>
              <w:t>3-11</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23" w:history="1">
            <w:r w:rsidR="00691B4D" w:rsidRPr="00716DC0">
              <w:rPr>
                <w:rStyle w:val="Hyperlink"/>
              </w:rPr>
              <w:t>3.3</w:t>
            </w:r>
            <w:r w:rsidR="00691B4D">
              <w:rPr>
                <w:rFonts w:asciiTheme="minorHAnsi" w:eastAsiaTheme="minorEastAsia" w:hAnsiTheme="minorHAnsi"/>
                <w:b w:val="0"/>
                <w:color w:val="auto"/>
                <w:sz w:val="22"/>
                <w:lang w:eastAsia="en-AU"/>
              </w:rPr>
              <w:tab/>
            </w:r>
            <w:r w:rsidR="00691B4D" w:rsidRPr="00716DC0">
              <w:rPr>
                <w:rStyle w:val="Hyperlink"/>
              </w:rPr>
              <w:t>AER’s assessment approach</w:t>
            </w:r>
            <w:r w:rsidR="00691B4D">
              <w:rPr>
                <w:webHidden/>
              </w:rPr>
              <w:tab/>
            </w:r>
            <w:r w:rsidR="00691B4D">
              <w:rPr>
                <w:webHidden/>
              </w:rPr>
              <w:fldChar w:fldCharType="begin"/>
            </w:r>
            <w:r w:rsidR="00691B4D">
              <w:rPr>
                <w:webHidden/>
              </w:rPr>
              <w:instrText xml:space="preserve"> PAGEREF _Toc462754623 \h </w:instrText>
            </w:r>
            <w:r w:rsidR="00691B4D">
              <w:rPr>
                <w:webHidden/>
              </w:rPr>
            </w:r>
            <w:r w:rsidR="00691B4D">
              <w:rPr>
                <w:webHidden/>
              </w:rPr>
              <w:fldChar w:fldCharType="separate"/>
            </w:r>
            <w:r w:rsidR="00691B4D">
              <w:rPr>
                <w:webHidden/>
              </w:rPr>
              <w:t>3-11</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24" w:history="1">
            <w:r w:rsidR="00691B4D" w:rsidRPr="00716DC0">
              <w:rPr>
                <w:rStyle w:val="Hyperlink"/>
              </w:rPr>
              <w:t>3.3.1</w:t>
            </w:r>
            <w:r w:rsidR="00691B4D">
              <w:rPr>
                <w:rFonts w:asciiTheme="minorHAnsi" w:eastAsiaTheme="minorEastAsia" w:hAnsiTheme="minorHAnsi"/>
                <w:lang w:eastAsia="en-AU"/>
              </w:rPr>
              <w:tab/>
            </w:r>
            <w:r w:rsidR="00691B4D" w:rsidRPr="00716DC0">
              <w:rPr>
                <w:rStyle w:val="Hyperlink"/>
              </w:rPr>
              <w:t>National electricity and gas laws</w:t>
            </w:r>
            <w:r w:rsidR="00691B4D">
              <w:rPr>
                <w:webHidden/>
              </w:rPr>
              <w:tab/>
            </w:r>
            <w:r w:rsidR="00691B4D">
              <w:rPr>
                <w:webHidden/>
              </w:rPr>
              <w:fldChar w:fldCharType="begin"/>
            </w:r>
            <w:r w:rsidR="00691B4D">
              <w:rPr>
                <w:webHidden/>
              </w:rPr>
              <w:instrText xml:space="preserve"> PAGEREF _Toc462754624 \h </w:instrText>
            </w:r>
            <w:r w:rsidR="00691B4D">
              <w:rPr>
                <w:webHidden/>
              </w:rPr>
            </w:r>
            <w:r w:rsidR="00691B4D">
              <w:rPr>
                <w:webHidden/>
              </w:rPr>
              <w:fldChar w:fldCharType="separate"/>
            </w:r>
            <w:r w:rsidR="00691B4D">
              <w:rPr>
                <w:webHidden/>
              </w:rPr>
              <w:t>3-12</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25" w:history="1">
            <w:r w:rsidR="00691B4D" w:rsidRPr="00716DC0">
              <w:rPr>
                <w:rStyle w:val="Hyperlink"/>
              </w:rPr>
              <w:t>3.3.2</w:t>
            </w:r>
            <w:r w:rsidR="00691B4D">
              <w:rPr>
                <w:rFonts w:asciiTheme="minorHAnsi" w:eastAsiaTheme="minorEastAsia" w:hAnsiTheme="minorHAnsi"/>
                <w:lang w:eastAsia="en-AU"/>
              </w:rPr>
              <w:tab/>
            </w:r>
            <w:r w:rsidR="00691B4D" w:rsidRPr="00716DC0">
              <w:rPr>
                <w:rStyle w:val="Hyperlink"/>
              </w:rPr>
              <w:t>The overall rate of return</w:t>
            </w:r>
            <w:r w:rsidR="00691B4D">
              <w:rPr>
                <w:webHidden/>
              </w:rPr>
              <w:tab/>
            </w:r>
            <w:r w:rsidR="00691B4D">
              <w:rPr>
                <w:webHidden/>
              </w:rPr>
              <w:fldChar w:fldCharType="begin"/>
            </w:r>
            <w:r w:rsidR="00691B4D">
              <w:rPr>
                <w:webHidden/>
              </w:rPr>
              <w:instrText xml:space="preserve"> PAGEREF _Toc462754625 \h </w:instrText>
            </w:r>
            <w:r w:rsidR="00691B4D">
              <w:rPr>
                <w:webHidden/>
              </w:rPr>
            </w:r>
            <w:r w:rsidR="00691B4D">
              <w:rPr>
                <w:webHidden/>
              </w:rPr>
              <w:fldChar w:fldCharType="separate"/>
            </w:r>
            <w:r w:rsidR="00691B4D">
              <w:rPr>
                <w:webHidden/>
              </w:rPr>
              <w:t>3-12</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26" w:history="1">
            <w:r w:rsidR="00691B4D" w:rsidRPr="00716DC0">
              <w:rPr>
                <w:rStyle w:val="Hyperlink"/>
              </w:rPr>
              <w:t>3.3.3</w:t>
            </w:r>
            <w:r w:rsidR="00691B4D">
              <w:rPr>
                <w:rFonts w:asciiTheme="minorHAnsi" w:eastAsiaTheme="minorEastAsia" w:hAnsiTheme="minorHAnsi"/>
                <w:lang w:eastAsia="en-AU"/>
              </w:rPr>
              <w:tab/>
            </w:r>
            <w:r w:rsidR="00691B4D" w:rsidRPr="00716DC0">
              <w:rPr>
                <w:rStyle w:val="Hyperlink"/>
              </w:rPr>
              <w:t>Allowed rate of return objective</w:t>
            </w:r>
            <w:r w:rsidR="00691B4D">
              <w:rPr>
                <w:webHidden/>
              </w:rPr>
              <w:tab/>
            </w:r>
            <w:r w:rsidR="00691B4D">
              <w:rPr>
                <w:webHidden/>
              </w:rPr>
              <w:fldChar w:fldCharType="begin"/>
            </w:r>
            <w:r w:rsidR="00691B4D">
              <w:rPr>
                <w:webHidden/>
              </w:rPr>
              <w:instrText xml:space="preserve"> PAGEREF _Toc462754626 \h </w:instrText>
            </w:r>
            <w:r w:rsidR="00691B4D">
              <w:rPr>
                <w:webHidden/>
              </w:rPr>
            </w:r>
            <w:r w:rsidR="00691B4D">
              <w:rPr>
                <w:webHidden/>
              </w:rPr>
              <w:fldChar w:fldCharType="separate"/>
            </w:r>
            <w:r w:rsidR="00691B4D">
              <w:rPr>
                <w:webHidden/>
              </w:rPr>
              <w:t>3-13</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27" w:history="1">
            <w:r w:rsidR="00691B4D" w:rsidRPr="00716DC0">
              <w:rPr>
                <w:rStyle w:val="Hyperlink"/>
              </w:rPr>
              <w:t>3.3.4</w:t>
            </w:r>
            <w:r w:rsidR="00691B4D">
              <w:rPr>
                <w:rFonts w:asciiTheme="minorHAnsi" w:eastAsiaTheme="minorEastAsia" w:hAnsiTheme="minorHAnsi"/>
                <w:lang w:eastAsia="en-AU"/>
              </w:rPr>
              <w:tab/>
            </w:r>
            <w:r w:rsidR="00691B4D" w:rsidRPr="00716DC0">
              <w:rPr>
                <w:rStyle w:val="Hyperlink"/>
              </w:rPr>
              <w:t>Return on debt factors in the rules</w:t>
            </w:r>
            <w:r w:rsidR="00691B4D">
              <w:rPr>
                <w:webHidden/>
              </w:rPr>
              <w:tab/>
            </w:r>
            <w:r w:rsidR="00691B4D">
              <w:rPr>
                <w:webHidden/>
              </w:rPr>
              <w:fldChar w:fldCharType="begin"/>
            </w:r>
            <w:r w:rsidR="00691B4D">
              <w:rPr>
                <w:webHidden/>
              </w:rPr>
              <w:instrText xml:space="preserve"> PAGEREF _Toc462754627 \h </w:instrText>
            </w:r>
            <w:r w:rsidR="00691B4D">
              <w:rPr>
                <w:webHidden/>
              </w:rPr>
            </w:r>
            <w:r w:rsidR="00691B4D">
              <w:rPr>
                <w:webHidden/>
              </w:rPr>
              <w:fldChar w:fldCharType="separate"/>
            </w:r>
            <w:r w:rsidR="00691B4D">
              <w:rPr>
                <w:webHidden/>
              </w:rPr>
              <w:t>3-24</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28" w:history="1">
            <w:r w:rsidR="00691B4D" w:rsidRPr="00716DC0">
              <w:rPr>
                <w:rStyle w:val="Hyperlink"/>
              </w:rPr>
              <w:t>3.3.5</w:t>
            </w:r>
            <w:r w:rsidR="00691B4D">
              <w:rPr>
                <w:rFonts w:asciiTheme="minorHAnsi" w:eastAsiaTheme="minorEastAsia" w:hAnsiTheme="minorHAnsi"/>
                <w:lang w:eastAsia="en-AU"/>
              </w:rPr>
              <w:tab/>
            </w:r>
            <w:r w:rsidR="00691B4D" w:rsidRPr="00716DC0">
              <w:rPr>
                <w:rStyle w:val="Hyperlink"/>
              </w:rPr>
              <w:t>Rate of return Guideline</w:t>
            </w:r>
            <w:r w:rsidR="00691B4D">
              <w:rPr>
                <w:webHidden/>
              </w:rPr>
              <w:tab/>
            </w:r>
            <w:r w:rsidR="00691B4D">
              <w:rPr>
                <w:webHidden/>
              </w:rPr>
              <w:fldChar w:fldCharType="begin"/>
            </w:r>
            <w:r w:rsidR="00691B4D">
              <w:rPr>
                <w:webHidden/>
              </w:rPr>
              <w:instrText xml:space="preserve"> PAGEREF _Toc462754628 \h </w:instrText>
            </w:r>
            <w:r w:rsidR="00691B4D">
              <w:rPr>
                <w:webHidden/>
              </w:rPr>
            </w:r>
            <w:r w:rsidR="00691B4D">
              <w:rPr>
                <w:webHidden/>
              </w:rPr>
              <w:fldChar w:fldCharType="separate"/>
            </w:r>
            <w:r w:rsidR="00691B4D">
              <w:rPr>
                <w:webHidden/>
              </w:rPr>
              <w:t>3-26</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29" w:history="1">
            <w:r w:rsidR="00691B4D" w:rsidRPr="00716DC0">
              <w:rPr>
                <w:rStyle w:val="Hyperlink"/>
              </w:rPr>
              <w:t>3.3.6</w:t>
            </w:r>
            <w:r w:rsidR="00691B4D">
              <w:rPr>
                <w:rFonts w:asciiTheme="minorHAnsi" w:eastAsiaTheme="minorEastAsia" w:hAnsiTheme="minorHAnsi"/>
                <w:lang w:eastAsia="en-AU"/>
              </w:rPr>
              <w:tab/>
            </w:r>
            <w:r w:rsidR="00691B4D" w:rsidRPr="00716DC0">
              <w:rPr>
                <w:rStyle w:val="Hyperlink"/>
              </w:rPr>
              <w:t>Interrelationships</w:t>
            </w:r>
            <w:r w:rsidR="00691B4D">
              <w:rPr>
                <w:webHidden/>
              </w:rPr>
              <w:tab/>
            </w:r>
            <w:r w:rsidR="00691B4D">
              <w:rPr>
                <w:webHidden/>
              </w:rPr>
              <w:fldChar w:fldCharType="begin"/>
            </w:r>
            <w:r w:rsidR="00691B4D">
              <w:rPr>
                <w:webHidden/>
              </w:rPr>
              <w:instrText xml:space="preserve"> PAGEREF _Toc462754629 \h </w:instrText>
            </w:r>
            <w:r w:rsidR="00691B4D">
              <w:rPr>
                <w:webHidden/>
              </w:rPr>
            </w:r>
            <w:r w:rsidR="00691B4D">
              <w:rPr>
                <w:webHidden/>
              </w:rPr>
              <w:fldChar w:fldCharType="separate"/>
            </w:r>
            <w:r w:rsidR="00691B4D">
              <w:rPr>
                <w:webHidden/>
              </w:rPr>
              <w:t>3-32</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30" w:history="1">
            <w:r w:rsidR="00691B4D" w:rsidRPr="00716DC0">
              <w:rPr>
                <w:rStyle w:val="Hyperlink"/>
              </w:rPr>
              <w:t>3.3.7</w:t>
            </w:r>
            <w:r w:rsidR="00691B4D">
              <w:rPr>
                <w:rFonts w:asciiTheme="minorHAnsi" w:eastAsiaTheme="minorEastAsia" w:hAnsiTheme="minorHAnsi"/>
                <w:lang w:eastAsia="en-AU"/>
              </w:rPr>
              <w:tab/>
            </w:r>
            <w:r w:rsidR="00691B4D" w:rsidRPr="00716DC0">
              <w:rPr>
                <w:rStyle w:val="Hyperlink"/>
              </w:rPr>
              <w:t>Consideration of relevant material</w:t>
            </w:r>
            <w:r w:rsidR="00691B4D">
              <w:rPr>
                <w:webHidden/>
              </w:rPr>
              <w:tab/>
            </w:r>
            <w:r w:rsidR="00691B4D">
              <w:rPr>
                <w:webHidden/>
              </w:rPr>
              <w:fldChar w:fldCharType="begin"/>
            </w:r>
            <w:r w:rsidR="00691B4D">
              <w:rPr>
                <w:webHidden/>
              </w:rPr>
              <w:instrText xml:space="preserve"> PAGEREF _Toc462754630 \h </w:instrText>
            </w:r>
            <w:r w:rsidR="00691B4D">
              <w:rPr>
                <w:webHidden/>
              </w:rPr>
            </w:r>
            <w:r w:rsidR="00691B4D">
              <w:rPr>
                <w:webHidden/>
              </w:rPr>
              <w:fldChar w:fldCharType="separate"/>
            </w:r>
            <w:r w:rsidR="00691B4D">
              <w:rPr>
                <w:webHidden/>
              </w:rPr>
              <w:t>3-35</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31" w:history="1">
            <w:r w:rsidR="00691B4D" w:rsidRPr="00716DC0">
              <w:rPr>
                <w:rStyle w:val="Hyperlink"/>
              </w:rPr>
              <w:t>3.4</w:t>
            </w:r>
            <w:r w:rsidR="00691B4D">
              <w:rPr>
                <w:rFonts w:asciiTheme="minorHAnsi" w:eastAsiaTheme="minorEastAsia" w:hAnsiTheme="minorHAnsi"/>
                <w:b w:val="0"/>
                <w:color w:val="auto"/>
                <w:sz w:val="22"/>
                <w:lang w:eastAsia="en-AU"/>
              </w:rPr>
              <w:tab/>
            </w:r>
            <w:r w:rsidR="00691B4D" w:rsidRPr="00716DC0">
              <w:rPr>
                <w:rStyle w:val="Hyperlink"/>
              </w:rPr>
              <w:t>Reasons for draft decision</w:t>
            </w:r>
            <w:r w:rsidR="00691B4D">
              <w:rPr>
                <w:webHidden/>
              </w:rPr>
              <w:tab/>
            </w:r>
            <w:r w:rsidR="00691B4D">
              <w:rPr>
                <w:webHidden/>
              </w:rPr>
              <w:fldChar w:fldCharType="begin"/>
            </w:r>
            <w:r w:rsidR="00691B4D">
              <w:rPr>
                <w:webHidden/>
              </w:rPr>
              <w:instrText xml:space="preserve"> PAGEREF _Toc462754631 \h </w:instrText>
            </w:r>
            <w:r w:rsidR="00691B4D">
              <w:rPr>
                <w:webHidden/>
              </w:rPr>
            </w:r>
            <w:r w:rsidR="00691B4D">
              <w:rPr>
                <w:webHidden/>
              </w:rPr>
              <w:fldChar w:fldCharType="separate"/>
            </w:r>
            <w:r w:rsidR="00691B4D">
              <w:rPr>
                <w:webHidden/>
              </w:rPr>
              <w:t>3-38</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32" w:history="1">
            <w:r w:rsidR="00691B4D" w:rsidRPr="00716DC0">
              <w:rPr>
                <w:rStyle w:val="Hyperlink"/>
              </w:rPr>
              <w:t>3.4.1</w:t>
            </w:r>
            <w:r w:rsidR="00691B4D">
              <w:rPr>
                <w:rFonts w:asciiTheme="minorHAnsi" w:eastAsiaTheme="minorEastAsia" w:hAnsiTheme="minorHAnsi"/>
                <w:lang w:eastAsia="en-AU"/>
              </w:rPr>
              <w:tab/>
            </w:r>
            <w:r w:rsidR="00691B4D" w:rsidRPr="00716DC0">
              <w:rPr>
                <w:rStyle w:val="Hyperlink"/>
              </w:rPr>
              <w:t>Return on equity</w:t>
            </w:r>
            <w:r w:rsidR="00691B4D">
              <w:rPr>
                <w:webHidden/>
              </w:rPr>
              <w:tab/>
            </w:r>
            <w:r w:rsidR="00691B4D">
              <w:rPr>
                <w:webHidden/>
              </w:rPr>
              <w:fldChar w:fldCharType="begin"/>
            </w:r>
            <w:r w:rsidR="00691B4D">
              <w:rPr>
                <w:webHidden/>
              </w:rPr>
              <w:instrText xml:space="preserve"> PAGEREF _Toc462754632 \h </w:instrText>
            </w:r>
            <w:r w:rsidR="00691B4D">
              <w:rPr>
                <w:webHidden/>
              </w:rPr>
            </w:r>
            <w:r w:rsidR="00691B4D">
              <w:rPr>
                <w:webHidden/>
              </w:rPr>
              <w:fldChar w:fldCharType="separate"/>
            </w:r>
            <w:r w:rsidR="00691B4D">
              <w:rPr>
                <w:webHidden/>
              </w:rPr>
              <w:t>3-39</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33" w:history="1">
            <w:r w:rsidR="00691B4D" w:rsidRPr="00716DC0">
              <w:rPr>
                <w:rStyle w:val="Hyperlink"/>
              </w:rPr>
              <w:t>3.4.2</w:t>
            </w:r>
            <w:r w:rsidR="00691B4D">
              <w:rPr>
                <w:rFonts w:asciiTheme="minorHAnsi" w:eastAsiaTheme="minorEastAsia" w:hAnsiTheme="minorHAnsi"/>
                <w:lang w:eastAsia="en-AU"/>
              </w:rPr>
              <w:tab/>
            </w:r>
            <w:r w:rsidR="00691B4D" w:rsidRPr="00716DC0">
              <w:rPr>
                <w:rStyle w:val="Hyperlink"/>
              </w:rPr>
              <w:t>Return on debt</w:t>
            </w:r>
            <w:r w:rsidR="00691B4D">
              <w:rPr>
                <w:webHidden/>
              </w:rPr>
              <w:tab/>
            </w:r>
            <w:r w:rsidR="00691B4D">
              <w:rPr>
                <w:webHidden/>
              </w:rPr>
              <w:fldChar w:fldCharType="begin"/>
            </w:r>
            <w:r w:rsidR="00691B4D">
              <w:rPr>
                <w:webHidden/>
              </w:rPr>
              <w:instrText xml:space="preserve"> PAGEREF _Toc462754633 \h </w:instrText>
            </w:r>
            <w:r w:rsidR="00691B4D">
              <w:rPr>
                <w:webHidden/>
              </w:rPr>
            </w:r>
            <w:r w:rsidR="00691B4D">
              <w:rPr>
                <w:webHidden/>
              </w:rPr>
              <w:fldChar w:fldCharType="separate"/>
            </w:r>
            <w:r w:rsidR="00691B4D">
              <w:rPr>
                <w:webHidden/>
              </w:rPr>
              <w:t>3-58</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34" w:history="1">
            <w:r w:rsidR="00691B4D" w:rsidRPr="00716DC0">
              <w:rPr>
                <w:rStyle w:val="Hyperlink"/>
              </w:rPr>
              <w:t>3.4.3</w:t>
            </w:r>
            <w:r w:rsidR="00691B4D">
              <w:rPr>
                <w:rFonts w:asciiTheme="minorHAnsi" w:eastAsiaTheme="minorEastAsia" w:hAnsiTheme="minorHAnsi"/>
                <w:lang w:eastAsia="en-AU"/>
              </w:rPr>
              <w:tab/>
            </w:r>
            <w:r w:rsidR="00691B4D" w:rsidRPr="00716DC0">
              <w:rPr>
                <w:rStyle w:val="Hyperlink"/>
              </w:rPr>
              <w:t>Gearing ratio</w:t>
            </w:r>
            <w:r w:rsidR="00691B4D">
              <w:rPr>
                <w:webHidden/>
              </w:rPr>
              <w:tab/>
            </w:r>
            <w:r w:rsidR="00691B4D">
              <w:rPr>
                <w:webHidden/>
              </w:rPr>
              <w:fldChar w:fldCharType="begin"/>
            </w:r>
            <w:r w:rsidR="00691B4D">
              <w:rPr>
                <w:webHidden/>
              </w:rPr>
              <w:instrText xml:space="preserve"> PAGEREF _Toc462754634 \h </w:instrText>
            </w:r>
            <w:r w:rsidR="00691B4D">
              <w:rPr>
                <w:webHidden/>
              </w:rPr>
            </w:r>
            <w:r w:rsidR="00691B4D">
              <w:rPr>
                <w:webHidden/>
              </w:rPr>
              <w:fldChar w:fldCharType="separate"/>
            </w:r>
            <w:r w:rsidR="00691B4D">
              <w:rPr>
                <w:webHidden/>
              </w:rPr>
              <w:t>3-99</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35" w:history="1">
            <w:r w:rsidR="00691B4D" w:rsidRPr="00716DC0">
              <w:rPr>
                <w:rStyle w:val="Hyperlink"/>
              </w:rPr>
              <w:t>3.4.4</w:t>
            </w:r>
            <w:r w:rsidR="00691B4D">
              <w:rPr>
                <w:rFonts w:asciiTheme="minorHAnsi" w:eastAsiaTheme="minorEastAsia" w:hAnsiTheme="minorHAnsi"/>
                <w:lang w:eastAsia="en-AU"/>
              </w:rPr>
              <w:tab/>
            </w:r>
            <w:r w:rsidR="00691B4D" w:rsidRPr="00716DC0">
              <w:rPr>
                <w:rStyle w:val="Hyperlink"/>
              </w:rPr>
              <w:t>Expected inflation rate</w:t>
            </w:r>
            <w:r w:rsidR="00691B4D">
              <w:rPr>
                <w:webHidden/>
              </w:rPr>
              <w:tab/>
            </w:r>
            <w:r w:rsidR="00691B4D">
              <w:rPr>
                <w:webHidden/>
              </w:rPr>
              <w:fldChar w:fldCharType="begin"/>
            </w:r>
            <w:r w:rsidR="00691B4D">
              <w:rPr>
                <w:webHidden/>
              </w:rPr>
              <w:instrText xml:space="preserve"> PAGEREF _Toc462754635 \h </w:instrText>
            </w:r>
            <w:r w:rsidR="00691B4D">
              <w:rPr>
                <w:webHidden/>
              </w:rPr>
            </w:r>
            <w:r w:rsidR="00691B4D">
              <w:rPr>
                <w:webHidden/>
              </w:rPr>
              <w:fldChar w:fldCharType="separate"/>
            </w:r>
            <w:r w:rsidR="00691B4D">
              <w:rPr>
                <w:webHidden/>
              </w:rPr>
              <w:t>3-101</w:t>
            </w:r>
            <w:r w:rsidR="00691B4D">
              <w:rPr>
                <w:webHidden/>
              </w:rPr>
              <w:fldChar w:fldCharType="end"/>
            </w:r>
          </w:hyperlink>
        </w:p>
        <w:p w:rsidR="00691B4D" w:rsidRDefault="00AB6D99">
          <w:pPr>
            <w:pStyle w:val="TOC1"/>
            <w:rPr>
              <w:rFonts w:asciiTheme="minorHAnsi" w:eastAsiaTheme="minorEastAsia" w:hAnsiTheme="minorHAnsi"/>
              <w:b w:val="0"/>
              <w:color w:val="auto"/>
              <w:sz w:val="22"/>
              <w:lang w:val="en-AU" w:eastAsia="en-AU"/>
            </w:rPr>
          </w:pPr>
          <w:hyperlink w:anchor="_Toc462754636" w:history="1">
            <w:r w:rsidR="00691B4D" w:rsidRPr="00716DC0">
              <w:rPr>
                <w:rStyle w:val="Hyperlink"/>
              </w:rPr>
              <w:t>A</w:t>
            </w:r>
            <w:r w:rsidR="00691B4D">
              <w:rPr>
                <w:rFonts w:asciiTheme="minorHAnsi" w:eastAsiaTheme="minorEastAsia" w:hAnsiTheme="minorHAnsi"/>
                <w:b w:val="0"/>
                <w:color w:val="auto"/>
                <w:sz w:val="22"/>
                <w:lang w:val="en-AU" w:eastAsia="en-AU"/>
              </w:rPr>
              <w:tab/>
            </w:r>
            <w:r w:rsidR="00691B4D" w:rsidRPr="00716DC0">
              <w:rPr>
                <w:rStyle w:val="Hyperlink"/>
              </w:rPr>
              <w:t>Return on equity implementation</w:t>
            </w:r>
            <w:r w:rsidR="00691B4D">
              <w:rPr>
                <w:webHidden/>
              </w:rPr>
              <w:tab/>
            </w:r>
            <w:r w:rsidR="00691B4D">
              <w:rPr>
                <w:webHidden/>
              </w:rPr>
              <w:fldChar w:fldCharType="begin"/>
            </w:r>
            <w:r w:rsidR="00691B4D">
              <w:rPr>
                <w:webHidden/>
              </w:rPr>
              <w:instrText xml:space="preserve"> PAGEREF _Toc462754636 \h </w:instrText>
            </w:r>
            <w:r w:rsidR="00691B4D">
              <w:rPr>
                <w:webHidden/>
              </w:rPr>
            </w:r>
            <w:r w:rsidR="00691B4D">
              <w:rPr>
                <w:webHidden/>
              </w:rPr>
              <w:fldChar w:fldCharType="separate"/>
            </w:r>
            <w:r w:rsidR="00691B4D">
              <w:rPr>
                <w:webHidden/>
              </w:rPr>
              <w:t>3-104</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37" w:history="1">
            <w:r w:rsidR="00691B4D" w:rsidRPr="00716DC0">
              <w:rPr>
                <w:rStyle w:val="Hyperlink"/>
              </w:rPr>
              <w:t>A.1</w:t>
            </w:r>
            <w:r w:rsidR="00691B4D">
              <w:rPr>
                <w:rFonts w:asciiTheme="minorHAnsi" w:eastAsiaTheme="minorEastAsia" w:hAnsiTheme="minorHAnsi"/>
                <w:b w:val="0"/>
                <w:color w:val="auto"/>
                <w:sz w:val="22"/>
                <w:lang w:eastAsia="en-AU"/>
              </w:rPr>
              <w:tab/>
            </w:r>
            <w:r w:rsidR="00691B4D" w:rsidRPr="00716DC0">
              <w:rPr>
                <w:rStyle w:val="Hyperlink"/>
              </w:rPr>
              <w:t>Historical stock returns</w:t>
            </w:r>
            <w:r w:rsidR="00691B4D">
              <w:rPr>
                <w:webHidden/>
              </w:rPr>
              <w:tab/>
            </w:r>
            <w:r w:rsidR="00691B4D">
              <w:rPr>
                <w:webHidden/>
              </w:rPr>
              <w:fldChar w:fldCharType="begin"/>
            </w:r>
            <w:r w:rsidR="00691B4D">
              <w:rPr>
                <w:webHidden/>
              </w:rPr>
              <w:instrText xml:space="preserve"> PAGEREF _Toc462754637 \h </w:instrText>
            </w:r>
            <w:r w:rsidR="00691B4D">
              <w:rPr>
                <w:webHidden/>
              </w:rPr>
            </w:r>
            <w:r w:rsidR="00691B4D">
              <w:rPr>
                <w:webHidden/>
              </w:rPr>
              <w:fldChar w:fldCharType="separate"/>
            </w:r>
            <w:r w:rsidR="00691B4D">
              <w:rPr>
                <w:webHidden/>
              </w:rPr>
              <w:t>3-104</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38" w:history="1">
            <w:r w:rsidR="00691B4D" w:rsidRPr="00716DC0">
              <w:rPr>
                <w:rStyle w:val="Hyperlink"/>
              </w:rPr>
              <w:t>A.1.1</w:t>
            </w:r>
            <w:r w:rsidR="00691B4D">
              <w:rPr>
                <w:rFonts w:asciiTheme="minorHAnsi" w:eastAsiaTheme="minorEastAsia" w:hAnsiTheme="minorHAnsi"/>
                <w:lang w:eastAsia="en-AU"/>
              </w:rPr>
              <w:tab/>
            </w:r>
            <w:r w:rsidR="00691B4D" w:rsidRPr="00716DC0">
              <w:rPr>
                <w:rStyle w:val="Hyperlink"/>
              </w:rPr>
              <w:t>Prevailing estimates: excess returns</w:t>
            </w:r>
            <w:r w:rsidR="00691B4D">
              <w:rPr>
                <w:webHidden/>
              </w:rPr>
              <w:tab/>
            </w:r>
            <w:r w:rsidR="00691B4D">
              <w:rPr>
                <w:webHidden/>
              </w:rPr>
              <w:fldChar w:fldCharType="begin"/>
            </w:r>
            <w:r w:rsidR="00691B4D">
              <w:rPr>
                <w:webHidden/>
              </w:rPr>
              <w:instrText xml:space="preserve"> PAGEREF _Toc462754638 \h </w:instrText>
            </w:r>
            <w:r w:rsidR="00691B4D">
              <w:rPr>
                <w:webHidden/>
              </w:rPr>
            </w:r>
            <w:r w:rsidR="00691B4D">
              <w:rPr>
                <w:webHidden/>
              </w:rPr>
              <w:fldChar w:fldCharType="separate"/>
            </w:r>
            <w:r w:rsidR="00691B4D">
              <w:rPr>
                <w:webHidden/>
              </w:rPr>
              <w:t>3-104</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39" w:history="1">
            <w:r w:rsidR="00691B4D" w:rsidRPr="00716DC0">
              <w:rPr>
                <w:rStyle w:val="Hyperlink"/>
              </w:rPr>
              <w:t>A.1.2</w:t>
            </w:r>
            <w:r w:rsidR="00691B4D">
              <w:rPr>
                <w:rFonts w:asciiTheme="minorHAnsi" w:eastAsiaTheme="minorEastAsia" w:hAnsiTheme="minorHAnsi"/>
                <w:lang w:eastAsia="en-AU"/>
              </w:rPr>
              <w:tab/>
            </w:r>
            <w:r w:rsidR="00691B4D" w:rsidRPr="00716DC0">
              <w:rPr>
                <w:rStyle w:val="Hyperlink"/>
              </w:rPr>
              <w:t>Prevailing estimates: total returns</w:t>
            </w:r>
            <w:r w:rsidR="00691B4D">
              <w:rPr>
                <w:webHidden/>
              </w:rPr>
              <w:tab/>
            </w:r>
            <w:r w:rsidR="00691B4D">
              <w:rPr>
                <w:webHidden/>
              </w:rPr>
              <w:fldChar w:fldCharType="begin"/>
            </w:r>
            <w:r w:rsidR="00691B4D">
              <w:rPr>
                <w:webHidden/>
              </w:rPr>
              <w:instrText xml:space="preserve"> PAGEREF _Toc462754639 \h </w:instrText>
            </w:r>
            <w:r w:rsidR="00691B4D">
              <w:rPr>
                <w:webHidden/>
              </w:rPr>
            </w:r>
            <w:r w:rsidR="00691B4D">
              <w:rPr>
                <w:webHidden/>
              </w:rPr>
              <w:fldChar w:fldCharType="separate"/>
            </w:r>
            <w:r w:rsidR="00691B4D">
              <w:rPr>
                <w:webHidden/>
              </w:rPr>
              <w:t>3-105</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40" w:history="1">
            <w:r w:rsidR="00691B4D" w:rsidRPr="00716DC0">
              <w:rPr>
                <w:rStyle w:val="Hyperlink"/>
              </w:rPr>
              <w:t>A.2</w:t>
            </w:r>
            <w:r w:rsidR="00691B4D">
              <w:rPr>
                <w:rFonts w:asciiTheme="minorHAnsi" w:eastAsiaTheme="minorEastAsia" w:hAnsiTheme="minorHAnsi"/>
                <w:b w:val="0"/>
                <w:color w:val="auto"/>
                <w:sz w:val="22"/>
                <w:lang w:eastAsia="en-AU"/>
              </w:rPr>
              <w:tab/>
            </w:r>
            <w:r w:rsidR="00691B4D" w:rsidRPr="00716DC0">
              <w:rPr>
                <w:rStyle w:val="Hyperlink"/>
              </w:rPr>
              <w:t>AER's dividend growth model</w:t>
            </w:r>
            <w:r w:rsidR="00691B4D">
              <w:rPr>
                <w:webHidden/>
              </w:rPr>
              <w:tab/>
            </w:r>
            <w:r w:rsidR="00691B4D">
              <w:rPr>
                <w:webHidden/>
              </w:rPr>
              <w:fldChar w:fldCharType="begin"/>
            </w:r>
            <w:r w:rsidR="00691B4D">
              <w:rPr>
                <w:webHidden/>
              </w:rPr>
              <w:instrText xml:space="preserve"> PAGEREF _Toc462754640 \h </w:instrText>
            </w:r>
            <w:r w:rsidR="00691B4D">
              <w:rPr>
                <w:webHidden/>
              </w:rPr>
            </w:r>
            <w:r w:rsidR="00691B4D">
              <w:rPr>
                <w:webHidden/>
              </w:rPr>
              <w:fldChar w:fldCharType="separate"/>
            </w:r>
            <w:r w:rsidR="00691B4D">
              <w:rPr>
                <w:webHidden/>
              </w:rPr>
              <w:t>3-106</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41" w:history="1">
            <w:r w:rsidR="00691B4D" w:rsidRPr="00716DC0">
              <w:rPr>
                <w:rStyle w:val="Hyperlink"/>
              </w:rPr>
              <w:t>A.2.1</w:t>
            </w:r>
            <w:r w:rsidR="00691B4D">
              <w:rPr>
                <w:rFonts w:asciiTheme="minorHAnsi" w:eastAsiaTheme="minorEastAsia" w:hAnsiTheme="minorHAnsi"/>
                <w:lang w:eastAsia="en-AU"/>
              </w:rPr>
              <w:tab/>
            </w:r>
            <w:r w:rsidR="00691B4D" w:rsidRPr="00716DC0">
              <w:rPr>
                <w:rStyle w:val="Hyperlink"/>
              </w:rPr>
              <w:t>Prevailing estimates</w:t>
            </w:r>
            <w:r w:rsidR="00691B4D">
              <w:rPr>
                <w:webHidden/>
              </w:rPr>
              <w:tab/>
            </w:r>
            <w:r w:rsidR="00691B4D">
              <w:rPr>
                <w:webHidden/>
              </w:rPr>
              <w:fldChar w:fldCharType="begin"/>
            </w:r>
            <w:r w:rsidR="00691B4D">
              <w:rPr>
                <w:webHidden/>
              </w:rPr>
              <w:instrText xml:space="preserve"> PAGEREF _Toc462754641 \h </w:instrText>
            </w:r>
            <w:r w:rsidR="00691B4D">
              <w:rPr>
                <w:webHidden/>
              </w:rPr>
            </w:r>
            <w:r w:rsidR="00691B4D">
              <w:rPr>
                <w:webHidden/>
              </w:rPr>
              <w:fldChar w:fldCharType="separate"/>
            </w:r>
            <w:r w:rsidR="00691B4D">
              <w:rPr>
                <w:webHidden/>
              </w:rPr>
              <w:t>3-106</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42" w:history="1">
            <w:r w:rsidR="00691B4D" w:rsidRPr="00716DC0">
              <w:rPr>
                <w:rStyle w:val="Hyperlink"/>
              </w:rPr>
              <w:t>A.2.2</w:t>
            </w:r>
            <w:r w:rsidR="00691B4D">
              <w:rPr>
                <w:rFonts w:asciiTheme="minorHAnsi" w:eastAsiaTheme="minorEastAsia" w:hAnsiTheme="minorHAnsi"/>
                <w:lang w:eastAsia="en-AU"/>
              </w:rPr>
              <w:tab/>
            </w:r>
            <w:r w:rsidR="00691B4D" w:rsidRPr="00716DC0">
              <w:rPr>
                <w:rStyle w:val="Hyperlink"/>
              </w:rPr>
              <w:t>Sensitivity analysis</w:t>
            </w:r>
            <w:r w:rsidR="00691B4D">
              <w:rPr>
                <w:webHidden/>
              </w:rPr>
              <w:tab/>
            </w:r>
            <w:r w:rsidR="00691B4D">
              <w:rPr>
                <w:webHidden/>
              </w:rPr>
              <w:fldChar w:fldCharType="begin"/>
            </w:r>
            <w:r w:rsidR="00691B4D">
              <w:rPr>
                <w:webHidden/>
              </w:rPr>
              <w:instrText xml:space="preserve"> PAGEREF _Toc462754642 \h </w:instrText>
            </w:r>
            <w:r w:rsidR="00691B4D">
              <w:rPr>
                <w:webHidden/>
              </w:rPr>
            </w:r>
            <w:r w:rsidR="00691B4D">
              <w:rPr>
                <w:webHidden/>
              </w:rPr>
              <w:fldChar w:fldCharType="separate"/>
            </w:r>
            <w:r w:rsidR="00691B4D">
              <w:rPr>
                <w:webHidden/>
              </w:rPr>
              <w:t>3-106</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43" w:history="1">
            <w:r w:rsidR="00691B4D" w:rsidRPr="00716DC0">
              <w:rPr>
                <w:rStyle w:val="Hyperlink"/>
              </w:rPr>
              <w:t>A.2.3</w:t>
            </w:r>
            <w:r w:rsidR="00691B4D">
              <w:rPr>
                <w:rFonts w:asciiTheme="minorHAnsi" w:eastAsiaTheme="minorEastAsia" w:hAnsiTheme="minorHAnsi"/>
                <w:lang w:eastAsia="en-AU"/>
              </w:rPr>
              <w:tab/>
            </w:r>
            <w:r w:rsidR="00691B4D" w:rsidRPr="00716DC0">
              <w:rPr>
                <w:rStyle w:val="Hyperlink"/>
              </w:rPr>
              <w:t>Preferred construction of the model</w:t>
            </w:r>
            <w:r w:rsidR="00691B4D">
              <w:rPr>
                <w:webHidden/>
              </w:rPr>
              <w:tab/>
            </w:r>
            <w:r w:rsidR="00691B4D">
              <w:rPr>
                <w:webHidden/>
              </w:rPr>
              <w:fldChar w:fldCharType="begin"/>
            </w:r>
            <w:r w:rsidR="00691B4D">
              <w:rPr>
                <w:webHidden/>
              </w:rPr>
              <w:instrText xml:space="preserve"> PAGEREF _Toc462754643 \h </w:instrText>
            </w:r>
            <w:r w:rsidR="00691B4D">
              <w:rPr>
                <w:webHidden/>
              </w:rPr>
            </w:r>
            <w:r w:rsidR="00691B4D">
              <w:rPr>
                <w:webHidden/>
              </w:rPr>
              <w:fldChar w:fldCharType="separate"/>
            </w:r>
            <w:r w:rsidR="00691B4D">
              <w:rPr>
                <w:webHidden/>
              </w:rPr>
              <w:t>3-107</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44" w:history="1">
            <w:r w:rsidR="00691B4D" w:rsidRPr="00716DC0">
              <w:rPr>
                <w:rStyle w:val="Hyperlink"/>
              </w:rPr>
              <w:t>A.3</w:t>
            </w:r>
            <w:r w:rsidR="00691B4D">
              <w:rPr>
                <w:rFonts w:asciiTheme="minorHAnsi" w:eastAsiaTheme="minorEastAsia" w:hAnsiTheme="minorHAnsi"/>
                <w:b w:val="0"/>
                <w:color w:val="auto"/>
                <w:sz w:val="22"/>
                <w:lang w:eastAsia="en-AU"/>
              </w:rPr>
              <w:tab/>
            </w:r>
            <w:r w:rsidR="00691B4D" w:rsidRPr="00716DC0">
              <w:rPr>
                <w:rStyle w:val="Hyperlink"/>
              </w:rPr>
              <w:t>Conditioning variables</w:t>
            </w:r>
            <w:r w:rsidR="00691B4D">
              <w:rPr>
                <w:webHidden/>
              </w:rPr>
              <w:tab/>
            </w:r>
            <w:r w:rsidR="00691B4D">
              <w:rPr>
                <w:webHidden/>
              </w:rPr>
              <w:fldChar w:fldCharType="begin"/>
            </w:r>
            <w:r w:rsidR="00691B4D">
              <w:rPr>
                <w:webHidden/>
              </w:rPr>
              <w:instrText xml:space="preserve"> PAGEREF _Toc462754644 \h </w:instrText>
            </w:r>
            <w:r w:rsidR="00691B4D">
              <w:rPr>
                <w:webHidden/>
              </w:rPr>
            </w:r>
            <w:r w:rsidR="00691B4D">
              <w:rPr>
                <w:webHidden/>
              </w:rPr>
              <w:fldChar w:fldCharType="separate"/>
            </w:r>
            <w:r w:rsidR="00691B4D">
              <w:rPr>
                <w:webHidden/>
              </w:rPr>
              <w:t>3-109</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45" w:history="1">
            <w:r w:rsidR="00691B4D" w:rsidRPr="00716DC0">
              <w:rPr>
                <w:rStyle w:val="Hyperlink"/>
              </w:rPr>
              <w:t>A.3.1</w:t>
            </w:r>
            <w:r w:rsidR="00691B4D">
              <w:rPr>
                <w:rFonts w:asciiTheme="minorHAnsi" w:eastAsiaTheme="minorEastAsia" w:hAnsiTheme="minorHAnsi"/>
                <w:lang w:eastAsia="en-AU"/>
              </w:rPr>
              <w:tab/>
            </w:r>
            <w:r w:rsidR="00691B4D" w:rsidRPr="00716DC0">
              <w:rPr>
                <w:rStyle w:val="Hyperlink"/>
              </w:rPr>
              <w:t>Implied volatility</w:t>
            </w:r>
            <w:r w:rsidR="00691B4D">
              <w:rPr>
                <w:webHidden/>
              </w:rPr>
              <w:tab/>
            </w:r>
            <w:r w:rsidR="00691B4D">
              <w:rPr>
                <w:webHidden/>
              </w:rPr>
              <w:fldChar w:fldCharType="begin"/>
            </w:r>
            <w:r w:rsidR="00691B4D">
              <w:rPr>
                <w:webHidden/>
              </w:rPr>
              <w:instrText xml:space="preserve"> PAGEREF _Toc462754645 \h </w:instrText>
            </w:r>
            <w:r w:rsidR="00691B4D">
              <w:rPr>
                <w:webHidden/>
              </w:rPr>
            </w:r>
            <w:r w:rsidR="00691B4D">
              <w:rPr>
                <w:webHidden/>
              </w:rPr>
              <w:fldChar w:fldCharType="separate"/>
            </w:r>
            <w:r w:rsidR="00691B4D">
              <w:rPr>
                <w:webHidden/>
              </w:rPr>
              <w:t>3-110</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46" w:history="1">
            <w:r w:rsidR="00691B4D" w:rsidRPr="00716DC0">
              <w:rPr>
                <w:rStyle w:val="Hyperlink"/>
              </w:rPr>
              <w:t>A.3.2</w:t>
            </w:r>
            <w:r w:rsidR="00691B4D">
              <w:rPr>
                <w:rFonts w:asciiTheme="minorHAnsi" w:eastAsiaTheme="minorEastAsia" w:hAnsiTheme="minorHAnsi"/>
                <w:lang w:eastAsia="en-AU"/>
              </w:rPr>
              <w:tab/>
            </w:r>
            <w:r w:rsidR="00691B4D" w:rsidRPr="00716DC0">
              <w:rPr>
                <w:rStyle w:val="Hyperlink"/>
              </w:rPr>
              <w:t>Dividend yields</w:t>
            </w:r>
            <w:r w:rsidR="00691B4D">
              <w:rPr>
                <w:webHidden/>
              </w:rPr>
              <w:tab/>
            </w:r>
            <w:r w:rsidR="00691B4D">
              <w:rPr>
                <w:webHidden/>
              </w:rPr>
              <w:fldChar w:fldCharType="begin"/>
            </w:r>
            <w:r w:rsidR="00691B4D">
              <w:rPr>
                <w:webHidden/>
              </w:rPr>
              <w:instrText xml:space="preserve"> PAGEREF _Toc462754646 \h </w:instrText>
            </w:r>
            <w:r w:rsidR="00691B4D">
              <w:rPr>
                <w:webHidden/>
              </w:rPr>
            </w:r>
            <w:r w:rsidR="00691B4D">
              <w:rPr>
                <w:webHidden/>
              </w:rPr>
              <w:fldChar w:fldCharType="separate"/>
            </w:r>
            <w:r w:rsidR="00691B4D">
              <w:rPr>
                <w:webHidden/>
              </w:rPr>
              <w:t>3-111</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47" w:history="1">
            <w:r w:rsidR="00691B4D" w:rsidRPr="00716DC0">
              <w:rPr>
                <w:rStyle w:val="Hyperlink"/>
              </w:rPr>
              <w:t>A.3.3</w:t>
            </w:r>
            <w:r w:rsidR="00691B4D">
              <w:rPr>
                <w:rFonts w:asciiTheme="minorHAnsi" w:eastAsiaTheme="minorEastAsia" w:hAnsiTheme="minorHAnsi"/>
                <w:lang w:eastAsia="en-AU"/>
              </w:rPr>
              <w:tab/>
            </w:r>
            <w:r w:rsidR="00691B4D" w:rsidRPr="00716DC0">
              <w:rPr>
                <w:rStyle w:val="Hyperlink"/>
              </w:rPr>
              <w:t>Yield spreads</w:t>
            </w:r>
            <w:r w:rsidR="00691B4D">
              <w:rPr>
                <w:webHidden/>
              </w:rPr>
              <w:tab/>
            </w:r>
            <w:r w:rsidR="00691B4D">
              <w:rPr>
                <w:webHidden/>
              </w:rPr>
              <w:fldChar w:fldCharType="begin"/>
            </w:r>
            <w:r w:rsidR="00691B4D">
              <w:rPr>
                <w:webHidden/>
              </w:rPr>
              <w:instrText xml:space="preserve"> PAGEREF _Toc462754647 \h </w:instrText>
            </w:r>
            <w:r w:rsidR="00691B4D">
              <w:rPr>
                <w:webHidden/>
              </w:rPr>
            </w:r>
            <w:r w:rsidR="00691B4D">
              <w:rPr>
                <w:webHidden/>
              </w:rPr>
              <w:fldChar w:fldCharType="separate"/>
            </w:r>
            <w:r w:rsidR="00691B4D">
              <w:rPr>
                <w:webHidden/>
              </w:rPr>
              <w:t>3-111</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48" w:history="1">
            <w:r w:rsidR="00691B4D" w:rsidRPr="00716DC0">
              <w:rPr>
                <w:rStyle w:val="Hyperlink"/>
              </w:rPr>
              <w:t>A.4</w:t>
            </w:r>
            <w:r w:rsidR="00691B4D">
              <w:rPr>
                <w:rFonts w:asciiTheme="minorHAnsi" w:eastAsiaTheme="minorEastAsia" w:hAnsiTheme="minorHAnsi"/>
                <w:b w:val="0"/>
                <w:color w:val="auto"/>
                <w:sz w:val="22"/>
                <w:lang w:eastAsia="en-AU"/>
              </w:rPr>
              <w:tab/>
            </w:r>
            <w:r w:rsidR="00691B4D" w:rsidRPr="00716DC0">
              <w:rPr>
                <w:rStyle w:val="Hyperlink"/>
              </w:rPr>
              <w:t>Other practitioner's return on equity estimates</w:t>
            </w:r>
            <w:r w:rsidR="00691B4D">
              <w:rPr>
                <w:webHidden/>
              </w:rPr>
              <w:tab/>
            </w:r>
            <w:r w:rsidR="00691B4D">
              <w:rPr>
                <w:webHidden/>
              </w:rPr>
              <w:fldChar w:fldCharType="begin"/>
            </w:r>
            <w:r w:rsidR="00691B4D">
              <w:rPr>
                <w:webHidden/>
              </w:rPr>
              <w:instrText xml:space="preserve"> PAGEREF _Toc462754648 \h </w:instrText>
            </w:r>
            <w:r w:rsidR="00691B4D">
              <w:rPr>
                <w:webHidden/>
              </w:rPr>
            </w:r>
            <w:r w:rsidR="00691B4D">
              <w:rPr>
                <w:webHidden/>
              </w:rPr>
              <w:fldChar w:fldCharType="separate"/>
            </w:r>
            <w:r w:rsidR="00691B4D">
              <w:rPr>
                <w:webHidden/>
              </w:rPr>
              <w:t>3-115</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49" w:history="1">
            <w:r w:rsidR="00691B4D" w:rsidRPr="00716DC0">
              <w:rPr>
                <w:rStyle w:val="Hyperlink"/>
              </w:rPr>
              <w:t>A.4.1</w:t>
            </w:r>
            <w:r w:rsidR="00691B4D">
              <w:rPr>
                <w:rFonts w:asciiTheme="minorHAnsi" w:eastAsiaTheme="minorEastAsia" w:hAnsiTheme="minorHAnsi"/>
                <w:lang w:eastAsia="en-AU"/>
              </w:rPr>
              <w:tab/>
            </w:r>
            <w:r w:rsidR="00691B4D" w:rsidRPr="00716DC0">
              <w:rPr>
                <w:rStyle w:val="Hyperlink"/>
              </w:rPr>
              <w:t>Prevailing estimates: surveys</w:t>
            </w:r>
            <w:r w:rsidR="00691B4D">
              <w:rPr>
                <w:webHidden/>
              </w:rPr>
              <w:tab/>
            </w:r>
            <w:r w:rsidR="00691B4D">
              <w:rPr>
                <w:webHidden/>
              </w:rPr>
              <w:fldChar w:fldCharType="begin"/>
            </w:r>
            <w:r w:rsidR="00691B4D">
              <w:rPr>
                <w:webHidden/>
              </w:rPr>
              <w:instrText xml:space="preserve"> PAGEREF _Toc462754649 \h </w:instrText>
            </w:r>
            <w:r w:rsidR="00691B4D">
              <w:rPr>
                <w:webHidden/>
              </w:rPr>
            </w:r>
            <w:r w:rsidR="00691B4D">
              <w:rPr>
                <w:webHidden/>
              </w:rPr>
              <w:fldChar w:fldCharType="separate"/>
            </w:r>
            <w:r w:rsidR="00691B4D">
              <w:rPr>
                <w:webHidden/>
              </w:rPr>
              <w:t>3-116</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50" w:history="1">
            <w:r w:rsidR="00691B4D" w:rsidRPr="00716DC0">
              <w:rPr>
                <w:rStyle w:val="Hyperlink"/>
              </w:rPr>
              <w:t>A.4.2</w:t>
            </w:r>
            <w:r w:rsidR="00691B4D">
              <w:rPr>
                <w:rFonts w:asciiTheme="minorHAnsi" w:eastAsiaTheme="minorEastAsia" w:hAnsiTheme="minorHAnsi"/>
                <w:lang w:eastAsia="en-AU"/>
              </w:rPr>
              <w:tab/>
            </w:r>
            <w:r w:rsidR="00691B4D" w:rsidRPr="00716DC0">
              <w:rPr>
                <w:rStyle w:val="Hyperlink"/>
              </w:rPr>
              <w:t>Prevailing estimates: broker reports</w:t>
            </w:r>
            <w:r w:rsidR="00691B4D">
              <w:rPr>
                <w:webHidden/>
              </w:rPr>
              <w:tab/>
            </w:r>
            <w:r w:rsidR="00691B4D">
              <w:rPr>
                <w:webHidden/>
              </w:rPr>
              <w:fldChar w:fldCharType="begin"/>
            </w:r>
            <w:r w:rsidR="00691B4D">
              <w:rPr>
                <w:webHidden/>
              </w:rPr>
              <w:instrText xml:space="preserve"> PAGEREF _Toc462754650 \h </w:instrText>
            </w:r>
            <w:r w:rsidR="00691B4D">
              <w:rPr>
                <w:webHidden/>
              </w:rPr>
            </w:r>
            <w:r w:rsidR="00691B4D">
              <w:rPr>
                <w:webHidden/>
              </w:rPr>
              <w:fldChar w:fldCharType="separate"/>
            </w:r>
            <w:r w:rsidR="00691B4D">
              <w:rPr>
                <w:webHidden/>
              </w:rPr>
              <w:t>3-118</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51" w:history="1">
            <w:r w:rsidR="00691B4D" w:rsidRPr="00716DC0">
              <w:rPr>
                <w:rStyle w:val="Hyperlink"/>
              </w:rPr>
              <w:t>A.4.3</w:t>
            </w:r>
            <w:r w:rsidR="00691B4D">
              <w:rPr>
                <w:rFonts w:asciiTheme="minorHAnsi" w:eastAsiaTheme="minorEastAsia" w:hAnsiTheme="minorHAnsi"/>
                <w:lang w:eastAsia="en-AU"/>
              </w:rPr>
              <w:tab/>
            </w:r>
            <w:r w:rsidR="00691B4D" w:rsidRPr="00716DC0">
              <w:rPr>
                <w:rStyle w:val="Hyperlink"/>
              </w:rPr>
              <w:t>Prevailing estimates: valuation reports</w:t>
            </w:r>
            <w:r w:rsidR="00691B4D">
              <w:rPr>
                <w:webHidden/>
              </w:rPr>
              <w:tab/>
            </w:r>
            <w:r w:rsidR="00691B4D">
              <w:rPr>
                <w:webHidden/>
              </w:rPr>
              <w:fldChar w:fldCharType="begin"/>
            </w:r>
            <w:r w:rsidR="00691B4D">
              <w:rPr>
                <w:webHidden/>
              </w:rPr>
              <w:instrText xml:space="preserve"> PAGEREF _Toc462754651 \h </w:instrText>
            </w:r>
            <w:r w:rsidR="00691B4D">
              <w:rPr>
                <w:webHidden/>
              </w:rPr>
            </w:r>
            <w:r w:rsidR="00691B4D">
              <w:rPr>
                <w:webHidden/>
              </w:rPr>
              <w:fldChar w:fldCharType="separate"/>
            </w:r>
            <w:r w:rsidR="00691B4D">
              <w:rPr>
                <w:webHidden/>
              </w:rPr>
              <w:t>3-118</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52" w:history="1">
            <w:r w:rsidR="00691B4D" w:rsidRPr="00716DC0">
              <w:rPr>
                <w:rStyle w:val="Hyperlink"/>
              </w:rPr>
              <w:t>A.4.4</w:t>
            </w:r>
            <w:r w:rsidR="00691B4D">
              <w:rPr>
                <w:rFonts w:asciiTheme="minorHAnsi" w:eastAsiaTheme="minorEastAsia" w:hAnsiTheme="minorHAnsi"/>
                <w:lang w:eastAsia="en-AU"/>
              </w:rPr>
              <w:tab/>
            </w:r>
            <w:r w:rsidR="00691B4D" w:rsidRPr="00716DC0">
              <w:rPr>
                <w:rStyle w:val="Hyperlink"/>
              </w:rPr>
              <w:t>Prevailing estimates: other regulators</w:t>
            </w:r>
            <w:r w:rsidR="00691B4D">
              <w:rPr>
                <w:webHidden/>
              </w:rPr>
              <w:tab/>
            </w:r>
            <w:r w:rsidR="00691B4D">
              <w:rPr>
                <w:webHidden/>
              </w:rPr>
              <w:fldChar w:fldCharType="begin"/>
            </w:r>
            <w:r w:rsidR="00691B4D">
              <w:rPr>
                <w:webHidden/>
              </w:rPr>
              <w:instrText xml:space="preserve"> PAGEREF _Toc462754652 \h </w:instrText>
            </w:r>
            <w:r w:rsidR="00691B4D">
              <w:rPr>
                <w:webHidden/>
              </w:rPr>
            </w:r>
            <w:r w:rsidR="00691B4D">
              <w:rPr>
                <w:webHidden/>
              </w:rPr>
              <w:fldChar w:fldCharType="separate"/>
            </w:r>
            <w:r w:rsidR="00691B4D">
              <w:rPr>
                <w:webHidden/>
              </w:rPr>
              <w:t>3-121</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53" w:history="1">
            <w:r w:rsidR="00691B4D" w:rsidRPr="00716DC0">
              <w:rPr>
                <w:rStyle w:val="Hyperlink"/>
              </w:rPr>
              <w:t>A.5</w:t>
            </w:r>
            <w:r w:rsidR="00691B4D">
              <w:rPr>
                <w:rFonts w:asciiTheme="minorHAnsi" w:eastAsiaTheme="minorEastAsia" w:hAnsiTheme="minorHAnsi"/>
                <w:b w:val="0"/>
                <w:color w:val="auto"/>
                <w:sz w:val="22"/>
                <w:lang w:eastAsia="en-AU"/>
              </w:rPr>
              <w:tab/>
            </w:r>
            <w:r w:rsidR="00691B4D" w:rsidRPr="00716DC0">
              <w:rPr>
                <w:rStyle w:val="Hyperlink"/>
              </w:rPr>
              <w:t>Empirical estimates of equity beta</w:t>
            </w:r>
            <w:r w:rsidR="00691B4D">
              <w:rPr>
                <w:webHidden/>
              </w:rPr>
              <w:tab/>
            </w:r>
            <w:r w:rsidR="00691B4D">
              <w:rPr>
                <w:webHidden/>
              </w:rPr>
              <w:fldChar w:fldCharType="begin"/>
            </w:r>
            <w:r w:rsidR="00691B4D">
              <w:rPr>
                <w:webHidden/>
              </w:rPr>
              <w:instrText xml:space="preserve"> PAGEREF _Toc462754653 \h </w:instrText>
            </w:r>
            <w:r w:rsidR="00691B4D">
              <w:rPr>
                <w:webHidden/>
              </w:rPr>
            </w:r>
            <w:r w:rsidR="00691B4D">
              <w:rPr>
                <w:webHidden/>
              </w:rPr>
              <w:fldChar w:fldCharType="separate"/>
            </w:r>
            <w:r w:rsidR="00691B4D">
              <w:rPr>
                <w:webHidden/>
              </w:rPr>
              <w:t>3-123</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54" w:history="1">
            <w:r w:rsidR="00691B4D" w:rsidRPr="00716DC0">
              <w:rPr>
                <w:rStyle w:val="Hyperlink"/>
              </w:rPr>
              <w:t>A.5.1</w:t>
            </w:r>
            <w:r w:rsidR="00691B4D">
              <w:rPr>
                <w:rFonts w:asciiTheme="minorHAnsi" w:eastAsiaTheme="minorEastAsia" w:hAnsiTheme="minorHAnsi"/>
                <w:lang w:eastAsia="en-AU"/>
              </w:rPr>
              <w:tab/>
            </w:r>
            <w:r w:rsidR="00691B4D" w:rsidRPr="00716DC0">
              <w:rPr>
                <w:rStyle w:val="Hyperlink"/>
              </w:rPr>
              <w:t>Australian empirical estimates from Henry's 2014 report</w:t>
            </w:r>
            <w:r w:rsidR="00691B4D">
              <w:rPr>
                <w:webHidden/>
              </w:rPr>
              <w:tab/>
            </w:r>
            <w:r w:rsidR="00691B4D">
              <w:rPr>
                <w:webHidden/>
              </w:rPr>
              <w:fldChar w:fldCharType="begin"/>
            </w:r>
            <w:r w:rsidR="00691B4D">
              <w:rPr>
                <w:webHidden/>
              </w:rPr>
              <w:instrText xml:space="preserve"> PAGEREF _Toc462754654 \h </w:instrText>
            </w:r>
            <w:r w:rsidR="00691B4D">
              <w:rPr>
                <w:webHidden/>
              </w:rPr>
            </w:r>
            <w:r w:rsidR="00691B4D">
              <w:rPr>
                <w:webHidden/>
              </w:rPr>
              <w:fldChar w:fldCharType="separate"/>
            </w:r>
            <w:r w:rsidR="00691B4D">
              <w:rPr>
                <w:webHidden/>
              </w:rPr>
              <w:t>3-124</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55" w:history="1">
            <w:r w:rsidR="00691B4D" w:rsidRPr="00716DC0">
              <w:rPr>
                <w:rStyle w:val="Hyperlink"/>
              </w:rPr>
              <w:t>A.5.2</w:t>
            </w:r>
            <w:r w:rsidR="00691B4D">
              <w:rPr>
                <w:rFonts w:asciiTheme="minorHAnsi" w:eastAsiaTheme="minorEastAsia" w:hAnsiTheme="minorHAnsi"/>
                <w:lang w:eastAsia="en-AU"/>
              </w:rPr>
              <w:tab/>
            </w:r>
            <w:r w:rsidR="00691B4D" w:rsidRPr="00716DC0">
              <w:rPr>
                <w:rStyle w:val="Hyperlink"/>
              </w:rPr>
              <w:t>Australian empirical estimates from other studies</w:t>
            </w:r>
            <w:r w:rsidR="00691B4D">
              <w:rPr>
                <w:webHidden/>
              </w:rPr>
              <w:tab/>
            </w:r>
            <w:r w:rsidR="00691B4D">
              <w:rPr>
                <w:webHidden/>
              </w:rPr>
              <w:fldChar w:fldCharType="begin"/>
            </w:r>
            <w:r w:rsidR="00691B4D">
              <w:rPr>
                <w:webHidden/>
              </w:rPr>
              <w:instrText xml:space="preserve"> PAGEREF _Toc462754655 \h </w:instrText>
            </w:r>
            <w:r w:rsidR="00691B4D">
              <w:rPr>
                <w:webHidden/>
              </w:rPr>
            </w:r>
            <w:r w:rsidR="00691B4D">
              <w:rPr>
                <w:webHidden/>
              </w:rPr>
              <w:fldChar w:fldCharType="separate"/>
            </w:r>
            <w:r w:rsidR="00691B4D">
              <w:rPr>
                <w:webHidden/>
              </w:rPr>
              <w:t>3-127</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56" w:history="1">
            <w:r w:rsidR="00691B4D" w:rsidRPr="00716DC0">
              <w:rPr>
                <w:rStyle w:val="Hyperlink"/>
              </w:rPr>
              <w:t>A.5.3</w:t>
            </w:r>
            <w:r w:rsidR="00691B4D">
              <w:rPr>
                <w:rFonts w:asciiTheme="minorHAnsi" w:eastAsiaTheme="minorEastAsia" w:hAnsiTheme="minorHAnsi"/>
                <w:lang w:eastAsia="en-AU"/>
              </w:rPr>
              <w:tab/>
            </w:r>
            <w:r w:rsidR="00691B4D" w:rsidRPr="00716DC0">
              <w:rPr>
                <w:rStyle w:val="Hyperlink"/>
              </w:rPr>
              <w:t>International empirical estimates</w:t>
            </w:r>
            <w:r w:rsidR="00691B4D">
              <w:rPr>
                <w:webHidden/>
              </w:rPr>
              <w:tab/>
            </w:r>
            <w:r w:rsidR="00691B4D">
              <w:rPr>
                <w:webHidden/>
              </w:rPr>
              <w:fldChar w:fldCharType="begin"/>
            </w:r>
            <w:r w:rsidR="00691B4D">
              <w:rPr>
                <w:webHidden/>
              </w:rPr>
              <w:instrText xml:space="preserve"> PAGEREF _Toc462754656 \h </w:instrText>
            </w:r>
            <w:r w:rsidR="00691B4D">
              <w:rPr>
                <w:webHidden/>
              </w:rPr>
            </w:r>
            <w:r w:rsidR="00691B4D">
              <w:rPr>
                <w:webHidden/>
              </w:rPr>
              <w:fldChar w:fldCharType="separate"/>
            </w:r>
            <w:r w:rsidR="00691B4D">
              <w:rPr>
                <w:webHidden/>
              </w:rPr>
              <w:t>3-129</w:t>
            </w:r>
            <w:r w:rsidR="00691B4D">
              <w:rPr>
                <w:webHidden/>
              </w:rPr>
              <w:fldChar w:fldCharType="end"/>
            </w:r>
          </w:hyperlink>
        </w:p>
        <w:p w:rsidR="00691B4D" w:rsidRDefault="00AB6D99">
          <w:pPr>
            <w:pStyle w:val="TOC1"/>
            <w:rPr>
              <w:rFonts w:asciiTheme="minorHAnsi" w:eastAsiaTheme="minorEastAsia" w:hAnsiTheme="minorHAnsi"/>
              <w:b w:val="0"/>
              <w:color w:val="auto"/>
              <w:sz w:val="22"/>
              <w:lang w:val="en-AU" w:eastAsia="en-AU"/>
            </w:rPr>
          </w:pPr>
          <w:hyperlink w:anchor="_Toc462754657" w:history="1">
            <w:r w:rsidR="00691B4D" w:rsidRPr="00716DC0">
              <w:rPr>
                <w:rStyle w:val="Hyperlink"/>
              </w:rPr>
              <w:t>B</w:t>
            </w:r>
            <w:r w:rsidR="00691B4D">
              <w:rPr>
                <w:rFonts w:asciiTheme="minorHAnsi" w:eastAsiaTheme="minorEastAsia" w:hAnsiTheme="minorHAnsi"/>
                <w:b w:val="0"/>
                <w:color w:val="auto"/>
                <w:sz w:val="22"/>
                <w:lang w:val="en-AU" w:eastAsia="en-AU"/>
              </w:rPr>
              <w:tab/>
            </w:r>
            <w:r w:rsidR="00691B4D" w:rsidRPr="00716DC0">
              <w:rPr>
                <w:rStyle w:val="Hyperlink"/>
              </w:rPr>
              <w:t>Return on debt approach</w:t>
            </w:r>
            <w:r w:rsidR="00691B4D">
              <w:rPr>
                <w:webHidden/>
              </w:rPr>
              <w:tab/>
            </w:r>
            <w:r w:rsidR="00691B4D">
              <w:rPr>
                <w:webHidden/>
              </w:rPr>
              <w:fldChar w:fldCharType="begin"/>
            </w:r>
            <w:r w:rsidR="00691B4D">
              <w:rPr>
                <w:webHidden/>
              </w:rPr>
              <w:instrText xml:space="preserve"> PAGEREF _Toc462754657 \h </w:instrText>
            </w:r>
            <w:r w:rsidR="00691B4D">
              <w:rPr>
                <w:webHidden/>
              </w:rPr>
            </w:r>
            <w:r w:rsidR="00691B4D">
              <w:rPr>
                <w:webHidden/>
              </w:rPr>
              <w:fldChar w:fldCharType="separate"/>
            </w:r>
            <w:r w:rsidR="00691B4D">
              <w:rPr>
                <w:webHidden/>
              </w:rPr>
              <w:t>3-132</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58" w:history="1">
            <w:r w:rsidR="00691B4D" w:rsidRPr="00716DC0">
              <w:rPr>
                <w:rStyle w:val="Hyperlink"/>
              </w:rPr>
              <w:t>B.1</w:t>
            </w:r>
            <w:r w:rsidR="00691B4D">
              <w:rPr>
                <w:rFonts w:asciiTheme="minorHAnsi" w:eastAsiaTheme="minorEastAsia" w:hAnsiTheme="minorHAnsi"/>
                <w:b w:val="0"/>
                <w:color w:val="auto"/>
                <w:sz w:val="22"/>
                <w:lang w:eastAsia="en-AU"/>
              </w:rPr>
              <w:tab/>
            </w:r>
            <w:r w:rsidR="00691B4D" w:rsidRPr="00716DC0">
              <w:rPr>
                <w:rStyle w:val="Hyperlink"/>
              </w:rPr>
              <w:t>Interpretation of the ARORO</w:t>
            </w:r>
            <w:r w:rsidR="00691B4D">
              <w:rPr>
                <w:webHidden/>
              </w:rPr>
              <w:tab/>
            </w:r>
            <w:r w:rsidR="00691B4D">
              <w:rPr>
                <w:webHidden/>
              </w:rPr>
              <w:fldChar w:fldCharType="begin"/>
            </w:r>
            <w:r w:rsidR="00691B4D">
              <w:rPr>
                <w:webHidden/>
              </w:rPr>
              <w:instrText xml:space="preserve"> PAGEREF _Toc462754658 \h </w:instrText>
            </w:r>
            <w:r w:rsidR="00691B4D">
              <w:rPr>
                <w:webHidden/>
              </w:rPr>
            </w:r>
            <w:r w:rsidR="00691B4D">
              <w:rPr>
                <w:webHidden/>
              </w:rPr>
              <w:fldChar w:fldCharType="separate"/>
            </w:r>
            <w:r w:rsidR="00691B4D">
              <w:rPr>
                <w:webHidden/>
              </w:rPr>
              <w:t>3-132</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59" w:history="1">
            <w:r w:rsidR="00691B4D" w:rsidRPr="00716DC0">
              <w:rPr>
                <w:rStyle w:val="Hyperlink"/>
              </w:rPr>
              <w:t>B.1.1</w:t>
            </w:r>
            <w:r w:rsidR="00691B4D">
              <w:rPr>
                <w:rFonts w:asciiTheme="minorHAnsi" w:eastAsiaTheme="minorEastAsia" w:hAnsiTheme="minorHAnsi"/>
                <w:lang w:eastAsia="en-AU"/>
              </w:rPr>
              <w:tab/>
            </w:r>
            <w:r w:rsidR="00691B4D" w:rsidRPr="00716DC0">
              <w:rPr>
                <w:rStyle w:val="Hyperlink"/>
              </w:rPr>
              <w:t>Efficient financing costs</w:t>
            </w:r>
            <w:r w:rsidR="00691B4D">
              <w:rPr>
                <w:webHidden/>
              </w:rPr>
              <w:tab/>
            </w:r>
            <w:r w:rsidR="00691B4D">
              <w:rPr>
                <w:webHidden/>
              </w:rPr>
              <w:fldChar w:fldCharType="begin"/>
            </w:r>
            <w:r w:rsidR="00691B4D">
              <w:rPr>
                <w:webHidden/>
              </w:rPr>
              <w:instrText xml:space="preserve"> PAGEREF _Toc462754659 \h </w:instrText>
            </w:r>
            <w:r w:rsidR="00691B4D">
              <w:rPr>
                <w:webHidden/>
              </w:rPr>
            </w:r>
            <w:r w:rsidR="00691B4D">
              <w:rPr>
                <w:webHidden/>
              </w:rPr>
              <w:fldChar w:fldCharType="separate"/>
            </w:r>
            <w:r w:rsidR="00691B4D">
              <w:rPr>
                <w:webHidden/>
              </w:rPr>
              <w:t>3-133</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60" w:history="1">
            <w:r w:rsidR="00691B4D" w:rsidRPr="00716DC0">
              <w:rPr>
                <w:rStyle w:val="Hyperlink"/>
              </w:rPr>
              <w:t>B.1.2</w:t>
            </w:r>
            <w:r w:rsidR="00691B4D">
              <w:rPr>
                <w:rFonts w:asciiTheme="minorHAnsi" w:eastAsiaTheme="minorEastAsia" w:hAnsiTheme="minorHAnsi"/>
                <w:lang w:eastAsia="en-AU"/>
              </w:rPr>
              <w:tab/>
            </w:r>
            <w:r w:rsidR="00691B4D" w:rsidRPr="00716DC0">
              <w:rPr>
                <w:rStyle w:val="Hyperlink"/>
              </w:rPr>
              <w:t>Benchmark efficient entity</w:t>
            </w:r>
            <w:r w:rsidR="00691B4D">
              <w:rPr>
                <w:webHidden/>
              </w:rPr>
              <w:tab/>
            </w:r>
            <w:r w:rsidR="00691B4D">
              <w:rPr>
                <w:webHidden/>
              </w:rPr>
              <w:fldChar w:fldCharType="begin"/>
            </w:r>
            <w:r w:rsidR="00691B4D">
              <w:rPr>
                <w:webHidden/>
              </w:rPr>
              <w:instrText xml:space="preserve"> PAGEREF _Toc462754660 \h </w:instrText>
            </w:r>
            <w:r w:rsidR="00691B4D">
              <w:rPr>
                <w:webHidden/>
              </w:rPr>
            </w:r>
            <w:r w:rsidR="00691B4D">
              <w:rPr>
                <w:webHidden/>
              </w:rPr>
              <w:fldChar w:fldCharType="separate"/>
            </w:r>
            <w:r w:rsidR="00691B4D">
              <w:rPr>
                <w:webHidden/>
              </w:rPr>
              <w:t>3-134</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61" w:history="1">
            <w:r w:rsidR="00691B4D" w:rsidRPr="00716DC0">
              <w:rPr>
                <w:rStyle w:val="Hyperlink"/>
              </w:rPr>
              <w:t>B.2</w:t>
            </w:r>
            <w:r w:rsidR="00691B4D">
              <w:rPr>
                <w:rFonts w:asciiTheme="minorHAnsi" w:eastAsiaTheme="minorEastAsia" w:hAnsiTheme="minorHAnsi"/>
                <w:b w:val="0"/>
                <w:color w:val="auto"/>
                <w:sz w:val="22"/>
                <w:lang w:eastAsia="en-AU"/>
              </w:rPr>
              <w:tab/>
            </w:r>
            <w:r w:rsidR="00691B4D" w:rsidRPr="00716DC0">
              <w:rPr>
                <w:rStyle w:val="Hyperlink"/>
              </w:rPr>
              <w:t>Requirements under the ARORO</w:t>
            </w:r>
            <w:r w:rsidR="00691B4D">
              <w:rPr>
                <w:webHidden/>
              </w:rPr>
              <w:tab/>
            </w:r>
            <w:r w:rsidR="00691B4D">
              <w:rPr>
                <w:webHidden/>
              </w:rPr>
              <w:fldChar w:fldCharType="begin"/>
            </w:r>
            <w:r w:rsidR="00691B4D">
              <w:rPr>
                <w:webHidden/>
              </w:rPr>
              <w:instrText xml:space="preserve"> PAGEREF _Toc462754661 \h </w:instrText>
            </w:r>
            <w:r w:rsidR="00691B4D">
              <w:rPr>
                <w:webHidden/>
              </w:rPr>
            </w:r>
            <w:r w:rsidR="00691B4D">
              <w:rPr>
                <w:webHidden/>
              </w:rPr>
              <w:fldChar w:fldCharType="separate"/>
            </w:r>
            <w:r w:rsidR="00691B4D">
              <w:rPr>
                <w:webHidden/>
              </w:rPr>
              <w:t>3-136</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62" w:history="1">
            <w:r w:rsidR="00691B4D" w:rsidRPr="00716DC0">
              <w:rPr>
                <w:rStyle w:val="Hyperlink"/>
              </w:rPr>
              <w:t>B.2.1</w:t>
            </w:r>
            <w:r w:rsidR="00691B4D">
              <w:rPr>
                <w:rFonts w:asciiTheme="minorHAnsi" w:eastAsiaTheme="minorEastAsia" w:hAnsiTheme="minorHAnsi"/>
                <w:lang w:eastAsia="en-AU"/>
              </w:rPr>
              <w:tab/>
            </w:r>
            <w:r w:rsidR="00691B4D" w:rsidRPr="00716DC0">
              <w:rPr>
                <w:rStyle w:val="Hyperlink"/>
              </w:rPr>
              <w:t>Ex-ante efficient compensation</w:t>
            </w:r>
            <w:r w:rsidR="00691B4D">
              <w:rPr>
                <w:webHidden/>
              </w:rPr>
              <w:tab/>
            </w:r>
            <w:r w:rsidR="00691B4D">
              <w:rPr>
                <w:webHidden/>
              </w:rPr>
              <w:fldChar w:fldCharType="begin"/>
            </w:r>
            <w:r w:rsidR="00691B4D">
              <w:rPr>
                <w:webHidden/>
              </w:rPr>
              <w:instrText xml:space="preserve"> PAGEREF _Toc462754662 \h </w:instrText>
            </w:r>
            <w:r w:rsidR="00691B4D">
              <w:rPr>
                <w:webHidden/>
              </w:rPr>
            </w:r>
            <w:r w:rsidR="00691B4D">
              <w:rPr>
                <w:webHidden/>
              </w:rPr>
              <w:fldChar w:fldCharType="separate"/>
            </w:r>
            <w:r w:rsidR="00691B4D">
              <w:rPr>
                <w:webHidden/>
              </w:rPr>
              <w:t>3-137</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63" w:history="1">
            <w:r w:rsidR="00691B4D" w:rsidRPr="00716DC0">
              <w:rPr>
                <w:rStyle w:val="Hyperlink"/>
              </w:rPr>
              <w:t>B.2.2</w:t>
            </w:r>
            <w:r w:rsidR="00691B4D">
              <w:rPr>
                <w:rFonts w:asciiTheme="minorHAnsi" w:eastAsiaTheme="minorEastAsia" w:hAnsiTheme="minorHAnsi"/>
                <w:lang w:eastAsia="en-AU"/>
              </w:rPr>
              <w:tab/>
            </w:r>
            <w:r w:rsidR="00691B4D" w:rsidRPr="00716DC0">
              <w:rPr>
                <w:rStyle w:val="Hyperlink"/>
              </w:rPr>
              <w:t>Consistency with the NEL/NGL</w:t>
            </w:r>
            <w:r w:rsidR="00691B4D">
              <w:rPr>
                <w:webHidden/>
              </w:rPr>
              <w:tab/>
            </w:r>
            <w:r w:rsidR="00691B4D">
              <w:rPr>
                <w:webHidden/>
              </w:rPr>
              <w:fldChar w:fldCharType="begin"/>
            </w:r>
            <w:r w:rsidR="00691B4D">
              <w:rPr>
                <w:webHidden/>
              </w:rPr>
              <w:instrText xml:space="preserve"> PAGEREF _Toc462754663 \h </w:instrText>
            </w:r>
            <w:r w:rsidR="00691B4D">
              <w:rPr>
                <w:webHidden/>
              </w:rPr>
            </w:r>
            <w:r w:rsidR="00691B4D">
              <w:rPr>
                <w:webHidden/>
              </w:rPr>
              <w:fldChar w:fldCharType="separate"/>
            </w:r>
            <w:r w:rsidR="00691B4D">
              <w:rPr>
                <w:webHidden/>
              </w:rPr>
              <w:t>3-143</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64" w:history="1">
            <w:r w:rsidR="00691B4D" w:rsidRPr="00716DC0">
              <w:rPr>
                <w:rStyle w:val="Hyperlink"/>
              </w:rPr>
              <w:t>B.2.3</w:t>
            </w:r>
            <w:r w:rsidR="00691B4D">
              <w:rPr>
                <w:rFonts w:asciiTheme="minorHAnsi" w:eastAsiaTheme="minorEastAsia" w:hAnsiTheme="minorHAnsi"/>
                <w:lang w:eastAsia="en-AU"/>
              </w:rPr>
              <w:tab/>
            </w:r>
            <w:r w:rsidR="00691B4D" w:rsidRPr="00716DC0">
              <w:rPr>
                <w:rStyle w:val="Hyperlink"/>
              </w:rPr>
              <w:t>Requirement for a revenue-neutral transition if there is a regime change</w:t>
            </w:r>
            <w:r w:rsidR="00691B4D">
              <w:rPr>
                <w:webHidden/>
              </w:rPr>
              <w:tab/>
            </w:r>
            <w:r w:rsidR="00691B4D">
              <w:rPr>
                <w:webHidden/>
              </w:rPr>
              <w:fldChar w:fldCharType="begin"/>
            </w:r>
            <w:r w:rsidR="00691B4D">
              <w:rPr>
                <w:webHidden/>
              </w:rPr>
              <w:instrText xml:space="preserve"> PAGEREF _Toc462754664 \h </w:instrText>
            </w:r>
            <w:r w:rsidR="00691B4D">
              <w:rPr>
                <w:webHidden/>
              </w:rPr>
            </w:r>
            <w:r w:rsidR="00691B4D">
              <w:rPr>
                <w:webHidden/>
              </w:rPr>
              <w:fldChar w:fldCharType="separate"/>
            </w:r>
            <w:r w:rsidR="00691B4D">
              <w:rPr>
                <w:webHidden/>
              </w:rPr>
              <w:t>3-144</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65" w:history="1">
            <w:r w:rsidR="00691B4D" w:rsidRPr="00716DC0">
              <w:rPr>
                <w:rStyle w:val="Hyperlink"/>
              </w:rPr>
              <w:t>B.3</w:t>
            </w:r>
            <w:r w:rsidR="00691B4D">
              <w:rPr>
                <w:rFonts w:asciiTheme="minorHAnsi" w:eastAsiaTheme="minorEastAsia" w:hAnsiTheme="minorHAnsi"/>
                <w:b w:val="0"/>
                <w:color w:val="auto"/>
                <w:sz w:val="22"/>
                <w:lang w:eastAsia="en-AU"/>
              </w:rPr>
              <w:tab/>
            </w:r>
            <w:r w:rsidR="00691B4D" w:rsidRPr="00716DC0">
              <w:rPr>
                <w:rStyle w:val="Hyperlink"/>
              </w:rPr>
              <w:t>On-the-day and trailing average approaches</w:t>
            </w:r>
            <w:r w:rsidR="00691B4D">
              <w:rPr>
                <w:webHidden/>
              </w:rPr>
              <w:tab/>
            </w:r>
            <w:r w:rsidR="00691B4D">
              <w:rPr>
                <w:webHidden/>
              </w:rPr>
              <w:fldChar w:fldCharType="begin"/>
            </w:r>
            <w:r w:rsidR="00691B4D">
              <w:rPr>
                <w:webHidden/>
              </w:rPr>
              <w:instrText xml:space="preserve"> PAGEREF _Toc462754665 \h </w:instrText>
            </w:r>
            <w:r w:rsidR="00691B4D">
              <w:rPr>
                <w:webHidden/>
              </w:rPr>
            </w:r>
            <w:r w:rsidR="00691B4D">
              <w:rPr>
                <w:webHidden/>
              </w:rPr>
              <w:fldChar w:fldCharType="separate"/>
            </w:r>
            <w:r w:rsidR="00691B4D">
              <w:rPr>
                <w:webHidden/>
              </w:rPr>
              <w:t>3-147</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66" w:history="1">
            <w:r w:rsidR="00691B4D" w:rsidRPr="00716DC0">
              <w:rPr>
                <w:rStyle w:val="Hyperlink"/>
              </w:rPr>
              <w:t>B.3.1</w:t>
            </w:r>
            <w:r w:rsidR="00691B4D">
              <w:rPr>
                <w:rFonts w:asciiTheme="minorHAnsi" w:eastAsiaTheme="minorEastAsia" w:hAnsiTheme="minorHAnsi"/>
                <w:lang w:eastAsia="en-AU"/>
              </w:rPr>
              <w:tab/>
            </w:r>
            <w:r w:rsidR="00691B4D" w:rsidRPr="00716DC0">
              <w:rPr>
                <w:rStyle w:val="Hyperlink"/>
              </w:rPr>
              <w:t>On-the-day approach</w:t>
            </w:r>
            <w:r w:rsidR="00691B4D">
              <w:rPr>
                <w:webHidden/>
              </w:rPr>
              <w:tab/>
            </w:r>
            <w:r w:rsidR="00691B4D">
              <w:rPr>
                <w:webHidden/>
              </w:rPr>
              <w:fldChar w:fldCharType="begin"/>
            </w:r>
            <w:r w:rsidR="00691B4D">
              <w:rPr>
                <w:webHidden/>
              </w:rPr>
              <w:instrText xml:space="preserve"> PAGEREF _Toc462754666 \h </w:instrText>
            </w:r>
            <w:r w:rsidR="00691B4D">
              <w:rPr>
                <w:webHidden/>
              </w:rPr>
            </w:r>
            <w:r w:rsidR="00691B4D">
              <w:rPr>
                <w:webHidden/>
              </w:rPr>
              <w:fldChar w:fldCharType="separate"/>
            </w:r>
            <w:r w:rsidR="00691B4D">
              <w:rPr>
                <w:webHidden/>
              </w:rPr>
              <w:t>3-148</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67" w:history="1">
            <w:r w:rsidR="00691B4D" w:rsidRPr="00716DC0">
              <w:rPr>
                <w:rStyle w:val="Hyperlink"/>
              </w:rPr>
              <w:t>B.3.2</w:t>
            </w:r>
            <w:r w:rsidR="00691B4D">
              <w:rPr>
                <w:rFonts w:asciiTheme="minorHAnsi" w:eastAsiaTheme="minorEastAsia" w:hAnsiTheme="minorHAnsi"/>
                <w:lang w:eastAsia="en-AU"/>
              </w:rPr>
              <w:tab/>
            </w:r>
            <w:r w:rsidR="00691B4D" w:rsidRPr="00716DC0">
              <w:rPr>
                <w:rStyle w:val="Hyperlink"/>
              </w:rPr>
              <w:t>Trailing average approach</w:t>
            </w:r>
            <w:r w:rsidR="00691B4D">
              <w:rPr>
                <w:webHidden/>
              </w:rPr>
              <w:tab/>
            </w:r>
            <w:r w:rsidR="00691B4D">
              <w:rPr>
                <w:webHidden/>
              </w:rPr>
              <w:fldChar w:fldCharType="begin"/>
            </w:r>
            <w:r w:rsidR="00691B4D">
              <w:rPr>
                <w:webHidden/>
              </w:rPr>
              <w:instrText xml:space="preserve"> PAGEREF _Toc462754667 \h </w:instrText>
            </w:r>
            <w:r w:rsidR="00691B4D">
              <w:rPr>
                <w:webHidden/>
              </w:rPr>
            </w:r>
            <w:r w:rsidR="00691B4D">
              <w:rPr>
                <w:webHidden/>
              </w:rPr>
              <w:fldChar w:fldCharType="separate"/>
            </w:r>
            <w:r w:rsidR="00691B4D">
              <w:rPr>
                <w:webHidden/>
              </w:rPr>
              <w:t>3-152</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68" w:history="1">
            <w:r w:rsidR="00691B4D" w:rsidRPr="00716DC0">
              <w:rPr>
                <w:rStyle w:val="Hyperlink"/>
              </w:rPr>
              <w:t>B.3.3</w:t>
            </w:r>
            <w:r w:rsidR="00691B4D">
              <w:rPr>
                <w:rFonts w:asciiTheme="minorHAnsi" w:eastAsiaTheme="minorEastAsia" w:hAnsiTheme="minorHAnsi"/>
                <w:lang w:eastAsia="en-AU"/>
              </w:rPr>
              <w:tab/>
            </w:r>
            <w:r w:rsidR="00691B4D" w:rsidRPr="00716DC0">
              <w:rPr>
                <w:rStyle w:val="Hyperlink"/>
              </w:rPr>
              <w:t>Mathematical explanation</w:t>
            </w:r>
            <w:r w:rsidR="00691B4D">
              <w:rPr>
                <w:webHidden/>
              </w:rPr>
              <w:tab/>
            </w:r>
            <w:r w:rsidR="00691B4D">
              <w:rPr>
                <w:webHidden/>
              </w:rPr>
              <w:fldChar w:fldCharType="begin"/>
            </w:r>
            <w:r w:rsidR="00691B4D">
              <w:rPr>
                <w:webHidden/>
              </w:rPr>
              <w:instrText xml:space="preserve"> PAGEREF _Toc462754668 \h </w:instrText>
            </w:r>
            <w:r w:rsidR="00691B4D">
              <w:rPr>
                <w:webHidden/>
              </w:rPr>
            </w:r>
            <w:r w:rsidR="00691B4D">
              <w:rPr>
                <w:webHidden/>
              </w:rPr>
              <w:fldChar w:fldCharType="separate"/>
            </w:r>
            <w:r w:rsidR="00691B4D">
              <w:rPr>
                <w:webHidden/>
              </w:rPr>
              <w:t>3-153</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69" w:history="1">
            <w:r w:rsidR="00691B4D" w:rsidRPr="00716DC0">
              <w:rPr>
                <w:rStyle w:val="Hyperlink"/>
              </w:rPr>
              <w:t>B.4</w:t>
            </w:r>
            <w:r w:rsidR="00691B4D">
              <w:rPr>
                <w:rFonts w:asciiTheme="minorHAnsi" w:eastAsiaTheme="minorEastAsia" w:hAnsiTheme="minorHAnsi"/>
                <w:b w:val="0"/>
                <w:color w:val="auto"/>
                <w:sz w:val="22"/>
                <w:lang w:eastAsia="en-AU"/>
              </w:rPr>
              <w:tab/>
            </w:r>
            <w:r w:rsidR="00691B4D" w:rsidRPr="00716DC0">
              <w:rPr>
                <w:rStyle w:val="Hyperlink"/>
              </w:rPr>
              <w:t>A full transition satisfies the ARORO</w:t>
            </w:r>
            <w:r w:rsidR="00691B4D">
              <w:rPr>
                <w:webHidden/>
              </w:rPr>
              <w:tab/>
            </w:r>
            <w:r w:rsidR="00691B4D">
              <w:rPr>
                <w:webHidden/>
              </w:rPr>
              <w:fldChar w:fldCharType="begin"/>
            </w:r>
            <w:r w:rsidR="00691B4D">
              <w:rPr>
                <w:webHidden/>
              </w:rPr>
              <w:instrText xml:space="preserve"> PAGEREF _Toc462754669 \h </w:instrText>
            </w:r>
            <w:r w:rsidR="00691B4D">
              <w:rPr>
                <w:webHidden/>
              </w:rPr>
            </w:r>
            <w:r w:rsidR="00691B4D">
              <w:rPr>
                <w:webHidden/>
              </w:rPr>
              <w:fldChar w:fldCharType="separate"/>
            </w:r>
            <w:r w:rsidR="00691B4D">
              <w:rPr>
                <w:webHidden/>
              </w:rPr>
              <w:t>3-162</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70" w:history="1">
            <w:r w:rsidR="00691B4D" w:rsidRPr="00716DC0">
              <w:rPr>
                <w:rStyle w:val="Hyperlink"/>
              </w:rPr>
              <w:t>B.5</w:t>
            </w:r>
            <w:r w:rsidR="00691B4D">
              <w:rPr>
                <w:rFonts w:asciiTheme="minorHAnsi" w:eastAsiaTheme="minorEastAsia" w:hAnsiTheme="minorHAnsi"/>
                <w:b w:val="0"/>
                <w:color w:val="auto"/>
                <w:sz w:val="22"/>
                <w:lang w:eastAsia="en-AU"/>
              </w:rPr>
              <w:tab/>
            </w:r>
            <w:r w:rsidR="00691B4D" w:rsidRPr="00716DC0">
              <w:rPr>
                <w:rStyle w:val="Hyperlink"/>
              </w:rPr>
              <w:t>An immediate (or hybrid) transition will not satisfy the ARORO</w:t>
            </w:r>
            <w:r w:rsidR="00691B4D">
              <w:rPr>
                <w:webHidden/>
              </w:rPr>
              <w:tab/>
            </w:r>
            <w:r w:rsidR="00691B4D">
              <w:rPr>
                <w:webHidden/>
              </w:rPr>
              <w:fldChar w:fldCharType="begin"/>
            </w:r>
            <w:r w:rsidR="00691B4D">
              <w:rPr>
                <w:webHidden/>
              </w:rPr>
              <w:instrText xml:space="preserve"> PAGEREF _Toc462754670 \h </w:instrText>
            </w:r>
            <w:r w:rsidR="00691B4D">
              <w:rPr>
                <w:webHidden/>
              </w:rPr>
            </w:r>
            <w:r w:rsidR="00691B4D">
              <w:rPr>
                <w:webHidden/>
              </w:rPr>
              <w:fldChar w:fldCharType="separate"/>
            </w:r>
            <w:r w:rsidR="00691B4D">
              <w:rPr>
                <w:webHidden/>
              </w:rPr>
              <w:t>3-163</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71" w:history="1">
            <w:r w:rsidR="00691B4D" w:rsidRPr="00716DC0">
              <w:rPr>
                <w:rStyle w:val="Hyperlink"/>
              </w:rPr>
              <w:t>B.5.1</w:t>
            </w:r>
            <w:r w:rsidR="00691B4D">
              <w:rPr>
                <w:rFonts w:asciiTheme="minorHAnsi" w:eastAsiaTheme="minorEastAsia" w:hAnsiTheme="minorHAnsi"/>
                <w:lang w:eastAsia="en-AU"/>
              </w:rPr>
              <w:tab/>
            </w:r>
            <w:r w:rsidR="00691B4D" w:rsidRPr="00716DC0">
              <w:rPr>
                <w:rStyle w:val="Hyperlink"/>
              </w:rPr>
              <w:t>Mathematical explanation</w:t>
            </w:r>
            <w:r w:rsidR="00691B4D">
              <w:rPr>
                <w:webHidden/>
              </w:rPr>
              <w:tab/>
            </w:r>
            <w:r w:rsidR="00691B4D">
              <w:rPr>
                <w:webHidden/>
              </w:rPr>
              <w:fldChar w:fldCharType="begin"/>
            </w:r>
            <w:r w:rsidR="00691B4D">
              <w:rPr>
                <w:webHidden/>
              </w:rPr>
              <w:instrText xml:space="preserve"> PAGEREF _Toc462754671 \h </w:instrText>
            </w:r>
            <w:r w:rsidR="00691B4D">
              <w:rPr>
                <w:webHidden/>
              </w:rPr>
            </w:r>
            <w:r w:rsidR="00691B4D">
              <w:rPr>
                <w:webHidden/>
              </w:rPr>
              <w:fldChar w:fldCharType="separate"/>
            </w:r>
            <w:r w:rsidR="00691B4D">
              <w:rPr>
                <w:webHidden/>
              </w:rPr>
              <w:t>3-164</w:t>
            </w:r>
            <w:r w:rsidR="00691B4D">
              <w:rPr>
                <w:webHidden/>
              </w:rPr>
              <w:fldChar w:fldCharType="end"/>
            </w:r>
          </w:hyperlink>
        </w:p>
        <w:p w:rsidR="00691B4D" w:rsidRDefault="00AB6D99">
          <w:pPr>
            <w:pStyle w:val="TOC1"/>
            <w:rPr>
              <w:rFonts w:asciiTheme="minorHAnsi" w:eastAsiaTheme="minorEastAsia" w:hAnsiTheme="minorHAnsi"/>
              <w:b w:val="0"/>
              <w:color w:val="auto"/>
              <w:sz w:val="22"/>
              <w:lang w:val="en-AU" w:eastAsia="en-AU"/>
            </w:rPr>
          </w:pPr>
          <w:hyperlink w:anchor="_Toc462754672" w:history="1">
            <w:r w:rsidR="00691B4D" w:rsidRPr="00716DC0">
              <w:rPr>
                <w:rStyle w:val="Hyperlink"/>
              </w:rPr>
              <w:t>C</w:t>
            </w:r>
            <w:r w:rsidR="00691B4D">
              <w:rPr>
                <w:rFonts w:asciiTheme="minorHAnsi" w:eastAsiaTheme="minorEastAsia" w:hAnsiTheme="minorHAnsi"/>
                <w:b w:val="0"/>
                <w:color w:val="auto"/>
                <w:sz w:val="22"/>
                <w:lang w:val="en-AU" w:eastAsia="en-AU"/>
              </w:rPr>
              <w:tab/>
            </w:r>
            <w:r w:rsidR="00691B4D" w:rsidRPr="00716DC0">
              <w:rPr>
                <w:rStyle w:val="Hyperlink"/>
              </w:rPr>
              <w:t>Equity and debt raising costs</w:t>
            </w:r>
            <w:r w:rsidR="00691B4D">
              <w:rPr>
                <w:webHidden/>
              </w:rPr>
              <w:tab/>
            </w:r>
            <w:r w:rsidR="00691B4D">
              <w:rPr>
                <w:webHidden/>
              </w:rPr>
              <w:fldChar w:fldCharType="begin"/>
            </w:r>
            <w:r w:rsidR="00691B4D">
              <w:rPr>
                <w:webHidden/>
              </w:rPr>
              <w:instrText xml:space="preserve"> PAGEREF _Toc462754672 \h </w:instrText>
            </w:r>
            <w:r w:rsidR="00691B4D">
              <w:rPr>
                <w:webHidden/>
              </w:rPr>
            </w:r>
            <w:r w:rsidR="00691B4D">
              <w:rPr>
                <w:webHidden/>
              </w:rPr>
              <w:fldChar w:fldCharType="separate"/>
            </w:r>
            <w:r w:rsidR="00691B4D">
              <w:rPr>
                <w:webHidden/>
              </w:rPr>
              <w:t>3-168</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73" w:history="1">
            <w:r w:rsidR="00691B4D" w:rsidRPr="00716DC0">
              <w:rPr>
                <w:rStyle w:val="Hyperlink"/>
              </w:rPr>
              <w:t>C.1</w:t>
            </w:r>
            <w:r w:rsidR="00691B4D">
              <w:rPr>
                <w:rFonts w:asciiTheme="minorHAnsi" w:eastAsiaTheme="minorEastAsia" w:hAnsiTheme="minorHAnsi"/>
                <w:b w:val="0"/>
                <w:color w:val="auto"/>
                <w:sz w:val="22"/>
                <w:lang w:eastAsia="en-AU"/>
              </w:rPr>
              <w:tab/>
            </w:r>
            <w:r w:rsidR="00691B4D" w:rsidRPr="00716DC0">
              <w:rPr>
                <w:rStyle w:val="Hyperlink"/>
              </w:rPr>
              <w:t>Equity raising costs</w:t>
            </w:r>
            <w:r w:rsidR="00691B4D">
              <w:rPr>
                <w:webHidden/>
              </w:rPr>
              <w:tab/>
            </w:r>
            <w:r w:rsidR="00691B4D">
              <w:rPr>
                <w:webHidden/>
              </w:rPr>
              <w:fldChar w:fldCharType="begin"/>
            </w:r>
            <w:r w:rsidR="00691B4D">
              <w:rPr>
                <w:webHidden/>
              </w:rPr>
              <w:instrText xml:space="preserve"> PAGEREF _Toc462754673 \h </w:instrText>
            </w:r>
            <w:r w:rsidR="00691B4D">
              <w:rPr>
                <w:webHidden/>
              </w:rPr>
            </w:r>
            <w:r w:rsidR="00691B4D">
              <w:rPr>
                <w:webHidden/>
              </w:rPr>
              <w:fldChar w:fldCharType="separate"/>
            </w:r>
            <w:r w:rsidR="00691B4D">
              <w:rPr>
                <w:webHidden/>
              </w:rPr>
              <w:t>3-168</w:t>
            </w:r>
            <w:r w:rsidR="00691B4D">
              <w:rPr>
                <w:webHidden/>
              </w:rPr>
              <w:fldChar w:fldCharType="end"/>
            </w:r>
          </w:hyperlink>
        </w:p>
        <w:p w:rsidR="00691B4D" w:rsidRDefault="00AB6D99">
          <w:pPr>
            <w:pStyle w:val="TOC2"/>
            <w:rPr>
              <w:rFonts w:asciiTheme="minorHAnsi" w:eastAsiaTheme="minorEastAsia" w:hAnsiTheme="minorHAnsi"/>
              <w:b w:val="0"/>
              <w:color w:val="auto"/>
              <w:sz w:val="22"/>
              <w:lang w:eastAsia="en-AU"/>
            </w:rPr>
          </w:pPr>
          <w:hyperlink w:anchor="_Toc462754674" w:history="1">
            <w:r w:rsidR="00691B4D" w:rsidRPr="00716DC0">
              <w:rPr>
                <w:rStyle w:val="Hyperlink"/>
              </w:rPr>
              <w:t>C.2</w:t>
            </w:r>
            <w:r w:rsidR="00691B4D">
              <w:rPr>
                <w:rFonts w:asciiTheme="minorHAnsi" w:eastAsiaTheme="minorEastAsia" w:hAnsiTheme="minorHAnsi"/>
                <w:b w:val="0"/>
                <w:color w:val="auto"/>
                <w:sz w:val="22"/>
                <w:lang w:eastAsia="en-AU"/>
              </w:rPr>
              <w:tab/>
            </w:r>
            <w:r w:rsidR="00691B4D" w:rsidRPr="00716DC0">
              <w:rPr>
                <w:rStyle w:val="Hyperlink"/>
              </w:rPr>
              <w:t>Debt raising costs</w:t>
            </w:r>
            <w:r w:rsidR="00691B4D">
              <w:rPr>
                <w:webHidden/>
              </w:rPr>
              <w:tab/>
            </w:r>
            <w:r w:rsidR="00691B4D">
              <w:rPr>
                <w:webHidden/>
              </w:rPr>
              <w:fldChar w:fldCharType="begin"/>
            </w:r>
            <w:r w:rsidR="00691B4D">
              <w:rPr>
                <w:webHidden/>
              </w:rPr>
              <w:instrText xml:space="preserve"> PAGEREF _Toc462754674 \h </w:instrText>
            </w:r>
            <w:r w:rsidR="00691B4D">
              <w:rPr>
                <w:webHidden/>
              </w:rPr>
            </w:r>
            <w:r w:rsidR="00691B4D">
              <w:rPr>
                <w:webHidden/>
              </w:rPr>
              <w:fldChar w:fldCharType="separate"/>
            </w:r>
            <w:r w:rsidR="00691B4D">
              <w:rPr>
                <w:webHidden/>
              </w:rPr>
              <w:t>3-169</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75" w:history="1">
            <w:r w:rsidR="00691B4D" w:rsidRPr="00716DC0">
              <w:rPr>
                <w:rStyle w:val="Hyperlink"/>
              </w:rPr>
              <w:t>C.2.1</w:t>
            </w:r>
            <w:r w:rsidR="00691B4D">
              <w:rPr>
                <w:rFonts w:asciiTheme="minorHAnsi" w:eastAsiaTheme="minorEastAsia" w:hAnsiTheme="minorHAnsi"/>
                <w:lang w:eastAsia="en-AU"/>
              </w:rPr>
              <w:tab/>
            </w:r>
            <w:r w:rsidR="00691B4D" w:rsidRPr="00716DC0">
              <w:rPr>
                <w:rStyle w:val="Hyperlink"/>
              </w:rPr>
              <w:t>Draft decision</w:t>
            </w:r>
            <w:r w:rsidR="00691B4D">
              <w:rPr>
                <w:webHidden/>
              </w:rPr>
              <w:tab/>
            </w:r>
            <w:r w:rsidR="00691B4D">
              <w:rPr>
                <w:webHidden/>
              </w:rPr>
              <w:fldChar w:fldCharType="begin"/>
            </w:r>
            <w:r w:rsidR="00691B4D">
              <w:rPr>
                <w:webHidden/>
              </w:rPr>
              <w:instrText xml:space="preserve"> PAGEREF _Toc462754675 \h </w:instrText>
            </w:r>
            <w:r w:rsidR="00691B4D">
              <w:rPr>
                <w:webHidden/>
              </w:rPr>
            </w:r>
            <w:r w:rsidR="00691B4D">
              <w:rPr>
                <w:webHidden/>
              </w:rPr>
              <w:fldChar w:fldCharType="separate"/>
            </w:r>
            <w:r w:rsidR="00691B4D">
              <w:rPr>
                <w:webHidden/>
              </w:rPr>
              <w:t>3-169</w:t>
            </w:r>
            <w:r w:rsidR="00691B4D">
              <w:rPr>
                <w:webHidden/>
              </w:rPr>
              <w:fldChar w:fldCharType="end"/>
            </w:r>
          </w:hyperlink>
        </w:p>
        <w:p w:rsidR="00691B4D" w:rsidRDefault="00AB6D99">
          <w:pPr>
            <w:pStyle w:val="TOC3"/>
            <w:rPr>
              <w:rFonts w:asciiTheme="minorHAnsi" w:eastAsiaTheme="minorEastAsia" w:hAnsiTheme="minorHAnsi"/>
              <w:lang w:eastAsia="en-AU"/>
            </w:rPr>
          </w:pPr>
          <w:hyperlink w:anchor="_Toc462754676" w:history="1">
            <w:r w:rsidR="00691B4D" w:rsidRPr="00716DC0">
              <w:rPr>
                <w:rStyle w:val="Hyperlink"/>
              </w:rPr>
              <w:t>C.2.2</w:t>
            </w:r>
            <w:r w:rsidR="00691B4D">
              <w:rPr>
                <w:rFonts w:asciiTheme="minorHAnsi" w:eastAsiaTheme="minorEastAsia" w:hAnsiTheme="minorHAnsi"/>
                <w:lang w:eastAsia="en-AU"/>
              </w:rPr>
              <w:tab/>
            </w:r>
            <w:r w:rsidR="00691B4D" w:rsidRPr="00716DC0">
              <w:rPr>
                <w:rStyle w:val="Hyperlink"/>
              </w:rPr>
              <w:t>AER's assessment approach</w:t>
            </w:r>
            <w:r w:rsidR="00691B4D">
              <w:rPr>
                <w:webHidden/>
              </w:rPr>
              <w:tab/>
            </w:r>
            <w:r w:rsidR="00691B4D">
              <w:rPr>
                <w:webHidden/>
              </w:rPr>
              <w:fldChar w:fldCharType="begin"/>
            </w:r>
            <w:r w:rsidR="00691B4D">
              <w:rPr>
                <w:webHidden/>
              </w:rPr>
              <w:instrText xml:space="preserve"> PAGEREF _Toc462754676 \h </w:instrText>
            </w:r>
            <w:r w:rsidR="00691B4D">
              <w:rPr>
                <w:webHidden/>
              </w:rPr>
            </w:r>
            <w:r w:rsidR="00691B4D">
              <w:rPr>
                <w:webHidden/>
              </w:rPr>
              <w:fldChar w:fldCharType="separate"/>
            </w:r>
            <w:r w:rsidR="00691B4D">
              <w:rPr>
                <w:webHidden/>
              </w:rPr>
              <w:t>3-169</w:t>
            </w:r>
            <w:r w:rsidR="00691B4D">
              <w:rPr>
                <w:webHidden/>
              </w:rPr>
              <w:fldChar w:fldCharType="end"/>
            </w:r>
          </w:hyperlink>
        </w:p>
        <w:p w:rsidR="00691B4D" w:rsidRDefault="00AB6D99">
          <w:pPr>
            <w:pStyle w:val="TOC1"/>
            <w:rPr>
              <w:rFonts w:asciiTheme="minorHAnsi" w:eastAsiaTheme="minorEastAsia" w:hAnsiTheme="minorHAnsi"/>
              <w:b w:val="0"/>
              <w:color w:val="auto"/>
              <w:sz w:val="22"/>
              <w:lang w:val="en-AU" w:eastAsia="en-AU"/>
            </w:rPr>
          </w:pPr>
          <w:hyperlink w:anchor="_Toc462754677" w:history="1">
            <w:r w:rsidR="00691B4D" w:rsidRPr="00716DC0">
              <w:rPr>
                <w:rStyle w:val="Hyperlink"/>
              </w:rPr>
              <w:t>D</w:t>
            </w:r>
            <w:r w:rsidR="00691B4D">
              <w:rPr>
                <w:rFonts w:asciiTheme="minorHAnsi" w:eastAsiaTheme="minorEastAsia" w:hAnsiTheme="minorHAnsi"/>
                <w:b w:val="0"/>
                <w:color w:val="auto"/>
                <w:sz w:val="22"/>
                <w:lang w:val="en-AU" w:eastAsia="en-AU"/>
              </w:rPr>
              <w:tab/>
            </w:r>
            <w:r w:rsidR="00691B4D" w:rsidRPr="00716DC0">
              <w:rPr>
                <w:rStyle w:val="Hyperlink"/>
              </w:rPr>
              <w:t>Averaging periods – confidential appendix</w:t>
            </w:r>
            <w:r w:rsidR="00691B4D">
              <w:rPr>
                <w:webHidden/>
              </w:rPr>
              <w:tab/>
            </w:r>
            <w:r w:rsidR="00691B4D">
              <w:rPr>
                <w:webHidden/>
              </w:rPr>
              <w:fldChar w:fldCharType="begin"/>
            </w:r>
            <w:r w:rsidR="00691B4D">
              <w:rPr>
                <w:webHidden/>
              </w:rPr>
              <w:instrText xml:space="preserve"> PAGEREF _Toc462754677 \h </w:instrText>
            </w:r>
            <w:r w:rsidR="00691B4D">
              <w:rPr>
                <w:webHidden/>
              </w:rPr>
            </w:r>
            <w:r w:rsidR="00691B4D">
              <w:rPr>
                <w:webHidden/>
              </w:rPr>
              <w:fldChar w:fldCharType="separate"/>
            </w:r>
            <w:r w:rsidR="00691B4D">
              <w:rPr>
                <w:webHidden/>
              </w:rPr>
              <w:t>3-171</w:t>
            </w:r>
            <w:r w:rsidR="00691B4D">
              <w:rPr>
                <w:webHidden/>
              </w:rPr>
              <w:fldChar w:fldCharType="end"/>
            </w:r>
          </w:hyperlink>
        </w:p>
        <w:p w:rsidR="00E42A91" w:rsidRDefault="00DB752F" w:rsidP="00DB752F">
          <w:pPr>
            <w:pStyle w:val="TOC1"/>
          </w:pPr>
          <w:r>
            <w:fldChar w:fldCharType="end"/>
          </w:r>
        </w:p>
      </w:sdtContent>
    </w:sdt>
    <w:p w:rsidR="00DE563D" w:rsidRDefault="00C84560">
      <w:pPr>
        <w:spacing w:line="240" w:lineRule="auto"/>
      </w:pPr>
      <w:r>
        <w:t xml:space="preserve"> </w:t>
      </w:r>
    </w:p>
    <w:p w:rsidR="00DE563D" w:rsidRDefault="00DE563D" w:rsidP="00DE563D">
      <w:pPr>
        <w:pStyle w:val="UnnumberedHeading"/>
        <w:numPr>
          <w:ilvl w:val="0"/>
          <w:numId w:val="24"/>
        </w:numPr>
      </w:pPr>
      <w:bookmarkStart w:id="8" w:name="_Toc404700925"/>
      <w:bookmarkStart w:id="9" w:name="_Toc462754619"/>
      <w:r>
        <w:lastRenderedPageBreak/>
        <w:t>Shortened forms</w:t>
      </w:r>
      <w:bookmarkEnd w:id="8"/>
      <w:bookmarkEnd w:id="9"/>
    </w:p>
    <w:p w:rsidR="00DE563D" w:rsidRDefault="00DE563D" w:rsidP="00415F31"/>
    <w:tbl>
      <w:tblPr>
        <w:tblStyle w:val="AERtable-numbers"/>
        <w:tblW w:w="0" w:type="auto"/>
        <w:tblLook w:val="04A0" w:firstRow="1" w:lastRow="0" w:firstColumn="1" w:lastColumn="0" w:noHBand="0" w:noVBand="1"/>
      </w:tblPr>
      <w:tblGrid>
        <w:gridCol w:w="4339"/>
        <w:gridCol w:w="4354"/>
      </w:tblGrid>
      <w:tr w:rsidR="00415F31" w:rsidTr="00C33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Shortened form</w:t>
            </w:r>
          </w:p>
        </w:tc>
        <w:tc>
          <w:tcPr>
            <w:tcW w:w="4354" w:type="dxa"/>
          </w:tcPr>
          <w:p w:rsidR="00415F31" w:rsidRDefault="00415F31" w:rsidP="00415F31">
            <w:pPr>
              <w:numPr>
                <w:ilvl w:val="0"/>
                <w:numId w:val="25"/>
              </w:numPr>
              <w:spacing w:after="240" w:line="288" w:lineRule="auto"/>
              <w:jc w:val="both"/>
              <w:cnfStyle w:val="100000000000" w:firstRow="1" w:lastRow="0" w:firstColumn="0" w:lastColumn="0" w:oddVBand="0" w:evenVBand="0" w:oddHBand="0" w:evenHBand="0" w:firstRowFirstColumn="0" w:firstRowLastColumn="0" w:lastRowFirstColumn="0" w:lastRowLastColumn="0"/>
            </w:pPr>
            <w:r>
              <w:t>Extended form</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AEMC</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Australian Energy Market Commission</w:t>
            </w:r>
          </w:p>
        </w:tc>
      </w:tr>
      <w:tr w:rsidR="00415F31"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AER</w:t>
            </w:r>
          </w:p>
        </w:tc>
        <w:tc>
          <w:tcPr>
            <w:tcW w:w="4354"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Australian Energy Regulator</w:t>
            </w:r>
          </w:p>
        </w:tc>
      </w:tr>
      <w:tr w:rsidR="001E3847" w:rsidTr="007C0B1A">
        <w:tc>
          <w:tcPr>
            <w:cnfStyle w:val="001000000000" w:firstRow="0" w:lastRow="0" w:firstColumn="1" w:lastColumn="0" w:oddVBand="0" w:evenVBand="0" w:oddHBand="0" w:evenHBand="0" w:firstRowFirstColumn="0" w:firstRowLastColumn="0" w:lastRowFirstColumn="0" w:lastRowLastColumn="0"/>
            <w:tcW w:w="4339" w:type="dxa"/>
          </w:tcPr>
          <w:p w:rsidR="001E3847" w:rsidRDefault="001E3847" w:rsidP="002B2D25">
            <w:pPr>
              <w:numPr>
                <w:ilvl w:val="0"/>
                <w:numId w:val="25"/>
              </w:numPr>
            </w:pPr>
            <w:r>
              <w:t>ARORO</w:t>
            </w:r>
          </w:p>
        </w:tc>
        <w:tc>
          <w:tcPr>
            <w:tcW w:w="4354" w:type="dxa"/>
          </w:tcPr>
          <w:p w:rsidR="001E3847" w:rsidRDefault="001E3847" w:rsidP="001E3847">
            <w:pPr>
              <w:jc w:val="left"/>
              <w:cnfStyle w:val="000000000000" w:firstRow="0" w:lastRow="0" w:firstColumn="0" w:lastColumn="0" w:oddVBand="0" w:evenVBand="0" w:oddHBand="0" w:evenHBand="0" w:firstRowFirstColumn="0" w:firstRowLastColumn="0" w:lastRowFirstColumn="0" w:lastRowLastColumn="0"/>
            </w:pPr>
            <w:r>
              <w:t>allowed rate of return objective</w:t>
            </w:r>
          </w:p>
        </w:tc>
      </w:tr>
      <w:tr w:rsidR="002B2D25" w:rsidTr="007C0B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2B2D25" w:rsidRDefault="002B2D25" w:rsidP="002B2D25">
            <w:pPr>
              <w:numPr>
                <w:ilvl w:val="0"/>
                <w:numId w:val="25"/>
              </w:numPr>
            </w:pPr>
            <w:r>
              <w:t>CAPM</w:t>
            </w:r>
          </w:p>
        </w:tc>
        <w:tc>
          <w:tcPr>
            <w:tcW w:w="4354" w:type="dxa"/>
          </w:tcPr>
          <w:p w:rsidR="002B2D25" w:rsidRDefault="002B2D25" w:rsidP="002B2D25">
            <w:pPr>
              <w:jc w:val="left"/>
              <w:cnfStyle w:val="000000010000" w:firstRow="0" w:lastRow="0" w:firstColumn="0" w:lastColumn="0" w:oddVBand="0" w:evenVBand="0" w:oddHBand="0" w:evenHBand="1" w:firstRowFirstColumn="0" w:firstRowLastColumn="0" w:lastRowFirstColumn="0" w:lastRowLastColumn="0"/>
            </w:pPr>
            <w:r>
              <w:t>capital asset pricing model</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CCP</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Consumer Challenge Panel</w:t>
            </w:r>
          </w:p>
        </w:tc>
      </w:tr>
      <w:tr w:rsidR="00415F31"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NEL</w:t>
            </w:r>
          </w:p>
        </w:tc>
        <w:tc>
          <w:tcPr>
            <w:tcW w:w="4354"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law</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NEO</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electricity objective</w:t>
            </w:r>
          </w:p>
        </w:tc>
      </w:tr>
      <w:tr w:rsidR="00415F31"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NER</w:t>
            </w:r>
          </w:p>
        </w:tc>
        <w:tc>
          <w:tcPr>
            <w:tcW w:w="4354" w:type="dxa"/>
          </w:tcPr>
          <w:p w:rsidR="00415F31" w:rsidRDefault="00415F31"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electricity rules</w:t>
            </w:r>
          </w:p>
        </w:tc>
      </w:tr>
      <w:tr w:rsidR="00B63D5D" w:rsidTr="00C33E20">
        <w:tc>
          <w:tcPr>
            <w:cnfStyle w:val="001000000000" w:firstRow="0" w:lastRow="0" w:firstColumn="1" w:lastColumn="0" w:oddVBand="0" w:evenVBand="0" w:oddHBand="0" w:evenHBand="0" w:firstRowFirstColumn="0" w:firstRowLastColumn="0" w:lastRowFirstColumn="0" w:lastRowLastColumn="0"/>
            <w:tcW w:w="4339" w:type="dxa"/>
          </w:tcPr>
          <w:p w:rsidR="00B63D5D" w:rsidRDefault="00B63D5D" w:rsidP="00415F31">
            <w:pPr>
              <w:numPr>
                <w:ilvl w:val="0"/>
                <w:numId w:val="25"/>
              </w:numPr>
              <w:spacing w:after="240" w:line="288" w:lineRule="auto"/>
              <w:jc w:val="both"/>
            </w:pPr>
            <w:r>
              <w:t>NGL</w:t>
            </w:r>
          </w:p>
        </w:tc>
        <w:tc>
          <w:tcPr>
            <w:tcW w:w="4354" w:type="dxa"/>
          </w:tcPr>
          <w:p w:rsidR="00B63D5D" w:rsidRDefault="00B63D5D" w:rsidP="00C33E20">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gas law</w:t>
            </w:r>
          </w:p>
        </w:tc>
      </w:tr>
      <w:tr w:rsidR="00B63D5D"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B63D5D" w:rsidRDefault="00B63D5D" w:rsidP="00415F31">
            <w:pPr>
              <w:numPr>
                <w:ilvl w:val="0"/>
                <w:numId w:val="25"/>
              </w:numPr>
              <w:spacing w:after="240" w:line="288" w:lineRule="auto"/>
              <w:jc w:val="both"/>
            </w:pPr>
            <w:r>
              <w:t>NGO</w:t>
            </w:r>
          </w:p>
        </w:tc>
        <w:tc>
          <w:tcPr>
            <w:tcW w:w="4354" w:type="dxa"/>
          </w:tcPr>
          <w:p w:rsidR="00B63D5D" w:rsidRDefault="00B63D5D" w:rsidP="00C33E20">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national gas objective</w:t>
            </w:r>
          </w:p>
        </w:tc>
      </w:tr>
      <w:tr w:rsidR="00B63D5D" w:rsidTr="00C33E20">
        <w:tc>
          <w:tcPr>
            <w:cnfStyle w:val="001000000000" w:firstRow="0" w:lastRow="0" w:firstColumn="1" w:lastColumn="0" w:oddVBand="0" w:evenVBand="0" w:oddHBand="0" w:evenHBand="0" w:firstRowFirstColumn="0" w:firstRowLastColumn="0" w:lastRowFirstColumn="0" w:lastRowLastColumn="0"/>
            <w:tcW w:w="4339" w:type="dxa"/>
          </w:tcPr>
          <w:p w:rsidR="00B63D5D" w:rsidRDefault="00B63D5D" w:rsidP="00415F31">
            <w:pPr>
              <w:numPr>
                <w:ilvl w:val="0"/>
                <w:numId w:val="25"/>
              </w:numPr>
              <w:spacing w:after="240" w:line="288" w:lineRule="auto"/>
              <w:jc w:val="both"/>
            </w:pPr>
            <w:r>
              <w:t>NGR</w:t>
            </w:r>
          </w:p>
        </w:tc>
        <w:tc>
          <w:tcPr>
            <w:tcW w:w="4354" w:type="dxa"/>
          </w:tcPr>
          <w:p w:rsidR="00B63D5D" w:rsidRDefault="00B63D5D" w:rsidP="00C33E20">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national gas rules</w:t>
            </w:r>
          </w:p>
        </w:tc>
      </w:tr>
      <w:tr w:rsidR="00415F31"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RAB</w:t>
            </w:r>
          </w:p>
        </w:tc>
        <w:tc>
          <w:tcPr>
            <w:tcW w:w="4354" w:type="dxa"/>
          </w:tcPr>
          <w:p w:rsidR="00415F31" w:rsidRDefault="00415F31" w:rsidP="00C33E20">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regulatory asset base</w:t>
            </w:r>
            <w:r w:rsidR="00C33E20">
              <w:t>, herein also refers to a capital base as defined in the NGR</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RBA</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Reserve Bank of Australia</w:t>
            </w:r>
          </w:p>
        </w:tc>
      </w:tr>
      <w:tr w:rsidR="00CF4B40"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CF4B40" w:rsidRDefault="00CF4B40" w:rsidP="00415F31">
            <w:pPr>
              <w:numPr>
                <w:ilvl w:val="0"/>
                <w:numId w:val="25"/>
              </w:numPr>
              <w:spacing w:after="240" w:line="288" w:lineRule="auto"/>
              <w:jc w:val="both"/>
            </w:pPr>
            <w:r>
              <w:t>regulatory period</w:t>
            </w:r>
          </w:p>
        </w:tc>
        <w:tc>
          <w:tcPr>
            <w:tcW w:w="4354" w:type="dxa"/>
          </w:tcPr>
          <w:p w:rsidR="00CF4B40" w:rsidRDefault="00CF4B40"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refers to regulatory control periods and access arrangement periods</w:t>
            </w:r>
          </w:p>
        </w:tc>
      </w:tr>
      <w:tr w:rsidR="00C33E20" w:rsidTr="00C33E20">
        <w:tc>
          <w:tcPr>
            <w:cnfStyle w:val="001000000000" w:firstRow="0" w:lastRow="0" w:firstColumn="1" w:lastColumn="0" w:oddVBand="0" w:evenVBand="0" w:oddHBand="0" w:evenHBand="0" w:firstRowFirstColumn="0" w:firstRowLastColumn="0" w:lastRowFirstColumn="0" w:lastRowLastColumn="0"/>
            <w:tcW w:w="4339" w:type="dxa"/>
          </w:tcPr>
          <w:p w:rsidR="00C33E20" w:rsidRDefault="00C33E20" w:rsidP="00415F31">
            <w:pPr>
              <w:numPr>
                <w:ilvl w:val="0"/>
                <w:numId w:val="25"/>
              </w:numPr>
              <w:spacing w:after="240" w:line="288" w:lineRule="auto"/>
              <w:jc w:val="both"/>
            </w:pPr>
            <w:r>
              <w:t>regulatory proposal</w:t>
            </w:r>
          </w:p>
        </w:tc>
        <w:tc>
          <w:tcPr>
            <w:tcW w:w="4354" w:type="dxa"/>
          </w:tcPr>
          <w:p w:rsidR="00C33E20" w:rsidRDefault="00C33E20"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includes revenue proposals and proposed access arrangements</w:t>
            </w:r>
          </w:p>
        </w:tc>
      </w:tr>
      <w:tr w:rsidR="00C33E20"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C33E20" w:rsidRDefault="00C33E20" w:rsidP="00415F31">
            <w:pPr>
              <w:numPr>
                <w:ilvl w:val="0"/>
                <w:numId w:val="25"/>
              </w:numPr>
              <w:spacing w:after="240" w:line="288" w:lineRule="auto"/>
              <w:jc w:val="both"/>
            </w:pPr>
            <w:r>
              <w:t>regulated services</w:t>
            </w:r>
          </w:p>
        </w:tc>
        <w:tc>
          <w:tcPr>
            <w:tcW w:w="4354" w:type="dxa"/>
          </w:tcPr>
          <w:p w:rsidR="00C33E20" w:rsidRDefault="00C33E20" w:rsidP="00415F31">
            <w:pPr>
              <w:numPr>
                <w:ilvl w:val="0"/>
                <w:numId w:val="25"/>
              </w:numPr>
              <w:spacing w:after="240" w:line="288" w:lineRule="auto"/>
              <w:jc w:val="both"/>
              <w:cnfStyle w:val="000000010000" w:firstRow="0" w:lastRow="0" w:firstColumn="0" w:lastColumn="0" w:oddVBand="0" w:evenVBand="0" w:oddHBand="0" w:evenHBand="1" w:firstRowFirstColumn="0" w:firstRowLastColumn="0" w:lastRowFirstColumn="0" w:lastRowLastColumn="0"/>
            </w:pPr>
            <w:r>
              <w:t>refers to electricity distribution direct control services, prescribed electricity transmission services, and</w:t>
            </w:r>
            <w:r w:rsidR="009C3A3A">
              <w:t>/or</w:t>
            </w:r>
            <w:r>
              <w:t xml:space="preserve"> gas pipeline reference services</w:t>
            </w:r>
          </w:p>
        </w:tc>
      </w:tr>
      <w:tr w:rsidR="00415F31" w:rsidTr="00C33E20">
        <w:tc>
          <w:tcPr>
            <w:cnfStyle w:val="001000000000" w:firstRow="0" w:lastRow="0" w:firstColumn="1" w:lastColumn="0" w:oddVBand="0" w:evenVBand="0" w:oddHBand="0" w:evenHBand="0" w:firstRowFirstColumn="0" w:firstRowLastColumn="0" w:lastRowFirstColumn="0" w:lastRowLastColumn="0"/>
            <w:tcW w:w="4339" w:type="dxa"/>
          </w:tcPr>
          <w:p w:rsidR="00415F31" w:rsidRDefault="00415F31" w:rsidP="00415F31">
            <w:pPr>
              <w:numPr>
                <w:ilvl w:val="0"/>
                <w:numId w:val="25"/>
              </w:numPr>
              <w:spacing w:after="240" w:line="288" w:lineRule="auto"/>
              <w:jc w:val="both"/>
            </w:pPr>
            <w:r>
              <w:t>RPP</w:t>
            </w:r>
          </w:p>
        </w:tc>
        <w:tc>
          <w:tcPr>
            <w:tcW w:w="4354" w:type="dxa"/>
          </w:tcPr>
          <w:p w:rsidR="00415F31" w:rsidRDefault="00415F31" w:rsidP="00415F31">
            <w:pPr>
              <w:numPr>
                <w:ilvl w:val="0"/>
                <w:numId w:val="25"/>
              </w:numPr>
              <w:spacing w:after="240" w:line="288" w:lineRule="auto"/>
              <w:jc w:val="both"/>
              <w:cnfStyle w:val="000000000000" w:firstRow="0" w:lastRow="0" w:firstColumn="0" w:lastColumn="0" w:oddVBand="0" w:evenVBand="0" w:oddHBand="0" w:evenHBand="0" w:firstRowFirstColumn="0" w:firstRowLastColumn="0" w:lastRowFirstColumn="0" w:lastRowLastColumn="0"/>
            </w:pPr>
            <w:r>
              <w:t xml:space="preserve">revenue </w:t>
            </w:r>
            <w:r w:rsidR="002D72E8">
              <w:t xml:space="preserve">and </w:t>
            </w:r>
            <w:r>
              <w:t>pricing principles</w:t>
            </w:r>
          </w:p>
        </w:tc>
      </w:tr>
      <w:tr w:rsidR="00C33E20" w:rsidTr="00C33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rsidR="00C33E20" w:rsidRDefault="00C33E20" w:rsidP="00C33E20">
            <w:pPr>
              <w:numPr>
                <w:ilvl w:val="0"/>
                <w:numId w:val="25"/>
              </w:numPr>
            </w:pPr>
            <w:r>
              <w:t>service provider</w:t>
            </w:r>
          </w:p>
        </w:tc>
        <w:tc>
          <w:tcPr>
            <w:tcW w:w="4354" w:type="dxa"/>
          </w:tcPr>
          <w:p w:rsidR="00C33E20" w:rsidRDefault="009C3A3A" w:rsidP="00C33E20">
            <w:pPr>
              <w:jc w:val="left"/>
              <w:cnfStyle w:val="000000010000" w:firstRow="0" w:lastRow="0" w:firstColumn="0" w:lastColumn="0" w:oddVBand="0" w:evenVBand="0" w:oddHBand="0" w:evenHBand="1" w:firstRowFirstColumn="0" w:firstRowLastColumn="0" w:lastRowFirstColumn="0" w:lastRowLastColumn="0"/>
            </w:pPr>
            <w:r>
              <w:t>r</w:t>
            </w:r>
            <w:r w:rsidR="00C33E20">
              <w:t>efers to an electricity distribution network service provider, electricity transmission network service provider, and/or gas pipeline operator</w:t>
            </w:r>
          </w:p>
        </w:tc>
      </w:tr>
      <w:tr w:rsidR="00B63D5D" w:rsidTr="00C33E20">
        <w:tc>
          <w:tcPr>
            <w:cnfStyle w:val="001000000000" w:firstRow="0" w:lastRow="0" w:firstColumn="1" w:lastColumn="0" w:oddVBand="0" w:evenVBand="0" w:oddHBand="0" w:evenHBand="0" w:firstRowFirstColumn="0" w:firstRowLastColumn="0" w:lastRowFirstColumn="0" w:lastRowLastColumn="0"/>
            <w:tcW w:w="4339" w:type="dxa"/>
          </w:tcPr>
          <w:p w:rsidR="00B63D5D" w:rsidRDefault="00B63D5D" w:rsidP="00C33E20">
            <w:pPr>
              <w:numPr>
                <w:ilvl w:val="0"/>
                <w:numId w:val="25"/>
              </w:numPr>
            </w:pPr>
            <w:r>
              <w:t>Tribunal</w:t>
            </w:r>
          </w:p>
        </w:tc>
        <w:tc>
          <w:tcPr>
            <w:tcW w:w="4354" w:type="dxa"/>
          </w:tcPr>
          <w:p w:rsidR="00B63D5D" w:rsidRDefault="00B63D5D" w:rsidP="00B63D5D">
            <w:pPr>
              <w:jc w:val="left"/>
              <w:cnfStyle w:val="000000000000" w:firstRow="0" w:lastRow="0" w:firstColumn="0" w:lastColumn="0" w:oddVBand="0" w:evenVBand="0" w:oddHBand="0" w:evenHBand="0" w:firstRowFirstColumn="0" w:firstRowLastColumn="0" w:lastRowFirstColumn="0" w:lastRowLastColumn="0"/>
            </w:pPr>
            <w:r>
              <w:t>Australian Competition Tribunal</w:t>
            </w:r>
          </w:p>
        </w:tc>
      </w:tr>
    </w:tbl>
    <w:p w:rsidR="00DE563D" w:rsidRDefault="00E7682C" w:rsidP="00E7682C">
      <w:pPr>
        <w:pStyle w:val="Heading1"/>
      </w:pPr>
      <w:bookmarkStart w:id="10" w:name="_Toc462754620"/>
      <w:r>
        <w:lastRenderedPageBreak/>
        <w:t>Rate of return</w:t>
      </w:r>
      <w:bookmarkEnd w:id="10"/>
    </w:p>
    <w:p w:rsidR="00933E3E" w:rsidRPr="00132D43" w:rsidRDefault="00933E3E" w:rsidP="00933E3E">
      <w:bookmarkStart w:id="11" w:name="_Toc403144137"/>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calculated as a product of the rate of return and the value of the regulatory asset base (RAB). The rate of return is discussed in this attachment.</w:t>
      </w:r>
    </w:p>
    <w:p w:rsidR="00933E3E" w:rsidRPr="009E2035" w:rsidRDefault="00933E3E" w:rsidP="009E2035">
      <w:pPr>
        <w:pStyle w:val="Heading2"/>
      </w:pPr>
      <w:bookmarkStart w:id="12" w:name="_Toc462754621"/>
      <w:r w:rsidRPr="009E2035">
        <w:t>Draft decision</w:t>
      </w:r>
      <w:bookmarkEnd w:id="12"/>
    </w:p>
    <w:p w:rsidR="00933E3E" w:rsidRDefault="00933E3E" w:rsidP="00933E3E">
      <w:pPr>
        <w:numPr>
          <w:ilvl w:val="0"/>
          <w:numId w:val="25"/>
        </w:numPr>
      </w:pPr>
      <w:r>
        <w:t>We</w:t>
      </w:r>
      <w:r w:rsidR="00C67703">
        <w:t xml:space="preserve"> </w:t>
      </w:r>
      <w:r>
        <w:t xml:space="preserve">are satisfied that the allowed rate of return of </w:t>
      </w:r>
      <w:r w:rsidR="009726B2">
        <w:t>5.48</w:t>
      </w:r>
      <w:r>
        <w:t xml:space="preserve"> per cent (nominal vanilla) we </w:t>
      </w:r>
      <w:r w:rsidR="006432F7">
        <w:t xml:space="preserve">have </w:t>
      </w:r>
      <w:r>
        <w:t xml:space="preserve">determined achieves the </w:t>
      </w:r>
      <w:r w:rsidRPr="00E75E61">
        <w:t xml:space="preserve">allowed </w:t>
      </w:r>
      <w:r>
        <w:t>rate of return objective (ARORO).</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w:t>
      </w:r>
      <w:r w:rsidR="00A23DF5">
        <w:t xml:space="preserve">TasNetworks </w:t>
      </w:r>
      <w:r>
        <w:t xml:space="preserve">in providing </w:t>
      </w:r>
      <w:r w:rsidR="00A23DF5">
        <w:t>standard control</w:t>
      </w:r>
      <w:r>
        <w:t xml:space="preserve"> services.</w:t>
      </w:r>
      <w:r>
        <w:rPr>
          <w:rStyle w:val="FootnoteReference"/>
        </w:rPr>
        <w:footnoteReference w:id="3"/>
      </w:r>
    </w:p>
    <w:p w:rsidR="00933E3E" w:rsidRDefault="00933E3E" w:rsidP="00933E3E">
      <w:pPr>
        <w:numPr>
          <w:ilvl w:val="0"/>
          <w:numId w:val="25"/>
        </w:numPr>
      </w:pPr>
      <w:r>
        <w:t xml:space="preserve">This allowed rate of return </w:t>
      </w:r>
      <w:r w:rsidR="009726B2">
        <w:t xml:space="preserve">of 5.48 per cent </w:t>
      </w:r>
      <w:r>
        <w:t>wi</w:t>
      </w:r>
      <w:r w:rsidR="00720FD1">
        <w:t xml:space="preserve">ll apply to </w:t>
      </w:r>
      <w:r w:rsidR="00A23DF5">
        <w:t xml:space="preserve">TasNetworks </w:t>
      </w:r>
      <w:r w:rsidR="00720FD1">
        <w:t>for 201</w:t>
      </w:r>
      <w:r w:rsidR="00CD007F">
        <w:t>7</w:t>
      </w:r>
      <w:r w:rsidR="00720FD1">
        <w:t>–1</w:t>
      </w:r>
      <w:r w:rsidR="00CD007F">
        <w:t>8</w:t>
      </w:r>
      <w:r>
        <w:t xml:space="preserve">. A different rate of return </w:t>
      </w:r>
      <w:r w:rsidR="009726B2">
        <w:t xml:space="preserve">value </w:t>
      </w:r>
      <w:r>
        <w:t xml:space="preserve">will apply to </w:t>
      </w:r>
      <w:r w:rsidR="00C169B3">
        <w:t xml:space="preserve">TasNetworks </w:t>
      </w:r>
      <w:r>
        <w:t>for 201</w:t>
      </w:r>
      <w:r w:rsidR="003C5BA8">
        <w:t>8</w:t>
      </w:r>
      <w:r w:rsidR="00720FD1">
        <w:t>–</w:t>
      </w:r>
      <w:r w:rsidR="00A23DF5">
        <w:t xml:space="preserve">19 </w:t>
      </w:r>
      <w:r>
        <w:t xml:space="preserve">regulatory </w:t>
      </w:r>
      <w:r w:rsidR="003C5BA8">
        <w:t>year</w:t>
      </w:r>
      <w:r>
        <w:t xml:space="preserve">. This is because we will update the return on debt component each year to partially reflect </w:t>
      </w:r>
      <w:r w:rsidR="007D7A66">
        <w:t xml:space="preserve">the </w:t>
      </w:r>
      <w:r>
        <w:t xml:space="preserve">prevailing debt market conditions. We discuss this annual update further below. </w:t>
      </w:r>
    </w:p>
    <w:p w:rsidR="009726B2" w:rsidRDefault="00933E3E" w:rsidP="00933E3E">
      <w:pPr>
        <w:numPr>
          <w:ilvl w:val="0"/>
          <w:numId w:val="25"/>
        </w:numPr>
      </w:pPr>
      <w:r>
        <w:t>Our allowed rate of return is a weighted average of our return on equity an</w:t>
      </w:r>
      <w:r w:rsidR="002B2D25">
        <w:t>d return on debt estimates</w:t>
      </w:r>
      <w:r w:rsidRPr="008E2B69">
        <w:t xml:space="preserve"> </w:t>
      </w:r>
      <w:r>
        <w:t xml:space="preserve">determined on a nominal vanilla basis that is consistent with our estimate of the value of imputation credits. We are to determine the allowed rate of return such that it </w:t>
      </w:r>
      <w:r w:rsidRPr="003248EB">
        <w:t xml:space="preserve">achieves the </w:t>
      </w:r>
      <w:r>
        <w:t xml:space="preserve">ARORO. Also, in arriving at our decision we have taken into account the revenue and pricing principles (RPPs) and are also satisfied that our decision will or is likely to contribute to the achievement of the National Electricity Objective (NEO). </w:t>
      </w:r>
    </w:p>
    <w:p w:rsidR="007756AC" w:rsidRDefault="009726B2" w:rsidP="007756AC">
      <w:r>
        <w:t xml:space="preserve">We have determined our rate of return based on the methodology set out in our Rate of Return Guideline (Guideline). </w:t>
      </w:r>
      <w:r w:rsidR="00A23DF5">
        <w:t xml:space="preserve">TasNetworks </w:t>
      </w:r>
      <w:r w:rsidR="007756AC">
        <w:t>adopted our Guideline approach in its regulatory proposal,</w:t>
      </w:r>
      <w:r w:rsidR="00955A50">
        <w:rPr>
          <w:rStyle w:val="FootnoteReference"/>
        </w:rPr>
        <w:footnoteReference w:id="4"/>
      </w:r>
      <w:r w:rsidR="007756AC">
        <w:t xml:space="preserve"> but noted it does not endorse our methods.</w:t>
      </w:r>
      <w:r w:rsidR="007756AC">
        <w:rPr>
          <w:rStyle w:val="FootnoteReference"/>
        </w:rPr>
        <w:footnoteReference w:id="5"/>
      </w:r>
      <w:r w:rsidR="007756AC">
        <w:t xml:space="preserve"> </w:t>
      </w:r>
    </w:p>
    <w:p w:rsidR="00933E3E" w:rsidRDefault="007756AC" w:rsidP="00933E3E">
      <w:pPr>
        <w:numPr>
          <w:ilvl w:val="0"/>
          <w:numId w:val="25"/>
        </w:numPr>
      </w:pPr>
      <w:r>
        <w:t>W</w:t>
      </w:r>
      <w:r w:rsidR="009726B2">
        <w:t xml:space="preserve">e have accepted </w:t>
      </w:r>
      <w:r w:rsidR="00A23DF5">
        <w:t xml:space="preserve">TasNetworks' </w:t>
      </w:r>
      <w:r w:rsidR="009726B2">
        <w:t>proposal</w:t>
      </w:r>
      <w:r>
        <w:t xml:space="preserve"> to apply our Guideline</w:t>
      </w:r>
      <w:r w:rsidR="003D26DC">
        <w:t>,</w:t>
      </w:r>
      <w:r w:rsidR="009726B2">
        <w:t xml:space="preserve"> </w:t>
      </w:r>
      <w:r w:rsidR="005B54AB">
        <w:t>although</w:t>
      </w:r>
      <w:r w:rsidR="009726B2">
        <w:t xml:space="preserve"> components have been updated to account for prevailing market conditions</w:t>
      </w:r>
      <w:r w:rsidR="003D26DC">
        <w:t>.</w:t>
      </w:r>
      <w:r w:rsidR="003D26DC" w:rsidRPr="003D26DC">
        <w:t xml:space="preserve"> </w:t>
      </w:r>
      <w:r w:rsidR="003D26DC">
        <w:t xml:space="preserve">Differences in the value of TasNetworks' proposed rate of return and our draft decision are due to movements in market conditions between the time of TasNetworks' </w:t>
      </w:r>
      <w:r w:rsidR="003D26DC">
        <w:lastRenderedPageBreak/>
        <w:t>proposal and this decision. We</w:t>
      </w:r>
      <w:r>
        <w:t xml:space="preserve"> do not agree with </w:t>
      </w:r>
      <w:r w:rsidR="00D95B4C">
        <w:t xml:space="preserve">TasNetworks </w:t>
      </w:r>
      <w:r>
        <w:t xml:space="preserve">that departures from our Guideline may better achieve the ARORO, for the reasons set out in section </w:t>
      </w:r>
      <w:r>
        <w:fldChar w:fldCharType="begin"/>
      </w:r>
      <w:r>
        <w:instrText xml:space="preserve"> REF _Ref459131472 \r \h </w:instrText>
      </w:r>
      <w:r>
        <w:fldChar w:fldCharType="separate"/>
      </w:r>
      <w:r w:rsidR="00691B4D">
        <w:t>3.4</w:t>
      </w:r>
      <w:r>
        <w:fldChar w:fldCharType="end"/>
      </w:r>
      <w:r w:rsidR="009726B2">
        <w:t xml:space="preserve">. </w:t>
      </w:r>
      <w:r w:rsidR="00933E3E">
        <w:t xml:space="preserve">Our rate of return and </w:t>
      </w:r>
      <w:r w:rsidR="00A23DF5">
        <w:t xml:space="preserve">TasNetworks' </w:t>
      </w:r>
      <w:r w:rsidR="00933E3E">
        <w:t xml:space="preserve">proposed rate of return </w:t>
      </w:r>
      <w:r w:rsidR="0043751C">
        <w:t xml:space="preserve">are </w:t>
      </w:r>
      <w:r w:rsidR="00933E3E">
        <w:t xml:space="preserve">set out in </w:t>
      </w:r>
      <w:r w:rsidR="00933E3E">
        <w:fldChar w:fldCharType="begin"/>
      </w:r>
      <w:r w:rsidR="00933E3E">
        <w:instrText xml:space="preserve"> REF  _Ref420688085 \* Lower \h </w:instrText>
      </w:r>
      <w:r w:rsidR="00933E3E">
        <w:fldChar w:fldCharType="separate"/>
      </w:r>
      <w:r w:rsidR="00691B4D">
        <w:t xml:space="preserve">table </w:t>
      </w:r>
      <w:r w:rsidR="00691B4D">
        <w:rPr>
          <w:noProof/>
        </w:rPr>
        <w:t>3</w:t>
      </w:r>
      <w:r w:rsidR="00691B4D">
        <w:noBreakHyphen/>
      </w:r>
      <w:r w:rsidR="00691B4D">
        <w:rPr>
          <w:noProof/>
        </w:rPr>
        <w:t>1</w:t>
      </w:r>
      <w:r w:rsidR="00933E3E">
        <w:fldChar w:fldCharType="end"/>
      </w:r>
      <w:r w:rsidR="00933E3E">
        <w:t>.</w:t>
      </w:r>
    </w:p>
    <w:p w:rsidR="00933E3E" w:rsidRDefault="00933E3E" w:rsidP="00933E3E">
      <w:pPr>
        <w:pStyle w:val="Caption"/>
        <w:numPr>
          <w:ilvl w:val="0"/>
          <w:numId w:val="25"/>
        </w:numPr>
      </w:pPr>
      <w:bookmarkStart w:id="13" w:name="_Ref420688085"/>
      <w:r>
        <w:t xml:space="preserve">Table </w:t>
      </w:r>
      <w:r w:rsidRPr="00933E3E">
        <w:fldChar w:fldCharType="begin"/>
      </w:r>
      <w:r>
        <w:instrText xml:space="preserve"> STYLEREF 1 \s </w:instrText>
      </w:r>
      <w:r w:rsidRPr="00933E3E">
        <w:fldChar w:fldCharType="separate"/>
      </w:r>
      <w:r w:rsidR="00691B4D">
        <w:rPr>
          <w:noProof/>
        </w:rPr>
        <w:t>3</w:t>
      </w:r>
      <w:r w:rsidRPr="00933E3E">
        <w:fldChar w:fldCharType="end"/>
      </w:r>
      <w:r>
        <w:noBreakHyphen/>
      </w:r>
      <w:r w:rsidRPr="00933E3E">
        <w:fldChar w:fldCharType="begin"/>
      </w:r>
      <w:r>
        <w:instrText xml:space="preserve"> SEQ Table \* ARABIC \s 1 </w:instrText>
      </w:r>
      <w:r w:rsidRPr="00933E3E">
        <w:fldChar w:fldCharType="separate"/>
      </w:r>
      <w:r w:rsidR="00691B4D">
        <w:rPr>
          <w:noProof/>
        </w:rPr>
        <w:t>1</w:t>
      </w:r>
      <w:r w:rsidRPr="00933E3E">
        <w:fldChar w:fldCharType="end"/>
      </w:r>
      <w:bookmarkEnd w:id="13"/>
      <w:r>
        <w:tab/>
        <w:t xml:space="preserve">Draft decision on </w:t>
      </w:r>
      <w:r w:rsidR="00A23DF5">
        <w:t xml:space="preserve">TasNetworks' </w:t>
      </w:r>
      <w:r>
        <w:t>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933E3E" w:rsidRPr="0036067E" w:rsidTr="00FB2460">
        <w:trPr>
          <w:cnfStyle w:val="100000000000" w:firstRow="1" w:lastRow="0" w:firstColumn="0" w:lastColumn="0" w:oddVBand="0" w:evenVBand="0" w:oddHBand="0" w:evenHBand="0" w:firstRowFirstColumn="0" w:firstRowLastColumn="0" w:lastRowFirstColumn="0" w:lastRowLastColumn="0"/>
        </w:trPr>
        <w:tc>
          <w:tcPr>
            <w:tcW w:w="1123" w:type="pct"/>
          </w:tcPr>
          <w:p w:rsidR="00933E3E" w:rsidRPr="00796C00" w:rsidRDefault="00933E3E" w:rsidP="00933E3E"/>
        </w:tc>
        <w:tc>
          <w:tcPr>
            <w:tcW w:w="970" w:type="pct"/>
          </w:tcPr>
          <w:p w:rsidR="00933E3E" w:rsidRPr="00933E3E" w:rsidRDefault="00A23DF5" w:rsidP="00933E3E">
            <w:r>
              <w:t>Our</w:t>
            </w:r>
            <w:r w:rsidR="00933E3E" w:rsidRPr="000954D7">
              <w:t xml:space="preserve"> </w:t>
            </w:r>
            <w:r w:rsidR="00933E3E" w:rsidRPr="00933E3E">
              <w:t>previous decision (201</w:t>
            </w:r>
            <w:r w:rsidR="00631474">
              <w:t>2</w:t>
            </w:r>
            <w:r w:rsidR="00720FD1" w:rsidRPr="00933E3E">
              <w:t>–</w:t>
            </w:r>
            <w:r w:rsidR="00933E3E" w:rsidRPr="00933E3E">
              <w:t>17)</w:t>
            </w:r>
          </w:p>
        </w:tc>
        <w:tc>
          <w:tcPr>
            <w:tcW w:w="1067" w:type="pct"/>
          </w:tcPr>
          <w:p w:rsidR="00933E3E" w:rsidRPr="00933E3E" w:rsidRDefault="00A23DF5" w:rsidP="003D3376">
            <w:r>
              <w:t>TasNetworks'</w:t>
            </w:r>
            <w:r w:rsidRPr="00933E3E">
              <w:t xml:space="preserve"> </w:t>
            </w:r>
            <w:r w:rsidR="00933E3E" w:rsidRPr="00933E3E">
              <w:t>proposal (201</w:t>
            </w:r>
            <w:r w:rsidR="00CD007F">
              <w:t>7</w:t>
            </w:r>
            <w:r w:rsidR="00720FD1" w:rsidRPr="00933E3E">
              <w:t>–</w:t>
            </w:r>
            <w:r w:rsidR="002F6577">
              <w:t>1</w:t>
            </w:r>
            <w:r w:rsidR="00CD007F">
              <w:t>8</w:t>
            </w:r>
            <w:r w:rsidR="00933E3E" w:rsidRPr="00933E3E">
              <w:t>)</w:t>
            </w:r>
          </w:p>
        </w:tc>
        <w:tc>
          <w:tcPr>
            <w:tcW w:w="736" w:type="pct"/>
          </w:tcPr>
          <w:p w:rsidR="00933E3E" w:rsidRPr="00933E3E" w:rsidRDefault="00A23DF5" w:rsidP="00933E3E">
            <w:r>
              <w:t>Our</w:t>
            </w:r>
            <w:r w:rsidR="00933E3E" w:rsidRPr="00381B0E">
              <w:t xml:space="preserve"> </w:t>
            </w:r>
            <w:r w:rsidR="003D3376">
              <w:t>draft decision (201</w:t>
            </w:r>
            <w:r w:rsidR="00CD007F">
              <w:t>7</w:t>
            </w:r>
            <w:r w:rsidR="00720FD1" w:rsidRPr="00933E3E">
              <w:t>–</w:t>
            </w:r>
            <w:r w:rsidR="002F6577">
              <w:t>1</w:t>
            </w:r>
            <w:r w:rsidR="00CD007F">
              <w:t>8</w:t>
            </w:r>
            <w:r w:rsidR="00933E3E" w:rsidRPr="00933E3E">
              <w:t>)</w:t>
            </w:r>
          </w:p>
        </w:tc>
        <w:tc>
          <w:tcPr>
            <w:tcW w:w="1104" w:type="pct"/>
          </w:tcPr>
          <w:p w:rsidR="00933E3E" w:rsidRPr="00933E3E" w:rsidRDefault="00933E3E" w:rsidP="00A23DF5">
            <w:r>
              <w:t>Allowed r</w:t>
            </w:r>
            <w:r w:rsidRPr="00933E3E">
              <w:t>eturn over 201</w:t>
            </w:r>
            <w:r w:rsidR="00EB2351">
              <w:t>7</w:t>
            </w:r>
            <w:r w:rsidRPr="00933E3E">
              <w:t>–</w:t>
            </w:r>
            <w:r w:rsidR="00A23DF5">
              <w:t>19</w:t>
            </w:r>
            <w:r w:rsidRPr="00933E3E">
              <w:t xml:space="preserve"> regulatory period</w:t>
            </w:r>
          </w:p>
        </w:tc>
      </w:tr>
      <w:tr w:rsidR="00933E3E" w:rsidRPr="00BD56F3" w:rsidTr="00FB2460">
        <w:tc>
          <w:tcPr>
            <w:tcW w:w="1123" w:type="pct"/>
          </w:tcPr>
          <w:p w:rsidR="00933E3E" w:rsidRPr="00933E3E" w:rsidRDefault="00933E3E" w:rsidP="00933E3E">
            <w:r>
              <w:t>R</w:t>
            </w:r>
            <w:r w:rsidRPr="00933E3E">
              <w:t xml:space="preserve">eturn on equity    (nominal post–tax) </w:t>
            </w:r>
          </w:p>
        </w:tc>
        <w:tc>
          <w:tcPr>
            <w:tcW w:w="970" w:type="pct"/>
            <w:vAlign w:val="top"/>
          </w:tcPr>
          <w:p w:rsidR="00933E3E" w:rsidRPr="00933E3E" w:rsidRDefault="00A23DF5" w:rsidP="00A23DF5">
            <w:pPr>
              <w:rPr>
                <w:rStyle w:val="AERtextsize8"/>
              </w:rPr>
            </w:pPr>
            <w:r>
              <w:rPr>
                <w:rStyle w:val="AERtextsize8"/>
              </w:rPr>
              <w:t>8.69</w:t>
            </w:r>
          </w:p>
        </w:tc>
        <w:tc>
          <w:tcPr>
            <w:tcW w:w="1067" w:type="pct"/>
            <w:vAlign w:val="top"/>
          </w:tcPr>
          <w:p w:rsidR="00933E3E" w:rsidRPr="00933E3E" w:rsidRDefault="002D183C" w:rsidP="00933E3E">
            <w:pPr>
              <w:rPr>
                <w:rStyle w:val="AERtextsize8"/>
              </w:rPr>
            </w:pPr>
            <w:r>
              <w:rPr>
                <w:rStyle w:val="AERtextsize8"/>
              </w:rPr>
              <w:t>7.30</w:t>
            </w:r>
          </w:p>
        </w:tc>
        <w:tc>
          <w:tcPr>
            <w:tcW w:w="736" w:type="pct"/>
            <w:vAlign w:val="top"/>
          </w:tcPr>
          <w:p w:rsidR="00933E3E" w:rsidRPr="00933E3E" w:rsidRDefault="00C02DC8" w:rsidP="00933E3E">
            <w:pPr>
              <w:rPr>
                <w:rStyle w:val="AERtextsize8"/>
              </w:rPr>
            </w:pPr>
            <w:r>
              <w:rPr>
                <w:rStyle w:val="AERtextsize8"/>
              </w:rPr>
              <w:t>6.5</w:t>
            </w:r>
            <w:r w:rsidR="00911F2C">
              <w:rPr>
                <w:rStyle w:val="AERtextsize8"/>
              </w:rPr>
              <w:t>0</w:t>
            </w:r>
          </w:p>
        </w:tc>
        <w:tc>
          <w:tcPr>
            <w:tcW w:w="1104" w:type="pct"/>
            <w:vAlign w:val="top"/>
          </w:tcPr>
          <w:p w:rsidR="00933E3E" w:rsidRPr="00933E3E" w:rsidRDefault="00933E3E" w:rsidP="00C02DC8">
            <w:pPr>
              <w:rPr>
                <w:rStyle w:val="AERtextsize8"/>
              </w:rPr>
            </w:pPr>
            <w:r w:rsidRPr="00C24DB1">
              <w:rPr>
                <w:rStyle w:val="AERtextsize8"/>
              </w:rPr>
              <w:t xml:space="preserve">Constant </w:t>
            </w:r>
            <w:r w:rsidRPr="00933E3E">
              <w:rPr>
                <w:rStyle w:val="AERtextsize8"/>
              </w:rPr>
              <w:t xml:space="preserve">  (</w:t>
            </w:r>
            <w:r w:rsidR="00C02DC8">
              <w:rPr>
                <w:rStyle w:val="AERtextsize8"/>
              </w:rPr>
              <w:t>6.5</w:t>
            </w:r>
            <w:r w:rsidRPr="00933E3E">
              <w:rPr>
                <w:rStyle w:val="AERtextsize8"/>
              </w:rPr>
              <w:t>%)</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tcW w:w="1123" w:type="pct"/>
          </w:tcPr>
          <w:p w:rsidR="00933E3E" w:rsidRPr="00933E3E" w:rsidRDefault="00933E3E" w:rsidP="00933E3E">
            <w:r>
              <w:t>Return on debt</w:t>
            </w:r>
            <w:r w:rsidRPr="00933E3E">
              <w:t xml:space="preserve">      (nominal pre–tax)</w:t>
            </w:r>
          </w:p>
        </w:tc>
        <w:tc>
          <w:tcPr>
            <w:tcW w:w="970" w:type="pct"/>
            <w:vAlign w:val="top"/>
          </w:tcPr>
          <w:p w:rsidR="00933E3E" w:rsidRPr="00933E3E" w:rsidRDefault="00A23DF5" w:rsidP="00A23DF5">
            <w:pPr>
              <w:rPr>
                <w:rStyle w:val="AERtextsize8"/>
              </w:rPr>
            </w:pPr>
            <w:r>
              <w:rPr>
                <w:rStyle w:val="AERtextsize8"/>
              </w:rPr>
              <w:t>8.00</w:t>
            </w:r>
          </w:p>
        </w:tc>
        <w:tc>
          <w:tcPr>
            <w:tcW w:w="1067" w:type="pct"/>
            <w:vAlign w:val="top"/>
          </w:tcPr>
          <w:p w:rsidR="00933E3E" w:rsidRPr="00933E3E" w:rsidRDefault="002D183C" w:rsidP="00933E3E">
            <w:pPr>
              <w:rPr>
                <w:rStyle w:val="AERtextsize8"/>
              </w:rPr>
            </w:pPr>
            <w:r>
              <w:rPr>
                <w:rStyle w:val="AERtextsize8"/>
              </w:rPr>
              <w:t>5.20</w:t>
            </w:r>
          </w:p>
        </w:tc>
        <w:tc>
          <w:tcPr>
            <w:tcW w:w="736" w:type="pct"/>
            <w:vAlign w:val="top"/>
          </w:tcPr>
          <w:p w:rsidR="00933E3E" w:rsidRPr="00933E3E" w:rsidRDefault="00D56DEA" w:rsidP="00933E3E">
            <w:pPr>
              <w:rPr>
                <w:rStyle w:val="AERtextsize8"/>
              </w:rPr>
            </w:pPr>
            <w:r>
              <w:rPr>
                <w:rStyle w:val="AERtextsize8"/>
              </w:rPr>
              <w:t>4.79</w:t>
            </w:r>
          </w:p>
        </w:tc>
        <w:tc>
          <w:tcPr>
            <w:tcW w:w="1104" w:type="pct"/>
            <w:vAlign w:val="top"/>
          </w:tcPr>
          <w:p w:rsidR="00933E3E" w:rsidRPr="00933E3E" w:rsidRDefault="00933E3E" w:rsidP="00933E3E">
            <w:pPr>
              <w:rPr>
                <w:rStyle w:val="AERtextsize8"/>
              </w:rPr>
            </w:pPr>
            <w:r w:rsidRPr="00C24DB1">
              <w:rPr>
                <w:rStyle w:val="AERtextsize8"/>
              </w:rPr>
              <w:t>Updated annually</w:t>
            </w:r>
          </w:p>
        </w:tc>
      </w:tr>
      <w:tr w:rsidR="00933E3E" w:rsidRPr="00BD56F3" w:rsidTr="00FB2460">
        <w:tc>
          <w:tcPr>
            <w:tcW w:w="1123" w:type="pct"/>
          </w:tcPr>
          <w:p w:rsidR="00933E3E" w:rsidRPr="00933E3E" w:rsidRDefault="00933E3E" w:rsidP="00933E3E">
            <w:r>
              <w:t>Gearing</w:t>
            </w:r>
          </w:p>
        </w:tc>
        <w:tc>
          <w:tcPr>
            <w:tcW w:w="970" w:type="pct"/>
            <w:vAlign w:val="top"/>
          </w:tcPr>
          <w:p w:rsidR="00933E3E" w:rsidRPr="00933E3E" w:rsidRDefault="00933E3E" w:rsidP="00933E3E">
            <w:pPr>
              <w:rPr>
                <w:rStyle w:val="AERtextsize8"/>
              </w:rPr>
            </w:pPr>
            <w:r w:rsidRPr="00C24DB1">
              <w:rPr>
                <w:rStyle w:val="AERtextsize8"/>
              </w:rPr>
              <w:t>60</w:t>
            </w:r>
          </w:p>
        </w:tc>
        <w:tc>
          <w:tcPr>
            <w:tcW w:w="1067" w:type="pct"/>
            <w:vAlign w:val="top"/>
          </w:tcPr>
          <w:p w:rsidR="00933E3E" w:rsidRPr="00933E3E" w:rsidRDefault="00933E3E" w:rsidP="00933E3E">
            <w:pPr>
              <w:rPr>
                <w:rStyle w:val="AERtextsize8"/>
              </w:rPr>
            </w:pPr>
            <w:r w:rsidRPr="00C24DB1">
              <w:rPr>
                <w:rStyle w:val="AERtextsize8"/>
              </w:rPr>
              <w:t>60</w:t>
            </w:r>
          </w:p>
        </w:tc>
        <w:tc>
          <w:tcPr>
            <w:tcW w:w="736" w:type="pct"/>
            <w:vAlign w:val="top"/>
          </w:tcPr>
          <w:p w:rsidR="00933E3E" w:rsidRPr="00933E3E" w:rsidRDefault="00933E3E" w:rsidP="00933E3E">
            <w:pPr>
              <w:rPr>
                <w:rStyle w:val="AERtextsize8"/>
              </w:rPr>
            </w:pPr>
            <w:r w:rsidRPr="00C24DB1">
              <w:rPr>
                <w:rStyle w:val="AERtextsize8"/>
              </w:rPr>
              <w:t>60</w:t>
            </w:r>
          </w:p>
        </w:tc>
        <w:tc>
          <w:tcPr>
            <w:tcW w:w="1104" w:type="pct"/>
            <w:vAlign w:val="top"/>
          </w:tcPr>
          <w:p w:rsidR="00933E3E" w:rsidRPr="00933E3E" w:rsidRDefault="00933E3E" w:rsidP="00933E3E">
            <w:pPr>
              <w:rPr>
                <w:rStyle w:val="AERtextsize8"/>
              </w:rPr>
            </w:pPr>
            <w:r w:rsidRPr="00C24DB1">
              <w:rPr>
                <w:rStyle w:val="AERtextsize8"/>
              </w:rPr>
              <w:t>Constant   (60%)</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tcW w:w="1123" w:type="pct"/>
          </w:tcPr>
          <w:p w:rsidR="00933E3E" w:rsidRPr="00933E3E" w:rsidRDefault="002B2D25" w:rsidP="002B2D25">
            <w:r>
              <w:t>Overall rate of return</w:t>
            </w:r>
            <w:r w:rsidRPr="00796C00">
              <w:t xml:space="preserve"> </w:t>
            </w:r>
            <w:r>
              <w:t>(n</w:t>
            </w:r>
            <w:r w:rsidRPr="00796C00">
              <w:t>ominal</w:t>
            </w:r>
            <w:r>
              <w:t>,</w:t>
            </w:r>
            <w:r w:rsidRPr="00796C00">
              <w:t xml:space="preserve"> vanilla</w:t>
            </w:r>
            <w:r>
              <w:t>)</w:t>
            </w:r>
          </w:p>
        </w:tc>
        <w:tc>
          <w:tcPr>
            <w:tcW w:w="970" w:type="pct"/>
            <w:vAlign w:val="top"/>
          </w:tcPr>
          <w:p w:rsidR="00933E3E" w:rsidRPr="00933E3E" w:rsidRDefault="00A23DF5" w:rsidP="00A23DF5">
            <w:pPr>
              <w:rPr>
                <w:rStyle w:val="AERtextsize8"/>
              </w:rPr>
            </w:pPr>
            <w:r>
              <w:rPr>
                <w:rStyle w:val="AERtextsize8"/>
              </w:rPr>
              <w:t>8.28</w:t>
            </w:r>
          </w:p>
        </w:tc>
        <w:tc>
          <w:tcPr>
            <w:tcW w:w="1067" w:type="pct"/>
            <w:vAlign w:val="top"/>
          </w:tcPr>
          <w:p w:rsidR="00933E3E" w:rsidRPr="00933E3E" w:rsidRDefault="002D183C" w:rsidP="00933E3E">
            <w:pPr>
              <w:rPr>
                <w:rStyle w:val="AERtextsize8"/>
              </w:rPr>
            </w:pPr>
            <w:r>
              <w:rPr>
                <w:rStyle w:val="AERtextsize8"/>
              </w:rPr>
              <w:t>6.04</w:t>
            </w:r>
          </w:p>
        </w:tc>
        <w:tc>
          <w:tcPr>
            <w:tcW w:w="736" w:type="pct"/>
            <w:vAlign w:val="top"/>
          </w:tcPr>
          <w:p w:rsidR="00933E3E" w:rsidRPr="00933E3E" w:rsidRDefault="00C02DC8" w:rsidP="00FD4521">
            <w:pPr>
              <w:rPr>
                <w:rStyle w:val="AERtextsize8"/>
              </w:rPr>
            </w:pPr>
            <w:r>
              <w:rPr>
                <w:rStyle w:val="AERtextsize8"/>
              </w:rPr>
              <w:t>5.48</w:t>
            </w:r>
          </w:p>
        </w:tc>
        <w:tc>
          <w:tcPr>
            <w:tcW w:w="1104" w:type="pct"/>
            <w:vAlign w:val="top"/>
          </w:tcPr>
          <w:p w:rsidR="00933E3E" w:rsidRPr="00933E3E" w:rsidRDefault="00933E3E" w:rsidP="00933E3E">
            <w:pPr>
              <w:rPr>
                <w:rStyle w:val="AERtextsize8"/>
              </w:rPr>
            </w:pPr>
            <w:r w:rsidRPr="00C24DB1">
              <w:rPr>
                <w:rStyle w:val="AERtextsize8"/>
              </w:rPr>
              <w:t>Updated annually for return on debt</w:t>
            </w:r>
          </w:p>
        </w:tc>
      </w:tr>
      <w:tr w:rsidR="00933E3E" w:rsidRPr="00BD56F3" w:rsidTr="00FB2460">
        <w:tc>
          <w:tcPr>
            <w:tcW w:w="1123" w:type="pct"/>
          </w:tcPr>
          <w:p w:rsidR="00933E3E" w:rsidRPr="00933E3E" w:rsidRDefault="00933E3E" w:rsidP="00933E3E">
            <w:r>
              <w:t>Forecast inflation</w:t>
            </w:r>
          </w:p>
        </w:tc>
        <w:tc>
          <w:tcPr>
            <w:tcW w:w="970" w:type="pct"/>
            <w:vAlign w:val="top"/>
          </w:tcPr>
          <w:p w:rsidR="00933E3E" w:rsidRPr="00933E3E" w:rsidRDefault="002D183C" w:rsidP="00933E3E">
            <w:pPr>
              <w:rPr>
                <w:rStyle w:val="AERtextsize8"/>
              </w:rPr>
            </w:pPr>
            <w:r>
              <w:rPr>
                <w:rStyle w:val="AERtextsize8"/>
              </w:rPr>
              <w:t>2.60</w:t>
            </w:r>
          </w:p>
        </w:tc>
        <w:tc>
          <w:tcPr>
            <w:tcW w:w="1067" w:type="pct"/>
            <w:vAlign w:val="top"/>
          </w:tcPr>
          <w:p w:rsidR="00933E3E" w:rsidRPr="00933E3E" w:rsidRDefault="00A23DF5" w:rsidP="00A23DF5">
            <w:pPr>
              <w:rPr>
                <w:rStyle w:val="AERtextsize8"/>
              </w:rPr>
            </w:pPr>
            <w:r>
              <w:rPr>
                <w:rStyle w:val="AERtextsize8"/>
              </w:rPr>
              <w:t>2.50</w:t>
            </w:r>
          </w:p>
        </w:tc>
        <w:tc>
          <w:tcPr>
            <w:tcW w:w="736" w:type="pct"/>
            <w:vAlign w:val="top"/>
          </w:tcPr>
          <w:p w:rsidR="00933E3E" w:rsidRPr="00933E3E" w:rsidRDefault="00376ECA" w:rsidP="00367C32">
            <w:pPr>
              <w:rPr>
                <w:rStyle w:val="AERtextsize8"/>
              </w:rPr>
            </w:pPr>
            <w:r>
              <w:rPr>
                <w:rStyle w:val="AERtextsize8"/>
              </w:rPr>
              <w:t>2.45</w:t>
            </w:r>
          </w:p>
        </w:tc>
        <w:tc>
          <w:tcPr>
            <w:tcW w:w="1104" w:type="pct"/>
            <w:vAlign w:val="top"/>
          </w:tcPr>
          <w:p w:rsidR="00933E3E" w:rsidRPr="00933E3E" w:rsidRDefault="00933E3E" w:rsidP="00367C32">
            <w:pPr>
              <w:rPr>
                <w:rStyle w:val="AERtextsize8"/>
              </w:rPr>
            </w:pPr>
            <w:r w:rsidRPr="00C24DB1">
              <w:rPr>
                <w:rStyle w:val="AERtextsize8"/>
              </w:rPr>
              <w:t>Constant</w:t>
            </w:r>
            <w:r w:rsidR="003F2928">
              <w:rPr>
                <w:rStyle w:val="AERtextsize8"/>
              </w:rPr>
              <w:t xml:space="preserve">   (2.</w:t>
            </w:r>
            <w:r w:rsidR="00367C32">
              <w:rPr>
                <w:rStyle w:val="AERtextsize8"/>
              </w:rPr>
              <w:t>4</w:t>
            </w:r>
            <w:r w:rsidR="00BF222E">
              <w:rPr>
                <w:rStyle w:val="AERtextsize8"/>
              </w:rPr>
              <w:t>5</w:t>
            </w:r>
            <w:r w:rsidRPr="00933E3E">
              <w:rPr>
                <w:rStyle w:val="AERtextsize8"/>
              </w:rPr>
              <w:t>%)</w:t>
            </w:r>
          </w:p>
        </w:tc>
      </w:tr>
    </w:tbl>
    <w:p w:rsidR="00933E3E" w:rsidRDefault="00933E3E" w:rsidP="00933E3E">
      <w:pPr>
        <w:pStyle w:val="AERtablesource"/>
      </w:pPr>
      <w:r>
        <w:t>Source:</w:t>
      </w:r>
      <w:r>
        <w:tab/>
      </w:r>
      <w:r w:rsidR="002D183C">
        <w:t xml:space="preserve">AER analysis; </w:t>
      </w:r>
      <w:r w:rsidR="00A23DF5">
        <w:t xml:space="preserve">TasNetworks, </w:t>
      </w:r>
      <w:r w:rsidR="00A23DF5" w:rsidRPr="00A23DF5">
        <w:rPr>
          <w:rStyle w:val="AERtextitalic"/>
        </w:rPr>
        <w:t>Tasmanian Distribution Regulatory Proposal Regulatory Control Period 1 July 2017 to 30 June 2019</w:t>
      </w:r>
      <w:r w:rsidR="00A23DF5">
        <w:t>, 29 January 2016, p. 117</w:t>
      </w:r>
      <w:r w:rsidR="002D183C">
        <w:rPr>
          <w:rStyle w:val="AERtextsize8"/>
        </w:rPr>
        <w:t xml:space="preserve">AER, </w:t>
      </w:r>
      <w:r w:rsidR="00D95B4C" w:rsidRPr="00D95B4C">
        <w:rPr>
          <w:rStyle w:val="AERtextitalic"/>
        </w:rPr>
        <w:t>Final Distribution Determination: Aurora Energy Pty Ltd 2012-13 to 2016-17</w:t>
      </w:r>
      <w:r w:rsidR="002D183C">
        <w:rPr>
          <w:rStyle w:val="AERtextsize8"/>
        </w:rPr>
        <w:t>, April 2012</w:t>
      </w:r>
      <w:r w:rsidR="009C2689">
        <w:rPr>
          <w:rStyle w:val="AERtextsize8"/>
        </w:rPr>
        <w:t xml:space="preserve">, p. </w:t>
      </w:r>
      <w:r w:rsidR="00A23DF5">
        <w:rPr>
          <w:rStyle w:val="AERtextsize8"/>
        </w:rPr>
        <w:t>29</w:t>
      </w:r>
      <w:r w:rsidR="002D183C">
        <w:t>.</w:t>
      </w:r>
    </w:p>
    <w:p w:rsidR="00933E3E" w:rsidRDefault="00933E3E" w:rsidP="00933E3E">
      <w:r>
        <w:t xml:space="preserve">Our return on equity estimate is </w:t>
      </w:r>
      <w:r w:rsidR="00C02DC8">
        <w:t>6.5</w:t>
      </w:r>
      <w:r>
        <w:t xml:space="preserve"> per cent. This rate will apply to </w:t>
      </w:r>
      <w:r w:rsidR="00D95B4C">
        <w:t xml:space="preserve">TasNetworks </w:t>
      </w:r>
      <w:r>
        <w:t xml:space="preserve">in each regulatory year. Our return on debt estimate for the </w:t>
      </w:r>
      <w:r w:rsidR="00CD007F">
        <w:t xml:space="preserve">2017–18 </w:t>
      </w:r>
      <w:r>
        <w:t xml:space="preserve">regulatory year is </w:t>
      </w:r>
      <w:r w:rsidR="00C02DC8">
        <w:t>4.79</w:t>
      </w:r>
      <w:r>
        <w:t xml:space="preserve"> per cent. This estimate will change each year as we partially update the return on debt to reflect prevailing interest rates over </w:t>
      </w:r>
      <w:r w:rsidR="00D95B4C">
        <w:t xml:space="preserve">TasNetworks' </w:t>
      </w:r>
      <w:r>
        <w:t xml:space="preserve">debt averaging period in each year. Our return on debt estimate for future regulatory years will be determined in accordance with the methodology and formulae we have specified in this decision. As a result of updating the return on debt each year, the overall rate of return and </w:t>
      </w:r>
      <w:r w:rsidR="00D95B4C">
        <w:t xml:space="preserve">TasNetworks' </w:t>
      </w:r>
      <w:r>
        <w:t>revenue will also be updated.</w:t>
      </w:r>
    </w:p>
    <w:p w:rsidR="00933E3E" w:rsidRDefault="00955A50" w:rsidP="00EF22DF">
      <w:pPr>
        <w:numPr>
          <w:ilvl w:val="0"/>
          <w:numId w:val="25"/>
        </w:numPr>
      </w:pPr>
      <w:r>
        <w:t xml:space="preserve">We accept </w:t>
      </w:r>
      <w:r w:rsidR="00D95B4C">
        <w:t xml:space="preserve">TasNetworks' </w:t>
      </w:r>
      <w:r>
        <w:t>application of our Guideline return on equity approach. We have applied this approach and updated it for prevailing market conditions. O</w:t>
      </w:r>
      <w:r w:rsidR="00933E3E">
        <w:t xml:space="preserve">ur return on equity point estimate and the parameter inputs are set out in the </w:t>
      </w:r>
      <w:r w:rsidR="00933E3E">
        <w:fldChar w:fldCharType="begin"/>
      </w:r>
      <w:r w:rsidR="00933E3E">
        <w:instrText xml:space="preserve"> REF  _Ref433137430 \* Lower \h </w:instrText>
      </w:r>
      <w:r w:rsidR="00933E3E">
        <w:fldChar w:fldCharType="separate"/>
      </w:r>
      <w:r w:rsidR="00691B4D">
        <w:t xml:space="preserve">table </w:t>
      </w:r>
      <w:r w:rsidR="00691B4D">
        <w:rPr>
          <w:noProof/>
        </w:rPr>
        <w:t>3</w:t>
      </w:r>
      <w:r w:rsidR="00691B4D">
        <w:noBreakHyphen/>
      </w:r>
      <w:r w:rsidR="00691B4D">
        <w:rPr>
          <w:noProof/>
        </w:rPr>
        <w:t>2</w:t>
      </w:r>
      <w:r w:rsidR="00933E3E">
        <w:fldChar w:fldCharType="end"/>
      </w:r>
      <w:r w:rsidR="00933E3E">
        <w:t xml:space="preserve">. </w:t>
      </w:r>
      <w:r w:rsidR="00EC4BB3">
        <w:t xml:space="preserve">We note that </w:t>
      </w:r>
      <w:r w:rsidR="0062128D">
        <w:t>since we published the guideline in December 2013, we have applied the guideline approach to estimating return on equity in our decisions for NSW electricity transmission, NSW electricity distribution, ACT electricity distribution, SA electricity distribution, Vic electricity distribution, NSW gas distribution, SA gas distribution, ACT gas distribution, and NT gas transmission. T</w:t>
      </w:r>
      <w:r w:rsidR="00EC4BB3">
        <w:t>he Australian Competition Tribunal (Tribunal) recently upheld the use of our Guideline approach for estimating return on equity.</w:t>
      </w:r>
      <w:r w:rsidR="00EC4BB3">
        <w:rPr>
          <w:rStyle w:val="FootnoteReference"/>
        </w:rPr>
        <w:footnoteReference w:id="6"/>
      </w:r>
    </w:p>
    <w:p w:rsidR="00933E3E" w:rsidRDefault="00933E3E" w:rsidP="00933E3E">
      <w:pPr>
        <w:pStyle w:val="Caption"/>
      </w:pPr>
      <w:bookmarkStart w:id="14" w:name="_Ref433137430"/>
      <w:r>
        <w:lastRenderedPageBreak/>
        <w:t xml:space="preserve">Table </w:t>
      </w:r>
      <w:r w:rsidRPr="00933E3E">
        <w:fldChar w:fldCharType="begin"/>
      </w:r>
      <w:r>
        <w:instrText xml:space="preserve"> STYLEREF 1 \s </w:instrText>
      </w:r>
      <w:r w:rsidRPr="00933E3E">
        <w:fldChar w:fldCharType="separate"/>
      </w:r>
      <w:r w:rsidR="00691B4D">
        <w:rPr>
          <w:noProof/>
        </w:rPr>
        <w:t>3</w:t>
      </w:r>
      <w:r w:rsidRPr="00933E3E">
        <w:fldChar w:fldCharType="end"/>
      </w:r>
      <w:r>
        <w:noBreakHyphen/>
      </w:r>
      <w:r w:rsidRPr="00933E3E">
        <w:fldChar w:fldCharType="begin"/>
      </w:r>
      <w:r>
        <w:instrText xml:space="preserve"> SEQ Table \* ARABIC \s 1 </w:instrText>
      </w:r>
      <w:r w:rsidRPr="00933E3E">
        <w:fldChar w:fldCharType="separate"/>
      </w:r>
      <w:r w:rsidR="00691B4D">
        <w:rPr>
          <w:noProof/>
        </w:rPr>
        <w:t>2</w:t>
      </w:r>
      <w:r w:rsidRPr="00933E3E">
        <w:fldChar w:fldCharType="end"/>
      </w:r>
      <w:bookmarkEnd w:id="14"/>
      <w:r>
        <w:tab/>
      </w:r>
      <w:r w:rsidR="003E2480">
        <w:t xml:space="preserve">Draft </w:t>
      </w:r>
      <w:r>
        <w:t xml:space="preserve">decision on </w:t>
      </w:r>
      <w:r w:rsidR="001A22FA">
        <w:t>TasNetworks'</w:t>
      </w:r>
      <w:r>
        <w:t xml:space="preserve">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933E3E" w:rsidRPr="0036067E" w:rsidTr="00FB2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33E3E" w:rsidRPr="00796C00" w:rsidRDefault="00933E3E" w:rsidP="00933E3E"/>
        </w:tc>
        <w:tc>
          <w:tcPr>
            <w:tcW w:w="1177" w:type="pct"/>
          </w:tcPr>
          <w:p w:rsidR="00933E3E" w:rsidRPr="00933E3E" w:rsidRDefault="00D95B4C" w:rsidP="00EF22DF">
            <w:pPr>
              <w:cnfStyle w:val="100000000000" w:firstRow="1" w:lastRow="0" w:firstColumn="0" w:lastColumn="0" w:oddVBand="0" w:evenVBand="0" w:oddHBand="0" w:evenHBand="0" w:firstRowFirstColumn="0" w:firstRowLastColumn="0" w:lastRowFirstColumn="0" w:lastRowLastColumn="0"/>
            </w:pPr>
            <w:r>
              <w:t>Our</w:t>
            </w:r>
            <w:r w:rsidR="00933E3E" w:rsidRPr="000954D7">
              <w:t xml:space="preserve"> </w:t>
            </w:r>
            <w:r w:rsidR="00933E3E" w:rsidRPr="00933E3E">
              <w:t>previous decision (</w:t>
            </w:r>
            <w:r w:rsidR="00EF22DF" w:rsidRPr="00933E3E">
              <w:t>201</w:t>
            </w:r>
            <w:r w:rsidR="00EF22DF">
              <w:t>2</w:t>
            </w:r>
            <w:r w:rsidR="00933E3E" w:rsidRPr="00933E3E">
              <w:t>–17)</w:t>
            </w:r>
          </w:p>
        </w:tc>
        <w:tc>
          <w:tcPr>
            <w:tcW w:w="1386" w:type="pct"/>
          </w:tcPr>
          <w:p w:rsidR="00933E3E" w:rsidRPr="00933E3E" w:rsidRDefault="003C74CD" w:rsidP="003C74CD">
            <w:pPr>
              <w:cnfStyle w:val="100000000000" w:firstRow="1" w:lastRow="0" w:firstColumn="0" w:lastColumn="0" w:oddVBand="0" w:evenVBand="0" w:oddHBand="0" w:evenHBand="0" w:firstRowFirstColumn="0" w:firstRowLastColumn="0" w:lastRowFirstColumn="0" w:lastRowLastColumn="0"/>
            </w:pPr>
            <w:r>
              <w:t>TasNetworks</w:t>
            </w:r>
            <w:r w:rsidRPr="00933E3E">
              <w:t xml:space="preserve"> </w:t>
            </w:r>
            <w:r w:rsidR="00933E3E" w:rsidRPr="00933E3E">
              <w:t>proposal (201</w:t>
            </w:r>
            <w:r w:rsidR="00720FD1">
              <w:t>7</w:t>
            </w:r>
            <w:r w:rsidR="00933E3E" w:rsidRPr="00933E3E">
              <w:t>-</w:t>
            </w:r>
            <w:r>
              <w:t>19</w:t>
            </w:r>
            <w:r w:rsidR="00933E3E" w:rsidRPr="00933E3E">
              <w:t>)</w:t>
            </w:r>
            <w:r w:rsidR="00933E3E" w:rsidRPr="00933E3E">
              <w:rPr>
                <w:rStyle w:val="AERsuperscript"/>
              </w:rPr>
              <w:t>a)</w:t>
            </w:r>
          </w:p>
        </w:tc>
        <w:tc>
          <w:tcPr>
            <w:tcW w:w="1187" w:type="pct"/>
          </w:tcPr>
          <w:p w:rsidR="00933E3E" w:rsidRPr="00933E3E" w:rsidRDefault="003C74CD" w:rsidP="003C74CD">
            <w:pPr>
              <w:cnfStyle w:val="100000000000" w:firstRow="1" w:lastRow="0" w:firstColumn="0" w:lastColumn="0" w:oddVBand="0" w:evenVBand="0" w:oddHBand="0" w:evenHBand="0" w:firstRowFirstColumn="0" w:firstRowLastColumn="0" w:lastRowFirstColumn="0" w:lastRowLastColumn="0"/>
            </w:pPr>
            <w:r>
              <w:t>Our</w:t>
            </w:r>
            <w:r w:rsidR="00933E3E" w:rsidRPr="00381B0E">
              <w:t xml:space="preserve"> </w:t>
            </w:r>
            <w:r w:rsidR="00933E3E" w:rsidRPr="00933E3E">
              <w:t>draft decision (201</w:t>
            </w:r>
            <w:r w:rsidR="00720FD1">
              <w:t>7</w:t>
            </w:r>
            <w:r w:rsidR="00933E3E" w:rsidRPr="00933E3E">
              <w:t>–</w:t>
            </w:r>
            <w:r>
              <w:t>19</w:t>
            </w:r>
            <w:r w:rsidR="00933E3E" w:rsidRPr="00933E3E">
              <w:t>)</w:t>
            </w:r>
          </w:p>
        </w:tc>
      </w:tr>
      <w:tr w:rsidR="00933E3E" w:rsidRPr="00BD56F3" w:rsidTr="00FB2460">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Nominal risk free rate</w:t>
            </w:r>
            <w:r w:rsidRPr="00933E3E">
              <w:t xml:space="preserve"> (return on equity only)</w:t>
            </w:r>
          </w:p>
        </w:tc>
        <w:tc>
          <w:tcPr>
            <w:tcW w:w="1177" w:type="pct"/>
            <w:vAlign w:val="top"/>
          </w:tcPr>
          <w:p w:rsidR="00933E3E" w:rsidRPr="00933E3E" w:rsidRDefault="00D95B4C" w:rsidP="00D95B4C">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3.89</w:t>
            </w:r>
            <w:r w:rsidR="00933E3E" w:rsidRPr="00933E3E">
              <w:rPr>
                <w:rStyle w:val="AERtextsize8"/>
              </w:rPr>
              <w:t>%</w:t>
            </w:r>
          </w:p>
        </w:tc>
        <w:tc>
          <w:tcPr>
            <w:tcW w:w="1386" w:type="pct"/>
            <w:vAlign w:val="top"/>
          </w:tcPr>
          <w:p w:rsidR="00933E3E" w:rsidRPr="00933E3E" w:rsidRDefault="003C74CD" w:rsidP="003C74CD">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2.75</w:t>
            </w:r>
            <w:r w:rsidR="00933E3E" w:rsidRPr="00933E3E">
              <w:rPr>
                <w:rStyle w:val="AERtextsize8"/>
              </w:rPr>
              <w:t>%</w:t>
            </w:r>
          </w:p>
        </w:tc>
        <w:tc>
          <w:tcPr>
            <w:tcW w:w="1187" w:type="pct"/>
            <w:vAlign w:val="top"/>
          </w:tcPr>
          <w:p w:rsidR="00933E3E" w:rsidRPr="00933E3E" w:rsidRDefault="00C02DC8"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1.9</w:t>
            </w:r>
            <w:r w:rsidR="00911F2C">
              <w:rPr>
                <w:rStyle w:val="AERtextsize8"/>
              </w:rPr>
              <w:t>5</w:t>
            </w:r>
            <w:r w:rsidR="00933E3E" w:rsidRPr="00C24DB1">
              <w:rPr>
                <w:rStyle w:val="AERtextsize8"/>
              </w:rPr>
              <w:t>%</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 xml:space="preserve">Equity risk premium </w:t>
            </w:r>
          </w:p>
        </w:tc>
        <w:tc>
          <w:tcPr>
            <w:tcW w:w="117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5.20%</w:t>
            </w:r>
          </w:p>
        </w:tc>
        <w:tc>
          <w:tcPr>
            <w:tcW w:w="1386" w:type="pct"/>
            <w:vAlign w:val="top"/>
          </w:tcPr>
          <w:p w:rsidR="00933E3E" w:rsidRPr="00933E3E" w:rsidRDefault="005474E0" w:rsidP="00933E3E">
            <w:pPr>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4.55</w:t>
            </w:r>
            <w:r w:rsidR="00933E3E" w:rsidRPr="00933E3E">
              <w:rPr>
                <w:rStyle w:val="AERtextsize8"/>
              </w:rPr>
              <w:t>%</w:t>
            </w:r>
          </w:p>
        </w:tc>
        <w:tc>
          <w:tcPr>
            <w:tcW w:w="118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4.55%</w:t>
            </w:r>
          </w:p>
        </w:tc>
      </w:tr>
      <w:tr w:rsidR="00933E3E" w:rsidRPr="00BD56F3" w:rsidTr="00FB2460">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BB4CAA" w:rsidP="00933E3E">
            <w:r>
              <w:t>Market risk premium</w:t>
            </w:r>
          </w:p>
        </w:tc>
        <w:tc>
          <w:tcPr>
            <w:tcW w:w="1177"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sidRPr="00C24DB1">
              <w:rPr>
                <w:rStyle w:val="AERtextsize8"/>
              </w:rPr>
              <w:t>6.50%</w:t>
            </w:r>
          </w:p>
        </w:tc>
        <w:tc>
          <w:tcPr>
            <w:tcW w:w="1386" w:type="pct"/>
            <w:vAlign w:val="top"/>
          </w:tcPr>
          <w:p w:rsidR="00933E3E" w:rsidRPr="00933E3E" w:rsidRDefault="00EF22DF"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6.5</w:t>
            </w:r>
            <w:r w:rsidR="005474E0">
              <w:rPr>
                <w:rStyle w:val="AERtextsize8"/>
              </w:rPr>
              <w:t>0</w:t>
            </w:r>
            <w:r w:rsidR="00933E3E" w:rsidRPr="00933E3E">
              <w:rPr>
                <w:rStyle w:val="AERtextsize8"/>
              </w:rPr>
              <w:t>%</w:t>
            </w:r>
          </w:p>
        </w:tc>
        <w:tc>
          <w:tcPr>
            <w:tcW w:w="1187" w:type="pct"/>
            <w:vAlign w:val="top"/>
          </w:tcPr>
          <w:p w:rsidR="00933E3E" w:rsidRPr="00933E3E" w:rsidRDefault="00933E3E" w:rsidP="00933E3E">
            <w:pPr>
              <w:cnfStyle w:val="000000000000" w:firstRow="0" w:lastRow="0" w:firstColumn="0" w:lastColumn="0" w:oddVBand="0" w:evenVBand="0" w:oddHBand="0" w:evenHBand="0" w:firstRowFirstColumn="0" w:firstRowLastColumn="0" w:lastRowFirstColumn="0" w:lastRowLastColumn="0"/>
              <w:rPr>
                <w:rStyle w:val="AERtextsize8"/>
              </w:rPr>
            </w:pPr>
            <w:r w:rsidRPr="00C24DB1">
              <w:rPr>
                <w:rStyle w:val="AERtextsize8"/>
              </w:rPr>
              <w:t>6.50%</w:t>
            </w:r>
          </w:p>
        </w:tc>
      </w:tr>
      <w:tr w:rsidR="00933E3E" w:rsidRPr="00BD56F3" w:rsidTr="00FB2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Equity beta</w:t>
            </w:r>
          </w:p>
        </w:tc>
        <w:tc>
          <w:tcPr>
            <w:tcW w:w="117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0.8</w:t>
            </w:r>
          </w:p>
        </w:tc>
        <w:tc>
          <w:tcPr>
            <w:tcW w:w="1386" w:type="pct"/>
            <w:vAlign w:val="top"/>
          </w:tcPr>
          <w:p w:rsidR="00933E3E" w:rsidRPr="00933E3E" w:rsidRDefault="00EF22DF" w:rsidP="00933E3E">
            <w:pPr>
              <w:cnfStyle w:val="000000010000" w:firstRow="0" w:lastRow="0" w:firstColumn="0" w:lastColumn="0" w:oddVBand="0" w:evenVBand="0" w:oddHBand="0" w:evenHBand="1" w:firstRowFirstColumn="0" w:firstRowLastColumn="0" w:lastRowFirstColumn="0" w:lastRowLastColumn="0"/>
              <w:rPr>
                <w:rStyle w:val="AERtextsize8"/>
              </w:rPr>
            </w:pPr>
            <w:r>
              <w:rPr>
                <w:rStyle w:val="AERtextsize8"/>
              </w:rPr>
              <w:t>0.7</w:t>
            </w:r>
          </w:p>
        </w:tc>
        <w:tc>
          <w:tcPr>
            <w:tcW w:w="1187" w:type="pct"/>
            <w:vAlign w:val="top"/>
          </w:tcPr>
          <w:p w:rsidR="00933E3E" w:rsidRPr="00933E3E" w:rsidRDefault="00933E3E" w:rsidP="00933E3E">
            <w:pPr>
              <w:cnfStyle w:val="000000010000" w:firstRow="0" w:lastRow="0" w:firstColumn="0" w:lastColumn="0" w:oddVBand="0" w:evenVBand="0" w:oddHBand="0" w:evenHBand="1" w:firstRowFirstColumn="0" w:firstRowLastColumn="0" w:lastRowFirstColumn="0" w:lastRowLastColumn="0"/>
              <w:rPr>
                <w:rStyle w:val="AERtextsize8"/>
              </w:rPr>
            </w:pPr>
            <w:r w:rsidRPr="00C24DB1">
              <w:rPr>
                <w:rStyle w:val="AERtextsize8"/>
              </w:rPr>
              <w:t>0.7</w:t>
            </w:r>
          </w:p>
        </w:tc>
      </w:tr>
      <w:tr w:rsidR="00933E3E" w:rsidRPr="00BD56F3" w:rsidTr="00FB2460">
        <w:tc>
          <w:tcPr>
            <w:cnfStyle w:val="001000000000" w:firstRow="0" w:lastRow="0" w:firstColumn="1" w:lastColumn="0" w:oddVBand="0" w:evenVBand="0" w:oddHBand="0" w:evenHBand="0" w:firstRowFirstColumn="0" w:firstRowLastColumn="0" w:lastRowFirstColumn="0" w:lastRowLastColumn="0"/>
            <w:tcW w:w="1250" w:type="pct"/>
          </w:tcPr>
          <w:p w:rsidR="00933E3E" w:rsidRPr="00933E3E" w:rsidRDefault="00933E3E" w:rsidP="00933E3E">
            <w:r w:rsidRPr="00796C00">
              <w:t xml:space="preserve">Nominal post–tax return on equity </w:t>
            </w:r>
          </w:p>
        </w:tc>
        <w:tc>
          <w:tcPr>
            <w:tcW w:w="1177" w:type="pct"/>
            <w:vAlign w:val="top"/>
          </w:tcPr>
          <w:p w:rsidR="00933E3E" w:rsidRPr="00933E3E" w:rsidRDefault="003C74CD" w:rsidP="003C74CD">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8.69</w:t>
            </w:r>
            <w:r w:rsidR="00933E3E" w:rsidRPr="00933E3E">
              <w:rPr>
                <w:rStyle w:val="AERtextsize8"/>
              </w:rPr>
              <w:t>%</w:t>
            </w:r>
          </w:p>
        </w:tc>
        <w:tc>
          <w:tcPr>
            <w:tcW w:w="1386" w:type="pct"/>
            <w:vAlign w:val="top"/>
          </w:tcPr>
          <w:p w:rsidR="00933E3E" w:rsidRPr="00933E3E" w:rsidRDefault="00EF22DF" w:rsidP="00933E3E">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7.3</w:t>
            </w:r>
            <w:r w:rsidR="00933E3E" w:rsidRPr="00933E3E">
              <w:rPr>
                <w:rStyle w:val="AERtextsize8"/>
              </w:rPr>
              <w:t>%</w:t>
            </w:r>
          </w:p>
        </w:tc>
        <w:tc>
          <w:tcPr>
            <w:tcW w:w="1187" w:type="pct"/>
            <w:vAlign w:val="top"/>
          </w:tcPr>
          <w:p w:rsidR="00933E3E" w:rsidRPr="00933E3E" w:rsidRDefault="00C02DC8" w:rsidP="00294D22">
            <w:pPr>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6.5</w:t>
            </w:r>
            <w:r w:rsidR="00911F2C">
              <w:rPr>
                <w:rStyle w:val="AERtextsize8"/>
              </w:rPr>
              <w:t>0</w:t>
            </w:r>
            <w:r w:rsidR="00933E3E" w:rsidRPr="00C24DB1">
              <w:rPr>
                <w:rStyle w:val="AERtextsize8"/>
              </w:rPr>
              <w:t>%</w:t>
            </w:r>
          </w:p>
        </w:tc>
      </w:tr>
    </w:tbl>
    <w:p w:rsidR="00933E3E" w:rsidRDefault="00933E3E" w:rsidP="00933E3E">
      <w:pPr>
        <w:pStyle w:val="AERtablesource"/>
      </w:pPr>
      <w:r>
        <w:t>Source:</w:t>
      </w:r>
      <w:r>
        <w:tab/>
      </w:r>
      <w:r w:rsidR="005474E0">
        <w:t xml:space="preserve">AER analysis; </w:t>
      </w:r>
      <w:r w:rsidR="003C74CD">
        <w:t xml:space="preserve">TasNetworks, </w:t>
      </w:r>
      <w:r w:rsidR="003C74CD" w:rsidRPr="003C74CD">
        <w:rPr>
          <w:rStyle w:val="AERtextitalic"/>
        </w:rPr>
        <w:t>Tasmanian Distribution Regulatory Proposal Regulatory Control Period 1 July 2017 to 30 June 2019</w:t>
      </w:r>
      <w:r w:rsidR="003C74CD">
        <w:t>, 29 January 2016, p. 117</w:t>
      </w:r>
      <w:r w:rsidR="005474E0">
        <w:rPr>
          <w:rStyle w:val="AERtextsize8"/>
        </w:rPr>
        <w:t xml:space="preserve">AER, </w:t>
      </w:r>
      <w:r w:rsidR="003C74CD" w:rsidRPr="003C74CD">
        <w:rPr>
          <w:rStyle w:val="AERtextitalic"/>
        </w:rPr>
        <w:t>Final Distribution Determination: Aurora Energy Pty Ltd 2012-13 to 2016-17</w:t>
      </w:r>
      <w:r w:rsidR="005474E0">
        <w:rPr>
          <w:rStyle w:val="AERtextsize8"/>
        </w:rPr>
        <w:t>, April 2012</w:t>
      </w:r>
      <w:r w:rsidR="009C2689">
        <w:rPr>
          <w:rStyle w:val="AERtextsize8"/>
        </w:rPr>
        <w:t xml:space="preserve">, p. </w:t>
      </w:r>
      <w:r w:rsidR="003C74CD">
        <w:rPr>
          <w:rStyle w:val="AERtextsize8"/>
        </w:rPr>
        <w:t>29</w:t>
      </w:r>
      <w:r w:rsidR="005474E0">
        <w:t>.</w:t>
      </w:r>
    </w:p>
    <w:p w:rsidR="00933E3E" w:rsidRDefault="00933E3E" w:rsidP="00933E3E">
      <w:pPr>
        <w:pStyle w:val="AERtablesource"/>
      </w:pPr>
      <w:r>
        <w:t xml:space="preserve">(a) </w:t>
      </w:r>
      <w:r>
        <w:tab/>
      </w:r>
      <w:r w:rsidR="001A22FA">
        <w:t xml:space="preserve">TasNetworks </w:t>
      </w:r>
      <w:r>
        <w:t xml:space="preserve">used an indicative averaging period of 20 business days to </w:t>
      </w:r>
      <w:r w:rsidR="003C74CD">
        <w:t>30</w:t>
      </w:r>
      <w:r>
        <w:t xml:space="preserve"> </w:t>
      </w:r>
      <w:r w:rsidR="00741178">
        <w:t>September</w:t>
      </w:r>
      <w:r>
        <w:t xml:space="preserve"> 2015.  </w:t>
      </w:r>
    </w:p>
    <w:p w:rsidR="00933E3E" w:rsidRPr="00933E3E" w:rsidRDefault="005474E0" w:rsidP="00933E3E">
      <w:r>
        <w:t xml:space="preserve">We accept </w:t>
      </w:r>
      <w:r w:rsidR="003C74CD">
        <w:t xml:space="preserve">TasNetworks' </w:t>
      </w:r>
      <w:r>
        <w:t>application of our Guideline return on debt approach</w:t>
      </w:r>
      <w:r w:rsidR="00B56106">
        <w:t xml:space="preserve"> and of our proposed transitional trailing average approach used </w:t>
      </w:r>
      <w:r>
        <w:t>in our most recent decisions.</w:t>
      </w:r>
      <w:r w:rsidR="00241D42">
        <w:rPr>
          <w:rStyle w:val="FootnoteReference"/>
        </w:rPr>
        <w:footnoteReference w:id="7"/>
      </w:r>
      <w:r>
        <w:t xml:space="preserve">  That is</w:t>
      </w:r>
      <w:r w:rsidR="00241D42">
        <w:t xml:space="preserve"> to</w:t>
      </w:r>
      <w:r w:rsidR="00933E3E" w:rsidRPr="00933E3E">
        <w:t>:</w:t>
      </w:r>
    </w:p>
    <w:p w:rsidR="00933E3E" w:rsidRDefault="00933E3E" w:rsidP="00933E3E">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regulatory period</w:t>
      </w:r>
      <w:r w:rsidRPr="00F17A9D">
        <w:t>)</w:t>
      </w:r>
      <w:r>
        <w:t xml:space="preserve"> </w:t>
      </w:r>
      <w:r w:rsidRPr="00F17A9D">
        <w:t xml:space="preserve">in </w:t>
      </w:r>
      <w:r w:rsidR="009704CD">
        <w:t>the first year (</w:t>
      </w:r>
      <w:r w:rsidR="00527DDF">
        <w:t>2017–18</w:t>
      </w:r>
      <w:r w:rsidR="009704CD">
        <w:t>)</w:t>
      </w:r>
      <w:r w:rsidR="005474E0">
        <w:t xml:space="preserve"> </w:t>
      </w:r>
      <w:r w:rsidRPr="00F17A9D">
        <w:t>of</w:t>
      </w:r>
      <w:r w:rsidR="00FC01B1">
        <w:t xml:space="preserve"> the 201</w:t>
      </w:r>
      <w:r w:rsidR="00720FD1">
        <w:t>7</w:t>
      </w:r>
      <w:r>
        <w:t>–</w:t>
      </w:r>
      <w:r w:rsidR="003C74CD">
        <w:t>19</w:t>
      </w:r>
      <w:r w:rsidRPr="00F17A9D">
        <w:t xml:space="preserve"> </w:t>
      </w:r>
      <w:r>
        <w:t xml:space="preserve">regulatory </w:t>
      </w:r>
      <w:r w:rsidRPr="00F17A9D">
        <w:t>period</w:t>
      </w:r>
      <w:r>
        <w:t>, and</w:t>
      </w:r>
    </w:p>
    <w:p w:rsidR="00933E3E" w:rsidRDefault="00933E3E" w:rsidP="00933E3E">
      <w:pPr>
        <w:pStyle w:val="AERbulletlistfirststyle"/>
      </w:pPr>
      <w:r>
        <w:t>gradually transition</w:t>
      </w:r>
      <w:r w:rsidRPr="00F17A9D">
        <w:t xml:space="preserve"> this </w:t>
      </w:r>
      <w:r>
        <w:t>approach</w:t>
      </w:r>
      <w:r w:rsidRPr="00F17A9D">
        <w:t xml:space="preserve"> into a trailing average approach (</w:t>
      </w:r>
      <w:r>
        <w:t xml:space="preserve">that is, </w:t>
      </w:r>
      <w:r w:rsidRPr="00F17A9D">
        <w:t>a moving historical average) over 10 years.</w:t>
      </w:r>
      <w:r>
        <w:rPr>
          <w:rStyle w:val="FootnoteReference"/>
        </w:rPr>
        <w:footnoteReference w:id="8"/>
      </w:r>
    </w:p>
    <w:p w:rsidR="00095401" w:rsidRDefault="00933E3E" w:rsidP="00933E3E">
      <w:r w:rsidRPr="00F17A9D">
        <w:t>This gradual transition occur</w:t>
      </w:r>
      <w:r w:rsidR="005474E0">
        <w:t>s</w:t>
      </w:r>
      <w:r w:rsidRPr="00F17A9D">
        <w:t xml:space="preserve">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9"/>
      </w:r>
      <w:r>
        <w:t xml:space="preserve"> </w:t>
      </w:r>
    </w:p>
    <w:p w:rsidR="00095401" w:rsidRDefault="00095401" w:rsidP="00933E3E">
      <w:r w:rsidRPr="00235F75">
        <w:t xml:space="preserve">In the </w:t>
      </w:r>
      <w:r>
        <w:t>Guideline</w:t>
      </w:r>
      <w:r w:rsidRPr="00235F75">
        <w:t>, we proposed to use one or more third party data series to estimate the return on debt.</w:t>
      </w:r>
      <w:r w:rsidRPr="00135F86">
        <w:rPr>
          <w:rStyle w:val="FootnoteReference"/>
        </w:rPr>
        <w:footnoteReference w:id="10"/>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w:t>
      </w:r>
      <w:r>
        <w:rPr>
          <w:rStyle w:val="FootnoteReference"/>
        </w:rPr>
        <w:footnoteReference w:id="11"/>
      </w:r>
      <w:r w:rsidRPr="00235F75">
        <w:t xml:space="preserve"> </w:t>
      </w:r>
      <w:r w:rsidR="00B56106">
        <w:t xml:space="preserve">Following our recent decisions, </w:t>
      </w:r>
      <w:r w:rsidR="003C74CD">
        <w:lastRenderedPageBreak/>
        <w:t>TasNetworks</w:t>
      </w:r>
      <w:r>
        <w:t xml:space="preserve">, </w:t>
      </w:r>
      <w:r w:rsidR="00B56106">
        <w:t>used</w:t>
      </w:r>
      <w:r>
        <w:t xml:space="preserve"> a simple average of the RBA and Bloomberg data series</w:t>
      </w:r>
      <w:r w:rsidR="00B56106">
        <w:t>.</w:t>
      </w:r>
      <w:r w:rsidR="00241D42">
        <w:rPr>
          <w:rStyle w:val="FootnoteReference"/>
        </w:rPr>
        <w:footnoteReference w:id="12"/>
      </w:r>
      <w:r w:rsidR="00B56106">
        <w:t xml:space="preserve"> We adopt this approach</w:t>
      </w:r>
      <w:r>
        <w:t xml:space="preserve"> for reasons discussed in section 3.4.2.</w:t>
      </w:r>
    </w:p>
    <w:p w:rsidR="00933E3E" w:rsidRPr="00235F75" w:rsidRDefault="00095401" w:rsidP="00933E3E">
      <w:r>
        <w:t>Consequently, t</w:t>
      </w:r>
      <w:r w:rsidR="00933E3E">
        <w:t xml:space="preserve">he return on debt in each regulatory year </w:t>
      </w:r>
      <w:r>
        <w:t xml:space="preserve">is estimated with </w:t>
      </w:r>
      <w:r w:rsidR="00933E3E">
        <w:t>reference to</w:t>
      </w:r>
      <w:r w:rsidR="00933E3E" w:rsidRPr="00235F75">
        <w:t>:</w:t>
      </w:r>
    </w:p>
    <w:p w:rsidR="00933E3E" w:rsidRPr="00CC2262" w:rsidRDefault="00933E3E" w:rsidP="00933E3E">
      <w:pPr>
        <w:pStyle w:val="AERbulletlistfirststyle"/>
      </w:pPr>
      <w:r w:rsidRPr="00235F75">
        <w:t>a benchmark credit rating of BBB+</w:t>
      </w:r>
    </w:p>
    <w:p w:rsidR="00933E3E" w:rsidRPr="00CC2262" w:rsidRDefault="00933E3E" w:rsidP="00933E3E">
      <w:pPr>
        <w:pStyle w:val="AERbulletlistfirststyle"/>
      </w:pPr>
      <w:r w:rsidRPr="00235F75">
        <w:t>a benchmark term of debt of 10 years</w:t>
      </w:r>
    </w:p>
    <w:p w:rsidR="00933E3E" w:rsidRPr="00CC2262" w:rsidRDefault="00933E3E" w:rsidP="00933E3E">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3"/>
      </w:r>
    </w:p>
    <w:p w:rsidR="00933E3E" w:rsidRPr="00CC2262" w:rsidRDefault="00933E3E" w:rsidP="00933E3E">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4"/>
      </w:r>
    </w:p>
    <w:p w:rsidR="00933E3E" w:rsidRDefault="00933E3E" w:rsidP="00933E3E">
      <w:pPr>
        <w:numPr>
          <w:ilvl w:val="0"/>
          <w:numId w:val="25"/>
        </w:numPr>
      </w:pPr>
      <w:r>
        <w:t>It is worth noting that the Tribunal recently reviewed several aspects of our approach to estimating the allowed return on debt in recent decisions for ActewAGL, Jemena Gas Networks and Networks NSW. Specifically, the Tribunal was asked to review:</w:t>
      </w:r>
    </w:p>
    <w:p w:rsidR="00933E3E" w:rsidRPr="00454ED0" w:rsidRDefault="00933E3E" w:rsidP="00933E3E">
      <w:pPr>
        <w:pStyle w:val="AERbulletlistfirststyle"/>
      </w:pPr>
      <w:r>
        <w:t>Whether a</w:t>
      </w:r>
      <w:r w:rsidRPr="00454ED0">
        <w:t xml:space="preserve"> benchmark</w:t>
      </w:r>
      <w:r>
        <w:t xml:space="preserve"> efficient entity would have a</w:t>
      </w:r>
      <w:r w:rsidRPr="00454ED0">
        <w:t xml:space="preserve"> credit rating </w:t>
      </w:r>
      <w:r>
        <w:t>of</w:t>
      </w:r>
      <w:r w:rsidRPr="00454ED0">
        <w:t xml:space="preserve"> BBB rather than BBB+. </w:t>
      </w:r>
      <w:r>
        <w:t>It</w:t>
      </w:r>
      <w:r w:rsidRPr="00454ED0">
        <w:t xml:space="preserve"> upheld our decision to define </w:t>
      </w:r>
      <w:r>
        <w:t>a</w:t>
      </w:r>
      <w:r w:rsidRPr="00454ED0">
        <w:t xml:space="preserve"> benchmark credit rating as a BBB+ credit rating.</w:t>
      </w:r>
      <w:r w:rsidRPr="00454ED0">
        <w:rPr>
          <w:rStyle w:val="FootnoteReference"/>
        </w:rPr>
        <w:footnoteReference w:id="15"/>
      </w:r>
    </w:p>
    <w:p w:rsidR="00933E3E" w:rsidRPr="00454ED0" w:rsidRDefault="00933E3E" w:rsidP="00933E3E">
      <w:pPr>
        <w:pStyle w:val="AERbulletlistfirststyle"/>
      </w:pPr>
      <w:r>
        <w:t xml:space="preserve">Whether we should estimate </w:t>
      </w:r>
      <w:r w:rsidRPr="00454ED0">
        <w:t>the allowed return on debt using the RBA data series alone or a simple average of the RBA and Bloomberg data series. It upheld our decision and found that</w:t>
      </w:r>
      <w:r>
        <w:t>, 'a</w:t>
      </w:r>
      <w:r w:rsidRPr="00454ED0">
        <w:t>veraging of the two curves was an acceptable measure of the DR</w:t>
      </w:r>
      <w:r>
        <w:t>P</w:t>
      </w:r>
      <w:r w:rsidR="00EE3CBB">
        <w:t xml:space="preserve"> [debt risk premium]</w:t>
      </w:r>
      <w:r>
        <w:t>'.</w:t>
      </w:r>
      <w:r w:rsidRPr="00454ED0">
        <w:rPr>
          <w:rStyle w:val="FootnoteReference"/>
        </w:rPr>
        <w:t xml:space="preserve"> </w:t>
      </w:r>
      <w:r w:rsidRPr="00454ED0">
        <w:rPr>
          <w:rStyle w:val="FootnoteReference"/>
        </w:rPr>
        <w:footnoteReference w:id="16"/>
      </w:r>
    </w:p>
    <w:p w:rsidR="00933E3E" w:rsidRPr="00454ED0" w:rsidRDefault="00933E3E" w:rsidP="00933E3E">
      <w:pPr>
        <w:pStyle w:val="AERbulletlistfirststyle"/>
      </w:pPr>
      <w:r>
        <w:t>Whether we should transition all of the return on debt</w:t>
      </w:r>
      <w:r>
        <w:rPr>
          <w:rStyle w:val="FootnoteReference"/>
        </w:rPr>
        <w:footnoteReference w:id="17"/>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It remitted the determination back to us to make a </w:t>
      </w:r>
      <w:r w:rsidRPr="00454ED0">
        <w:t xml:space="preserve">constituent decision </w:t>
      </w:r>
      <w:r>
        <w:t>on</w:t>
      </w:r>
      <w:r w:rsidRPr="00454ED0">
        <w:t xml:space="preserve"> </w:t>
      </w:r>
      <w:r>
        <w:t>introducing</w:t>
      </w:r>
      <w:r w:rsidRPr="00454ED0">
        <w:t xml:space="preserve"> the trailing average approach</w:t>
      </w:r>
      <w:r>
        <w:t xml:space="preserve"> in </w:t>
      </w:r>
      <w:r>
        <w:lastRenderedPageBreak/>
        <w:t>accordance with several reasons outlined in its decision.</w:t>
      </w:r>
      <w:r>
        <w:rPr>
          <w:rStyle w:val="FootnoteReference"/>
        </w:rPr>
        <w:footnoteReference w:id="18"/>
      </w:r>
      <w:r>
        <w:t xml:space="preserve"> We note the Tribunal's decision in section </w:t>
      </w:r>
      <w:r>
        <w:fldChar w:fldCharType="begin"/>
      </w:r>
      <w:r>
        <w:instrText xml:space="preserve"> REF _Ref451345996 \r \h </w:instrText>
      </w:r>
      <w:r>
        <w:fldChar w:fldCharType="separate"/>
      </w:r>
      <w:r w:rsidR="00691B4D">
        <w:t>3.4.2</w:t>
      </w:r>
      <w:r>
        <w:fldChar w:fldCharType="end"/>
      </w:r>
      <w:r>
        <w:t xml:space="preserve"> and Appendix </w:t>
      </w:r>
      <w:r>
        <w:fldChar w:fldCharType="begin"/>
      </w:r>
      <w:r>
        <w:instrText xml:space="preserve"> REF _Ref451267680 \r \h </w:instrText>
      </w:r>
      <w:r>
        <w:fldChar w:fldCharType="separate"/>
      </w:r>
      <w:r w:rsidR="00691B4D">
        <w:t>A</w:t>
      </w:r>
      <w:r>
        <w:fldChar w:fldCharType="end"/>
      </w:r>
      <w:r>
        <w:t>.</w:t>
      </w:r>
    </w:p>
    <w:p w:rsidR="00933E3E" w:rsidRDefault="00933E3E" w:rsidP="00933E3E">
      <w:pPr>
        <w:numPr>
          <w:ilvl w:val="0"/>
          <w:numId w:val="25"/>
        </w:numPr>
      </w:pPr>
      <w:r>
        <w:t xml:space="preserve">Our formula for automatically updating </w:t>
      </w:r>
      <w:r w:rsidRPr="00C6581F">
        <w:t>the return on debt</w:t>
      </w:r>
      <w:r w:rsidRPr="006C2A62">
        <w:t xml:space="preserve"> </w:t>
      </w:r>
      <w:r>
        <w:t xml:space="preserve">annually is set out in </w:t>
      </w:r>
      <w:r w:rsidR="00EC4BB3">
        <w:t xml:space="preserve">section </w:t>
      </w:r>
      <w:r w:rsidR="00EC4BB3">
        <w:fldChar w:fldCharType="begin"/>
      </w:r>
      <w:r w:rsidR="00EC4BB3">
        <w:instrText xml:space="preserve"> REF _Ref451336564 \r \h </w:instrText>
      </w:r>
      <w:r w:rsidR="00EC4BB3">
        <w:fldChar w:fldCharType="separate"/>
      </w:r>
      <w:r w:rsidR="00691B4D">
        <w:t>3.4.2</w:t>
      </w:r>
      <w:r w:rsidR="00EC4BB3">
        <w:fldChar w:fldCharType="end"/>
      </w:r>
      <w:r>
        <w:t xml:space="preserve"> of this decision.</w:t>
      </w:r>
    </w:p>
    <w:p w:rsidR="00BB7A17" w:rsidRDefault="00BB7A17" w:rsidP="00933E3E">
      <w:pPr>
        <w:numPr>
          <w:ilvl w:val="0"/>
          <w:numId w:val="25"/>
        </w:numPr>
      </w:pPr>
      <w:r>
        <w:t>While acknowledging that some matters relating to our Guideline are currently before the Tribunal and Federal Court for consideration, we consider that the rate of return set out in this decision achieves the ARORO and promotes the NEO and RPP.</w:t>
      </w:r>
    </w:p>
    <w:p w:rsidR="00DE563D" w:rsidRPr="001754EE" w:rsidRDefault="001D2D92" w:rsidP="00631982">
      <w:pPr>
        <w:pStyle w:val="Heading2"/>
      </w:pPr>
      <w:bookmarkStart w:id="15" w:name="_Toc462754622"/>
      <w:r>
        <w:t>TasNetworks'</w:t>
      </w:r>
      <w:r w:rsidRPr="001754EE">
        <w:t xml:space="preserve"> </w:t>
      </w:r>
      <w:r w:rsidR="00DE563D" w:rsidRPr="001754EE">
        <w:t>proposal</w:t>
      </w:r>
      <w:bookmarkEnd w:id="11"/>
      <w:bookmarkEnd w:id="15"/>
    </w:p>
    <w:p w:rsidR="00B56106" w:rsidRDefault="001D2D92" w:rsidP="00C56716">
      <w:pPr>
        <w:numPr>
          <w:ilvl w:val="0"/>
          <w:numId w:val="25"/>
        </w:numPr>
      </w:pPr>
      <w:r>
        <w:t>TasNetworks</w:t>
      </w:r>
      <w:r w:rsidRPr="00F1535D">
        <w:t xml:space="preserve"> </w:t>
      </w:r>
      <w:r w:rsidR="00A06474" w:rsidRPr="00F1535D">
        <w:t>proposed a</w:t>
      </w:r>
      <w:r w:rsidR="00A06474">
        <w:t xml:space="preserve"> return on equity estimate of </w:t>
      </w:r>
      <w:r w:rsidR="00B56106">
        <w:t xml:space="preserve">7.3 </w:t>
      </w:r>
      <w:r w:rsidR="00A06474" w:rsidRPr="00F1535D">
        <w:t>per cent</w:t>
      </w:r>
      <w:r w:rsidR="00A06474">
        <w:t>.</w:t>
      </w:r>
      <w:r w:rsidR="00A06474">
        <w:rPr>
          <w:rStyle w:val="FootnoteReference"/>
        </w:rPr>
        <w:footnoteReference w:id="19"/>
      </w:r>
      <w:r w:rsidR="00A06474">
        <w:t xml:space="preserve"> </w:t>
      </w:r>
      <w:r w:rsidR="00B56106">
        <w:t xml:space="preserve">This is based on </w:t>
      </w:r>
      <w:r>
        <w:t xml:space="preserve">TasNetworks' </w:t>
      </w:r>
      <w:r w:rsidR="00B56106">
        <w:t>adoption and application of our Guideline approach.</w:t>
      </w:r>
      <w:r w:rsidR="00B56106">
        <w:rPr>
          <w:rStyle w:val="FootnoteReference"/>
        </w:rPr>
        <w:footnoteReference w:id="20"/>
      </w:r>
      <w:r w:rsidR="00C56716">
        <w:t xml:space="preserve"> </w:t>
      </w:r>
      <w:r w:rsidR="00B56106" w:rsidRPr="001D6815">
        <w:t xml:space="preserve">In its regulatory proposal, </w:t>
      </w:r>
      <w:r>
        <w:t>TasNetworks</w:t>
      </w:r>
      <w:r w:rsidRPr="001D6815">
        <w:t xml:space="preserve"> </w:t>
      </w:r>
      <w:r w:rsidR="00B56106">
        <w:t>adopted</w:t>
      </w:r>
      <w:r w:rsidR="00446086">
        <w:t xml:space="preserve"> our Guideline </w:t>
      </w:r>
      <w:r w:rsidR="006F3664">
        <w:t xml:space="preserve">return on debt </w:t>
      </w:r>
      <w:r w:rsidR="00446086">
        <w:t>approach and</w:t>
      </w:r>
      <w:r w:rsidR="00B56106">
        <w:t xml:space="preserve"> </w:t>
      </w:r>
      <w:r w:rsidR="006F3664">
        <w:t>our proposed</w:t>
      </w:r>
      <w:r w:rsidR="00B56106">
        <w:t xml:space="preserve"> transitional trailing average approach used in our most recent decisions</w:t>
      </w:r>
      <w:r w:rsidR="00B56106" w:rsidRPr="001D6815">
        <w:t xml:space="preserve">. </w:t>
      </w:r>
      <w:r w:rsidR="00B56106">
        <w:t>As such,</w:t>
      </w:r>
      <w:r w:rsidR="00B56106" w:rsidRPr="001D6815">
        <w:t xml:space="preserve"> </w:t>
      </w:r>
      <w:r>
        <w:t>TasNetworks</w:t>
      </w:r>
      <w:r w:rsidRPr="001D6815">
        <w:t xml:space="preserve"> </w:t>
      </w:r>
      <w:r w:rsidR="00B56106" w:rsidRPr="001D6815">
        <w:t xml:space="preserve">proposed a return on debt estimate of </w:t>
      </w:r>
      <w:r w:rsidR="00B56106">
        <w:t>5.2</w:t>
      </w:r>
      <w:r w:rsidR="00B56106" w:rsidRPr="001D6815">
        <w:t xml:space="preserve"> per cent for regulatory year </w:t>
      </w:r>
      <w:r w:rsidR="00B56106">
        <w:t>2017–18</w:t>
      </w:r>
      <w:r w:rsidR="00B56106" w:rsidRPr="001D6815">
        <w:t>.</w:t>
      </w:r>
      <w:r w:rsidR="00B56106" w:rsidRPr="001D6815">
        <w:rPr>
          <w:rStyle w:val="FootnoteReference"/>
        </w:rPr>
        <w:footnoteReference w:id="21"/>
      </w:r>
      <w:r w:rsidR="00B56106">
        <w:t xml:space="preserve"> </w:t>
      </w:r>
      <w:r>
        <w:t xml:space="preserve">TasNetworks </w:t>
      </w:r>
      <w:r w:rsidR="00C56716">
        <w:t>also adopted our Guideline benchmark gearing level of 60 per cent.</w:t>
      </w:r>
    </w:p>
    <w:p w:rsidR="00326795" w:rsidRDefault="001E3847" w:rsidP="003A0D45">
      <w:r w:rsidRPr="001E3847">
        <w:t xml:space="preserve">While </w:t>
      </w:r>
      <w:r w:rsidR="001D2D92">
        <w:t>TasNetworks</w:t>
      </w:r>
      <w:r w:rsidR="001D2D92" w:rsidRPr="001E3847">
        <w:t xml:space="preserve"> </w:t>
      </w:r>
      <w:r w:rsidRPr="001E3847">
        <w:t>adopted our Guideline approach in its regulatory proposal, it noted it does not endorse our methods.</w:t>
      </w:r>
      <w:r w:rsidRPr="001E3847">
        <w:rPr>
          <w:rStyle w:val="FootnoteReference"/>
        </w:rPr>
        <w:footnoteReference w:id="22"/>
      </w:r>
      <w:r w:rsidRPr="001E3847">
        <w:t xml:space="preserve"> </w:t>
      </w:r>
    </w:p>
    <w:p w:rsidR="00DE563D" w:rsidRDefault="00DE563D" w:rsidP="001754EE">
      <w:pPr>
        <w:pStyle w:val="Heading2"/>
      </w:pPr>
      <w:bookmarkStart w:id="16" w:name="_Toc403144138"/>
      <w:bookmarkStart w:id="17" w:name="_Toc462754623"/>
      <w:r w:rsidRPr="001754EE">
        <w:t>AER’s</w:t>
      </w:r>
      <w:r>
        <w:t xml:space="preserve"> assessment approach</w:t>
      </w:r>
      <w:bookmarkEnd w:id="16"/>
      <w:bookmarkEnd w:id="17"/>
    </w:p>
    <w:p w:rsidR="008A6729" w:rsidRDefault="008A6729" w:rsidP="008A6729">
      <w:pPr>
        <w:numPr>
          <w:ilvl w:val="0"/>
          <w:numId w:val="25"/>
        </w:numPr>
      </w:pPr>
      <w:r>
        <w:t>The National Electricity Law/National Gas Law (NEL/NGL) and rules (NER/NGR) form our framework for determining the rate of return. The key components of this framework include:</w:t>
      </w:r>
    </w:p>
    <w:p w:rsidR="008A6729" w:rsidRDefault="008A6729" w:rsidP="008A6729">
      <w:pPr>
        <w:pStyle w:val="AERbulletlistfirststyle"/>
      </w:pPr>
      <w:r>
        <w:t>national electricity/gas objective (NEO/NGO) and the RPPs in the</w:t>
      </w:r>
      <w:r w:rsidRPr="004919CC">
        <w:t xml:space="preserve"> </w:t>
      </w:r>
      <w:r>
        <w:t>NEL/NGL.</w:t>
      </w:r>
    </w:p>
    <w:p w:rsidR="008A6729" w:rsidRDefault="008A6729" w:rsidP="008A6729">
      <w:pPr>
        <w:pStyle w:val="AERbulletlistfirststyle"/>
      </w:pPr>
      <w:r>
        <w:t>the overall rate of return</w:t>
      </w:r>
      <w:r w:rsidRPr="003337B3">
        <w:t>―</w:t>
      </w:r>
      <w:r>
        <w:t>consisting of the allowed return on equity and debt</w:t>
      </w:r>
    </w:p>
    <w:p w:rsidR="008A6729" w:rsidRDefault="008A6729" w:rsidP="008A6729">
      <w:pPr>
        <w:pStyle w:val="AERbulletlistfirststyle"/>
      </w:pPr>
      <w:r>
        <w:t>the ARORO and its elements</w:t>
      </w:r>
    </w:p>
    <w:p w:rsidR="008A6729" w:rsidRDefault="008A6729" w:rsidP="008A6729">
      <w:pPr>
        <w:pStyle w:val="AERbulletlistfirststyle"/>
      </w:pPr>
      <w:r>
        <w:t>return on debt factors</w:t>
      </w:r>
    </w:p>
    <w:p w:rsidR="008A6729" w:rsidRDefault="008A6729" w:rsidP="008A6729">
      <w:pPr>
        <w:pStyle w:val="AERbulletlistfirststyle"/>
      </w:pPr>
      <w:r>
        <w:t>considering i</w:t>
      </w:r>
      <w:r w:rsidRPr="009A2092">
        <w:t>nterrelationships within the rate of return</w:t>
      </w:r>
    </w:p>
    <w:p w:rsidR="008A6729" w:rsidRPr="00A77770" w:rsidRDefault="008A6729" w:rsidP="008A6729">
      <w:pPr>
        <w:pStyle w:val="AERbulletlistfirststyle"/>
      </w:pPr>
      <w:r>
        <w:t xml:space="preserve">use of the </w:t>
      </w:r>
      <w:r w:rsidRPr="00A77770">
        <w:t xml:space="preserve">Guideline </w:t>
      </w:r>
    </w:p>
    <w:p w:rsidR="008A6729" w:rsidRDefault="008A6729" w:rsidP="008A6729">
      <w:pPr>
        <w:pStyle w:val="AERbulletlistfirststyle"/>
      </w:pPr>
      <w:r>
        <w:lastRenderedPageBreak/>
        <w:t>consideration of information before us.</w:t>
      </w:r>
    </w:p>
    <w:p w:rsidR="008A6729" w:rsidRPr="00B575CE" w:rsidRDefault="008A6729" w:rsidP="008A6729">
      <w:pPr>
        <w:pStyle w:val="Heading3"/>
      </w:pPr>
      <w:bookmarkStart w:id="18" w:name="_Toc450922711"/>
      <w:bookmarkStart w:id="19" w:name="_Toc451938948"/>
      <w:bookmarkStart w:id="20" w:name="_Toc457911177"/>
      <w:bookmarkStart w:id="21" w:name="_Toc461803714"/>
      <w:bookmarkStart w:id="22" w:name="_Toc462754624"/>
      <w:r>
        <w:t>National electricity and gas laws</w:t>
      </w:r>
      <w:bookmarkEnd w:id="18"/>
      <w:bookmarkEnd w:id="19"/>
      <w:bookmarkEnd w:id="20"/>
      <w:bookmarkEnd w:id="21"/>
      <w:bookmarkEnd w:id="22"/>
    </w:p>
    <w:p w:rsidR="008A6729" w:rsidRPr="00762AAF" w:rsidRDefault="008A6729" w:rsidP="008A6729">
      <w:pPr>
        <w:numPr>
          <w:ilvl w:val="0"/>
          <w:numId w:val="25"/>
        </w:numPr>
      </w:pPr>
      <w:r w:rsidRPr="00762AAF">
        <w:t xml:space="preserve">In performing or exercising an economic regulatory function or power, we must do so in a manner that will or is likely to contribute to the </w:t>
      </w:r>
      <w:r>
        <w:t>NEO</w:t>
      </w:r>
      <w:r w:rsidRPr="00762AAF">
        <w:t>.</w:t>
      </w:r>
      <w:r w:rsidRPr="00762AAF">
        <w:rPr>
          <w:rStyle w:val="FootnoteReference"/>
        </w:rPr>
        <w:footnoteReference w:id="23"/>
      </w:r>
      <w:r w:rsidRPr="00762AAF">
        <w:t xml:space="preserve"> The </w:t>
      </w:r>
      <w:r>
        <w:t>NEO</w:t>
      </w:r>
      <w:r w:rsidRPr="00762AAF">
        <w:t xml:space="preserve"> states:</w:t>
      </w:r>
    </w:p>
    <w:p w:rsidR="008A6729" w:rsidRPr="00BF711B" w:rsidRDefault="008A6729" w:rsidP="008A6729">
      <w:pPr>
        <w:pStyle w:val="AERquote"/>
      </w:pPr>
      <w:r w:rsidRPr="00BF711B">
        <w:t>The objective of this Law is to promote efficient investment in, and efficient operation and use of, electricity services for the long term interests of consumers of electricity with respect to —</w:t>
      </w:r>
    </w:p>
    <w:p w:rsidR="008A6729" w:rsidRPr="00BF711B" w:rsidRDefault="008A6729" w:rsidP="008A6729">
      <w:pPr>
        <w:pStyle w:val="AERquote"/>
      </w:pPr>
      <w:r w:rsidRPr="00BF711B">
        <w:tab/>
        <w:t xml:space="preserve">(a) price, quality, safety, reliability and security of supply of electricity; </w:t>
      </w:r>
    </w:p>
    <w:p w:rsidR="008A6729" w:rsidRPr="00BF711B" w:rsidRDefault="008A6729" w:rsidP="008A6729">
      <w:pPr>
        <w:pStyle w:val="AERquote"/>
      </w:pPr>
      <w:r w:rsidRPr="00BF711B">
        <w:tab/>
        <w:t xml:space="preserve">(b) and the reliability, safety and security of the national electricity system. </w:t>
      </w:r>
    </w:p>
    <w:p w:rsidR="008A6729" w:rsidRDefault="008A6729" w:rsidP="008A6729">
      <w:pPr>
        <w:numPr>
          <w:ilvl w:val="0"/>
          <w:numId w:val="25"/>
        </w:numPr>
      </w:pPr>
      <w:r>
        <w:t>When we make a</w:t>
      </w:r>
      <w:r w:rsidRPr="00762AAF">
        <w:t xml:space="preserve">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8A6729" w:rsidRPr="00762AAF" w:rsidRDefault="008A6729" w:rsidP="008A6729">
      <w:pPr>
        <w:numPr>
          <w:ilvl w:val="0"/>
          <w:numId w:val="25"/>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24"/>
      </w:r>
      <w:r w:rsidRPr="00762AAF">
        <w:t xml:space="preserve"> In the context of the rate of return decision, we take particular account of the following </w:t>
      </w:r>
      <w:r>
        <w:t>RPPs</w:t>
      </w:r>
      <w:r w:rsidRPr="00762AAF">
        <w:t xml:space="preserve">: </w:t>
      </w:r>
    </w:p>
    <w:p w:rsidR="008A6729" w:rsidRPr="00762AAF" w:rsidRDefault="008A6729" w:rsidP="008A6729">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25"/>
      </w:r>
    </w:p>
    <w:p w:rsidR="008A6729" w:rsidRPr="00762AAF" w:rsidRDefault="008A6729" w:rsidP="008A6729">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26"/>
      </w:r>
      <w:r w:rsidRPr="00762AAF">
        <w:rPr>
          <w:rStyle w:val="FootnoteReference"/>
        </w:rPr>
        <w:t xml:space="preserve"> </w:t>
      </w:r>
    </w:p>
    <w:p w:rsidR="008A6729" w:rsidRPr="00762AAF" w:rsidRDefault="008A6729" w:rsidP="008A6729">
      <w:pPr>
        <w:pStyle w:val="AERbulletlistfirststyle"/>
      </w:pPr>
      <w:r w:rsidRPr="00762AAF">
        <w:t xml:space="preserve">A price or charge should allow for a return that matches the regulatory and commercial risks </w:t>
      </w:r>
      <w:r>
        <w:t>involved in</w:t>
      </w:r>
      <w:r w:rsidRPr="00762AAF">
        <w:t xml:space="preserve"> providing the regulated service </w:t>
      </w:r>
      <w:r>
        <w:t>to which that</w:t>
      </w:r>
      <w:r w:rsidRPr="00762AAF">
        <w:t xml:space="preserve"> charge relates.</w:t>
      </w:r>
      <w:r w:rsidRPr="00762AAF">
        <w:rPr>
          <w:rStyle w:val="FootnoteReference"/>
        </w:rPr>
        <w:footnoteReference w:id="27"/>
      </w:r>
    </w:p>
    <w:p w:rsidR="008A6729" w:rsidRPr="00762AAF" w:rsidRDefault="008A6729" w:rsidP="008A6729">
      <w:pPr>
        <w:pStyle w:val="AERbulletlistfirststyle"/>
      </w:pPr>
      <w:r w:rsidRPr="00762AAF">
        <w:t>The economic costs and risks of the potential for under or over investment by a service provider in a distribution or transmission system that the service provider uses to provide regulated network services.</w:t>
      </w:r>
      <w:r w:rsidRPr="00762AAF">
        <w:rPr>
          <w:rStyle w:val="FootnoteReference"/>
        </w:rPr>
        <w:footnoteReference w:id="28"/>
      </w:r>
      <w:r w:rsidRPr="00762AAF">
        <w:t xml:space="preserve"> </w:t>
      </w:r>
    </w:p>
    <w:p w:rsidR="008A6729" w:rsidRDefault="008A6729" w:rsidP="008A6729">
      <w:pPr>
        <w:pStyle w:val="AERbulletlistfirststyle"/>
      </w:pPr>
      <w:r w:rsidRPr="00762AAF">
        <w:t>The economic costs and risks of the potential for under or over utilisation of a distribution or transmission system that the service provider uses to provide regulated network services.</w:t>
      </w:r>
      <w:r w:rsidRPr="00762AAF">
        <w:rPr>
          <w:rStyle w:val="FootnoteReference"/>
        </w:rPr>
        <w:footnoteReference w:id="29"/>
      </w:r>
      <w:r w:rsidRPr="00762AAF">
        <w:t xml:space="preserve"> </w:t>
      </w:r>
    </w:p>
    <w:p w:rsidR="008A6729" w:rsidRPr="00B575CE" w:rsidRDefault="008A6729" w:rsidP="008A6729">
      <w:pPr>
        <w:pStyle w:val="Heading3"/>
      </w:pPr>
      <w:bookmarkStart w:id="23" w:name="_Toc450922712"/>
      <w:bookmarkStart w:id="24" w:name="_Toc451938949"/>
      <w:bookmarkStart w:id="25" w:name="_Toc457911178"/>
      <w:bookmarkStart w:id="26" w:name="_Toc461803715"/>
      <w:bookmarkStart w:id="27" w:name="_Toc462754625"/>
      <w:r>
        <w:t>The overall rate of return</w:t>
      </w:r>
      <w:bookmarkEnd w:id="23"/>
      <w:bookmarkEnd w:id="24"/>
      <w:bookmarkEnd w:id="25"/>
      <w:bookmarkEnd w:id="26"/>
      <w:bookmarkEnd w:id="27"/>
    </w:p>
    <w:p w:rsidR="008A6729" w:rsidRDefault="008A6729" w:rsidP="008A6729">
      <w:pPr>
        <w:numPr>
          <w:ilvl w:val="0"/>
          <w:numId w:val="25"/>
        </w:numPr>
      </w:pPr>
      <w:r w:rsidRPr="003248EB">
        <w:lastRenderedPageBreak/>
        <w:t>The</w:t>
      </w:r>
      <w:r>
        <w:t xml:space="preserve"> rules require we determine the</w:t>
      </w:r>
      <w:r w:rsidRPr="003248EB">
        <w:t xml:space="preserve"> allowed rate of return for a regulatory year </w:t>
      </w:r>
      <w:r>
        <w:t xml:space="preserve">as </w:t>
      </w:r>
      <w:r w:rsidRPr="003248EB">
        <w:t xml:space="preserve">a weighted average of the return on equity for the </w:t>
      </w:r>
      <w:r>
        <w:t xml:space="preserve">regulatory period </w:t>
      </w:r>
      <w:r w:rsidRPr="003248EB">
        <w:t>in which that regulatory year occurs and the return o</w:t>
      </w:r>
      <w:r>
        <w:t>n debt for that regulatory year. This must be determined on a nominal vanilla basis that is consistent with the estimate of the value of imputation credits.</w:t>
      </w:r>
      <w:r w:rsidRPr="00D5405B">
        <w:rPr>
          <w:rStyle w:val="FootnoteReference"/>
        </w:rPr>
        <w:footnoteReference w:id="30"/>
      </w:r>
      <w:r>
        <w:t xml:space="preserve"> </w:t>
      </w:r>
      <w:r w:rsidRPr="00E75E61">
        <w:t xml:space="preserve">In </w:t>
      </w:r>
      <w:r>
        <w:t>determining</w:t>
      </w:r>
      <w:r w:rsidRPr="00E75E61">
        <w:t xml:space="preserve"> the allowed rate of return, </w:t>
      </w:r>
      <w:r>
        <w:t xml:space="preserve">we must have regard to </w:t>
      </w:r>
      <w:r w:rsidRPr="00E75E61">
        <w:t>the desirability of consistent application of financi</w:t>
      </w:r>
      <w:r>
        <w:t>al parameters that are relevant or common to</w:t>
      </w:r>
      <w:r w:rsidRPr="00E75E61">
        <w:t xml:space="preserve"> the return on equity and debt</w:t>
      </w:r>
      <w:r>
        <w:t>.</w:t>
      </w:r>
      <w:r>
        <w:rPr>
          <w:rStyle w:val="FootnoteReference"/>
        </w:rPr>
        <w:footnoteReference w:id="31"/>
      </w:r>
    </w:p>
    <w:p w:rsidR="008A6729" w:rsidRDefault="008A6729" w:rsidP="008A6729">
      <w:pPr>
        <w:numPr>
          <w:ilvl w:val="0"/>
          <w:numId w:val="25"/>
        </w:numPr>
      </w:pPr>
      <w:r>
        <w:t>The rules require that we estimate the return on equity</w:t>
      </w:r>
      <w:r w:rsidRPr="00D14E31">
        <w:t xml:space="preserve"> for a regulatory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32"/>
      </w:r>
    </w:p>
    <w:p w:rsidR="008A6729" w:rsidRPr="00762AAF" w:rsidRDefault="008A6729" w:rsidP="008A6729">
      <w:pPr>
        <w:numPr>
          <w:ilvl w:val="0"/>
          <w:numId w:val="25"/>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33"/>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period.</w:t>
      </w:r>
      <w:r w:rsidRPr="00762AAF">
        <w:rPr>
          <w:rStyle w:val="FootnoteReference"/>
        </w:rPr>
        <w:footnoteReference w:id="34"/>
      </w:r>
      <w:r>
        <w:t xml:space="preserve"> </w:t>
      </w:r>
      <w:r w:rsidRPr="00762AAF">
        <w:t>In estimating the return on debt we have regard to the following factors:</w:t>
      </w:r>
    </w:p>
    <w:p w:rsidR="008A6729" w:rsidRPr="00762AAF" w:rsidRDefault="008A6729" w:rsidP="008A6729">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8A6729" w:rsidRPr="00762AAF" w:rsidRDefault="008A6729" w:rsidP="008A6729">
      <w:pPr>
        <w:pStyle w:val="AERbulletlistfirststyle"/>
      </w:pPr>
      <w:r>
        <w:t>t</w:t>
      </w:r>
      <w:r w:rsidRPr="00762AAF">
        <w:t>he interrelationship between the return on equity and the return on debt</w:t>
      </w:r>
      <w:r>
        <w:t>.</w:t>
      </w:r>
    </w:p>
    <w:p w:rsidR="008A6729" w:rsidRPr="00762AAF" w:rsidRDefault="008A6729" w:rsidP="008A6729">
      <w:pPr>
        <w:pStyle w:val="AERbulletlistfirststyle"/>
      </w:pPr>
      <w:r>
        <w:t>t</w:t>
      </w:r>
      <w:r w:rsidRPr="00762AAF">
        <w:t>he incentive that the return on debt may provide in relation to capital expenditure over the regulatory period, including as to the timing of capital expenditure</w:t>
      </w:r>
      <w:r>
        <w:t>.</w:t>
      </w:r>
    </w:p>
    <w:p w:rsidR="008A6729" w:rsidRPr="00796C00" w:rsidRDefault="008A6729" w:rsidP="008A6729">
      <w:pPr>
        <w:pStyle w:val="AERbulletlistfirststyle"/>
      </w:pPr>
      <w:r>
        <w:t>a</w:t>
      </w:r>
      <w:r w:rsidRPr="00762AAF">
        <w:t>ny impacts (including in relation to the costs of servicing debt across regulatory periods) on a benchmark efficient en</w:t>
      </w:r>
      <w:r>
        <w:t>tity referred to in the ARORO</w:t>
      </w:r>
      <w:r w:rsidRPr="00762AAF">
        <w:t xml:space="preserve"> that could arise as a result of changing the methodology that is used to estimate the return on debt from one regulatory period to the next.</w:t>
      </w:r>
      <w:r w:rsidRPr="00762AAF">
        <w:rPr>
          <w:rStyle w:val="FootnoteReference"/>
        </w:rPr>
        <w:footnoteReference w:id="35"/>
      </w:r>
      <w:r w:rsidRPr="00762AAF">
        <w:t xml:space="preserve"> </w:t>
      </w:r>
    </w:p>
    <w:p w:rsidR="008A6729" w:rsidRPr="00B575CE" w:rsidRDefault="008A6729" w:rsidP="008A6729">
      <w:pPr>
        <w:pStyle w:val="Heading3"/>
      </w:pPr>
      <w:bookmarkStart w:id="28" w:name="_Toc450922713"/>
      <w:bookmarkStart w:id="29" w:name="_Ref451537570"/>
      <w:bookmarkStart w:id="30" w:name="_Ref451543774"/>
      <w:bookmarkStart w:id="31" w:name="_Ref451543801"/>
      <w:bookmarkStart w:id="32" w:name="_Ref451729815"/>
      <w:bookmarkStart w:id="33" w:name="_Toc451938950"/>
      <w:bookmarkStart w:id="34" w:name="_Toc457911179"/>
      <w:bookmarkStart w:id="35" w:name="_Toc461803716"/>
      <w:bookmarkStart w:id="36" w:name="_Toc462754626"/>
      <w:r w:rsidRPr="00BB2CB7">
        <w:t>Allowed rate of return objective</w:t>
      </w:r>
      <w:bookmarkEnd w:id="28"/>
      <w:bookmarkEnd w:id="29"/>
      <w:bookmarkEnd w:id="30"/>
      <w:bookmarkEnd w:id="31"/>
      <w:bookmarkEnd w:id="32"/>
      <w:bookmarkEnd w:id="33"/>
      <w:bookmarkEnd w:id="34"/>
      <w:bookmarkEnd w:id="35"/>
      <w:bookmarkEnd w:id="36"/>
    </w:p>
    <w:p w:rsidR="008A6729" w:rsidRPr="005100A9" w:rsidRDefault="008A6729" w:rsidP="008A6729">
      <w:pPr>
        <w:numPr>
          <w:ilvl w:val="0"/>
          <w:numId w:val="25"/>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36"/>
      </w:r>
    </w:p>
    <w:p w:rsidR="008A6729" w:rsidRDefault="008A6729" w:rsidP="008A6729">
      <w:pPr>
        <w:pStyle w:val="AERquote"/>
      </w:pPr>
      <w:r w:rsidRPr="005100A9">
        <w:t xml:space="preserve">…that the rate of return for a </w:t>
      </w:r>
      <w:r w:rsidR="006F1ED9">
        <w:t xml:space="preserve">distribution </w:t>
      </w:r>
      <w:r>
        <w:t>network service provider</w:t>
      </w:r>
      <w:r w:rsidRPr="005100A9">
        <w:t xml:space="preserve"> is to be commensurate with the efficient financing costs of a benchmark efficient entity with a similar degree of ris</w:t>
      </w:r>
      <w:r>
        <w:t xml:space="preserve">k as that which applies to the </w:t>
      </w:r>
      <w:r w:rsidR="006F1ED9">
        <w:t xml:space="preserve">distribution </w:t>
      </w:r>
      <w:r>
        <w:t xml:space="preserve">network </w:t>
      </w:r>
      <w:r w:rsidRPr="005100A9">
        <w:t>service</w:t>
      </w:r>
      <w:r>
        <w:t xml:space="preserve"> provider</w:t>
      </w:r>
      <w:r w:rsidRPr="005100A9">
        <w:t xml:space="preserve"> in respect of the provision of </w:t>
      </w:r>
      <w:r w:rsidR="006F1ED9">
        <w:t>standard control</w:t>
      </w:r>
      <w:r>
        <w:t xml:space="preserve"> services</w:t>
      </w:r>
      <w:r w:rsidRPr="005100A9">
        <w:t>.</w:t>
      </w:r>
    </w:p>
    <w:p w:rsidR="008A6729" w:rsidRDefault="008A6729" w:rsidP="008A6729">
      <w:r w:rsidRPr="00F21B32">
        <w:lastRenderedPageBreak/>
        <w:t>The regulat</w:t>
      </w:r>
      <w:r>
        <w:t>ory regime is an ex-ante (forward looking) regime.</w:t>
      </w:r>
      <w:r>
        <w:rPr>
          <w:rStyle w:val="FootnoteReference"/>
        </w:rPr>
        <w:footnoteReference w:id="37"/>
      </w:r>
      <w:r>
        <w:t xml:space="preserve"> As such, we consider a </w:t>
      </w:r>
      <w:r w:rsidRPr="00723710">
        <w:t>rate of return that meets the ARORO must provide ex-ante compensation for efficient financing costs.</w:t>
      </w:r>
      <w:r>
        <w:rPr>
          <w:rStyle w:val="FootnoteReference"/>
        </w:rPr>
        <w:footnoteReference w:id="38"/>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39"/>
      </w:r>
      <w:r>
        <w:t xml:space="preserve"> </w:t>
      </w:r>
    </w:p>
    <w:p w:rsidR="008A6729" w:rsidRDefault="008A6729" w:rsidP="008A6729">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8A6729" w:rsidRDefault="008A6729" w:rsidP="008A6729">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40"/>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41"/>
      </w:r>
      <w:r>
        <w:t xml:space="preserve"> </w:t>
      </w:r>
    </w:p>
    <w:p w:rsidR="008A6729" w:rsidRDefault="008A6729" w:rsidP="008A6729">
      <w:pPr>
        <w:pStyle w:val="HeadingBoldBlue"/>
      </w:pPr>
      <w:bookmarkStart w:id="37" w:name="_Toc450922714"/>
      <w:r>
        <w:t>Elements of the ARORO—efficient financing costs</w:t>
      </w:r>
      <w:bookmarkEnd w:id="37"/>
    </w:p>
    <w:p w:rsidR="008A6729" w:rsidRDefault="008A6729" w:rsidP="008A6729">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for an investment with a similar degree of risk as that which applies to a service provider in respect of the provision of regulated services.</w:t>
      </w:r>
      <w:r>
        <w:rPr>
          <w:rStyle w:val="FootnoteReference"/>
        </w:rPr>
        <w:footnoteReference w:id="42"/>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43"/>
      </w:r>
    </w:p>
    <w:p w:rsidR="008A6729" w:rsidRDefault="008A6729" w:rsidP="008A6729">
      <w:r>
        <w:lastRenderedPageBreak/>
        <w:t>We consider employing a rate of return that is commensurate with the prevailing market cost of capital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44"/>
      </w:r>
      <w:r>
        <w:t xml:space="preserve"> Similarly, Partington and Satchell interpret efficient financing costs as the opportunity cost of capital, which is a market rate of return for assets with a given level of risk.</w:t>
      </w:r>
      <w:r>
        <w:rPr>
          <w:rStyle w:val="FootnoteReference"/>
        </w:rPr>
        <w:footnoteReference w:id="45"/>
      </w:r>
      <w:r>
        <w:t xml:space="preserve"> </w:t>
      </w:r>
    </w:p>
    <w:p w:rsidR="008A6729" w:rsidRDefault="008A6729" w:rsidP="008A6729">
      <w:pPr>
        <w:pStyle w:val="HeadingBoldBlue"/>
      </w:pPr>
      <w:bookmarkStart w:id="38" w:name="_Toc450922715"/>
      <w:r>
        <w:t>Elements of the ARORO—benchmark efficient entity</w:t>
      </w:r>
      <w:bookmarkEnd w:id="38"/>
    </w:p>
    <w:p w:rsidR="008A6729" w:rsidRDefault="008A6729" w:rsidP="008A6729">
      <w:pPr>
        <w:numPr>
          <w:ilvl w:val="0"/>
          <w:numId w:val="25"/>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 xml:space="preserve">with a similar degree of risk as that which applies to the service provider in respect of the provision of </w:t>
      </w:r>
      <w:r w:rsidR="00F37C99">
        <w:rPr>
          <w:rStyle w:val="AERtextitalic"/>
        </w:rPr>
        <w:t>standard control</w:t>
      </w:r>
      <w:r w:rsidRPr="00D85725">
        <w:rPr>
          <w:rStyle w:val="AERtextitalic"/>
        </w:rPr>
        <w:t xml:space="preserve"> services</w:t>
      </w:r>
      <w:r>
        <w:t>. Given this, three important concepts to consider are: 'risk', 'similar' and '</w:t>
      </w:r>
      <w:r w:rsidR="00C169B3">
        <w:t xml:space="preserve">standard control </w:t>
      </w:r>
      <w:r>
        <w:t>services'. Having understood these concepts, we can better understand a benchmark efficient entity to give effect to the ARORO.</w:t>
      </w:r>
    </w:p>
    <w:p w:rsidR="008A6729" w:rsidRPr="00E76063" w:rsidRDefault="008A6729" w:rsidP="008A6729">
      <w:pPr>
        <w:pStyle w:val="HeadingBoldItalic"/>
      </w:pPr>
      <w:r>
        <w:t>'</w:t>
      </w:r>
      <w:r w:rsidRPr="00E76063">
        <w:t>Risk</w:t>
      </w:r>
      <w:r>
        <w:t>'</w:t>
      </w:r>
    </w:p>
    <w:p w:rsidR="008A6729" w:rsidRDefault="008A6729" w:rsidP="008A6729">
      <w:pPr>
        <w:numPr>
          <w:ilvl w:val="0"/>
          <w:numId w:val="25"/>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46"/>
      </w:r>
      <w:r>
        <w:t xml:space="preserve"> It is strictly a </w:t>
      </w:r>
      <w:r w:rsidRPr="00855447">
        <w:t>forward looking concept</w:t>
      </w:r>
      <w:r>
        <w:t xml:space="preserve"> as no event is uncertain after it has occurred. </w:t>
      </w:r>
    </w:p>
    <w:p w:rsidR="008A6729" w:rsidRDefault="008A6729" w:rsidP="008A6729">
      <w:pPr>
        <w:numPr>
          <w:ilvl w:val="0"/>
          <w:numId w:val="25"/>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47"/>
      </w:r>
    </w:p>
    <w:p w:rsidR="008A6729" w:rsidRDefault="008A6729" w:rsidP="008A6729">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8A6729" w:rsidRDefault="008A6729" w:rsidP="008A6729">
      <w:r>
        <w:t>Similarly, McKenzie and Partington advise:</w:t>
      </w:r>
      <w:r>
        <w:rPr>
          <w:rStyle w:val="FootnoteReference"/>
        </w:rPr>
        <w:footnoteReference w:id="48"/>
      </w:r>
    </w:p>
    <w:p w:rsidR="008A6729" w:rsidRPr="0039604A" w:rsidRDefault="008A6729" w:rsidP="008A6729">
      <w:pPr>
        <w:pStyle w:val="AERquote"/>
      </w:pPr>
      <w:r w:rsidRPr="0039604A">
        <w:t xml:space="preserve">modern finance theory specifies that the risk to be compensated via the WACC is the non-diversifiable, or systematic, component of total risk (in simple terms, </w:t>
      </w:r>
      <w:r w:rsidRPr="0039604A">
        <w:lastRenderedPageBreak/>
        <w:t xml:space="preserve">that risk which cannot be eliminated by holding stocks in a well diversified portfolio). This risk is measured as covariance, or equivalently beta, risk. </w:t>
      </w:r>
    </w:p>
    <w:p w:rsidR="008A6729" w:rsidRDefault="008A6729" w:rsidP="008A6729">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 xml:space="preserve">In setting the allowed return on equity, we provide compensation for the systematic risk that a benchmark efficient entity would face through the equity beta (see section </w:t>
      </w:r>
      <w:r>
        <w:fldChar w:fldCharType="begin"/>
      </w:r>
      <w:r>
        <w:instrText xml:space="preserve"> REF _Ref451345947 \r \h </w:instrText>
      </w:r>
      <w:r>
        <w:fldChar w:fldCharType="separate"/>
      </w:r>
      <w:r w:rsidR="00691B4D">
        <w:t>3.4.1</w:t>
      </w:r>
      <w:r>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49"/>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50"/>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51"/>
      </w:r>
      <w:r>
        <w:t xml:space="preserve"> In setting the allowed return on debt, we provide compensation for a benchmark efficient entity's efficient costs from facing these risks</w:t>
      </w:r>
      <w:r w:rsidR="00DE1CEE">
        <w:t xml:space="preserve">. This is because such costs </w:t>
      </w:r>
      <w:r>
        <w:t>are included in the promised returns we observe using Bloomberg and RBA data.</w:t>
      </w:r>
      <w:r>
        <w:rPr>
          <w:rStyle w:val="FootnoteReference"/>
        </w:rPr>
        <w:footnoteReference w:id="52"/>
      </w:r>
    </w:p>
    <w:p w:rsidR="008A6729" w:rsidRDefault="008A6729" w:rsidP="008A6729">
      <w:r>
        <w:t xml:space="preserve">As such, </w:t>
      </w:r>
      <w:r w:rsidRPr="00CF5809">
        <w:t xml:space="preserve">when looking at the risks of supplying </w:t>
      </w:r>
      <w:r w:rsidR="00F37C99">
        <w:t>standard control</w:t>
      </w:r>
      <w:r w:rsidRPr="00CF5809">
        <w:t xml:space="preserve"> services, </w:t>
      </w:r>
      <w:r w:rsidR="006B6844">
        <w:t>we</w:t>
      </w:r>
      <w:r w:rsidRPr="00CF5809">
        <w:t xml:space="preserve"> differentiate between </w:t>
      </w:r>
      <w:r>
        <w:t>risk compensated through the allowed rate of return (compensable risk) and non-compensable risk</w:t>
      </w:r>
      <w:r w:rsidRPr="00CF5809">
        <w:t>. When developing the Guideline, we commissioned Frontier to explore these risks and provide advice on what risks we should compensate service providers for through the allowed rate of return.</w:t>
      </w:r>
      <w:r w:rsidRPr="00CF5809">
        <w:rPr>
          <w:rStyle w:val="FootnoteReference"/>
        </w:rPr>
        <w:footnoteReference w:id="53"/>
      </w:r>
      <w:r>
        <w:t xml:space="preserve">    </w:t>
      </w:r>
    </w:p>
    <w:p w:rsidR="008A6729" w:rsidRPr="00CF5809" w:rsidRDefault="008A6729" w:rsidP="008A6729">
      <w:r>
        <w:t>We accept the ARORO requires us to set an allowed rate of return that compensates for the efficient financing costs of a benchmark firm for bearing a similar degree of compensable risk as that which applies to the</w:t>
      </w:r>
      <w:r w:rsidRPr="00B077D0">
        <w:t xml:space="preserve"> service provider in respect of the provision of </w:t>
      </w:r>
      <w:r>
        <w:t xml:space="preserve">the relevant </w:t>
      </w:r>
      <w:r w:rsidRPr="00B077D0">
        <w:t>regulated services</w:t>
      </w:r>
      <w:r>
        <w:t>. This reflect</w:t>
      </w:r>
      <w:r w:rsidR="00C20E8F">
        <w:t>s</w:t>
      </w:r>
      <w:r>
        <w:t xml:space="preserve"> an ex-ante return that includes a risk premium over the risk free rate for bearing this level of compensable risk.   </w:t>
      </w:r>
    </w:p>
    <w:p w:rsidR="008A6729" w:rsidRPr="004F02FD" w:rsidRDefault="008A6729" w:rsidP="008A6729">
      <w:pPr>
        <w:pStyle w:val="HeadingBoldItalic"/>
      </w:pPr>
      <w:r w:rsidRPr="00E76063">
        <w:t>'</w:t>
      </w:r>
      <w:r w:rsidRPr="004F02FD">
        <w:t>Similar'</w:t>
      </w:r>
    </w:p>
    <w:p w:rsidR="008A6729" w:rsidRDefault="008A6729" w:rsidP="008A6729">
      <w:pPr>
        <w:rPr>
          <w:rStyle w:val="AERbody"/>
        </w:rPr>
      </w:pPr>
      <w:r>
        <w:lastRenderedPageBreak/>
        <w:t>A benchmark efficient entity is to have</w:t>
      </w:r>
      <w:r w:rsidRPr="0046739D">
        <w:t xml:space="preserve"> a similar degree of risk as that which applies to the service provider in respect of the provision of</w:t>
      </w:r>
      <w:r>
        <w:t xml:space="preserve"> the relevant</w:t>
      </w:r>
      <w:r w:rsidRPr="0046739D">
        <w:t xml:space="preserve"> regulated services.</w:t>
      </w:r>
      <w:r>
        <w:rPr>
          <w:rStyle w:val="FootnoteReference"/>
        </w:rPr>
        <w:footnoteReference w:id="54"/>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55"/>
      </w:r>
      <w:r>
        <w:t xml:space="preserve"> We concluded the compensable risks facing the different service providers</w:t>
      </w:r>
      <w:r>
        <w:rPr>
          <w:rStyle w:val="FootnoteReference"/>
        </w:rPr>
        <w:footnoteReference w:id="56"/>
      </w:r>
      <w:r>
        <w:t xml:space="preserve"> were 'similar' for the purposes of characterising a benchmark efficient entity.</w:t>
      </w:r>
      <w:r>
        <w:rPr>
          <w:rStyle w:val="FootnoteReference"/>
        </w:rPr>
        <w:footnoteReference w:id="57"/>
      </w:r>
      <w:r>
        <w:t xml:space="preserve"> For this analysis, see chapter three of the Guideline's explanatory statement.</w:t>
      </w:r>
      <w:r>
        <w:rPr>
          <w:rStyle w:val="FootnoteReference"/>
        </w:rPr>
        <w:footnoteReference w:id="58"/>
      </w:r>
    </w:p>
    <w:p w:rsidR="008A6729" w:rsidRDefault="008A6729" w:rsidP="008A6729">
      <w:pPr>
        <w:pStyle w:val="HeadingBoldItalic"/>
        <w:rPr>
          <w:rStyle w:val="AERbody"/>
        </w:rPr>
      </w:pPr>
      <w:r w:rsidRPr="00785554">
        <w:rPr>
          <w:rStyle w:val="AERbody"/>
        </w:rPr>
        <w:t>'</w:t>
      </w:r>
      <w:r w:rsidR="00C24375">
        <w:rPr>
          <w:rStyle w:val="AERbody"/>
        </w:rPr>
        <w:t>Standard control</w:t>
      </w:r>
      <w:r w:rsidR="0042654C">
        <w:rPr>
          <w:rStyle w:val="AERbody"/>
        </w:rPr>
        <w:t xml:space="preserve"> </w:t>
      </w:r>
      <w:r w:rsidRPr="00785554">
        <w:rPr>
          <w:rStyle w:val="AERbody"/>
        </w:rPr>
        <w:t>services'</w:t>
      </w:r>
    </w:p>
    <w:p w:rsidR="008A6729" w:rsidRPr="00785554" w:rsidRDefault="008A6729" w:rsidP="008A6729">
      <w:r>
        <w:t>T</w:t>
      </w:r>
      <w:r w:rsidRPr="00785554">
        <w:t xml:space="preserve">he allowed rate of return is to be commensurate with the efficient financing costs of a benchmark efficient entity with a similar degree of risk as that which applies to the service provider in respect to the provision of </w:t>
      </w:r>
      <w:r w:rsidR="00C24375">
        <w:t>standard control</w:t>
      </w:r>
      <w:r w:rsidRPr="00785554">
        <w:t xml:space="preserve"> services.</w:t>
      </w:r>
      <w:r w:rsidRPr="00785554">
        <w:rPr>
          <w:rStyle w:val="FootnoteReference"/>
        </w:rPr>
        <w:footnoteReference w:id="59"/>
      </w:r>
      <w:r w:rsidRPr="00785554">
        <w:t xml:space="preserve"> As such, it is important to understand how the rules characterise '</w:t>
      </w:r>
      <w:r w:rsidR="00C24375">
        <w:t>standard control</w:t>
      </w:r>
      <w:r w:rsidRPr="00785554">
        <w:t xml:space="preserve"> services'.</w:t>
      </w:r>
    </w:p>
    <w:p w:rsidR="008A6729" w:rsidRDefault="008A6729" w:rsidP="008A6729">
      <w:r w:rsidRPr="005772E3">
        <w:rPr>
          <w:rStyle w:val="AERbody"/>
        </w:rPr>
        <w:t xml:space="preserve">The rules define </w:t>
      </w:r>
      <w:r w:rsidR="00C24375">
        <w:rPr>
          <w:rStyle w:val="AERbody"/>
        </w:rPr>
        <w:t>standard control</w:t>
      </w:r>
      <w:r w:rsidRPr="005772E3">
        <w:rPr>
          <w:rStyle w:val="AERbody"/>
        </w:rPr>
        <w:t xml:space="preserve"> services as a </w:t>
      </w:r>
      <w:r w:rsidR="00C24375">
        <w:rPr>
          <w:rStyle w:val="AERbody"/>
        </w:rPr>
        <w:t xml:space="preserve">direct control </w:t>
      </w:r>
      <w:r w:rsidRPr="005772E3">
        <w:rPr>
          <w:rStyle w:val="AERbody"/>
        </w:rPr>
        <w:t>service that is subject to a control mechanism based on a service</w:t>
      </w:r>
      <w:r>
        <w:t xml:space="preserve"> provider's</w:t>
      </w:r>
      <w:r w:rsidRPr="000466C9">
        <w:t xml:space="preserve"> total revenue requirement</w:t>
      </w:r>
      <w:r>
        <w:t>.</w:t>
      </w:r>
      <w:r>
        <w:rPr>
          <w:rStyle w:val="FootnoteReference"/>
        </w:rPr>
        <w:footnoteReference w:id="60"/>
      </w:r>
      <w:r>
        <w:t xml:space="preserve"> The rules define a </w:t>
      </w:r>
      <w:r w:rsidR="00430402">
        <w:t>direct control</w:t>
      </w:r>
      <w:r w:rsidRPr="000466C9">
        <w:t xml:space="preserve"> service</w:t>
      </w:r>
      <w:r>
        <w:t xml:space="preserve"> as </w:t>
      </w:r>
      <w:r w:rsidRPr="000466C9">
        <w:t xml:space="preserve">a direct control network service within the meaning of section 2B of the </w:t>
      </w:r>
      <w:r>
        <w:t>NEL.</w:t>
      </w:r>
      <w:r>
        <w:rPr>
          <w:rStyle w:val="FootnoteReference"/>
        </w:rPr>
        <w:footnoteReference w:id="61"/>
      </w:r>
      <w:r>
        <w:t xml:space="preserve"> The NEL then specifies (underline added):</w:t>
      </w:r>
      <w:r>
        <w:rPr>
          <w:rStyle w:val="FootnoteReference"/>
        </w:rPr>
        <w:footnoteReference w:id="62"/>
      </w:r>
    </w:p>
    <w:p w:rsidR="008A6729" w:rsidRPr="003C2B73" w:rsidRDefault="008A6729" w:rsidP="008A6729">
      <w:pPr>
        <w:pStyle w:val="AERquote"/>
      </w:pPr>
      <w:r w:rsidRPr="003C2B73">
        <w:t>A direct control network service is an electricity network service—</w:t>
      </w:r>
    </w:p>
    <w:p w:rsidR="008A6729" w:rsidRPr="003C2B73" w:rsidRDefault="008A6729" w:rsidP="008A6729">
      <w:pPr>
        <w:pStyle w:val="AERquoteindent2"/>
      </w:pPr>
      <w:r w:rsidRPr="003C2B73">
        <w:t xml:space="preserve">(a) the Rules specify as a service the price for which, or the revenue to be earned from which, </w:t>
      </w:r>
      <w:r w:rsidRPr="00E76F13">
        <w:rPr>
          <w:rStyle w:val="AERtextunderline"/>
        </w:rPr>
        <w:t>must be regulated under a distribution determination or transmission determination</w:t>
      </w:r>
      <w:r w:rsidRPr="003C2B73">
        <w:t>; or</w:t>
      </w:r>
    </w:p>
    <w:p w:rsidR="008A6729" w:rsidRPr="00785554" w:rsidRDefault="008A6729" w:rsidP="008A6729">
      <w:pPr>
        <w:pStyle w:val="AERquoteindent2"/>
        <w:rPr>
          <w:rStyle w:val="AERbody"/>
        </w:rPr>
      </w:pPr>
      <w:r w:rsidRPr="003C2B73">
        <w:t>(b) if the Rules do not do so, the AER specifies, in a distribution determination or transmission determination, as a service the price for which, or the revenue to be earned from which, must be regulated under the distribution determination or transmission determination.</w:t>
      </w:r>
    </w:p>
    <w:p w:rsidR="008A6729" w:rsidRPr="00785554" w:rsidRDefault="008A6729" w:rsidP="008A6729">
      <w:pPr>
        <w:pStyle w:val="HeadingBoldItalic"/>
        <w:rPr>
          <w:rStyle w:val="AERbody"/>
        </w:rPr>
      </w:pPr>
      <w:r w:rsidRPr="00785554">
        <w:rPr>
          <w:rStyle w:val="AERbody"/>
        </w:rPr>
        <w:t>Risk, regulation and a benchmark efficient entity</w:t>
      </w:r>
    </w:p>
    <w:p w:rsidR="008A6729" w:rsidRDefault="008A6729" w:rsidP="008A6729">
      <w:r>
        <w:rPr>
          <w:rStyle w:val="AERbody"/>
        </w:rPr>
        <w:lastRenderedPageBreak/>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63"/>
      </w:r>
    </w:p>
    <w:p w:rsidR="008A6729" w:rsidRDefault="008A6729" w:rsidP="008A6729">
      <w:pPr>
        <w:pStyle w:val="AERbulletlistfirststyle"/>
      </w:pPr>
      <w:r w:rsidRPr="005F4630">
        <w:t xml:space="preserve">to the </w:t>
      </w:r>
      <w:r>
        <w:t xml:space="preserve">service provider in which the decision relates (which will always be a business that is regulated under the rules and NEL/NGL) </w:t>
      </w:r>
    </w:p>
    <w:p w:rsidR="008A6729" w:rsidRDefault="008A6729" w:rsidP="008A6729">
      <w:pPr>
        <w:pStyle w:val="AERbulletlistfirststyle"/>
      </w:pPr>
      <w:r w:rsidRPr="005F4630">
        <w:t xml:space="preserve">in respect to the provision of </w:t>
      </w:r>
      <w:r w:rsidR="00430402">
        <w:t>standard control</w:t>
      </w:r>
      <w:r w:rsidRPr="005F4630">
        <w:t xml:space="preserve"> services</w:t>
      </w:r>
      <w:r>
        <w:t>, which can only be provided by businesses regulated under the rules.</w:t>
      </w:r>
    </w:p>
    <w:p w:rsidR="008A6729" w:rsidRPr="00785554" w:rsidRDefault="008A6729" w:rsidP="008A6729">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64"/>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65"/>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66"/>
      </w:r>
      <w:r w:rsidRPr="00785554">
        <w:t xml:space="preserve"> </w:t>
      </w:r>
    </w:p>
    <w:p w:rsidR="008A6729" w:rsidRPr="00785554" w:rsidRDefault="008A6729" w:rsidP="008A6729">
      <w:r>
        <w:t xml:space="preserve">Brealey et.al. use the figure </w:t>
      </w:r>
      <w:r w:rsidRPr="00785554">
        <w:t xml:space="preserve">we have presented as </w:t>
      </w:r>
      <w:r>
        <w:fldChar w:fldCharType="begin"/>
      </w:r>
      <w:r>
        <w:instrText xml:space="preserve"> REF  _Ref451345901 \* Lower \h </w:instrText>
      </w:r>
      <w:r>
        <w:fldChar w:fldCharType="separate"/>
      </w:r>
      <w:r w:rsidR="00691B4D">
        <w:t xml:space="preserve">figure </w:t>
      </w:r>
      <w:r w:rsidR="00691B4D">
        <w:rPr>
          <w:noProof/>
        </w:rPr>
        <w:t>3</w:t>
      </w:r>
      <w:r w:rsidR="00691B4D">
        <w:noBreakHyphen/>
      </w:r>
      <w:r w:rsidR="00691B4D">
        <w:rPr>
          <w:noProof/>
        </w:rPr>
        <w:t>1</w:t>
      </w:r>
      <w:r>
        <w:fldChar w:fldCharType="end"/>
      </w:r>
      <w:r>
        <w:t xml:space="preserve"> </w:t>
      </w:r>
      <w:r w:rsidRPr="00785554">
        <w:t>to illustrate the following.</w:t>
      </w:r>
      <w:r w:rsidRPr="00785554">
        <w:rPr>
          <w:rStyle w:val="FootnoteReference"/>
        </w:rPr>
        <w:footnoteReference w:id="67"/>
      </w:r>
    </w:p>
    <w:p w:rsidR="008A6729" w:rsidRDefault="008A6729" w:rsidP="008A6729">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8A6729" w:rsidRPr="00C75038" w:rsidRDefault="008A6729" w:rsidP="008A6729">
      <w:pPr>
        <w:pStyle w:val="Caption"/>
      </w:pPr>
      <w:bookmarkStart w:id="39" w:name="_Ref451345901"/>
      <w:r>
        <w:lastRenderedPageBreak/>
        <w:t xml:space="preserve">Figure </w:t>
      </w:r>
      <w:r w:rsidRPr="008A6729">
        <w:fldChar w:fldCharType="begin"/>
      </w:r>
      <w:r>
        <w:instrText xml:space="preserve"> STYLEREF 1 \s </w:instrText>
      </w:r>
      <w:r w:rsidRPr="008A6729">
        <w:fldChar w:fldCharType="separate"/>
      </w:r>
      <w:r w:rsidR="00691B4D">
        <w:rPr>
          <w:noProof/>
        </w:rPr>
        <w:t>3</w:t>
      </w:r>
      <w:r w:rsidRPr="008A6729">
        <w:fldChar w:fldCharType="end"/>
      </w:r>
      <w:r>
        <w:noBreakHyphen/>
      </w:r>
      <w:r w:rsidRPr="008A6729">
        <w:fldChar w:fldCharType="begin"/>
      </w:r>
      <w:r>
        <w:instrText xml:space="preserve"> SEQ Figure \* ARABIC \s 1 </w:instrText>
      </w:r>
      <w:r w:rsidRPr="008A6729">
        <w:fldChar w:fldCharType="separate"/>
      </w:r>
      <w:r w:rsidR="00691B4D">
        <w:rPr>
          <w:noProof/>
        </w:rPr>
        <w:t>1</w:t>
      </w:r>
      <w:r w:rsidRPr="008A6729">
        <w:fldChar w:fldCharType="end"/>
      </w:r>
      <w:bookmarkEnd w:id="39"/>
      <w:r>
        <w:tab/>
        <w:t>Risk versus expected return</w:t>
      </w:r>
    </w:p>
    <w:p w:rsidR="008A6729" w:rsidRPr="00785554" w:rsidRDefault="008A6729" w:rsidP="008A6729">
      <w:r w:rsidRPr="008A6729">
        <w:rPr>
          <w:noProof/>
          <w:lang w:eastAsia="en-AU"/>
        </w:rPr>
        <w:drawing>
          <wp:inline distT="0" distB="0" distL="0" distR="0" wp14:anchorId="7982A53F" wp14:editId="240A4C10">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7706511"/>
                    </a:xfrm>
                    <a:prstGeom prst="rect">
                      <a:avLst/>
                    </a:prstGeom>
                  </pic:spPr>
                </pic:pic>
              </a:graphicData>
            </a:graphic>
          </wp:inline>
        </w:drawing>
      </w:r>
    </w:p>
    <w:p w:rsidR="008A6729" w:rsidRDefault="008A6729" w:rsidP="008A6729">
      <w:pPr>
        <w:pStyle w:val="AERtablesource"/>
      </w:pPr>
      <w:r>
        <w:t xml:space="preserve">Source: </w:t>
      </w:r>
      <w:r>
        <w:tab/>
        <w:t>Brealey</w:t>
      </w:r>
      <w:r w:rsidRPr="001326E8">
        <w:t>, Myers, Allen</w:t>
      </w:r>
      <w:r>
        <w:t xml:space="preserve"> (2011), </w:t>
      </w:r>
      <w:r w:rsidRPr="001326E8">
        <w:t>Figure 8.2</w:t>
      </w:r>
      <w:r>
        <w:t>.</w:t>
      </w:r>
    </w:p>
    <w:p w:rsidR="008A6729" w:rsidRDefault="008A6729" w:rsidP="008A6729">
      <w:r>
        <w:lastRenderedPageBreak/>
        <w:t xml:space="preserve">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investors hold fully diversified 'efficient' market portfolios, it is an investment's non-diversifiable (or systematic) risk that is relevant. In the case of equity investments, as discussed above, this is measured by the equity beta of the investment. </w:t>
      </w:r>
    </w:p>
    <w:p w:rsidR="008A6729" w:rsidRPr="00785554" w:rsidRDefault="008A6729" w:rsidP="008A6729">
      <w:r>
        <w:t xml:space="preserve">We consider </w:t>
      </w:r>
      <w:r w:rsidRPr="00785554">
        <w:t xml:space="preserve">a benchmark efficient entity </w:t>
      </w:r>
      <w:r w:rsidRPr="009704CD">
        <w:rPr>
          <w:rStyle w:val="AERbody"/>
        </w:rPr>
        <w:t>with a similar degree of risk as that which applies to the service provider in the provision of its regulated services</w:t>
      </w:r>
      <w:r w:rsidRPr="00785554">
        <w:t xml:space="preserve"> would be 'a pure play, regulated energy network business operating within Australia' acting efficiently.</w:t>
      </w:r>
      <w:r w:rsidRPr="00785554">
        <w:rPr>
          <w:rStyle w:val="FootnoteReference"/>
        </w:rPr>
        <w:footnoteReference w:id="68"/>
      </w:r>
      <w:r w:rsidRPr="00785554">
        <w:t xml:space="preserve"> </w:t>
      </w:r>
      <w:r w:rsidRPr="00785554">
        <w:rPr>
          <w:rStyle w:val="AERbody"/>
        </w:rPr>
        <w:t xml:space="preserve"> To understand this position, </w:t>
      </w:r>
      <w:r w:rsidRPr="00785554">
        <w:t>it is essential to understand the relationship and distinction between risk and expected returns. All else being equal, we consider an unregulated monopoly will have higher risk and higher expected returns than a regulated monopoly. This is because regulation:</w:t>
      </w:r>
    </w:p>
    <w:p w:rsidR="008A6729" w:rsidRDefault="008A6729" w:rsidP="008A6729">
      <w:pPr>
        <w:pStyle w:val="AERbulletlistfirststyle"/>
      </w:pPr>
      <w:r>
        <w:t>mitigates monopolies from being able to extract monopoly rents, thereby constraining potential profits</w:t>
      </w:r>
    </w:p>
    <w:p w:rsidR="008A6729" w:rsidRDefault="008A6729" w:rsidP="008A6729">
      <w:pPr>
        <w:pStyle w:val="AERbulletlistfirststyle"/>
      </w:pPr>
      <w:r>
        <w:t>increases the certainty of the revenue stream, thereby reducing risk.</w:t>
      </w:r>
    </w:p>
    <w:p w:rsidR="008A6729" w:rsidRPr="00785554" w:rsidRDefault="008A6729" w:rsidP="008A6729">
      <w:r>
        <w:t xml:space="preserve">For clarity, </w:t>
      </w:r>
      <w:r w:rsidRPr="00785554">
        <w:t>regulation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8A6729" w:rsidRPr="00785554" w:rsidRDefault="008A6729" w:rsidP="008A6729">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69"/>
      </w:r>
      <w:r w:rsidRPr="00785554">
        <w:t xml:space="preserve"> Frontier has also recognised the role of regulation in affecting risk in advising:</w:t>
      </w:r>
      <w:r w:rsidRPr="00785554">
        <w:rPr>
          <w:rStyle w:val="FootnoteReference"/>
        </w:rPr>
        <w:footnoteReference w:id="70"/>
      </w:r>
    </w:p>
    <w:p w:rsidR="008A6729" w:rsidRPr="00F23C1C" w:rsidRDefault="008A6729" w:rsidP="008A6729">
      <w:pPr>
        <w:pStyle w:val="AERquote"/>
      </w:pPr>
      <w:r w:rsidRPr="00F23C1C">
        <w:t xml:space="preserve">The form and nature of regulation applicable to Australian energy networks mitigates most of the business risks they face as compared to the business risks faced by other types of firms in the economy. Regulated revenues are set </w:t>
      </w:r>
      <w:r w:rsidRPr="00F23C1C">
        <w:lastRenderedPageBreak/>
        <w:t>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8A6729" w:rsidRDefault="0007291A" w:rsidP="008A6729">
      <w:r>
        <w:t xml:space="preserve">Several members of our </w:t>
      </w:r>
      <w:r w:rsidR="008A6729">
        <w:t xml:space="preserve">Consumer Challenge Panel </w:t>
      </w:r>
      <w:r>
        <w:t>(</w:t>
      </w:r>
      <w:r w:rsidR="008A6729">
        <w:t>CCP) also recognised this in highlighting the need to take into account the protections provided under the regulatory framework</w:t>
      </w:r>
      <w:r w:rsidR="008A6729" w:rsidRPr="0062715B">
        <w:t xml:space="preserve"> </w:t>
      </w:r>
      <w:r w:rsidR="008A6729">
        <w:t>when making assessments about a benchmark efficient entity with a similar degree of risk as a service provider. These included risk reductions arising from:</w:t>
      </w:r>
      <w:r w:rsidR="008A6729">
        <w:rPr>
          <w:rStyle w:val="FootnoteReference"/>
        </w:rPr>
        <w:footnoteReference w:id="71"/>
      </w:r>
    </w:p>
    <w:p w:rsidR="008A6729" w:rsidRPr="003E0036" w:rsidRDefault="008A6729" w:rsidP="008A6729">
      <w:pPr>
        <w:pStyle w:val="AERbulletlistfirststyle"/>
      </w:pPr>
      <w:r w:rsidRPr="003E0036">
        <w:t>a revenue cap</w:t>
      </w:r>
      <w:r>
        <w:t>,</w:t>
      </w:r>
      <w:r w:rsidRPr="003E0036">
        <w:t xml:space="preserve"> which removes volume risk</w:t>
      </w:r>
    </w:p>
    <w:p w:rsidR="008A6729" w:rsidRPr="003E0036" w:rsidRDefault="008A6729" w:rsidP="008A6729">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8A6729" w:rsidRPr="003E0036" w:rsidRDefault="008A6729" w:rsidP="008A6729">
      <w:pPr>
        <w:pStyle w:val="AERbulletlistfirststyle"/>
      </w:pPr>
      <w:r w:rsidRPr="003E0036">
        <w:t>the progressive transition to a 10</w:t>
      </w:r>
      <w:r w:rsidRPr="008A6729">
        <w:rPr>
          <w:rFonts w:ascii="Cambria Math" w:hAnsi="Cambria Math" w:cs="Cambria Math"/>
        </w:rPr>
        <w:t>‐</w:t>
      </w:r>
      <w:r w:rsidRPr="003E0036">
        <w:t xml:space="preserve">year trailing average, including annual updating of the </w:t>
      </w:r>
      <w:r>
        <w:t>return on debt.</w:t>
      </w:r>
    </w:p>
    <w:p w:rsidR="008A6729" w:rsidRPr="00785554" w:rsidRDefault="008A6729" w:rsidP="008A6729">
      <w:pPr>
        <w:rPr>
          <w:rStyle w:val="AERbody"/>
        </w:rPr>
      </w:pPr>
      <w:r>
        <w:t>M</w:t>
      </w:r>
      <w:r w:rsidRPr="00785554">
        <w:t xml:space="preserve">any of the risks that the regulatory regime affects are systematic and therefore affect the cost of capital (or rate of return). From being inherently less exposed to systematic risk, regulated service providers have lower </w:t>
      </w:r>
      <w:r w:rsidRPr="00785554">
        <w:rPr>
          <w:rStyle w:val="AERbody"/>
        </w:rPr>
        <w:t>equity betas than if they were unregulated and therefore lower costs of equity. Also</w:t>
      </w:r>
      <w:r w:rsidRPr="00785554">
        <w:t>, given their lower risk cash flows</w:t>
      </w:r>
      <w:r w:rsidRPr="00785554">
        <w:rPr>
          <w:rStyle w:val="AERbody"/>
        </w:rPr>
        <w:t xml:space="preserve">, regulated service providers might issue a </w:t>
      </w:r>
      <w:r w:rsidRPr="00785554">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8A6729" w:rsidRPr="00785554" w:rsidRDefault="008A6729" w:rsidP="008A6729">
      <w:r>
        <w:rPr>
          <w:rStyle w:val="AERbody"/>
        </w:rPr>
        <w:t xml:space="preserve">Some systematic risks that regulation </w:t>
      </w:r>
      <w:r w:rsidRPr="00785554">
        <w:rPr>
          <w:rStyle w:val="AERbody"/>
        </w:rPr>
        <w:t>reduces include:</w:t>
      </w:r>
    </w:p>
    <w:p w:rsidR="008A6729" w:rsidRDefault="008A6729" w:rsidP="008A6729">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 Further, in most cases, a service provider will determine prices based on historical demand which reduces intra year revenue variations. This effectively mitigates the risk associated with demand volatility.</w:t>
      </w:r>
    </w:p>
    <w:p w:rsidR="008A6729" w:rsidRDefault="008A6729" w:rsidP="008A6729">
      <w:pPr>
        <w:pStyle w:val="AERbulletlistfirststyle"/>
      </w:pPr>
      <w:r>
        <w:lastRenderedPageBreak/>
        <w:t>Inflation risk: Regulated service providers face less inflation risk than unregulated businesses. Under the regulatory framework, they effectively expect to receive a  real return on their investments in their RABs and to also have their RABs indexed for actual inflation.</w:t>
      </w:r>
    </w:p>
    <w:p w:rsidR="008A6729" w:rsidRDefault="008A6729" w:rsidP="008A6729">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8A6729" w:rsidRDefault="008A6729" w:rsidP="008A6729">
      <w:r>
        <w:fldChar w:fldCharType="begin"/>
      </w:r>
      <w:r>
        <w:instrText xml:space="preserve"> REF _Ref451345798 \h </w:instrText>
      </w:r>
      <w:r>
        <w:fldChar w:fldCharType="separate"/>
      </w:r>
      <w:r w:rsidR="00691B4D">
        <w:t xml:space="preserve">Table </w:t>
      </w:r>
      <w:r w:rsidR="00691B4D">
        <w:rPr>
          <w:noProof/>
        </w:rPr>
        <w:t>3</w:t>
      </w:r>
      <w:r w:rsidR="00691B4D">
        <w:noBreakHyphen/>
      </w:r>
      <w:r w:rsidR="00691B4D">
        <w:rPr>
          <w:noProof/>
        </w:rPr>
        <w:t>3</w:t>
      </w:r>
      <w:r>
        <w:fldChar w:fldCharType="end"/>
      </w:r>
      <w:r>
        <w:t xml:space="preserve"> summarises a selection of provisions in the rules that have the effect of mitigating various systematic and non-systematic risks.</w:t>
      </w:r>
    </w:p>
    <w:p w:rsidR="008A6729" w:rsidRDefault="008A6729" w:rsidP="008A6729">
      <w:pPr>
        <w:pStyle w:val="Caption"/>
      </w:pPr>
      <w:bookmarkStart w:id="40" w:name="_Ref451345798"/>
      <w:r>
        <w:t xml:space="preserve">Table </w:t>
      </w:r>
      <w:r w:rsidRPr="008A6729">
        <w:fldChar w:fldCharType="begin"/>
      </w:r>
      <w:r>
        <w:instrText xml:space="preserve"> STYLEREF 1 \s </w:instrText>
      </w:r>
      <w:r w:rsidRPr="008A6729">
        <w:fldChar w:fldCharType="separate"/>
      </w:r>
      <w:r w:rsidR="00691B4D">
        <w:rPr>
          <w:noProof/>
        </w:rPr>
        <w:t>3</w:t>
      </w:r>
      <w:r w:rsidRPr="008A6729">
        <w:fldChar w:fldCharType="end"/>
      </w:r>
      <w:r>
        <w:noBreakHyphen/>
      </w:r>
      <w:r w:rsidRPr="008A6729">
        <w:fldChar w:fldCharType="begin"/>
      </w:r>
      <w:r>
        <w:instrText xml:space="preserve"> SEQ Table \* ARABIC \s 1 </w:instrText>
      </w:r>
      <w:r w:rsidRPr="008A6729">
        <w:fldChar w:fldCharType="separate"/>
      </w:r>
      <w:r w:rsidR="00691B4D">
        <w:rPr>
          <w:noProof/>
        </w:rPr>
        <w:t>3</w:t>
      </w:r>
      <w:r w:rsidRPr="008A6729">
        <w:fldChar w:fldCharType="end"/>
      </w:r>
      <w:bookmarkEnd w:id="40"/>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8A6729" w:rsidTr="007D4F36">
        <w:trPr>
          <w:cnfStyle w:val="100000000000" w:firstRow="1" w:lastRow="0" w:firstColumn="0" w:lastColumn="0" w:oddVBand="0" w:evenVBand="0" w:oddHBand="0" w:evenHBand="0" w:firstRowFirstColumn="0" w:firstRowLastColumn="0" w:lastRowFirstColumn="0" w:lastRowLastColumn="0"/>
        </w:trPr>
        <w:tc>
          <w:tcPr>
            <w:tcW w:w="1526" w:type="dxa"/>
          </w:tcPr>
          <w:p w:rsidR="008A6729" w:rsidRPr="008A6729" w:rsidRDefault="008A6729" w:rsidP="008A6729">
            <w:r>
              <w:t>Rule</w:t>
            </w:r>
          </w:p>
        </w:tc>
        <w:tc>
          <w:tcPr>
            <w:tcW w:w="7167" w:type="dxa"/>
          </w:tcPr>
          <w:p w:rsidR="008A6729" w:rsidRPr="008A6729" w:rsidRDefault="008A6729" w:rsidP="008A6729">
            <w:r>
              <w:t>Effect on risk</w:t>
            </w:r>
          </w:p>
        </w:tc>
      </w:tr>
      <w:tr w:rsidR="008A6729" w:rsidTr="007D4F36">
        <w:tc>
          <w:tcPr>
            <w:tcW w:w="1526" w:type="dxa"/>
            <w:vAlign w:val="top"/>
          </w:tcPr>
          <w:p w:rsidR="008A6729" w:rsidRPr="008A6729" w:rsidRDefault="008A6729" w:rsidP="008A6729">
            <w:r w:rsidRPr="009378AE">
              <w:t>6.3.2(b)</w:t>
            </w:r>
          </w:p>
          <w:p w:rsidR="008A6729" w:rsidRDefault="00302212" w:rsidP="008A6729">
            <w:r>
              <w:t>6A.4.2(c)</w:t>
            </w:r>
          </w:p>
        </w:tc>
        <w:tc>
          <w:tcPr>
            <w:tcW w:w="7167" w:type="dxa"/>
            <w:vAlign w:val="top"/>
          </w:tcPr>
          <w:p w:rsidR="008A6729" w:rsidRPr="008A6729" w:rsidRDefault="008A6729" w:rsidP="00E31532">
            <w:r w:rsidRPr="009378AE">
              <w:t xml:space="preserve">The term of </w:t>
            </w:r>
            <w:r w:rsidRPr="008A6729">
              <w:t>each regulatory period is at least 5 years, providing a fixed duration in which a service provider has a regulated return on its assets, revenue certainty, and fixed terms of access for its services.</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6.2.6</w:t>
            </w:r>
          </w:p>
          <w:p w:rsidR="00302212" w:rsidRPr="008A6729" w:rsidRDefault="00302212" w:rsidP="008A6729">
            <w:r>
              <w:t>6A.3</w:t>
            </w:r>
          </w:p>
        </w:tc>
        <w:tc>
          <w:tcPr>
            <w:tcW w:w="7167" w:type="dxa"/>
            <w:vAlign w:val="top"/>
          </w:tcPr>
          <w:p w:rsidR="008A6729" w:rsidRPr="008A6729" w:rsidRDefault="008A6729" w:rsidP="00E31532">
            <w:r>
              <w:t xml:space="preserve">The AER adopts a </w:t>
            </w:r>
            <w:r w:rsidRPr="008A6729">
              <w:t xml:space="preserve">control mechanism formula to calculate the total revenue that service providers may collect over a regulatory period (and for each year of a regulatory period). This control mechanism automatically accounts for indexation and annual increases in efficient input costs.  The control mechanism that the AER adopts (typically in the form of a revenue cap), also ensures a service provider has a guaranteed level of total revenue that it may collect across the regulatory period, regardless of unexpected changes in demand.  This significantly limits risks to revenue. </w:t>
            </w:r>
          </w:p>
        </w:tc>
      </w:tr>
      <w:tr w:rsidR="008A6729" w:rsidTr="007D4F36">
        <w:tc>
          <w:tcPr>
            <w:tcW w:w="1526" w:type="dxa"/>
            <w:vAlign w:val="top"/>
          </w:tcPr>
          <w:p w:rsidR="008A6729" w:rsidRDefault="008A6729" w:rsidP="008A6729">
            <w:r w:rsidRPr="009378AE">
              <w:t>6.5.9</w:t>
            </w:r>
          </w:p>
          <w:p w:rsidR="00302212" w:rsidRPr="008A6729" w:rsidRDefault="00302212" w:rsidP="008A6729">
            <w:r>
              <w:t>6A.6.8</w:t>
            </w:r>
          </w:p>
        </w:tc>
        <w:tc>
          <w:tcPr>
            <w:tcW w:w="7167" w:type="dxa"/>
            <w:vAlign w:val="top"/>
          </w:tcPr>
          <w:p w:rsidR="008A6729" w:rsidRPr="008A6729" w:rsidRDefault="008A6729" w:rsidP="00AF310A">
            <w:r w:rsidRPr="009378AE">
              <w:t xml:space="preserve">X factors </w:t>
            </w:r>
            <w:r w:rsidRPr="008A6729">
              <w:t>in the control mechanism smooth revenues across the regulatory period and limit shocks from the last year of a regulatory period before the start of the next. The AER sets X factors, among other things, to allow service providers to recover a revenue shortfall in one year in a subsequent year. Through X factors, service providers have a stable and certain level of revenue over each regulatory period, with reduced risks of short term revenue volatility.</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6.18</w:t>
            </w:r>
          </w:p>
          <w:p w:rsidR="00302212" w:rsidRPr="008A6729" w:rsidRDefault="00302212" w:rsidP="00302212">
            <w:r>
              <w:t>6A.23</w:t>
            </w:r>
          </w:p>
        </w:tc>
        <w:tc>
          <w:tcPr>
            <w:tcW w:w="7167" w:type="dxa"/>
            <w:vAlign w:val="top"/>
          </w:tcPr>
          <w:p w:rsidR="008A6729" w:rsidRPr="008A6729" w:rsidRDefault="008A6729" w:rsidP="008A6729">
            <w:r w:rsidRPr="009378AE">
              <w:t xml:space="preserve">The prices </w:t>
            </w:r>
            <w:r w:rsidRPr="008A6729">
              <w:t xml:space="preserve">service providers may charge annually are certain.  They are set through a regulatory process to approve annual pricing proposals. </w:t>
            </w:r>
          </w:p>
        </w:tc>
      </w:tr>
      <w:tr w:rsidR="008A6729" w:rsidTr="007D4F36">
        <w:tc>
          <w:tcPr>
            <w:tcW w:w="1526" w:type="dxa"/>
            <w:vAlign w:val="top"/>
          </w:tcPr>
          <w:p w:rsidR="00302212" w:rsidRDefault="008A6729" w:rsidP="008A6729">
            <w:r w:rsidRPr="009378AE">
              <w:t xml:space="preserve">6.4.3(a)(1)-(3), 6.5.1, </w:t>
            </w:r>
            <w:r w:rsidRPr="008A6729">
              <w:t>6.5.2, 6.5.5, S6.2.1, S6.2.2B, S6.2.3,</w:t>
            </w:r>
          </w:p>
          <w:p w:rsidR="008A6729" w:rsidRPr="008A6729" w:rsidRDefault="00302212" w:rsidP="008A6729">
            <w:r>
              <w:t>6A.5.4(a)(1)-(3), 6A.6.1, 6A.6.2, 6A.6.3, S6A.2.1, S6A.2.2B, S6A.2.4</w:t>
            </w:r>
            <w:r w:rsidR="008A6729" w:rsidRPr="008A6729">
              <w:t xml:space="preserve"> </w:t>
            </w:r>
          </w:p>
        </w:tc>
        <w:tc>
          <w:tcPr>
            <w:tcW w:w="7167" w:type="dxa"/>
            <w:vAlign w:val="top"/>
          </w:tcPr>
          <w:p w:rsidR="008A6729" w:rsidRPr="008A6729" w:rsidRDefault="008A6729" w:rsidP="00AF310A">
            <w:r w:rsidRPr="009378AE">
              <w:t>The total revenue</w:t>
            </w:r>
            <w:r w:rsidRPr="008A6729">
              <w:t xml:space="preserve"> that the AER determines incorporates a return on and of the service provider's asset base.  The historical asset base rolls forward from one regulatory period to the next and from year to year within each regulatory period.  The NER guarantees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An asset that is not utilised or productive may still provide a return under the NER through the setting and rolling forward of the asset base, the return on and of the asset base and the application of indexation.</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6.5.2</w:t>
            </w:r>
          </w:p>
          <w:p w:rsidR="00302212" w:rsidRPr="008A6729" w:rsidRDefault="00302212" w:rsidP="008A6729">
            <w:r>
              <w:t>6A.6.2</w:t>
            </w:r>
          </w:p>
        </w:tc>
        <w:tc>
          <w:tcPr>
            <w:tcW w:w="7167" w:type="dxa"/>
            <w:vAlign w:val="top"/>
          </w:tcPr>
          <w:p w:rsidR="008A6729" w:rsidRPr="008A6729" w:rsidRDefault="008A6729" w:rsidP="00AF310A">
            <w:r>
              <w:t>T</w:t>
            </w:r>
            <w:r w:rsidRPr="008A6729">
              <w:t>he AER sets the rate of return on the asset base by reference to the risks faced by the service provider.  The AER updates this each regulatory period to account for changed market conditions.</w:t>
            </w:r>
          </w:p>
        </w:tc>
      </w:tr>
      <w:tr w:rsidR="008A6729" w:rsidTr="007D4F36">
        <w:tc>
          <w:tcPr>
            <w:tcW w:w="1526" w:type="dxa"/>
            <w:vAlign w:val="top"/>
          </w:tcPr>
          <w:p w:rsidR="008A6729" w:rsidRDefault="008A6729" w:rsidP="008A6729">
            <w:r w:rsidRPr="009378AE">
              <w:t>6.5.3</w:t>
            </w:r>
          </w:p>
          <w:p w:rsidR="00302212" w:rsidRPr="008A6729" w:rsidRDefault="00302212" w:rsidP="008A6729">
            <w:r>
              <w:t>6A.6.4</w:t>
            </w:r>
          </w:p>
        </w:tc>
        <w:tc>
          <w:tcPr>
            <w:tcW w:w="7167" w:type="dxa"/>
            <w:vAlign w:val="top"/>
          </w:tcPr>
          <w:p w:rsidR="008A6729" w:rsidRPr="008A6729" w:rsidRDefault="008A6729" w:rsidP="008A6729">
            <w:r>
              <w:t>Provision for tax in</w:t>
            </w:r>
            <w:r w:rsidRPr="008A6729">
              <w:t xml:space="preserve"> determining total revenue is required regardless of whether the service provider pays tax.</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6.5.6 and 6.5.7</w:t>
            </w:r>
          </w:p>
          <w:p w:rsidR="00302212" w:rsidRPr="008A6729" w:rsidRDefault="00302212" w:rsidP="008A6729">
            <w:r>
              <w:lastRenderedPageBreak/>
              <w:t>6A.6.6 and 6A.6.7</w:t>
            </w:r>
          </w:p>
        </w:tc>
        <w:tc>
          <w:tcPr>
            <w:tcW w:w="7167" w:type="dxa"/>
            <w:vAlign w:val="top"/>
          </w:tcPr>
          <w:p w:rsidR="008A6729" w:rsidRPr="008A6729" w:rsidRDefault="008A6729" w:rsidP="00AF310A">
            <w:r w:rsidRPr="009378AE">
              <w:lastRenderedPageBreak/>
              <w:t>The</w:t>
            </w:r>
            <w:r w:rsidRPr="008A6729">
              <w:t xml:space="preserve"> AER assesses expenditure requirements for each service provider by reference to the amount necessary to meet a set of standards and objectives.  These include the need to meet the </w:t>
            </w:r>
            <w:r w:rsidRPr="008A6729">
              <w:lastRenderedPageBreak/>
              <w:t>expected demand for services and to meet quality, reliability, security, and safety standards.  The AER does not assess expenditure by reference to the capacity of consumers to pay.  This removes risks that could otherwise arise in providing a reliable and safe service.  The AER reassesses the requirements of service providers for each regulatory period to account for changes in market conditions and trends.</w:t>
            </w:r>
          </w:p>
        </w:tc>
      </w:tr>
      <w:tr w:rsidR="008A6729" w:rsidTr="007D4F36">
        <w:tc>
          <w:tcPr>
            <w:tcW w:w="1526" w:type="dxa"/>
            <w:vAlign w:val="top"/>
          </w:tcPr>
          <w:p w:rsidR="008A6729" w:rsidRDefault="008A6729" w:rsidP="008A6729">
            <w:r w:rsidRPr="009378AE">
              <w:lastRenderedPageBreak/>
              <w:t>6.5.10</w:t>
            </w:r>
          </w:p>
          <w:p w:rsidR="00302212" w:rsidRPr="008A6729" w:rsidRDefault="00302212" w:rsidP="008A6729">
            <w:r>
              <w:t>6A.6.9</w:t>
            </w:r>
          </w:p>
        </w:tc>
        <w:tc>
          <w:tcPr>
            <w:tcW w:w="7167" w:type="dxa"/>
            <w:vAlign w:val="top"/>
          </w:tcPr>
          <w:p w:rsidR="008A6729" w:rsidRPr="008A6729" w:rsidRDefault="008A6729" w:rsidP="008A6729">
            <w:r>
              <w:t>Allows service providers to pass through c</w:t>
            </w:r>
            <w:r w:rsidRPr="008A6729">
              <w:t>ertain costs to consumers in circumstances where this might not be possible in a workably competitive market.  For instance, the pass through provisions provide for a pass through of costs that arise through regulatory change.</w:t>
            </w:r>
          </w:p>
        </w:tc>
      </w:tr>
      <w:tr w:rsidR="008A6729" w:rsidTr="007D4F36">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8A6729" w:rsidRDefault="008A6729" w:rsidP="008A6729">
            <w:r w:rsidRPr="009378AE">
              <w:t>6.5.7(f), 6.6A, chapter 5</w:t>
            </w:r>
          </w:p>
          <w:p w:rsidR="00302212" w:rsidRPr="008A6729" w:rsidRDefault="00302212" w:rsidP="008A6729">
            <w:r>
              <w:t>6A.6.7(g), 6A.8, chapter 5</w:t>
            </w:r>
          </w:p>
        </w:tc>
        <w:tc>
          <w:tcPr>
            <w:tcW w:w="7167" w:type="dxa"/>
            <w:vAlign w:val="top"/>
          </w:tcPr>
          <w:p w:rsidR="008A6729" w:rsidRPr="008A6729" w:rsidRDefault="008A6729" w:rsidP="009F6605">
            <w:r>
              <w:t>E</w:t>
            </w:r>
            <w:r w:rsidRPr="008A6729">
              <w:t xml:space="preserve">stablishes a planning regime for </w:t>
            </w:r>
            <w:r w:rsidR="008D6134">
              <w:t>service providers</w:t>
            </w:r>
            <w:r w:rsidR="008D6134" w:rsidRPr="008A6729">
              <w:t xml:space="preserve"> </w:t>
            </w:r>
            <w:r w:rsidRPr="008A6729">
              <w:t xml:space="preserve">that assists in predicting future costs and appropriate planning for changes in the commercial environment.  This includes provision for contingent projects during a regulatory period and longer term projects through the RIT-D </w:t>
            </w:r>
            <w:r w:rsidR="009F6605">
              <w:t xml:space="preserve">and RIT-T </w:t>
            </w:r>
            <w:r w:rsidRPr="008A6729">
              <w:t>process.</w:t>
            </w:r>
          </w:p>
        </w:tc>
      </w:tr>
      <w:tr w:rsidR="008A6729" w:rsidTr="007D4F36">
        <w:tc>
          <w:tcPr>
            <w:tcW w:w="1526" w:type="dxa"/>
            <w:vAlign w:val="top"/>
          </w:tcPr>
          <w:p w:rsidR="008A6729" w:rsidRDefault="008A6729" w:rsidP="008A6729">
            <w:r w:rsidRPr="009378AE">
              <w:t xml:space="preserve">6.20, </w:t>
            </w:r>
            <w:r w:rsidRPr="008A6729">
              <w:t>6.21, 6.6.1(a1)(d), and RoLR provisions</w:t>
            </w:r>
          </w:p>
          <w:p w:rsidR="00302212" w:rsidRPr="008A6729" w:rsidRDefault="00302212" w:rsidP="00FA0339">
            <w:r>
              <w:t>6A.27, 6A.28, 6A.7.3</w:t>
            </w:r>
          </w:p>
        </w:tc>
        <w:tc>
          <w:tcPr>
            <w:tcW w:w="7167" w:type="dxa"/>
            <w:vAlign w:val="top"/>
          </w:tcPr>
          <w:p w:rsidR="008A6729" w:rsidRPr="008A6729" w:rsidRDefault="008A6729" w:rsidP="008A6729">
            <w:r>
              <w:t>Provides</w:t>
            </w:r>
            <w:r w:rsidRPr="008A6729">
              <w:t xml:space="preserve">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8A6729" w:rsidRDefault="008A6729" w:rsidP="008A6729">
      <w:pPr>
        <w:pStyle w:val="AERtablesource"/>
      </w:pPr>
      <w:r>
        <w:t xml:space="preserve">Source: </w:t>
      </w:r>
      <w:r>
        <w:tab/>
        <w:t>NER, AER analysis.</w:t>
      </w:r>
    </w:p>
    <w:p w:rsidR="008A6729" w:rsidRPr="00785554" w:rsidRDefault="008A6729" w:rsidP="008A6729">
      <w:pPr>
        <w:pStyle w:val="HeadingBoldItalic"/>
        <w:rPr>
          <w:rStyle w:val="AERbody"/>
        </w:rPr>
      </w:pPr>
      <w:r w:rsidRPr="00785554">
        <w:rPr>
          <w:rStyle w:val="AERbody"/>
        </w:rPr>
        <w:t>Outcomes of a workably competitive market</w:t>
      </w:r>
    </w:p>
    <w:p w:rsidR="008A6729" w:rsidRDefault="008A6729" w:rsidP="008A6729">
      <w:pPr>
        <w:numPr>
          <w:ilvl w:val="0"/>
          <w:numId w:val="25"/>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72"/>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73"/>
      </w:r>
    </w:p>
    <w:p w:rsidR="008A6729" w:rsidRDefault="008A6729" w:rsidP="008A6729">
      <w:pPr>
        <w:numPr>
          <w:ilvl w:val="0"/>
          <w:numId w:val="25"/>
        </w:numPr>
      </w:pPr>
      <w:r>
        <w:t>Incentive regulation aims to replicate workably competitive market outcomes by:</w:t>
      </w:r>
    </w:p>
    <w:p w:rsidR="008A6729" w:rsidRDefault="008A6729" w:rsidP="008A6729">
      <w:pPr>
        <w:pStyle w:val="AERbulletlistfirststyle"/>
      </w:pPr>
      <w:r>
        <w:lastRenderedPageBreak/>
        <w:t>Constraining monopoly rents by seeking for customers to only pay for efficient costs of providing the service. This results in service providers having a lower rate of return than if they were unregulated.</w:t>
      </w:r>
    </w:p>
    <w:p w:rsidR="008A6729" w:rsidRPr="00E64F99" w:rsidRDefault="008A6729" w:rsidP="008A6729">
      <w:pPr>
        <w:pStyle w:val="AERbulletlistfirststyle"/>
      </w:pPr>
      <w:r>
        <w:t>Incentivising service providers to operate efficiently.</w:t>
      </w:r>
    </w:p>
    <w:p w:rsidR="008A6729" w:rsidRDefault="008A6729" w:rsidP="008A6729">
      <w:r>
        <w:t>Applying the first point to the allowed rate of return, the allowed rate of return should be consistent with the efficient financing cost of providing regulated services.</w:t>
      </w:r>
      <w:r>
        <w:rPr>
          <w:rStyle w:val="FootnoteReference"/>
        </w:rPr>
        <w:footnoteReference w:id="74"/>
      </w:r>
      <w:r>
        <w:t xml:space="preserve"> As we discuss above and in Appendix </w:t>
      </w:r>
      <w:r>
        <w:fldChar w:fldCharType="begin"/>
      </w:r>
      <w:r>
        <w:instrText xml:space="preserve"> REF _Ref451267772 \r \h </w:instrText>
      </w:r>
      <w:r>
        <w:fldChar w:fldCharType="separate"/>
      </w:r>
      <w:r w:rsidR="00691B4D">
        <w:t>A</w:t>
      </w:r>
      <w:r>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75"/>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76"/>
      </w:r>
    </w:p>
    <w:p w:rsidR="008A6729" w:rsidRDefault="008A6729" w:rsidP="008A6729">
      <w:r>
        <w:t>Applying the second point to the allowed rate of return, we encourage service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8A6729" w:rsidRDefault="008A6729" w:rsidP="008A6729">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8A6729" w:rsidRDefault="008A6729" w:rsidP="008A6729">
      <w:pPr>
        <w:pStyle w:val="AERbulletlistfirststyle"/>
        <w:rPr>
          <w:rStyle w:val="AERbody"/>
        </w:rPr>
      </w:pPr>
      <w:r>
        <w:rPr>
          <w:rStyle w:val="AERbody"/>
        </w:rPr>
        <w:t xml:space="preserve">Is </w:t>
      </w:r>
      <w:r w:rsidRPr="00650403">
        <w:rPr>
          <w:rStyle w:val="AERbody"/>
        </w:rPr>
        <w:t>consistent with the expected return in the competitive capital market (determined by demand and supply) for an investment of similar degree of risk as a service provider supplying regulated services.</w:t>
      </w:r>
    </w:p>
    <w:p w:rsidR="008A6729" w:rsidRDefault="008A6729" w:rsidP="008A6729">
      <w:pPr>
        <w:pStyle w:val="AERbulletlistfirststyle"/>
      </w:pPr>
      <w:r w:rsidRPr="00650403">
        <w:rPr>
          <w:rStyle w:val="AERbody"/>
        </w:rPr>
        <w:t>Incentivises service providers to seek the lowest cost financing (all else being equal).</w:t>
      </w:r>
    </w:p>
    <w:p w:rsidR="008A6729" w:rsidRPr="00E64F99" w:rsidRDefault="008A6729" w:rsidP="008A6729">
      <w:r>
        <w:t xml:space="preserve">For clarity, promoting an efficient competitive outcome would not necessarily </w:t>
      </w:r>
      <w:r w:rsidRPr="00E64F99">
        <w:t xml:space="preserve">entail </w:t>
      </w:r>
      <w:r>
        <w:t>assuming a benchmark efficient entity would</w:t>
      </w:r>
      <w:r w:rsidRPr="00E64F99">
        <w:t xml:space="preserve"> conduct </w:t>
      </w:r>
      <w:r>
        <w:t>all of its</w:t>
      </w:r>
      <w:r w:rsidRPr="00E64F99">
        <w:t xml:space="preserve"> </w:t>
      </w:r>
      <w:r>
        <w:t>activities</w:t>
      </w:r>
      <w:r w:rsidRPr="00E64F99">
        <w:t xml:space="preserve"> as we would imagine an unregulated firm would. </w:t>
      </w:r>
      <w:r>
        <w:t>As before, an unregulated benchmark efficient entity would be a natural monopoly. As Partington and Satchell advise, an unregulated benchmark with monopoly power is not appropriate because '</w:t>
      </w:r>
      <w:r w:rsidRPr="00247802">
        <w:t>if the benchmark entity is an unregulated firm which has monopoly power, then it will be extracting economic rents</w:t>
      </w:r>
      <w:r>
        <w:t>'.</w:t>
      </w:r>
      <w:r>
        <w:rPr>
          <w:rStyle w:val="FootnoteReference"/>
        </w:rPr>
        <w:footnoteReference w:id="77"/>
      </w:r>
    </w:p>
    <w:p w:rsidR="008A6729" w:rsidRPr="00B575CE" w:rsidRDefault="008A6729" w:rsidP="008A6729">
      <w:pPr>
        <w:pStyle w:val="Heading3"/>
      </w:pPr>
      <w:bookmarkStart w:id="41" w:name="_Toc450922716"/>
      <w:bookmarkStart w:id="42" w:name="_Toc451938951"/>
      <w:bookmarkStart w:id="43" w:name="_Toc457911180"/>
      <w:bookmarkStart w:id="44" w:name="_Toc461803717"/>
      <w:bookmarkStart w:id="45" w:name="_Toc462754627"/>
      <w:r>
        <w:t>Return on debt factors in the rules</w:t>
      </w:r>
      <w:bookmarkEnd w:id="41"/>
      <w:bookmarkEnd w:id="42"/>
      <w:bookmarkEnd w:id="43"/>
      <w:bookmarkEnd w:id="44"/>
      <w:bookmarkEnd w:id="45"/>
    </w:p>
    <w:p w:rsidR="008A6729" w:rsidRPr="002F1CCA" w:rsidRDefault="008A6729" w:rsidP="008A6729">
      <w:pPr>
        <w:numPr>
          <w:ilvl w:val="0"/>
          <w:numId w:val="25"/>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78"/>
      </w:r>
    </w:p>
    <w:p w:rsidR="008A6729" w:rsidRPr="002F1CCA" w:rsidRDefault="008A6729" w:rsidP="008A6729">
      <w:pPr>
        <w:pStyle w:val="AERbulletlistfirststyle"/>
      </w:pPr>
      <w:r w:rsidRPr="002F1CCA">
        <w:lastRenderedPageBreak/>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79"/>
      </w:r>
      <w:r w:rsidRPr="002F1CCA">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8A6729" w:rsidRPr="002F1CCA" w:rsidRDefault="008A6729" w:rsidP="008A6729">
      <w:pPr>
        <w:pStyle w:val="AERbulletlistfirststyle"/>
      </w:pPr>
      <w:r w:rsidRPr="002F1CCA">
        <w:t>The interrelationship between the return on equity and the return on debt.</w:t>
      </w:r>
      <w:r w:rsidRPr="001437CB">
        <w:rPr>
          <w:rStyle w:val="AERsuperscript"/>
        </w:rPr>
        <w:footnoteReference w:id="80"/>
      </w:r>
    </w:p>
    <w:p w:rsidR="008A6729" w:rsidRPr="002F1CCA" w:rsidRDefault="008A6729" w:rsidP="008A6729">
      <w:pPr>
        <w:pStyle w:val="AERbulletlistfirststyle"/>
      </w:pPr>
      <w:r w:rsidRPr="002F1CCA">
        <w:t xml:space="preserve">The incentives that the return on debt may provide in relation to capital expenditure over the </w:t>
      </w:r>
      <w:r>
        <w:t xml:space="preserve">regulatory </w:t>
      </w:r>
      <w:r w:rsidRPr="002F1CCA">
        <w:t>period, including as to the timing of any capital expenditure.</w:t>
      </w:r>
      <w:r w:rsidRPr="001437CB">
        <w:rPr>
          <w:rStyle w:val="AERsuperscript"/>
        </w:rPr>
        <w:footnoteReference w:id="81"/>
      </w:r>
    </w:p>
    <w:p w:rsidR="008A6729" w:rsidRPr="002F1CCA" w:rsidRDefault="008A6729" w:rsidP="008A6729">
      <w:pPr>
        <w:pStyle w:val="AERbulletlistfirststyle"/>
      </w:pPr>
      <w:r w:rsidRPr="002F1CCA">
        <w:t xml:space="preserve">Any impacts (including in relation to the costs of servicing debt across </w:t>
      </w:r>
      <w:r>
        <w:t xml:space="preserve">regulatory </w:t>
      </w:r>
      <w:r w:rsidRPr="002F1CCA">
        <w:t xml:space="preserve">periods) on a benchmark efficient entity referred to in the </w:t>
      </w:r>
      <w:r>
        <w:t>ARORO</w:t>
      </w:r>
      <w:r w:rsidRPr="002F1CCA">
        <w:t xml:space="preserve"> that could arise as a result of changing the methodology that is used to estimate the return on debt from one </w:t>
      </w:r>
      <w:r>
        <w:t>regulatory</w:t>
      </w:r>
      <w:r w:rsidRPr="0091529E">
        <w:t xml:space="preserve"> </w:t>
      </w:r>
      <w:r w:rsidRPr="002F1CCA">
        <w:t>period to the next.</w:t>
      </w:r>
      <w:r w:rsidRPr="001437CB">
        <w:rPr>
          <w:rStyle w:val="AERsuperscript"/>
        </w:rPr>
        <w:footnoteReference w:id="82"/>
      </w:r>
    </w:p>
    <w:p w:rsidR="008A6729" w:rsidRDefault="008A6729" w:rsidP="008A6729">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t xml:space="preserve">regulatory </w:t>
      </w:r>
      <w:r w:rsidRPr="002F1CCA">
        <w:t>period.</w:t>
      </w:r>
      <w:r w:rsidRPr="001437CB">
        <w:rPr>
          <w:rStyle w:val="AERsuperscript"/>
        </w:rPr>
        <w:footnoteReference w:id="83"/>
      </w:r>
      <w:r w:rsidRPr="001437CB">
        <w:rPr>
          <w:rStyle w:val="AERsuperscript"/>
        </w:rPr>
        <w:t xml:space="preserve"> </w:t>
      </w:r>
      <w:r w:rsidRPr="00FA6A21">
        <w:rPr>
          <w:rStyle w:val="AERbody"/>
        </w:rPr>
        <w:t xml:space="preserve"> </w:t>
      </w:r>
    </w:p>
    <w:p w:rsidR="008A6729" w:rsidRDefault="008A6729" w:rsidP="008A6729">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84"/>
      </w:r>
      <w:r w:rsidRPr="00FA6A21">
        <w:t xml:space="preserve"> </w:t>
      </w:r>
      <w:r>
        <w:t xml:space="preserve">flowing between a benchmark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t>regulatory</w:t>
      </w:r>
      <w:r w:rsidRPr="002F1CCA">
        <w:t xml:space="preserve"> period to the next</w:t>
      </w:r>
      <w:r>
        <w:rPr>
          <w:rStyle w:val="AERbody"/>
        </w:rPr>
        <w:t xml:space="preserve">. </w:t>
      </w:r>
    </w:p>
    <w:p w:rsidR="008A6729" w:rsidRDefault="008A6729" w:rsidP="008A6729">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w:t>
      </w:r>
      <w:r>
        <w:lastRenderedPageBreak/>
        <w:t xml:space="preserve">(on-the-day)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8A6729" w:rsidRPr="008D480D" w:rsidRDefault="008A6729" w:rsidP="008A6729">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for that regulatory</w:t>
      </w:r>
      <w:r w:rsidRPr="0091529E">
        <w:t xml:space="preserve"> </w:t>
      </w:r>
      <w:r>
        <w:t>period</w:t>
      </w:r>
      <w:r w:rsidRPr="002F1CCA">
        <w:t>.</w:t>
      </w:r>
      <w:r w:rsidRPr="002F1CCA">
        <w:rPr>
          <w:rStyle w:val="AERsuperscript"/>
        </w:rPr>
        <w:footnoteReference w:id="85"/>
      </w:r>
      <w:r>
        <w:t xml:space="preserve"> We address this in our section on debt implementation.</w:t>
      </w:r>
    </w:p>
    <w:p w:rsidR="008A6729" w:rsidRPr="00B575CE" w:rsidRDefault="008A6729" w:rsidP="008A6729">
      <w:pPr>
        <w:pStyle w:val="Heading3"/>
      </w:pPr>
      <w:bookmarkStart w:id="46" w:name="_Toc450922717"/>
      <w:bookmarkStart w:id="47" w:name="_Toc451938952"/>
      <w:bookmarkStart w:id="48" w:name="_Toc457911181"/>
      <w:bookmarkStart w:id="49" w:name="_Toc461803718"/>
      <w:bookmarkStart w:id="50" w:name="_Toc462754628"/>
      <w:r>
        <w:t>R</w:t>
      </w:r>
      <w:r w:rsidRPr="00B575CE">
        <w:t>ate of return Guideline</w:t>
      </w:r>
      <w:bookmarkEnd w:id="46"/>
      <w:bookmarkEnd w:id="47"/>
      <w:bookmarkEnd w:id="48"/>
      <w:bookmarkEnd w:id="49"/>
      <w:bookmarkEnd w:id="50"/>
    </w:p>
    <w:p w:rsidR="008A6729" w:rsidRDefault="008A6729" w:rsidP="008A6729">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86"/>
      </w:r>
    </w:p>
    <w:p w:rsidR="008A6729" w:rsidRDefault="008A6729" w:rsidP="008A6729">
      <w:pPr>
        <w:pStyle w:val="HeadingBoldBlue"/>
      </w:pPr>
      <w:bookmarkStart w:id="51" w:name="_Toc450922718"/>
      <w:r>
        <w:t>Role of the Guideline</w:t>
      </w:r>
      <w:bookmarkEnd w:id="51"/>
    </w:p>
    <w:p w:rsidR="008A6729" w:rsidRDefault="008A6729" w:rsidP="008A6729">
      <w:pPr>
        <w:numPr>
          <w:ilvl w:val="0"/>
          <w:numId w:val="25"/>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87"/>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88"/>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8A6729" w:rsidRDefault="008A6729" w:rsidP="008A6729">
      <w:pPr>
        <w:numPr>
          <w:ilvl w:val="0"/>
          <w:numId w:val="25"/>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89"/>
      </w:r>
      <w:r>
        <w:t xml:space="preserve"> However, we would depart from the Guideline if we are satisfied that doing so would result in an outcome that better achieves the ARORO. We consider our approach is consistent with the AEMC's </w:t>
      </w:r>
      <w:r>
        <w:lastRenderedPageBreak/>
        <w:t>view that, 'the regulator would, in practice, be expected to follow the guidelines unless there had been some genuine change in the evidence'.</w:t>
      </w:r>
      <w:r w:rsidRPr="00696EC1">
        <w:rPr>
          <w:rStyle w:val="FootnoteReference"/>
        </w:rPr>
        <w:footnoteReference w:id="90"/>
      </w:r>
    </w:p>
    <w:p w:rsidR="008A6729" w:rsidRPr="00762AAF" w:rsidRDefault="008A6729" w:rsidP="008A6729">
      <w:pPr>
        <w:numPr>
          <w:ilvl w:val="0"/>
          <w:numId w:val="25"/>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91"/>
      </w:r>
      <w:r w:rsidRPr="00762AAF">
        <w:t xml:space="preserve"> </w:t>
      </w:r>
      <w:r>
        <w:t>The Guideline specifies</w:t>
      </w:r>
      <w:r w:rsidRPr="00762AAF">
        <w:t>:</w:t>
      </w:r>
      <w:r w:rsidRPr="00762AAF">
        <w:rPr>
          <w:rStyle w:val="FootnoteReference"/>
        </w:rPr>
        <w:footnoteReference w:id="92"/>
      </w:r>
    </w:p>
    <w:p w:rsidR="008A6729" w:rsidRPr="00762AAF" w:rsidRDefault="008A6729" w:rsidP="008A6729">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8A6729" w:rsidRPr="00762AAF" w:rsidRDefault="008A6729" w:rsidP="008A6729">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8A6729" w:rsidRDefault="008A6729" w:rsidP="008A6729">
      <w:pPr>
        <w:pStyle w:val="AERbulletlistfirststyle"/>
      </w:pPr>
      <w:r>
        <w:t>h</w:t>
      </w:r>
      <w:r w:rsidRPr="00762AAF">
        <w:t xml:space="preserve">ow these methods will result in an allowed return on equity and return on debt which we are satisfied achieves the </w:t>
      </w:r>
      <w:r>
        <w:t>ARORO</w:t>
      </w:r>
      <w:r w:rsidRPr="00762AAF">
        <w:t>.</w:t>
      </w:r>
    </w:p>
    <w:p w:rsidR="008A6729" w:rsidRDefault="008A6729" w:rsidP="008A6729">
      <w:pPr>
        <w:numPr>
          <w:ilvl w:val="0"/>
          <w:numId w:val="25"/>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8A6729" w:rsidRDefault="008A6729" w:rsidP="008A6729">
      <w:pPr>
        <w:numPr>
          <w:ilvl w:val="0"/>
          <w:numId w:val="25"/>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93"/>
      </w:r>
      <w:r>
        <w:t xml:space="preserve"> Details of the Guideline development process are also on our website.</w:t>
      </w:r>
      <w:r>
        <w:rPr>
          <w:rStyle w:val="FootnoteReference"/>
        </w:rPr>
        <w:footnoteReference w:id="94"/>
      </w:r>
      <w:r>
        <w:t xml:space="preserve"> </w:t>
      </w:r>
    </w:p>
    <w:p w:rsidR="008A6729" w:rsidRDefault="008A6729" w:rsidP="008A6729">
      <w:pPr>
        <w:pStyle w:val="HeadingBoldBlue"/>
      </w:pPr>
      <w:bookmarkStart w:id="52" w:name="_Toc450922719"/>
      <w:r>
        <w:t>Key elements of the Guideline</w:t>
      </w:r>
      <w:bookmarkEnd w:id="52"/>
      <w:r>
        <w:t xml:space="preserve"> </w:t>
      </w:r>
    </w:p>
    <w:p w:rsidR="008A6729" w:rsidRDefault="008A6729" w:rsidP="008A6729">
      <w:pPr>
        <w:rPr>
          <w:rStyle w:val="AERbody"/>
        </w:rPr>
      </w:pPr>
      <w:r>
        <w:rPr>
          <w:rStyle w:val="AERbody"/>
        </w:rPr>
        <w:t>The Guideline provides transparency on how we propose to estimate key components of the allowed rate of return. We summarise these below.</w:t>
      </w:r>
    </w:p>
    <w:p w:rsidR="008A6729" w:rsidRPr="00762AAF" w:rsidRDefault="008A6729" w:rsidP="008A6729">
      <w:pPr>
        <w:pStyle w:val="HeadingBoldItalic"/>
      </w:pPr>
      <w:r w:rsidRPr="00762AAF">
        <w:t>Application of criteria for assessing information</w:t>
      </w:r>
    </w:p>
    <w:p w:rsidR="008A6729" w:rsidRPr="00762AAF" w:rsidRDefault="008A6729" w:rsidP="008A6729">
      <w:pPr>
        <w:numPr>
          <w:ilvl w:val="0"/>
          <w:numId w:val="25"/>
        </w:numPr>
      </w:pPr>
      <w:r w:rsidRPr="00762AAF">
        <w:t xml:space="preserve">We developed a number of criteria and applied these to inform our regulatory judgement when evaluating material put before us. The criteria are subordinate to the </w:t>
      </w:r>
      <w:r w:rsidRPr="00762AAF">
        <w:lastRenderedPageBreak/>
        <w:t xml:space="preserve">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95"/>
      </w:r>
      <w:r w:rsidRPr="00762AAF">
        <w:t xml:space="preserve"> </w:t>
      </w:r>
    </w:p>
    <w:p w:rsidR="008A6729" w:rsidRPr="00762AAF" w:rsidRDefault="008A6729" w:rsidP="008A6729">
      <w:pPr>
        <w:numPr>
          <w:ilvl w:val="0"/>
          <w:numId w:val="25"/>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8A6729" w:rsidRPr="00762AAF" w:rsidRDefault="008A6729" w:rsidP="008A6729">
      <w:pPr>
        <w:numPr>
          <w:ilvl w:val="4"/>
          <w:numId w:val="25"/>
        </w:numPr>
      </w:pPr>
      <w:r w:rsidRPr="00762AAF">
        <w:t>where applicable, reflective of economic and finance principles and market information</w:t>
      </w:r>
    </w:p>
    <w:p w:rsidR="008A6729" w:rsidRPr="00762AAF" w:rsidRDefault="008A6729" w:rsidP="008A6729">
      <w:pPr>
        <w:numPr>
          <w:ilvl w:val="5"/>
          <w:numId w:val="25"/>
        </w:numPr>
      </w:pPr>
      <w:r w:rsidRPr="00762AAF">
        <w:t>estimation methods and financial models are consistent with well accepted economic and finance principles and informed by sound empirical analysis and robust data</w:t>
      </w:r>
    </w:p>
    <w:p w:rsidR="008A6729" w:rsidRPr="00762AAF" w:rsidRDefault="008A6729" w:rsidP="008A6729">
      <w:pPr>
        <w:numPr>
          <w:ilvl w:val="4"/>
          <w:numId w:val="25"/>
        </w:numPr>
      </w:pPr>
      <w:r w:rsidRPr="00762AAF">
        <w:t>fit for purpose</w:t>
      </w:r>
    </w:p>
    <w:p w:rsidR="008A6729" w:rsidRPr="00762AAF" w:rsidRDefault="008A6729" w:rsidP="008A6729">
      <w:pPr>
        <w:numPr>
          <w:ilvl w:val="5"/>
          <w:numId w:val="25"/>
        </w:numPr>
      </w:pPr>
      <w:r w:rsidRPr="00762AAF">
        <w:t xml:space="preserve">the use of estimation methods, financial models, market data and other evidence should be consistent with the original purpose for which it was compiled and have regard to the limitations of that purpose </w:t>
      </w:r>
    </w:p>
    <w:p w:rsidR="008A6729" w:rsidRPr="00762AAF" w:rsidRDefault="008A6729" w:rsidP="008A6729">
      <w:pPr>
        <w:numPr>
          <w:ilvl w:val="5"/>
          <w:numId w:val="25"/>
        </w:numPr>
      </w:pPr>
      <w:r w:rsidRPr="00762AAF">
        <w:t xml:space="preserve">promote simple over complex approaches where appropriate </w:t>
      </w:r>
    </w:p>
    <w:p w:rsidR="008A6729" w:rsidRPr="00762AAF" w:rsidRDefault="008A6729" w:rsidP="008A6729">
      <w:pPr>
        <w:numPr>
          <w:ilvl w:val="4"/>
          <w:numId w:val="25"/>
        </w:numPr>
      </w:pPr>
      <w:r w:rsidRPr="00762AAF">
        <w:t>implemented in accordance with good practice</w:t>
      </w:r>
    </w:p>
    <w:p w:rsidR="008A6729" w:rsidRPr="00762AAF" w:rsidRDefault="008A6729" w:rsidP="008A6729">
      <w:pPr>
        <w:numPr>
          <w:ilvl w:val="5"/>
          <w:numId w:val="25"/>
        </w:numPr>
      </w:pPr>
      <w:r w:rsidRPr="00762AAF">
        <w:t>supported by robust, transparent and replicable analysis that is derived from available credible datasets</w:t>
      </w:r>
    </w:p>
    <w:p w:rsidR="008A6729" w:rsidRPr="00762AAF" w:rsidRDefault="008A6729" w:rsidP="008A6729">
      <w:pPr>
        <w:numPr>
          <w:ilvl w:val="4"/>
          <w:numId w:val="25"/>
        </w:numPr>
      </w:pPr>
      <w:r w:rsidRPr="00762AAF">
        <w:t>where models of the return on equity and debt are used these are</w:t>
      </w:r>
    </w:p>
    <w:p w:rsidR="008A6729" w:rsidRPr="00762AAF" w:rsidRDefault="008A6729" w:rsidP="008A6729">
      <w:pPr>
        <w:numPr>
          <w:ilvl w:val="5"/>
          <w:numId w:val="25"/>
        </w:numPr>
      </w:pPr>
      <w:r w:rsidRPr="00762AAF">
        <w:t>based on quantitative modelling that is sufficiently robust as to not be unduly sensitive to errors in inputs estimation</w:t>
      </w:r>
    </w:p>
    <w:p w:rsidR="008A6729" w:rsidRPr="00762AAF" w:rsidRDefault="008A6729" w:rsidP="008A6729">
      <w:pPr>
        <w:numPr>
          <w:ilvl w:val="5"/>
          <w:numId w:val="25"/>
        </w:numPr>
      </w:pPr>
      <w:r w:rsidRPr="00762AAF">
        <w:t>based on quantitative modelling which avoids arbitrary filtering or adjustment of data, which does not have a sound rationale</w:t>
      </w:r>
    </w:p>
    <w:p w:rsidR="008A6729" w:rsidRPr="00762AAF" w:rsidRDefault="008A6729" w:rsidP="008A6729">
      <w:pPr>
        <w:numPr>
          <w:ilvl w:val="4"/>
          <w:numId w:val="25"/>
        </w:numPr>
      </w:pPr>
      <w:r w:rsidRPr="00762AAF">
        <w:t>where market data and other information is used, this information is</w:t>
      </w:r>
    </w:p>
    <w:p w:rsidR="008A6729" w:rsidRPr="00762AAF" w:rsidRDefault="008A6729" w:rsidP="008A6729">
      <w:pPr>
        <w:numPr>
          <w:ilvl w:val="5"/>
          <w:numId w:val="25"/>
        </w:numPr>
      </w:pPr>
      <w:r w:rsidRPr="00762AAF">
        <w:t>credible and verifiable</w:t>
      </w:r>
    </w:p>
    <w:p w:rsidR="008A6729" w:rsidRPr="00762AAF" w:rsidRDefault="008A6729" w:rsidP="008A6729">
      <w:pPr>
        <w:numPr>
          <w:ilvl w:val="5"/>
          <w:numId w:val="25"/>
        </w:numPr>
      </w:pPr>
      <w:r w:rsidRPr="00762AAF">
        <w:lastRenderedPageBreak/>
        <w:t>comparable and timely</w:t>
      </w:r>
    </w:p>
    <w:p w:rsidR="008A6729" w:rsidRPr="00762AAF" w:rsidRDefault="008A6729" w:rsidP="008A6729">
      <w:pPr>
        <w:numPr>
          <w:ilvl w:val="5"/>
          <w:numId w:val="25"/>
        </w:numPr>
      </w:pPr>
      <w:r w:rsidRPr="00762AAF">
        <w:t>clearly sourced</w:t>
      </w:r>
    </w:p>
    <w:p w:rsidR="008A6729" w:rsidRPr="00762AAF" w:rsidRDefault="008A6729" w:rsidP="008A6729">
      <w:pPr>
        <w:numPr>
          <w:ilvl w:val="4"/>
          <w:numId w:val="25"/>
        </w:numPr>
      </w:pPr>
      <w:r w:rsidRPr="00762AAF">
        <w:t>sufficiently flexible as to allow changing market conditions and new information to be reflected in regulatory outcomes, as appropriate.</w:t>
      </w:r>
    </w:p>
    <w:p w:rsidR="008A6729" w:rsidRPr="00762AAF" w:rsidRDefault="008A6729" w:rsidP="008A6729">
      <w:r>
        <w:t>We applied t</w:t>
      </w:r>
      <w:r w:rsidRPr="00762AAF">
        <w:t>hese criteria in this decision to guide us in deciding on the merits of the material before us and the best place to employ the material (if at all).</w:t>
      </w:r>
    </w:p>
    <w:p w:rsidR="008A6729" w:rsidRPr="00762AAF" w:rsidRDefault="008A6729" w:rsidP="008A6729">
      <w:pPr>
        <w:pStyle w:val="HeadingBoldItalic"/>
      </w:pPr>
      <w:r w:rsidRPr="00762AAF">
        <w:t xml:space="preserve">Benchmark efficient entity </w:t>
      </w:r>
    </w:p>
    <w:p w:rsidR="008A6729" w:rsidRDefault="008A6729" w:rsidP="008A6729">
      <w:pPr>
        <w:numPr>
          <w:ilvl w:val="0"/>
          <w:numId w:val="25"/>
        </w:numPr>
      </w:pPr>
      <w:r>
        <w:t>We generally see</w:t>
      </w:r>
      <w:r w:rsidRPr="00762AAF">
        <w:t xml:space="preserve"> a benchmark efficient entity</w:t>
      </w:r>
      <w:r>
        <w:t xml:space="preserve"> with a similar degree of risk as that applying to the service provider in respect of the provision of </w:t>
      </w:r>
      <w:r w:rsidR="0055588F">
        <w:t>regulated</w:t>
      </w:r>
      <w:r>
        <w:t xml:space="preserve"> services  as being </w:t>
      </w:r>
      <w:r w:rsidRPr="00762AAF">
        <w:t>'a pure play, regulated energy network business operating within Australia'.</w:t>
      </w:r>
      <w:r>
        <w:t xml:space="preserve"> This includes the following components:</w:t>
      </w:r>
      <w:r w:rsidRPr="00762AAF">
        <w:rPr>
          <w:rStyle w:val="FootnoteReference"/>
        </w:rPr>
        <w:footnoteReference w:id="96"/>
      </w:r>
    </w:p>
    <w:p w:rsidR="008A6729" w:rsidRDefault="008A6729" w:rsidP="008A6729">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Pr="00762AAF">
        <w:t>.</w:t>
      </w:r>
    </w:p>
    <w:p w:rsidR="008A6729" w:rsidRDefault="008A6729" w:rsidP="008A6729">
      <w:pPr>
        <w:pStyle w:val="AERbulletlistfirststyle"/>
      </w:pPr>
      <w:r>
        <w:t>Regulated:</w:t>
      </w:r>
      <w:r w:rsidRPr="006E696E">
        <w:t xml:space="preserve"> </w:t>
      </w:r>
      <w:r>
        <w:t>An entity</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 services. Comparable risk is an important component of the ARORO.</w:t>
      </w:r>
    </w:p>
    <w:p w:rsidR="008A6729" w:rsidRPr="00762AAF" w:rsidRDefault="008A6729" w:rsidP="008A6729">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8A6729" w:rsidRPr="006E696E" w:rsidRDefault="008A6729" w:rsidP="008A6729">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8A6729" w:rsidRPr="00762AAF" w:rsidRDefault="008A6729" w:rsidP="008A6729">
      <w:pPr>
        <w:pStyle w:val="HeadingBoldItalic"/>
      </w:pPr>
      <w:r w:rsidRPr="00762AAF">
        <w:t>Gearing</w:t>
      </w:r>
    </w:p>
    <w:p w:rsidR="008A6729" w:rsidRPr="00762AAF" w:rsidRDefault="008A6729" w:rsidP="008A6729">
      <w:pPr>
        <w:numPr>
          <w:ilvl w:val="0"/>
          <w:numId w:val="25"/>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97"/>
      </w:r>
    </w:p>
    <w:p w:rsidR="008A6729" w:rsidRPr="00762AAF" w:rsidRDefault="008A6729" w:rsidP="008A6729">
      <w:pPr>
        <w:pStyle w:val="HeadingBoldItalic"/>
      </w:pPr>
      <w:r w:rsidRPr="00762AAF">
        <w:t>Return on equity</w:t>
      </w:r>
    </w:p>
    <w:p w:rsidR="0012095D" w:rsidRPr="0012095D" w:rsidRDefault="0012095D" w:rsidP="0012095D">
      <w:pPr>
        <w:pStyle w:val="ListParagraph"/>
        <w:numPr>
          <w:ilvl w:val="0"/>
          <w:numId w:val="25"/>
        </w:numPr>
      </w:pPr>
      <w:r w:rsidRPr="0012095D">
        <w:t xml:space="preserve">We determined the allowed return on equity by applying our foundation model approach </w:t>
      </w:r>
      <w:r w:rsidRPr="00762AAF">
        <w:t>set out in the flow chart in</w:t>
      </w:r>
      <w:r>
        <w:t xml:space="preserve"> </w:t>
      </w:r>
      <w:r>
        <w:fldChar w:fldCharType="begin"/>
      </w:r>
      <w:r>
        <w:instrText xml:space="preserve"> REF  _Ref451351195 \* Lower \h </w:instrText>
      </w:r>
      <w:r>
        <w:fldChar w:fldCharType="separate"/>
      </w:r>
      <w:r w:rsidR="00691B4D" w:rsidRPr="00762AAF">
        <w:t xml:space="preserve">figure </w:t>
      </w:r>
      <w:r w:rsidR="00691B4D">
        <w:rPr>
          <w:noProof/>
        </w:rPr>
        <w:t>3</w:t>
      </w:r>
      <w:r w:rsidR="00691B4D">
        <w:noBreakHyphen/>
      </w:r>
      <w:r w:rsidR="00691B4D">
        <w:rPr>
          <w:noProof/>
        </w:rPr>
        <w:t>2</w:t>
      </w:r>
      <w:r>
        <w:fldChar w:fldCharType="end"/>
      </w:r>
      <w:r>
        <w:t>.</w:t>
      </w:r>
      <w:r w:rsidRPr="0012095D">
        <w:t xml:space="preserve"> The foundation model approach was developed after extensive consultation during the formation of our Rate of Return Guideline in December 2013.</w:t>
      </w:r>
    </w:p>
    <w:p w:rsidR="008A6729" w:rsidRDefault="008A6729" w:rsidP="008A6729">
      <w:pPr>
        <w:numPr>
          <w:ilvl w:val="0"/>
          <w:numId w:val="25"/>
        </w:numPr>
      </w:pPr>
      <w:r>
        <w:lastRenderedPageBreak/>
        <w:t>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98"/>
      </w:r>
    </w:p>
    <w:p w:rsidR="0012095D" w:rsidRDefault="0012095D" w:rsidP="0012095D">
      <w:r>
        <w:t>For the avoidance of doubt, we note that:</w:t>
      </w:r>
    </w:p>
    <w:p w:rsidR="0012095D" w:rsidRPr="0012095D" w:rsidRDefault="0012095D" w:rsidP="0012095D">
      <w:pPr>
        <w:pStyle w:val="AERbulletlistfirststyle"/>
      </w:pPr>
      <w:r w:rsidRPr="0012095D">
        <w:t>The foundation model approach identifies one model as the foundation model, but this is just a starting point and does not prevent other models, or combinations of multiple models, from being adopted. As set out in the Guideline:</w:t>
      </w:r>
      <w:r w:rsidRPr="0012095D">
        <w:rPr>
          <w:rStyle w:val="AERsuperscript"/>
        </w:rPr>
        <w:footnoteReference w:id="99"/>
      </w:r>
    </w:p>
    <w:p w:rsidR="0012095D" w:rsidRPr="0081065F" w:rsidRDefault="0012095D" w:rsidP="0012095D">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12095D" w:rsidRPr="0012095D" w:rsidRDefault="0012095D" w:rsidP="0012095D">
      <w:pPr>
        <w:pStyle w:val="AERbulletlistfirststyle"/>
      </w:pPr>
      <w:r w:rsidRPr="0012095D">
        <w:t>The foundation model approach has six steps, but this does not mean that material considered in earlier steps are given more weight than material considered in later steps.</w:t>
      </w:r>
    </w:p>
    <w:p w:rsidR="0012095D" w:rsidRPr="0012095D" w:rsidRDefault="0012095D" w:rsidP="0012095D">
      <w:pPr>
        <w:pStyle w:val="AERbulletlistfirststyle"/>
      </w:pPr>
      <w:r w:rsidRPr="0012095D">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12095D" w:rsidRPr="0012095D" w:rsidRDefault="0012095D" w:rsidP="0012095D">
      <w:pPr>
        <w:pStyle w:val="AERbulletlistfirststyle"/>
      </w:pPr>
      <w:r w:rsidRPr="0012095D">
        <w:t>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service providers' regulated services.</w:t>
      </w:r>
    </w:p>
    <w:p w:rsidR="0012095D" w:rsidRPr="00762AAF" w:rsidRDefault="0012095D" w:rsidP="008A6729">
      <w:pPr>
        <w:numPr>
          <w:ilvl w:val="0"/>
          <w:numId w:val="25"/>
        </w:numPr>
      </w:pPr>
    </w:p>
    <w:p w:rsidR="008A6729" w:rsidRPr="00762AAF" w:rsidRDefault="008A6729" w:rsidP="008A6729">
      <w:pPr>
        <w:pStyle w:val="Caption"/>
      </w:pPr>
      <w:bookmarkStart w:id="53" w:name="_Ref451351195"/>
      <w:r w:rsidRPr="00762AAF">
        <w:lastRenderedPageBreak/>
        <w:t xml:space="preserve">Figure </w:t>
      </w:r>
      <w:r w:rsidRPr="008A6729">
        <w:fldChar w:fldCharType="begin"/>
      </w:r>
      <w:r>
        <w:instrText xml:space="preserve"> STYLEREF 1 \s </w:instrText>
      </w:r>
      <w:r w:rsidRPr="008A6729">
        <w:fldChar w:fldCharType="separate"/>
      </w:r>
      <w:r w:rsidR="00691B4D">
        <w:rPr>
          <w:noProof/>
        </w:rPr>
        <w:t>3</w:t>
      </w:r>
      <w:r w:rsidRPr="008A6729">
        <w:fldChar w:fldCharType="end"/>
      </w:r>
      <w:r>
        <w:noBreakHyphen/>
      </w:r>
      <w:r w:rsidRPr="008A6729">
        <w:fldChar w:fldCharType="begin"/>
      </w:r>
      <w:r>
        <w:instrText xml:space="preserve"> SEQ Figure \* ARABIC \s 1 </w:instrText>
      </w:r>
      <w:r w:rsidRPr="008A6729">
        <w:fldChar w:fldCharType="separate"/>
      </w:r>
      <w:r w:rsidR="00691B4D">
        <w:rPr>
          <w:noProof/>
        </w:rPr>
        <w:t>2</w:t>
      </w:r>
      <w:r w:rsidRPr="008A6729">
        <w:fldChar w:fldCharType="end"/>
      </w:r>
      <w:bookmarkEnd w:id="53"/>
      <w:r w:rsidRPr="00762AAF">
        <w:tab/>
        <w:t xml:space="preserve">Flowchart of the AER’s proposed approach to estimating the </w:t>
      </w:r>
      <w:r>
        <w:t>allowed</w:t>
      </w:r>
      <w:r w:rsidRPr="00762AAF">
        <w:t xml:space="preserve"> return on equity</w:t>
      </w:r>
    </w:p>
    <w:p w:rsidR="008A6729" w:rsidRPr="00762AAF" w:rsidRDefault="008A6729" w:rsidP="008A6729">
      <w:pPr>
        <w:numPr>
          <w:ilvl w:val="0"/>
          <w:numId w:val="25"/>
        </w:numPr>
      </w:pPr>
      <w:r w:rsidRPr="008A6729">
        <w:rPr>
          <w:noProof/>
          <w:lang w:eastAsia="en-AU"/>
        </w:rPr>
        <w:drawing>
          <wp:inline distT="0" distB="0" distL="0" distR="0" wp14:anchorId="02EE94E0" wp14:editId="15D20435">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6">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8A6729" w:rsidRPr="00F06EAD" w:rsidRDefault="008A6729" w:rsidP="008A6729">
      <w:pPr>
        <w:rPr>
          <w:rStyle w:val="AERbody"/>
        </w:rPr>
      </w:pPr>
    </w:p>
    <w:p w:rsidR="008A6729" w:rsidRPr="00762AAF" w:rsidRDefault="008A6729" w:rsidP="008A6729"/>
    <w:p w:rsidR="008A6729" w:rsidRPr="00762AAF" w:rsidRDefault="008A6729" w:rsidP="008A6729">
      <w:pPr>
        <w:pStyle w:val="HeadingBoldItalic"/>
      </w:pPr>
      <w:r w:rsidRPr="00762AAF">
        <w:lastRenderedPageBreak/>
        <w:t>Return on debt</w:t>
      </w:r>
    </w:p>
    <w:p w:rsidR="008A6729" w:rsidRDefault="008A6729" w:rsidP="008A6729">
      <w:pPr>
        <w:pStyle w:val="ListParagraph"/>
        <w:numPr>
          <w:ilvl w:val="0"/>
          <w:numId w:val="25"/>
        </w:numPr>
      </w:pPr>
      <w:r>
        <w:t>We proposed to:</w:t>
      </w:r>
    </w:p>
    <w:p w:rsidR="008A6729" w:rsidRPr="00762AAF" w:rsidRDefault="008A6729" w:rsidP="008A6729">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period</w:t>
      </w:r>
      <w:r w:rsidRPr="00762AAF">
        <w:t>) in</w:t>
      </w:r>
      <w:r>
        <w:t xml:space="preserve"> </w:t>
      </w:r>
      <w:r w:rsidR="00527DDF">
        <w:t>2017–18</w:t>
      </w:r>
      <w:r w:rsidR="002A6675">
        <w:t xml:space="preserve"> </w:t>
      </w:r>
      <w:r>
        <w:t>of the 201</w:t>
      </w:r>
      <w:r w:rsidR="009F1213">
        <w:t>7</w:t>
      </w:r>
      <w:r w:rsidRPr="00762AAF">
        <w:t>–</w:t>
      </w:r>
      <w:r w:rsidR="0055588F">
        <w:t>19</w:t>
      </w:r>
      <w:r w:rsidRPr="00762AAF">
        <w:t xml:space="preserve"> </w:t>
      </w:r>
      <w:r>
        <w:t xml:space="preserve">regulatory </w:t>
      </w:r>
      <w:r w:rsidRPr="00762AAF">
        <w:t>period, and</w:t>
      </w:r>
    </w:p>
    <w:p w:rsidR="008A6729" w:rsidRPr="00762AAF" w:rsidRDefault="008A6729" w:rsidP="008A6729">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100"/>
      </w:r>
    </w:p>
    <w:p w:rsidR="008A6729" w:rsidRPr="00762AAF" w:rsidRDefault="008A6729" w:rsidP="008A6729">
      <w:r>
        <w:t>We also proposed</w:t>
      </w:r>
      <w:r w:rsidRPr="00762AAF">
        <w:t xml:space="preserve"> to estimate the return on debt in each regulatory year by reference to:</w:t>
      </w:r>
    </w:p>
    <w:p w:rsidR="008A6729" w:rsidRPr="00762AAF" w:rsidRDefault="008A6729" w:rsidP="008A6729">
      <w:pPr>
        <w:pStyle w:val="AERbulletlistfirststyle"/>
      </w:pPr>
      <w:r w:rsidRPr="00762AAF">
        <w:t>a benchmark credit rating of BBB+</w:t>
      </w:r>
    </w:p>
    <w:p w:rsidR="008A6729" w:rsidRPr="00762AAF" w:rsidRDefault="008A6729" w:rsidP="008A6729">
      <w:pPr>
        <w:pStyle w:val="AERbulletlistfirststyle"/>
      </w:pPr>
      <w:r w:rsidRPr="00762AAF">
        <w:t>a benchmark term of debt of 10 years</w:t>
      </w:r>
    </w:p>
    <w:p w:rsidR="008A6729" w:rsidRPr="00762AAF" w:rsidRDefault="008A6729" w:rsidP="008A6729">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101"/>
      </w:r>
    </w:p>
    <w:p w:rsidR="008A6729" w:rsidRPr="00762AAF" w:rsidRDefault="008A6729" w:rsidP="008A6729">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102"/>
      </w:r>
    </w:p>
    <w:p w:rsidR="008A6729" w:rsidRPr="00762AAF" w:rsidRDefault="008A6729" w:rsidP="008A6729">
      <w:pPr>
        <w:pStyle w:val="HeadingBoldItalic"/>
      </w:pPr>
      <w:r w:rsidRPr="00762AAF">
        <w:t xml:space="preserve">Mid period </w:t>
      </w:r>
      <w:r w:rsidR="002B2D25">
        <w:t>rate of return</w:t>
      </w:r>
      <w:r w:rsidRPr="00762AAF">
        <w:t xml:space="preserve"> adjustment</w:t>
      </w:r>
    </w:p>
    <w:p w:rsidR="008A6729" w:rsidRDefault="008A6729" w:rsidP="008A6729">
      <w:pPr>
        <w:numPr>
          <w:ilvl w:val="0"/>
          <w:numId w:val="25"/>
        </w:numPr>
      </w:pPr>
      <w:r w:rsidRPr="00762AAF">
        <w:t xml:space="preserve">We proposed </w:t>
      </w:r>
      <w:r>
        <w:t xml:space="preserve">to </w:t>
      </w:r>
      <w:r w:rsidRPr="00762AAF">
        <w:t>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03"/>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04"/>
      </w:r>
    </w:p>
    <w:p w:rsidR="008A6729" w:rsidRPr="00B575CE" w:rsidRDefault="008A6729" w:rsidP="008A6729">
      <w:pPr>
        <w:pStyle w:val="Heading3"/>
      </w:pPr>
      <w:bookmarkStart w:id="54" w:name="_Toc450922720"/>
      <w:bookmarkStart w:id="55" w:name="_Toc451938953"/>
      <w:bookmarkStart w:id="56" w:name="_Toc457911182"/>
      <w:bookmarkStart w:id="57" w:name="_Toc461803719"/>
      <w:bookmarkStart w:id="58" w:name="_Toc462754629"/>
      <w:r>
        <w:t>Interrelationships</w:t>
      </w:r>
      <w:bookmarkEnd w:id="54"/>
      <w:bookmarkEnd w:id="55"/>
      <w:bookmarkEnd w:id="56"/>
      <w:bookmarkEnd w:id="57"/>
      <w:bookmarkEnd w:id="58"/>
    </w:p>
    <w:p w:rsidR="008A6729" w:rsidRPr="00785554" w:rsidRDefault="008A6729" w:rsidP="008A6729">
      <w:r w:rsidRPr="00E75E61">
        <w:lastRenderedPageBreak/>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05"/>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8A6729" w:rsidRPr="00762AAF" w:rsidRDefault="008A6729" w:rsidP="008A6729">
      <w:pPr>
        <w:numPr>
          <w:ilvl w:val="0"/>
          <w:numId w:val="25"/>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06"/>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w:t>
      </w:r>
      <w:r w:rsidR="0055588F">
        <w:t>regulated</w:t>
      </w:r>
      <w:r w:rsidRPr="00762AAF">
        <w:t xml:space="preserve">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07"/>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08"/>
      </w:r>
    </w:p>
    <w:p w:rsidR="008A6729" w:rsidRPr="00762AAF" w:rsidRDefault="008A6729" w:rsidP="008A6729">
      <w:pPr>
        <w:numPr>
          <w:ilvl w:val="0"/>
          <w:numId w:val="25"/>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8A6729" w:rsidRPr="00762AAF" w:rsidRDefault="008A6729" w:rsidP="008A6729">
      <w:pPr>
        <w:rPr>
          <w:rStyle w:val="Strong"/>
        </w:rPr>
      </w:pPr>
      <w:r>
        <w:rPr>
          <w:rStyle w:val="Strong"/>
        </w:rPr>
        <w:t>A</w:t>
      </w:r>
      <w:r w:rsidRPr="00762AAF">
        <w:rPr>
          <w:rStyle w:val="Strong"/>
        </w:rPr>
        <w:t xml:space="preserve"> benchmark </w:t>
      </w:r>
    </w:p>
    <w:p w:rsidR="008A6729" w:rsidRPr="00762AAF" w:rsidRDefault="008A6729" w:rsidP="008A6729">
      <w:pPr>
        <w:numPr>
          <w:ilvl w:val="0"/>
          <w:numId w:val="25"/>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 compensated at all.</w:t>
      </w:r>
      <w:r w:rsidRPr="00762AAF">
        <w:rPr>
          <w:rStyle w:val="FootnoteReference"/>
        </w:rPr>
        <w:footnoteReference w:id="109"/>
      </w:r>
      <w:r w:rsidRPr="00762AAF">
        <w:t xml:space="preserve"> These interrelationships between the types of risk and the required compensation via the rate of return are an important factor.</w:t>
      </w:r>
      <w:r w:rsidRPr="00762AAF">
        <w:rPr>
          <w:rStyle w:val="FootnoteReference"/>
        </w:rPr>
        <w:footnoteReference w:id="110"/>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8A6729" w:rsidRPr="00762AAF" w:rsidRDefault="008A6729" w:rsidP="008A6729">
      <w:pPr>
        <w:pStyle w:val="AERbulletlistfirststyle"/>
      </w:pPr>
      <w:r w:rsidRPr="00762AAF">
        <w:lastRenderedPageBreak/>
        <w:t>energy type (gas or electricity)</w:t>
      </w:r>
    </w:p>
    <w:p w:rsidR="008A6729" w:rsidRPr="00762AAF" w:rsidRDefault="008A6729" w:rsidP="008A6729">
      <w:pPr>
        <w:pStyle w:val="AERbulletlistfirststyle"/>
      </w:pPr>
      <w:r w:rsidRPr="00762AAF">
        <w:t>network type (distribution or transmission)</w:t>
      </w:r>
    </w:p>
    <w:p w:rsidR="008A6729" w:rsidRPr="00762AAF" w:rsidRDefault="008A6729" w:rsidP="008A6729">
      <w:pPr>
        <w:pStyle w:val="AERbulletlistfirststyle"/>
      </w:pPr>
      <w:r w:rsidRPr="00762AAF">
        <w:t>ownership type (government or private)</w:t>
      </w:r>
    </w:p>
    <w:p w:rsidR="008A6729" w:rsidRPr="00762AAF" w:rsidRDefault="008A6729" w:rsidP="008A6729">
      <w:pPr>
        <w:pStyle w:val="AERbulletlistfirststyle"/>
      </w:pPr>
      <w:r w:rsidRPr="00762AAF">
        <w:t>size of the service provider (big or small).</w:t>
      </w:r>
    </w:p>
    <w:p w:rsidR="008A6729" w:rsidRPr="00762AAF" w:rsidRDefault="008A6729" w:rsidP="008A6729">
      <w:pPr>
        <w:numPr>
          <w:ilvl w:val="0"/>
          <w:numId w:val="25"/>
        </w:numPr>
        <w:rPr>
          <w:rStyle w:val="Strong"/>
        </w:rPr>
      </w:pPr>
      <w:r w:rsidRPr="00762AAF">
        <w:rPr>
          <w:rStyle w:val="Strong"/>
        </w:rPr>
        <w:t>Domestic market</w:t>
      </w:r>
    </w:p>
    <w:p w:rsidR="008A6729" w:rsidRPr="00762AAF" w:rsidRDefault="008A6729" w:rsidP="008A6729">
      <w:pPr>
        <w:numPr>
          <w:ilvl w:val="0"/>
          <w:numId w:val="25"/>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8A6729" w:rsidRPr="00762AAF" w:rsidRDefault="008A6729" w:rsidP="008A6729">
      <w:pPr>
        <w:rPr>
          <w:rStyle w:val="Strong"/>
        </w:rPr>
      </w:pPr>
      <w:r w:rsidRPr="00762AAF">
        <w:rPr>
          <w:rStyle w:val="Strong"/>
        </w:rPr>
        <w:t>Benchmark gearing</w:t>
      </w:r>
    </w:p>
    <w:p w:rsidR="008A6729" w:rsidRPr="00762AAF" w:rsidRDefault="008A6729" w:rsidP="008A6729">
      <w:r w:rsidRPr="00762AAF">
        <w:t>We apply a benchmark efficient level of gearing of 60 per cent, as noted above. This benchmark gearing level is used</w:t>
      </w:r>
      <w:r w:rsidR="005D2743">
        <w:t xml:space="preserve"> to</w:t>
      </w:r>
      <w:r w:rsidRPr="00762AAF">
        <w:t>:</w:t>
      </w:r>
    </w:p>
    <w:p w:rsidR="008A6729" w:rsidRPr="00762AAF" w:rsidRDefault="008A6729" w:rsidP="008A6729">
      <w:pPr>
        <w:pStyle w:val="AERbulletlistfirststyle"/>
      </w:pPr>
      <w:r w:rsidRPr="00762AAF">
        <w:t xml:space="preserve">weight the </w:t>
      </w:r>
      <w:r>
        <w:t>allowed</w:t>
      </w:r>
      <w:r w:rsidRPr="00762AAF">
        <w:t xml:space="preserve"> return on debt and equity to derive the overall </w:t>
      </w:r>
      <w:r>
        <w:t xml:space="preserve">allowed </w:t>
      </w:r>
      <w:r w:rsidRPr="00762AAF">
        <w:t xml:space="preserve">rate of return </w:t>
      </w:r>
    </w:p>
    <w:p w:rsidR="008A6729" w:rsidRPr="00762AAF" w:rsidRDefault="008A6729" w:rsidP="008A6729">
      <w:pPr>
        <w:pStyle w:val="AERbulletlistfirststyle"/>
      </w:pPr>
      <w:r w:rsidRPr="00762AAF">
        <w:t>re-lever asset betas for the purposes of comparing the levels of systematic risk across businesses which is relevant for the equity beta estimate.</w:t>
      </w:r>
    </w:p>
    <w:p w:rsidR="008A6729" w:rsidRPr="00762AAF" w:rsidRDefault="008A6729" w:rsidP="008A6729">
      <w:r w:rsidRPr="00762AAF">
        <w:t xml:space="preserve">We adopt a benchmark credit rating which is BBB+ or its equivalent for the purposes of estimating the return on debt. To derive this benchmark rating and the gearing ratio, we reviewed a sample of regulated </w:t>
      </w:r>
      <w:r w:rsidR="0055588F">
        <w:t xml:space="preserve">service </w:t>
      </w:r>
      <w:r>
        <w:t>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service providers.</w:t>
      </w:r>
      <w:r w:rsidRPr="00762AAF">
        <w:rPr>
          <w:rStyle w:val="FootnoteReference"/>
        </w:rPr>
        <w:footnoteReference w:id="111"/>
      </w:r>
    </w:p>
    <w:p w:rsidR="008A6729" w:rsidRPr="00762AAF" w:rsidRDefault="008A6729" w:rsidP="008A6729">
      <w:pPr>
        <w:rPr>
          <w:rStyle w:val="Strong"/>
        </w:rPr>
      </w:pPr>
      <w:r w:rsidRPr="00762AAF">
        <w:rPr>
          <w:rStyle w:val="Strong"/>
        </w:rPr>
        <w:t>Term of the rate of return</w:t>
      </w:r>
    </w:p>
    <w:p w:rsidR="008A6729" w:rsidRPr="00762AAF" w:rsidRDefault="008A6729" w:rsidP="008A6729">
      <w:pPr>
        <w:numPr>
          <w:ilvl w:val="0"/>
          <w:numId w:val="25"/>
        </w:numPr>
      </w:pPr>
      <w:r w:rsidRPr="00762AAF">
        <w:t>We adopt a 10 year term for our overall rate of return.</w:t>
      </w:r>
      <w:r w:rsidRPr="00762AAF">
        <w:rPr>
          <w:rStyle w:val="FootnoteReference"/>
        </w:rPr>
        <w:footnoteReference w:id="112"/>
      </w:r>
      <w:r w:rsidRPr="00762AAF">
        <w:t xml:space="preserve"> This results in the following economic interdependencies that impact on the implementation of our return on equity and debt estimation methods:</w:t>
      </w:r>
    </w:p>
    <w:p w:rsidR="008A6729" w:rsidRPr="00762AAF" w:rsidRDefault="008A6729" w:rsidP="008A6729">
      <w:pPr>
        <w:pStyle w:val="AERbulletlistfirststyle"/>
      </w:pPr>
      <w:r>
        <w:lastRenderedPageBreak/>
        <w:t>t</w:t>
      </w:r>
      <w:r w:rsidRPr="00762AAF">
        <w:t>he risk free rate used for estimating the return on equity is a 10 year forward looking rate</w:t>
      </w:r>
    </w:p>
    <w:p w:rsidR="008A6729" w:rsidRPr="00762AAF" w:rsidRDefault="008A6729" w:rsidP="008A6729">
      <w:pPr>
        <w:pStyle w:val="AERbulletlistfirststyle"/>
      </w:pPr>
      <w:r>
        <w:t>t</w:t>
      </w:r>
      <w:r w:rsidRPr="00762AAF">
        <w:t>he market risk premium (MRP) estimate is for a 10 year forward looking period</w:t>
      </w:r>
    </w:p>
    <w:p w:rsidR="008A6729" w:rsidRPr="003337B3" w:rsidRDefault="008A6729" w:rsidP="008A6729">
      <w:pPr>
        <w:pStyle w:val="AERbulletlistfirststyle"/>
      </w:pPr>
      <w:r>
        <w:t>w</w:t>
      </w:r>
      <w:r w:rsidRPr="00762AAF">
        <w:t>e adopt a 10 year debt term for estimating the return on debt.</w:t>
      </w:r>
    </w:p>
    <w:p w:rsidR="008A6729" w:rsidRPr="00B575CE" w:rsidRDefault="008A6729" w:rsidP="008A6729">
      <w:pPr>
        <w:pStyle w:val="Heading3"/>
      </w:pPr>
      <w:bookmarkStart w:id="59" w:name="_Toc450922721"/>
      <w:bookmarkStart w:id="60" w:name="_Toc451938954"/>
      <w:bookmarkStart w:id="61" w:name="_Toc457911183"/>
      <w:bookmarkStart w:id="62" w:name="_Toc461803720"/>
      <w:bookmarkStart w:id="63" w:name="_Toc462754630"/>
      <w:r>
        <w:t>Consideration of relevant material</w:t>
      </w:r>
      <w:bookmarkEnd w:id="59"/>
      <w:bookmarkEnd w:id="60"/>
      <w:bookmarkEnd w:id="61"/>
      <w:bookmarkEnd w:id="62"/>
      <w:bookmarkEnd w:id="63"/>
    </w:p>
    <w:p w:rsidR="008A6729" w:rsidRDefault="008A6729" w:rsidP="008A6729">
      <w:r>
        <w:t>In making regulatory decisions, we are to have regard to information provided in regulatory proposals and submissions.</w:t>
      </w:r>
      <w:r>
        <w:rPr>
          <w:rStyle w:val="FootnoteReference"/>
        </w:rPr>
        <w:footnoteReference w:id="113"/>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14"/>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15"/>
      </w:r>
      <w:r w:rsidRPr="00284B79">
        <w:t xml:space="preserve"> </w:t>
      </w:r>
    </w:p>
    <w:p w:rsidR="008A6729" w:rsidRDefault="008A6729" w:rsidP="008A6729">
      <w:r>
        <w:t>In the following sections, we summarise how we have considered a large range of material. This includes, but is not limited to:</w:t>
      </w:r>
    </w:p>
    <w:p w:rsidR="008A6729" w:rsidRDefault="008A6729" w:rsidP="008A6729">
      <w:pPr>
        <w:pStyle w:val="AERbulletlistfirststyle"/>
      </w:pPr>
      <w:r>
        <w:t>service provider proposals</w:t>
      </w:r>
    </w:p>
    <w:p w:rsidR="008A6729" w:rsidRDefault="008A6729" w:rsidP="008A6729">
      <w:pPr>
        <w:pStyle w:val="AERbulletlistfirststyle"/>
      </w:pPr>
      <w:r>
        <w:t>expert reports</w:t>
      </w:r>
    </w:p>
    <w:p w:rsidR="008A6729" w:rsidRDefault="008A6729" w:rsidP="008A6729">
      <w:pPr>
        <w:pStyle w:val="AERbulletlistfirststyle"/>
      </w:pPr>
      <w:r>
        <w:t>stakeholder submissions</w:t>
      </w:r>
    </w:p>
    <w:p w:rsidR="008A6729" w:rsidRPr="00A77770" w:rsidRDefault="008A6729" w:rsidP="008A6729">
      <w:pPr>
        <w:pStyle w:val="AERbulletlistfirststyle"/>
      </w:pPr>
      <w:r>
        <w:t>recent Tribunal decisions.</w:t>
      </w:r>
    </w:p>
    <w:p w:rsidR="008A6729" w:rsidRDefault="008A6729" w:rsidP="008A6729">
      <w:pPr>
        <w:pStyle w:val="HeadingBoldBlue"/>
      </w:pPr>
      <w:bookmarkStart w:id="64" w:name="_Toc450922722"/>
      <w:r>
        <w:t>Service providers' proposals</w:t>
      </w:r>
      <w:bookmarkEnd w:id="64"/>
    </w:p>
    <w:p w:rsidR="00D06894" w:rsidRDefault="00992B02" w:rsidP="007756AC">
      <w:r>
        <w:t xml:space="preserve">While </w:t>
      </w:r>
      <w:r w:rsidR="0055588F">
        <w:t xml:space="preserve">TasNetworks </w:t>
      </w:r>
      <w:r>
        <w:t xml:space="preserve">adopted our Guideline approach </w:t>
      </w:r>
      <w:r w:rsidR="009B0060">
        <w:t xml:space="preserve">in its </w:t>
      </w:r>
      <w:r w:rsidR="007756AC">
        <w:t>regulatory</w:t>
      </w:r>
      <w:r w:rsidR="009B0060">
        <w:t xml:space="preserve"> proposal</w:t>
      </w:r>
      <w:r w:rsidR="00CC6CB5">
        <w:t>,</w:t>
      </w:r>
      <w:r w:rsidR="00DA3A26">
        <w:t xml:space="preserve"> it noted it does not endorse our methods.</w:t>
      </w:r>
      <w:r w:rsidR="005C5A52">
        <w:rPr>
          <w:rStyle w:val="FootnoteReference"/>
        </w:rPr>
        <w:footnoteReference w:id="116"/>
      </w:r>
      <w:r w:rsidR="00DA3A26">
        <w:t xml:space="preserve"> </w:t>
      </w:r>
      <w:r w:rsidR="00D06894">
        <w:t xml:space="preserve"> </w:t>
      </w:r>
    </w:p>
    <w:p w:rsidR="008A6729" w:rsidRPr="00FC3B81" w:rsidRDefault="008A6729" w:rsidP="009737C8">
      <w:pPr>
        <w:pStyle w:val="HeadingBoldBlue"/>
      </w:pPr>
      <w:bookmarkStart w:id="65" w:name="_Toc450922723"/>
      <w:r>
        <w:t>Expert reports</w:t>
      </w:r>
      <w:bookmarkEnd w:id="65"/>
    </w:p>
    <w:p w:rsidR="008A6729" w:rsidRPr="00AC1D0D" w:rsidRDefault="008A6729" w:rsidP="008A6729">
      <w:pPr>
        <w:numPr>
          <w:ilvl w:val="0"/>
          <w:numId w:val="25"/>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8A6729" w:rsidRDefault="008A6729" w:rsidP="008A6729">
      <w:pPr>
        <w:pStyle w:val="AERbulletlistfirststyle"/>
      </w:pPr>
      <w:r>
        <w:t>Professor Michael McKenzie, University of Liverpool</w:t>
      </w:r>
      <w:r w:rsidRPr="00796C00">
        <w:t>.</w:t>
      </w:r>
      <w:r w:rsidRPr="00796C00">
        <w:rPr>
          <w:rStyle w:val="FootnoteReference"/>
        </w:rPr>
        <w:footnoteReference w:id="117"/>
      </w:r>
    </w:p>
    <w:p w:rsidR="008A6729" w:rsidRPr="00796C00" w:rsidRDefault="008A6729" w:rsidP="008A6729">
      <w:pPr>
        <w:pStyle w:val="AERbulletlistfirststyle"/>
      </w:pPr>
      <w:r>
        <w:t>Professor Stephen Satchell, Trinity College, Cambridge University</w:t>
      </w:r>
      <w:r>
        <w:rPr>
          <w:rStyle w:val="FootnoteReference"/>
        </w:rPr>
        <w:footnoteReference w:id="118"/>
      </w:r>
    </w:p>
    <w:p w:rsidR="008A6729" w:rsidRPr="00796C00" w:rsidRDefault="008A6729" w:rsidP="008A6729">
      <w:pPr>
        <w:pStyle w:val="AERbulletlistfirststyle"/>
      </w:pPr>
      <w:r>
        <w:lastRenderedPageBreak/>
        <w:t>Associate professor Graham Partington, University of Sydney</w:t>
      </w:r>
      <w:r w:rsidRPr="00796C00">
        <w:t>.</w:t>
      </w:r>
      <w:r w:rsidRPr="00796C00">
        <w:rPr>
          <w:rStyle w:val="FootnoteReference"/>
        </w:rPr>
        <w:footnoteReference w:id="119"/>
      </w:r>
    </w:p>
    <w:p w:rsidR="008A6729" w:rsidRDefault="008A6729" w:rsidP="008A6729">
      <w:pPr>
        <w:pStyle w:val="AERbulletlistfirststyle"/>
      </w:pPr>
      <w:r>
        <w:t>Associate professor John Handley, University of Melbourne</w:t>
      </w:r>
      <w:r w:rsidRPr="00796C00">
        <w:t>.</w:t>
      </w:r>
      <w:r w:rsidRPr="00796C00">
        <w:rPr>
          <w:rStyle w:val="FootnoteReference"/>
        </w:rPr>
        <w:footnoteReference w:id="120"/>
      </w:r>
    </w:p>
    <w:p w:rsidR="008A6729" w:rsidRDefault="008A6729" w:rsidP="008A6729">
      <w:pPr>
        <w:pStyle w:val="AERbulletlistfirststyle"/>
      </w:pPr>
      <w:r>
        <w:t>Dr Martin Lally, Capital Financial Consultants</w:t>
      </w:r>
      <w:r w:rsidRPr="00796C00">
        <w:t>.</w:t>
      </w:r>
      <w:r w:rsidRPr="00796C00">
        <w:rPr>
          <w:rStyle w:val="FootnoteReference"/>
        </w:rPr>
        <w:footnoteReference w:id="121"/>
      </w:r>
    </w:p>
    <w:p w:rsidR="008A6729" w:rsidRPr="00796C00" w:rsidRDefault="008A6729" w:rsidP="008A6729">
      <w:pPr>
        <w:pStyle w:val="AERbulletlistfirststyle"/>
      </w:pPr>
      <w:r>
        <w:t>Chairmont, a financial market practitioner.</w:t>
      </w:r>
      <w:r>
        <w:rPr>
          <w:rStyle w:val="FootnoteReference"/>
        </w:rPr>
        <w:footnoteReference w:id="122"/>
      </w:r>
    </w:p>
    <w:p w:rsidR="008A6729" w:rsidRDefault="008A6729" w:rsidP="008A6729">
      <w:pPr>
        <w:numPr>
          <w:ilvl w:val="0"/>
          <w:numId w:val="25"/>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23"/>
      </w:r>
      <w:r>
        <w:t xml:space="preserve"> We also received advice on return on debt estimation from the ACCC Regulatory Economic Unit (REU).</w:t>
      </w:r>
      <w:r>
        <w:rPr>
          <w:rStyle w:val="FootnoteReference"/>
        </w:rPr>
        <w:footnoteReference w:id="124"/>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8A6729" w:rsidRDefault="008A6729" w:rsidP="008A6729">
      <w:pPr>
        <w:pStyle w:val="HeadingBoldBlue"/>
        <w:numPr>
          <w:ilvl w:val="0"/>
          <w:numId w:val="25"/>
        </w:numPr>
      </w:pPr>
      <w:bookmarkStart w:id="66" w:name="_Toc450922724"/>
      <w:r>
        <w:t>Stakeholder submissions</w:t>
      </w:r>
      <w:bookmarkEnd w:id="66"/>
    </w:p>
    <w:p w:rsidR="00707478" w:rsidRPr="002E5985" w:rsidRDefault="00707478" w:rsidP="00707478">
      <w:pPr>
        <w:pStyle w:val="ListParagraph"/>
        <w:numPr>
          <w:ilvl w:val="0"/>
          <w:numId w:val="25"/>
        </w:numPr>
      </w:pPr>
      <w:r w:rsidRPr="002E5985">
        <w:t xml:space="preserve">Stakeholders made submissions specific to </w:t>
      </w:r>
      <w:r w:rsidR="00D06894">
        <w:t>TasNetworks</w:t>
      </w:r>
      <w:r w:rsidR="00D06894" w:rsidRPr="002E5985">
        <w:t xml:space="preserve"> </w:t>
      </w:r>
      <w:r w:rsidRPr="002E5985">
        <w:t xml:space="preserve">which we have considered. </w:t>
      </w:r>
      <w:r>
        <w:t>In making this decision, we have also considered m</w:t>
      </w:r>
      <w:r w:rsidRPr="002E5985">
        <w:t>aterial that was submitted for the rece</w:t>
      </w:r>
      <w:r>
        <w:t xml:space="preserve">nt decisions published in April, June and October </w:t>
      </w:r>
      <w:r w:rsidRPr="002E5985">
        <w:t>2015</w:t>
      </w:r>
      <w:r w:rsidR="00FB2D91">
        <w:t xml:space="preserve"> and in May 2016</w:t>
      </w:r>
      <w:r w:rsidRPr="002E5985">
        <w:t>. Overall, in making these recent decisions we received a large number of submissions on the original proposals, preliminary decisions and revised rate of return proposals.</w:t>
      </w:r>
      <w:r w:rsidRPr="002E5985">
        <w:rPr>
          <w:rStyle w:val="FootnoteReference"/>
        </w:rPr>
        <w:footnoteReference w:id="125"/>
      </w:r>
      <w:r w:rsidRPr="002E5985">
        <w:rPr>
          <w:rStyle w:val="FootnoteReference"/>
        </w:rPr>
        <w:t xml:space="preserve"> </w:t>
      </w:r>
      <w:r w:rsidRPr="002E5985">
        <w:rPr>
          <w:rStyle w:val="FootnoteReference"/>
        </w:rPr>
        <w:footnoteReference w:id="126"/>
      </w:r>
      <w:r w:rsidRPr="002E5985">
        <w:t xml:space="preserve"> </w:t>
      </w:r>
      <w:r w:rsidR="00402681">
        <w:t xml:space="preserve">A </w:t>
      </w:r>
      <w:r w:rsidR="00402681">
        <w:lastRenderedPageBreak/>
        <w:t>range of</w:t>
      </w:r>
      <w:r w:rsidRPr="002E5985">
        <w:t xml:space="preserve"> submissions, including those on </w:t>
      </w:r>
      <w:r w:rsidR="00D06894">
        <w:t>TasNetworks'</w:t>
      </w:r>
      <w:r w:rsidR="00D06894" w:rsidRPr="002E5985">
        <w:t xml:space="preserve"> </w:t>
      </w:r>
      <w:r w:rsidRPr="002E5985">
        <w:t>proposal had commentary relating to the rate of return.</w:t>
      </w:r>
      <w:r w:rsidR="00402681">
        <w:rPr>
          <w:rStyle w:val="FootnoteReference"/>
        </w:rPr>
        <w:footnoteReference w:id="127"/>
      </w:r>
      <w:r w:rsidRPr="002E5985">
        <w:t xml:space="preserve"> </w:t>
      </w:r>
    </w:p>
    <w:p w:rsidR="008A6729" w:rsidRDefault="008A6729" w:rsidP="008A6729">
      <w:pPr>
        <w:pStyle w:val="HeadingBoldBlue"/>
      </w:pPr>
      <w:bookmarkStart w:id="67" w:name="_Toc450922725"/>
      <w:r>
        <w:t>Consideration of recent Tribunal decisions</w:t>
      </w:r>
      <w:bookmarkEnd w:id="67"/>
    </w:p>
    <w:p w:rsidR="008A6729" w:rsidRDefault="008A6729" w:rsidP="008A6729">
      <w:pPr>
        <w:numPr>
          <w:ilvl w:val="0"/>
          <w:numId w:val="25"/>
        </w:numPr>
      </w:pPr>
      <w:r>
        <w:t>The Tribunal recently reviewed and upheld several aspects of our approach to estimating the rate of return. These included:</w:t>
      </w:r>
      <w:r>
        <w:rPr>
          <w:rStyle w:val="FootnoteReference"/>
        </w:rPr>
        <w:footnoteReference w:id="128"/>
      </w:r>
    </w:p>
    <w:p w:rsidR="008A6729" w:rsidRDefault="008A6729" w:rsidP="008A6729">
      <w:pPr>
        <w:pStyle w:val="AERbulletlistfirststyle"/>
      </w:pPr>
      <w:r>
        <w:t xml:space="preserve">our approach to estimating the return on equity by applying the Guideline approach referred to as the foundation model approach </w:t>
      </w:r>
    </w:p>
    <w:p w:rsidR="008A6729" w:rsidRPr="00454ED0" w:rsidRDefault="008A6729" w:rsidP="008A6729">
      <w:pPr>
        <w:pStyle w:val="AERbulletlistfirststyle"/>
      </w:pPr>
      <w:r>
        <w:t>our approach to specifying t</w:t>
      </w:r>
      <w:r w:rsidRPr="00454ED0">
        <w:t xml:space="preserve">he benchmark credit rating </w:t>
      </w:r>
      <w:r>
        <w:t>at BBB+ rather than BBB as preferred by some of the service providers</w:t>
      </w:r>
    </w:p>
    <w:p w:rsidR="008A6729" w:rsidRDefault="008A6729" w:rsidP="008A6729">
      <w:pPr>
        <w:pStyle w:val="AERbulletlistfirststyle"/>
      </w:pPr>
      <w:r>
        <w:lastRenderedPageBreak/>
        <w:t xml:space="preserve">our approach to estimating </w:t>
      </w:r>
      <w:r w:rsidRPr="000C234A">
        <w:t xml:space="preserve">the allowed return on debt using </w:t>
      </w:r>
      <w:r>
        <w:t xml:space="preserve">a </w:t>
      </w:r>
      <w:r w:rsidRPr="000C234A">
        <w:t>simple average of the RBA and Bloomberg data series</w:t>
      </w:r>
      <w:r>
        <w:t>, rather than the</w:t>
      </w:r>
      <w:r w:rsidRPr="000C234A">
        <w:t xml:space="preserve"> RBA data series alone </w:t>
      </w:r>
      <w:r>
        <w:t xml:space="preserve">as preferred by some of the service providers. </w:t>
      </w:r>
    </w:p>
    <w:p w:rsidR="008A6729" w:rsidRPr="00785554" w:rsidRDefault="008A6729" w:rsidP="008A6729">
      <w:r>
        <w:t>We have maintained our approach to estimating these components of the allowed rate of return in th</w:t>
      </w:r>
      <w:r w:rsidRPr="00785554">
        <w:t>is decision.</w:t>
      </w:r>
    </w:p>
    <w:p w:rsidR="008A6729" w:rsidRPr="00785554" w:rsidRDefault="008A6729" w:rsidP="008A6729">
      <w:r>
        <w:t xml:space="preserve">The Tribunal also recently reviewed our approach to applying a full </w:t>
      </w:r>
      <w:r w:rsidRPr="00785554">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785554">
        <w:rPr>
          <w:rStyle w:val="FootnoteReference"/>
        </w:rPr>
        <w:footnoteReference w:id="129"/>
      </w:r>
      <w:r w:rsidRPr="00785554">
        <w:t xml:space="preserve"> On 24 March 2016, we applied to the Federal Court for judicial review of this aspect of the Tribunal's decision. In particula</w:t>
      </w:r>
      <w:r w:rsidR="009704CD">
        <w:t>r, we have applied for review of</w:t>
      </w:r>
      <w:r w:rsidR="00014550">
        <w:t xml:space="preserve"> the Tribunal's</w:t>
      </w:r>
      <w:r w:rsidRPr="00785554">
        <w:t>:</w:t>
      </w:r>
    </w:p>
    <w:p w:rsidR="008A6729" w:rsidRDefault="008A6729" w:rsidP="008A6729">
      <w:pPr>
        <w:pStyle w:val="AERbulletlistfirststyle"/>
      </w:pPr>
      <w:r>
        <w:t>finding that a</w:t>
      </w:r>
      <w:r w:rsidRPr="001F6E19">
        <w:t xml:space="preserve"> benchmark efficient entity referred to in the NER</w:t>
      </w:r>
      <w:r>
        <w:t xml:space="preserve"> </w:t>
      </w:r>
      <w:r w:rsidRPr="001F6E19">
        <w:t xml:space="preserve">6.5.2(c) </w:t>
      </w:r>
      <w:r>
        <w:t>would be an un</w:t>
      </w:r>
      <w:r w:rsidRPr="001F6E19">
        <w:t>regulated entity</w:t>
      </w:r>
      <w:r w:rsidRPr="004D4000">
        <w:rPr>
          <w:rStyle w:val="FootnoteReference"/>
        </w:rPr>
        <w:t xml:space="preserve"> </w:t>
      </w:r>
      <w:r>
        <w:rPr>
          <w:rStyle w:val="FootnoteReference"/>
        </w:rPr>
        <w:footnoteReference w:id="130"/>
      </w:r>
      <w:r>
        <w:t xml:space="preserve"> </w:t>
      </w:r>
    </w:p>
    <w:p w:rsidR="008A6729" w:rsidRDefault="008A6729" w:rsidP="008A6729">
      <w:pPr>
        <w:pStyle w:val="AERbulletlistfirststyle"/>
      </w:pPr>
      <w:r>
        <w:t>t</w:t>
      </w:r>
      <w:r w:rsidRPr="00323742">
        <w:t>he Tribunal's rejection of a single benchmark efficient entity for those service providers</w:t>
      </w:r>
    </w:p>
    <w:p w:rsidR="000140E1" w:rsidRDefault="008A6729" w:rsidP="009704CD">
      <w:pPr>
        <w:pStyle w:val="AERbulletlistfirststyle"/>
      </w:pPr>
      <w:r w:rsidRPr="00323742">
        <w:t>approach to the interpretation of cl.</w:t>
      </w:r>
      <w:r>
        <w:t xml:space="preserve"> 6.5.2(k)(4) of the NER</w:t>
      </w:r>
      <w:r w:rsidRPr="001F6E19">
        <w:t>.</w:t>
      </w:r>
      <w:r>
        <w:rPr>
          <w:rStyle w:val="FootnoteReference"/>
        </w:rPr>
        <w:footnoteReference w:id="131"/>
      </w:r>
    </w:p>
    <w:p w:rsidR="00DE563D" w:rsidRDefault="00DE563D" w:rsidP="001754EE">
      <w:pPr>
        <w:pStyle w:val="Heading2"/>
      </w:pPr>
      <w:bookmarkStart w:id="68" w:name="_Toc403144140"/>
      <w:bookmarkStart w:id="69" w:name="_Ref459131472"/>
      <w:bookmarkStart w:id="70" w:name="_Toc462754631"/>
      <w:r w:rsidRPr="001754EE">
        <w:t>Reasons</w:t>
      </w:r>
      <w:r>
        <w:t xml:space="preserve"> for </w:t>
      </w:r>
      <w:r w:rsidR="000B321F">
        <w:t>draft</w:t>
      </w:r>
      <w:r>
        <w:t xml:space="preserve"> decision</w:t>
      </w:r>
      <w:bookmarkEnd w:id="68"/>
      <w:bookmarkEnd w:id="69"/>
      <w:bookmarkEnd w:id="70"/>
      <w:r>
        <w:t xml:space="preserve"> </w:t>
      </w:r>
    </w:p>
    <w:p w:rsidR="002F6FA6" w:rsidRPr="00D67998" w:rsidRDefault="002F6FA6" w:rsidP="002F6FA6">
      <w:pPr>
        <w:numPr>
          <w:ilvl w:val="0"/>
          <w:numId w:val="25"/>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32"/>
      </w:r>
      <w:r w:rsidRPr="00D67998">
        <w:rPr>
          <w:rStyle w:val="FootnoteReference"/>
        </w:rPr>
        <w:t xml:space="preserve"> </w:t>
      </w:r>
      <w:r w:rsidRPr="00D67998">
        <w:t xml:space="preserve"> </w:t>
      </w:r>
    </w:p>
    <w:p w:rsidR="002F6FA6" w:rsidRPr="00D67998" w:rsidRDefault="002F6FA6" w:rsidP="002F6FA6">
      <w:pPr>
        <w:numPr>
          <w:ilvl w:val="0"/>
          <w:numId w:val="25"/>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33"/>
      </w:r>
      <w:r w:rsidRPr="00D67998">
        <w:t xml:space="preserve"> </w:t>
      </w:r>
    </w:p>
    <w:p w:rsidR="002F6FA6" w:rsidRDefault="002F6FA6" w:rsidP="002F6FA6">
      <w:r>
        <w:t xml:space="preserve">In making this decision we have considered issues that have been raised by </w:t>
      </w:r>
      <w:r w:rsidR="007760D6">
        <w:t>TasNetworks</w:t>
      </w:r>
      <w:r>
        <w:t xml:space="preserve"> as well as different service providers and stakeholders in our recently published regulatory determinations. While we have addressed matters specifically raised by </w:t>
      </w:r>
      <w:r w:rsidR="007760D6">
        <w:t>TasNetworks</w:t>
      </w:r>
      <w:r w:rsidRPr="00D67998">
        <w:t xml:space="preserve"> </w:t>
      </w:r>
      <w:r>
        <w:t xml:space="preserve">and/or stakeholders in this decision process, much of our analysis and reasoning also addresses maters raised by service providers (and </w:t>
      </w:r>
      <w:r>
        <w:lastRenderedPageBreak/>
        <w:t xml:space="preserve">stakeholders) in their regulatory determination processes. All of this material informs our view on </w:t>
      </w:r>
      <w:r w:rsidR="007760D6">
        <w:t>TasNetworks'</w:t>
      </w:r>
      <w:r>
        <w:t xml:space="preserve"> proposal and also underpins our decision on the return on equity that contributes to the achievement of the ARORO. That is, a return commensurate with the efficient financing costs of a benchmark efficient entity with a similar degree of risk as that which applies to </w:t>
      </w:r>
      <w:r w:rsidR="007760D6">
        <w:t>TasNetworks</w:t>
      </w:r>
      <w:r w:rsidRPr="00D67998">
        <w:t xml:space="preserve"> </w:t>
      </w:r>
      <w:r>
        <w:t xml:space="preserve">in respect of the provision of </w:t>
      </w:r>
      <w:r w:rsidR="007760D6">
        <w:t>standard control</w:t>
      </w:r>
      <w:r>
        <w:t xml:space="preserve"> services.</w:t>
      </w:r>
      <w:r>
        <w:rPr>
          <w:rStyle w:val="FootnoteReference"/>
        </w:rPr>
        <w:footnoteReference w:id="134"/>
      </w:r>
    </w:p>
    <w:p w:rsidR="002F6FA6" w:rsidRDefault="002F6FA6" w:rsidP="002F6FA6">
      <w:pPr>
        <w:numPr>
          <w:ilvl w:val="0"/>
          <w:numId w:val="25"/>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691B4D">
        <w:t>3.4.1</w:t>
      </w:r>
      <w:r>
        <w:fldChar w:fldCharType="end"/>
      </w:r>
      <w:r>
        <w:t xml:space="preserve"> and </w:t>
      </w:r>
      <w:r>
        <w:fldChar w:fldCharType="begin"/>
      </w:r>
      <w:r>
        <w:instrText xml:space="preserve"> REF _Ref451351247 \r \h </w:instrText>
      </w:r>
      <w:r>
        <w:fldChar w:fldCharType="separate"/>
      </w:r>
      <w:r w:rsidR="00691B4D">
        <w:t>3.4.2</w:t>
      </w:r>
      <w:r>
        <w:fldChar w:fldCharType="end"/>
      </w:r>
      <w:r>
        <w:t xml:space="preserve">, respectively. Subsections </w:t>
      </w:r>
      <w:r w:rsidR="00C45272">
        <w:fldChar w:fldCharType="begin"/>
      </w:r>
      <w:r w:rsidR="00C45272">
        <w:instrText xml:space="preserve"> REF _Ref457913839 \r \h </w:instrText>
      </w:r>
      <w:r w:rsidR="00C45272">
        <w:fldChar w:fldCharType="separate"/>
      </w:r>
      <w:r w:rsidR="00691B4D">
        <w:t>3.4.3</w:t>
      </w:r>
      <w:r w:rsidR="00C45272">
        <w:fldChar w:fldCharType="end"/>
      </w:r>
      <w:r>
        <w:t xml:space="preserve"> and </w:t>
      </w:r>
      <w:r>
        <w:fldChar w:fldCharType="begin"/>
      </w:r>
      <w:r>
        <w:instrText xml:space="preserve"> REF _Ref451351249 \r \h </w:instrText>
      </w:r>
      <w:r>
        <w:fldChar w:fldCharType="separate"/>
      </w:r>
      <w:r w:rsidR="00691B4D">
        <w:t>0</w:t>
      </w:r>
      <w:r>
        <w:fldChar w:fldCharType="end"/>
      </w:r>
      <w:r>
        <w:t xml:space="preserve"> set out the gearing ratio and our expe</w:t>
      </w:r>
      <w:r w:rsidR="00C45272">
        <w:t>cted inflation rate for the 2017</w:t>
      </w:r>
      <w:r>
        <w:t>–</w:t>
      </w:r>
      <w:r w:rsidR="00456DFD">
        <w:t>19</w:t>
      </w:r>
      <w:r>
        <w:t xml:space="preserve"> regulatory period.</w:t>
      </w:r>
    </w:p>
    <w:p w:rsidR="002F6FA6" w:rsidRDefault="002F6FA6" w:rsidP="002F6FA6">
      <w:pPr>
        <w:pStyle w:val="Heading3"/>
      </w:pPr>
      <w:bookmarkStart w:id="71" w:name="_Ref430958591"/>
      <w:bookmarkStart w:id="72" w:name="_Toc433446503"/>
      <w:bookmarkStart w:id="73" w:name="_Ref451345947"/>
      <w:bookmarkStart w:id="74" w:name="_Toc451938956"/>
      <w:bookmarkStart w:id="75" w:name="_Toc462754632"/>
      <w:r w:rsidRPr="00796C00">
        <w:t>Return on equity</w:t>
      </w:r>
      <w:bookmarkEnd w:id="71"/>
      <w:bookmarkEnd w:id="72"/>
      <w:bookmarkEnd w:id="73"/>
      <w:bookmarkEnd w:id="74"/>
      <w:bookmarkEnd w:id="75"/>
      <w:r w:rsidRPr="00796C00">
        <w:t xml:space="preserve"> </w:t>
      </w:r>
    </w:p>
    <w:p w:rsidR="002F6FA6" w:rsidRDefault="002F6FA6" w:rsidP="002F6FA6">
      <w:pPr>
        <w:numPr>
          <w:ilvl w:val="0"/>
          <w:numId w:val="25"/>
        </w:numPr>
      </w:pPr>
      <w:r>
        <w:t xml:space="preserve">Our return on equity estimate is </w:t>
      </w:r>
      <w:r w:rsidR="00B337A4">
        <w:t>6</w:t>
      </w:r>
      <w:r>
        <w:t>.</w:t>
      </w:r>
      <w:r w:rsidR="00B337A4">
        <w:t>5</w:t>
      </w:r>
      <w:r>
        <w:t xml:space="preserve"> per cent. We consider that </w:t>
      </w:r>
      <w:r w:rsidR="00B337A4">
        <w:t>6.5</w:t>
      </w:r>
      <w:r>
        <w:t xml:space="preserve"> per cent is the best estimate to combine with a return on debt estimate to form an overall allowed rate of return that achieves the ARORO. We also consider that </w:t>
      </w:r>
      <w:r w:rsidR="00B337A4">
        <w:t>6.5</w:t>
      </w:r>
      <w:r>
        <w:t xml:space="preserve"> per cent is consistent with the prevailing conditions in the market for equity funds.</w:t>
      </w:r>
    </w:p>
    <w:p w:rsidR="002F6FA6" w:rsidRDefault="002F6FA6" w:rsidP="002F6FA6">
      <w:pPr>
        <w:numPr>
          <w:ilvl w:val="0"/>
          <w:numId w:val="25"/>
        </w:numPr>
      </w:pPr>
      <w:r>
        <w:t>We hold these views because:</w:t>
      </w:r>
    </w:p>
    <w:p w:rsidR="002F6FA6" w:rsidRDefault="002F6FA6" w:rsidP="002F6FA6">
      <w:pPr>
        <w:pStyle w:val="AERbulletlistfirststyle"/>
      </w:pPr>
      <w:r>
        <w:t>We derive our estimate using the Sharpe–Lintner CAPM, which:</w:t>
      </w:r>
    </w:p>
    <w:p w:rsidR="002F6FA6" w:rsidRDefault="002F6FA6" w:rsidP="002F6FA6">
      <w:pPr>
        <w:pStyle w:val="AERbulletlistsecondstyle"/>
      </w:pPr>
      <w:r w:rsidRPr="001174B8">
        <w:t>transparently presents the key risk and reward trade-off</w:t>
      </w:r>
      <w:r>
        <w:rPr>
          <w:rStyle w:val="FootnoteReference"/>
        </w:rPr>
        <w:footnoteReference w:id="135"/>
      </w:r>
      <w:r w:rsidRPr="001174B8">
        <w:t xml:space="preserve"> that is at the heart of our task</w:t>
      </w:r>
      <w:r>
        <w:rPr>
          <w:rStyle w:val="FootnoteReference"/>
        </w:rPr>
        <w:footnoteReference w:id="136"/>
      </w:r>
    </w:p>
    <w:p w:rsidR="002F6FA6" w:rsidRDefault="002F6FA6" w:rsidP="002F6FA6">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37"/>
      </w:r>
    </w:p>
    <w:p w:rsidR="002F6FA6" w:rsidRDefault="002F6FA6" w:rsidP="002F6FA6">
      <w:pPr>
        <w:pStyle w:val="AERbulletlistsecondstyle"/>
      </w:pPr>
      <w:r>
        <w:t xml:space="preserve">has well-accepted and unbiased methods for estimating its parameters, and these parameters can be estimated with tolerable accuracy, unlike the alternative models </w:t>
      </w:r>
      <w:r w:rsidR="003255DF">
        <w:t xml:space="preserve">recently </w:t>
      </w:r>
      <w:r>
        <w:t xml:space="preserve">proposed by </w:t>
      </w:r>
      <w:r w:rsidR="003255DF">
        <w:t xml:space="preserve">some </w:t>
      </w:r>
      <w:r>
        <w:t>service providers.</w:t>
      </w:r>
    </w:p>
    <w:p w:rsidR="002F6FA6" w:rsidRPr="00257DA2" w:rsidRDefault="002F6FA6" w:rsidP="002F6FA6">
      <w:pPr>
        <w:pStyle w:val="AERbulletlistfirststyle"/>
        <w:rPr>
          <w:rStyle w:val="AERtexthighlight"/>
          <w:shd w:val="clear" w:color="auto" w:fill="auto"/>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 (see </w:t>
      </w:r>
      <w:r w:rsidR="00AE7D81">
        <w:t xml:space="preserve">section </w:t>
      </w:r>
      <w:r w:rsidR="003255DF">
        <w:fldChar w:fldCharType="begin"/>
      </w:r>
      <w:r w:rsidR="003255DF">
        <w:instrText xml:space="preserve"> REF _Ref456978055 \r \h </w:instrText>
      </w:r>
      <w:r w:rsidR="003255DF">
        <w:fldChar w:fldCharType="separate"/>
      </w:r>
      <w:r w:rsidR="00691B4D">
        <w:t>A</w:t>
      </w:r>
      <w:r w:rsidR="003255DF">
        <w:fldChar w:fldCharType="end"/>
      </w:r>
      <w:r w:rsidR="003255DF">
        <w:t xml:space="preserve"> for </w:t>
      </w:r>
      <w:r w:rsidR="00AE7D81">
        <w:t>more detail</w:t>
      </w:r>
      <w:r w:rsidRPr="002F6FA6">
        <w:t>).</w:t>
      </w:r>
    </w:p>
    <w:p w:rsidR="002F6FA6" w:rsidRPr="003255DF" w:rsidRDefault="002F6FA6" w:rsidP="003255DF">
      <w:pPr>
        <w:pStyle w:val="AERbulletlistfirststyle"/>
        <w:rPr>
          <w:rStyle w:val="AERtexthighlight"/>
          <w:shd w:val="clear" w:color="auto" w:fill="auto"/>
        </w:rPr>
      </w:pPr>
      <w:r w:rsidRPr="003255DF">
        <w:rPr>
          <w:rStyle w:val="AERtexthighlight"/>
          <w:shd w:val="clear" w:color="auto" w:fill="auto"/>
        </w:rPr>
        <w:t xml:space="preserve">Our estimate is supported by comparison to estimates from </w:t>
      </w:r>
      <w:r w:rsidR="003255DF" w:rsidRPr="003255DF">
        <w:rPr>
          <w:rStyle w:val="AERtexthighlight"/>
          <w:shd w:val="clear" w:color="auto" w:fill="auto"/>
        </w:rPr>
        <w:t>other approaches and other practitioners (</w:t>
      </w:r>
      <w:r w:rsidRPr="003255DF">
        <w:rPr>
          <w:rStyle w:val="AERtexthighlight"/>
          <w:shd w:val="clear" w:color="auto" w:fill="auto"/>
        </w:rPr>
        <w:t>the Wright specification of the CAPM, broker reports, valuation reports, and other regulators' decisions</w:t>
      </w:r>
      <w:r w:rsidR="003255DF" w:rsidRPr="003255DF">
        <w:rPr>
          <w:rStyle w:val="AERtexthighlight"/>
          <w:shd w:val="clear" w:color="auto" w:fill="auto"/>
        </w:rPr>
        <w:t>)</w:t>
      </w:r>
      <w:r w:rsidRPr="003255DF">
        <w:rPr>
          <w:rStyle w:val="AERtexthighlight"/>
          <w:shd w:val="clear" w:color="auto" w:fill="auto"/>
        </w:rPr>
        <w:t>.</w:t>
      </w:r>
    </w:p>
    <w:p w:rsidR="002F6FA6" w:rsidRDefault="002F6FA6" w:rsidP="002F6FA6">
      <w:pPr>
        <w:pStyle w:val="AERbulletlistfirststyle"/>
      </w:pPr>
      <w:r w:rsidRPr="002F6FA6">
        <w:t xml:space="preserve">The consistency over time of our Sharpe-Lintner CAPM estimation approach (reflective of a risk premium above a prevailing risk free rate) has been supportive </w:t>
      </w:r>
      <w:r w:rsidRPr="002F6FA6">
        <w:lastRenderedPageBreak/>
        <w:t>of investment. While taking into account the downward trends in both our risk premium and the risk free rate,</w:t>
      </w:r>
      <w:r w:rsidRPr="004D20D1">
        <w:rPr>
          <w:rStyle w:val="FootnoteReference"/>
        </w:rPr>
        <w:footnoteReference w:id="138"/>
      </w:r>
      <w:r w:rsidRPr="002F6FA6">
        <w:t xml:space="preserve"> service providers have continued to invest</w:t>
      </w:r>
      <w:r>
        <w:t xml:space="preserve"> in their networks and propose to continue to grow their asset bases.</w:t>
      </w:r>
      <w:r w:rsidRPr="00B005DF">
        <w:rPr>
          <w:rStyle w:val="FootnoteReference"/>
        </w:rPr>
        <w:footnoteReference w:id="139"/>
      </w:r>
      <w:r>
        <w:rPr>
          <w:rStyle w:val="AERtexthighlight"/>
        </w:rPr>
        <w:t xml:space="preserve"> </w:t>
      </w:r>
    </w:p>
    <w:p w:rsidR="002F6FA6" w:rsidRPr="00B005DF" w:rsidRDefault="002F6FA6" w:rsidP="002F6FA6">
      <w:pPr>
        <w:pStyle w:val="AERbulletlistfirststyle"/>
      </w:pPr>
      <w:r>
        <w:t xml:space="preserve">Our return on equity estimate is approximately </w:t>
      </w:r>
      <w:r w:rsidR="00717048">
        <w:t>191</w:t>
      </w:r>
      <w:r>
        <w:t xml:space="preserve"> basis points</w:t>
      </w:r>
      <w:r w:rsidRPr="00B005DF">
        <w:t xml:space="preserve"> above the prevailing </w:t>
      </w:r>
      <w:r>
        <w:t>yield-to-maturity</w:t>
      </w:r>
      <w:r w:rsidRPr="00B005DF">
        <w:t xml:space="preserve"> on </w:t>
      </w:r>
      <w:r w:rsidR="003255DF">
        <w:t xml:space="preserve">broad </w:t>
      </w:r>
      <w:r w:rsidRPr="00B005DF">
        <w:t>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rsidR="00CB4834">
        <w:t>TasNetworks</w:t>
      </w:r>
      <w:r w:rsidRPr="00B005DF">
        <w:t>, we would not expect the return on equity to be a long way above the prevailing return on debt.</w:t>
      </w:r>
      <w:r w:rsidRPr="00B005DF">
        <w:rPr>
          <w:rStyle w:val="FootnoteReference"/>
        </w:rPr>
        <w:footnoteReference w:id="140"/>
      </w:r>
    </w:p>
    <w:p w:rsidR="002F6FA6" w:rsidRDefault="002F6FA6" w:rsidP="002F6FA6">
      <w:pPr>
        <w:pStyle w:val="AERbulletlistfirststyle"/>
      </w:pPr>
      <w:r>
        <w:t>We have come to this estimate following the application of our foundation model approach, which:</w:t>
      </w:r>
    </w:p>
    <w:p w:rsidR="002F6FA6" w:rsidRDefault="002F6FA6" w:rsidP="002F6FA6">
      <w:pPr>
        <w:pStyle w:val="AERbulletlistsecondstyle"/>
      </w:pPr>
      <w:r>
        <w:t>involves consideration of all relevant material submitted to us, and the role for each piece of material that would best achieve the ARORO; and</w:t>
      </w:r>
    </w:p>
    <w:p w:rsidR="002F6FA6" w:rsidRDefault="002F6FA6" w:rsidP="002F6FA6">
      <w:pPr>
        <w:pStyle w:val="AERbulletlistsecondstyle"/>
      </w:pPr>
      <w:r>
        <w:t>was developed through extensive consultation during our Guideline review process.</w:t>
      </w:r>
    </w:p>
    <w:p w:rsidR="002F6FA6" w:rsidRPr="00033144" w:rsidRDefault="002F6FA6" w:rsidP="002F6FA6">
      <w:pPr>
        <w:numPr>
          <w:ilvl w:val="0"/>
          <w:numId w:val="25"/>
        </w:numPr>
      </w:pPr>
      <w:r>
        <w:t xml:space="preserve">The Sharpe-Lintner CAPM provides that the return on equity can be calculated as the risk-free return </w:t>
      </w:r>
      <w:r w:rsidR="00C346C5">
        <w:t>plus</w:t>
      </w:r>
      <w:r>
        <w:t xml:space="preserve"> a premium for risk</w:t>
      </w:r>
      <w:r w:rsidR="00C346C5">
        <w:t>. T</w:t>
      </w:r>
      <w:r>
        <w:t xml:space="preserve">he risk premium </w:t>
      </w:r>
      <w:r w:rsidR="00C346C5">
        <w:t xml:space="preserve">is </w:t>
      </w:r>
      <w:r w:rsidRPr="00033144">
        <w:t xml:space="preserve">calculated as the product of the market risk premium and </w:t>
      </w:r>
      <w:r w:rsidR="00C346C5">
        <w:t>entity's</w:t>
      </w:r>
      <w:r w:rsidR="00C346C5">
        <w:rPr>
          <w:rStyle w:val="FootnoteReference"/>
        </w:rPr>
        <w:footnoteReference w:id="141"/>
      </w:r>
      <w:r w:rsidR="00C346C5">
        <w:t xml:space="preserve"> </w:t>
      </w:r>
      <w:r w:rsidRPr="00033144">
        <w:t>equity beta.</w:t>
      </w:r>
      <w:r w:rsidRPr="00033144">
        <w:rPr>
          <w:rStyle w:val="FootnoteReference"/>
        </w:rPr>
        <w:footnoteReference w:id="142"/>
      </w:r>
      <w:r w:rsidRPr="00033144">
        <w:t xml:space="preserve"> Our Sharpe-Lintner CAPM estimate</w:t>
      </w:r>
      <w:r w:rsidR="00B337A4" w:rsidRPr="002F6FA6">
        <w:rPr>
          <w:rStyle w:val="FootnoteReference"/>
        </w:rPr>
        <w:footnoteReference w:id="143"/>
      </w:r>
      <w:r w:rsidRPr="00033144">
        <w:t xml:space="preserve"> is based on:</w:t>
      </w:r>
    </w:p>
    <w:p w:rsidR="002F6FA6" w:rsidRPr="002F6FA6" w:rsidRDefault="002F6FA6" w:rsidP="002F6FA6">
      <w:pPr>
        <w:pStyle w:val="AERbulletlistfirststyle"/>
      </w:pPr>
      <w:r w:rsidRPr="00033144">
        <w:t xml:space="preserve">a </w:t>
      </w:r>
      <w:r w:rsidR="004D20D1">
        <w:t>placeholder</w:t>
      </w:r>
      <w:r w:rsidR="004D20D1" w:rsidRPr="00033144">
        <w:t xml:space="preserve"> </w:t>
      </w:r>
      <w:r w:rsidRPr="00033144">
        <w:t xml:space="preserve">risk free rate estimate of </w:t>
      </w:r>
      <w:r w:rsidR="00B337A4">
        <w:t>1.95</w:t>
      </w:r>
      <w:r w:rsidRPr="002F6FA6">
        <w:t xml:space="preserve"> per cent</w:t>
      </w:r>
    </w:p>
    <w:p w:rsidR="002F6FA6" w:rsidRPr="002F6FA6" w:rsidRDefault="002F6FA6" w:rsidP="002F6FA6">
      <w:pPr>
        <w:pStyle w:val="AERbulletlistfirststyle"/>
      </w:pPr>
      <w:r w:rsidRPr="00033144">
        <w:t xml:space="preserve">a market risk premium estimate of 6.5 per cent, and </w:t>
      </w:r>
    </w:p>
    <w:p w:rsidR="002F6FA6" w:rsidRPr="002F6FA6" w:rsidRDefault="002F6FA6" w:rsidP="002F6FA6">
      <w:pPr>
        <w:pStyle w:val="AERbulletlistfirststyle"/>
      </w:pPr>
      <w:r w:rsidRPr="00033144">
        <w:t>an equity beta estimate of 0.7.</w:t>
      </w:r>
      <w:r w:rsidRPr="002F6FA6">
        <w:t xml:space="preserve"> </w:t>
      </w:r>
    </w:p>
    <w:p w:rsidR="002F6FA6" w:rsidRDefault="002F6FA6" w:rsidP="002F6FA6">
      <w:pPr>
        <w:numPr>
          <w:ilvl w:val="0"/>
          <w:numId w:val="25"/>
        </w:numPr>
      </w:pPr>
      <w:r>
        <w:t>Our derivation of these parameter estimates is outlined in the subsections below.</w:t>
      </w:r>
      <w:r w:rsidR="004D20D1">
        <w:t xml:space="preserve"> We will update these estimates in our final decision based on prevailing market conditions.</w:t>
      </w:r>
    </w:p>
    <w:p w:rsidR="001D3767" w:rsidRDefault="001D3767" w:rsidP="002F6FA6">
      <w:pPr>
        <w:numPr>
          <w:ilvl w:val="0"/>
          <w:numId w:val="25"/>
        </w:numPr>
      </w:pPr>
      <w:r>
        <w:t xml:space="preserve">Our decision is an acceptance of </w:t>
      </w:r>
      <w:r w:rsidR="00CB4834">
        <w:t xml:space="preserve">TasNetworks' </w:t>
      </w:r>
      <w:r>
        <w:t xml:space="preserve">proposal, which applied our Guideline approach, including the use of the Sharpe-Lintner CAPM as the foundation model, a market risk premium estimate of 6.5 per cent, and an equity beta estimate of 0.7. We also accept </w:t>
      </w:r>
      <w:r w:rsidR="00CB4834">
        <w:t xml:space="preserve">TasNetworks' </w:t>
      </w:r>
      <w:r>
        <w:t xml:space="preserve">proposal to estimate the risk free rate as the yield on </w:t>
      </w:r>
      <w:r>
        <w:lastRenderedPageBreak/>
        <w:t xml:space="preserve">Australian Government securities with a ten-year term </w:t>
      </w:r>
      <w:r w:rsidR="00CB4834">
        <w:t xml:space="preserve">to maturity </w:t>
      </w:r>
      <w:r>
        <w:t>and calculated over a 20 business day averaging period.</w:t>
      </w:r>
    </w:p>
    <w:p w:rsidR="002F6FA6" w:rsidRDefault="002F6FA6" w:rsidP="002F6FA6">
      <w:pPr>
        <w:numPr>
          <w:ilvl w:val="0"/>
          <w:numId w:val="25"/>
        </w:numPr>
      </w:pPr>
      <w:r>
        <w:t>The following aspects of our return on equity estimate have broad agreement from both service providers and consumer groups:</w:t>
      </w:r>
    </w:p>
    <w:p w:rsidR="002F6FA6" w:rsidRDefault="002F6FA6" w:rsidP="002F6FA6">
      <w:pPr>
        <w:pStyle w:val="AERbulletlistfirststyle"/>
      </w:pPr>
      <w:r>
        <w:t>The Sharpe-Lintner CAPM, at least in combination with other relevant material, is valuable for estimating return on equity</w:t>
      </w:r>
    </w:p>
    <w:p w:rsidR="002F6FA6" w:rsidRDefault="002F6FA6" w:rsidP="002F6FA6">
      <w:pPr>
        <w:pStyle w:val="AERbulletlistfirststyle"/>
      </w:pPr>
      <w:r>
        <w:t>The risk free rate should be estimated as the yield, averaged over a 20 business day averaging period,</w:t>
      </w:r>
      <w:r w:rsidR="001D3767">
        <w:rPr>
          <w:rStyle w:val="FootnoteReference"/>
        </w:rPr>
        <w:footnoteReference w:id="144"/>
      </w:r>
      <w:r>
        <w:t xml:space="preserve"> on Australian government securities with a ten-year term-to-maturity.</w:t>
      </w:r>
      <w:r>
        <w:rPr>
          <w:rStyle w:val="FootnoteReference"/>
        </w:rPr>
        <w:footnoteReference w:id="145"/>
      </w:r>
    </w:p>
    <w:p w:rsidR="002F6FA6" w:rsidRDefault="002F6FA6" w:rsidP="002F6FA6">
      <w:pPr>
        <w:pStyle w:val="AERbulletlistfirststyle"/>
      </w:pPr>
      <w:r>
        <w:t>Market risk premium estimates should be informed by historical stock returns and (to some extent) dividend growth model estimates.</w:t>
      </w:r>
    </w:p>
    <w:p w:rsidR="002F6FA6" w:rsidRDefault="002F6FA6" w:rsidP="002F6FA6">
      <w:pPr>
        <w:pStyle w:val="AERbulletlistfirststyle"/>
      </w:pPr>
      <w:r>
        <w:t>Equity beta estimates should be informed by regression estimates of the equity beta of relevant Australian and, to some extent, international energy network businesses.</w:t>
      </w:r>
    </w:p>
    <w:p w:rsidR="002F6FA6" w:rsidRDefault="002F6FA6" w:rsidP="002F6FA6">
      <w:pPr>
        <w:pStyle w:val="AERbulletlistfirststyle"/>
      </w:pPr>
      <w:r>
        <w:t>The Wright specification of the CAPM, and return on equity estimates from broker and valuation reports, are relevant material that can inform return on equity estimation.</w:t>
      </w:r>
    </w:p>
    <w:p w:rsidR="002F6FA6" w:rsidRDefault="002F6FA6" w:rsidP="002F6FA6">
      <w:r>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Pr>
          <w:rStyle w:val="FootnoteReference"/>
        </w:rPr>
        <w:footnoteReference w:id="146"/>
      </w:r>
      <w:r>
        <w:t xml:space="preserve"> while others submitted that these parameters should be lower.</w:t>
      </w:r>
      <w:r>
        <w:rPr>
          <w:rStyle w:val="FootnoteReference"/>
        </w:rPr>
        <w:footnoteReference w:id="147"/>
      </w:r>
    </w:p>
    <w:p w:rsidR="002F6FA6" w:rsidRDefault="002F6FA6" w:rsidP="002F6FA6">
      <w:r>
        <w:lastRenderedPageBreak/>
        <w:t>Origin Energy submitted that we have</w:t>
      </w:r>
      <w:r w:rsidRPr="009F571B">
        <w:t xml:space="preserve"> adopted a balanced and pragmatic approach that provides certain and predictable outcomes for investors and provides a balance between the views of consumer groups and the network businesses</w:t>
      </w:r>
      <w:r>
        <w:t>.</w:t>
      </w:r>
      <w:r>
        <w:rPr>
          <w:rStyle w:val="FootnoteReference"/>
        </w:rPr>
        <w:footnoteReference w:id="148"/>
      </w:r>
      <w:r w:rsidRPr="00ED6D11">
        <w:t xml:space="preserve"> </w:t>
      </w:r>
      <w:r>
        <w:t>AGL submitted support for our Rate of Return Guideline as an equitable balance between the interests of the distribution networks and energy consumers.</w:t>
      </w:r>
      <w:r>
        <w:rPr>
          <w:rStyle w:val="FootnoteReference"/>
        </w:rPr>
        <w:footnoteReference w:id="149"/>
      </w:r>
      <w:r w:rsidRPr="00ED6D11">
        <w:t xml:space="preserve"> </w:t>
      </w:r>
      <w:r>
        <w:t xml:space="preserve">The Energy Users Coalition of Victoria (EUCV) noted that </w:t>
      </w:r>
      <w:r w:rsidRPr="00C85589">
        <w:t>consumers have accepted the guideline as being equitable and appropriate</w:t>
      </w:r>
      <w:r>
        <w:t>.</w:t>
      </w:r>
      <w:r>
        <w:rPr>
          <w:rStyle w:val="FootnoteReference"/>
        </w:rPr>
        <w:footnoteReference w:id="150"/>
      </w:r>
      <w:r w:rsidRPr="00ED6D11">
        <w:t xml:space="preserve"> </w:t>
      </w:r>
      <w:r w:rsidR="0007291A">
        <w:t xml:space="preserve">Several CCP members (David Headberry, Bev Hughson and David Prins) </w:t>
      </w:r>
      <w:r w:rsidRPr="00ED6D11">
        <w:t xml:space="preserve">noted that the AER should continue to apply the </w:t>
      </w:r>
      <w:r>
        <w:t>return on equity</w:t>
      </w:r>
      <w:r w:rsidRPr="00ED6D11">
        <w:t xml:space="preserve"> methodology set out in the Guideline because the regulated businesses have not provided sufficient reasons to move away from it.</w:t>
      </w:r>
      <w:r w:rsidRPr="00ED6D11">
        <w:rPr>
          <w:rStyle w:val="FootnoteReference"/>
        </w:rPr>
        <w:footnoteReference w:id="151"/>
      </w:r>
    </w:p>
    <w:p w:rsidR="002F6FA6" w:rsidRDefault="002F6FA6" w:rsidP="002F6FA6">
      <w:r>
        <w:t>While there was general support for our parameter estimates, consumer groups also submitted that these parameter estimates reflect a 'cumulative conservatism' that may result in over-estimating the return on equity.</w:t>
      </w:r>
      <w:r w:rsidRPr="002B7A06">
        <w:rPr>
          <w:rStyle w:val="FootnoteReference"/>
        </w:rPr>
        <w:t xml:space="preserve"> </w:t>
      </w:r>
      <w:r>
        <w:rPr>
          <w:rStyle w:val="FootnoteReference"/>
        </w:rPr>
        <w:footnoteReference w:id="152"/>
      </w:r>
      <w:r>
        <w:t xml:space="preserve"> However, in supporting our parameter estimates, consumer groups submitted that they valued the predictability and transparency resulting from the application of our Guideline and foundation model approach.</w:t>
      </w:r>
      <w:r>
        <w:rPr>
          <w:rStyle w:val="FootnoteReference"/>
        </w:rPr>
        <w:footnoteReference w:id="153"/>
      </w:r>
    </w:p>
    <w:p w:rsidR="002F6FA6" w:rsidRDefault="00440243" w:rsidP="002F6FA6">
      <w:pPr>
        <w:numPr>
          <w:ilvl w:val="0"/>
          <w:numId w:val="25"/>
        </w:numPr>
      </w:pPr>
      <w:r>
        <w:t>Recently, some s</w:t>
      </w:r>
      <w:r w:rsidR="002F6FA6">
        <w:t>ervice providers disagreed with us on the relative merits of relevant material, as well as some of our methodological choices</w:t>
      </w:r>
      <w:r w:rsidR="00C71CB7">
        <w:t>. These issues were discussed at length in attachment 3 to our final decision on AusNet Services 2016-20 distribution determination, and this analysis remains relevant.</w:t>
      </w:r>
    </w:p>
    <w:p w:rsidR="002F6FA6" w:rsidRDefault="002F6FA6" w:rsidP="002F6FA6">
      <w:pPr>
        <w:numPr>
          <w:ilvl w:val="0"/>
          <w:numId w:val="25"/>
        </w:numPr>
      </w:pPr>
      <w:r>
        <w:lastRenderedPageBreak/>
        <w:t>W</w:t>
      </w:r>
      <w:r w:rsidRPr="00B005DF">
        <w:t>e are not satisfied that</w:t>
      </w:r>
      <w:r>
        <w:t xml:space="preserve"> any</w:t>
      </w:r>
      <w:r w:rsidRPr="00B005DF">
        <w:t xml:space="preserve"> information </w:t>
      </w:r>
      <w:r>
        <w:t xml:space="preserve">submitted to us </w:t>
      </w:r>
      <w:r w:rsidRPr="00B005DF">
        <w:t xml:space="preserve">indicates </w:t>
      </w:r>
      <w:r>
        <w:t xml:space="preserve">that </w:t>
      </w:r>
      <w:r w:rsidRPr="00B005DF">
        <w:t>a departure from</w:t>
      </w:r>
      <w:r>
        <w:t xml:space="preserve"> </w:t>
      </w:r>
      <w:r w:rsidRPr="00B005DF">
        <w:t xml:space="preserve">the </w:t>
      </w:r>
      <w:r>
        <w:t>G</w:t>
      </w:r>
      <w:r w:rsidRPr="00B005DF">
        <w:t xml:space="preserve">uideline would </w:t>
      </w:r>
      <w:r>
        <w:t>contribute to the achievement of</w:t>
      </w:r>
      <w:r w:rsidRPr="00B005DF">
        <w:t xml:space="preserve"> the </w:t>
      </w:r>
      <w:r>
        <w:t>ARORO</w:t>
      </w:r>
      <w:r w:rsidRPr="00B005DF">
        <w:t xml:space="preserve">. </w:t>
      </w:r>
      <w:r>
        <w:t>In addition to the reasons outlined in the subsections below, w</w:t>
      </w:r>
      <w:r w:rsidRPr="00B005DF">
        <w:t xml:space="preserve">e </w:t>
      </w:r>
      <w:r>
        <w:t>consider</w:t>
      </w:r>
      <w:r w:rsidRPr="00B005DF">
        <w:t xml:space="preserve"> the importance placed by all stakeholders on predictability and </w:t>
      </w:r>
      <w:r>
        <w:t>transparency</w:t>
      </w:r>
      <w:r w:rsidRPr="00B005DF">
        <w:t xml:space="preserve"> is important to </w:t>
      </w:r>
      <w:r>
        <w:t xml:space="preserve">contribute to the </w:t>
      </w:r>
      <w:r w:rsidRPr="00B005DF">
        <w:t>achiev</w:t>
      </w:r>
      <w:r>
        <w:t>ement of</w:t>
      </w:r>
      <w:r w:rsidRPr="00B005DF">
        <w:t xml:space="preserve"> the </w:t>
      </w:r>
      <w:r>
        <w:t>ARORO.</w:t>
      </w:r>
      <w:r>
        <w:rPr>
          <w:rStyle w:val="FootnoteReference"/>
        </w:rPr>
        <w:footnoteReference w:id="154"/>
      </w:r>
    </w:p>
    <w:p w:rsidR="00C71CB7" w:rsidRDefault="00C71CB7" w:rsidP="002F6FA6">
      <w:pPr>
        <w:numPr>
          <w:ilvl w:val="0"/>
          <w:numId w:val="25"/>
        </w:numPr>
      </w:pPr>
      <w:r>
        <w:t>The following sections provide further detail on our selection of equity pricing model, estimation of market risk premium and equity beta, and assessment of the overall return on equity.</w:t>
      </w:r>
    </w:p>
    <w:p w:rsidR="005116DE" w:rsidRDefault="00532E2C" w:rsidP="005116DE">
      <w:pPr>
        <w:pStyle w:val="HeadingBoldItalic"/>
        <w:numPr>
          <w:ilvl w:val="0"/>
          <w:numId w:val="25"/>
        </w:numPr>
      </w:pPr>
      <w:r>
        <w:t>Choice of equity pricing model</w:t>
      </w:r>
    </w:p>
    <w:p w:rsidR="007D4F36" w:rsidRPr="007D4F36" w:rsidRDefault="007D4F36" w:rsidP="007D4F36">
      <w:r w:rsidRPr="00033144">
        <w:t xml:space="preserve">Our return on equity estimate of </w:t>
      </w:r>
      <w:r w:rsidR="00B337A4">
        <w:t>6.5</w:t>
      </w:r>
      <w:r w:rsidRPr="007D4F36">
        <w:t xml:space="preserve"> per cent is derived from our application of the Sharpe-Lintner CAPM as our foundation model. We consider the Sharpe-Lintner CAPM is the best model for estimating the efficient costs of equity financing because it:</w:t>
      </w:r>
    </w:p>
    <w:p w:rsidR="007D4F36" w:rsidRPr="007D4F36" w:rsidRDefault="007D4F36" w:rsidP="007D4F36">
      <w:pPr>
        <w:pStyle w:val="AERbulletlistfirststyle"/>
      </w:pPr>
      <w:r w:rsidRPr="00033144">
        <w:t>transparently presents the key risk and reward trade-off</w:t>
      </w:r>
      <w:r w:rsidRPr="007D4F36">
        <w:rPr>
          <w:rStyle w:val="FootnoteReference"/>
        </w:rPr>
        <w:footnoteReference w:id="155"/>
      </w:r>
      <w:r w:rsidRPr="007D4F36">
        <w:t xml:space="preserve"> that is at the heart of our task</w:t>
      </w:r>
      <w:r w:rsidRPr="007D4F36">
        <w:rPr>
          <w:rStyle w:val="FootnoteReference"/>
        </w:rPr>
        <w:footnoteReference w:id="156"/>
      </w:r>
    </w:p>
    <w:p w:rsidR="007D4F36" w:rsidRPr="007D4F36" w:rsidRDefault="007D4F36" w:rsidP="007D4F36">
      <w:pPr>
        <w:pStyle w:val="AERbulletlistfirststyle"/>
      </w:pPr>
      <w:r w:rsidRPr="00033144">
        <w:t>is widely and consistently used for estimating the expected return on equity by financial market practitioners, academics, and other regulators</w:t>
      </w:r>
      <w:r w:rsidRPr="007D4F36">
        <w:rPr>
          <w:rStyle w:val="FootnoteReference"/>
        </w:rPr>
        <w:footnoteReference w:id="157"/>
      </w:r>
    </w:p>
    <w:p w:rsidR="007D4F36" w:rsidRPr="007D4F36" w:rsidRDefault="007D4F36" w:rsidP="007D4F36">
      <w:pPr>
        <w:pStyle w:val="AERbulletlistfirststyle"/>
      </w:pPr>
      <w:r w:rsidRPr="00033144">
        <w:t xml:space="preserve">has well-accepted and unbiased methods for estimating its parameters, and these parameters can be estimated with tolerable accuracy, unlike the alternative models proposed by </w:t>
      </w:r>
      <w:r w:rsidR="00511C21">
        <w:t xml:space="preserve">some </w:t>
      </w:r>
      <w:r w:rsidRPr="00033144">
        <w:t>service providers.</w:t>
      </w:r>
    </w:p>
    <w:p w:rsidR="002F6FA6" w:rsidRPr="0051262A" w:rsidRDefault="002F6FA6" w:rsidP="002F6FA6">
      <w:r w:rsidRPr="0051262A">
        <w:t>Our consultants have also agreed with our use of the Sharpe-Lintner CAPM as the foundation model. Handley stated:</w:t>
      </w:r>
      <w:r w:rsidRPr="0051262A">
        <w:rPr>
          <w:rStyle w:val="FootnoteReference"/>
        </w:rPr>
        <w:footnoteReference w:id="158"/>
      </w:r>
    </w:p>
    <w:p w:rsidR="002F6FA6" w:rsidRPr="00D50D12" w:rsidRDefault="002F6FA6" w:rsidP="002F6FA6">
      <w:pPr>
        <w:pStyle w:val="AERquote"/>
      </w:pPr>
      <w:r w:rsidRPr="00D50D12">
        <w:lastRenderedPageBreak/>
        <w:t>[t]he AER's choice of the Sharpe-CAPM as foundation model</w:t>
      </w:r>
      <w:r>
        <w:t xml:space="preserve"> is</w:t>
      </w:r>
      <w:r w:rsidRPr="00D50D12">
        <w:t xml:space="preserve"> entirely appropriate and reasonable for this purpose. The Sharpe-CAPM is the standard (equilibrium) asset pricing model. It has a long established and well understood theoretical foundation and is a transparent representation of one of the most fundamental paradigms of finan</w:t>
      </w:r>
      <w:r>
        <w:t>ce - the risk-return trade off.</w:t>
      </w:r>
    </w:p>
    <w:p w:rsidR="002F6FA6" w:rsidRPr="0051262A" w:rsidRDefault="002F6FA6" w:rsidP="002F6FA6">
      <w:r w:rsidRPr="0051262A">
        <w:t>McKenzie and Partington indicated with respect to the Sharpe–Lintner CAPM:</w:t>
      </w:r>
      <w:r w:rsidRPr="0051262A">
        <w:rPr>
          <w:rStyle w:val="FootnoteReference"/>
        </w:rPr>
        <w:footnoteReference w:id="159"/>
      </w:r>
    </w:p>
    <w:p w:rsidR="002F6FA6" w:rsidRDefault="002F6FA6" w:rsidP="002F6FA6">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176F7E" w:rsidRDefault="00176F7E" w:rsidP="00176F7E">
      <w:pPr>
        <w:numPr>
          <w:ilvl w:val="0"/>
          <w:numId w:val="25"/>
        </w:numPr>
      </w:pPr>
      <w:r>
        <w:t xml:space="preserve">Partington and Satchell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Pr>
          <w:rStyle w:val="FootnoteReference"/>
        </w:rPr>
        <w:footnoteReference w:id="160"/>
      </w:r>
    </w:p>
    <w:p w:rsidR="00176F7E" w:rsidRDefault="00176F7E" w:rsidP="00176F7E">
      <w:pPr>
        <w:numPr>
          <w:ilvl w:val="0"/>
          <w:numId w:val="25"/>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Pr>
          <w:rStyle w:val="FootnoteReference"/>
        </w:rPr>
        <w:footnoteReference w:id="161"/>
      </w:r>
    </w:p>
    <w:p w:rsidR="00691B4D" w:rsidRDefault="00176F7E" w:rsidP="00691B4D">
      <w:r>
        <w:rPr>
          <w:rStyle w:val="AERbody"/>
        </w:rPr>
        <w:t>We also note that o</w:t>
      </w:r>
      <w:r w:rsidRPr="002F6C93">
        <w:rPr>
          <w:rStyle w:val="AERbody"/>
        </w:rPr>
        <w:t xml:space="preserve">ur consideration of the relative merits of the Sharpe-Lintner CAPM </w:t>
      </w:r>
      <w:r>
        <w:rPr>
          <w:rStyle w:val="AERbody"/>
        </w:rPr>
        <w:t>is</w:t>
      </w:r>
      <w:r w:rsidRPr="002F6C93">
        <w:rPr>
          <w:rStyle w:val="AERbody"/>
        </w:rPr>
        <w:t xml:space="preserv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Pr>
          <w:rStyle w:val="FootnoteReference"/>
        </w:rPr>
        <w:footnoteReference w:id="162"/>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return on equity estimate </w:t>
      </w:r>
      <w:r>
        <w:t>are</w:t>
      </w:r>
      <w:r w:rsidRPr="00971D38">
        <w:t xml:space="preserve"> </w:t>
      </w:r>
      <w:r>
        <w:t>supported by</w:t>
      </w:r>
      <w:r w:rsidRPr="00971D38">
        <w:t xml:space="preserve"> a range of relevant material including market-based evidence (</w:t>
      </w:r>
      <w:r>
        <w:t xml:space="preserve">see the </w:t>
      </w:r>
      <w:r w:rsidRPr="007D2133">
        <w:rPr>
          <w:rStyle w:val="AERbody"/>
        </w:rPr>
        <w:t>'</w:t>
      </w:r>
      <w:r w:rsidRPr="007D2133">
        <w:rPr>
          <w:rStyle w:val="AERbody"/>
        </w:rPr>
        <w:fldChar w:fldCharType="begin"/>
      </w:r>
      <w:r w:rsidRPr="007D2133">
        <w:rPr>
          <w:rStyle w:val="AERbody"/>
        </w:rPr>
        <w:instrText xml:space="preserve"> REF _Ref446347167 \h  \* MERGEFORMAT </w:instrText>
      </w:r>
      <w:r w:rsidRPr="007D2133">
        <w:rPr>
          <w:rStyle w:val="AERbody"/>
        </w:rPr>
      </w:r>
      <w:r w:rsidRPr="007D2133">
        <w:rPr>
          <w:rStyle w:val="AERbody"/>
        </w:rPr>
        <w:fldChar w:fldCharType="separate"/>
      </w:r>
      <w:r w:rsidR="00691B4D" w:rsidRPr="00691B4D">
        <w:rPr>
          <w:rStyle w:val="AERbody"/>
        </w:rPr>
        <w:t>Assessing the overall return on</w:t>
      </w:r>
      <w:r w:rsidR="00691B4D">
        <w:t xml:space="preserve"> equity</w:t>
      </w:r>
    </w:p>
    <w:p w:rsidR="00176F7E" w:rsidRPr="007D2133" w:rsidRDefault="00176F7E" w:rsidP="00176F7E">
      <w:pPr>
        <w:rPr>
          <w:rStyle w:val="AERbody"/>
        </w:rPr>
      </w:pPr>
      <w:r w:rsidRPr="007D2133">
        <w:rPr>
          <w:rStyle w:val="AERbody"/>
        </w:rPr>
        <w:fldChar w:fldCharType="end"/>
      </w:r>
      <w:r w:rsidRPr="007D2133">
        <w:rPr>
          <w:rStyle w:val="AERbody"/>
        </w:rPr>
        <w:t>'</w:t>
      </w:r>
      <w:r>
        <w:rPr>
          <w:rStyle w:val="AERbody"/>
        </w:rPr>
        <w:t xml:space="preserve"> section below</w:t>
      </w:r>
      <w:r w:rsidRPr="007D2133">
        <w:rPr>
          <w:rStyle w:val="AERbody"/>
        </w:rPr>
        <w:t>).</w:t>
      </w:r>
    </w:p>
    <w:p w:rsidR="00766020" w:rsidRDefault="00766020" w:rsidP="00766020">
      <w:r>
        <w:t>Consumers and other stakeholders generally supported our use of the Sharp-Lintner CAPM and our foundation model approach.</w:t>
      </w:r>
      <w:r>
        <w:rPr>
          <w:rStyle w:val="FootnoteReference"/>
        </w:rPr>
        <w:footnoteReference w:id="163"/>
      </w:r>
      <w:r>
        <w:t xml:space="preserve"> </w:t>
      </w:r>
    </w:p>
    <w:p w:rsidR="002F6FA6" w:rsidRDefault="002F6FA6" w:rsidP="002F6FA6">
      <w:r>
        <w:lastRenderedPageBreak/>
        <w:t xml:space="preserve">Since publishing our Guideline </w:t>
      </w:r>
      <w:r w:rsidR="00511C21">
        <w:t xml:space="preserve">some </w:t>
      </w:r>
      <w:r>
        <w:t>service providers have submitted that the use of additional models</w:t>
      </w:r>
      <w:r w:rsidRPr="0051262A">
        <w:t xml:space="preserve"> </w:t>
      </w:r>
      <w:r>
        <w:t>for estimating the return on equity, and various methods for combining the models, would result in an improved estimate. The additional models submitted by service providers are the Black CAPM, Fama-French model, the dividend growth model, and the historical and Wright specifications to the Sharpe-Lintner CAPM.</w:t>
      </w:r>
      <w:r w:rsidR="00176F7E">
        <w:rPr>
          <w:rStyle w:val="FootnoteReference"/>
        </w:rPr>
        <w:footnoteReference w:id="164"/>
      </w:r>
      <w:r>
        <w:t xml:space="preserve"> </w:t>
      </w:r>
    </w:p>
    <w:p w:rsidR="00766020" w:rsidRDefault="002F6FA6" w:rsidP="002F6FA6">
      <w:r>
        <w:t>We consider</w:t>
      </w:r>
      <w:r w:rsidR="00532E2C">
        <w:t>ed</w:t>
      </w:r>
      <w:r>
        <w:t xml:space="preserve"> the relative merits of </w:t>
      </w:r>
      <w:r w:rsidR="00176F7E">
        <w:t>these models</w:t>
      </w:r>
      <w:r>
        <w:t xml:space="preserve"> in detail in section </w:t>
      </w:r>
      <w:r w:rsidR="00532E2C">
        <w:t xml:space="preserve">B </w:t>
      </w:r>
      <w:r>
        <w:t>of attachment</w:t>
      </w:r>
      <w:r w:rsidR="00532E2C">
        <w:t xml:space="preserve"> 3 to our draft decision on AusNet Services' 2017–22 transmission determination</w:t>
      </w:r>
      <w:r w:rsidR="00176F7E">
        <w:t>. We responded to</w:t>
      </w:r>
      <w:r w:rsidR="00766020">
        <w:t xml:space="preserve"> specific</w:t>
      </w:r>
      <w:r w:rsidR="00176F7E">
        <w:t xml:space="preserve"> issues raised about the use of equity models in table 3-4 of attachment 3 to our draft decision on AusNet Services' 2017–22 transmission determination. T</w:t>
      </w:r>
      <w:r w:rsidR="00532E2C">
        <w:t xml:space="preserve">his </w:t>
      </w:r>
      <w:r w:rsidR="00176F7E">
        <w:t>reasoning</w:t>
      </w:r>
      <w:r w:rsidR="00532E2C">
        <w:t xml:space="preserve"> remains relevant</w:t>
      </w:r>
      <w:r>
        <w:t>. In summary, we consider that the models other than the Sharpe-Lintner CAPM are too unreliable and at risk of potential bias to be relied upon.</w:t>
      </w:r>
      <w:r w:rsidR="00766020">
        <w:t xml:space="preserve"> We are not satisfied that the service providers' proposed application of other equity models</w:t>
      </w:r>
      <w:r w:rsidR="00766020">
        <w:rPr>
          <w:rStyle w:val="FootnoteReference"/>
        </w:rPr>
        <w:footnoteReference w:id="165"/>
      </w:r>
      <w:r w:rsidR="00766020">
        <w:t xml:space="preserve"> will result in a return on equity that is commensurate with efficient financing costs (given the risk of </w:t>
      </w:r>
      <w:r w:rsidR="00511C21">
        <w:t xml:space="preserve">TasNetworks' </w:t>
      </w:r>
      <w:r w:rsidR="00766020">
        <w:t>regulated services).</w:t>
      </w:r>
      <w:r w:rsidR="00766020">
        <w:rPr>
          <w:rStyle w:val="FootnoteReference"/>
        </w:rPr>
        <w:footnoteReference w:id="166"/>
      </w:r>
      <w:r>
        <w:t xml:space="preserve"> </w:t>
      </w:r>
    </w:p>
    <w:p w:rsidR="002F6FA6" w:rsidRDefault="002F6FA6" w:rsidP="002F6FA6">
      <w:r w:rsidRPr="00CB12BC">
        <w:t>G</w:t>
      </w:r>
      <w:r>
        <w:t>iven the limitations of the other equity models proposed by the service providers, we consider that:</w:t>
      </w:r>
    </w:p>
    <w:p w:rsidR="002F6FA6" w:rsidRPr="00B005DF" w:rsidRDefault="002F6FA6" w:rsidP="002F6FA6">
      <w:pPr>
        <w:pStyle w:val="AERbulletlistfirststyle"/>
      </w:pPr>
      <w:r>
        <w:t>These models should not form part of our foundation model approach, either as the sole model or as part of a multi-model approach</w:t>
      </w:r>
      <w:r w:rsidRPr="00B005DF">
        <w:t>.</w:t>
      </w:r>
    </w:p>
    <w:p w:rsidR="002F6FA6" w:rsidRPr="00B005DF" w:rsidRDefault="002F6FA6" w:rsidP="002F6FA6">
      <w:pPr>
        <w:pStyle w:val="AERbulletlistfirststyle"/>
      </w:pPr>
      <w:r>
        <w:t xml:space="preserve">The Wright approach, the dividend growth model, and the theory underpinning the Black CAPM may provide some (albeit limited) insights. This material has been </w:t>
      </w:r>
      <w:r>
        <w:lastRenderedPageBreak/>
        <w:t xml:space="preserve">used to inform our overall return on equity estimate (Wright) or the estimation of Sharpe-Lintner CAPM </w:t>
      </w:r>
      <w:r w:rsidRPr="00B005DF">
        <w:t xml:space="preserve">parameters (Black CAPM and </w:t>
      </w:r>
      <w:r>
        <w:t>dividend growth model</w:t>
      </w:r>
      <w:r w:rsidRPr="00B005DF">
        <w:t>).</w:t>
      </w:r>
      <w:r w:rsidRPr="00B005DF">
        <w:rPr>
          <w:rStyle w:val="FootnoteReference"/>
        </w:rPr>
        <w:footnoteReference w:id="167"/>
      </w:r>
    </w:p>
    <w:p w:rsidR="002F6FA6" w:rsidRDefault="002F6FA6" w:rsidP="002F6FA6">
      <w:pPr>
        <w:pStyle w:val="AERbulletlistfirststyle"/>
      </w:pPr>
      <w:r>
        <w:t xml:space="preserve">The Fama-French model and historical specification of the Sharpe-Lintner CAPM should not be used to inform our return on equity estimate in any capacity. </w:t>
      </w:r>
    </w:p>
    <w:p w:rsidR="005116DE" w:rsidRDefault="005116DE" w:rsidP="005116DE">
      <w:pPr>
        <w:pStyle w:val="HeadingBoldItalic"/>
        <w:numPr>
          <w:ilvl w:val="0"/>
          <w:numId w:val="25"/>
        </w:numPr>
      </w:pPr>
      <w:bookmarkStart w:id="76" w:name="_Ref430958623"/>
      <w:bookmarkStart w:id="77" w:name="_Toc433446504"/>
      <w:r>
        <w:t>Estimating the market risk premium</w:t>
      </w:r>
    </w:p>
    <w:p w:rsidR="002F6FA6" w:rsidRDefault="002F6FA6" w:rsidP="002F6FA6">
      <w:pPr>
        <w:numPr>
          <w:ilvl w:val="0"/>
          <w:numId w:val="25"/>
        </w:numPr>
      </w:pPr>
      <w:r>
        <w:t>Our estimate of the prevailing market risk premium for this decision is 6.5 per cent. This is a forward-looking estimate of the risk premium—the return above the government bond rate—on the market portfolio required by investors with a ten-year investment horizon.</w:t>
      </w:r>
    </w:p>
    <w:p w:rsidR="002F6FA6" w:rsidRDefault="002F6FA6" w:rsidP="002F6FA6">
      <w:r>
        <w:t>We consider 6.5 per cent to be the best estimate of the market risk premium to contribute to the achievement of the ARORO</w:t>
      </w:r>
      <w:r w:rsidRPr="00762AAF">
        <w:t xml:space="preserve"> </w:t>
      </w:r>
      <w:r>
        <w:t>because:</w:t>
      </w:r>
    </w:p>
    <w:p w:rsidR="002F6FA6" w:rsidRDefault="002F6FA6" w:rsidP="002F6FA6">
      <w:pPr>
        <w:pStyle w:val="AERbulletlistfirststyle"/>
      </w:pPr>
      <w:r>
        <w:t>it is supported by our consideration of all rel</w:t>
      </w:r>
      <w:r w:rsidR="004D2EE1">
        <w:t xml:space="preserve">evant material submitted to us, </w:t>
      </w:r>
      <w:r>
        <w:t>following consideration of their relative merits</w:t>
      </w:r>
      <w:r w:rsidR="004D2EE1">
        <w:t xml:space="preserve"> (discussed below</w:t>
      </w:r>
      <w:r>
        <w:t>)</w:t>
      </w:r>
    </w:p>
    <w:p w:rsidR="002F6FA6" w:rsidRDefault="002F6FA6" w:rsidP="002F6FA6">
      <w:pPr>
        <w:pStyle w:val="AERbulletlistfirststyle"/>
      </w:pPr>
      <w:r>
        <w:t>it is corroborated</w:t>
      </w:r>
      <w:r w:rsidDel="00DA7338">
        <w:t xml:space="preserve"> </w:t>
      </w:r>
      <w:r>
        <w:t>by our cross-checks on the overall return on equity and equity risk premium. This further supports our estimate of the equity risk premium (of which the market risk premium is a component)</w:t>
      </w:r>
    </w:p>
    <w:p w:rsidR="002F6FA6" w:rsidRDefault="002F6FA6" w:rsidP="002F6FA6">
      <w:pPr>
        <w:pStyle w:val="AERbulletlistfirststyle"/>
      </w:pPr>
      <w:r>
        <w:t>it provides a balanced outcome between submissions by service providers and other stakeholders.</w:t>
      </w:r>
    </w:p>
    <w:p w:rsidR="002F6FA6" w:rsidRDefault="002F6FA6" w:rsidP="002F6FA6">
      <w:pPr>
        <w:numPr>
          <w:ilvl w:val="0"/>
          <w:numId w:val="25"/>
        </w:numPr>
      </w:pPr>
      <w:r>
        <w:fldChar w:fldCharType="begin"/>
      </w:r>
      <w:r>
        <w:instrText xml:space="preserve"> REF _Ref446266907 \h </w:instrText>
      </w:r>
      <w:r>
        <w:fldChar w:fldCharType="separate"/>
      </w:r>
      <w:r w:rsidR="00691B4D">
        <w:t xml:space="preserve">Figure </w:t>
      </w:r>
      <w:r w:rsidR="00691B4D">
        <w:rPr>
          <w:noProof/>
        </w:rPr>
        <w:t>3</w:t>
      </w:r>
      <w:r w:rsidR="00691B4D">
        <w:noBreakHyphen/>
      </w:r>
      <w:r w:rsidR="00691B4D">
        <w:rPr>
          <w:noProof/>
        </w:rPr>
        <w:t>3</w:t>
      </w:r>
      <w:r>
        <w:fldChar w:fldCharType="end"/>
      </w:r>
      <w:r>
        <w:t xml:space="preserve"> shows the market risk premium estimates from the relevant material that has informed our decision. These estimates range from 4.8 per cent to </w:t>
      </w:r>
      <w:r w:rsidR="006C3A08">
        <w:t>8.86</w:t>
      </w:r>
      <w:r>
        <w:t xml:space="preserve"> per cent. </w:t>
      </w:r>
    </w:p>
    <w:p w:rsidR="002F6FA6" w:rsidRDefault="002F6FA6" w:rsidP="002F6FA6">
      <w:pPr>
        <w:pStyle w:val="Caption"/>
        <w:numPr>
          <w:ilvl w:val="0"/>
          <w:numId w:val="25"/>
        </w:numPr>
      </w:pPr>
      <w:bookmarkStart w:id="78" w:name="_Ref446266907"/>
      <w:bookmarkStart w:id="79" w:name="_Ref417222210"/>
      <w:r>
        <w:lastRenderedPageBreak/>
        <w:t xml:space="preserve">Figure </w:t>
      </w:r>
      <w:r w:rsidRPr="002F6FA6">
        <w:fldChar w:fldCharType="begin"/>
      </w:r>
      <w:r>
        <w:instrText xml:space="preserve"> STYLEREF 1 \s </w:instrText>
      </w:r>
      <w:r w:rsidRPr="002F6FA6">
        <w:fldChar w:fldCharType="separate"/>
      </w:r>
      <w:r w:rsidR="00691B4D">
        <w:rPr>
          <w:noProof/>
        </w:rPr>
        <w:t>3</w:t>
      </w:r>
      <w:r w:rsidRPr="002F6FA6">
        <w:fldChar w:fldCharType="end"/>
      </w:r>
      <w:r>
        <w:noBreakHyphen/>
      </w:r>
      <w:r w:rsidRPr="002F6FA6">
        <w:fldChar w:fldCharType="begin"/>
      </w:r>
      <w:r>
        <w:instrText xml:space="preserve"> SEQ Figure \* ARABIC \s 1 </w:instrText>
      </w:r>
      <w:r w:rsidRPr="002F6FA6">
        <w:fldChar w:fldCharType="separate"/>
      </w:r>
      <w:r w:rsidR="00691B4D">
        <w:rPr>
          <w:noProof/>
        </w:rPr>
        <w:t>3</w:t>
      </w:r>
      <w:r w:rsidRPr="002F6FA6">
        <w:fldChar w:fldCharType="end"/>
      </w:r>
      <w:bookmarkEnd w:id="78"/>
      <w:r>
        <w:tab/>
        <w:t xml:space="preserve">Comparison of estimates of the market risk premium </w:t>
      </w:r>
    </w:p>
    <w:bookmarkEnd w:id="79"/>
    <w:p w:rsidR="002F6FA6" w:rsidRPr="005A629D" w:rsidRDefault="00080999" w:rsidP="002F6FA6">
      <w:pPr>
        <w:pStyle w:val="AERtablesource"/>
      </w:pPr>
      <w:r w:rsidRPr="00080999">
        <w:rPr>
          <w:noProof/>
          <w:lang w:eastAsia="en-AU"/>
        </w:rPr>
        <w:drawing>
          <wp:inline distT="0" distB="0" distL="0" distR="0" wp14:anchorId="4EB209DC" wp14:editId="1F311590">
            <wp:extent cx="5382895" cy="3886047"/>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3886047"/>
                    </a:xfrm>
                    <a:prstGeom prst="rect">
                      <a:avLst/>
                    </a:prstGeom>
                    <a:noFill/>
                    <a:ln>
                      <a:noFill/>
                    </a:ln>
                  </pic:spPr>
                </pic:pic>
              </a:graphicData>
            </a:graphic>
          </wp:inline>
        </w:drawing>
      </w:r>
    </w:p>
    <w:p w:rsidR="002F6FA6" w:rsidRPr="005A629D" w:rsidRDefault="002F6FA6" w:rsidP="002F6FA6">
      <w:pPr>
        <w:pStyle w:val="AERtablesource"/>
      </w:pPr>
      <w:r w:rsidRPr="005A629D">
        <w:t xml:space="preserve">Source:     AER analysis </w:t>
      </w:r>
    </w:p>
    <w:p w:rsidR="002F6FA6" w:rsidRPr="005A629D" w:rsidRDefault="002F6FA6" w:rsidP="002F6FA6">
      <w:pPr>
        <w:pStyle w:val="AERtablesource"/>
      </w:pPr>
      <w:r w:rsidRPr="003720E1">
        <w:t xml:space="preserve">Note:         </w:t>
      </w:r>
      <w:r w:rsidR="00132063">
        <w:t>We use the mid-point of other</w:t>
      </w:r>
      <w:r w:rsidR="000A61FA" w:rsidRPr="003720E1">
        <w:t xml:space="preserve"> r</w:t>
      </w:r>
      <w:r w:rsidR="000A61FA">
        <w:t xml:space="preserve">egulator's </w:t>
      </w:r>
      <w:r w:rsidR="00132063">
        <w:t>estimated</w:t>
      </w:r>
      <w:r w:rsidR="000A61FA" w:rsidRPr="003720E1">
        <w:t xml:space="preserve"> </w:t>
      </w:r>
      <w:r w:rsidR="000A61FA" w:rsidRPr="00DC64DA">
        <w:t>market risk premium</w:t>
      </w:r>
      <w:r w:rsidR="000A61FA">
        <w:t xml:space="preserve"> </w:t>
      </w:r>
      <w:r w:rsidR="00132063">
        <w:t>range</w:t>
      </w:r>
      <w:r w:rsidR="000A61FA" w:rsidRPr="003720E1">
        <w:t>.</w:t>
      </w:r>
      <w:r w:rsidR="000A61FA">
        <w:rPr>
          <w:rStyle w:val="FootnoteReference"/>
        </w:rPr>
        <w:footnoteReference w:id="168"/>
      </w:r>
      <w:r w:rsidR="000A61FA" w:rsidRPr="005A629D">
        <w:t xml:space="preserve"> The stakeholder submissions range is intended to reflect the views of consumer groups and those who use/</w:t>
      </w:r>
      <w:r w:rsidR="000A61FA">
        <w:t xml:space="preserve">engage with the energy network </w:t>
      </w:r>
      <w:r w:rsidR="000A61FA" w:rsidRPr="005A629D">
        <w:t xml:space="preserve">or pipeline, and as such it does not include submissions from </w:t>
      </w:r>
      <w:r w:rsidR="000A61FA">
        <w:t>services providers</w:t>
      </w:r>
      <w:r w:rsidR="000A61FA" w:rsidRPr="005A629D">
        <w:t>.</w:t>
      </w:r>
      <w:r w:rsidR="000A61FA">
        <w:rPr>
          <w:rStyle w:val="FootnoteReference"/>
        </w:rPr>
        <w:footnoteReference w:id="169"/>
      </w:r>
      <w:r w:rsidR="000A61FA" w:rsidRPr="005A629D">
        <w:t xml:space="preserve"> </w:t>
      </w:r>
    </w:p>
    <w:p w:rsidR="002F6FA6" w:rsidRDefault="002F6FA6" w:rsidP="002F6FA6">
      <w:pPr>
        <w:numPr>
          <w:ilvl w:val="0"/>
          <w:numId w:val="25"/>
        </w:numPr>
      </w:pPr>
      <w:r>
        <w:t xml:space="preserve">We derive our point estimate from within this range by considering the relative merits of all of the relevant material. The application of our approach is set out as follows: </w:t>
      </w:r>
    </w:p>
    <w:p w:rsidR="002F6FA6" w:rsidRDefault="002F6FA6" w:rsidP="002F6FA6">
      <w:pPr>
        <w:pStyle w:val="AERbulletlistfirststyle"/>
      </w:pPr>
      <w:r>
        <w:t>Historical excess returns provide our baseline estimate and indicates a market risk premium of approximately 5.5 to 6.0 per cent from a range of 4.</w:t>
      </w:r>
      <w:r w:rsidR="00E6132E">
        <w:t>9</w:t>
      </w:r>
      <w:r>
        <w:t xml:space="preserve"> per cent to 6.0 per cent. </w:t>
      </w:r>
      <w:r w:rsidR="001C5577" w:rsidRPr="001C5577">
        <w:t xml:space="preserve">See section </w:t>
      </w:r>
      <w:r w:rsidR="001C5577">
        <w:fldChar w:fldCharType="begin"/>
      </w:r>
      <w:r w:rsidR="001C5577">
        <w:instrText xml:space="preserve"> REF _Ref456978764 \r \h </w:instrText>
      </w:r>
      <w:r w:rsidR="001C5577">
        <w:fldChar w:fldCharType="separate"/>
      </w:r>
      <w:r w:rsidR="00691B4D">
        <w:t>A.1</w:t>
      </w:r>
      <w:r w:rsidR="001C5577">
        <w:fldChar w:fldCharType="end"/>
      </w:r>
      <w:r w:rsidR="001C5577">
        <w:t xml:space="preserve"> </w:t>
      </w:r>
      <w:r w:rsidR="001C5577" w:rsidRPr="001C5577">
        <w:t>for more detail on this material.</w:t>
      </w:r>
    </w:p>
    <w:p w:rsidR="002F6FA6" w:rsidRDefault="002F6FA6" w:rsidP="002F6FA6">
      <w:pPr>
        <w:pStyle w:val="AERbulletlistfirststyle"/>
      </w:pPr>
      <w:r>
        <w:t xml:space="preserve">Dividend growth model estimates indicate a market risk premium estimate above this baseline with a range of </w:t>
      </w:r>
      <w:r w:rsidR="006C1401">
        <w:t>7.54 to 8.86</w:t>
      </w:r>
      <w:r>
        <w:t xml:space="preserve"> per cent. We consider our dividend growth model is theoretically sound but that there are many limitations in prac</w:t>
      </w:r>
      <w:r w:rsidR="0086109A">
        <w:t xml:space="preserve">tically </w:t>
      </w:r>
      <w:r w:rsidR="0086109A">
        <w:lastRenderedPageBreak/>
        <w:t>implementing dividend growth models</w:t>
      </w:r>
      <w:r>
        <w:t xml:space="preserve">, and </w:t>
      </w:r>
      <w:r w:rsidR="0086109A">
        <w:t xml:space="preserve">they </w:t>
      </w:r>
      <w:r>
        <w:t>are likely to produce upward biased estimates in the current market.</w:t>
      </w:r>
      <w:r>
        <w:rPr>
          <w:rStyle w:val="FootnoteReference"/>
        </w:rPr>
        <w:footnoteReference w:id="170"/>
      </w:r>
      <w:r>
        <w:t xml:space="preserve"> We do not consider that the dividend growth model estimates are reliable on their own, but that they do provide some support for a point estimate above the range from historical returns. </w:t>
      </w:r>
      <w:r w:rsidR="001C5577">
        <w:t xml:space="preserve">See section </w:t>
      </w:r>
      <w:r w:rsidR="001C5577">
        <w:fldChar w:fldCharType="begin"/>
      </w:r>
      <w:r w:rsidR="001C5577">
        <w:instrText xml:space="preserve"> REF _Ref456978683 \r \h </w:instrText>
      </w:r>
      <w:r w:rsidR="001C5577">
        <w:fldChar w:fldCharType="separate"/>
      </w:r>
      <w:r w:rsidR="00691B4D">
        <w:t>A.2</w:t>
      </w:r>
      <w:r w:rsidR="001C5577">
        <w:fldChar w:fldCharType="end"/>
      </w:r>
      <w:r w:rsidR="001C5577">
        <w:t xml:space="preserve"> for more detail on this material.</w:t>
      </w:r>
    </w:p>
    <w:p w:rsidR="002F6FA6" w:rsidRDefault="002F6FA6" w:rsidP="002F6FA6">
      <w:pPr>
        <w:pStyle w:val="AERbulletlistfirststyle"/>
      </w:pPr>
      <w:r>
        <w:t xml:space="preserve">Survey evidence supports a market risk premium around </w:t>
      </w:r>
      <w:r w:rsidR="00E23D2C">
        <w:t>4.4</w:t>
      </w:r>
      <w:r w:rsidR="00BC0472">
        <w:t xml:space="preserve"> to 6.8</w:t>
      </w:r>
      <w:r>
        <w:t xml:space="preserve"> per cent. Other regulators' estimates are used as a cross check and indicate a market risk premium estimate of around 6.5 per cent is reasonable. Conditioning variables indicate that there has not been a material change in market conditions since our </w:t>
      </w:r>
      <w:r w:rsidR="001C5577">
        <w:t>May</w:t>
      </w:r>
      <w:r w:rsidR="008B6F5B">
        <w:t xml:space="preserve"> 201</w:t>
      </w:r>
      <w:r w:rsidR="001C5577">
        <w:t>6</w:t>
      </w:r>
      <w:r w:rsidR="008B6F5B">
        <w:t xml:space="preserve"> </w:t>
      </w:r>
      <w:r>
        <w:t>decision</w:t>
      </w:r>
      <w:r w:rsidR="008B6F5B">
        <w:t>s</w:t>
      </w:r>
      <w:r>
        <w:t>. See sections</w:t>
      </w:r>
      <w:r w:rsidR="001C5577">
        <w:t xml:space="preserve"> </w:t>
      </w:r>
      <w:r w:rsidR="001C5577">
        <w:fldChar w:fldCharType="begin"/>
      </w:r>
      <w:r w:rsidR="001C5577">
        <w:instrText xml:space="preserve"> REF _Ref456978707 \r \h </w:instrText>
      </w:r>
      <w:r w:rsidR="001C5577">
        <w:fldChar w:fldCharType="separate"/>
      </w:r>
      <w:r w:rsidR="00691B4D">
        <w:t>A.4.1</w:t>
      </w:r>
      <w:r w:rsidR="001C5577">
        <w:fldChar w:fldCharType="end"/>
      </w:r>
      <w:r>
        <w:t xml:space="preserve">, </w:t>
      </w:r>
      <w:r w:rsidR="001C5577">
        <w:fldChar w:fldCharType="begin"/>
      </w:r>
      <w:r w:rsidR="001C5577">
        <w:instrText xml:space="preserve"> REF _Ref456978726 \r \h </w:instrText>
      </w:r>
      <w:r w:rsidR="001C5577">
        <w:fldChar w:fldCharType="separate"/>
      </w:r>
      <w:r w:rsidR="00691B4D">
        <w:t>A.4.4</w:t>
      </w:r>
      <w:r w:rsidR="001C5577">
        <w:fldChar w:fldCharType="end"/>
      </w:r>
      <w:r>
        <w:t xml:space="preserve">, and </w:t>
      </w:r>
      <w:r w:rsidR="001C5577">
        <w:fldChar w:fldCharType="begin"/>
      </w:r>
      <w:r w:rsidR="001C5577">
        <w:instrText xml:space="preserve"> REF _Ref456978735 \r \h </w:instrText>
      </w:r>
      <w:r w:rsidR="001C5577">
        <w:fldChar w:fldCharType="separate"/>
      </w:r>
      <w:r w:rsidR="00691B4D">
        <w:t>A.3</w:t>
      </w:r>
      <w:r w:rsidR="001C5577">
        <w:fldChar w:fldCharType="end"/>
      </w:r>
      <w:r w:rsidR="001C5577">
        <w:t xml:space="preserve"> </w:t>
      </w:r>
      <w:r>
        <w:t>for more detail on this material.</w:t>
      </w:r>
    </w:p>
    <w:p w:rsidR="002F6FA6" w:rsidRDefault="002F6FA6" w:rsidP="002F6FA6">
      <w:r>
        <w:t>Stakeholder submissions have generally supported a market risk premium at or below the 6.5 per cent. For example:</w:t>
      </w:r>
    </w:p>
    <w:p w:rsidR="002F6FA6" w:rsidRPr="001367D6" w:rsidRDefault="002F6FA6" w:rsidP="002F6FA6">
      <w:pPr>
        <w:pStyle w:val="AERbulletlistfirststyle"/>
      </w:pPr>
      <w:r>
        <w:t xml:space="preserve">The </w:t>
      </w:r>
      <w:r w:rsidRPr="001367D6">
        <w:t>Victorian Energy Consumer and User Alliance (</w:t>
      </w:r>
      <w:r>
        <w:t>VECUA) continued to recommend a</w:t>
      </w:r>
      <w:r w:rsidRPr="001367D6">
        <w:t xml:space="preserve"> </w:t>
      </w:r>
      <w:r w:rsidRPr="00A265D2">
        <w:t xml:space="preserve">market risk premium </w:t>
      </w:r>
      <w:r w:rsidRPr="001367D6">
        <w:t>of 5.0 per cent, at the bottom of the range determined in the Guideline.</w:t>
      </w:r>
      <w:r w:rsidRPr="001367D6">
        <w:rPr>
          <w:rStyle w:val="FootnoteReference"/>
        </w:rPr>
        <w:footnoteReference w:id="171"/>
      </w:r>
      <w:r w:rsidRPr="001367D6">
        <w:t xml:space="preserve"> </w:t>
      </w:r>
      <w:r>
        <w:t>VECUA submitted that t</w:t>
      </w:r>
      <w:r w:rsidRPr="001367D6">
        <w:t>his appeared to be based on outcome-based considerations regarding the profitability and low risk of service providers and decisions made by other regulators, as well as a view that the AER should exercise its discretion in a more balanced manner.</w:t>
      </w:r>
      <w:r>
        <w:rPr>
          <w:rStyle w:val="FootnoteReference"/>
        </w:rPr>
        <w:footnoteReference w:id="172"/>
      </w:r>
    </w:p>
    <w:p w:rsidR="002F6FA6" w:rsidRPr="001367D6" w:rsidRDefault="002F6FA6" w:rsidP="002F6FA6">
      <w:pPr>
        <w:pStyle w:val="AERbulletlistfirststyle"/>
      </w:pPr>
      <w:r>
        <w:t>The</w:t>
      </w:r>
      <w:r w:rsidR="00E23D2C">
        <w:t xml:space="preserve"> </w:t>
      </w:r>
      <w:r>
        <w:t>Energy Consumers Coalition of South Australia (ECCSA) commented that</w:t>
      </w:r>
      <w:r w:rsidRPr="001367D6">
        <w:t xml:space="preserve"> the </w:t>
      </w:r>
      <w:r w:rsidRPr="00A265D2">
        <w:t xml:space="preserve">market risk premium </w:t>
      </w:r>
      <w:r w:rsidRPr="001367D6">
        <w:t xml:space="preserve">estimate in our </w:t>
      </w:r>
      <w:r w:rsidR="00D87D52">
        <w:t>October and November 2015</w:t>
      </w:r>
      <w:r w:rsidR="00D87D52" w:rsidRPr="001367D6">
        <w:t xml:space="preserve"> </w:t>
      </w:r>
      <w:r w:rsidRPr="001367D6">
        <w:t>decision</w:t>
      </w:r>
      <w:r w:rsidR="00D87D52">
        <w:t>s</w:t>
      </w:r>
      <w:r w:rsidRPr="001367D6">
        <w:t xml:space="preserve">, as it was set at the higher end of the credible range, added ‘considerable conservatism’ into the </w:t>
      </w:r>
      <w:r>
        <w:t>rate of return</w:t>
      </w:r>
      <w:r w:rsidRPr="001367D6">
        <w:t xml:space="preserve"> calculation.</w:t>
      </w:r>
      <w:r w:rsidRPr="001367D6">
        <w:rPr>
          <w:rStyle w:val="FootnoteReference"/>
        </w:rPr>
        <w:footnoteReference w:id="173"/>
      </w:r>
    </w:p>
    <w:p w:rsidR="002F6FA6" w:rsidRDefault="002F6FA6" w:rsidP="002F6FA6">
      <w:pPr>
        <w:pStyle w:val="AERbulletlistfirststyle"/>
      </w:pPr>
      <w:r>
        <w:t xml:space="preserve">Origin Energy continued to support our </w:t>
      </w:r>
      <w:r w:rsidRPr="00A265D2">
        <w:t xml:space="preserve">market risk premium </w:t>
      </w:r>
      <w:r>
        <w:t>estimate of 6.5 per cent</w:t>
      </w:r>
      <w:r w:rsidRPr="007725F8">
        <w:t xml:space="preserve"> as this better reflects the efficient financing costs of a business exposed to the level of risk that applies to an Australian regulated network business</w:t>
      </w:r>
      <w:r>
        <w:t>.</w:t>
      </w:r>
      <w:r w:rsidRPr="004D154B">
        <w:rPr>
          <w:rStyle w:val="FootnoteReference"/>
        </w:rPr>
        <w:footnoteReference w:id="174"/>
      </w:r>
    </w:p>
    <w:p w:rsidR="006B41FE" w:rsidRDefault="006B41FE" w:rsidP="002F6FA6">
      <w:pPr>
        <w:pStyle w:val="AERbulletlistfirststyle"/>
      </w:pPr>
      <w:r>
        <w:t>The Tasmanian Small Business Council continues to hold the view that a more appropriate market risk premium is 6.0 per cent.</w:t>
      </w:r>
      <w:r>
        <w:rPr>
          <w:rStyle w:val="FootnoteReference"/>
        </w:rPr>
        <w:footnoteReference w:id="175"/>
      </w:r>
      <w:r>
        <w:t xml:space="preserve"> </w:t>
      </w:r>
    </w:p>
    <w:p w:rsidR="002F6FA6" w:rsidRPr="001367D6" w:rsidRDefault="002F6FA6" w:rsidP="002F6FA6">
      <w:pPr>
        <w:pStyle w:val="AERbulletlistfirststyle"/>
      </w:pPr>
      <w:r>
        <w:t xml:space="preserve">In a separate regulatory process, </w:t>
      </w:r>
      <w:r w:rsidR="0007291A">
        <w:t xml:space="preserve">several </w:t>
      </w:r>
      <w:r w:rsidRPr="001367D6">
        <w:t>CCP</w:t>
      </w:r>
      <w:r w:rsidR="0007291A">
        <w:t xml:space="preserve"> members</w:t>
      </w:r>
      <w:r w:rsidRPr="001367D6">
        <w:t xml:space="preserve"> advised that we could still set a </w:t>
      </w:r>
      <w:r w:rsidRPr="00A265D2">
        <w:t xml:space="preserve">market risk premium </w:t>
      </w:r>
      <w:r w:rsidRPr="001367D6">
        <w:t xml:space="preserve">of 6 per cent or below, commenting that a point estimate </w:t>
      </w:r>
      <w:r w:rsidRPr="001367D6">
        <w:lastRenderedPageBreak/>
        <w:t xml:space="preserve">within our range but lower than those set </w:t>
      </w:r>
      <w:r>
        <w:t xml:space="preserve">by </w:t>
      </w:r>
      <w:r w:rsidRPr="001367D6">
        <w:t>us to date would be ‘more in the long term interests of consumers while still meeting investors’ rights to an adequate return on capital invested’.</w:t>
      </w:r>
      <w:r w:rsidRPr="001367D6">
        <w:rPr>
          <w:rStyle w:val="FootnoteReference"/>
        </w:rPr>
        <w:footnoteReference w:id="176"/>
      </w:r>
    </w:p>
    <w:p w:rsidR="009039BE" w:rsidRPr="009039BE" w:rsidRDefault="009039BE" w:rsidP="009039BE">
      <w:pPr>
        <w:pStyle w:val="ListParagraph"/>
        <w:numPr>
          <w:ilvl w:val="0"/>
          <w:numId w:val="25"/>
        </w:numPr>
        <w:rPr>
          <w:rStyle w:val="AERbody"/>
        </w:rPr>
      </w:pPr>
      <w:r w:rsidRPr="009039BE">
        <w:rPr>
          <w:rStyle w:val="AERbody"/>
        </w:rPr>
        <w:t xml:space="preserve">Recently, </w:t>
      </w:r>
      <w:r w:rsidR="00EE4C3A">
        <w:rPr>
          <w:rStyle w:val="AERbody"/>
        </w:rPr>
        <w:t xml:space="preserve">some </w:t>
      </w:r>
      <w:r w:rsidRPr="009039BE">
        <w:rPr>
          <w:rStyle w:val="AERbody"/>
        </w:rPr>
        <w:t>service providers argued that there is an inverse relationship between the risk free rate and market risk premium.</w:t>
      </w:r>
      <w:r w:rsidR="00920D10">
        <w:rPr>
          <w:rStyle w:val="FootnoteReference"/>
        </w:rPr>
        <w:footnoteReference w:id="177"/>
      </w:r>
      <w:r w:rsidRPr="009039BE">
        <w:rPr>
          <w:rStyle w:val="AERbody"/>
        </w:rPr>
        <w:t xml:space="preserve"> It is unclear why this risk premium would increase or decrease to entirely offset changes in the base risk free rate. We have not been provided with compelling evidence that the riskiness of </w:t>
      </w:r>
      <w:r w:rsidR="00EE4C3A">
        <w:t>TasNetworks</w:t>
      </w:r>
      <w:r w:rsidR="00EE4C3A" w:rsidRPr="009039BE">
        <w:rPr>
          <w:rStyle w:val="AERbody"/>
        </w:rPr>
        <w:t xml:space="preserve"> </w:t>
      </w:r>
      <w:r w:rsidRPr="009039BE">
        <w:rPr>
          <w:rStyle w:val="AERbody"/>
        </w:rPr>
        <w:t xml:space="preserve">relative to the risk free asset has increased as the risk free rate has decreased. Service providers have not sufficiently explained why, in the absence of an increase in the relative riskiness of </w:t>
      </w:r>
      <w:r w:rsidR="00EE4C3A">
        <w:t>TasNetworks</w:t>
      </w:r>
      <w:r w:rsidRPr="009039BE">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9039BE">
        <w:rPr>
          <w:rStyle w:val="FootnoteReference"/>
        </w:rPr>
        <w:footnoteReference w:id="178"/>
      </w:r>
    </w:p>
    <w:p w:rsidR="002F6FA6" w:rsidRDefault="002F6FA6" w:rsidP="002F6FA6">
      <w:pPr>
        <w:numPr>
          <w:ilvl w:val="0"/>
          <w:numId w:val="25"/>
        </w:numPr>
      </w:pPr>
      <w:r>
        <w:t xml:space="preserve">We note </w:t>
      </w:r>
      <w:r w:rsidRPr="00010BCE">
        <w:t>th</w:t>
      </w:r>
      <w:r>
        <w:t>at</w:t>
      </w:r>
      <w:r w:rsidRPr="00010BCE">
        <w:t xml:space="preserve"> </w:t>
      </w:r>
      <w:r>
        <w:t>some stakeholders</w:t>
      </w:r>
      <w:r w:rsidR="009039BE">
        <w:t xml:space="preserve"> also</w:t>
      </w:r>
      <w:r w:rsidRPr="00010BCE">
        <w:t xml:space="preserve"> </w:t>
      </w:r>
      <w:r w:rsidR="004D2EE1">
        <w:t xml:space="preserve">recently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w:t>
      </w:r>
      <w:r w:rsidR="004D2EE1">
        <w:rPr>
          <w:rStyle w:val="FootnoteReference"/>
        </w:rPr>
        <w:footnoteReference w:id="179"/>
      </w:r>
      <w:r w:rsidRPr="00010BCE">
        <w:t xml:space="preserve"> </w:t>
      </w:r>
      <w:r w:rsidR="0086109A">
        <w:t>We</w:t>
      </w:r>
      <w:r>
        <w:t xml:space="preserve"> set out stakeholder views on our use of relevant material and our responses</w:t>
      </w:r>
      <w:r w:rsidR="0086109A">
        <w:t xml:space="preserve"> in Table 3-5 in attachment 3 to our draft decision on AusNet Services 2017–22 transmission determination, and it remains relevant</w:t>
      </w:r>
      <w:r>
        <w:t xml:space="preserve">. </w:t>
      </w: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t>ARORO and the National Electricity Objective</w:t>
      </w:r>
      <w:r w:rsidRPr="00B005DF">
        <w:t xml:space="preserve">. </w:t>
      </w:r>
      <w:r>
        <w:t xml:space="preserve"> </w:t>
      </w:r>
    </w:p>
    <w:p w:rsidR="005116DE" w:rsidRDefault="005116DE" w:rsidP="005116DE">
      <w:pPr>
        <w:pStyle w:val="HeadingBoldItalic"/>
        <w:numPr>
          <w:ilvl w:val="0"/>
          <w:numId w:val="25"/>
        </w:numPr>
      </w:pPr>
      <w:r>
        <w:t>Estimating equity beta</w:t>
      </w:r>
    </w:p>
    <w:p w:rsidR="002F6FA6" w:rsidRDefault="002F6FA6" w:rsidP="002F6FA6">
      <w:pPr>
        <w:numPr>
          <w:ilvl w:val="0"/>
          <w:numId w:val="25"/>
        </w:numPr>
        <w:rPr>
          <w:rStyle w:val="AERbody"/>
        </w:rPr>
      </w:pPr>
      <w:r>
        <w:lastRenderedPageBreak/>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180"/>
      </w:r>
      <w:r>
        <w:t xml:space="preserve"> </w:t>
      </w:r>
    </w:p>
    <w:p w:rsidR="002F6FA6" w:rsidRDefault="002F6FA6" w:rsidP="002F6FA6">
      <w:pPr>
        <w:numPr>
          <w:ilvl w:val="0"/>
          <w:numId w:val="25"/>
        </w:numPr>
      </w:pPr>
      <w:r w:rsidRPr="003A198B">
        <w:rPr>
          <w:rStyle w:val="AERbody"/>
        </w:rPr>
        <w:t>We adopt an equity beta point estimate of 0.7 from a range of 0.4 to 0.7</w:t>
      </w:r>
      <w:r w:rsidRPr="00B90B7A">
        <w:rPr>
          <w:rStyle w:val="AERbody"/>
        </w:rPr>
        <w:t xml:space="preserve">. </w:t>
      </w:r>
      <w:r>
        <w:rPr>
          <w:rStyle w:val="AERbody"/>
        </w:rPr>
        <w:t xml:space="preserve">Our equity beta estimate is required to be commensurate with a similar degree of risk as that which applies to </w:t>
      </w:r>
      <w:r w:rsidR="00AF5DB3">
        <w:rPr>
          <w:rStyle w:val="AERbody"/>
        </w:rPr>
        <w:t xml:space="preserve">TasNetworks' </w:t>
      </w:r>
      <w:r>
        <w:rPr>
          <w:rStyle w:val="AERbody"/>
        </w:rPr>
        <w:t>provision of regulated services.</w:t>
      </w:r>
      <w:r>
        <w:rPr>
          <w:rStyle w:val="FootnoteReference"/>
        </w:rPr>
        <w:footnoteReference w:id="181"/>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sidR="00AF5DB3">
        <w:rPr>
          <w:rStyle w:val="AERbody"/>
        </w:rPr>
        <w:t>TasNetworks</w:t>
      </w:r>
      <w:r w:rsidR="00AF5DB3" w:rsidRPr="00B90B7A">
        <w:rPr>
          <w:rStyle w:val="AERbody"/>
        </w:rPr>
        <w:t xml:space="preserve"> </w:t>
      </w:r>
      <w:r w:rsidRPr="00B90B7A">
        <w:rPr>
          <w:rStyle w:val="AERbody"/>
        </w:rPr>
        <w:t xml:space="preserve">is exposed to </w:t>
      </w:r>
      <w:r>
        <w:rPr>
          <w:rStyle w:val="AERbody"/>
        </w:rPr>
        <w:t>in providing regulated services</w:t>
      </w:r>
      <w:r w:rsidRPr="00B90B7A">
        <w:rPr>
          <w:rStyle w:val="AERbody"/>
        </w:rPr>
        <w:t>.</w:t>
      </w:r>
      <w:r w:rsidRPr="00A71CB9">
        <w:t xml:space="preserve"> </w:t>
      </w:r>
      <w:r>
        <w:t>We hold this view because:</w:t>
      </w:r>
    </w:p>
    <w:p w:rsidR="002F6FA6" w:rsidRDefault="002F6FA6" w:rsidP="002F6FA6">
      <w:pPr>
        <w:pStyle w:val="AERbulletlistfirststyle"/>
      </w:pPr>
      <w:r>
        <w:t xml:space="preserve">Our range and point estimate are based on direct measurements (that is, empirical estimates) of the equity beta that businesses with a similar degree of risk as </w:t>
      </w:r>
      <w:r w:rsidR="00AF5DB3">
        <w:t xml:space="preserve">TasNetworks </w:t>
      </w:r>
      <w:r>
        <w:t>have exhibited in the past</w:t>
      </w:r>
      <w:r w:rsidR="006664B7">
        <w:t xml:space="preserve"> (for more detail on this material see section </w:t>
      </w:r>
      <w:r w:rsidR="006664B7">
        <w:fldChar w:fldCharType="begin"/>
      </w:r>
      <w:r w:rsidR="006664B7">
        <w:instrText xml:space="preserve"> REF _Ref457920011 \r \h </w:instrText>
      </w:r>
      <w:r w:rsidR="006664B7">
        <w:fldChar w:fldCharType="separate"/>
      </w:r>
      <w:r w:rsidR="00691B4D">
        <w:t>A.5</w:t>
      </w:r>
      <w:r w:rsidR="006664B7">
        <w:fldChar w:fldCharType="end"/>
      </w:r>
      <w:r w:rsidR="006664B7">
        <w:t>)</w:t>
      </w:r>
      <w:r>
        <w:t xml:space="preserve">. We consider these are reliable indicators of the prevailing, forward-looking equity beta for an efficient business (or benchmark efficient entity) with a similar degree of risk as </w:t>
      </w:r>
      <w:r w:rsidR="00AF5DB3">
        <w:t>TasNetworks</w:t>
      </w:r>
      <w:r>
        <w:t xml:space="preserve">. </w:t>
      </w:r>
    </w:p>
    <w:p w:rsidR="002F6FA6" w:rsidRDefault="002F6FA6" w:rsidP="002F6FA6">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w:t>
      </w:r>
      <w:r w:rsidR="00E23D2C">
        <w:rPr>
          <w:rStyle w:val="AERbody"/>
        </w:rPr>
        <w:t xml:space="preserve">of </w:t>
      </w:r>
      <w:r w:rsidR="00AF5DB3">
        <w:rPr>
          <w:rStyle w:val="AERbody"/>
        </w:rPr>
        <w:t>TasNetworks</w:t>
      </w:r>
      <w:r>
        <w:rPr>
          <w:rStyle w:val="FootnoteReference"/>
        </w:rPr>
        <w:footnoteReference w:id="182"/>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183"/>
      </w:r>
    </w:p>
    <w:p w:rsidR="002F6FA6" w:rsidRDefault="002F6FA6" w:rsidP="002F6FA6">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 xml:space="preserve">those estimated from businesses with a similar degree of risk as </w:t>
      </w:r>
      <w:r w:rsidR="00AF5DB3">
        <w:rPr>
          <w:rStyle w:val="AERbody"/>
        </w:rPr>
        <w:t xml:space="preserve">TasNetworks </w:t>
      </w:r>
      <w:r>
        <w:rPr>
          <w:rStyle w:val="AERbody"/>
        </w:rPr>
        <w:t>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184"/>
      </w:r>
      <w:r w:rsidRPr="00482D74">
        <w:rPr>
          <w:rStyle w:val="AERbody"/>
        </w:rPr>
        <w:t xml:space="preserve"> However, we do not consider the theory underlying the Black CAPM warrants a specific uplift or adjustment to the equity beta point estimate.</w:t>
      </w:r>
      <w:r w:rsidR="004D2EE1">
        <w:rPr>
          <w:rStyle w:val="FootnoteReference"/>
        </w:rPr>
        <w:footnoteReference w:id="185"/>
      </w:r>
      <w:r w:rsidRPr="00482D74">
        <w:rPr>
          <w:rStyle w:val="AERbody"/>
        </w:rPr>
        <w:t xml:space="preserve"> </w:t>
      </w:r>
    </w:p>
    <w:p w:rsidR="002F6FA6" w:rsidRDefault="002F6FA6" w:rsidP="002F6FA6">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lastRenderedPageBreak/>
        <w:t>the achievement of</w:t>
      </w:r>
      <w:r w:rsidRPr="002D3111">
        <w:rPr>
          <w:rStyle w:val="AERbody"/>
        </w:rPr>
        <w:t xml:space="preserve"> the </w:t>
      </w:r>
      <w:r>
        <w:t>ARORO</w:t>
      </w:r>
      <w:r>
        <w:rPr>
          <w:rStyle w:val="AERbody"/>
        </w:rPr>
        <w:t>.</w:t>
      </w:r>
      <w:r>
        <w:rPr>
          <w:rStyle w:val="FootnoteReference"/>
        </w:rPr>
        <w:footnoteReference w:id="186"/>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187"/>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2F6FA6" w:rsidRDefault="002F6FA6" w:rsidP="002F6FA6">
      <w:r>
        <w:t xml:space="preserve">Our direct measurements of the equity beta for businesses with a similar degree of risk as </w:t>
      </w:r>
      <w:r w:rsidR="00AF5DB3">
        <w:t xml:space="preserve">TasNetworks </w:t>
      </w:r>
      <w:r>
        <w:t xml:space="preserve">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188"/>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w:t>
      </w:r>
      <w:r w:rsidR="00AF5DB3">
        <w:t>TasNetworks</w:t>
      </w:r>
      <w:r>
        <w:t>. More information on empirical estimates can be found in section</w:t>
      </w:r>
      <w:r w:rsidR="00766020">
        <w:t xml:space="preserve"> </w:t>
      </w:r>
      <w:r w:rsidR="00766020">
        <w:fldChar w:fldCharType="begin"/>
      </w:r>
      <w:r w:rsidR="00766020">
        <w:instrText xml:space="preserve"> REF _Ref458105194 \r \h </w:instrText>
      </w:r>
      <w:r w:rsidR="00766020">
        <w:fldChar w:fldCharType="separate"/>
      </w:r>
      <w:r w:rsidR="00691B4D">
        <w:t>A.5</w:t>
      </w:r>
      <w:r w:rsidR="00766020">
        <w:fldChar w:fldCharType="end"/>
      </w:r>
      <w:r>
        <w:t>.</w:t>
      </w:r>
    </w:p>
    <w:p w:rsidR="002F6FA6" w:rsidRPr="002D3111" w:rsidRDefault="002F6FA6" w:rsidP="002F6FA6">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189"/>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fldChar w:fldCharType="begin"/>
      </w:r>
      <w:r>
        <w:instrText xml:space="preserve"> REF  _Ref401235334 \* Lower \h </w:instrText>
      </w:r>
      <w:r>
        <w:fldChar w:fldCharType="separate"/>
      </w:r>
      <w:r w:rsidR="00691B4D">
        <w:t xml:space="preserve">figure </w:t>
      </w:r>
      <w:r w:rsidR="00691B4D">
        <w:rPr>
          <w:noProof/>
        </w:rPr>
        <w:t>3</w:t>
      </w:r>
      <w:r w:rsidR="00691B4D">
        <w:noBreakHyphen/>
      </w:r>
      <w:r w:rsidR="00691B4D">
        <w:rPr>
          <w:noProof/>
        </w:rPr>
        <w:t>4</w:t>
      </w:r>
      <w:r>
        <w:fldChar w:fldCharType="end"/>
      </w:r>
      <w:r>
        <w:t xml:space="preserve">. </w:t>
      </w:r>
    </w:p>
    <w:p w:rsidR="002F6FA6" w:rsidRDefault="002F6FA6" w:rsidP="002F6FA6">
      <w:pPr>
        <w:pStyle w:val="Caption"/>
      </w:pPr>
      <w:bookmarkStart w:id="80" w:name="_Ref401235334"/>
      <w:r>
        <w:lastRenderedPageBreak/>
        <w:t xml:space="preserve">Figure </w:t>
      </w:r>
      <w:r w:rsidRPr="002F6FA6">
        <w:fldChar w:fldCharType="begin"/>
      </w:r>
      <w:r>
        <w:instrText xml:space="preserve"> STYLEREF 1 \s </w:instrText>
      </w:r>
      <w:r w:rsidRPr="002F6FA6">
        <w:fldChar w:fldCharType="separate"/>
      </w:r>
      <w:r w:rsidR="00691B4D">
        <w:rPr>
          <w:noProof/>
        </w:rPr>
        <w:t>3</w:t>
      </w:r>
      <w:r w:rsidRPr="002F6FA6">
        <w:fldChar w:fldCharType="end"/>
      </w:r>
      <w:r>
        <w:noBreakHyphen/>
      </w:r>
      <w:r w:rsidRPr="002F6FA6">
        <w:fldChar w:fldCharType="begin"/>
      </w:r>
      <w:r>
        <w:instrText xml:space="preserve"> SEQ Figure \* ARABIC \s 1 </w:instrText>
      </w:r>
      <w:r w:rsidRPr="002F6FA6">
        <w:fldChar w:fldCharType="separate"/>
      </w:r>
      <w:r w:rsidR="00691B4D">
        <w:rPr>
          <w:noProof/>
        </w:rPr>
        <w:t>4</w:t>
      </w:r>
      <w:r w:rsidRPr="002F6FA6">
        <w:fldChar w:fldCharType="end"/>
      </w:r>
      <w:bookmarkEnd w:id="80"/>
      <w:r>
        <w:tab/>
        <w:t xml:space="preserve">Submissions on the value of the equity beta </w:t>
      </w:r>
    </w:p>
    <w:p w:rsidR="002F6FA6" w:rsidRPr="00812033" w:rsidRDefault="00331A01" w:rsidP="00331A01">
      <w:pPr>
        <w:numPr>
          <w:ilvl w:val="0"/>
          <w:numId w:val="25"/>
        </w:numPr>
        <w:rPr>
          <w:rStyle w:val="AERbody"/>
        </w:rPr>
      </w:pPr>
      <w:r w:rsidRPr="00331A01">
        <w:rPr>
          <w:noProof/>
          <w:lang w:eastAsia="en-AU"/>
        </w:rPr>
        <w:drawing>
          <wp:inline distT="0" distB="0" distL="0" distR="0" wp14:anchorId="39150A95" wp14:editId="7743C4BA">
            <wp:extent cx="5382895" cy="322293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3222934"/>
                    </a:xfrm>
                    <a:prstGeom prst="rect">
                      <a:avLst/>
                    </a:prstGeom>
                    <a:noFill/>
                    <a:ln>
                      <a:noFill/>
                    </a:ln>
                  </pic:spPr>
                </pic:pic>
              </a:graphicData>
            </a:graphic>
          </wp:inline>
        </w:drawing>
      </w:r>
    </w:p>
    <w:p w:rsidR="002F6FA6" w:rsidRPr="00F474B9" w:rsidRDefault="002F6FA6" w:rsidP="002F6FA6">
      <w:pPr>
        <w:pStyle w:val="AERtablesource"/>
      </w:pPr>
      <w:r>
        <w:t>Source:</w:t>
      </w:r>
      <w:r>
        <w:tab/>
      </w:r>
      <w:r w:rsidRPr="00F474B9">
        <w:t>AER analysis</w:t>
      </w:r>
      <w:r w:rsidRPr="00F474B9">
        <w:rPr>
          <w:rStyle w:val="FootnoteReference"/>
        </w:rPr>
        <w:footnoteReference w:id="190"/>
      </w:r>
    </w:p>
    <w:p w:rsidR="002F6FA6" w:rsidRDefault="002F6FA6" w:rsidP="002F6FA6">
      <w:pPr>
        <w:pStyle w:val="AERtablesource"/>
      </w:pPr>
      <w:r w:rsidRPr="00F474B9">
        <w:t>Note:</w:t>
      </w:r>
      <w:r w:rsidRPr="00F474B9">
        <w:tab/>
        <w:t>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the CCP's submission and the upper bound is based on Origin's submission. The SFG 2015 and 2016 range lower bound is based on SFG/Frontier's regression analysis of Australian and US firms (submitted under a multiple model approach for the return on equity) and the upper bound is based on SFG/Frontier's multiple model based equity beta estimates (under its alternative ‘foundation model' approaches for the return on equity)</w:t>
      </w:r>
      <w:r w:rsidRPr="00817DDD">
        <w:t>.</w:t>
      </w:r>
      <w:r w:rsidRPr="00A71CB9">
        <w:t xml:space="preserve"> </w:t>
      </w:r>
    </w:p>
    <w:p w:rsidR="00E23D2C" w:rsidRDefault="002F6FA6" w:rsidP="002F6FA6">
      <w:pPr>
        <w:numPr>
          <w:ilvl w:val="0"/>
          <w:numId w:val="25"/>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xml:space="preserve">, or that we made inappropriate methodological choices in our empirical </w:t>
      </w:r>
      <w:r>
        <w:lastRenderedPageBreak/>
        <w:t>analysis</w:t>
      </w:r>
      <w:r w:rsidRPr="00010BCE">
        <w:t>.</w:t>
      </w:r>
      <w:r w:rsidR="003409C0">
        <w:rPr>
          <w:rStyle w:val="FootnoteReference"/>
        </w:rPr>
        <w:footnoteReference w:id="191"/>
      </w:r>
      <w:r w:rsidRPr="00010BCE">
        <w:t xml:space="preserve"> </w:t>
      </w:r>
      <w:r w:rsidR="00E23D2C">
        <w:t xml:space="preserve">For example, CCP </w:t>
      </w:r>
      <w:r w:rsidR="0007291A">
        <w:t xml:space="preserve">members Hugh Grant and David Headberry </w:t>
      </w:r>
      <w:r w:rsidR="00E23D2C">
        <w:t>submitted that our equity beta estimate should be 0.4 or below, noting that:</w:t>
      </w:r>
      <w:r w:rsidR="00E23D2C" w:rsidRPr="00E23D2C">
        <w:rPr>
          <w:rStyle w:val="FootnoteReference"/>
        </w:rPr>
        <w:t xml:space="preserve"> </w:t>
      </w:r>
      <w:r w:rsidR="00E23D2C" w:rsidRPr="00E23D2C">
        <w:rPr>
          <w:rStyle w:val="FootnoteReference"/>
        </w:rPr>
        <w:footnoteReference w:id="192"/>
      </w:r>
    </w:p>
    <w:p w:rsidR="00E23D2C" w:rsidRDefault="00E23D2C" w:rsidP="00E23D2C">
      <w:pPr>
        <w:pStyle w:val="AERquote"/>
      </w:pPr>
      <w:r w:rsidRPr="00E23D2C">
        <w:t>of the 19 calculations on which Professor Henry based his recommended range, most of the calculations were clustered at the lower end, with 14 calculations between 0.3 and 0.5</w:t>
      </w:r>
      <w:r>
        <w:t xml:space="preserve">. </w:t>
      </w:r>
    </w:p>
    <w:p w:rsidR="002F6FA6" w:rsidRDefault="00766020" w:rsidP="002F6FA6">
      <w:pPr>
        <w:numPr>
          <w:ilvl w:val="0"/>
          <w:numId w:val="25"/>
        </w:numPr>
      </w:pPr>
      <w:r>
        <w:t xml:space="preserve">Table 3-6 in attachment 3 to our draft decision on AusNet Services' 2017–22 transmission determination </w:t>
      </w:r>
      <w:r w:rsidR="002F6FA6">
        <w:t xml:space="preserve">set out stakeholder views </w:t>
      </w:r>
      <w:r>
        <w:t xml:space="preserve">and our responses </w:t>
      </w:r>
      <w:r w:rsidR="002F6FA6">
        <w:t xml:space="preserve">on </w:t>
      </w:r>
      <w:r>
        <w:t>the</w:t>
      </w:r>
      <w:r w:rsidR="002F6FA6">
        <w:t xml:space="preserve"> use of relevant material. We also note that</w:t>
      </w:r>
      <w:r w:rsidR="002F6FA6" w:rsidRPr="00F95DFD">
        <w:t xml:space="preserve"> </w:t>
      </w:r>
      <w:r w:rsidR="002F6FA6">
        <w:t>Partington and Satchell, having reviewed the relevant submissions, continue to support our foundation model approach.</w:t>
      </w:r>
      <w:r w:rsidR="002F6FA6">
        <w:rPr>
          <w:rStyle w:val="FootnoteReference"/>
        </w:rPr>
        <w:footnoteReference w:id="193"/>
      </w:r>
      <w:r w:rsidR="002F6FA6">
        <w:t xml:space="preserve"> </w:t>
      </w:r>
    </w:p>
    <w:p w:rsidR="002F6FA6" w:rsidRDefault="002F6FA6" w:rsidP="002F6FA6">
      <w:pPr>
        <w:numPr>
          <w:ilvl w:val="0"/>
          <w:numId w:val="25"/>
        </w:numPr>
      </w:pPr>
      <w:r w:rsidRPr="00B005DF">
        <w:t xml:space="preserve">Having considered </w:t>
      </w:r>
      <w:r w:rsidR="00766020">
        <w:t xml:space="preserve">all </w:t>
      </w:r>
      <w:r w:rsidRPr="00B005DF">
        <w:t xml:space="preserve">the information and 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t>ARORO</w:t>
      </w:r>
      <w:r w:rsidRPr="00B005DF">
        <w:t xml:space="preserve">. </w:t>
      </w:r>
      <w:r>
        <w:t xml:space="preserve"> We are satisfied that an equity beta of 0.7 will contribute to the achievement of the ARORO</w:t>
      </w:r>
      <w:r w:rsidRPr="00762AAF">
        <w:t xml:space="preserve"> </w:t>
      </w:r>
      <w:r>
        <w:t>and the NEO.</w:t>
      </w:r>
      <w:r>
        <w:rPr>
          <w:rStyle w:val="FootnoteReference"/>
        </w:rPr>
        <w:footnoteReference w:id="194"/>
      </w:r>
    </w:p>
    <w:p w:rsidR="005116DE" w:rsidRDefault="005116DE" w:rsidP="005116DE">
      <w:pPr>
        <w:pStyle w:val="HeadingBoldItalic"/>
        <w:numPr>
          <w:ilvl w:val="0"/>
          <w:numId w:val="25"/>
        </w:numPr>
      </w:pPr>
      <w:bookmarkStart w:id="81" w:name="_Ref446347167"/>
      <w:r>
        <w:t>Assessing the overall return on equity</w:t>
      </w:r>
    </w:p>
    <w:bookmarkEnd w:id="81"/>
    <w:p w:rsidR="002F6FA6" w:rsidRDefault="002F6FA6" w:rsidP="002F6FA6">
      <w:r>
        <w:t xml:space="preserve">To inform the reasonableness of the foundation model </w:t>
      </w:r>
      <w:r w:rsidRPr="00010BCE">
        <w:t>retur</w:t>
      </w:r>
      <w:r>
        <w:t>n</w:t>
      </w:r>
      <w:r w:rsidRPr="00010BCE">
        <w:t xml:space="preserve"> on equity estimate, we estimate and evaluate values from other relevant sources of information.</w:t>
      </w:r>
      <w:r w:rsidRPr="00010BCE">
        <w:rPr>
          <w:rStyle w:val="FootnoteReference"/>
        </w:rPr>
        <w:footnoteReference w:id="195"/>
      </w:r>
      <w:r w:rsidRPr="00AD1905">
        <w:t xml:space="preserve"> </w:t>
      </w:r>
      <w:r>
        <w:t>In having regard to prevailing market conditions we have also examined recent movements in the relevant material.</w:t>
      </w:r>
      <w:r w:rsidRPr="00F97967">
        <w:t xml:space="preserve"> </w:t>
      </w:r>
    </w:p>
    <w:p w:rsidR="002F6FA6" w:rsidRPr="00010BCE" w:rsidRDefault="002F6FA6" w:rsidP="002F6FA6">
      <w:r w:rsidRPr="00F97967">
        <w:t xml:space="preserve">Our task is to set the allowed rate of return to be commensurate with a similar degree of risk as that which applies to </w:t>
      </w:r>
      <w:r w:rsidR="00DE4A1C">
        <w:t xml:space="preserve">TasNetworks </w:t>
      </w:r>
      <w:r>
        <w:t xml:space="preserve">with respect to the provision of </w:t>
      </w:r>
      <w:r w:rsidR="00927776">
        <w:t>regulated</w:t>
      </w:r>
      <w:r>
        <w:t xml:space="preserve"> services</w:t>
      </w:r>
      <w:r w:rsidRPr="00F97967">
        <w:t>.</w:t>
      </w:r>
      <w:r w:rsidRPr="00010BCE">
        <w:rPr>
          <w:rStyle w:val="FootnoteReference"/>
        </w:rPr>
        <w:footnoteReference w:id="196"/>
      </w:r>
      <w:r w:rsidRPr="00010BCE">
        <w:t xml:space="preserve"> </w:t>
      </w:r>
      <w:r>
        <w:t xml:space="preserve">This requires us to consider the additional riskiness of </w:t>
      </w:r>
      <w:r w:rsidR="00DE4A1C">
        <w:t>TasNetworks</w:t>
      </w:r>
      <w:r>
        <w:rPr>
          <w:rStyle w:val="FootnoteReference"/>
        </w:rPr>
        <w:footnoteReference w:id="197"/>
      </w:r>
      <w:r>
        <w:t xml:space="preserve"> relative to the risk free asset, and the commensurate return that equity investors require to take on this additional risk.</w:t>
      </w:r>
      <w:r w:rsidR="009039BE">
        <w:rPr>
          <w:rStyle w:val="FootnoteReference"/>
        </w:rPr>
        <w:footnoteReference w:id="198"/>
      </w:r>
      <w:r>
        <w:t xml:space="preserve"> </w:t>
      </w:r>
      <w:r w:rsidRPr="00010BCE">
        <w:t xml:space="preserve">Hence, the critical allowance is the allowed </w:t>
      </w:r>
      <w:r w:rsidRPr="00010BCE">
        <w:lastRenderedPageBreak/>
        <w:t xml:space="preserve">equity risk premium over and above the estimated risk free rate at a given time. </w:t>
      </w:r>
      <w:r>
        <w:fldChar w:fldCharType="begin"/>
      </w:r>
      <w:r>
        <w:instrText xml:space="preserve"> REF _Ref445923478 \h </w:instrText>
      </w:r>
      <w:r>
        <w:fldChar w:fldCharType="separate"/>
      </w:r>
      <w:r w:rsidR="00691B4D" w:rsidRPr="00866A7A">
        <w:t xml:space="preserve">Figure </w:t>
      </w:r>
      <w:r w:rsidR="00691B4D">
        <w:rPr>
          <w:noProof/>
        </w:rPr>
        <w:t>3</w:t>
      </w:r>
      <w:r w:rsidR="00691B4D">
        <w:noBreakHyphen/>
      </w:r>
      <w:r w:rsidR="00691B4D">
        <w:rPr>
          <w:noProof/>
        </w:rPr>
        <w:t>5</w:t>
      </w:r>
      <w:r>
        <w:fldChar w:fldCharType="end"/>
      </w:r>
      <w:r>
        <w:t xml:space="preserve"> compares our foundation model equity risk premium to other relevant material</w:t>
      </w:r>
      <w:r>
        <w:rPr>
          <w:rStyle w:val="FootnoteReference"/>
        </w:rPr>
        <w:footnoteReference w:id="199"/>
      </w:r>
      <w:r>
        <w:t xml:space="preserve"> that can inform our estimate of return on equity and equity risk premium. </w:t>
      </w:r>
    </w:p>
    <w:p w:rsidR="002F6FA6" w:rsidRPr="00010BCE" w:rsidRDefault="002F6FA6" w:rsidP="002F6FA6">
      <w:r>
        <w:t xml:space="preserve">We consider that, on the whole, </w:t>
      </w:r>
      <w:r w:rsidRPr="00010BCE">
        <w:t xml:space="preserve">the other </w:t>
      </w:r>
      <w:r>
        <w:t>material</w:t>
      </w:r>
      <w:r>
        <w:rPr>
          <w:rStyle w:val="FootnoteReference"/>
        </w:rPr>
        <w:footnoteReference w:id="200"/>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w:t>
      </w:r>
      <w:r w:rsidR="00D109CC">
        <w:t xml:space="preserve">October and November 2015 </w:t>
      </w:r>
      <w:r w:rsidR="00C31BB5">
        <w:t xml:space="preserve">and May 2016 </w:t>
      </w:r>
      <w:r>
        <w:t>decision</w:t>
      </w:r>
      <w:r w:rsidR="00D109CC">
        <w:t>s</w:t>
      </w:r>
      <w:r>
        <w:t xml:space="preserve"> </w:t>
      </w:r>
      <w:r w:rsidRPr="00F97967">
        <w:t>sufficient to cause us to move away from our foundation model estimate.</w:t>
      </w:r>
      <w:r>
        <w:t xml:space="preserve"> </w:t>
      </w:r>
      <w:r w:rsidRPr="00F97967">
        <w:t xml:space="preserve"> </w:t>
      </w:r>
    </w:p>
    <w:p w:rsidR="002F6FA6" w:rsidRDefault="002F6FA6" w:rsidP="002F6FA6">
      <w:pPr>
        <w:pStyle w:val="Caption"/>
      </w:pPr>
      <w:bookmarkStart w:id="82" w:name="_Ref445923478"/>
      <w:r w:rsidRPr="00866A7A">
        <w:lastRenderedPageBreak/>
        <w:t xml:space="preserve">Figure </w:t>
      </w:r>
      <w:r w:rsidRPr="002F6FA6">
        <w:fldChar w:fldCharType="begin"/>
      </w:r>
      <w:r>
        <w:instrText xml:space="preserve"> STYLEREF 1 \s </w:instrText>
      </w:r>
      <w:r w:rsidRPr="002F6FA6">
        <w:fldChar w:fldCharType="separate"/>
      </w:r>
      <w:r w:rsidR="00691B4D">
        <w:rPr>
          <w:noProof/>
        </w:rPr>
        <w:t>3</w:t>
      </w:r>
      <w:r w:rsidRPr="002F6FA6">
        <w:fldChar w:fldCharType="end"/>
      </w:r>
      <w:r>
        <w:noBreakHyphen/>
      </w:r>
      <w:r w:rsidRPr="002F6FA6">
        <w:fldChar w:fldCharType="begin"/>
      </w:r>
      <w:r>
        <w:instrText xml:space="preserve"> SEQ Figure \* ARABIC \s 1 </w:instrText>
      </w:r>
      <w:r w:rsidRPr="002F6FA6">
        <w:fldChar w:fldCharType="separate"/>
      </w:r>
      <w:r w:rsidR="00691B4D">
        <w:rPr>
          <w:noProof/>
        </w:rPr>
        <w:t>5</w:t>
      </w:r>
      <w:r w:rsidRPr="002F6FA6">
        <w:fldChar w:fldCharType="end"/>
      </w:r>
      <w:bookmarkEnd w:id="82"/>
      <w:r w:rsidRPr="00866A7A">
        <w:tab/>
      </w:r>
      <w:r>
        <w:t>Comparison of our foundation model equity risk premium</w:t>
      </w:r>
    </w:p>
    <w:p w:rsidR="00CC7779" w:rsidRPr="00CC7779" w:rsidRDefault="00DE4A1C" w:rsidP="00CC7779">
      <w:r w:rsidRPr="00DE4A1C">
        <w:rPr>
          <w:noProof/>
          <w:lang w:eastAsia="en-AU"/>
        </w:rPr>
        <w:drawing>
          <wp:inline distT="0" distB="0" distL="0" distR="0" wp14:anchorId="7DDF0229" wp14:editId="6F62E2FE">
            <wp:extent cx="5382895" cy="5749167"/>
            <wp:effectExtent l="0" t="0" r="825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5749167"/>
                    </a:xfrm>
                    <a:prstGeom prst="rect">
                      <a:avLst/>
                    </a:prstGeom>
                    <a:noFill/>
                    <a:ln>
                      <a:noFill/>
                    </a:ln>
                  </pic:spPr>
                </pic:pic>
              </a:graphicData>
            </a:graphic>
          </wp:inline>
        </w:drawing>
      </w:r>
    </w:p>
    <w:p w:rsidR="00651C15" w:rsidRPr="00033144" w:rsidRDefault="00651C15" w:rsidP="00651C15">
      <w:pPr>
        <w:pStyle w:val="AERtablesource"/>
      </w:pPr>
      <w:r w:rsidRPr="00033144">
        <w:t>Source:</w:t>
      </w:r>
      <w:r w:rsidRPr="00033144">
        <w:tab/>
        <w:t>AER analysis and various submissions and reports.</w:t>
      </w:r>
    </w:p>
    <w:p w:rsidR="00651C15" w:rsidRPr="00033144" w:rsidRDefault="00651C15" w:rsidP="00651C15">
      <w:pPr>
        <w:pStyle w:val="AERtablesource"/>
      </w:pPr>
      <w:r w:rsidRPr="00033144">
        <w:t xml:space="preserve">Notes: </w:t>
      </w:r>
      <w:r w:rsidRPr="00033144">
        <w:tab/>
        <w:t>The AER foundation</w:t>
      </w:r>
      <w:r w:rsidR="00DE4A1C">
        <w:t xml:space="preserve"> model equity risk premium</w:t>
      </w:r>
      <w:r w:rsidRPr="00033144">
        <w:t xml:space="preserve"> range uses the range and point estimate for market risk premium and equity beta. The calculation of the Wright approach is set out in section</w:t>
      </w:r>
      <w:r w:rsidR="00CF623A">
        <w:t xml:space="preserve"> </w:t>
      </w:r>
      <w:r w:rsidR="00CF623A">
        <w:fldChar w:fldCharType="begin"/>
      </w:r>
      <w:r w:rsidR="00CF623A">
        <w:instrText xml:space="preserve"> REF _Ref458978951 \r \h </w:instrText>
      </w:r>
      <w:r w:rsidR="00CF623A">
        <w:fldChar w:fldCharType="separate"/>
      </w:r>
      <w:r w:rsidR="00691B4D">
        <w:t>A.1.2</w:t>
      </w:r>
      <w:r w:rsidR="00CF623A">
        <w:fldChar w:fldCharType="end"/>
      </w:r>
      <w:r w:rsidRPr="00033144">
        <w:t>.  The calculation of brokers and other regulators ranges is outlined in App</w:t>
      </w:r>
      <w:r w:rsidR="00DE4A1C">
        <w:t xml:space="preserve">endix </w:t>
      </w:r>
      <w:r w:rsidR="00DE4A1C">
        <w:fldChar w:fldCharType="begin"/>
      </w:r>
      <w:r w:rsidR="00DE4A1C">
        <w:instrText xml:space="preserve"> REF _Ref461488791 \r \h </w:instrText>
      </w:r>
      <w:r w:rsidR="00DE4A1C">
        <w:fldChar w:fldCharType="separate"/>
      </w:r>
      <w:r w:rsidR="00691B4D">
        <w:t>A.4</w:t>
      </w:r>
      <w:r w:rsidR="00DE4A1C">
        <w:fldChar w:fldCharType="end"/>
      </w:r>
      <w:r w:rsidRPr="00033144">
        <w:t>.</w:t>
      </w:r>
    </w:p>
    <w:p w:rsidR="00651C15" w:rsidRPr="00033144" w:rsidRDefault="00651C15" w:rsidP="00651C15">
      <w:pPr>
        <w:pStyle w:val="AERtablesource"/>
      </w:pPr>
      <w:r w:rsidRPr="00033144">
        <w:tab/>
        <w:t xml:space="preserve">Grant Samuel's final </w:t>
      </w:r>
      <w:r w:rsidR="002B2D25">
        <w:t>rate of return</w:t>
      </w:r>
      <w:r w:rsidRPr="00033144">
        <w:t xml:space="preserve"> range included an uplift above an initial S</w:t>
      </w:r>
      <w:r w:rsidR="002B2D25">
        <w:t>harpe-</w:t>
      </w:r>
      <w:r w:rsidRPr="00033144">
        <w:t>L</w:t>
      </w:r>
      <w:r w:rsidR="002B2D25">
        <w:t xml:space="preserve">intner </w:t>
      </w:r>
      <w:r w:rsidRPr="00033144">
        <w:t>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33144">
        <w:rPr>
          <w:rStyle w:val="FootnoteReference"/>
        </w:rPr>
        <w:footnoteReference w:id="201"/>
      </w:r>
      <w:r w:rsidRPr="00033144">
        <w:t xml:space="preserve"> </w:t>
      </w:r>
    </w:p>
    <w:p w:rsidR="00651C15" w:rsidRPr="00033144" w:rsidRDefault="00651C15" w:rsidP="00651C15">
      <w:pPr>
        <w:pStyle w:val="AERtablesource"/>
      </w:pPr>
      <w:r w:rsidRPr="00033144">
        <w:lastRenderedPageBreak/>
        <w:tab/>
        <w:t xml:space="preserve">The shaded portion of the other regulators range represents the impact of rail, transport and </w:t>
      </w:r>
      <w:r w:rsidR="00CF623A">
        <w:t xml:space="preserve">energy </w:t>
      </w:r>
      <w:r w:rsidRPr="00033144">
        <w:t xml:space="preserve">retail decisions on the range. We consider these industries are unlikely to be comparable </w:t>
      </w:r>
      <w:r w:rsidR="00CF623A">
        <w:t xml:space="preserve">in risk </w:t>
      </w:r>
      <w:r w:rsidRPr="00033144">
        <w:t>to the benchmark efficient entity.</w:t>
      </w:r>
    </w:p>
    <w:p w:rsidR="00651C15" w:rsidRPr="00033144" w:rsidRDefault="00651C15" w:rsidP="00651C15">
      <w:pPr>
        <w:pStyle w:val="AERtablesource"/>
      </w:pPr>
      <w:r w:rsidRPr="00033144">
        <w:tab/>
        <w:t xml:space="preserve">The service provider proposals range is based on the proposals from </w:t>
      </w:r>
      <w:r w:rsidR="00B623DD">
        <w:t>Powerlink and TasNetworks</w:t>
      </w:r>
      <w:r w:rsidRPr="00033144">
        <w:t xml:space="preserve">. The lower bound of the CCP/stakeholder range is based on </w:t>
      </w:r>
      <w:r w:rsidR="00CC7779">
        <w:t>CCP</w:t>
      </w:r>
      <w:r w:rsidR="004D72BF">
        <w:t xml:space="preserve"> </w:t>
      </w:r>
      <w:r w:rsidR="0007291A">
        <w:t>members'</w:t>
      </w:r>
      <w:r w:rsidRPr="00033144">
        <w:t xml:space="preserve"> submission, </w:t>
      </w:r>
      <w:r w:rsidRPr="00033144">
        <w:rPr>
          <w:rStyle w:val="FootnoteReference"/>
        </w:rPr>
        <w:footnoteReference w:id="202"/>
      </w:r>
      <w:r w:rsidRPr="00033144">
        <w:t xml:space="preserve"> the upper bound is based on </w:t>
      </w:r>
      <w:r w:rsidR="00CC7779">
        <w:t>TasCOSS's</w:t>
      </w:r>
      <w:r w:rsidRPr="00033144">
        <w:t xml:space="preserve"> submission.</w:t>
      </w:r>
      <w:r w:rsidRPr="00033144">
        <w:rPr>
          <w:rStyle w:val="FootnoteReference"/>
        </w:rPr>
        <w:footnoteReference w:id="203"/>
      </w:r>
    </w:p>
    <w:p w:rsidR="00E21951" w:rsidRPr="00033144" w:rsidRDefault="00E21951" w:rsidP="00E21951">
      <w:r w:rsidRPr="00033144">
        <w:t xml:space="preserve">Our implementation of the foundation model approach results in a return on equity of </w:t>
      </w:r>
      <w:r w:rsidR="00B337A4">
        <w:t>6.5</w:t>
      </w:r>
      <w:r w:rsidRPr="00033144">
        <w:t xml:space="preserve"> per cent and an equity risk premium of 4.55 per cent. This is consistent with equity risk premium ranges from broker reports, valuation reports, other regulators' decisions, and the Wright approach as shown in </w:t>
      </w:r>
      <w:r w:rsidRPr="00033144">
        <w:fldChar w:fldCharType="begin"/>
      </w:r>
      <w:r w:rsidRPr="00033144">
        <w:instrText xml:space="preserve"> REF _Ref445923478 \h </w:instrText>
      </w:r>
      <w:r w:rsidRPr="00033144">
        <w:fldChar w:fldCharType="separate"/>
      </w:r>
      <w:r w:rsidR="00691B4D" w:rsidRPr="00866A7A">
        <w:t xml:space="preserve">Figure </w:t>
      </w:r>
      <w:r w:rsidR="00691B4D">
        <w:rPr>
          <w:noProof/>
        </w:rPr>
        <w:t>3</w:t>
      </w:r>
      <w:r w:rsidR="00691B4D">
        <w:noBreakHyphen/>
      </w:r>
      <w:r w:rsidR="00691B4D">
        <w:rPr>
          <w:noProof/>
        </w:rPr>
        <w:t>5</w:t>
      </w:r>
      <w:r w:rsidRPr="00033144">
        <w:fldChar w:fldCharType="end"/>
      </w:r>
      <w:r w:rsidRPr="00033144">
        <w:t>.</w:t>
      </w:r>
      <w:r w:rsidRPr="00033144">
        <w:rPr>
          <w:rStyle w:val="FootnoteReference"/>
        </w:rPr>
        <w:footnoteReference w:id="204"/>
      </w:r>
      <w:r w:rsidRPr="00033144">
        <w:t xml:space="preserve">  The range of equity risk premium estimates from valuation reports and other regulators' decisions have not materially changed since our </w:t>
      </w:r>
      <w:r w:rsidR="00D109CC">
        <w:t>October and November 2015</w:t>
      </w:r>
      <w:r w:rsidR="00D109CC" w:rsidRPr="00033144">
        <w:t xml:space="preserve"> </w:t>
      </w:r>
      <w:r w:rsidRPr="00033144">
        <w:t>decision</w:t>
      </w:r>
      <w:r w:rsidR="00D109CC">
        <w:t>s</w:t>
      </w:r>
      <w:r w:rsidR="007D5546">
        <w:t xml:space="preserve"> and May 2016 decisions</w:t>
      </w:r>
      <w:r w:rsidRPr="00033144">
        <w:t xml:space="preserve">. The estimated equity risk premium range from the Wright approach has increased since </w:t>
      </w:r>
      <w:r w:rsidR="00D109CC">
        <w:t xml:space="preserve">we made </w:t>
      </w:r>
      <w:r w:rsidR="007D5546">
        <w:t>the October and November 2015</w:t>
      </w:r>
      <w:r w:rsidR="00D109CC" w:rsidRPr="00033144">
        <w:t xml:space="preserve"> </w:t>
      </w:r>
      <w:r w:rsidRPr="00033144">
        <w:t>decision</w:t>
      </w:r>
      <w:r w:rsidR="00D109CC">
        <w:t>s</w:t>
      </w:r>
      <w:r w:rsidRPr="00033144">
        <w:t xml:space="preserve"> as the risk free rate has fallen. </w:t>
      </w:r>
      <w:r w:rsidR="00927776">
        <w:t>W</w:t>
      </w:r>
      <w:r w:rsidRPr="00033144">
        <w:t>e do not agree with the underlying premise of the Wright CAPM that there is a clear inverse relationship between movements in the risk free rate and market risk premium. Consequently we place limited reliance on the Wright approach.</w:t>
      </w:r>
      <w:r w:rsidR="00927776">
        <w:rPr>
          <w:rStyle w:val="FootnoteReference"/>
        </w:rPr>
        <w:footnoteReference w:id="205"/>
      </w:r>
    </w:p>
    <w:p w:rsidR="002F6FA6" w:rsidRDefault="002F6FA6" w:rsidP="002F6FA6">
      <w:r w:rsidRPr="00B005DF">
        <w:t xml:space="preserve">The return on debt material </w:t>
      </w:r>
      <w:r>
        <w:t xml:space="preserve">shown in </w:t>
      </w:r>
      <w:r>
        <w:fldChar w:fldCharType="begin"/>
      </w:r>
      <w:r>
        <w:instrText xml:space="preserve"> REF _Ref445923478 \h </w:instrText>
      </w:r>
      <w:r>
        <w:fldChar w:fldCharType="separate"/>
      </w:r>
      <w:r w:rsidR="00691B4D" w:rsidRPr="00866A7A">
        <w:t xml:space="preserve">Figure </w:t>
      </w:r>
      <w:r w:rsidR="00691B4D">
        <w:rPr>
          <w:noProof/>
        </w:rPr>
        <w:t>3</w:t>
      </w:r>
      <w:r w:rsidR="00691B4D">
        <w:noBreakHyphen/>
      </w:r>
      <w:r w:rsidR="00691B4D">
        <w:rPr>
          <w:noProof/>
        </w:rPr>
        <w:t>5</w:t>
      </w:r>
      <w:r>
        <w:fldChar w:fldCharType="end"/>
      </w:r>
      <w:r>
        <w:t xml:space="preserve"> </w:t>
      </w:r>
      <w:r w:rsidRPr="00B005DF">
        <w:t>does not support any change to our foundation model return on equity estimate.</w:t>
      </w:r>
      <w:r>
        <w:t xml:space="preserve"> </w:t>
      </w:r>
      <w:r w:rsidRPr="00E5005D">
        <w:t xml:space="preserve">Our foundation model return on equity estimate is about </w:t>
      </w:r>
      <w:r w:rsidR="00B623DD">
        <w:t>191</w:t>
      </w:r>
      <w:r w:rsidRPr="00E5005D">
        <w:t xml:space="preserve"> </w:t>
      </w:r>
      <w:r>
        <w:t>basis points</w:t>
      </w:r>
      <w:r>
        <w:rPr>
          <w:rStyle w:val="FootnoteReference"/>
        </w:rPr>
        <w:footnoteReference w:id="206"/>
      </w:r>
      <w:r w:rsidRPr="00B005DF">
        <w:t xml:space="preserve"> above the prevailing return on debt. The return on debt is a relative indicator and we expect that</w:t>
      </w:r>
      <w:r>
        <w:t>,</w:t>
      </w:r>
      <w:r w:rsidRPr="00B005DF">
        <w:t xml:space="preserve"> most of the time</w:t>
      </w:r>
      <w:r>
        <w:t>,</w:t>
      </w:r>
      <w:r>
        <w:rPr>
          <w:rStyle w:val="FootnoteReference"/>
        </w:rPr>
        <w:footnoteReference w:id="207"/>
      </w:r>
      <w:r w:rsidRPr="00B005DF">
        <w:t xml:space="preserve"> investors' expected return on equity will exceed the expected return on debt. For our benchmark efficient entity with a similar degree of risk as </w:t>
      </w:r>
      <w:r w:rsidR="00DE4A1C">
        <w:t>TasNetworks</w:t>
      </w:r>
      <w:r w:rsidRPr="00B005DF">
        <w:t>, we would not expect the return on equity to be a large margin above the prevailing return on debt</w:t>
      </w:r>
      <w:r>
        <w:t xml:space="preserve">. </w:t>
      </w:r>
    </w:p>
    <w:p w:rsidR="002F6FA6" w:rsidRDefault="002F6FA6" w:rsidP="002F6FA6">
      <w:r>
        <w:t xml:space="preserve">While the spread between equity and debt premiums has narrowed since the October and November 2015 decisions, it remains above the estimate at the publication of the Guideline in December 2013. Contrary to </w:t>
      </w:r>
      <w:r w:rsidR="00DE4A1C">
        <w:t xml:space="preserve">some </w:t>
      </w:r>
      <w:r>
        <w:t>service providers' assertions, we consider the current difference is not too low, given</w:t>
      </w:r>
      <w:r w:rsidRPr="00B005DF">
        <w:t xml:space="preserve"> the low risk profile of </w:t>
      </w:r>
      <w:r>
        <w:t>a</w:t>
      </w:r>
      <w:r w:rsidRPr="00B005DF">
        <w:t xml:space="preserve"> benchmark efficient entity</w:t>
      </w:r>
      <w:r>
        <w:t xml:space="preserve"> with a similar degree of risk as </w:t>
      </w:r>
      <w:r w:rsidR="00DE4A1C">
        <w:t xml:space="preserve">TasNetworks </w:t>
      </w:r>
      <w:r>
        <w:t xml:space="preserve">in providing regulated </w:t>
      </w:r>
      <w:r>
        <w:lastRenderedPageBreak/>
        <w:t>services.</w:t>
      </w:r>
      <w:r w:rsidRPr="00B005DF">
        <w:rPr>
          <w:rStyle w:val="FootnoteReference"/>
        </w:rPr>
        <w:footnoteReference w:id="208"/>
      </w:r>
      <w:r>
        <w:t xml:space="preserve"> Further, measured debt yields likely understate the expected yield spread due to default risk</w:t>
      </w:r>
      <w:r w:rsidR="00A928A2">
        <w:t>, the use of broad BBB</w:t>
      </w:r>
      <w:r w:rsidR="00BC55BD">
        <w:t xml:space="preserve"> debt </w:t>
      </w:r>
      <w:r w:rsidR="00A928A2">
        <w:t xml:space="preserve">to proxy our benchmark rating of </w:t>
      </w:r>
      <w:r w:rsidR="00BC55BD">
        <w:t xml:space="preserve">BBB+, and </w:t>
      </w:r>
      <w:r w:rsidR="00A928A2">
        <w:t>use of linear extrapolation</w:t>
      </w:r>
      <w:r w:rsidR="00BC55BD">
        <w:t xml:space="preserve"> </w:t>
      </w:r>
      <w:r w:rsidR="00A928A2">
        <w:t>of</w:t>
      </w:r>
      <w:r w:rsidR="00BC55BD">
        <w:t xml:space="preserve"> 7 year debt to 10 year debt</w:t>
      </w:r>
      <w:r w:rsidRPr="00B005DF">
        <w:t>.</w:t>
      </w:r>
      <w:r>
        <w:rPr>
          <w:rStyle w:val="FootnoteReference"/>
        </w:rPr>
        <w:footnoteReference w:id="209"/>
      </w:r>
      <w:r w:rsidRPr="00B75657">
        <w:rPr>
          <w:rStyle w:val="CommentReference"/>
        </w:rPr>
        <w:t xml:space="preserve"> </w:t>
      </w:r>
    </w:p>
    <w:p w:rsidR="002F6FA6" w:rsidRDefault="002F6FA6" w:rsidP="002F6FA6">
      <w:r>
        <w:t xml:space="preserve">In addition to the equity risk premium ranges shown in </w:t>
      </w:r>
      <w:r>
        <w:fldChar w:fldCharType="begin"/>
      </w:r>
      <w:r>
        <w:instrText xml:space="preserve"> REF _Ref445923478 \h </w:instrText>
      </w:r>
      <w:r>
        <w:fldChar w:fldCharType="separate"/>
      </w:r>
      <w:r w:rsidR="00691B4D" w:rsidRPr="00866A7A">
        <w:t xml:space="preserve">Figure </w:t>
      </w:r>
      <w:r w:rsidR="00691B4D">
        <w:rPr>
          <w:noProof/>
        </w:rPr>
        <w:t>3</w:t>
      </w:r>
      <w:r w:rsidR="00691B4D">
        <w:noBreakHyphen/>
      </w:r>
      <w:r w:rsidR="00691B4D">
        <w:rPr>
          <w:noProof/>
        </w:rPr>
        <w:t>5</w:t>
      </w:r>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210"/>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w:t>
      </w:r>
    </w:p>
    <w:p w:rsidR="002F6FA6" w:rsidRDefault="002F6FA6" w:rsidP="002F6FA6">
      <w:r>
        <w:t>There was broad agreement from consumer groups on the application of our foundation model approach as set out in our Guideline.</w:t>
      </w:r>
      <w:r>
        <w:rPr>
          <w:rStyle w:val="FootnoteReference"/>
        </w:rPr>
        <w:footnoteReference w:id="211"/>
      </w:r>
      <w:r>
        <w:t xml:space="preserve"> We consider that this means applying the Guideline in its entirety including the overall approach, parameter estimation and use of other information</w:t>
      </w:r>
      <w:r>
        <w:rPr>
          <w:rStyle w:val="FootnoteReference"/>
        </w:rPr>
        <w:footnoteReference w:id="212"/>
      </w:r>
      <w:r>
        <w:t xml:space="preserve"> as relevant cross-checks.  </w:t>
      </w:r>
    </w:p>
    <w:p w:rsidR="00291275" w:rsidRDefault="002F6FA6" w:rsidP="002F6FA6">
      <w:r>
        <w:t xml:space="preserve">We note </w:t>
      </w:r>
      <w:r w:rsidR="00B337A4">
        <w:t>some</w:t>
      </w:r>
      <w:r w:rsidRPr="00010BCE">
        <w:t xml:space="preserve"> </w:t>
      </w:r>
      <w:r>
        <w:t>service providers</w:t>
      </w:r>
      <w:r w:rsidRPr="00010BCE">
        <w:t xml:space="preserve"> </w:t>
      </w:r>
      <w:r>
        <w:t>submitted</w:t>
      </w:r>
      <w:r w:rsidRPr="00010BCE">
        <w:t xml:space="preserve"> that we did not have appropriate </w:t>
      </w:r>
      <w:r>
        <w:t xml:space="preserve">regard </w:t>
      </w:r>
      <w:r w:rsidRPr="00010BCE">
        <w:t>to information from other relevant sources.</w:t>
      </w:r>
      <w:r w:rsidR="00183BAF">
        <w:rPr>
          <w:rStyle w:val="FootnoteReference"/>
        </w:rPr>
        <w:footnoteReference w:id="213"/>
      </w:r>
      <w:r w:rsidRPr="00010BCE">
        <w:t xml:space="preserve"> </w:t>
      </w:r>
      <w:r>
        <w:t>Some stakeholders submitted that we should also have regard to realised returns when considering our overall return on equity estimate.</w:t>
      </w:r>
      <w:r w:rsidR="004D72BF">
        <w:rPr>
          <w:rStyle w:val="FootnoteReference"/>
        </w:rPr>
        <w:footnoteReference w:id="214"/>
      </w:r>
      <w:r>
        <w:t xml:space="preserve"> </w:t>
      </w:r>
      <w:r w:rsidR="00532E2C">
        <w:t>Details of</w:t>
      </w:r>
      <w:r>
        <w:t xml:space="preserve"> these</w:t>
      </w:r>
      <w:r w:rsidRPr="00010BCE">
        <w:t xml:space="preserve"> submissions and our response</w:t>
      </w:r>
      <w:r>
        <w:t>s</w:t>
      </w:r>
      <w:r w:rsidRPr="00010BCE">
        <w:t xml:space="preserve"> are provided in </w:t>
      </w:r>
      <w:r w:rsidR="009039BE">
        <w:t>Table 3-7 in attachment 3 to our draft decision on AusNet Services 2017–22 transmission determination</w:t>
      </w:r>
      <w:r w:rsidR="00532E2C">
        <w:t>, and it remains relevant</w:t>
      </w:r>
      <w:r>
        <w:t>.</w:t>
      </w:r>
    </w:p>
    <w:p w:rsidR="00402A6E" w:rsidRDefault="0065230F" w:rsidP="00402A6E">
      <w:r>
        <w:t xml:space="preserve">Recently, CCP </w:t>
      </w:r>
      <w:r w:rsidR="0007291A">
        <w:t xml:space="preserve">members Hugh Grant and David Headberry </w:t>
      </w:r>
      <w:r>
        <w:t>submitted that we should have greater regard to information o</w:t>
      </w:r>
      <w:r w:rsidR="00A93C95">
        <w:t xml:space="preserve">n </w:t>
      </w:r>
      <w:r w:rsidR="005321F5">
        <w:t xml:space="preserve">realised returns based on </w:t>
      </w:r>
      <w:r w:rsidR="00DE4A1C">
        <w:t xml:space="preserve">service providers' </w:t>
      </w:r>
      <w:r w:rsidR="00A93C95">
        <w:t>actual financial performance.</w:t>
      </w:r>
      <w:r w:rsidR="00A93C95">
        <w:rPr>
          <w:rStyle w:val="FootnoteReference"/>
        </w:rPr>
        <w:footnoteReference w:id="215"/>
      </w:r>
      <w:r w:rsidR="00A93C95">
        <w:t xml:space="preserve"> In our previous determinations we noted that consideration of actual financial performance necessarily </w:t>
      </w:r>
      <w:r w:rsidR="00193AE0">
        <w:t xml:space="preserve">conflates </w:t>
      </w:r>
      <w:r w:rsidR="00A93C95">
        <w:t xml:space="preserve">to </w:t>
      </w:r>
      <w:r w:rsidR="00664F37">
        <w:t xml:space="preserve">a </w:t>
      </w:r>
      <w:r w:rsidR="00A93C95">
        <w:t xml:space="preserve">consideration </w:t>
      </w:r>
      <w:r w:rsidR="00A93C95">
        <w:lastRenderedPageBreak/>
        <w:t>of RAB multiples</w:t>
      </w:r>
      <w:r w:rsidR="00664F37">
        <w:t>—that is, a comparison of the market value of the asset base against the regulatory asset base value.</w:t>
      </w:r>
      <w:r w:rsidR="00664F37">
        <w:rPr>
          <w:rStyle w:val="FootnoteReference"/>
        </w:rPr>
        <w:footnoteReference w:id="216"/>
      </w:r>
      <w:r w:rsidR="00402A6E">
        <w:t xml:space="preserve"> We note that, as a wholly government-owned business, there is no current market value of </w:t>
      </w:r>
      <w:r w:rsidR="00DE4A1C">
        <w:t>TasNetworks</w:t>
      </w:r>
      <w:r w:rsidR="00402A6E">
        <w:t>.</w:t>
      </w:r>
      <w:r w:rsidR="006F6085">
        <w:rPr>
          <w:rStyle w:val="FootnoteReference"/>
        </w:rPr>
        <w:footnoteReference w:id="217"/>
      </w:r>
      <w:r w:rsidR="00402A6E">
        <w:t xml:space="preserve"> Further, </w:t>
      </w:r>
      <w:r w:rsidR="00E70CCB">
        <w:t>a service provider's</w:t>
      </w:r>
      <w:r w:rsidR="00402A6E">
        <w:t xml:space="preserve"> allowed rate of return may achieve the ARORO and at the same time the market value of its assets could exceed its RAB value for a number of reasons, including:</w:t>
      </w:r>
    </w:p>
    <w:p w:rsidR="00402A6E" w:rsidRDefault="00402A6E" w:rsidP="00402A6E">
      <w:pPr>
        <w:pStyle w:val="AERbulletlistfirststyle"/>
      </w:pPr>
      <w:r>
        <w:t xml:space="preserve">the presence of </w:t>
      </w:r>
      <w:r w:rsidR="00193AE0">
        <w:t xml:space="preserve">cash flows from </w:t>
      </w:r>
      <w:r>
        <w:t xml:space="preserve">unregulated </w:t>
      </w:r>
      <w:r w:rsidR="00193AE0">
        <w:t>activities</w:t>
      </w:r>
    </w:p>
    <w:p w:rsidR="00402A6E" w:rsidRDefault="00402A6E" w:rsidP="00402A6E">
      <w:pPr>
        <w:pStyle w:val="AERbulletlistfirststyle"/>
      </w:pPr>
      <w:r>
        <w:t xml:space="preserve">market expectations of real RAB growth </w:t>
      </w:r>
      <w:r w:rsidR="00E70CCB">
        <w:t>in future</w:t>
      </w:r>
      <w:r>
        <w:t xml:space="preserve"> regulatory period</w:t>
      </w:r>
      <w:r w:rsidR="00E70CCB">
        <w:t>s</w:t>
      </w:r>
    </w:p>
    <w:p w:rsidR="00E70CCB" w:rsidRDefault="00E70CCB" w:rsidP="00402A6E">
      <w:pPr>
        <w:pStyle w:val="AERbulletlistfirststyle"/>
      </w:pPr>
      <w:r>
        <w:t>market expectations of out-performance of regulatory forecasts and the operation of schemes to incentivise improved efficiency</w:t>
      </w:r>
    </w:p>
    <w:p w:rsidR="00E70CCB" w:rsidRDefault="00E70CCB" w:rsidP="00402A6E">
      <w:pPr>
        <w:pStyle w:val="AERbulletlistfirststyle"/>
      </w:pPr>
      <w:r>
        <w:t>distortions in the market value, such as 'winners curse' or thin trading</w:t>
      </w:r>
    </w:p>
    <w:p w:rsidR="005321F5" w:rsidRDefault="005321F5" w:rsidP="002F6FA6">
      <w:r>
        <w:t>We consider that these factors make it difficult for us at this time to make reliable inferences about our allowed rate of return based on RAB multiples.</w:t>
      </w:r>
    </w:p>
    <w:p w:rsidR="002F6FA6" w:rsidRDefault="002F6FA6" w:rsidP="002F6FA6">
      <w:r w:rsidRPr="00B005DF">
        <w:t xml:space="preserve">Having considered </w:t>
      </w:r>
      <w:r w:rsidR="00532E2C">
        <w:t xml:space="preserve">all </w:t>
      </w:r>
      <w:r w:rsidRPr="00B005DF">
        <w:t xml:space="preserve">the information and material before us, at this time we are not satisfied that this information indicates a departure from the </w:t>
      </w:r>
      <w:r>
        <w:t>G</w:t>
      </w:r>
      <w:r w:rsidRPr="00B005DF">
        <w:t xml:space="preserve">uideline would </w:t>
      </w:r>
      <w:r>
        <w:t>contribute to the achievement of</w:t>
      </w:r>
      <w:r w:rsidRPr="00B005DF">
        <w:t xml:space="preserve"> the </w:t>
      </w:r>
      <w:r>
        <w:t>ARORO</w:t>
      </w:r>
      <w:r w:rsidRPr="00B005DF">
        <w:t xml:space="preserve">. </w:t>
      </w:r>
    </w:p>
    <w:p w:rsidR="002F6FA6" w:rsidRDefault="002F6FA6" w:rsidP="002F6FA6">
      <w:pPr>
        <w:pStyle w:val="Heading3"/>
      </w:pPr>
      <w:bookmarkStart w:id="83" w:name="_Ref451336564"/>
      <w:bookmarkStart w:id="84" w:name="_Ref451345996"/>
      <w:bookmarkStart w:id="85" w:name="_Ref451351247"/>
      <w:bookmarkStart w:id="86" w:name="_Toc451938957"/>
      <w:bookmarkStart w:id="87" w:name="_Toc462754633"/>
      <w:r>
        <w:t>Return on debt</w:t>
      </w:r>
      <w:bookmarkEnd w:id="76"/>
      <w:bookmarkEnd w:id="77"/>
      <w:bookmarkEnd w:id="83"/>
      <w:bookmarkEnd w:id="84"/>
      <w:bookmarkEnd w:id="85"/>
      <w:bookmarkEnd w:id="86"/>
      <w:bookmarkEnd w:id="87"/>
      <w:r>
        <w:t xml:space="preserve"> </w:t>
      </w:r>
    </w:p>
    <w:p w:rsidR="009E2035" w:rsidRPr="0039163B" w:rsidRDefault="009E2035" w:rsidP="009E2035">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9E2035" w:rsidRDefault="009E2035" w:rsidP="009E2035">
      <w:r w:rsidRPr="0039163B">
        <w:t>Our</w:t>
      </w:r>
      <w:r>
        <w:t xml:space="preserve"> draft</w:t>
      </w:r>
      <w:r w:rsidRPr="0039163B">
        <w:t xml:space="preserve"> decision is to adopt a</w:t>
      </w:r>
      <w:r>
        <w:t>n indicative</w:t>
      </w:r>
      <w:r w:rsidRPr="0039163B">
        <w:t xml:space="preserve"> return on debt </w:t>
      </w:r>
      <w:r>
        <w:t xml:space="preserve">for the first regulatory year of </w:t>
      </w:r>
      <w:r w:rsidR="00BC4016">
        <w:t xml:space="preserve">4.79 </w:t>
      </w:r>
      <w:r w:rsidRPr="0039163B">
        <w:t>per cent</w:t>
      </w:r>
      <w:r>
        <w:t>.</w:t>
      </w:r>
      <w:r w:rsidR="004609F0">
        <w:t xml:space="preserve"> We have determined this rate using a methodology consistent with that proposed by </w:t>
      </w:r>
      <w:r w:rsidR="00BF2850">
        <w:t>TasNetworks</w:t>
      </w:r>
      <w:r w:rsidR="004609F0">
        <w:t>.</w:t>
      </w:r>
      <w:r>
        <w:rPr>
          <w:rStyle w:val="FootnoteReference"/>
        </w:rPr>
        <w:footnoteReference w:id="218"/>
      </w:r>
    </w:p>
    <w:p w:rsidR="009E2035" w:rsidRDefault="009E2035" w:rsidP="009E2035">
      <w:r w:rsidRPr="0039163B">
        <w:t xml:space="preserve">This </w:t>
      </w:r>
      <w:r>
        <w:t xml:space="preserve">draft </w:t>
      </w:r>
      <w:r w:rsidRPr="0039163B">
        <w:t xml:space="preserve">decision sets out how we arrived at the rate for </w:t>
      </w:r>
      <w:r w:rsidR="00BF2850">
        <w:t>TasNetworks</w:t>
      </w:r>
      <w:r w:rsidRPr="0039163B">
        <w:t>, and how we plan to update the return on debt in future regulatory years.</w:t>
      </w:r>
      <w:r>
        <w:t xml:space="preserve"> That is, we set out:</w:t>
      </w:r>
    </w:p>
    <w:p w:rsidR="009E2035" w:rsidRPr="00AD2616" w:rsidRDefault="009E2035" w:rsidP="009E2035">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t>
      </w:r>
    </w:p>
    <w:p w:rsidR="009E2035" w:rsidRDefault="009E2035" w:rsidP="009E2035">
      <w:pPr>
        <w:pStyle w:val="AERbulletlistfirststyle"/>
      </w:pPr>
      <w:r>
        <w:t xml:space="preserve">Implementing the return on debt approach. This includes the benchmark term, benchmark credit rating, our choice and use of third party data series, </w:t>
      </w:r>
      <w:r>
        <w:lastRenderedPageBreak/>
        <w:t>extrapolation/interpolation issues, contingencies, averaging periods and the annual updating process.</w:t>
      </w:r>
    </w:p>
    <w:p w:rsidR="009E2035" w:rsidRDefault="009E2035" w:rsidP="009E2035">
      <w:pPr>
        <w:pStyle w:val="HeadingBoldBlue"/>
      </w:pPr>
      <w:r>
        <w:t>Return on debt approach</w:t>
      </w:r>
    </w:p>
    <w:p w:rsidR="009E2035" w:rsidRDefault="009E2035" w:rsidP="009E2035">
      <w:r>
        <w:t>Our draft decision is to transition the entire return on debt</w:t>
      </w:r>
      <w:r>
        <w:rPr>
          <w:rStyle w:val="FootnoteReference"/>
        </w:rPr>
        <w:footnoteReference w:id="219"/>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is consistent with </w:t>
      </w:r>
      <w:r w:rsidRPr="0039163B">
        <w:t xml:space="preserve">the </w:t>
      </w:r>
      <w:r>
        <w:t>Guideline</w:t>
      </w:r>
      <w:r w:rsidRPr="00753644">
        <w:t xml:space="preserve"> </w:t>
      </w:r>
      <w:r>
        <w:t xml:space="preserve">and </w:t>
      </w:r>
      <w:r w:rsidR="00BF2850">
        <w:t>TasNetworks regulatory</w:t>
      </w:r>
      <w:r w:rsidR="00BF2850">
        <w:rPr>
          <w:rStyle w:val="AERbody"/>
        </w:rPr>
        <w:t xml:space="preserve"> </w:t>
      </w:r>
      <w:r>
        <w:rPr>
          <w:rStyle w:val="AERbody"/>
        </w:rPr>
        <w:t>proposal</w:t>
      </w:r>
      <w:r>
        <w:t>.</w:t>
      </w:r>
      <w:r>
        <w:rPr>
          <w:rStyle w:val="FootnoteReference"/>
        </w:rPr>
        <w:footnoteReference w:id="220"/>
      </w:r>
      <w:r>
        <w:t xml:space="preserve"> </w:t>
      </w:r>
    </w:p>
    <w:p w:rsidR="009E2035" w:rsidRDefault="00BF2850" w:rsidP="0025169D">
      <w:r>
        <w:t xml:space="preserve">TasNetworks </w:t>
      </w:r>
      <w:r w:rsidR="00E93DCE">
        <w:t xml:space="preserve">proposed that its allowed rate of return on debt be determined in accordance with the Guideline. However, </w:t>
      </w:r>
      <w:r>
        <w:t xml:space="preserve">TasNetworks </w:t>
      </w:r>
      <w:r w:rsidR="00E93DCE">
        <w:t xml:space="preserve">also proposed that its allowed return on debt reflect any </w:t>
      </w:r>
      <w:r w:rsidR="00326795">
        <w:t xml:space="preserve">departures from the Guideline that we may undertake in any remittal decisions that may result from </w:t>
      </w:r>
      <w:r w:rsidR="00E93DCE">
        <w:t>current Tribunal and Federal Court processes.</w:t>
      </w:r>
      <w:r w:rsidR="00E93DCE">
        <w:rPr>
          <w:rStyle w:val="FootnoteReference"/>
        </w:rPr>
        <w:footnoteReference w:id="221"/>
      </w:r>
      <w:r w:rsidR="00E93DCE" w:rsidDel="00E93DCE">
        <w:t xml:space="preserve"> </w:t>
      </w:r>
      <w:r w:rsidR="00E93DCE">
        <w:t>T</w:t>
      </w:r>
      <w:r w:rsidR="009E2035">
        <w:t xml:space="preserve">he </w:t>
      </w:r>
      <w:r w:rsidR="006E296C">
        <w:t xml:space="preserve">final </w:t>
      </w:r>
      <w:r w:rsidR="009E2035">
        <w:t xml:space="preserve">outcome of </w:t>
      </w:r>
      <w:r w:rsidR="006E296C">
        <w:t>the Tribunal's decision on this matter has not yet been determined</w:t>
      </w:r>
      <w:r w:rsidR="009E2035">
        <w:t xml:space="preserve">. The Tribunal </w:t>
      </w:r>
      <w:r w:rsidR="009E2035" w:rsidRPr="00785554">
        <w:t>remitted this matter back to us</w:t>
      </w:r>
      <w:r w:rsidR="009E2035">
        <w:t xml:space="preserve"> and </w:t>
      </w:r>
      <w:r w:rsidR="006E296C">
        <w:t>the matter is currently under consideration</w:t>
      </w:r>
      <w:r w:rsidR="00EE6B5C">
        <w:t>. Aspects of the Tribunal's decision are also being considered by the Federal Court</w:t>
      </w:r>
      <w:r w:rsidR="009E2035">
        <w:t>. Nevertheless, for completeness, we reproduce our analysis from recent decisions where we carefully considered a range of transitional options that other service providers had proposed. We conclude</w:t>
      </w:r>
      <w:r w:rsidR="00D14CFA">
        <w:t>d</w:t>
      </w:r>
      <w:r w:rsidR="009E2035">
        <w:t xml:space="preserve"> that of th</w:t>
      </w:r>
      <w:r w:rsidR="00D14CFA">
        <w:t>e</w:t>
      </w:r>
      <w:r w:rsidR="009E2035">
        <w:t xml:space="preserve"> options</w:t>
      </w:r>
      <w:r w:rsidR="00D14CFA">
        <w:t xml:space="preserve"> before us</w:t>
      </w:r>
      <w:r w:rsidR="009E2035">
        <w:t xml:space="preserve">, only a full transition </w:t>
      </w:r>
      <w:r w:rsidR="00D14CFA">
        <w:t xml:space="preserve">would </w:t>
      </w:r>
      <w:r w:rsidR="009E2035">
        <w:t>contribute to the achievement of the ARORO.</w:t>
      </w:r>
      <w:r w:rsidR="009E2035">
        <w:rPr>
          <w:rStyle w:val="FootnoteReference"/>
        </w:rPr>
        <w:footnoteReference w:id="222"/>
      </w:r>
      <w:r w:rsidR="009E2035">
        <w:t xml:space="preserve"> </w:t>
      </w:r>
    </w:p>
    <w:p w:rsidR="009E2035" w:rsidRDefault="009E2035" w:rsidP="009E2035">
      <w:pPr>
        <w:rPr>
          <w:rStyle w:val="AERbody"/>
        </w:rPr>
      </w:pPr>
      <w:r>
        <w:t xml:space="preserve">Moreover, we hold the view that, </w:t>
      </w:r>
      <w:r>
        <w:rPr>
          <w:rStyle w:val="AERbody"/>
        </w:rPr>
        <w:t>in the absence of a transition that substantially eliminates any change in the present value of a benchmark efficient entity as a result of the change in methodology,</w:t>
      </w:r>
      <w:r w:rsidR="000E5C93" w:rsidRPr="000E5C93">
        <w:rPr>
          <w:rStyle w:val="FootnoteReference"/>
        </w:rPr>
        <w:t xml:space="preserve"> </w:t>
      </w:r>
      <w:r w:rsidR="000E5C93">
        <w:rPr>
          <w:rStyle w:val="FootnoteReference"/>
        </w:rPr>
        <w:footnoteReference w:id="223"/>
      </w:r>
      <w:r>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regulatory period because it resets the allowed return to the current efficient market rates.</w:t>
      </w:r>
    </w:p>
    <w:p w:rsidR="009E2035" w:rsidRPr="0023546E" w:rsidRDefault="009E2035" w:rsidP="009E2035">
      <w:r w:rsidRPr="0023546E">
        <w:t>In this section, we:</w:t>
      </w:r>
    </w:p>
    <w:p w:rsidR="009E2035" w:rsidRDefault="009E2035" w:rsidP="009E2035">
      <w:pPr>
        <w:pStyle w:val="AERbulletlistfirststyle"/>
      </w:pPr>
      <w:r>
        <w:t>set out our overall return on debt approach (the transition to a trailing average).</w:t>
      </w:r>
    </w:p>
    <w:p w:rsidR="009E2035" w:rsidRPr="003337B3" w:rsidRDefault="009E2035" w:rsidP="009E2035">
      <w:pPr>
        <w:pStyle w:val="AERbulletlistfirststyle"/>
      </w:pPr>
      <w:r>
        <w:t xml:space="preserve">explain what approaches </w:t>
      </w:r>
      <w:r w:rsidRPr="003337B3">
        <w:t>to estimating the return on debt can contribute to the ARORO</w:t>
      </w:r>
      <w:r w:rsidRPr="003337B3" w:rsidDel="00472C05">
        <w:t xml:space="preserve"> </w:t>
      </w:r>
      <w:r>
        <w:t>and why (which includes our approach in this draft decision)</w:t>
      </w:r>
      <w:r>
        <w:rPr>
          <w:rStyle w:val="FootnoteReference"/>
        </w:rPr>
        <w:t>.</w:t>
      </w:r>
    </w:p>
    <w:p w:rsidR="009E2035" w:rsidRDefault="009E2035" w:rsidP="009E2035">
      <w:pPr>
        <w:pStyle w:val="AERbulletlistfirststyle"/>
      </w:pPr>
      <w:r>
        <w:t>e</w:t>
      </w:r>
      <w:r w:rsidRPr="003337B3">
        <w:t>xplain why</w:t>
      </w:r>
      <w:r>
        <w:t xml:space="preserve"> other forms of transition that service providers have recently proposed would not </w:t>
      </w:r>
      <w:r w:rsidRPr="003337B3">
        <w:t>meet the requirements of the ARORO and NEO/NGO</w:t>
      </w:r>
      <w:r>
        <w:t xml:space="preserve">. This is for </w:t>
      </w:r>
      <w:r>
        <w:lastRenderedPageBreak/>
        <w:t xml:space="preserve">completeness, in case </w:t>
      </w:r>
      <w:r w:rsidR="00BF2850">
        <w:t xml:space="preserve">TasNetworks </w:t>
      </w:r>
      <w:r>
        <w:t>considers these positons relevant in light of the recent Tribunal decisions.</w:t>
      </w:r>
      <w:r w:rsidRPr="00785554">
        <w:rPr>
          <w:rStyle w:val="FootnoteReference"/>
        </w:rPr>
        <w:footnoteReference w:id="224"/>
      </w:r>
    </w:p>
    <w:p w:rsidR="009E2035" w:rsidRDefault="009E2035" w:rsidP="009E2035">
      <w:pPr>
        <w:pStyle w:val="AERbulletlistfirststyle"/>
      </w:pPr>
      <w:r>
        <w:t>set out general problems with using historical data to estimate the allowed return on debt.</w:t>
      </w:r>
    </w:p>
    <w:p w:rsidR="009E2035" w:rsidRDefault="009E2035" w:rsidP="009E2035">
      <w:pPr>
        <w:pStyle w:val="HeadingBoldItalic"/>
      </w:pPr>
      <w:r>
        <w:t>Our a</w:t>
      </w:r>
      <w:r w:rsidRPr="00F4618D">
        <w:t>pproach to estimating the return on debt</w:t>
      </w:r>
    </w:p>
    <w:p w:rsidR="009E2035" w:rsidRPr="007D2546" w:rsidRDefault="009E2035" w:rsidP="009E2035">
      <w:r w:rsidRPr="007D2546">
        <w:t xml:space="preserve">Our </w:t>
      </w:r>
      <w:r>
        <w:t xml:space="preserve">draft </w:t>
      </w:r>
      <w:r w:rsidRPr="007D2546">
        <w:t xml:space="preserve">decision is to </w:t>
      </w:r>
      <w:r>
        <w:t>s</w:t>
      </w:r>
      <w:r w:rsidRPr="004B3BBA">
        <w:t>tart with an on-the-day</w:t>
      </w:r>
      <w:r>
        <w:t xml:space="preserve"> approach</w:t>
      </w:r>
      <w:r w:rsidRPr="004B3BBA">
        <w:t xml:space="preserve"> for the first regulatory year and gradually transition into a trailing average approach over 10 years</w:t>
      </w:r>
      <w:r>
        <w:t xml:space="preserve"> (a full transition)</w:t>
      </w:r>
      <w:r w:rsidRPr="007D2546">
        <w:t>.</w:t>
      </w:r>
      <w:r>
        <w:rPr>
          <w:rStyle w:val="FootnoteReference"/>
        </w:rPr>
        <w:footnoteReference w:id="225"/>
      </w:r>
      <w:r w:rsidRPr="007D2546">
        <w:t xml:space="preserve"> Applied to </w:t>
      </w:r>
      <w:r w:rsidR="00BF2850">
        <w:t>TasNetworks</w:t>
      </w:r>
      <w:r w:rsidRPr="007D2546">
        <w:t>, this means our return on debt approach is to:</w:t>
      </w:r>
    </w:p>
    <w:p w:rsidR="009E2035" w:rsidRDefault="009E2035" w:rsidP="009E2035">
      <w:pPr>
        <w:pStyle w:val="AERbulletlistfirststyle"/>
      </w:pPr>
      <w:r w:rsidRPr="007D2546">
        <w:t xml:space="preserve">estimate the return on debt using an on-the-day </w:t>
      </w:r>
      <w:r>
        <w:t>approach</w:t>
      </w:r>
      <w:r w:rsidRPr="007D2546">
        <w:t xml:space="preserve"> (that is, based on prevailing interest rates</w:t>
      </w:r>
      <w:r>
        <w:t xml:space="preserve"> near the commencement of the regulatory period</w:t>
      </w:r>
      <w:r w:rsidRPr="007D2546">
        <w:t>) in the first regulatory year (201</w:t>
      </w:r>
      <w:r>
        <w:t>7</w:t>
      </w:r>
      <w:r w:rsidRPr="009E2035">
        <w:t>–</w:t>
      </w:r>
      <w:r>
        <w:t>18</w:t>
      </w:r>
      <w:r w:rsidRPr="007D2546">
        <w:t>) of the 201</w:t>
      </w:r>
      <w:r>
        <w:t>7</w:t>
      </w:r>
      <w:r w:rsidRPr="007D2546">
        <w:t>–</w:t>
      </w:r>
      <w:r w:rsidR="00BF2850">
        <w:t>19</w:t>
      </w:r>
      <w:r w:rsidRPr="007D2546">
        <w:t xml:space="preserve"> </w:t>
      </w:r>
      <w:r>
        <w:t>regulatory period</w:t>
      </w:r>
      <w:r w:rsidRPr="007D2546">
        <w:t>, and</w:t>
      </w:r>
    </w:p>
    <w:p w:rsidR="009E2035" w:rsidRDefault="009E2035" w:rsidP="009E2035">
      <w:pPr>
        <w:pStyle w:val="AERbulletlistfirststyle"/>
      </w:pPr>
      <w:r w:rsidRPr="007D2546">
        <w:t xml:space="preserve">gradually transition this approach into a trailing average (that is, a moving historical average) over 10 years </w:t>
      </w:r>
      <w:r>
        <w:t xml:space="preserve">by annually </w:t>
      </w:r>
      <w:r w:rsidRPr="00762AAF">
        <w:t xml:space="preserve">updating 10 per cent of the return on debt to reflect prevailing market conditions in that </w:t>
      </w:r>
      <w:r>
        <w:t>year</w:t>
      </w:r>
      <w:r w:rsidRPr="007D2546">
        <w:t>.</w:t>
      </w:r>
      <w:r w:rsidRPr="007D2546">
        <w:rPr>
          <w:rStyle w:val="AERsuperscript"/>
        </w:rPr>
        <w:footnoteReference w:id="226"/>
      </w:r>
    </w:p>
    <w:p w:rsidR="009E2035" w:rsidRPr="007D2546" w:rsidRDefault="009E2035" w:rsidP="009E2035">
      <w:r w:rsidRPr="007D2546">
        <w:t xml:space="preserve">In practical terms, our return on debt approach means that an on-the-day </w:t>
      </w:r>
      <w:r>
        <w:t>approach</w:t>
      </w:r>
      <w:r w:rsidRPr="007D2546">
        <w:t xml:space="preserve"> </w:t>
      </w:r>
      <w:r>
        <w:t>around</w:t>
      </w:r>
      <w:r w:rsidRPr="007D2546">
        <w:t xml:space="preserve"> the start of the 201</w:t>
      </w:r>
      <w:r>
        <w:t>7</w:t>
      </w:r>
      <w:r w:rsidRPr="007D2546">
        <w:t>–</w:t>
      </w:r>
      <w:r w:rsidR="00F95588">
        <w:t>19</w:t>
      </w:r>
      <w:r w:rsidRPr="007D2546">
        <w:t xml:space="preserve"> </w:t>
      </w:r>
      <w:r>
        <w:t>regulatory period</w:t>
      </w:r>
      <w:r w:rsidRPr="007D2546">
        <w:t xml:space="preserve"> is applied to:</w:t>
      </w:r>
    </w:p>
    <w:p w:rsidR="009E2035" w:rsidRPr="007D2546" w:rsidRDefault="009E2035" w:rsidP="009E2035">
      <w:pPr>
        <w:pStyle w:val="AERbulletlistfirststyle"/>
      </w:pPr>
      <w:r w:rsidRPr="007D2546">
        <w:t>100 per cent of the debt portfolio in the calculation of the allowed return on debt for the 201</w:t>
      </w:r>
      <w:r>
        <w:t>7</w:t>
      </w:r>
      <w:r w:rsidRPr="009E2035">
        <w:t>–</w:t>
      </w:r>
      <w:r>
        <w:t>18</w:t>
      </w:r>
      <w:r w:rsidRPr="007D2546">
        <w:t xml:space="preserve"> regulatory year</w:t>
      </w:r>
    </w:p>
    <w:p w:rsidR="009E2035" w:rsidRPr="007D2546" w:rsidRDefault="009E2035" w:rsidP="009E2035">
      <w:pPr>
        <w:pStyle w:val="AERbulletlistfirststyle"/>
      </w:pPr>
      <w:r w:rsidRPr="007D2546">
        <w:t>90 per cent of the debt portfolio in the calculation of the allowed return on debt for the 201</w:t>
      </w:r>
      <w:r>
        <w:t>8</w:t>
      </w:r>
      <w:r w:rsidRPr="009E2035">
        <w:t>–</w:t>
      </w:r>
      <w:r>
        <w:t>19</w:t>
      </w:r>
      <w:r w:rsidRPr="007D2546">
        <w:t xml:space="preserve"> regulatory year, with the remaining 10 per cent updated to reflect prevailing interest rates during </w:t>
      </w:r>
      <w:r w:rsidR="00F95588">
        <w:t>TasNetworks'</w:t>
      </w:r>
      <w:r w:rsidR="00F95588" w:rsidRPr="007D2546">
        <w:t xml:space="preserve"> </w:t>
      </w:r>
      <w:r w:rsidRPr="007D2546">
        <w:t>averaging period for 201</w:t>
      </w:r>
      <w:r>
        <w:t>8</w:t>
      </w:r>
      <w:r w:rsidRPr="009E2035">
        <w:t>–</w:t>
      </w:r>
      <w:r>
        <w:t xml:space="preserve">19. </w:t>
      </w:r>
      <w:r w:rsidRPr="008D3A72">
        <w:t xml:space="preserve"> </w:t>
      </w:r>
      <w:r w:rsidRPr="007D2546">
        <w:t xml:space="preserve">Consistent with the </w:t>
      </w:r>
      <w:r>
        <w:t>rules</w:t>
      </w:r>
      <w:r w:rsidRPr="007D2546">
        <w:t xml:space="preserve"> requirement</w:t>
      </w:r>
      <w:r>
        <w:t>s</w:t>
      </w:r>
      <w:r w:rsidRPr="007D2546">
        <w:t>, this annual update</w:t>
      </w:r>
      <w:r>
        <w:t xml:space="preserve"> (and all future annual updates)</w:t>
      </w:r>
      <w:r w:rsidRPr="007D2546">
        <w:t xml:space="preserve"> will be effected through the automatic application of the return on debt methodology we set out in this </w:t>
      </w:r>
      <w:r>
        <w:t xml:space="preserve">draft </w:t>
      </w:r>
      <w:r w:rsidRPr="007D2546">
        <w:t>decision.</w:t>
      </w:r>
      <w:r w:rsidRPr="007D2546">
        <w:rPr>
          <w:rStyle w:val="AERsuperscript"/>
        </w:rPr>
        <w:footnoteReference w:id="227"/>
      </w:r>
    </w:p>
    <w:p w:rsidR="009E2035" w:rsidRPr="007D2546" w:rsidRDefault="009E2035" w:rsidP="009E2035">
      <w:pPr>
        <w:pStyle w:val="AERbulletlistfirststyle"/>
      </w:pPr>
      <w:r w:rsidRPr="007D2546">
        <w:t>80 per cent of the debt portfolio in the calculation of the allowed return on debt for the 2</w:t>
      </w:r>
      <w:r>
        <w:t>0</w:t>
      </w:r>
      <w:r w:rsidRPr="007D2546">
        <w:t>1</w:t>
      </w:r>
      <w:r>
        <w:t>9</w:t>
      </w:r>
      <w:r w:rsidRPr="009E2035">
        <w:t>–</w:t>
      </w:r>
      <w:r>
        <w:t>20</w:t>
      </w:r>
      <w:r w:rsidRPr="007D2546">
        <w:t xml:space="preserve"> regulatory year, with 10 per cent based on prevailing interest rates during </w:t>
      </w:r>
      <w:r w:rsidR="00F95588">
        <w:t xml:space="preserve">TasNetworks' </w:t>
      </w:r>
      <w:r w:rsidRPr="007D2546">
        <w:t>averaging period for 2</w:t>
      </w:r>
      <w:r>
        <w:t>0</w:t>
      </w:r>
      <w:r w:rsidRPr="007D2546">
        <w:t>1</w:t>
      </w:r>
      <w:r>
        <w:t>8</w:t>
      </w:r>
      <w:r w:rsidRPr="009E2035">
        <w:t>–</w:t>
      </w:r>
      <w:r>
        <w:t>19</w:t>
      </w:r>
      <w:r w:rsidRPr="007D2546">
        <w:t xml:space="preserve">, and 10 per cent updated to </w:t>
      </w:r>
      <w:r w:rsidRPr="007D2546">
        <w:lastRenderedPageBreak/>
        <w:t xml:space="preserve">reflect prevailing interest rates during </w:t>
      </w:r>
      <w:r w:rsidR="00F95588">
        <w:t>TasNetworks'</w:t>
      </w:r>
      <w:r w:rsidR="00F95588" w:rsidRPr="007D2546">
        <w:t xml:space="preserve"> </w:t>
      </w:r>
      <w:r w:rsidRPr="007D2546">
        <w:t>averaging period for 20</w:t>
      </w:r>
      <w:r>
        <w:t>19</w:t>
      </w:r>
      <w:r w:rsidRPr="009E2035">
        <w:t>–</w:t>
      </w:r>
      <w:r>
        <w:t>20</w:t>
      </w:r>
      <w:r w:rsidRPr="007D2546">
        <w:t>, and</w:t>
      </w:r>
    </w:p>
    <w:p w:rsidR="009E2035" w:rsidRPr="007D2546" w:rsidRDefault="009E2035" w:rsidP="009E2035">
      <w:pPr>
        <w:pStyle w:val="AERbulletlistfirststyle"/>
      </w:pPr>
      <w:r w:rsidRPr="007D2546">
        <w:t>so on for the subsequent regulatory years.</w:t>
      </w:r>
    </w:p>
    <w:p w:rsidR="009E2035" w:rsidRDefault="009E2035" w:rsidP="009E2035">
      <w:r w:rsidRPr="007D2546">
        <w:t xml:space="preserve">After the 10 year transition period is complete, the return on debt is a simple average of prevailing interest rates during </w:t>
      </w:r>
      <w:r w:rsidR="00F95588">
        <w:t>TasNetworks'</w:t>
      </w:r>
      <w:r w:rsidR="00F95588" w:rsidRPr="007D2546">
        <w:t xml:space="preserve"> </w:t>
      </w:r>
      <w:r w:rsidRPr="007D2546">
        <w:t>averaging periods over the previous 10 years</w:t>
      </w:r>
      <w:r>
        <w:t xml:space="preserve"> (a trailing average). </w:t>
      </w:r>
    </w:p>
    <w:p w:rsidR="009E2035" w:rsidRDefault="009E2035" w:rsidP="009E2035">
      <w:pPr>
        <w:pStyle w:val="HeadingBoldItalic"/>
      </w:pPr>
      <w:r>
        <w:t>Approaches that contribute to the achievement of the ARORO</w:t>
      </w:r>
    </w:p>
    <w:p w:rsidR="009E2035" w:rsidRDefault="009E2035" w:rsidP="009E2035">
      <w:r>
        <w:t xml:space="preserve">We consider the ARORO </w:t>
      </w:r>
      <w:r w:rsidRPr="00F21B32">
        <w:t>require</w:t>
      </w:r>
      <w:r>
        <w:t>s</w:t>
      </w:r>
      <w:r w:rsidRPr="00F21B32">
        <w:t xml:space="preserve"> </w:t>
      </w:r>
      <w:r>
        <w:t>that the</w:t>
      </w:r>
      <w:r w:rsidRPr="00F21B32">
        <w:t xml:space="preserve"> allowed rate of return </w:t>
      </w:r>
      <w:r>
        <w:t>appropriately</w:t>
      </w:r>
      <w:r w:rsidRPr="00F21B32">
        <w:t xml:space="preserve"> compensates</w:t>
      </w:r>
      <w:r>
        <w:t xml:space="preserve"> </w:t>
      </w:r>
      <w:r w:rsidRPr="00F21B32">
        <w:t xml:space="preserve">investors </w:t>
      </w:r>
      <w:r>
        <w:t>for</w:t>
      </w:r>
      <w:r w:rsidRPr="00F21B32">
        <w:t xml:space="preserve"> capital investments (in an ex-ante sense) and aims to minimise the long run cost of capital (all else</w:t>
      </w:r>
      <w:r>
        <w:t xml:space="preserve"> being</w:t>
      </w:r>
      <w:r w:rsidRPr="00F21B32">
        <w:t xml:space="preserve"> equal).</w:t>
      </w:r>
      <w:r>
        <w:rPr>
          <w:rStyle w:val="FootnoteReference"/>
        </w:rPr>
        <w:footnoteReference w:id="228"/>
      </w:r>
      <w:r w:rsidRPr="00F21B32">
        <w:t xml:space="preserve"> </w:t>
      </w:r>
      <w:r>
        <w:t xml:space="preserve">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 </w:t>
      </w:r>
      <w:r>
        <w:fldChar w:fldCharType="begin"/>
      </w:r>
      <w:r>
        <w:instrText xml:space="preserve"> REF _Ref451537570 \r \h </w:instrText>
      </w:r>
      <w:r>
        <w:fldChar w:fldCharType="separate"/>
      </w:r>
      <w:r w:rsidR="00691B4D">
        <w:t>3.3.3</w:t>
      </w:r>
      <w:r>
        <w:fldChar w:fldCharType="end"/>
      </w:r>
      <w:r>
        <w:t>.</w:t>
      </w:r>
      <w:r>
        <w:rPr>
          <w:rStyle w:val="FootnoteReference"/>
        </w:rPr>
        <w:footnoteReference w:id="229"/>
      </w:r>
    </w:p>
    <w:p w:rsidR="009E2035" w:rsidRDefault="009E2035" w:rsidP="009E2035">
      <w:r>
        <w:t xml:space="preserve">A rate of return that achieves the ARORO should also be consistent with the RPPs in the NEL/NGL, which indicate a </w:t>
      </w:r>
      <w:r w:rsidRPr="00BE243F">
        <w:t>service provider</w:t>
      </w:r>
      <w:r>
        <w:t xml:space="preserve"> should be provided with </w:t>
      </w:r>
      <w:r w:rsidRPr="00BE243F">
        <w:t>a reasonable opportunity to r</w:t>
      </w:r>
      <w:r>
        <w:t>ecover at least efficient costs. These also require that we should provide</w:t>
      </w:r>
      <w:r w:rsidRPr="00BE243F">
        <w:t xml:space="preserve"> </w:t>
      </w:r>
      <w:r>
        <w:t xml:space="preserve">regulated firms with </w:t>
      </w:r>
      <w:r w:rsidRPr="00BE243F">
        <w:t>effective incentives to promote economic efficiency and have regard to the economic costs and risk of the potential for service provider</w:t>
      </w:r>
      <w:r>
        <w:t>s</w:t>
      </w:r>
      <w:r w:rsidRPr="00BE243F">
        <w:t xml:space="preserve"> </w:t>
      </w:r>
      <w:r>
        <w:t>to under- or over-invest.</w:t>
      </w:r>
      <w:r>
        <w:rPr>
          <w:rStyle w:val="FootnoteReference"/>
        </w:rPr>
        <w:footnoteReference w:id="230"/>
      </w:r>
    </w:p>
    <w:p w:rsidR="009E2035" w:rsidRPr="009F3831" w:rsidRDefault="009E2035" w:rsidP="009E2035">
      <w:r>
        <w:t>We have formed our view that</w:t>
      </w:r>
      <w:r w:rsidRPr="000F6A5E">
        <w:t xml:space="preserve"> </w:t>
      </w:r>
      <w:r>
        <w:t>our decision to estimate the allowed return on debt by s</w:t>
      </w:r>
      <w:r w:rsidRPr="007D2546">
        <w:t>tart</w:t>
      </w:r>
      <w:r>
        <w:t>ing</w:t>
      </w:r>
      <w:r w:rsidRPr="007D2546">
        <w:t xml:space="preserve"> with an on-the-day </w:t>
      </w:r>
      <w:r>
        <w:t>approach</w:t>
      </w:r>
      <w:r w:rsidRPr="007D2546">
        <w:t xml:space="preserve"> for the first regulatory year and gradually transition</w:t>
      </w:r>
      <w:r>
        <w:t>ing</w:t>
      </w:r>
      <w:r w:rsidRPr="007D2546">
        <w:t xml:space="preserve"> into a trailing average approach over 10 years</w:t>
      </w:r>
      <w:r>
        <w:t xml:space="preserve"> will result in an allowed return on debt that contributes to the achievement of the ARORO. The other option that we consider would achieve the ARORO is maintaining the on-the-day approach. Related to this, a</w:t>
      </w:r>
      <w:r w:rsidRPr="009F3831">
        <w:t xml:space="preserve">ll else </w:t>
      </w:r>
      <w:r>
        <w:t>being</w:t>
      </w:r>
      <w:r w:rsidRPr="009F3831">
        <w:t xml:space="preserve"> equal,</w:t>
      </w:r>
      <w:r>
        <w:t xml:space="preserve"> a trailing average (with transition) and on-the-day approach </w:t>
      </w:r>
      <w:r w:rsidRPr="009F3831">
        <w:t xml:space="preserve">provide equivalent ex-ante compensation over the </w:t>
      </w:r>
      <w:r>
        <w:t xml:space="preserve">term of the RAB (see Appendix </w:t>
      </w:r>
      <w:r>
        <w:fldChar w:fldCharType="begin"/>
      </w:r>
      <w:r>
        <w:instrText xml:space="preserve"> REF _Ref451267832 \r \h </w:instrText>
      </w:r>
      <w:r>
        <w:fldChar w:fldCharType="separate"/>
      </w:r>
      <w:r w:rsidR="00691B4D">
        <w:t>A</w:t>
      </w:r>
      <w:r>
        <w:fldChar w:fldCharType="end"/>
      </w:r>
      <w:r>
        <w:t xml:space="preserve"> for a detailed discussion)</w:t>
      </w:r>
      <w:r w:rsidRPr="009F3831">
        <w:t>. We consider this position is consistent with the AEMC</w:t>
      </w:r>
      <w:r>
        <w:t>'s observations</w:t>
      </w:r>
      <w:r w:rsidRPr="009F3831">
        <w:t xml:space="preserve"> about SFG's view:</w:t>
      </w:r>
      <w:r w:rsidRPr="009F3831">
        <w:rPr>
          <w:rStyle w:val="FootnoteReference"/>
        </w:rPr>
        <w:footnoteReference w:id="231"/>
      </w:r>
    </w:p>
    <w:p w:rsidR="009E2035" w:rsidRDefault="009E2035" w:rsidP="009E2035">
      <w:pPr>
        <w:pStyle w:val="AERquote"/>
      </w:pPr>
      <w:r w:rsidRPr="00F21B32">
        <w:t xml:space="preserve">SFG highlighted that for a given definition of the return on debt for an efficient benchmark service provider (in particular, the assumed credit rating and term to maturity) the average cost of debt will be the same over the long run. This is </w:t>
      </w:r>
      <w:r w:rsidRPr="00F21B32">
        <w:lastRenderedPageBreak/>
        <w:t>regardless of whether the return on debt estimate is based on the prevailing debt cost spot rate or an average of that spot rate. Changing to an averaging approach will not, in itself, systematically reduce or increase the allowed return on debt in the long run.</w:t>
      </w:r>
    </w:p>
    <w:p w:rsidR="009E2035" w:rsidRDefault="009E2035" w:rsidP="009E2035">
      <w:pPr>
        <w:pStyle w:val="HeadingItalic"/>
      </w:pPr>
      <w:r>
        <w:t>Trailing average (with full transition) meets the ARORO</w:t>
      </w:r>
    </w:p>
    <w:p w:rsidR="009E2035" w:rsidRDefault="009E2035" w:rsidP="009E2035">
      <w:r>
        <w:t xml:space="preserve">With a full transition, a trailing average approach would provide a benchmark efficient entity with a reasonable opportunity to recover at least efficient costs over the term of the RAB. It could therefore </w:t>
      </w:r>
      <w:r w:rsidRPr="00E9566E">
        <w:t xml:space="preserve">result in an allowed return on debt (and overall rate of return) that can be consistent with the rules and NEL/NGL. </w:t>
      </w:r>
      <w:r>
        <w:t xml:space="preserve">Appendix </w:t>
      </w:r>
      <w:r w:rsidR="00F33518">
        <w:fldChar w:fldCharType="begin"/>
      </w:r>
      <w:r w:rsidR="00F33518">
        <w:instrText xml:space="preserve"> REF _Ref461492241 \r \h </w:instrText>
      </w:r>
      <w:r w:rsidR="00F33518">
        <w:fldChar w:fldCharType="separate"/>
      </w:r>
      <w:r w:rsidR="00691B4D">
        <w:t>B</w:t>
      </w:r>
      <w:r w:rsidR="00F33518">
        <w:fldChar w:fldCharType="end"/>
      </w:r>
      <w:r>
        <w:t xml:space="preserve">provides </w:t>
      </w:r>
      <w:r w:rsidRPr="00B17075">
        <w:t>detailed reasons, including a mathematic description, for why this holds.</w:t>
      </w:r>
      <w:r w:rsidRPr="00E14029">
        <w:t xml:space="preserve"> </w:t>
      </w:r>
      <w:r>
        <w:t>Further, regarding adopting a trailing average approach more broadly:</w:t>
      </w:r>
    </w:p>
    <w:p w:rsidR="009E2035" w:rsidRDefault="009E2035" w:rsidP="009E2035">
      <w:pPr>
        <w:pStyle w:val="AERbulletlistfirststyle"/>
      </w:pPr>
      <w:r>
        <w:t xml:space="preserve">Compared to an on-the-day approach, a </w:t>
      </w:r>
      <w:r w:rsidRPr="005F6F42">
        <w:t>trailing average approach will lead to less volatile cash flows</w:t>
      </w:r>
      <w:r>
        <w:t>.</w:t>
      </w:r>
      <w:r>
        <w:rPr>
          <w:rStyle w:val="FootnoteReference"/>
        </w:rPr>
        <w:footnoteReference w:id="232"/>
      </w:r>
    </w:p>
    <w:p w:rsidR="009E2035" w:rsidRDefault="009E2035" w:rsidP="009E2035">
      <w:pPr>
        <w:pStyle w:val="AERbulletlistfirststyle"/>
      </w:pPr>
      <w:r>
        <w:t>Some stakeholders submitted that a trailing average would reduce some of the risks faced by service providers, which would eventually flow to lower betas than what we have historically seen.</w:t>
      </w:r>
      <w:r>
        <w:rPr>
          <w:rStyle w:val="FootnoteReference"/>
        </w:rPr>
        <w:footnoteReference w:id="233"/>
      </w:r>
      <w:r>
        <w:t xml:space="preserve"> Frontier also advised that a trailing average approach would result in a smooth profile for the allowed return on debt.</w:t>
      </w:r>
      <w:r>
        <w:rPr>
          <w:rStyle w:val="FootnoteReference"/>
        </w:rPr>
        <w:footnoteReference w:id="234"/>
      </w:r>
    </w:p>
    <w:p w:rsidR="009E2035" w:rsidRDefault="009E2035" w:rsidP="009E2035">
      <w:pPr>
        <w:pStyle w:val="AERbulletlistfirststyle"/>
      </w:pPr>
      <w:r>
        <w:t>A trailing average approach received broad stakeholder support.</w:t>
      </w:r>
      <w:r w:rsidRPr="004102D1">
        <w:rPr>
          <w:rStyle w:val="FootnoteReference"/>
        </w:rPr>
        <w:footnoteReference w:id="235"/>
      </w:r>
      <w:r>
        <w:t xml:space="preserve"> </w:t>
      </w:r>
    </w:p>
    <w:p w:rsidR="009E2035" w:rsidRDefault="009E2035" w:rsidP="009E2035">
      <w:r>
        <w:t>W</w:t>
      </w:r>
      <w:r w:rsidRPr="008A776F">
        <w:t xml:space="preserve">e consider the on-the-day approach could contribute to the achievement of the ARORO and </w:t>
      </w:r>
      <w:r>
        <w:t>is therefore</w:t>
      </w:r>
      <w:r w:rsidRPr="008A776F">
        <w:t xml:space="preserve"> open to us</w:t>
      </w:r>
      <w:r>
        <w:t xml:space="preserve"> (see the following section)</w:t>
      </w:r>
      <w:r w:rsidRPr="008A776F">
        <w:t xml:space="preserve">. </w:t>
      </w:r>
      <w:r>
        <w:t xml:space="preserve">On this basis, the </w:t>
      </w:r>
      <w:r w:rsidRPr="00872988">
        <w:t xml:space="preserve">present value of a benchmark efficient entity's </w:t>
      </w:r>
      <w:r>
        <w:t xml:space="preserve">allowed </w:t>
      </w:r>
      <w:r w:rsidRPr="00872988">
        <w:t>revenues</w:t>
      </w:r>
      <w:r>
        <w:t xml:space="preserve">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9E2035" w:rsidRDefault="009E2035" w:rsidP="009E2035">
      <w:r>
        <w:t>If this holds, then changing</w:t>
      </w:r>
      <w:r w:rsidRPr="006102E7">
        <w:t xml:space="preserve"> the present value </w:t>
      </w:r>
      <w:r>
        <w:t>of a benchmark efficient entity would result in over</w:t>
      </w:r>
      <w:r w:rsidR="00855E3A">
        <w:t>-</w:t>
      </w:r>
      <w:r>
        <w:t xml:space="preserve">compensation (if we increase its value) or </w:t>
      </w:r>
      <w:r w:rsidR="00855E3A">
        <w:t>under-</w:t>
      </w:r>
      <w:r w:rsidR="00F54302">
        <w:t>compensation</w:t>
      </w:r>
      <w:r>
        <w:t xml:space="preserve">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9E2035" w:rsidRDefault="009E2035" w:rsidP="009E2035">
      <w:r>
        <w:t xml:space="preserve">Switching immediately from an on-the-day approach to a trailing average approach could only be revenue-neutral by chance. Specifically, this could occur if the average cost of debt over the last nine years equalled the current cost of debt in the market. </w:t>
      </w:r>
      <w:r>
        <w:lastRenderedPageBreak/>
        <w:t>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w:t>
      </w:r>
      <w:r w:rsidRPr="00AF4E25">
        <w:t xml:space="preserve"> approach</w:t>
      </w:r>
      <w:r>
        <w:t xml:space="preserve">es will typically </w:t>
      </w:r>
      <w:r w:rsidRPr="00AF4E25">
        <w:t>produce different estimates at given points in time.</w:t>
      </w:r>
    </w:p>
    <w:p w:rsidR="009E2035" w:rsidRPr="00785554" w:rsidRDefault="009E2035" w:rsidP="009E2035">
      <w:r>
        <w:t xml:space="preserve">For this reason, we </w:t>
      </w:r>
      <w:r w:rsidRPr="00785554">
        <w:t>have used our transition approach because it is approximately revenue neutral (in a present value sense).</w:t>
      </w:r>
      <w:r w:rsidRPr="00785554">
        <w:rPr>
          <w:rStyle w:val="FootnoteReference"/>
        </w:rPr>
        <w:footnoteReference w:id="236"/>
      </w:r>
      <w:r w:rsidRPr="00785554">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785554">
        <w:rPr>
          <w:rStyle w:val="FootnoteReference"/>
        </w:rPr>
        <w:footnoteReference w:id="237"/>
      </w:r>
      <w:r w:rsidRPr="00785554">
        <w:t xml:space="preserve"> We also note that SFG advised the AEMC that the type of transition mechanism we apply in this </w:t>
      </w:r>
      <w:r>
        <w:t xml:space="preserve">draft </w:t>
      </w:r>
      <w:r w:rsidRPr="00785554">
        <w:t>decision would be effective:</w:t>
      </w:r>
      <w:r w:rsidRPr="00785554">
        <w:rPr>
          <w:rStyle w:val="FootnoteReference"/>
        </w:rPr>
        <w:footnoteReference w:id="238"/>
      </w:r>
    </w:p>
    <w:p w:rsidR="009E2035" w:rsidRPr="002F34FF" w:rsidRDefault="009E2035" w:rsidP="009E2035">
      <w:pPr>
        <w:pStyle w:val="AERquote"/>
      </w:pPr>
      <w:r w:rsidRPr="002F34FF">
        <w:t xml:space="preserve">The type of “rolling in” arrangement </w:t>
      </w:r>
      <w:r>
        <w:t xml:space="preserve">[transition] </w:t>
      </w:r>
      <w:r w:rsidRPr="002F34FF">
        <w:t>that has been proposed by QTC</w:t>
      </w:r>
      <w:r>
        <w:t xml:space="preserve"> [the full transition we adopted]</w:t>
      </w:r>
      <w:r w:rsidRPr="002F34FF">
        <w:t xml:space="preserve"> would be an effective means of transitioning from the current Rules to the use of an historical average cost of debt approach </w:t>
      </w:r>
    </w:p>
    <w:p w:rsidR="009E2035" w:rsidRPr="00F21B32" w:rsidRDefault="009E2035" w:rsidP="009E2035">
      <w:r>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w:t>
      </w:r>
      <w:r w:rsidRPr="008E338C">
        <w:t xml:space="preserve"> any impacts</w:t>
      </w:r>
      <w:r>
        <w:t xml:space="preserve"> on a benchmark efficient entity referred to in the ARORO</w:t>
      </w:r>
      <w:r w:rsidRPr="008E338C">
        <w:t xml:space="preserve"> that could arise </w:t>
      </w:r>
      <w:r>
        <w:t xml:space="preserve">from </w:t>
      </w:r>
      <w:r w:rsidRPr="008E338C">
        <w:t>a change of methodology.</w:t>
      </w:r>
      <w:r>
        <w:rPr>
          <w:rStyle w:val="FootnoteReference"/>
        </w:rPr>
        <w:footnoteReference w:id="239"/>
      </w:r>
      <w:r>
        <w:t xml:space="preserve"> The AEMC explained that the purpose of this aspect of the rules was:</w:t>
      </w:r>
      <w:r w:rsidRPr="00F21B32">
        <w:rPr>
          <w:rStyle w:val="FootnoteReference"/>
        </w:rPr>
        <w:footnoteReference w:id="240"/>
      </w:r>
    </w:p>
    <w:p w:rsidR="009E2035" w:rsidRDefault="009E2035" w:rsidP="009E2035">
      <w:pPr>
        <w:pStyle w:val="AERquote"/>
      </w:pPr>
      <w:r w:rsidRPr="00F21B32">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9E2035" w:rsidRDefault="009E2035" w:rsidP="009E2035">
      <w:pPr>
        <w:pStyle w:val="HeadingItalic"/>
      </w:pPr>
      <w:r>
        <w:lastRenderedPageBreak/>
        <w:t>Continuing the on-the-day approach meets the ARORO</w:t>
      </w:r>
    </w:p>
    <w:p w:rsidR="009E2035" w:rsidRDefault="009E2035" w:rsidP="009E2035">
      <w:r>
        <w:t xml:space="preserve">An </w:t>
      </w:r>
      <w:r w:rsidRPr="00AF4E25">
        <w:t xml:space="preserve">on-the-day approach provides service providers with </w:t>
      </w:r>
      <w:r>
        <w:t>a</w:t>
      </w:r>
      <w:r w:rsidRPr="00AF4E25">
        <w:t xml:space="preserve"> reasonable opportunity to recover at least efficient costs over </w:t>
      </w:r>
      <w:r>
        <w:t>the term of the RAB</w:t>
      </w:r>
      <w:r w:rsidRPr="00AF4E25">
        <w:t xml:space="preserve"> </w:t>
      </w:r>
      <w:r w:rsidRPr="00AF4E25">
        <w:rPr>
          <w:rStyle w:val="AERtextunderline"/>
        </w:rPr>
        <w:t>and</w:t>
      </w:r>
      <w:r w:rsidRPr="00AF4E25">
        <w:t xml:space="preserve"> over each </w:t>
      </w:r>
      <w:r>
        <w:t>regulatory period</w:t>
      </w:r>
      <w:r w:rsidRPr="00AF4E25">
        <w:t xml:space="preserve">. </w:t>
      </w:r>
      <w:r>
        <w:t xml:space="preserve">Appendix </w:t>
      </w:r>
      <w:r w:rsidR="002A2146">
        <w:fldChar w:fldCharType="begin"/>
      </w:r>
      <w:r w:rsidR="002A2146">
        <w:instrText xml:space="preserve"> REF _Ref461492439 \r \h </w:instrText>
      </w:r>
      <w:r w:rsidR="002A2146">
        <w:fldChar w:fldCharType="separate"/>
      </w:r>
      <w:r w:rsidR="00691B4D">
        <w:t>B</w:t>
      </w:r>
      <w:r w:rsidR="002A2146">
        <w:fldChar w:fldCharType="end"/>
      </w:r>
      <w:r>
        <w:t>provides detailed reasons, including a mathematic description, for why this holds. On this basis, we consider continuing the on-the-day approach for estimating the allowed return on debt will achieve the ARORO and the NEO.</w:t>
      </w:r>
      <w:r>
        <w:rPr>
          <w:rStyle w:val="FootnoteReference"/>
        </w:rPr>
        <w:footnoteReference w:id="241"/>
      </w:r>
      <w:r>
        <w:t xml:space="preserve"> Further, as </w:t>
      </w:r>
      <w:r>
        <w:fldChar w:fldCharType="begin"/>
      </w:r>
      <w:r>
        <w:instrText xml:space="preserve"> REF  _Ref451174194 \* Lower \h </w:instrText>
      </w:r>
      <w:r>
        <w:fldChar w:fldCharType="separate"/>
      </w:r>
      <w:r w:rsidR="00691B4D">
        <w:t xml:space="preserve">table </w:t>
      </w:r>
      <w:r w:rsidR="00691B4D">
        <w:rPr>
          <w:noProof/>
        </w:rPr>
        <w:t>3</w:t>
      </w:r>
      <w:r w:rsidR="00691B4D">
        <w:noBreakHyphen/>
      </w:r>
      <w:r w:rsidR="00691B4D">
        <w:rPr>
          <w:noProof/>
        </w:rPr>
        <w:t>4</w:t>
      </w:r>
      <w:r>
        <w:fldChar w:fldCharType="end"/>
      </w:r>
      <w:r>
        <w:t xml:space="preserve"> shows, we consider that neither an on-the-day nor trailing average approach would be clearly superior to the other. Rather, each of these approaches has its own benefits and limitations</w:t>
      </w:r>
    </w:p>
    <w:p w:rsidR="009E2035" w:rsidRDefault="009E2035" w:rsidP="009E2035">
      <w:r>
        <w:t>Given this, while we adopt a trailing average</w:t>
      </w:r>
      <w:r w:rsidRPr="004B76DC">
        <w:t xml:space="preserve"> for this determination</w:t>
      </w:r>
      <w:r>
        <w:t xml:space="preserve">, we do not consider this change in methodology would be justified in the absence of a transition. Without a transition, the change to the trailing average would not be revenue neutral, but would rather increase the </w:t>
      </w:r>
      <w:r w:rsidRPr="00E817C9">
        <w:t xml:space="preserve">present value of a benchmark efficient entity's </w:t>
      </w:r>
      <w:r>
        <w:t>allowed</w:t>
      </w:r>
      <w:r w:rsidRPr="00E817C9">
        <w:t xml:space="preserve"> revenues purely due to changing the debt estimation methodology</w:t>
      </w:r>
      <w:r>
        <w:t xml:space="preserve"> (see the subsequent section). Consequently, in the absence of a transition</w:t>
      </w:r>
      <w:r w:rsidRPr="004B76DC">
        <w:t xml:space="preserve">, we would not consider a trailing approach will </w:t>
      </w:r>
      <w:r>
        <w:t>achieve</w:t>
      </w:r>
      <w:r w:rsidRPr="004B76DC">
        <w:t xml:space="preserve"> the </w:t>
      </w:r>
      <w:r>
        <w:t>ARORO</w:t>
      </w:r>
      <w:r w:rsidRPr="004B76DC">
        <w:t xml:space="preserve"> and we would instead maintain the on-the-day approach to </w:t>
      </w:r>
      <w:r>
        <w:t>estimating</w:t>
      </w:r>
      <w:r w:rsidRPr="004B76DC">
        <w:t xml:space="preserve"> the return on debt.</w:t>
      </w:r>
    </w:p>
    <w:p w:rsidR="009E2035" w:rsidRDefault="009E2035" w:rsidP="009E2035">
      <w:pPr>
        <w:pStyle w:val="Caption"/>
      </w:pPr>
      <w:bookmarkStart w:id="88" w:name="_Ref451174194"/>
      <w:r>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4</w:t>
      </w:r>
      <w:r w:rsidR="00AB6D99">
        <w:rPr>
          <w:noProof/>
        </w:rPr>
        <w:fldChar w:fldCharType="end"/>
      </w:r>
      <w:bookmarkEnd w:id="88"/>
      <w:r>
        <w:t>: Benefits of different debt approaches</w:t>
      </w:r>
    </w:p>
    <w:tbl>
      <w:tblPr>
        <w:tblStyle w:val="AERtable-text0"/>
        <w:tblW w:w="0" w:type="auto"/>
        <w:tblLook w:val="04A0" w:firstRow="1" w:lastRow="0" w:firstColumn="1" w:lastColumn="0" w:noHBand="0" w:noVBand="1"/>
      </w:tblPr>
      <w:tblGrid>
        <w:gridCol w:w="4346"/>
        <w:gridCol w:w="4347"/>
      </w:tblGrid>
      <w:tr w:rsidR="009E2035" w:rsidTr="009E2035">
        <w:trPr>
          <w:cnfStyle w:val="100000000000" w:firstRow="1" w:lastRow="0" w:firstColumn="0" w:lastColumn="0" w:oddVBand="0" w:evenVBand="0" w:oddHBand="0" w:evenHBand="0" w:firstRowFirstColumn="0" w:firstRowLastColumn="0" w:lastRowFirstColumn="0" w:lastRowLastColumn="0"/>
        </w:trPr>
        <w:tc>
          <w:tcPr>
            <w:tcW w:w="4346" w:type="dxa"/>
          </w:tcPr>
          <w:p w:rsidR="009E2035" w:rsidRPr="009E2035" w:rsidRDefault="009E2035" w:rsidP="009E2035">
            <w:r>
              <w:t>Benefits of a trailing average approach</w:t>
            </w:r>
          </w:p>
        </w:tc>
        <w:tc>
          <w:tcPr>
            <w:tcW w:w="4347" w:type="dxa"/>
          </w:tcPr>
          <w:p w:rsidR="009E2035" w:rsidRPr="009E2035" w:rsidRDefault="009E2035" w:rsidP="009E2035">
            <w:r>
              <w:t>Benefits of an on-the-day approach</w:t>
            </w:r>
          </w:p>
        </w:tc>
      </w:tr>
      <w:tr w:rsidR="009E2035" w:rsidTr="009E2035">
        <w:tc>
          <w:tcPr>
            <w:tcW w:w="4346" w:type="dxa"/>
          </w:tcPr>
          <w:p w:rsidR="009E2035" w:rsidRPr="009E2035" w:rsidRDefault="009E2035" w:rsidP="009E2035">
            <w:r w:rsidRPr="009F3831">
              <w:t xml:space="preserve"> </w:t>
            </w:r>
            <w:r>
              <w:t xml:space="preserve">A trailing average approach provides </w:t>
            </w:r>
            <w:r w:rsidRPr="009E2035">
              <w:t>service providers with a regulatory benchmark that they can more readily match each regulatory period.</w:t>
            </w:r>
            <w:r w:rsidRPr="009E2035">
              <w:rPr>
                <w:rStyle w:val="FootnoteReference"/>
              </w:rPr>
              <w:footnoteReference w:id="242"/>
            </w:r>
            <w:r w:rsidRPr="009E2035">
              <w:t xml:space="preserve"> As such, this provides a benchmark efficient entity with an enhanced opportunity to minimise any mismatch between actual costs and regulated revenues.</w:t>
            </w:r>
            <w:r w:rsidRPr="009E2035">
              <w:rPr>
                <w:rStyle w:val="FootnoteReference"/>
              </w:rPr>
              <w:footnoteReference w:id="243"/>
            </w:r>
            <w:r w:rsidRPr="009E2035">
              <w:t xml:space="preserve"> Nevertheless, it is important to note that this mismatch risk would not result in a benchmark efficient entity being ex-ante over- or under-compensated for its efficient debt financing costs for a regulatory period or over the life of its assets.</w:t>
            </w:r>
          </w:p>
          <w:p w:rsidR="009E2035" w:rsidRPr="009E2035" w:rsidRDefault="009E2035" w:rsidP="009E2035">
            <w:r>
              <w:t xml:space="preserve">All else </w:t>
            </w:r>
            <w:r w:rsidRPr="009E2035">
              <w:t xml:space="preserve">being equal, this reduced risk and the reduced need to enter hedging arrangements might lower the efficient cost of financing for a benchmark efficient entity and increase productive efficiency. </w:t>
            </w:r>
          </w:p>
          <w:p w:rsidR="009E2035" w:rsidRPr="009E2035" w:rsidRDefault="009E2035" w:rsidP="009E2035">
            <w:r>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w:t>
            </w:r>
            <w:r w:rsidRPr="009E2035">
              <w:t xml:space="preserve"> </w:t>
            </w:r>
            <w:r w:rsidRPr="009E2035">
              <w:lastRenderedPageBreak/>
              <w:t>moved since the last reset.</w:t>
            </w:r>
          </w:p>
        </w:tc>
        <w:tc>
          <w:tcPr>
            <w:tcW w:w="4347" w:type="dxa"/>
          </w:tcPr>
          <w:p w:rsidR="009E2035" w:rsidRPr="009E2035" w:rsidRDefault="009E2035" w:rsidP="009E2035">
            <w:r>
              <w:lastRenderedPageBreak/>
              <w:t xml:space="preserve">An </w:t>
            </w:r>
            <w:r w:rsidRPr="009E2035">
              <w:t>on-the-day approach better reflects the prevailing cost of debt in the capital market near the commencement of the regulatory period. Due to this, it:</w:t>
            </w:r>
          </w:p>
          <w:p w:rsidR="009E2035" w:rsidRPr="009E2035" w:rsidRDefault="009E2035" w:rsidP="009E2035">
            <w:pPr>
              <w:pStyle w:val="AERbulletlistfirststyle"/>
            </w:pPr>
            <w:r>
              <w:t xml:space="preserve">Better reflects </w:t>
            </w:r>
            <w:r w:rsidRPr="009E2035">
              <w:t>investors' opportunity cost of debt and expectations of future returns near the commencement of the regulatory period.</w:t>
            </w:r>
            <w:r w:rsidRPr="009E2035">
              <w:rPr>
                <w:rStyle w:val="FootnoteReference"/>
              </w:rPr>
              <w:footnoteReference w:id="244"/>
            </w:r>
            <w:r w:rsidRPr="009E2035">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9E2035">
              <w:rPr>
                <w:rStyle w:val="FootnoteReference"/>
              </w:rPr>
              <w:footnoteReference w:id="245"/>
            </w:r>
          </w:p>
          <w:p w:rsidR="009E2035" w:rsidRPr="009E2035" w:rsidRDefault="009E2035" w:rsidP="009E2035">
            <w:pPr>
              <w:pStyle w:val="AERbulletlistfirststyle"/>
            </w:pPr>
            <w:r>
              <w:t xml:space="preserve">Is more internally consistent with how we estimate other components of the allowed rate of return and the building block model more generally. </w:t>
            </w:r>
          </w:p>
          <w:p w:rsidR="009E2035" w:rsidRPr="009E2035" w:rsidRDefault="009E2035" w:rsidP="00AF310A">
            <w:pPr>
              <w:pStyle w:val="AERbulletlistfirststyle"/>
            </w:pPr>
            <w:r>
              <w:t>Leads to an estimate that is commensurate with efficient financing costs and competitive market outcomes</w:t>
            </w:r>
            <w:r w:rsidRPr="009E2035">
              <w:t xml:space="preserve"> near the commencement of the regulatory </w:t>
            </w:r>
            <w:r w:rsidRPr="009E2035">
              <w:lastRenderedPageBreak/>
              <w:t>period. We expect prevailing market rates for capital finance to be competitive.</w:t>
            </w:r>
            <w:r w:rsidRPr="009E2035">
              <w:rPr>
                <w:rStyle w:val="FootnoteReference"/>
              </w:rPr>
              <w:footnoteReference w:id="246"/>
            </w:r>
            <w:r w:rsidRPr="009E2035">
              <w:t xml:space="preserve"> Moreover, a return on debt that reflects the current market rate more closely imitates the outcomes of a competitive market by representing the costs that other service providers will face to enter the market.</w:t>
            </w:r>
            <w:r w:rsidRPr="009E2035">
              <w:rPr>
                <w:rStyle w:val="FootnoteReference"/>
              </w:rPr>
              <w:footnoteReference w:id="247"/>
            </w:r>
          </w:p>
        </w:tc>
      </w:tr>
    </w:tbl>
    <w:p w:rsidR="009E2035" w:rsidRDefault="009E2035" w:rsidP="009E2035">
      <w:pPr>
        <w:pStyle w:val="AERtablesource"/>
      </w:pPr>
      <w:r>
        <w:lastRenderedPageBreak/>
        <w:t xml:space="preserve">Source: </w:t>
      </w:r>
      <w:r>
        <w:tab/>
        <w:t>AER analysis.</w:t>
      </w:r>
    </w:p>
    <w:p w:rsidR="009E2035" w:rsidRDefault="009E2035" w:rsidP="009E2035">
      <w:pPr>
        <w:pStyle w:val="HeadingBoldItalic"/>
      </w:pPr>
      <w:r>
        <w:t xml:space="preserve">Other proposed transition paths will not </w:t>
      </w:r>
      <w:r w:rsidRPr="000F6A5E">
        <w:t>contribute to the achievement of the ARORO</w:t>
      </w:r>
    </w:p>
    <w:p w:rsidR="009E2035" w:rsidRPr="008D3A72" w:rsidRDefault="009E2035" w:rsidP="009E2035">
      <w:r>
        <w:t xml:space="preserve">Where service providers have proposed departing from the Guideline in how they transition to a trailing average approach, we have characterised this as effectively </w:t>
      </w:r>
      <w:r w:rsidRPr="008D3A72">
        <w:t xml:space="preserve">proposing two separate things: </w:t>
      </w:r>
    </w:p>
    <w:p w:rsidR="009E2035" w:rsidRDefault="009E2035" w:rsidP="009E2035">
      <w:pPr>
        <w:pStyle w:val="AERbulletlistfirststyle"/>
      </w:pPr>
      <w:r>
        <w:t xml:space="preserve">to move to a trailing average methodology; and </w:t>
      </w:r>
    </w:p>
    <w:p w:rsidR="009E2035" w:rsidRDefault="009E2035" w:rsidP="009E2035">
      <w:pPr>
        <w:pStyle w:val="AERbulletlistfirststyle"/>
      </w:pPr>
      <w:r>
        <w:t>to increase the</w:t>
      </w:r>
      <w:r w:rsidRPr="00BC2869">
        <w:t xml:space="preserve"> net present value </w:t>
      </w:r>
      <w:r>
        <w:t>of their</w:t>
      </w:r>
      <w:r w:rsidRPr="00BC2869">
        <w:t xml:space="preserve"> assets (and associated revenues) </w:t>
      </w:r>
      <w:r>
        <w:t xml:space="preserve">by proposing to move a trailing average methodology in a manner that is not revenue neutral. </w:t>
      </w:r>
    </w:p>
    <w:p w:rsidR="009E2035" w:rsidRDefault="009E2035" w:rsidP="009E2035">
      <w:r>
        <w:t>We have seen these</w:t>
      </w:r>
      <w:r w:rsidRPr="00E9566E">
        <w:t xml:space="preserve"> a</w:t>
      </w:r>
      <w:r>
        <w:t>s</w:t>
      </w:r>
      <w:r w:rsidRPr="00E9566E">
        <w:t xml:space="preserve"> separate issues</w:t>
      </w:r>
      <w:r>
        <w:t>. We have also observed that, as long as a revenue-neutral transition is applied, the first issue is not in contention. This has warranted predominately responding to the second issue</w:t>
      </w:r>
      <w:r w:rsidRPr="00785554">
        <w:t>―</w:t>
      </w:r>
      <w:r>
        <w:t>the form of transition.</w:t>
      </w:r>
      <w:r w:rsidRPr="002E2AE0">
        <w:t xml:space="preserve"> </w:t>
      </w:r>
      <w:r>
        <w:t>As such, we have carefully consider</w:t>
      </w:r>
      <w:r w:rsidRPr="00785554">
        <w:t xml:space="preserve">ed </w:t>
      </w:r>
      <w:r>
        <w:t>several proposed</w:t>
      </w:r>
      <w:r w:rsidRPr="00785554">
        <w:t xml:space="preserve"> transition paths</w:t>
      </w:r>
      <w:r>
        <w:t>, including:</w:t>
      </w:r>
    </w:p>
    <w:p w:rsidR="009E2035" w:rsidRDefault="009E2035" w:rsidP="009E2035">
      <w:pPr>
        <w:pStyle w:val="AERbulletlistfirststyle"/>
      </w:pPr>
      <w:r>
        <w:t>No transition (or an immediate move) to a trailing average</w:t>
      </w:r>
      <w:r w:rsidRPr="007D2546">
        <w:t xml:space="preserve">—Adopt a backwards looking trailing average approach (no transition on either the base rate or </w:t>
      </w:r>
      <w:r w:rsidR="00EE3CBB">
        <w:t>debt risk premium</w:t>
      </w:r>
      <w:r w:rsidRPr="007D2546">
        <w:t xml:space="preserve"> components of the return on debt).</w:t>
      </w:r>
      <w:r>
        <w:rPr>
          <w:rStyle w:val="FootnoteReference"/>
        </w:rPr>
        <w:footnoteReference w:id="248"/>
      </w:r>
    </w:p>
    <w:p w:rsidR="009E2035" w:rsidRPr="007D2546" w:rsidRDefault="009E2035" w:rsidP="009E2035">
      <w:pPr>
        <w:pStyle w:val="AERbulletlistfirststyle"/>
      </w:pPr>
      <w:r w:rsidRPr="007D2546">
        <w:t>Hybrid transition—Start with an on-the-day</w:t>
      </w:r>
      <w:r>
        <w:t xml:space="preserve"> approach</w:t>
      </w:r>
      <w:r w:rsidRPr="007D2546">
        <w:t xml:space="preserve"> for the base rate component and gradually transition into a trailing average approach over 10 years. This would be combined with a backwards looking trailing average </w:t>
      </w:r>
      <w:r w:rsidR="00EE3CBB">
        <w:t>debt risk premium</w:t>
      </w:r>
      <w:r w:rsidRPr="007D2546">
        <w:t xml:space="preserve"> (that is, a base rate transition only).</w:t>
      </w:r>
      <w:r w:rsidRPr="00635343">
        <w:rPr>
          <w:rStyle w:val="FootnoteReference"/>
        </w:rPr>
        <w:footnoteReference w:id="249"/>
      </w:r>
    </w:p>
    <w:p w:rsidR="009E2035" w:rsidRDefault="009E2035" w:rsidP="009E2035">
      <w:pPr>
        <w:pStyle w:val="AERbulletlistfirststyle"/>
      </w:pPr>
      <w:r>
        <w:t>Hybrid transition under partial hedging</w:t>
      </w:r>
      <w:r w:rsidRPr="007D2546">
        <w:t>—</w:t>
      </w:r>
      <w:r>
        <w:t>Assume a benchmark efficient entity hedged only one third of the base rate under the on-the-day regime on the basis that this would have been ex-post optimal.</w:t>
      </w:r>
      <w:r w:rsidRPr="00635343">
        <w:rPr>
          <w:rStyle w:val="FootnoteReference"/>
        </w:rPr>
        <w:footnoteReference w:id="250"/>
      </w:r>
      <w:r>
        <w:t xml:space="preserve"> G</w:t>
      </w:r>
      <w:r w:rsidRPr="007D2546">
        <w:t xml:space="preserve">radually transition </w:t>
      </w:r>
      <w:r>
        <w:t xml:space="preserve">this portion of the </w:t>
      </w:r>
      <w:r>
        <w:lastRenderedPageBreak/>
        <w:t>base rate</w:t>
      </w:r>
      <w:r w:rsidRPr="009F377E">
        <w:t xml:space="preserve"> </w:t>
      </w:r>
      <w:r>
        <w:t xml:space="preserve">and apply an immediate trailing average to the other two thirds of the base rate and the entire </w:t>
      </w:r>
      <w:r w:rsidR="00EE3CBB">
        <w:t>debt risk premium</w:t>
      </w:r>
      <w:r>
        <w:t xml:space="preserve"> component. </w:t>
      </w:r>
    </w:p>
    <w:p w:rsidR="009E2035" w:rsidRDefault="009E2035" w:rsidP="009E2035">
      <w:r>
        <w:t xml:space="preserve">For the reasons discussed below, we do not consider any of these transition paths would contribute to the achievement of the ARORO. </w:t>
      </w:r>
    </w:p>
    <w:p w:rsidR="009E2035" w:rsidRDefault="009E2035" w:rsidP="009E2035">
      <w:pPr>
        <w:pStyle w:val="HeadingItalic"/>
      </w:pPr>
      <w:r>
        <w:t xml:space="preserve">Immediate transition will </w:t>
      </w:r>
      <w:r w:rsidRPr="00F72EF1">
        <w:t xml:space="preserve">not contribute to the achievement </w:t>
      </w:r>
      <w:r>
        <w:t>of the ARORO</w:t>
      </w:r>
    </w:p>
    <w:p w:rsidR="009E2035" w:rsidRDefault="009E2035" w:rsidP="009E2035">
      <w:r w:rsidRPr="00D001FE">
        <w:rPr>
          <w:rStyle w:val="AERbody"/>
        </w:rPr>
        <w:t xml:space="preserve">For the reasons discussed </w:t>
      </w:r>
      <w:r>
        <w:rPr>
          <w:rStyle w:val="AERbody"/>
        </w:rPr>
        <w:t>above under, 't</w:t>
      </w:r>
      <w:r w:rsidRPr="00D001FE">
        <w:rPr>
          <w:rStyle w:val="AERbody"/>
        </w:rPr>
        <w:t>railing average (with full transition) meets the ARORO</w:t>
      </w:r>
      <w:r>
        <w:rPr>
          <w:rStyle w:val="AERbody"/>
        </w:rPr>
        <w:t>', i</w:t>
      </w:r>
      <w:r>
        <w:t>mmediately</w:t>
      </w:r>
      <w:r w:rsidRPr="00F72EF1">
        <w:t xml:space="preserve"> moving to a trailing average by immediately adopting a historical cost of debt is likely to change the present value of a benchmark efficie</w:t>
      </w:r>
      <w:r>
        <w:t xml:space="preserve">nt entity's allowed revenues </w:t>
      </w:r>
      <w:r w:rsidRPr="00F72EF1">
        <w:t xml:space="preserve">relative to </w:t>
      </w:r>
      <w:r>
        <w:t>a continuation of</w:t>
      </w:r>
      <w:r w:rsidRPr="00F72EF1">
        <w:t xml:space="preserve"> </w:t>
      </w:r>
      <w:r>
        <w:t>the on-the-day approach.</w:t>
      </w:r>
    </w:p>
    <w:p w:rsidR="009E2035" w:rsidRDefault="009E2035" w:rsidP="009E2035">
      <w:r>
        <w:t>T</w:t>
      </w:r>
      <w:r w:rsidRPr="00F72EF1">
        <w:t>he current market cost of debt is considerably below the average market cost of debt over the past nine years</w:t>
      </w:r>
      <w:r>
        <w:t>. As such, in current circumstances</w:t>
      </w:r>
      <w:r w:rsidRPr="00F72EF1">
        <w:t xml:space="preserve">, an immediate transition would lead to an excess positive return relative to the efficient return in the market. All else being equal, this will result in a material increase in the present value of a benchmark efficient entity's </w:t>
      </w:r>
      <w:r>
        <w:t>allowed</w:t>
      </w:r>
      <w:r w:rsidRPr="00F72EF1">
        <w:t xml:space="preserve"> revenues </w:t>
      </w:r>
      <w:r>
        <w:t>relative to its expected efficient costs</w:t>
      </w:r>
      <w:r w:rsidRPr="00F72EF1">
        <w:t xml:space="preserve"> to a value well above its RAB, thereby overcompensating it. </w:t>
      </w:r>
      <w:r>
        <w:t>No service provider</w:t>
      </w:r>
      <w:r w:rsidRPr="00F72EF1">
        <w:t xml:space="preserve"> </w:t>
      </w:r>
      <w:r>
        <w:t>has submitted material that</w:t>
      </w:r>
      <w:r w:rsidRPr="00D152FC">
        <w:t xml:space="preserve"> </w:t>
      </w:r>
      <w:r>
        <w:t>satisfies</w:t>
      </w:r>
      <w:r w:rsidRPr="00D152FC">
        <w:t xml:space="preserve"> us that materially increasing the present value of their </w:t>
      </w:r>
      <w:r>
        <w:t xml:space="preserve">allowed </w:t>
      </w:r>
      <w:r w:rsidRPr="00D152FC">
        <w:t>revenues from the change in methodology would contribute to the achievement of the ARORO or be consistent with the NEL/NGL.</w:t>
      </w:r>
    </w:p>
    <w:p w:rsidR="009E2035" w:rsidRPr="00F72EF1" w:rsidRDefault="009E2035" w:rsidP="009E2035">
      <w:r>
        <w:t>It is worth noting that e</w:t>
      </w:r>
      <w:r w:rsidRPr="00F72EF1">
        <w:t>qually, the trend in interest rates</w:t>
      </w:r>
      <w:r>
        <w:t xml:space="preserve"> could have</w:t>
      </w:r>
      <w:r w:rsidRPr="00F72EF1">
        <w:t xml:space="preserve"> been reversed</w:t>
      </w:r>
      <w:r w:rsidRPr="00F72EF1">
        <w:rPr>
          <w:rStyle w:val="AERbody"/>
        </w:rPr>
        <w:t xml:space="preserve"> (that is, if we had moved from a low to high interest rate environment)</w:t>
      </w:r>
      <w:r>
        <w:t>. If this occurred,</w:t>
      </w:r>
      <w:r w:rsidRPr="00F72EF1">
        <w:t xml:space="preserve"> an immediate transition would have led to a material decrease in the present value of a benchmark efficient entity's </w:t>
      </w:r>
      <w:r>
        <w:t>allowed</w:t>
      </w:r>
      <w:r w:rsidRPr="00F72EF1">
        <w:t xml:space="preserve"> revenues relative to its </w:t>
      </w:r>
      <w:r>
        <w:t>expected efficient</w:t>
      </w:r>
      <w:r w:rsidRPr="00F72EF1">
        <w:t xml:space="preserve"> costs, thereby undercompensating it. That is, </w:t>
      </w:r>
      <w:r w:rsidRPr="00F72EF1">
        <w:rPr>
          <w:rStyle w:val="AERbody"/>
        </w:rPr>
        <w:t>the allowed return would have been below the efficient financing costs of a benchmark efficient entity.</w:t>
      </w:r>
      <w:r w:rsidRPr="00F72EF1">
        <w:t xml:space="preserve"> Neither outcome would achieve the ARORO and would not lead to efficient investment and use of infrastructure</w:t>
      </w:r>
      <w:r>
        <w:t>,</w:t>
      </w:r>
      <w:r w:rsidRPr="00F72EF1">
        <w:t xml:space="preserve"> </w:t>
      </w:r>
      <w:r w:rsidRPr="00F72EF1">
        <w:rPr>
          <w:rStyle w:val="AERbody"/>
        </w:rPr>
        <w:t>in the long term interest of consumers</w:t>
      </w:r>
      <w:r w:rsidRPr="00F72EF1">
        <w:t>.</w:t>
      </w:r>
      <w:r w:rsidRPr="00F72EF1">
        <w:rPr>
          <w:rStyle w:val="AERbody"/>
        </w:rPr>
        <w:t xml:space="preserve"> We explain this and show this mathematically in detail in </w:t>
      </w:r>
      <w:r>
        <w:t>A</w:t>
      </w:r>
      <w:r w:rsidRPr="00F72EF1">
        <w:t xml:space="preserve">ppendix </w:t>
      </w:r>
      <w:r w:rsidR="002A2146">
        <w:rPr>
          <w:rStyle w:val="AERbody"/>
        </w:rPr>
        <w:fldChar w:fldCharType="begin"/>
      </w:r>
      <w:r w:rsidR="002A2146">
        <w:instrText xml:space="preserve"> REF _Ref461492665 \r \h </w:instrText>
      </w:r>
      <w:r w:rsidR="002A2146">
        <w:rPr>
          <w:rStyle w:val="AERbody"/>
        </w:rPr>
      </w:r>
      <w:r w:rsidR="002A2146">
        <w:rPr>
          <w:rStyle w:val="AERbody"/>
        </w:rPr>
        <w:fldChar w:fldCharType="separate"/>
      </w:r>
      <w:r w:rsidR="00691B4D">
        <w:t>B</w:t>
      </w:r>
      <w:r w:rsidR="002A2146">
        <w:rPr>
          <w:rStyle w:val="AERbody"/>
        </w:rPr>
        <w:fldChar w:fldCharType="end"/>
      </w:r>
      <w:r w:rsidRPr="00610804">
        <w:rPr>
          <w:rStyle w:val="AERbody"/>
        </w:rPr>
        <w:t>.</w:t>
      </w:r>
    </w:p>
    <w:p w:rsidR="009E2035" w:rsidRPr="009F3831" w:rsidRDefault="009E2035" w:rsidP="009E2035">
      <w:r>
        <w:t>Further, we consider that</w:t>
      </w:r>
      <w:r w:rsidRPr="009F3831">
        <w:t xml:space="preserve"> failing to implement a revenue neutral transition would undermine the ARORO and the NEL/NGL for the following reasons:</w:t>
      </w:r>
    </w:p>
    <w:p w:rsidR="009E2035" w:rsidRDefault="009E2035" w:rsidP="009E2035">
      <w:pPr>
        <w:pStyle w:val="AERbulletlistfirststyle"/>
      </w:pPr>
      <w:r>
        <w:t xml:space="preserve">The future return on debt allowance would have </w:t>
      </w:r>
      <w:r w:rsidRPr="00F21B32">
        <w:t xml:space="preserve">a </w:t>
      </w:r>
      <w:r>
        <w:t xml:space="preserve">different </w:t>
      </w:r>
      <w:r w:rsidRPr="00F21B32">
        <w:t>present value</w:t>
      </w:r>
      <w:r>
        <w:t xml:space="preserve"> if we switched methodologies to estimating the allowed return on debt without a transition.</w:t>
      </w:r>
      <w:r w:rsidRPr="00F21B32">
        <w:t xml:space="preserve"> </w:t>
      </w:r>
      <w:r>
        <w:t>In A</w:t>
      </w:r>
      <w:r w:rsidRPr="00F72EF1">
        <w:t xml:space="preserve">ppendix </w:t>
      </w:r>
      <w:r w:rsidR="00AA05F8">
        <w:rPr>
          <w:rStyle w:val="AERbody"/>
        </w:rPr>
        <w:fldChar w:fldCharType="begin"/>
      </w:r>
      <w:r w:rsidR="00AA05F8">
        <w:instrText xml:space="preserve"> REF _Ref461492748 \r \h </w:instrText>
      </w:r>
      <w:r w:rsidR="00AA05F8">
        <w:rPr>
          <w:rStyle w:val="AERbody"/>
        </w:rPr>
      </w:r>
      <w:r w:rsidR="00AA05F8">
        <w:rPr>
          <w:rStyle w:val="AERbody"/>
        </w:rPr>
        <w:fldChar w:fldCharType="separate"/>
      </w:r>
      <w:r w:rsidR="00691B4D">
        <w:t>B</w:t>
      </w:r>
      <w:r w:rsidR="00AA05F8">
        <w:rPr>
          <w:rStyle w:val="AERbody"/>
        </w:rPr>
        <w:fldChar w:fldCharType="end"/>
      </w:r>
      <w:r>
        <w:t xml:space="preserve">, we establish that continuing the on-the-day approach would satisfy the ARORO. Given this, changing approaches must be revenue neutral or it would either </w:t>
      </w:r>
      <w:r w:rsidRPr="00F21B32">
        <w:t>over</w:t>
      </w:r>
      <w:r>
        <w:t>- or under-</w:t>
      </w:r>
      <w:r w:rsidRPr="00F21B32">
        <w:t xml:space="preserve">compensate </w:t>
      </w:r>
      <w:r>
        <w:t>a benchmark efficient entity for its efficient debt financing costs</w:t>
      </w:r>
      <w:r w:rsidRPr="00F21B32">
        <w:t>.</w:t>
      </w:r>
      <w:r>
        <w:t xml:space="preserve"> We do not consider this outcome contributes to the achievement of the ARORO, NEO/NGO or RPPs.</w:t>
      </w:r>
      <w:r w:rsidRPr="00F21B32">
        <w:t xml:space="preserve"> </w:t>
      </w:r>
    </w:p>
    <w:p w:rsidR="009E2035" w:rsidRDefault="009E2035" w:rsidP="009E2035">
      <w:pPr>
        <w:pStyle w:val="AERbulletlistfirststyle"/>
      </w:pPr>
      <w:r>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w:t>
      </w:r>
      <w:r w:rsidRPr="00AC4D63">
        <w:t xml:space="preserve">his may undermine confidence in the predictability of the regulatory arrangements and </w:t>
      </w:r>
      <w:r>
        <w:t xml:space="preserve">lead to an inefficient increase </w:t>
      </w:r>
      <w:r>
        <w:lastRenderedPageBreak/>
        <w:t>in</w:t>
      </w:r>
      <w:r w:rsidRPr="00AC4D63">
        <w:t xml:space="preserve"> financing costs (all else </w:t>
      </w:r>
      <w:r>
        <w:t xml:space="preserve">being </w:t>
      </w:r>
      <w:r w:rsidRPr="00AC4D63">
        <w:t>equal).</w:t>
      </w:r>
      <w:r w:rsidRPr="004871A6">
        <w:rPr>
          <w:rStyle w:val="FootnoteReference"/>
        </w:rPr>
        <w:footnoteReference w:id="251"/>
      </w:r>
      <w:r>
        <w:t xml:space="preserve"> This is consistent with SFG's advice to the AEMC </w:t>
      </w:r>
      <w:r w:rsidRPr="00873DA6">
        <w:t>that</w:t>
      </w:r>
      <w:r>
        <w:t>:</w:t>
      </w:r>
      <w:r w:rsidRPr="00873DA6">
        <w:rPr>
          <w:rStyle w:val="FootnoteReference"/>
        </w:rPr>
        <w:footnoteReference w:id="252"/>
      </w:r>
    </w:p>
    <w:p w:rsidR="009E2035" w:rsidRPr="008D3474" w:rsidRDefault="009E2035" w:rsidP="009E2035">
      <w:pPr>
        <w:pStyle w:val="AERquote"/>
      </w:pPr>
      <w:r w:rsidRPr="00993131">
        <w:t>The lack of any transition arrangements in a setting whether the rule change exposes regulated businesses to risks that they did not previously face is likely to be viewed by the market for funds as a signal that a higher degree of regulatory risk should be p</w:t>
      </w:r>
      <w:r w:rsidRPr="008D3474">
        <w:t>riced into their provision of funds. Such an outcome is unlikely to be consistent with the NEO and RPP.</w:t>
      </w:r>
    </w:p>
    <w:p w:rsidR="009E2035" w:rsidRDefault="009E2035" w:rsidP="009E2035">
      <w:pPr>
        <w:pStyle w:val="AERbulletlistfirststyle"/>
      </w:pPr>
      <w:r>
        <w:t>I</w:t>
      </w:r>
      <w:r w:rsidRPr="00873DA6">
        <w:t>ncentives on service providers to adopt efficient financing practices (and thereby minimise their long run cost of capital</w:t>
      </w:r>
      <w:r>
        <w:t xml:space="preserve"> all else being equal</w:t>
      </w:r>
      <w:r w:rsidRPr="00873DA6">
        <w:t>) under the regulatory regime</w:t>
      </w:r>
      <w:r>
        <w:t xml:space="preserve"> may be undermined</w:t>
      </w:r>
      <w:r w:rsidRPr="00873DA6">
        <w:t>.</w:t>
      </w:r>
      <w:r w:rsidRPr="00873DA6">
        <w:rPr>
          <w:rStyle w:val="FootnoteReference"/>
        </w:rPr>
        <w:footnoteReference w:id="253"/>
      </w:r>
      <w:r w:rsidRPr="00873DA6">
        <w:t xml:space="preserve"> </w:t>
      </w:r>
      <w:r>
        <w:t>For instance, by allowing service providers to bear the consequences (or reap the benefits) of their actions from</w:t>
      </w:r>
      <w:r w:rsidRPr="00873DA6">
        <w:t xml:space="preserve"> prior </w:t>
      </w:r>
      <w:r>
        <w:t>regulatory period</w:t>
      </w:r>
      <w:r w:rsidRPr="00873DA6">
        <w:t>s</w:t>
      </w:r>
      <w:r>
        <w:t>, this</w:t>
      </w:r>
      <w:r w:rsidRPr="00873DA6">
        <w:t xml:space="preserve"> </w:t>
      </w:r>
      <w:r>
        <w:t>incentivises them</w:t>
      </w:r>
      <w:r w:rsidRPr="00873DA6">
        <w:t xml:space="preserve"> to efficiently manage financial risk</w:t>
      </w:r>
      <w:r>
        <w:t>.</w:t>
      </w:r>
    </w:p>
    <w:p w:rsidR="009E2035" w:rsidRDefault="009E2035" w:rsidP="009E2035">
      <w:pPr>
        <w:pStyle w:val="HeadingItalic"/>
      </w:pPr>
      <w:r>
        <w:t>Hybrid transitions will not contribute to the achievement of the ARORO</w:t>
      </w:r>
    </w:p>
    <w:p w:rsidR="009E2035" w:rsidRDefault="009E2035" w:rsidP="009E2035">
      <w:pPr>
        <w:rPr>
          <w:rStyle w:val="AERbody"/>
        </w:rPr>
      </w:pPr>
      <w:r>
        <w:rPr>
          <w:rStyle w:val="AERbody"/>
        </w:rPr>
        <w:t xml:space="preserve">As </w:t>
      </w:r>
      <w:r>
        <w:rPr>
          <w:rStyle w:val="AERbody"/>
        </w:rPr>
        <w:fldChar w:fldCharType="begin"/>
      </w:r>
      <w:r>
        <w:rPr>
          <w:rStyle w:val="AERbody"/>
        </w:rPr>
        <w:instrText xml:space="preserve"> REF  _Ref451174220 \* Lower \h </w:instrText>
      </w:r>
      <w:r>
        <w:rPr>
          <w:rStyle w:val="AERbody"/>
        </w:rPr>
      </w:r>
      <w:r>
        <w:rPr>
          <w:rStyle w:val="AERbody"/>
        </w:rPr>
        <w:fldChar w:fldCharType="separate"/>
      </w:r>
      <w:r w:rsidR="00691B4D">
        <w:t xml:space="preserve">table </w:t>
      </w:r>
      <w:r w:rsidR="00691B4D">
        <w:rPr>
          <w:noProof/>
        </w:rPr>
        <w:t>3</w:t>
      </w:r>
      <w:r w:rsidR="00691B4D">
        <w:noBreakHyphen/>
      </w:r>
      <w:r w:rsidR="00691B4D">
        <w:rPr>
          <w:noProof/>
        </w:rPr>
        <w:t>5</w:t>
      </w:r>
      <w:r>
        <w:rPr>
          <w:rStyle w:val="AERbody"/>
        </w:rPr>
        <w:fldChar w:fldCharType="end"/>
      </w:r>
      <w:r>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w:t>
      </w:r>
      <w:r w:rsidRPr="0042237F">
        <w:rPr>
          <w:rStyle w:val="AERbody"/>
        </w:rPr>
        <w:t xml:space="preserve">achieve </w:t>
      </w:r>
      <w:r>
        <w:rPr>
          <w:rStyle w:val="AERbody"/>
        </w:rPr>
        <w:t xml:space="preserve">the ARORO. For this reason, our analysis above on why immediately moving to a trailing average approach will not contribute to the achievement of the ARORO also applies to the hybrid transitions that service providers have proposed. </w:t>
      </w:r>
    </w:p>
    <w:p w:rsidR="009E2035" w:rsidRDefault="009E2035" w:rsidP="009E2035">
      <w:pPr>
        <w:pStyle w:val="Caption"/>
        <w:rPr>
          <w:rStyle w:val="AERbody"/>
        </w:rPr>
      </w:pPr>
      <w:bookmarkStart w:id="89" w:name="_Ref451174220"/>
      <w:r>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5</w:t>
      </w:r>
      <w:r w:rsidR="00AB6D99">
        <w:rPr>
          <w:noProof/>
        </w:rPr>
        <w:fldChar w:fldCharType="end"/>
      </w:r>
      <w:bookmarkEnd w:id="89"/>
      <w:r>
        <w:tab/>
        <w:t>Different transitions to a trailing average</w:t>
      </w:r>
    </w:p>
    <w:tbl>
      <w:tblPr>
        <w:tblStyle w:val="AERtable-text0"/>
        <w:tblW w:w="0" w:type="auto"/>
        <w:tblLook w:val="04A0" w:firstRow="1" w:lastRow="0" w:firstColumn="1" w:lastColumn="0" w:noHBand="0" w:noVBand="1"/>
      </w:tblPr>
      <w:tblGrid>
        <w:gridCol w:w="2556"/>
        <w:gridCol w:w="3089"/>
        <w:gridCol w:w="3048"/>
      </w:tblGrid>
      <w:tr w:rsidR="009E2035" w:rsidTr="009E2035">
        <w:trPr>
          <w:cnfStyle w:val="100000000000" w:firstRow="1" w:lastRow="0" w:firstColumn="0" w:lastColumn="0" w:oddVBand="0" w:evenVBand="0" w:oddHBand="0" w:evenHBand="0" w:firstRowFirstColumn="0" w:firstRowLastColumn="0" w:lastRowFirstColumn="0" w:lastRowLastColumn="0"/>
        </w:trPr>
        <w:tc>
          <w:tcPr>
            <w:tcW w:w="2556" w:type="dxa"/>
          </w:tcPr>
          <w:p w:rsidR="009E2035" w:rsidRPr="009E2035" w:rsidRDefault="009E2035" w:rsidP="009E2035">
            <w:r>
              <w:t>Form of transition</w:t>
            </w:r>
          </w:p>
        </w:tc>
        <w:tc>
          <w:tcPr>
            <w:tcW w:w="3089" w:type="dxa"/>
          </w:tcPr>
          <w:p w:rsidR="009E2035" w:rsidRPr="009E2035" w:rsidRDefault="009E2035" w:rsidP="009E2035">
            <w:r>
              <w:t>Revenue-neutral t</w:t>
            </w:r>
            <w:r w:rsidRPr="009E2035">
              <w:t>ransition by updating 10% per year over 10 years</w:t>
            </w:r>
          </w:p>
        </w:tc>
        <w:tc>
          <w:tcPr>
            <w:tcW w:w="3048" w:type="dxa"/>
          </w:tcPr>
          <w:p w:rsidR="009E2035" w:rsidRPr="009E2035" w:rsidRDefault="009E2035" w:rsidP="009E2035">
            <w:r>
              <w:t>Immediately move to a trailing average approach</w:t>
            </w:r>
          </w:p>
        </w:tc>
      </w:tr>
      <w:tr w:rsidR="009E2035" w:rsidTr="009E2035">
        <w:tc>
          <w:tcPr>
            <w:tcW w:w="2556" w:type="dxa"/>
          </w:tcPr>
          <w:p w:rsidR="009E2035" w:rsidRPr="009E2035" w:rsidRDefault="009E2035" w:rsidP="009E2035">
            <w:r>
              <w:t>Full transition</w:t>
            </w:r>
          </w:p>
        </w:tc>
        <w:tc>
          <w:tcPr>
            <w:tcW w:w="3089" w:type="dxa"/>
          </w:tcPr>
          <w:p w:rsidR="009E2035" w:rsidRPr="009E2035" w:rsidRDefault="009E2035" w:rsidP="00EE3CBB">
            <w:r>
              <w:t xml:space="preserve">100% of base rate + </w:t>
            </w:r>
            <w:r w:rsidR="00EE3CBB">
              <w:t>debt risk premium</w:t>
            </w:r>
          </w:p>
        </w:tc>
        <w:tc>
          <w:tcPr>
            <w:tcW w:w="3048" w:type="dxa"/>
          </w:tcPr>
          <w:p w:rsidR="009E2035" w:rsidRPr="009E2035" w:rsidRDefault="009E2035" w:rsidP="009E2035">
            <w:r>
              <w:t>-</w:t>
            </w:r>
          </w:p>
        </w:tc>
      </w:tr>
      <w:tr w:rsidR="009E2035" w:rsidTr="009E2035">
        <w:trPr>
          <w:cnfStyle w:val="000000010000" w:firstRow="0" w:lastRow="0" w:firstColumn="0" w:lastColumn="0" w:oddVBand="0" w:evenVBand="0" w:oddHBand="0" w:evenHBand="1" w:firstRowFirstColumn="0" w:firstRowLastColumn="0" w:lastRowFirstColumn="0" w:lastRowLastColumn="0"/>
        </w:trPr>
        <w:tc>
          <w:tcPr>
            <w:tcW w:w="2556" w:type="dxa"/>
          </w:tcPr>
          <w:p w:rsidR="009E2035" w:rsidRPr="009E2035" w:rsidRDefault="009E2035" w:rsidP="009E2035">
            <w:r>
              <w:t>Hybrid transition</w:t>
            </w:r>
          </w:p>
        </w:tc>
        <w:tc>
          <w:tcPr>
            <w:tcW w:w="3089" w:type="dxa"/>
          </w:tcPr>
          <w:p w:rsidR="009E2035" w:rsidRPr="009E2035" w:rsidRDefault="009E2035" w:rsidP="009E2035">
            <w:r>
              <w:t>100% of b</w:t>
            </w:r>
            <w:r w:rsidRPr="009E2035">
              <w:t xml:space="preserve">ase rate </w:t>
            </w:r>
          </w:p>
        </w:tc>
        <w:tc>
          <w:tcPr>
            <w:tcW w:w="3048" w:type="dxa"/>
          </w:tcPr>
          <w:p w:rsidR="009E2035" w:rsidRPr="009E2035" w:rsidRDefault="00EE3CBB" w:rsidP="009E2035">
            <w:r>
              <w:t>Debt risk premium</w:t>
            </w:r>
          </w:p>
        </w:tc>
      </w:tr>
      <w:tr w:rsidR="009E2035" w:rsidTr="009E2035">
        <w:tc>
          <w:tcPr>
            <w:tcW w:w="2556" w:type="dxa"/>
          </w:tcPr>
          <w:p w:rsidR="009E2035" w:rsidRPr="009E2035" w:rsidRDefault="009E2035" w:rsidP="009E2035">
            <w:r>
              <w:t>Hybrid transition under partial hedging</w:t>
            </w:r>
          </w:p>
        </w:tc>
        <w:tc>
          <w:tcPr>
            <w:tcW w:w="3089" w:type="dxa"/>
          </w:tcPr>
          <w:p w:rsidR="009E2035" w:rsidRPr="009E2035" w:rsidRDefault="009E2035" w:rsidP="009E2035">
            <w:r>
              <w:t>1/3 of b</w:t>
            </w:r>
            <w:r w:rsidRPr="009E2035">
              <w:t xml:space="preserve">ase rate </w:t>
            </w:r>
          </w:p>
        </w:tc>
        <w:tc>
          <w:tcPr>
            <w:tcW w:w="3048" w:type="dxa"/>
          </w:tcPr>
          <w:p w:rsidR="009E2035" w:rsidRPr="009E2035" w:rsidRDefault="009E2035" w:rsidP="00EE3CBB">
            <w:r>
              <w:t>2/3 of b</w:t>
            </w:r>
            <w:r w:rsidRPr="009E2035">
              <w:t xml:space="preserve">ase rate + </w:t>
            </w:r>
            <w:r w:rsidR="00EE3CBB">
              <w:t>debt risk premium</w:t>
            </w:r>
          </w:p>
        </w:tc>
      </w:tr>
      <w:tr w:rsidR="009E2035" w:rsidTr="009E2035">
        <w:trPr>
          <w:cnfStyle w:val="000000010000" w:firstRow="0" w:lastRow="0" w:firstColumn="0" w:lastColumn="0" w:oddVBand="0" w:evenVBand="0" w:oddHBand="0" w:evenHBand="1" w:firstRowFirstColumn="0" w:firstRowLastColumn="0" w:lastRowFirstColumn="0" w:lastRowLastColumn="0"/>
        </w:trPr>
        <w:tc>
          <w:tcPr>
            <w:tcW w:w="2556" w:type="dxa"/>
          </w:tcPr>
          <w:p w:rsidR="009E2035" w:rsidRPr="009E2035" w:rsidRDefault="009E2035" w:rsidP="009E2035">
            <w:r>
              <w:t>No transition</w:t>
            </w:r>
          </w:p>
        </w:tc>
        <w:tc>
          <w:tcPr>
            <w:tcW w:w="3089" w:type="dxa"/>
          </w:tcPr>
          <w:p w:rsidR="009E2035" w:rsidRPr="009E2035" w:rsidRDefault="009E2035" w:rsidP="009E2035">
            <w:r>
              <w:t>-</w:t>
            </w:r>
          </w:p>
        </w:tc>
        <w:tc>
          <w:tcPr>
            <w:tcW w:w="3048" w:type="dxa"/>
          </w:tcPr>
          <w:p w:rsidR="009E2035" w:rsidRPr="009E2035" w:rsidRDefault="009E2035" w:rsidP="00EE3CBB">
            <w:r>
              <w:t>100% of b</w:t>
            </w:r>
            <w:r w:rsidRPr="009E2035">
              <w:t xml:space="preserve">ase rate + </w:t>
            </w:r>
            <w:r w:rsidR="00EE3CBB">
              <w:t>debt risk premium</w:t>
            </w:r>
          </w:p>
        </w:tc>
      </w:tr>
    </w:tbl>
    <w:p w:rsidR="009E2035" w:rsidRDefault="009E2035" w:rsidP="009E2035">
      <w:pPr>
        <w:pStyle w:val="AERtablesource"/>
      </w:pPr>
      <w:r>
        <w:t xml:space="preserve">Source: </w:t>
      </w:r>
      <w:r>
        <w:tab/>
        <w:t>AER analysis.</w:t>
      </w:r>
    </w:p>
    <w:p w:rsidR="009E2035" w:rsidRPr="00785554" w:rsidRDefault="009E2035" w:rsidP="009E2035">
      <w:r>
        <w:t xml:space="preserve">For clarity, we also emphasise why the logic underpinning the use of </w:t>
      </w:r>
      <w:r w:rsidRPr="00785554">
        <w:t xml:space="preserve">a hybrid transition is problematic. By basing service providers' debt allowance on a 10 year historical </w:t>
      </w:r>
      <w:r w:rsidR="00EE3CBB">
        <w:t>debt risk premium</w:t>
      </w:r>
      <w:r w:rsidRPr="00785554">
        <w:t xml:space="preserve">, a hybrid transition effectively removes realised losses or gains from </w:t>
      </w:r>
      <w:r w:rsidRPr="00785554">
        <w:lastRenderedPageBreak/>
        <w:t>interest rate risk that they had previously borne. This reasoning also applies to an immediate transition.</w:t>
      </w:r>
    </w:p>
    <w:p w:rsidR="009E2035" w:rsidRPr="00785554" w:rsidRDefault="009E2035" w:rsidP="009E2035">
      <w:r>
        <w:t>As the services providers operate under an ex-ante regulatory regime, we consider the ARORO requires us to provide ex-ante efficient compensation. This does not entail compensating</w:t>
      </w:r>
      <w:r w:rsidRPr="00785554">
        <w:t xml:space="preserve"> for historically incurred costs. That would be cost of service regulation, not incentive regulation. Investors have invested accepting the interest rate risk from the on-the-day approach, and we have already appropriately compensated service providers for bearing this risk. For both reasons, removing the outcomes of this risk ex-post would not contribute to the achievement of the ARORO.</w:t>
      </w:r>
      <w:r w:rsidRPr="00785554">
        <w:rPr>
          <w:rStyle w:val="FootnoteReference"/>
        </w:rPr>
        <w:footnoteReference w:id="254"/>
      </w:r>
      <w:r w:rsidRPr="00785554">
        <w:t xml:space="preserve">  </w:t>
      </w:r>
    </w:p>
    <w:p w:rsidR="009E2035" w:rsidRPr="00785554" w:rsidRDefault="009E2035" w:rsidP="009E2035">
      <w:r>
        <w:t xml:space="preserve">Further, we </w:t>
      </w:r>
      <w:r w:rsidRPr="00785554">
        <w:t>consider that we have appropriately compensated investors for the risks they faced when we set the allowed return on debt using the on-the-day approach. This is because:</w:t>
      </w:r>
    </w:p>
    <w:p w:rsidR="009E2035" w:rsidRDefault="009E2035" w:rsidP="009E2035">
      <w:pPr>
        <w:pStyle w:val="AERbulletlistfirststyle"/>
      </w:pPr>
      <w:r>
        <w:t xml:space="preserve">We have set the allowed return on debt using the on-the-day approach </w:t>
      </w:r>
      <w:r w:rsidRPr="00A71C98">
        <w:t>for many years.</w:t>
      </w:r>
      <w:r w:rsidRPr="00A71C98">
        <w:rPr>
          <w:rStyle w:val="FootnoteReference"/>
        </w:rPr>
        <w:footnoteReference w:id="255"/>
      </w:r>
      <w:r>
        <w:t xml:space="preserve"> As such, when we applied the on-the-day approach, investors in a benchmark efficient entity would have expected us to reset</w:t>
      </w:r>
      <w:r w:rsidRPr="00A71C98">
        <w:t xml:space="preserve"> the return on debt</w:t>
      </w:r>
      <w:r>
        <w:t xml:space="preserve"> at the start </w:t>
      </w:r>
      <w:r w:rsidRPr="00A71C98">
        <w:t>of each</w:t>
      </w:r>
      <w:r>
        <w:t xml:space="preserve"> regulatory period</w:t>
      </w:r>
      <w:r w:rsidRPr="00A71C98">
        <w:t xml:space="preserve"> and accepted any risks</w:t>
      </w:r>
      <w:r>
        <w:t xml:space="preserve"> associated with this approach. When we proposed moving to a trailing average in the Guideline, this proposal was contingent on applying a transition so that the value of the firm aligned with previous investor expectations under the on-the-day regime.</w:t>
      </w:r>
    </w:p>
    <w:p w:rsidR="009E2035" w:rsidRDefault="009E2035" w:rsidP="009E2035">
      <w:pPr>
        <w:pStyle w:val="AERbulletlistfirststyle"/>
      </w:pPr>
      <w:r>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Pr>
          <w:rStyle w:val="FootnoteReference"/>
        </w:rPr>
        <w:footnoteReference w:id="256"/>
      </w:r>
    </w:p>
    <w:p w:rsidR="009E2035" w:rsidRDefault="009E2035" w:rsidP="009E2035">
      <w:r>
        <w:rPr>
          <w:rStyle w:val="AERbody"/>
        </w:rPr>
        <w:t xml:space="preserve">Further, </w:t>
      </w:r>
      <w:r>
        <w:t>w</w:t>
      </w:r>
      <w:r w:rsidRPr="009F377E">
        <w:t>e consider a full transition necessary to satisfy the ARORO and NEO/NGO even if firms partially hedged</w:t>
      </w:r>
      <w:r>
        <w:t xml:space="preserve">. </w:t>
      </w:r>
      <w:r w:rsidRPr="009F377E">
        <w:t xml:space="preserve">It is also worth noting that service providers </w:t>
      </w:r>
      <w:r>
        <w:t xml:space="preserve">proposing this transition </w:t>
      </w:r>
      <w:r w:rsidRPr="009F377E">
        <w:t xml:space="preserve">did not appear to hold the view </w:t>
      </w:r>
      <w:r>
        <w:t xml:space="preserve">that hedging one third of the base rate was optimal </w:t>
      </w:r>
      <w:r w:rsidRPr="009F377E">
        <w:t>ex-ante because they appeared to have hedged nearly their entire base rate in practice.</w:t>
      </w:r>
      <w:r w:rsidRPr="009F377E">
        <w:rPr>
          <w:rStyle w:val="FootnoteReference"/>
        </w:rPr>
        <w:footnoteReference w:id="257"/>
      </w:r>
    </w:p>
    <w:p w:rsidR="009E2035" w:rsidRDefault="009E2035" w:rsidP="009E2035">
      <w:pPr>
        <w:pStyle w:val="HeadingBoldItalic"/>
      </w:pPr>
      <w:r>
        <w:lastRenderedPageBreak/>
        <w:t>General problems with using approaches based on historical data</w:t>
      </w:r>
    </w:p>
    <w:p w:rsidR="009E2035" w:rsidRPr="009F3831" w:rsidRDefault="009E2035" w:rsidP="009E2035">
      <w:r>
        <w:t>Both the immediate and hybrid forms of transition to the trailing average rely on using historical data</w:t>
      </w:r>
      <w:r w:rsidRPr="009F3831">
        <w:t xml:space="preserve"> to estimate the allowed return on debt. We consider this has the following problems:</w:t>
      </w:r>
    </w:p>
    <w:p w:rsidR="009E2035" w:rsidRDefault="009E2035" w:rsidP="009E2035">
      <w:pPr>
        <w:pStyle w:val="AERbulletlistfirststyle"/>
      </w:pPr>
      <w:r>
        <w:t xml:space="preserve">All of these transition paths would produce a return on debt allowance that effectively removes </w:t>
      </w:r>
      <w:r w:rsidRPr="00AC4D63">
        <w:t xml:space="preserve">interest rate risk </w:t>
      </w:r>
      <w:r>
        <w:t xml:space="preserve">(to at least some extent) </w:t>
      </w:r>
      <w:r w:rsidRPr="00AC4D63">
        <w:t xml:space="preserve">incurred in prior </w:t>
      </w:r>
      <w:r>
        <w:t>regulatory period</w:t>
      </w:r>
      <w:r w:rsidRPr="00AC4D63">
        <w:t>s</w:t>
      </w:r>
      <w:r>
        <w:t>. A benchmark efficient entity</w:t>
      </w:r>
      <w:r w:rsidRPr="00AC4D63">
        <w:t xml:space="preserve"> </w:t>
      </w:r>
      <w:r>
        <w:t xml:space="preserve">was </w:t>
      </w:r>
      <w:r w:rsidRPr="00AC4D63">
        <w:t>required to bear and manage</w:t>
      </w:r>
      <w:r>
        <w:t xml:space="preserve"> this risk under the on-the-day approach. As such, these transition paths alter the service providers' historic</w:t>
      </w:r>
      <w:r w:rsidRPr="00AC4D63">
        <w:t xml:space="preserve"> </w:t>
      </w:r>
      <w:r>
        <w:t xml:space="preserve">risk profiles </w:t>
      </w:r>
      <w:r w:rsidRPr="005772E3">
        <w:rPr>
          <w:rStyle w:val="AERtextunderline"/>
        </w:rPr>
        <w:t>after</w:t>
      </w:r>
      <w:r>
        <w:t xml:space="preserve"> they have made decisions on how to </w:t>
      </w:r>
      <w:r w:rsidRPr="00AC4D63">
        <w:t xml:space="preserve">manage </w:t>
      </w:r>
      <w:r>
        <w:t xml:space="preserve">their </w:t>
      </w:r>
      <w:r w:rsidRPr="00AC4D63">
        <w:t>financial risk</w:t>
      </w:r>
      <w:r>
        <w:t>.</w:t>
      </w:r>
    </w:p>
    <w:p w:rsidR="009E2035" w:rsidRPr="006451AF" w:rsidRDefault="009E2035" w:rsidP="009E2035">
      <w:pPr>
        <w:pStyle w:val="AERbulletlistfirststyle"/>
      </w:pPr>
      <w:r>
        <w:t>C</w:t>
      </w:r>
      <w:r w:rsidRPr="00614DDA">
        <w:t xml:space="preserve">hoosing an approach that uses historical data after </w:t>
      </w:r>
      <w:r>
        <w:t xml:space="preserve">parties already know </w:t>
      </w:r>
      <w:r w:rsidRPr="00614DDA">
        <w:t>the results of that historical data</w:t>
      </w:r>
      <w:r>
        <w:t xml:space="preserve"> has the</w:t>
      </w:r>
      <w:r w:rsidRPr="00614DDA">
        <w:t xml:space="preserve"> potential</w:t>
      </w:r>
      <w:r>
        <w:t xml:space="preserve"> to bias</w:t>
      </w:r>
      <w:r w:rsidRPr="00614DDA">
        <w:t xml:space="preserve"> regulatory decision</w:t>
      </w:r>
      <w:r>
        <w:t>s. In previous decisions, we have explained that when parties (whether they be service providers, the Tribunal, or ourselves) choose</w:t>
      </w:r>
      <w:r w:rsidRPr="002900B0">
        <w:t xml:space="preserve"> </w:t>
      </w:r>
      <w:r>
        <w:t xml:space="preserve">historical </w:t>
      </w:r>
      <w:r w:rsidRPr="002900B0">
        <w:t>averaging period</w:t>
      </w:r>
      <w:r>
        <w:t>s</w:t>
      </w:r>
      <w:r w:rsidRPr="002900B0">
        <w:t>, the knowledge of the return on debt at any past point may influence the choice.</w:t>
      </w:r>
      <w:r>
        <w:rPr>
          <w:rStyle w:val="FootnoteReference"/>
        </w:rPr>
        <w:footnoteReference w:id="258"/>
      </w:r>
      <w:r w:rsidRPr="002900B0">
        <w:t xml:space="preserve"> </w:t>
      </w:r>
      <w:r>
        <w:t xml:space="preserve">For example, </w:t>
      </w:r>
      <w:r w:rsidRPr="002900B0">
        <w:t>if a service provider could select an averaging period by looking at historical yields, it could introduce an upward bias.</w:t>
      </w:r>
      <w:r w:rsidRPr="002900B0">
        <w:rPr>
          <w:rStyle w:val="AERsuperscript"/>
        </w:rPr>
        <w:footnoteReference w:id="259"/>
      </w:r>
      <w:r>
        <w:t xml:space="preserve"> This is one of  the reasons why, when recommending </w:t>
      </w:r>
      <w:r w:rsidRPr="006451AF">
        <w:t>a gradual transition into the trailing average approach, QTC stated:</w:t>
      </w:r>
    </w:p>
    <w:p w:rsidR="009E2035" w:rsidRPr="0027558F" w:rsidRDefault="009E2035" w:rsidP="009E2035">
      <w:pPr>
        <w:pStyle w:val="AERquote"/>
        <w:rPr>
          <w:rStyle w:val="AERsuperscript"/>
        </w:rPr>
      </w:pPr>
      <w:r w:rsidRPr="006451AF">
        <w:t>The transitional rule ensures that the NSP is not able to receive a higher initial rate simply by electing to use the moving average approach. It also avoids the need to reach agreement on the return on debt calculation for each of the preceding nine years</w:t>
      </w:r>
      <w:r w:rsidRPr="0027558F">
        <w:rPr>
          <w:rStyle w:val="AERsuperscript"/>
        </w:rPr>
        <w:t>.</w:t>
      </w:r>
      <w:r w:rsidRPr="0027558F">
        <w:rPr>
          <w:rStyle w:val="AERsuperscript"/>
        </w:rPr>
        <w:footnoteReference w:id="260"/>
      </w:r>
    </w:p>
    <w:p w:rsidR="009E2035" w:rsidRDefault="009E2035" w:rsidP="009E2035">
      <w:pPr>
        <w:pStyle w:val="AERbulletlistfirststyle"/>
      </w:pPr>
      <w:r>
        <w:t>In previous decisions, we have observed there are practical problems with using historical data dating back nine years.</w:t>
      </w:r>
      <w:r>
        <w:rPr>
          <w:rStyle w:val="FootnoteReference"/>
        </w:rPr>
        <w:footnoteReference w:id="261"/>
      </w:r>
      <w:r>
        <w:t xml:space="preserve"> In particular,</w:t>
      </w:r>
      <w:r w:rsidRPr="00756A0D">
        <w:t xml:space="preserve"> </w:t>
      </w:r>
      <w:r>
        <w:t xml:space="preserve">high quality and readily available historical data is unavailable for the </w:t>
      </w:r>
      <w:r w:rsidR="00EE3CBB">
        <w:t>debt risk premium</w:t>
      </w:r>
      <w:r>
        <w:t xml:space="preserve"> component of the return on debt.</w:t>
      </w:r>
      <w:r>
        <w:rPr>
          <w:rStyle w:val="FootnoteReference"/>
        </w:rPr>
        <w:footnoteReference w:id="262"/>
      </w:r>
      <w:r w:rsidRPr="00756A0D">
        <w:t xml:space="preserve"> </w:t>
      </w:r>
      <w:r>
        <w:t>There</w:t>
      </w:r>
      <w:r w:rsidRPr="00756A0D">
        <w:t xml:space="preserve"> is </w:t>
      </w:r>
      <w:r>
        <w:t xml:space="preserve">also </w:t>
      </w:r>
      <w:r w:rsidRPr="00756A0D">
        <w:t>no consensus among service providers on how to estimate the historical debt risk premium.</w:t>
      </w:r>
      <w:r>
        <w:t xml:space="preserve"> Moreover, the </w:t>
      </w:r>
      <w:r w:rsidRPr="00756A0D">
        <w:t>results of the different data series vary considerably</w:t>
      </w:r>
      <w:r>
        <w:t xml:space="preserve"> with Lally observing:</w:t>
      </w:r>
      <w:r>
        <w:rPr>
          <w:rStyle w:val="FootnoteReference"/>
        </w:rPr>
        <w:footnoteReference w:id="263"/>
      </w:r>
    </w:p>
    <w:p w:rsidR="009E2035" w:rsidRDefault="009E2035" w:rsidP="009E2035">
      <w:pPr>
        <w:pStyle w:val="AERquote"/>
      </w:pPr>
      <w:r w:rsidRPr="00756A0D">
        <w:lastRenderedPageBreak/>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9E2035" w:rsidRDefault="009E2035" w:rsidP="009E2035">
      <w:pPr>
        <w:pStyle w:val="HeadingBoldBlue"/>
      </w:pPr>
      <w:r>
        <w:t>Implementing the return on debt approach</w:t>
      </w:r>
    </w:p>
    <w:p w:rsidR="009E2035" w:rsidRDefault="009E2035" w:rsidP="009E2035">
      <w:r>
        <w:t xml:space="preserve">In the previous section, we set out our approach to estimating the allowed return on debt. This approach involves estimating the allowed return on debt using the on-the-day approach gradually transitioning into a trailing average approach over 10 years. This gradual transition will occur through updating 10 per cent of the allowed return on debt each year to reflect prevailing market conditions during </w:t>
      </w:r>
      <w:r w:rsidR="00CC713F">
        <w:t xml:space="preserve">TasNetworks' </w:t>
      </w:r>
      <w:r>
        <w:t>averaging period for that year.</w:t>
      </w:r>
    </w:p>
    <w:p w:rsidR="009E2035" w:rsidRDefault="009E2035" w:rsidP="009E2035">
      <w:r>
        <w:t xml:space="preserve">In this section, we set out our considerations on the implementation </w:t>
      </w:r>
      <w:r w:rsidR="0097418D">
        <w:t>of</w:t>
      </w:r>
      <w:r>
        <w:t xml:space="preserve"> the allowed return on debt approach. These </w:t>
      </w:r>
      <w:r w:rsidR="0097418D">
        <w:t>considerations</w:t>
      </w:r>
      <w:r>
        <w:t xml:space="preserve"> are:</w:t>
      </w:r>
    </w:p>
    <w:p w:rsidR="009E2035" w:rsidRPr="00DB6EB5" w:rsidRDefault="009E2035" w:rsidP="009E2035">
      <w:pPr>
        <w:pStyle w:val="AERbulletlistfirststyle"/>
      </w:pPr>
      <w:r>
        <w:t>the term of debt issued by a benchmark efficient entity</w:t>
      </w:r>
    </w:p>
    <w:p w:rsidR="009E2035" w:rsidRPr="00DB6EB5" w:rsidRDefault="009E2035" w:rsidP="009E2035">
      <w:pPr>
        <w:pStyle w:val="AERbulletlistfirststyle"/>
      </w:pPr>
      <w:r>
        <w:t>the credit rating of a benchmark efficient entity</w:t>
      </w:r>
    </w:p>
    <w:p w:rsidR="009E2035" w:rsidRDefault="009E2035" w:rsidP="009E2035">
      <w:pPr>
        <w:pStyle w:val="AERbulletlistfirststyle"/>
      </w:pPr>
      <w:r>
        <w:t>whether to use an independent third party data series or to construct our own data series (for example, based on an index of actual industry borrowing costs)</w:t>
      </w:r>
    </w:p>
    <w:p w:rsidR="009E2035" w:rsidRPr="00DB6EB5" w:rsidRDefault="009E2035" w:rsidP="009E2035">
      <w:pPr>
        <w:pStyle w:val="AERbulletlistfirststyle"/>
      </w:pPr>
      <w:r>
        <w:t>the choice of third party data series (or combination of data series) to estimate the efficient debt financing costs of a benchmark efficient entity, based on the benchmark debt term and benchmark credit rating</w:t>
      </w:r>
    </w:p>
    <w:p w:rsidR="0097418D" w:rsidRDefault="0097418D" w:rsidP="009E2035">
      <w:pPr>
        <w:pStyle w:val="AERbulletlistfirststyle"/>
      </w:pPr>
      <w:r>
        <w:t>the formula used to calculate the trailing average return on debt</w:t>
      </w:r>
    </w:p>
    <w:p w:rsidR="009E2035" w:rsidRPr="00DB6EB5" w:rsidRDefault="009E2035" w:rsidP="009E2035">
      <w:pPr>
        <w:pStyle w:val="AERbulletlistfirststyle"/>
      </w:pPr>
      <w:r>
        <w:t>extrapolation and interpolation issues with adjusting our choice of data series</w:t>
      </w:r>
    </w:p>
    <w:p w:rsidR="0097418D" w:rsidRPr="00DB6EB5" w:rsidRDefault="0097418D" w:rsidP="0097418D">
      <w:pPr>
        <w:pStyle w:val="AERbulletlistfirststyle"/>
      </w:pPr>
      <w:r>
        <w:t>the averaging period used to estimate the return on debt for each regulatory year</w:t>
      </w:r>
    </w:p>
    <w:p w:rsidR="0097418D" w:rsidRDefault="0097418D" w:rsidP="0097418D">
      <w:pPr>
        <w:pStyle w:val="AERbulletlistfirststyle"/>
      </w:pPr>
      <w:r>
        <w:t>a step-by-step guide to calculating the return on debt</w:t>
      </w:r>
    </w:p>
    <w:p w:rsidR="0097418D" w:rsidRDefault="0097418D" w:rsidP="0097418D">
      <w:pPr>
        <w:pStyle w:val="AERbulletlistfirststyle"/>
      </w:pPr>
      <w:r>
        <w:t>the timing of the annual process to update the return on debt</w:t>
      </w:r>
    </w:p>
    <w:p w:rsidR="009E2035" w:rsidRDefault="009E2035" w:rsidP="009E2035">
      <w:pPr>
        <w:pStyle w:val="AERbulletlistfirststyle"/>
      </w:pPr>
      <w:r>
        <w:t>contingencies associated with implementing our choice of data series, if the data series we have chosen to estimate the return on debt are unavailable or change in future regulatory years during the regulatory period</w:t>
      </w:r>
      <w:r w:rsidR="0097418D">
        <w:t>.</w:t>
      </w:r>
    </w:p>
    <w:p w:rsidR="0097418D" w:rsidRDefault="0097418D" w:rsidP="009E2035">
      <w:r>
        <w:t>These matters are discussed in turn below.</w:t>
      </w:r>
    </w:p>
    <w:p w:rsidR="009E2035" w:rsidRDefault="009E2035" w:rsidP="009E2035">
      <w:r>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9E2035" w:rsidRDefault="009E2035" w:rsidP="009E2035">
      <w:r>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97418D" w:rsidRPr="00FB18DC" w:rsidRDefault="0097418D" w:rsidP="0097418D">
      <w:r>
        <w:lastRenderedPageBreak/>
        <w:t>Our return on debt</w:t>
      </w:r>
      <w:r w:rsidRPr="00FB18DC">
        <w:t xml:space="preserve"> approach involves annual updates to the return on debt.</w:t>
      </w:r>
      <w:r w:rsidRPr="00FB18DC">
        <w:rPr>
          <w:rStyle w:val="FootnoteReference"/>
        </w:rPr>
        <w:footnoteReference w:id="264"/>
      </w:r>
      <w:r w:rsidRPr="00FB18DC">
        <w:t xml:space="preserve"> The</w:t>
      </w:r>
      <w:r>
        <w:t xml:space="preserve"> NER</w:t>
      </w:r>
      <w:r w:rsidRPr="00FB18DC">
        <w:t xml:space="preserve"> require that the change to </w:t>
      </w:r>
      <w:r w:rsidR="00CC713F">
        <w:t xml:space="preserve">TasNetworks' </w:t>
      </w:r>
      <w:r w:rsidRPr="00FB18DC">
        <w:t xml:space="preserve">annual building block revenue requirement </w:t>
      </w:r>
      <w:r>
        <w:t xml:space="preserve">resulting from updating the return on debt </w:t>
      </w:r>
      <w:r w:rsidRPr="00FB18DC">
        <w:t xml:space="preserve">is to be effected through a formula specified in the </w:t>
      </w:r>
      <w:r>
        <w:t xml:space="preserve">revenue </w:t>
      </w:r>
      <w:r w:rsidRPr="00FB18DC">
        <w:t>determination.</w:t>
      </w:r>
      <w:r w:rsidRPr="00FB18DC">
        <w:rPr>
          <w:rStyle w:val="FootnoteReference"/>
        </w:rPr>
        <w:footnoteReference w:id="265"/>
      </w:r>
      <w:r w:rsidRPr="00FB18DC">
        <w:t xml:space="preserve"> For the purposes of clause 6.5.2(L)</w:t>
      </w:r>
      <w:r>
        <w:t>,</w:t>
      </w:r>
      <w:r w:rsidRPr="00FB18DC">
        <w:t xml:space="preserve"> our</w:t>
      </w:r>
      <w:r>
        <w:t xml:space="preserve"> draft</w:t>
      </w:r>
      <w:r w:rsidRPr="00FB18DC">
        <w:t xml:space="preserve"> decision is that the resulting change to </w:t>
      </w:r>
      <w:r w:rsidR="00CC713F">
        <w:t xml:space="preserve">TasNetworks' </w:t>
      </w:r>
      <w:r w:rsidRPr="00FB18DC">
        <w:t>annual building block revenue requirement is to be effected through:</w:t>
      </w:r>
    </w:p>
    <w:p w:rsidR="0097418D" w:rsidRPr="00FB18DC" w:rsidRDefault="0097418D" w:rsidP="0097418D">
      <w:pPr>
        <w:pStyle w:val="AERbulletlistfirststyle"/>
      </w:pPr>
      <w:r w:rsidRPr="00FB18DC">
        <w:t>the automatic application of the return on debt methodo</w:t>
      </w:r>
      <w:r>
        <w:t>logy specified in this section</w:t>
      </w:r>
    </w:p>
    <w:p w:rsidR="0097418D" w:rsidRPr="00FB18DC" w:rsidRDefault="0097418D" w:rsidP="0097418D">
      <w:pPr>
        <w:pStyle w:val="AERbulletlistfirststyle"/>
      </w:pPr>
      <w:r w:rsidRPr="00FB18DC">
        <w:t>using the return on debt averaging periods specified in confidential appendix</w:t>
      </w:r>
      <w:r>
        <w:t xml:space="preserve"> </w:t>
      </w:r>
      <w:r>
        <w:fldChar w:fldCharType="begin"/>
      </w:r>
      <w:r>
        <w:instrText xml:space="preserve"> REF _Ref457823842 \r \h </w:instrText>
      </w:r>
      <w:r>
        <w:fldChar w:fldCharType="separate"/>
      </w:r>
      <w:r w:rsidR="00691B4D">
        <w:t>D</w:t>
      </w:r>
      <w:r>
        <w:fldChar w:fldCharType="end"/>
      </w:r>
      <w:r w:rsidRPr="00FB18DC">
        <w:t>, and</w:t>
      </w:r>
    </w:p>
    <w:p w:rsidR="0097418D" w:rsidRPr="00A42A22" w:rsidRDefault="0097418D" w:rsidP="0097418D">
      <w:pPr>
        <w:pStyle w:val="AERbulletlistfirststyle"/>
      </w:pPr>
      <w:r w:rsidRPr="00FB18DC">
        <w:t xml:space="preserve">implemented using </w:t>
      </w:r>
      <w:r w:rsidR="00CC713F">
        <w:t>TasNetworks'</w:t>
      </w:r>
      <w:r w:rsidR="00CC713F" w:rsidRPr="00FB18DC">
        <w:t xml:space="preserve"> </w:t>
      </w:r>
      <w:r w:rsidRPr="00FB18DC">
        <w:t xml:space="preserve">final determination post-tax revenue model (PTRM) in accordance with section 3 of the AER's PTRM handbook for </w:t>
      </w:r>
      <w:r w:rsidR="00CC713F">
        <w:t xml:space="preserve">distribution </w:t>
      </w:r>
      <w:r w:rsidRPr="00FB18DC">
        <w:t>network service providers.</w:t>
      </w:r>
      <w:r w:rsidRPr="00A42A22">
        <w:rPr>
          <w:rStyle w:val="FootnoteReference"/>
        </w:rPr>
        <w:footnoteReference w:id="266"/>
      </w:r>
    </w:p>
    <w:p w:rsidR="009E2035" w:rsidRDefault="009E2035" w:rsidP="009E2035">
      <w:pPr>
        <w:pStyle w:val="HeadingBoldItalic"/>
      </w:pPr>
      <w:r>
        <w:t>Term</w:t>
      </w:r>
    </w:p>
    <w:p w:rsidR="009E2035" w:rsidRPr="001B05B2" w:rsidRDefault="009E2035" w:rsidP="009E2035">
      <w:r w:rsidRPr="001B05B2">
        <w:t xml:space="preserve">Our </w:t>
      </w:r>
      <w:r>
        <w:t xml:space="preserve">draft </w:t>
      </w:r>
      <w:r w:rsidRPr="001B05B2">
        <w:t xml:space="preserve">decision is to adopt a ten year term for the return on debt. This is </w:t>
      </w:r>
      <w:r>
        <w:t xml:space="preserve">consistent with </w:t>
      </w:r>
      <w:r w:rsidRPr="001B05B2">
        <w:t xml:space="preserve">the </w:t>
      </w:r>
      <w:r>
        <w:t>G</w:t>
      </w:r>
      <w:r w:rsidRPr="001B05B2">
        <w:t>uideline</w:t>
      </w:r>
      <w:r>
        <w:t xml:space="preserve"> and with </w:t>
      </w:r>
      <w:r w:rsidR="00CC713F">
        <w:t xml:space="preserve">TasNetworks' </w:t>
      </w:r>
      <w:r>
        <w:t>regulatory proposal</w:t>
      </w:r>
      <w:r w:rsidRPr="001B05B2">
        <w:t>.</w:t>
      </w:r>
      <w:r>
        <w:rPr>
          <w:rStyle w:val="FootnoteReference"/>
        </w:rPr>
        <w:footnoteReference w:id="267"/>
      </w:r>
      <w:r>
        <w:t xml:space="preserve"> </w:t>
      </w:r>
    </w:p>
    <w:p w:rsidR="009E2035" w:rsidRPr="001B05B2" w:rsidRDefault="009E2035" w:rsidP="009E2035">
      <w:r>
        <w:t>We</w:t>
      </w:r>
      <w:r w:rsidRPr="001B05B2">
        <w:t xml:space="preserve"> are satisfied that </w:t>
      </w:r>
      <w:r>
        <w:t>measuring the allowed return on debt by reference to a 10</w:t>
      </w:r>
      <w:r w:rsidRPr="001B05B2">
        <w:t xml:space="preserve"> year </w:t>
      </w:r>
      <w:r>
        <w:t xml:space="preserve">benchmark term is commensurate with </w:t>
      </w:r>
      <w:r w:rsidRPr="001B05B2">
        <w:t xml:space="preserve">the efficient </w:t>
      </w:r>
      <w:r>
        <w:t xml:space="preserve">financing </w:t>
      </w:r>
      <w:r w:rsidRPr="001B05B2">
        <w:t>costs o</w:t>
      </w:r>
      <w:r>
        <w:t>f a benchmark efficient entity. Our</w:t>
      </w:r>
      <w:r w:rsidRPr="001B05B2">
        <w:t xml:space="preserve"> reasons for </w:t>
      </w:r>
      <w:r>
        <w:t>adopting a 10 year benchmark debt term are</w:t>
      </w:r>
      <w:r w:rsidRPr="001B05B2">
        <w:t>:</w:t>
      </w:r>
    </w:p>
    <w:p w:rsidR="009E2035" w:rsidRPr="005F0BC7" w:rsidRDefault="009E2035" w:rsidP="009E2035">
      <w:pPr>
        <w:pStyle w:val="AERbulletlistfirststyle"/>
      </w:pPr>
      <w:r w:rsidRPr="001B05B2">
        <w:t xml:space="preserve">A long debt tenor is consistent with the long lived assets of </w:t>
      </w:r>
      <w:r w:rsidRPr="005F0BC7">
        <w:t>a benchmark efficient entity and reduces refinancing risk.</w:t>
      </w:r>
    </w:p>
    <w:p w:rsidR="009E2035" w:rsidRPr="005F0BC7" w:rsidRDefault="009E2035" w:rsidP="009E2035">
      <w:pPr>
        <w:pStyle w:val="AERbulletlistfirststyle"/>
      </w:pPr>
      <w:r w:rsidRPr="001B05B2">
        <w:t>A 10 year term is similar to (though somewhat longer than) the industry average term at issuance of a sample of firms that are comparable to the benchmark efficient entity.</w:t>
      </w:r>
    </w:p>
    <w:p w:rsidR="009E2035" w:rsidRPr="001B05B2" w:rsidRDefault="009E2035" w:rsidP="009E2035">
      <w:r w:rsidRPr="001B05B2">
        <w:t xml:space="preserve">Regulated network assets are long lived, and have asset lives that are longer than the terms commonly available for debt. Refinancing risk is the risk that a firm would not be able to </w:t>
      </w:r>
      <w:r>
        <w:t>re</w:t>
      </w:r>
      <w:r w:rsidRPr="001B05B2">
        <w:t xml:space="preserv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w:t>
      </w:r>
      <w:r>
        <w:t>a</w:t>
      </w:r>
      <w:r w:rsidRPr="001B05B2">
        <w:t xml:space="preserve"> benchmark efficient entity </w:t>
      </w:r>
      <w:r>
        <w:t>would</w:t>
      </w:r>
      <w:r w:rsidRPr="001B05B2">
        <w:t xml:space="preserve"> be long term, but they do not provide clear guidance on wh</w:t>
      </w:r>
      <w:r>
        <w:t>at exactly that term should be.</w:t>
      </w:r>
    </w:p>
    <w:p w:rsidR="009E2035" w:rsidRPr="00E761F9" w:rsidRDefault="009E2035" w:rsidP="009E2035">
      <w:r w:rsidRPr="001B05B2">
        <w:lastRenderedPageBreak/>
        <w:t>For that reason, in our Guideline, we requested information from a range of privately owned service providers on the amount, type, term and credit rating of their debt issuances.</w:t>
      </w:r>
      <w:r>
        <w:rPr>
          <w:rStyle w:val="FootnoteReference"/>
        </w:rPr>
        <w:footnoteReference w:id="268"/>
      </w:r>
      <w:r w:rsidRPr="001B05B2">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Pr>
          <w:rStyle w:val="FootnoteReference"/>
        </w:rPr>
        <w:footnoteReference w:id="269"/>
      </w:r>
    </w:p>
    <w:p w:rsidR="006969CD" w:rsidRDefault="006969CD" w:rsidP="006969CD">
      <w:pPr>
        <w:pStyle w:val="HeadingBoldItalic"/>
      </w:pPr>
      <w:r>
        <w:t>Credit rating</w:t>
      </w:r>
    </w:p>
    <w:p w:rsidR="006969CD" w:rsidRDefault="006969CD" w:rsidP="006969CD">
      <w:r w:rsidRPr="00235F75">
        <w:t>Our</w:t>
      </w:r>
      <w:r>
        <w:t xml:space="preserve"> draft</w:t>
      </w:r>
      <w:r w:rsidRPr="00235F75">
        <w:t xml:space="preserve"> decision is to adopt a BBB+ </w:t>
      </w:r>
      <w:r>
        <w:t xml:space="preserve">benchmark </w:t>
      </w:r>
      <w:r w:rsidRPr="00235F75">
        <w:t xml:space="preserve">credit rating to estimate the return on debt. </w:t>
      </w:r>
      <w:r>
        <w:t xml:space="preserve">This benchmark credit </w:t>
      </w:r>
      <w:r w:rsidRPr="00235F75">
        <w:t>rating is the same rating we proposed in the Guideline</w:t>
      </w:r>
      <w:r>
        <w:t xml:space="preserve"> and applied in our most recent decisions.</w:t>
      </w:r>
      <w:r>
        <w:rPr>
          <w:rStyle w:val="FootnoteReference"/>
        </w:rPr>
        <w:footnoteReference w:id="270"/>
      </w:r>
      <w:r>
        <w:t xml:space="preserve"> We also applied this credit rating to decisions that were upheld before the Tribunal.</w:t>
      </w:r>
      <w:r>
        <w:rPr>
          <w:rStyle w:val="FootnoteReference"/>
        </w:rPr>
        <w:footnoteReference w:id="271"/>
      </w:r>
    </w:p>
    <w:p w:rsidR="006969CD" w:rsidRDefault="006969CD" w:rsidP="006969CD">
      <w:r>
        <w:t xml:space="preserve">In </w:t>
      </w:r>
      <w:r w:rsidR="00B64658">
        <w:t>recent</w:t>
      </w:r>
      <w:r>
        <w:t xml:space="preserve"> regulatory processes, different service providers, consultants and other stakeholders have proposed different credit ratings for the benchmark efficient entity. In particular:</w:t>
      </w:r>
    </w:p>
    <w:p w:rsidR="006969CD" w:rsidRDefault="006969CD" w:rsidP="006969CD">
      <w:pPr>
        <w:pStyle w:val="AERbulletlistfirststyle"/>
      </w:pPr>
      <w:r>
        <w:t>AusNet Services proposed a credit rating of BBB.</w:t>
      </w:r>
      <w:r>
        <w:rPr>
          <w:rStyle w:val="FootnoteReference"/>
        </w:rPr>
        <w:footnoteReference w:id="272"/>
      </w:r>
    </w:p>
    <w:p w:rsidR="006969CD" w:rsidRDefault="006969CD" w:rsidP="006969CD">
      <w:pPr>
        <w:pStyle w:val="AERbulletlistfirststyle"/>
      </w:pPr>
      <w:r>
        <w:t>Powerlink and TasNetworks accepted the approach in the Guideline, which has a BBB+ credit rating.</w:t>
      </w:r>
      <w:r>
        <w:rPr>
          <w:rStyle w:val="FootnoteReference"/>
        </w:rPr>
        <w:footnoteReference w:id="273"/>
      </w:r>
    </w:p>
    <w:p w:rsidR="006969CD" w:rsidRDefault="006969CD" w:rsidP="006969CD">
      <w:r>
        <w:t xml:space="preserve">These service providers did not submit any consultant reports on the benchmark credit rating. However, the consultant reports we received previously were mixed. For instance: </w:t>
      </w:r>
    </w:p>
    <w:p w:rsidR="006969CD" w:rsidRPr="005F0BC7" w:rsidRDefault="006969CD" w:rsidP="006969CD">
      <w:pPr>
        <w:pStyle w:val="AERbulletlistfirststyle"/>
      </w:pPr>
      <w:r>
        <w:t>NERA and Houston Kemp (commissioned by TransGrid in a recent regulatory process) recommended a BBB+ credit rating</w:t>
      </w:r>
      <w:r w:rsidRPr="005F0BC7">
        <w:t>.</w:t>
      </w:r>
      <w:r w:rsidRPr="005F0BC7">
        <w:rPr>
          <w:rStyle w:val="FootnoteReference"/>
        </w:rPr>
        <w:footnoteReference w:id="274"/>
      </w:r>
    </w:p>
    <w:p w:rsidR="006969CD" w:rsidRPr="005F0BC7" w:rsidRDefault="006969CD" w:rsidP="006969CD">
      <w:pPr>
        <w:pStyle w:val="AERbulletlistfirststyle"/>
      </w:pPr>
      <w:r>
        <w:lastRenderedPageBreak/>
        <w:t xml:space="preserve">Several service providers and </w:t>
      </w:r>
      <w:r w:rsidRPr="005F0BC7">
        <w:t>CEG (commissioned by several service providers) recommended a BBB credit rating.</w:t>
      </w:r>
      <w:r w:rsidRPr="005F0BC7">
        <w:rPr>
          <w:rStyle w:val="FootnoteReference"/>
        </w:rPr>
        <w:footnoteReference w:id="275"/>
      </w:r>
    </w:p>
    <w:p w:rsidR="006969CD" w:rsidRPr="005F0BC7" w:rsidRDefault="006969CD" w:rsidP="006969CD">
      <w:pPr>
        <w:pStyle w:val="AERbulletlistfirststyle"/>
      </w:pPr>
      <w:r>
        <w:t>Lally</w:t>
      </w:r>
      <w:r w:rsidRPr="005F0BC7">
        <w:t xml:space="preserve"> (commissioned by us) and the South Australian Centre for Economic Studies (SACES) recommended a credit rating for energy networks of BBB to BBB+.</w:t>
      </w:r>
      <w:r w:rsidRPr="005F0BC7">
        <w:rPr>
          <w:rStyle w:val="FootnoteReference"/>
        </w:rPr>
        <w:footnoteReference w:id="276"/>
      </w:r>
    </w:p>
    <w:p w:rsidR="006969CD" w:rsidRDefault="006969CD" w:rsidP="006969CD">
      <w:r>
        <w:t>In contrast, consumer groups generally submitted the benchmark credit rating of BBB+ was too low. For instance:</w:t>
      </w:r>
    </w:p>
    <w:p w:rsidR="006969CD" w:rsidRPr="005F0BC7" w:rsidRDefault="006969CD" w:rsidP="006969CD">
      <w:pPr>
        <w:pStyle w:val="AERbulletlistfirststyle"/>
      </w:pPr>
      <w:r>
        <w:t xml:space="preserve">The Chamber of Commerce and Industry Queensland (CCIQ) </w:t>
      </w:r>
      <w:r w:rsidRPr="005F0BC7">
        <w:t>and Energy Consumers Coalition of South Australia (ECCSA) submitted that credit ratings of BBB and BBB+ are too low.</w:t>
      </w:r>
      <w:r w:rsidRPr="005F0BC7">
        <w:rPr>
          <w:rStyle w:val="FootnoteReference"/>
        </w:rPr>
        <w:footnoteReference w:id="277"/>
      </w:r>
      <w:r w:rsidRPr="005F0BC7">
        <w:t xml:space="preserve"> ECCSA specifically noted this was the case given benchmark firms' gearing levels.</w:t>
      </w:r>
      <w:r w:rsidRPr="005F0BC7">
        <w:rPr>
          <w:rStyle w:val="FootnoteReference"/>
        </w:rPr>
        <w:footnoteReference w:id="278"/>
      </w:r>
    </w:p>
    <w:p w:rsidR="006969CD" w:rsidRPr="005F0BC7" w:rsidRDefault="006969CD" w:rsidP="006969CD">
      <w:pPr>
        <w:pStyle w:val="AERbulletlistfirststyle"/>
      </w:pPr>
      <w:r>
        <w:t xml:space="preserve">The Victorian </w:t>
      </w:r>
      <w:r w:rsidRPr="005F0BC7">
        <w:t>Energy Consumer and User Alliance (VECUA) referred to an analysis by the Energy Users Rule Change Committee (EURCC) in 2011 to support their view that we should recognise or have regard to service providers' actual credit ratings.</w:t>
      </w:r>
      <w:r w:rsidRPr="005F0BC7">
        <w:rPr>
          <w:rStyle w:val="FootnoteReference"/>
        </w:rPr>
        <w:footnoteReference w:id="279"/>
      </w:r>
      <w:r w:rsidRPr="005F0BC7">
        <w:t xml:space="preserve"> VECUA submitted that we provide higher debt allowances than appropriate by basing these on credit ratings that are lower than service providers' actual credit ratings.</w:t>
      </w:r>
      <w:r w:rsidRPr="005F0BC7">
        <w:rPr>
          <w:rStyle w:val="FootnoteReference"/>
        </w:rPr>
        <w:footnoteReference w:id="280"/>
      </w:r>
      <w:r w:rsidRPr="005F0BC7">
        <w:t xml:space="preserve">  Further, VECUA also submitted that by using debt in a broad BBB band to estimate the allowed return on debt, the debt allowance we provide is predominantly based on more expensive debt ratings.</w:t>
      </w:r>
      <w:r w:rsidRPr="005F0BC7">
        <w:rPr>
          <w:rStyle w:val="FootnoteReference"/>
        </w:rPr>
        <w:footnoteReference w:id="281"/>
      </w:r>
      <w:r w:rsidRPr="005F0BC7">
        <w:t xml:space="preserve"> We note that several service providers disagreed with this submission.</w:t>
      </w:r>
      <w:r w:rsidRPr="005F0BC7">
        <w:rPr>
          <w:rStyle w:val="FootnoteReference"/>
        </w:rPr>
        <w:footnoteReference w:id="282"/>
      </w:r>
    </w:p>
    <w:p w:rsidR="006969CD" w:rsidRPr="005F0BC7" w:rsidRDefault="0007291A" w:rsidP="006969CD">
      <w:pPr>
        <w:pStyle w:val="AERbulletlistfirststyle"/>
      </w:pPr>
      <w:r>
        <w:lastRenderedPageBreak/>
        <w:t>A</w:t>
      </w:r>
      <w:r w:rsidR="006969CD">
        <w:t xml:space="preserve"> CCP </w:t>
      </w:r>
      <w:r>
        <w:t xml:space="preserve">member </w:t>
      </w:r>
      <w:r w:rsidR="006969CD">
        <w:t>submitted that we should account for the difference between service providers actual cost of debt and the BBB benchmark so the allowance better reflects service providers' actual debt costs.</w:t>
      </w:r>
      <w:r w:rsidR="006969CD" w:rsidRPr="005F0BC7">
        <w:rPr>
          <w:rStyle w:val="FootnoteReference"/>
        </w:rPr>
        <w:footnoteReference w:id="283"/>
      </w:r>
      <w:r w:rsidR="006969CD" w:rsidRPr="005F0BC7">
        <w:t xml:space="preserve"> </w:t>
      </w:r>
    </w:p>
    <w:p w:rsidR="006969CD" w:rsidRDefault="006969CD" w:rsidP="006969CD">
      <w:r w:rsidRPr="00E46612">
        <w:t>We are satisfied that a benchmark efficient entity would have a BBB+ credit rating. We formed this view, as well as our view on the benchmark term of issuance, from considering a set of firms that we consider com parable to a benchmark efficient entity.</w:t>
      </w:r>
      <w:r w:rsidRPr="00E46612">
        <w:rPr>
          <w:rStyle w:val="FootnoteReference"/>
        </w:rPr>
        <w:footnoteReference w:id="284"/>
      </w:r>
      <w:r w:rsidRPr="00E46612">
        <w:t xml:space="preserve"> </w:t>
      </w:r>
      <w:r>
        <w:t xml:space="preserve">Our analysis is detailed in the subsections below. </w:t>
      </w:r>
      <w:r w:rsidRPr="00E46612">
        <w:t>We consider this is more consistent with incentive regulation than basing our allowance for individual service providers on their actual credit ratings or actual historical costs of debt.</w:t>
      </w:r>
    </w:p>
    <w:p w:rsidR="006969CD" w:rsidRPr="006969CD" w:rsidRDefault="006969CD" w:rsidP="006969CD">
      <w:pPr>
        <w:pStyle w:val="HeadingOrange"/>
      </w:pPr>
      <w:r w:rsidRPr="006969CD">
        <w:t>Comparator set</w:t>
      </w:r>
    </w:p>
    <w:p w:rsidR="006969CD" w:rsidRPr="00032247" w:rsidRDefault="006969CD" w:rsidP="006969CD">
      <w:r w:rsidRPr="00032247">
        <w:t xml:space="preserve">We draw our comparator set for estimating the benchmark credit rating from Standard and Poor's industry report cards, with the exclusion of </w:t>
      </w:r>
      <w:r>
        <w:t>the Queensland state government-owned Ergon Energy Corp Ltd</w:t>
      </w:r>
      <w:r w:rsidRPr="00032247">
        <w:t>. This is made up of the following businesses:</w:t>
      </w:r>
    </w:p>
    <w:p w:rsidR="006969CD" w:rsidRPr="00032247" w:rsidRDefault="006969CD" w:rsidP="006969CD">
      <w:pPr>
        <w:pStyle w:val="AERbulletlistfirststyle"/>
      </w:pPr>
      <w:r w:rsidRPr="00032247">
        <w:t>APT Pipelines Ltd</w:t>
      </w:r>
    </w:p>
    <w:p w:rsidR="006969CD" w:rsidRPr="00032247" w:rsidRDefault="006969CD" w:rsidP="006969CD">
      <w:pPr>
        <w:pStyle w:val="AERbulletlistfirststyle"/>
      </w:pPr>
      <w:r w:rsidRPr="00032247">
        <w:t>ATCO Gas Australian LP</w:t>
      </w:r>
    </w:p>
    <w:p w:rsidR="006969CD" w:rsidRPr="00032247" w:rsidRDefault="006969CD" w:rsidP="006969CD">
      <w:pPr>
        <w:pStyle w:val="AERbulletlistfirststyle"/>
      </w:pPr>
      <w:r w:rsidRPr="00032247">
        <w:t>DBNGP Trust</w:t>
      </w:r>
    </w:p>
    <w:p w:rsidR="006969CD" w:rsidRPr="00032247" w:rsidRDefault="006969CD" w:rsidP="006969CD">
      <w:pPr>
        <w:pStyle w:val="AERbulletlistfirststyle"/>
      </w:pPr>
      <w:r w:rsidRPr="00032247">
        <w:t>DUET Group</w:t>
      </w:r>
    </w:p>
    <w:p w:rsidR="006969CD" w:rsidRPr="00032247" w:rsidRDefault="006969CD" w:rsidP="006969CD">
      <w:pPr>
        <w:pStyle w:val="AERbulletlistfirststyle"/>
      </w:pPr>
      <w:r w:rsidRPr="00032247">
        <w:t>ElectraNet Pty Ltd</w:t>
      </w:r>
    </w:p>
    <w:p w:rsidR="006969CD" w:rsidRPr="00032247" w:rsidRDefault="006969CD" w:rsidP="006969CD">
      <w:pPr>
        <w:pStyle w:val="AERbulletlistfirststyle"/>
      </w:pPr>
      <w:r w:rsidRPr="00032247">
        <w:t>Energy Partnership (Gas) Pty Ltd</w:t>
      </w:r>
    </w:p>
    <w:p w:rsidR="006969CD" w:rsidRPr="00032247" w:rsidRDefault="006969CD" w:rsidP="006969CD">
      <w:pPr>
        <w:pStyle w:val="AERbulletlistfirststyle"/>
      </w:pPr>
      <w:r w:rsidRPr="00032247">
        <w:t xml:space="preserve">Australian Gas Networks Ltd— previously Envestra Ltd </w:t>
      </w:r>
    </w:p>
    <w:p w:rsidR="006969CD" w:rsidRPr="00032247" w:rsidRDefault="006969CD" w:rsidP="006969CD">
      <w:pPr>
        <w:pStyle w:val="AERbulletlistfirststyle"/>
      </w:pPr>
      <w:r w:rsidRPr="00032247">
        <w:t>ETSA Utilities</w:t>
      </w:r>
    </w:p>
    <w:p w:rsidR="006969CD" w:rsidRPr="00032247" w:rsidRDefault="006969CD" w:rsidP="006969CD">
      <w:pPr>
        <w:pStyle w:val="AERbulletlistfirststyle"/>
      </w:pPr>
      <w:r w:rsidRPr="00032247">
        <w:t>Powercor Australia LLC</w:t>
      </w:r>
      <w:r>
        <w:t xml:space="preserve"> </w:t>
      </w:r>
    </w:p>
    <w:p w:rsidR="006969CD" w:rsidRPr="00032247" w:rsidRDefault="006969CD" w:rsidP="006969CD">
      <w:pPr>
        <w:pStyle w:val="AERbulletlistfirststyle"/>
      </w:pPr>
      <w:r w:rsidRPr="00032247">
        <w:t>AusNet Services — previously SP AusNet Group</w:t>
      </w:r>
    </w:p>
    <w:p w:rsidR="006969CD" w:rsidRPr="00032247" w:rsidRDefault="006969CD" w:rsidP="006969CD">
      <w:pPr>
        <w:pStyle w:val="AERbulletlistfirststyle"/>
      </w:pPr>
      <w:r w:rsidRPr="00032247">
        <w:t>SGSP — previously SPI (Australia) Assets Pty Ltd</w:t>
      </w:r>
    </w:p>
    <w:p w:rsidR="006969CD" w:rsidRPr="00032247" w:rsidRDefault="006969CD" w:rsidP="006969CD">
      <w:pPr>
        <w:pStyle w:val="AERbulletlistfirststyle"/>
      </w:pPr>
      <w:r w:rsidRPr="00032247">
        <w:t>The CitiPower Trust</w:t>
      </w:r>
      <w:r>
        <w:t xml:space="preserve"> </w:t>
      </w:r>
    </w:p>
    <w:p w:rsidR="006969CD" w:rsidRDefault="006969CD" w:rsidP="006969CD">
      <w:pPr>
        <w:pStyle w:val="AERbulletlistfirststyle"/>
      </w:pPr>
      <w:r w:rsidRPr="00032247">
        <w:t>Uni</w:t>
      </w:r>
      <w:r>
        <w:t>ted Energy Distribution Pty Ltd</w:t>
      </w:r>
    </w:p>
    <w:p w:rsidR="006969CD" w:rsidRDefault="006969CD" w:rsidP="006969CD">
      <w:pPr>
        <w:pStyle w:val="AERbulletlistfirststyle"/>
      </w:pPr>
      <w:r>
        <w:t>Victoria Power Networks Pty Ltd</w:t>
      </w:r>
      <w:r>
        <w:rPr>
          <w:rStyle w:val="FootnoteReference"/>
        </w:rPr>
        <w:footnoteReference w:id="285"/>
      </w:r>
    </w:p>
    <w:p w:rsidR="006969CD" w:rsidRDefault="006969CD" w:rsidP="006969CD">
      <w:r w:rsidRPr="002F0EF0">
        <w:lastRenderedPageBreak/>
        <w:t xml:space="preserve">Accordingly, our preferred approach is to include the full sample of privately owned </w:t>
      </w:r>
      <w:r>
        <w:t xml:space="preserve">(that is, non-Australian government owned) </w:t>
      </w:r>
      <w:r w:rsidRPr="002F0EF0">
        <w:t>energy network service providers, while recognising the strengths and limitations of this approach. However, whether applying all or none of the potential exclusion criteria, we would likely maintain a BBB+ benchmark credit rating</w:t>
      </w:r>
      <w:r>
        <w:t>.</w:t>
      </w:r>
    </w:p>
    <w:p w:rsidR="006969CD" w:rsidRPr="006969CD" w:rsidRDefault="006969CD" w:rsidP="006969CD">
      <w:pPr>
        <w:pStyle w:val="HeadingOrange"/>
      </w:pPr>
      <w:r>
        <w:t>Current industry mean</w:t>
      </w:r>
    </w:p>
    <w:p w:rsidR="006969CD" w:rsidRPr="008E3CDC" w:rsidRDefault="006969CD" w:rsidP="006969CD">
      <w:r>
        <w:t xml:space="preserve">Consistent with the </w:t>
      </w:r>
      <w:r w:rsidRPr="008E3CDC">
        <w:t>Guideline</w:t>
      </w:r>
      <w:r>
        <w:t xml:space="preserve"> explanatory statement, we have had regard to empirical evidence in applying a benchmark credit rating of BBB+</w:t>
      </w:r>
      <w:r w:rsidRPr="008E3CDC">
        <w:t>.</w:t>
      </w:r>
      <w:r w:rsidRPr="008E3CDC">
        <w:rPr>
          <w:rStyle w:val="FootnoteReference"/>
        </w:rPr>
        <w:footnoteReference w:id="286"/>
      </w:r>
      <w:r w:rsidRPr="008E3CDC">
        <w:t xml:space="preserve"> </w:t>
      </w:r>
      <w:r w:rsidRPr="00411A04">
        <w:t xml:space="preserve">We </w:t>
      </w:r>
      <w:r>
        <w:t>also</w:t>
      </w:r>
      <w:r w:rsidRPr="00411A04">
        <w:t xml:space="preserve"> have regard to variability in the median credit rating throughout time. This recognises </w:t>
      </w:r>
      <w:r>
        <w:t>that while</w:t>
      </w:r>
      <w:r w:rsidRPr="00411A04">
        <w:t xml:space="preserve"> shorter term data is more likely to reflect current expectations, longer term data may reduce the influence on the median from firm specific or idiosyncratic factors.</w:t>
      </w:r>
      <w:r>
        <w:t xml:space="preserve"> </w:t>
      </w:r>
    </w:p>
    <w:p w:rsidR="006969CD" w:rsidRDefault="00DF01F2" w:rsidP="006969CD">
      <w:r>
        <w:fldChar w:fldCharType="begin"/>
      </w:r>
      <w:r>
        <w:instrText xml:space="preserve"> REF _Ref458461282 \h </w:instrText>
      </w:r>
      <w:r>
        <w:fldChar w:fldCharType="separate"/>
      </w:r>
      <w:r w:rsidR="00691B4D">
        <w:t xml:space="preserve">Table </w:t>
      </w:r>
      <w:r w:rsidR="00691B4D">
        <w:rPr>
          <w:noProof/>
        </w:rPr>
        <w:t>3</w:t>
      </w:r>
      <w:r w:rsidR="00691B4D">
        <w:noBreakHyphen/>
      </w:r>
      <w:r w:rsidR="00691B4D">
        <w:rPr>
          <w:noProof/>
        </w:rPr>
        <w:t>6</w:t>
      </w:r>
      <w:r>
        <w:fldChar w:fldCharType="end"/>
      </w:r>
      <w:r w:rsidR="006969CD">
        <w:t xml:space="preserve">sets out the median credit rating over historical periods of progressively longer length. While </w:t>
      </w:r>
      <w:r>
        <w:fldChar w:fldCharType="begin"/>
      </w:r>
      <w:r>
        <w:instrText xml:space="preserve"> REF _Ref458461282 \h </w:instrText>
      </w:r>
      <w:r>
        <w:fldChar w:fldCharType="separate"/>
      </w:r>
      <w:r w:rsidR="00691B4D">
        <w:t xml:space="preserve">Table </w:t>
      </w:r>
      <w:r w:rsidR="00691B4D">
        <w:rPr>
          <w:noProof/>
        </w:rPr>
        <w:t>3</w:t>
      </w:r>
      <w:r w:rsidR="00691B4D">
        <w:noBreakHyphen/>
      </w:r>
      <w:r w:rsidR="00691B4D">
        <w:rPr>
          <w:noProof/>
        </w:rPr>
        <w:t>6</w:t>
      </w:r>
      <w:r>
        <w:fldChar w:fldCharType="end"/>
      </w:r>
      <w:r>
        <w:t xml:space="preserve"> </w:t>
      </w:r>
      <w:r w:rsidR="006969CD">
        <w:t xml:space="preserve">shows some support for a credit rating of BBB, we consider it shows stronger support for a credit rating of BBB+. </w:t>
      </w:r>
    </w:p>
    <w:p w:rsidR="006969CD" w:rsidRDefault="006969CD" w:rsidP="006969CD">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Pr>
          <w:rStyle w:val="FootnoteReference"/>
        </w:rPr>
        <w:footnoteReference w:id="287"/>
      </w:r>
      <w:r>
        <w:t xml:space="preserve"> </w:t>
      </w:r>
    </w:p>
    <w:p w:rsidR="006969CD" w:rsidRPr="00E41C8B" w:rsidRDefault="006969CD" w:rsidP="006969CD">
      <w:pPr>
        <w:pStyle w:val="Caption"/>
      </w:pPr>
      <w:bookmarkStart w:id="90" w:name="_Ref458461282"/>
      <w:r>
        <w:t xml:space="preserve">Table </w:t>
      </w:r>
      <w:r w:rsidRPr="00522273">
        <w:fldChar w:fldCharType="begin"/>
      </w:r>
      <w:r>
        <w:instrText xml:space="preserve"> STYLEREF 1 \s </w:instrText>
      </w:r>
      <w:r w:rsidRPr="00522273">
        <w:fldChar w:fldCharType="separate"/>
      </w:r>
      <w:r w:rsidR="00691B4D">
        <w:rPr>
          <w:noProof/>
        </w:rPr>
        <w:t>3</w:t>
      </w:r>
      <w:r w:rsidRPr="00522273">
        <w:fldChar w:fldCharType="end"/>
      </w:r>
      <w:r>
        <w:noBreakHyphen/>
      </w:r>
      <w:r w:rsidRPr="00522273">
        <w:fldChar w:fldCharType="begin"/>
      </w:r>
      <w:r>
        <w:instrText xml:space="preserve"> SEQ Table \* ARABIC \s 1 </w:instrText>
      </w:r>
      <w:r w:rsidRPr="00522273">
        <w:fldChar w:fldCharType="separate"/>
      </w:r>
      <w:r w:rsidR="00691B4D">
        <w:rPr>
          <w:noProof/>
        </w:rPr>
        <w:t>6</w:t>
      </w:r>
      <w:r w:rsidRPr="00522273">
        <w:fldChar w:fldCharType="end"/>
      </w:r>
      <w:bookmarkEnd w:id="90"/>
      <w:r>
        <w:t xml:space="preserve"> </w:t>
      </w:r>
      <w:r w:rsidRPr="00E41C8B">
        <w:t>Median credit rating</w:t>
      </w:r>
      <w:r w:rsidRPr="00627B3D">
        <w:t>—</w:t>
      </w:r>
      <w:r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6969CD" w:rsidRPr="00073F41" w:rsidTr="006969CD">
        <w:trPr>
          <w:cnfStyle w:val="100000000000" w:firstRow="1" w:lastRow="0" w:firstColumn="0" w:lastColumn="0" w:oddVBand="0" w:evenVBand="0" w:oddHBand="0" w:evenHBand="0" w:firstRowFirstColumn="0" w:firstRowLastColumn="0" w:lastRowFirstColumn="0" w:lastRowLastColumn="0"/>
        </w:trPr>
        <w:tc>
          <w:tcPr>
            <w:tcW w:w="2153" w:type="dxa"/>
          </w:tcPr>
          <w:p w:rsidR="006969CD" w:rsidRPr="006969CD" w:rsidRDefault="006969CD" w:rsidP="006969CD">
            <w:r w:rsidRPr="00073F41">
              <w:t xml:space="preserve">Time </w:t>
            </w:r>
            <w:r w:rsidRPr="006969CD">
              <w:t xml:space="preserve">period </w:t>
            </w:r>
          </w:p>
        </w:tc>
        <w:tc>
          <w:tcPr>
            <w:tcW w:w="2192" w:type="dxa"/>
          </w:tcPr>
          <w:p w:rsidR="006969CD" w:rsidRPr="006969CD" w:rsidRDefault="006969CD" w:rsidP="006969CD">
            <w:r w:rsidRPr="00073F41">
              <w:t>Median credit rating</w:t>
            </w:r>
          </w:p>
        </w:tc>
        <w:tc>
          <w:tcPr>
            <w:tcW w:w="2155" w:type="dxa"/>
          </w:tcPr>
          <w:p w:rsidR="006969CD" w:rsidRPr="006969CD" w:rsidRDefault="006969CD" w:rsidP="006969CD">
            <w:r w:rsidRPr="00073F41">
              <w:t>Time period</w:t>
            </w:r>
          </w:p>
        </w:tc>
        <w:tc>
          <w:tcPr>
            <w:tcW w:w="2193" w:type="dxa"/>
          </w:tcPr>
          <w:p w:rsidR="006969CD" w:rsidRPr="006969CD" w:rsidRDefault="006969CD" w:rsidP="006969CD">
            <w:r w:rsidRPr="00073F41">
              <w:t>Median credit rating</w:t>
            </w:r>
          </w:p>
        </w:tc>
      </w:tr>
      <w:tr w:rsidR="006969CD" w:rsidRPr="00073F41" w:rsidTr="006969CD">
        <w:trPr>
          <w:trHeight w:val="622"/>
        </w:trPr>
        <w:tc>
          <w:tcPr>
            <w:tcW w:w="2153" w:type="dxa"/>
          </w:tcPr>
          <w:p w:rsidR="006969CD" w:rsidRPr="006969CD" w:rsidRDefault="006969CD" w:rsidP="006969CD">
            <w:r>
              <w:t xml:space="preserve">2015 </w:t>
            </w:r>
          </w:p>
        </w:tc>
        <w:tc>
          <w:tcPr>
            <w:tcW w:w="2192" w:type="dxa"/>
          </w:tcPr>
          <w:p w:rsidR="006969CD" w:rsidRPr="006969CD" w:rsidRDefault="006969CD" w:rsidP="006969CD">
            <w:r w:rsidRPr="00073F41">
              <w:t>BBB+</w:t>
            </w:r>
          </w:p>
        </w:tc>
        <w:tc>
          <w:tcPr>
            <w:tcW w:w="2155" w:type="dxa"/>
          </w:tcPr>
          <w:p w:rsidR="006969CD" w:rsidRPr="006969CD" w:rsidRDefault="006969CD" w:rsidP="006969CD">
            <w:r>
              <w:t>2010</w:t>
            </w:r>
            <w:r w:rsidRPr="006969CD">
              <w:t>–2015</w:t>
            </w:r>
          </w:p>
        </w:tc>
        <w:tc>
          <w:tcPr>
            <w:tcW w:w="2193" w:type="dxa"/>
          </w:tcPr>
          <w:p w:rsidR="006969CD" w:rsidRPr="006969CD" w:rsidRDefault="006969CD" w:rsidP="006969CD">
            <w:r w:rsidRPr="00073F41">
              <w:t>BBB</w:t>
            </w:r>
            <w:r w:rsidRPr="006969CD">
              <w:t>/BBB+</w:t>
            </w:r>
          </w:p>
        </w:tc>
      </w:tr>
      <w:tr w:rsidR="006969CD" w:rsidRPr="00073F41" w:rsidTr="006969CD">
        <w:trPr>
          <w:cnfStyle w:val="000000010000" w:firstRow="0" w:lastRow="0" w:firstColumn="0" w:lastColumn="0" w:oddVBand="0" w:evenVBand="0" w:oddHBand="0" w:evenHBand="1" w:firstRowFirstColumn="0" w:firstRowLastColumn="0" w:lastRowFirstColumn="0" w:lastRowLastColumn="0"/>
        </w:trPr>
        <w:tc>
          <w:tcPr>
            <w:tcW w:w="2153" w:type="dxa"/>
          </w:tcPr>
          <w:p w:rsidR="006969CD" w:rsidRPr="006969CD" w:rsidRDefault="006969CD" w:rsidP="006969CD">
            <w:r>
              <w:t>2014–2015</w:t>
            </w:r>
          </w:p>
        </w:tc>
        <w:tc>
          <w:tcPr>
            <w:tcW w:w="2192" w:type="dxa"/>
          </w:tcPr>
          <w:p w:rsidR="006969CD" w:rsidRPr="006969CD" w:rsidRDefault="006969CD" w:rsidP="006969CD">
            <w:r w:rsidRPr="00073F41">
              <w:t>BBB+</w:t>
            </w:r>
          </w:p>
        </w:tc>
        <w:tc>
          <w:tcPr>
            <w:tcW w:w="2155" w:type="dxa"/>
          </w:tcPr>
          <w:p w:rsidR="006969CD" w:rsidRPr="006969CD" w:rsidRDefault="006969CD" w:rsidP="006969CD">
            <w:r>
              <w:t>2009–2015</w:t>
            </w:r>
          </w:p>
        </w:tc>
        <w:tc>
          <w:tcPr>
            <w:tcW w:w="2193" w:type="dxa"/>
          </w:tcPr>
          <w:p w:rsidR="006969CD" w:rsidRPr="006969CD" w:rsidRDefault="006969CD" w:rsidP="006969CD">
            <w:r>
              <w:t>BBB</w:t>
            </w:r>
          </w:p>
        </w:tc>
      </w:tr>
      <w:tr w:rsidR="006969CD" w:rsidRPr="00073F41" w:rsidTr="006969CD">
        <w:tc>
          <w:tcPr>
            <w:tcW w:w="2153" w:type="dxa"/>
          </w:tcPr>
          <w:p w:rsidR="006969CD" w:rsidRPr="006969CD" w:rsidRDefault="006969CD" w:rsidP="006969CD">
            <w:r>
              <w:t>2013–2015</w:t>
            </w:r>
          </w:p>
        </w:tc>
        <w:tc>
          <w:tcPr>
            <w:tcW w:w="2192" w:type="dxa"/>
          </w:tcPr>
          <w:p w:rsidR="006969CD" w:rsidRPr="006969CD" w:rsidRDefault="006969CD" w:rsidP="006969CD">
            <w:r w:rsidRPr="00073F41">
              <w:t>BBB+</w:t>
            </w:r>
          </w:p>
        </w:tc>
        <w:tc>
          <w:tcPr>
            <w:tcW w:w="2155" w:type="dxa"/>
          </w:tcPr>
          <w:p w:rsidR="006969CD" w:rsidRPr="006969CD" w:rsidRDefault="006969CD" w:rsidP="006969CD">
            <w:r>
              <w:t>2008–2015</w:t>
            </w:r>
          </w:p>
        </w:tc>
        <w:tc>
          <w:tcPr>
            <w:tcW w:w="2193" w:type="dxa"/>
          </w:tcPr>
          <w:p w:rsidR="006969CD" w:rsidRPr="006969CD" w:rsidRDefault="006969CD" w:rsidP="006969CD">
            <w:r>
              <w:t>BBB</w:t>
            </w:r>
            <w:r w:rsidRPr="006969CD">
              <w:t>/BBB+</w:t>
            </w:r>
          </w:p>
        </w:tc>
      </w:tr>
      <w:tr w:rsidR="006969CD" w:rsidRPr="00073F41" w:rsidTr="006969CD">
        <w:trPr>
          <w:cnfStyle w:val="000000010000" w:firstRow="0" w:lastRow="0" w:firstColumn="0" w:lastColumn="0" w:oddVBand="0" w:evenVBand="0" w:oddHBand="0" w:evenHBand="1" w:firstRowFirstColumn="0" w:firstRowLastColumn="0" w:lastRowFirstColumn="0" w:lastRowLastColumn="0"/>
        </w:trPr>
        <w:tc>
          <w:tcPr>
            <w:tcW w:w="2153" w:type="dxa"/>
          </w:tcPr>
          <w:p w:rsidR="006969CD" w:rsidRPr="006969CD" w:rsidRDefault="006969CD" w:rsidP="006969CD">
            <w:r>
              <w:t>2012–2015</w:t>
            </w:r>
          </w:p>
        </w:tc>
        <w:tc>
          <w:tcPr>
            <w:tcW w:w="2192" w:type="dxa"/>
          </w:tcPr>
          <w:p w:rsidR="006969CD" w:rsidRPr="006969CD" w:rsidRDefault="006969CD" w:rsidP="006969CD">
            <w:r w:rsidRPr="00073F41">
              <w:t>BBB</w:t>
            </w:r>
            <w:r w:rsidRPr="006969CD">
              <w:t>/BBB+</w:t>
            </w:r>
          </w:p>
        </w:tc>
        <w:tc>
          <w:tcPr>
            <w:tcW w:w="2155" w:type="dxa"/>
          </w:tcPr>
          <w:p w:rsidR="006969CD" w:rsidRPr="006969CD" w:rsidRDefault="006969CD" w:rsidP="006969CD">
            <w:r>
              <w:t>2007–2015</w:t>
            </w:r>
          </w:p>
        </w:tc>
        <w:tc>
          <w:tcPr>
            <w:tcW w:w="2193" w:type="dxa"/>
          </w:tcPr>
          <w:p w:rsidR="006969CD" w:rsidRPr="006969CD" w:rsidRDefault="006969CD" w:rsidP="006969CD">
            <w:r>
              <w:t>BBB/</w:t>
            </w:r>
            <w:r w:rsidRPr="006969CD">
              <w:t>BBB+</w:t>
            </w:r>
          </w:p>
        </w:tc>
      </w:tr>
      <w:tr w:rsidR="006969CD" w:rsidRPr="00073F41" w:rsidTr="006969CD">
        <w:tc>
          <w:tcPr>
            <w:tcW w:w="2153" w:type="dxa"/>
          </w:tcPr>
          <w:p w:rsidR="006969CD" w:rsidRPr="006969CD" w:rsidRDefault="006969CD" w:rsidP="006969CD">
            <w:r>
              <w:t>2011–2015</w:t>
            </w:r>
          </w:p>
        </w:tc>
        <w:tc>
          <w:tcPr>
            <w:tcW w:w="2192" w:type="dxa"/>
          </w:tcPr>
          <w:p w:rsidR="006969CD" w:rsidRPr="006969CD" w:rsidRDefault="006969CD" w:rsidP="006969CD">
            <w:r>
              <w:t>BBB</w:t>
            </w:r>
            <w:r w:rsidRPr="006969CD">
              <w:t>/BBB+</w:t>
            </w:r>
          </w:p>
        </w:tc>
        <w:tc>
          <w:tcPr>
            <w:tcW w:w="2155" w:type="dxa"/>
          </w:tcPr>
          <w:p w:rsidR="006969CD" w:rsidRPr="006969CD" w:rsidRDefault="006969CD" w:rsidP="006969CD">
            <w:r>
              <w:t>2006–2015</w:t>
            </w:r>
          </w:p>
        </w:tc>
        <w:tc>
          <w:tcPr>
            <w:tcW w:w="2193" w:type="dxa"/>
          </w:tcPr>
          <w:p w:rsidR="006969CD" w:rsidRPr="006969CD" w:rsidRDefault="006969CD" w:rsidP="006969CD">
            <w:r>
              <w:t>BBB/</w:t>
            </w:r>
            <w:r w:rsidRPr="006969CD">
              <w:t>BBB+</w:t>
            </w:r>
          </w:p>
        </w:tc>
      </w:tr>
    </w:tbl>
    <w:p w:rsidR="006969CD" w:rsidRDefault="006969CD" w:rsidP="006969CD">
      <w:pPr>
        <w:pStyle w:val="AERtablesource"/>
      </w:pPr>
      <w:r w:rsidRPr="00E41C8B">
        <w:t xml:space="preserve">Source: </w:t>
      </w:r>
      <w:r w:rsidRPr="00E41C8B">
        <w:tab/>
        <w:t>Bloomberg (S&amp;P), AER analysis.</w:t>
      </w:r>
      <w:r>
        <w:t xml:space="preserve"> </w:t>
      </w:r>
    </w:p>
    <w:p w:rsidR="006969CD" w:rsidRDefault="006969CD" w:rsidP="006969CD">
      <w:r>
        <w:t xml:space="preserve">For further detail, </w:t>
      </w:r>
      <w:r w:rsidR="00DF01F2">
        <w:fldChar w:fldCharType="begin"/>
      </w:r>
      <w:r w:rsidR="00DF01F2">
        <w:instrText xml:space="preserve"> REF _Ref458461314 \h </w:instrText>
      </w:r>
      <w:r w:rsidR="00DF01F2">
        <w:fldChar w:fldCharType="separate"/>
      </w:r>
      <w:r w:rsidR="00691B4D">
        <w:t xml:space="preserve">Table </w:t>
      </w:r>
      <w:r w:rsidR="00691B4D">
        <w:rPr>
          <w:noProof/>
        </w:rPr>
        <w:t>3</w:t>
      </w:r>
      <w:r w:rsidR="00691B4D">
        <w:noBreakHyphen/>
      </w:r>
      <w:r w:rsidR="00691B4D">
        <w:rPr>
          <w:noProof/>
        </w:rPr>
        <w:t>7</w:t>
      </w:r>
      <w:r w:rsidR="00DF01F2">
        <w:fldChar w:fldCharType="end"/>
      </w:r>
      <w:r w:rsidR="00DF01F2">
        <w:t xml:space="preserve"> </w:t>
      </w:r>
      <w:r>
        <w:t>s</w:t>
      </w:r>
      <w:r w:rsidRPr="00F11F88">
        <w:t xml:space="preserve">ets out the median credit ratings across our comparator set since the 2006 calendar year end. </w:t>
      </w:r>
    </w:p>
    <w:p w:rsidR="006969CD" w:rsidRPr="00411A04" w:rsidRDefault="006969CD" w:rsidP="006969CD">
      <w:pPr>
        <w:pStyle w:val="Caption"/>
      </w:pPr>
      <w:bookmarkStart w:id="91" w:name="_Ref458461314"/>
      <w:r>
        <w:lastRenderedPageBreak/>
        <w:t xml:space="preserve">Table </w:t>
      </w:r>
      <w:r w:rsidRPr="00522273">
        <w:fldChar w:fldCharType="begin"/>
      </w:r>
      <w:r>
        <w:instrText xml:space="preserve"> STYLEREF 1 \s </w:instrText>
      </w:r>
      <w:r w:rsidRPr="00522273">
        <w:fldChar w:fldCharType="separate"/>
      </w:r>
      <w:r w:rsidR="00691B4D">
        <w:rPr>
          <w:noProof/>
        </w:rPr>
        <w:t>3</w:t>
      </w:r>
      <w:r w:rsidRPr="00522273">
        <w:fldChar w:fldCharType="end"/>
      </w:r>
      <w:r>
        <w:noBreakHyphen/>
      </w:r>
      <w:r w:rsidRPr="00522273">
        <w:fldChar w:fldCharType="begin"/>
      </w:r>
      <w:r>
        <w:instrText xml:space="preserve"> SEQ Table \* ARABIC \s 1 </w:instrText>
      </w:r>
      <w:r w:rsidRPr="00522273">
        <w:fldChar w:fldCharType="separate"/>
      </w:r>
      <w:r w:rsidR="00691B4D">
        <w:rPr>
          <w:noProof/>
        </w:rPr>
        <w:t>7</w:t>
      </w:r>
      <w:r w:rsidRPr="00522273">
        <w:fldChar w:fldCharType="end"/>
      </w:r>
      <w:bookmarkEnd w:id="91"/>
      <w:r>
        <w:t xml:space="preserve"> Credit ratings of network service providers over time</w:t>
      </w:r>
    </w:p>
    <w:tbl>
      <w:tblPr>
        <w:tblStyle w:val="AERtable-text0"/>
        <w:tblW w:w="5000" w:type="pct"/>
        <w:tblLook w:val="04A0" w:firstRow="1" w:lastRow="0" w:firstColumn="1" w:lastColumn="0" w:noHBand="0" w:noVBand="1"/>
      </w:tblPr>
      <w:tblGrid>
        <w:gridCol w:w="1512"/>
        <w:gridCol w:w="734"/>
        <w:gridCol w:w="734"/>
        <w:gridCol w:w="734"/>
        <w:gridCol w:w="734"/>
        <w:gridCol w:w="683"/>
        <w:gridCol w:w="683"/>
        <w:gridCol w:w="683"/>
        <w:gridCol w:w="734"/>
        <w:gridCol w:w="734"/>
        <w:gridCol w:w="728"/>
      </w:tblGrid>
      <w:tr w:rsidR="006969CD" w:rsidRPr="007D3E67" w:rsidTr="006969CD">
        <w:trPr>
          <w:cnfStyle w:val="100000000000" w:firstRow="1" w:lastRow="0" w:firstColumn="0" w:lastColumn="0" w:oddVBand="0" w:evenVBand="0" w:oddHBand="0" w:evenHBand="0" w:firstRowFirstColumn="0" w:firstRowLastColumn="0" w:lastRowFirstColumn="0" w:lastRowLastColumn="0"/>
        </w:trPr>
        <w:tc>
          <w:tcPr>
            <w:tcW w:w="870" w:type="pct"/>
          </w:tcPr>
          <w:p w:rsidR="006969CD" w:rsidRPr="006969CD" w:rsidRDefault="006969CD" w:rsidP="006969CD">
            <w:r w:rsidRPr="007D3E67">
              <w:t>Issuer</w:t>
            </w:r>
          </w:p>
        </w:tc>
        <w:tc>
          <w:tcPr>
            <w:tcW w:w="422" w:type="pct"/>
          </w:tcPr>
          <w:p w:rsidR="006969CD" w:rsidRPr="006969CD" w:rsidRDefault="006969CD" w:rsidP="006969CD">
            <w:r w:rsidRPr="007D3E67">
              <w:t>2006</w:t>
            </w:r>
          </w:p>
        </w:tc>
        <w:tc>
          <w:tcPr>
            <w:tcW w:w="422" w:type="pct"/>
          </w:tcPr>
          <w:p w:rsidR="006969CD" w:rsidRPr="006969CD" w:rsidRDefault="006969CD" w:rsidP="006969CD">
            <w:r w:rsidRPr="007D3E67">
              <w:t>2007</w:t>
            </w:r>
          </w:p>
        </w:tc>
        <w:tc>
          <w:tcPr>
            <w:tcW w:w="422" w:type="pct"/>
          </w:tcPr>
          <w:p w:rsidR="006969CD" w:rsidRPr="006969CD" w:rsidRDefault="006969CD" w:rsidP="006969CD">
            <w:r w:rsidRPr="007D3E67">
              <w:t>2008</w:t>
            </w:r>
          </w:p>
        </w:tc>
        <w:tc>
          <w:tcPr>
            <w:tcW w:w="422" w:type="pct"/>
          </w:tcPr>
          <w:p w:rsidR="006969CD" w:rsidRPr="006969CD" w:rsidRDefault="006969CD" w:rsidP="006969CD">
            <w:r w:rsidRPr="007D3E67">
              <w:t>2009</w:t>
            </w:r>
          </w:p>
        </w:tc>
        <w:tc>
          <w:tcPr>
            <w:tcW w:w="393" w:type="pct"/>
          </w:tcPr>
          <w:p w:rsidR="006969CD" w:rsidRPr="006969CD" w:rsidRDefault="006969CD" w:rsidP="006969CD">
            <w:r w:rsidRPr="007D3E67">
              <w:t>2010</w:t>
            </w:r>
          </w:p>
        </w:tc>
        <w:tc>
          <w:tcPr>
            <w:tcW w:w="393" w:type="pct"/>
          </w:tcPr>
          <w:p w:rsidR="006969CD" w:rsidRPr="006969CD" w:rsidRDefault="006969CD" w:rsidP="006969CD">
            <w:r w:rsidRPr="007D3E67">
              <w:t>2011</w:t>
            </w:r>
          </w:p>
        </w:tc>
        <w:tc>
          <w:tcPr>
            <w:tcW w:w="393" w:type="pct"/>
          </w:tcPr>
          <w:p w:rsidR="006969CD" w:rsidRPr="006969CD" w:rsidRDefault="006969CD" w:rsidP="006969CD">
            <w:r w:rsidRPr="007D3E67">
              <w:t>2012</w:t>
            </w:r>
          </w:p>
        </w:tc>
        <w:tc>
          <w:tcPr>
            <w:tcW w:w="422" w:type="pct"/>
          </w:tcPr>
          <w:p w:rsidR="006969CD" w:rsidRPr="006969CD" w:rsidRDefault="006969CD" w:rsidP="006969CD">
            <w:r w:rsidRPr="007D3E67">
              <w:t>2013</w:t>
            </w:r>
          </w:p>
        </w:tc>
        <w:tc>
          <w:tcPr>
            <w:tcW w:w="422" w:type="pct"/>
          </w:tcPr>
          <w:p w:rsidR="006969CD" w:rsidRPr="006969CD" w:rsidRDefault="006969CD" w:rsidP="006969CD">
            <w:r w:rsidRPr="007D3E67">
              <w:t xml:space="preserve">2014 </w:t>
            </w:r>
          </w:p>
        </w:tc>
        <w:tc>
          <w:tcPr>
            <w:tcW w:w="422" w:type="pct"/>
          </w:tcPr>
          <w:p w:rsidR="006969CD" w:rsidRPr="006969CD" w:rsidRDefault="006969CD" w:rsidP="006969CD">
            <w:r>
              <w:t>2015</w:t>
            </w:r>
          </w:p>
        </w:tc>
      </w:tr>
      <w:tr w:rsidR="006969CD" w:rsidRPr="007D3E67" w:rsidTr="006969CD">
        <w:tc>
          <w:tcPr>
            <w:tcW w:w="870" w:type="pct"/>
          </w:tcPr>
          <w:p w:rsidR="006969CD" w:rsidRPr="006969CD" w:rsidRDefault="006969CD" w:rsidP="006969CD">
            <w:r w:rsidRPr="007D3E67">
              <w:t xml:space="preserve">APT Pipelines Ltd </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 xml:space="preserve">ATCO Gas Australian LP </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393" w:type="pct"/>
          </w:tcPr>
          <w:p w:rsidR="006969CD" w:rsidRPr="006969CD" w:rsidRDefault="006969CD" w:rsidP="006969CD">
            <w:r w:rsidRPr="007D3E67">
              <w:t>NR</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t>A-</w:t>
            </w:r>
          </w:p>
        </w:tc>
      </w:tr>
      <w:tr w:rsidR="006969CD" w:rsidRPr="007D3E67" w:rsidTr="006969CD">
        <w:tc>
          <w:tcPr>
            <w:tcW w:w="870" w:type="pct"/>
          </w:tcPr>
          <w:p w:rsidR="006969CD" w:rsidRPr="006969CD" w:rsidRDefault="006969CD" w:rsidP="006969CD">
            <w:r w:rsidRPr="007D3E67">
              <w:t>DBNGP Trust</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 xml:space="preserve">DUET Group </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t>NR</w:t>
            </w:r>
          </w:p>
        </w:tc>
      </w:tr>
      <w:tr w:rsidR="006969CD" w:rsidRPr="007D3E67" w:rsidTr="006969CD">
        <w:tc>
          <w:tcPr>
            <w:tcW w:w="870" w:type="pct"/>
          </w:tcPr>
          <w:p w:rsidR="006969CD" w:rsidRPr="006969CD" w:rsidRDefault="006969CD" w:rsidP="006969CD">
            <w:r w:rsidRPr="007D3E67">
              <w:t>ElectraNet</w:t>
            </w:r>
            <w:r w:rsidRPr="006969CD">
              <w:t xml:space="preserve"> Pty Ltd </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r w:rsidRPr="006969CD">
              <w:t>+</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 xml:space="preserve">Energy </w:t>
            </w:r>
            <w:r w:rsidRPr="006969CD">
              <w:t>Partnership (Gas) Pty Ltd</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c>
          <w:tcPr>
            <w:tcW w:w="870" w:type="pct"/>
          </w:tcPr>
          <w:p w:rsidR="006969CD" w:rsidRPr="006969CD" w:rsidRDefault="006969CD" w:rsidP="006969CD">
            <w:r>
              <w:t xml:space="preserve">Australian Gas </w:t>
            </w:r>
            <w:r w:rsidRPr="006969CD">
              <w:t xml:space="preserve">Networks Ltd </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ETSA Utilities</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t>A-</w:t>
            </w:r>
          </w:p>
        </w:tc>
      </w:tr>
      <w:tr w:rsidR="006969CD" w:rsidRPr="007D3E67" w:rsidTr="006969CD">
        <w:tc>
          <w:tcPr>
            <w:tcW w:w="870" w:type="pct"/>
          </w:tcPr>
          <w:p w:rsidR="006969CD" w:rsidRPr="006969CD" w:rsidRDefault="006969CD" w:rsidP="006969CD">
            <w:r w:rsidRPr="007D3E67">
              <w:t>Powercor</w:t>
            </w:r>
            <w:r w:rsidRPr="006969CD">
              <w:t xml:space="preserve"> Australia LLC</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200BFA">
              <w:t>N</w:t>
            </w:r>
            <w:r w:rsidRPr="006969CD">
              <w:t>R</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t>AusNet Services</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t>A-</w:t>
            </w:r>
          </w:p>
        </w:tc>
      </w:tr>
      <w:tr w:rsidR="006969CD" w:rsidRPr="007D3E67" w:rsidTr="006969CD">
        <w:tc>
          <w:tcPr>
            <w:tcW w:w="870" w:type="pct"/>
          </w:tcPr>
          <w:p w:rsidR="006969CD" w:rsidRPr="006969CD" w:rsidRDefault="006969CD" w:rsidP="006969CD">
            <w:r>
              <w:t xml:space="preserve">SGSP </w:t>
            </w:r>
            <w:r w:rsidRPr="006969CD">
              <w:t>Australia Assets Pty Ltd</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NR</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rsidRPr="007D3E67">
              <w:t xml:space="preserve">The CitiPower Trust </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422"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393" w:type="pct"/>
          </w:tcPr>
          <w:p w:rsidR="006969CD" w:rsidRPr="006969CD" w:rsidRDefault="006969CD" w:rsidP="006969CD">
            <w:r w:rsidRPr="007D3E67">
              <w:t>A-</w:t>
            </w:r>
          </w:p>
        </w:tc>
        <w:tc>
          <w:tcPr>
            <w:tcW w:w="422" w:type="pct"/>
          </w:tcPr>
          <w:p w:rsidR="006969CD" w:rsidRPr="006969CD" w:rsidRDefault="006969CD" w:rsidP="006969CD">
            <w:r>
              <w:t>BBB+</w:t>
            </w:r>
          </w:p>
        </w:tc>
        <w:tc>
          <w:tcPr>
            <w:tcW w:w="422" w:type="pct"/>
          </w:tcPr>
          <w:p w:rsidR="006969CD" w:rsidRPr="006969CD" w:rsidRDefault="006969CD" w:rsidP="006969CD">
            <w:r>
              <w:t>BBB+</w:t>
            </w:r>
          </w:p>
        </w:tc>
        <w:tc>
          <w:tcPr>
            <w:tcW w:w="422" w:type="pct"/>
          </w:tcPr>
          <w:p w:rsidR="006969CD" w:rsidRPr="006969CD" w:rsidRDefault="006969CD" w:rsidP="006969CD">
            <w:r>
              <w:t>NR</w:t>
            </w:r>
          </w:p>
        </w:tc>
      </w:tr>
      <w:tr w:rsidR="006969CD" w:rsidRPr="007D3E67" w:rsidTr="006969CD">
        <w:tc>
          <w:tcPr>
            <w:tcW w:w="870" w:type="pct"/>
          </w:tcPr>
          <w:p w:rsidR="006969CD" w:rsidRPr="006969CD" w:rsidRDefault="006969CD" w:rsidP="006969CD">
            <w:r w:rsidRPr="007D3E67">
              <w:t xml:space="preserve">United Energy Distribution </w:t>
            </w:r>
            <w:r w:rsidRPr="006969CD">
              <w:t>Pty Ltd</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r w:rsidR="006969CD" w:rsidRPr="007D3E67" w:rsidTr="006969CD">
        <w:trPr>
          <w:cnfStyle w:val="000000010000" w:firstRow="0" w:lastRow="0" w:firstColumn="0" w:lastColumn="0" w:oddVBand="0" w:evenVBand="0" w:oddHBand="0" w:evenHBand="1" w:firstRowFirstColumn="0" w:firstRowLastColumn="0" w:lastRowFirstColumn="0" w:lastRowLastColumn="0"/>
        </w:trPr>
        <w:tc>
          <w:tcPr>
            <w:tcW w:w="870" w:type="pct"/>
          </w:tcPr>
          <w:p w:rsidR="006969CD" w:rsidRPr="006969CD" w:rsidRDefault="006969CD" w:rsidP="006969CD">
            <w:r>
              <w:t>Victoria Power Networks Pty Ltd</w:t>
            </w:r>
          </w:p>
        </w:tc>
        <w:tc>
          <w:tcPr>
            <w:tcW w:w="422" w:type="pct"/>
          </w:tcPr>
          <w:p w:rsidR="006969CD" w:rsidRPr="006969CD" w:rsidRDefault="006969CD" w:rsidP="006969CD">
            <w:r>
              <w:t>NR</w:t>
            </w:r>
          </w:p>
        </w:tc>
        <w:tc>
          <w:tcPr>
            <w:tcW w:w="422" w:type="pct"/>
          </w:tcPr>
          <w:p w:rsidR="006969CD" w:rsidRPr="006969CD" w:rsidRDefault="006969CD" w:rsidP="006969CD">
            <w:r>
              <w:t>NR</w:t>
            </w:r>
          </w:p>
        </w:tc>
        <w:tc>
          <w:tcPr>
            <w:tcW w:w="422" w:type="pct"/>
          </w:tcPr>
          <w:p w:rsidR="006969CD" w:rsidRPr="006969CD" w:rsidRDefault="006969CD" w:rsidP="006969CD">
            <w:r>
              <w:t>NR</w:t>
            </w:r>
          </w:p>
        </w:tc>
        <w:tc>
          <w:tcPr>
            <w:tcW w:w="422" w:type="pct"/>
          </w:tcPr>
          <w:p w:rsidR="006969CD" w:rsidRPr="006969CD" w:rsidRDefault="006969CD" w:rsidP="006969CD">
            <w:r>
              <w:t>NR</w:t>
            </w:r>
          </w:p>
        </w:tc>
        <w:tc>
          <w:tcPr>
            <w:tcW w:w="393" w:type="pct"/>
          </w:tcPr>
          <w:p w:rsidR="006969CD" w:rsidRPr="006969CD" w:rsidRDefault="006969CD" w:rsidP="006969CD">
            <w:r>
              <w:t>NR</w:t>
            </w:r>
          </w:p>
        </w:tc>
        <w:tc>
          <w:tcPr>
            <w:tcW w:w="393" w:type="pct"/>
          </w:tcPr>
          <w:p w:rsidR="006969CD" w:rsidRPr="006969CD" w:rsidRDefault="006969CD" w:rsidP="006969CD">
            <w:r>
              <w:t>NR</w:t>
            </w:r>
          </w:p>
        </w:tc>
        <w:tc>
          <w:tcPr>
            <w:tcW w:w="393" w:type="pct"/>
          </w:tcPr>
          <w:p w:rsidR="006969CD" w:rsidRPr="006969CD" w:rsidRDefault="006969CD" w:rsidP="006969CD">
            <w:r>
              <w:t>NR</w:t>
            </w:r>
          </w:p>
        </w:tc>
        <w:tc>
          <w:tcPr>
            <w:tcW w:w="422" w:type="pct"/>
          </w:tcPr>
          <w:p w:rsidR="006969CD" w:rsidRPr="006969CD" w:rsidRDefault="006969CD" w:rsidP="006969CD">
            <w:r>
              <w:t>NR</w:t>
            </w:r>
          </w:p>
        </w:tc>
        <w:tc>
          <w:tcPr>
            <w:tcW w:w="422" w:type="pct"/>
          </w:tcPr>
          <w:p w:rsidR="006969CD" w:rsidRPr="006969CD" w:rsidRDefault="006969CD" w:rsidP="006969CD">
            <w:r>
              <w:t>NR</w:t>
            </w:r>
          </w:p>
        </w:tc>
        <w:tc>
          <w:tcPr>
            <w:tcW w:w="422" w:type="pct"/>
          </w:tcPr>
          <w:p w:rsidR="006969CD" w:rsidRPr="006969CD" w:rsidRDefault="006969CD" w:rsidP="006969CD">
            <w:r>
              <w:t>BBB+</w:t>
            </w:r>
          </w:p>
        </w:tc>
      </w:tr>
      <w:tr w:rsidR="006969CD" w:rsidRPr="007D3E67" w:rsidTr="006969CD">
        <w:tc>
          <w:tcPr>
            <w:tcW w:w="870" w:type="pct"/>
          </w:tcPr>
          <w:p w:rsidR="006969CD" w:rsidRPr="006969CD" w:rsidRDefault="006969CD" w:rsidP="006969CD">
            <w:r w:rsidRPr="007D3E67">
              <w:t>Median (year)</w:t>
            </w:r>
          </w:p>
        </w:tc>
        <w:tc>
          <w:tcPr>
            <w:tcW w:w="422" w:type="pct"/>
          </w:tcPr>
          <w:p w:rsidR="006969CD" w:rsidRPr="006969CD" w:rsidRDefault="006969CD" w:rsidP="006969CD">
            <w:r>
              <w:t xml:space="preserve">BBB/ </w:t>
            </w:r>
            <w:r w:rsidRPr="006969CD">
              <w:t>BBB+</w:t>
            </w:r>
          </w:p>
        </w:tc>
        <w:tc>
          <w:tcPr>
            <w:tcW w:w="422" w:type="pct"/>
          </w:tcPr>
          <w:p w:rsidR="006969CD" w:rsidRPr="006969CD" w:rsidRDefault="006969CD" w:rsidP="006969CD">
            <w:r>
              <w:t xml:space="preserve">BBB/ </w:t>
            </w:r>
            <w:r w:rsidRPr="006969CD">
              <w:t>BBB+</w:t>
            </w:r>
          </w:p>
        </w:tc>
        <w:tc>
          <w:tcPr>
            <w:tcW w:w="422" w:type="pct"/>
          </w:tcPr>
          <w:p w:rsidR="006969CD" w:rsidRPr="006969CD" w:rsidRDefault="006969CD" w:rsidP="006969CD">
            <w:r w:rsidRPr="007D3E67">
              <w:t>BBB+</w:t>
            </w:r>
          </w:p>
        </w:tc>
        <w:tc>
          <w:tcPr>
            <w:tcW w:w="422"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393" w:type="pct"/>
          </w:tcPr>
          <w:p w:rsidR="006969CD" w:rsidRPr="006969CD" w:rsidRDefault="006969CD" w:rsidP="006969CD">
            <w:r w:rsidRPr="007D3E67">
              <w:t>BBB</w:t>
            </w:r>
          </w:p>
        </w:tc>
        <w:tc>
          <w:tcPr>
            <w:tcW w:w="422" w:type="pct"/>
          </w:tcPr>
          <w:p w:rsidR="006969CD" w:rsidRPr="006969CD" w:rsidRDefault="006969CD" w:rsidP="006969CD">
            <w:r>
              <w:t>BBB/ BBB+</w:t>
            </w:r>
          </w:p>
        </w:tc>
        <w:tc>
          <w:tcPr>
            <w:tcW w:w="422" w:type="pct"/>
          </w:tcPr>
          <w:p w:rsidR="006969CD" w:rsidRPr="006969CD" w:rsidRDefault="006969CD" w:rsidP="006969CD">
            <w:r w:rsidRPr="007D3E67">
              <w:t>BBB+</w:t>
            </w:r>
          </w:p>
        </w:tc>
        <w:tc>
          <w:tcPr>
            <w:tcW w:w="422" w:type="pct"/>
          </w:tcPr>
          <w:p w:rsidR="006969CD" w:rsidRPr="006969CD" w:rsidRDefault="006969CD" w:rsidP="006969CD">
            <w:r>
              <w:t>BBB+</w:t>
            </w:r>
          </w:p>
        </w:tc>
      </w:tr>
    </w:tbl>
    <w:p w:rsidR="006969CD" w:rsidRDefault="006969CD" w:rsidP="006969CD">
      <w:pPr>
        <w:pStyle w:val="AERtablesource"/>
      </w:pPr>
      <w:r w:rsidRPr="00411A04">
        <w:t>Source:</w:t>
      </w:r>
      <w:r w:rsidRPr="00411A04">
        <w:tab/>
        <w:t>Bloomberg</w:t>
      </w:r>
      <w:r>
        <w:t xml:space="preserve">, </w:t>
      </w:r>
      <w:r w:rsidRPr="00411A04">
        <w:t>Sta</w:t>
      </w:r>
      <w:r>
        <w:t>ndard and Poor's, AER analysis.</w:t>
      </w:r>
    </w:p>
    <w:p w:rsidR="00E6234D" w:rsidRPr="00E6234D" w:rsidRDefault="00E6234D" w:rsidP="00E6234D">
      <w:pPr>
        <w:pStyle w:val="HeadingBoldItalic"/>
      </w:pPr>
      <w:r>
        <w:t>Use of independent third party data series</w:t>
      </w:r>
    </w:p>
    <w:p w:rsidR="00E6234D" w:rsidRPr="0031633C" w:rsidRDefault="00E6234D" w:rsidP="00E6234D">
      <w:pPr>
        <w:numPr>
          <w:ilvl w:val="0"/>
          <w:numId w:val="25"/>
        </w:numPr>
      </w:pPr>
      <w:r w:rsidRPr="0031633C">
        <w:t>Our decision is to estimate the return on debt by reference to independent third party data series. Using third party data series is the same approach we proposed in the Guideline.</w:t>
      </w:r>
      <w:r w:rsidRPr="0031633C">
        <w:rPr>
          <w:rStyle w:val="AERsuperscript"/>
        </w:rPr>
        <w:footnoteReference w:id="288"/>
      </w:r>
      <w:r>
        <w:t xml:space="preserve"> It is also consistent with </w:t>
      </w:r>
      <w:r w:rsidR="00CC713F">
        <w:t xml:space="preserve">TasNetworks' </w:t>
      </w:r>
      <w:r w:rsidR="00DF01F2">
        <w:t xml:space="preserve">regulatory </w:t>
      </w:r>
      <w:r>
        <w:t>proposal.</w:t>
      </w:r>
      <w:r>
        <w:rPr>
          <w:rStyle w:val="FootnoteReference"/>
        </w:rPr>
        <w:footnoteReference w:id="289"/>
      </w:r>
    </w:p>
    <w:p w:rsidR="00E6234D" w:rsidRDefault="00E6234D" w:rsidP="00E6234D">
      <w:pPr>
        <w:numPr>
          <w:ilvl w:val="0"/>
          <w:numId w:val="25"/>
        </w:numPr>
      </w:pPr>
      <w:r w:rsidRPr="0031633C">
        <w:lastRenderedPageBreak/>
        <w:t>The CCP and several other consumer groups</w:t>
      </w:r>
      <w:r>
        <w:t xml:space="preserve"> have</w:t>
      </w:r>
      <w:r w:rsidRPr="0031633C">
        <w:t xml:space="preserve"> raised our use of third party data service providers as an issue in several </w:t>
      </w:r>
      <w:r>
        <w:t>recent regulatory processes</w:t>
      </w:r>
      <w:r w:rsidRPr="0031633C">
        <w:t>. For instance, the CCP recommended using service providers' actual borrowing costs as a reasonableness check and/or using an industry index based on actual borrowing costs.</w:t>
      </w:r>
      <w:r w:rsidRPr="0031633C">
        <w:rPr>
          <w:rStyle w:val="AERsuperscript"/>
        </w:rPr>
        <w:footnoteReference w:id="290"/>
      </w:r>
      <w:r w:rsidRPr="0031633C">
        <w:t xml:space="preserve"> </w:t>
      </w:r>
    </w:p>
    <w:p w:rsidR="00E6234D" w:rsidRPr="0031633C" w:rsidRDefault="00E6234D" w:rsidP="00E6234D">
      <w:pPr>
        <w:numPr>
          <w:ilvl w:val="0"/>
          <w:numId w:val="25"/>
        </w:numPr>
      </w:pPr>
      <w:r w:rsidRPr="0031633C">
        <w:t xml:space="preserve">We are satisfied that using a third party data series (or multiple series), appropriately chosen, is commensurate with the efficient debt financing costs of </w:t>
      </w:r>
      <w:r>
        <w:t>a</w:t>
      </w:r>
      <w:r w:rsidRPr="0031633C">
        <w:t xml:space="preserve"> benchmark efficient entity. It is also consistent with the rule requirement that the change in revenue (resulting from the annual debt update) is effected through the automatic application of a formula that is specified in the </w:t>
      </w:r>
      <w:r>
        <w:t xml:space="preserve">revenue </w:t>
      </w:r>
      <w:r w:rsidRPr="0031633C">
        <w:t>determination.</w:t>
      </w:r>
      <w:r>
        <w:rPr>
          <w:rStyle w:val="FootnoteReference"/>
        </w:rPr>
        <w:footnoteReference w:id="291"/>
      </w:r>
      <w:r w:rsidRPr="0031633C">
        <w:t xml:space="preserve"> This is because:</w:t>
      </w:r>
    </w:p>
    <w:p w:rsidR="00E6234D" w:rsidRPr="0031633C" w:rsidRDefault="00E6234D" w:rsidP="00E6234D">
      <w:pPr>
        <w:pStyle w:val="AERbulletlistfirststyle"/>
      </w:pPr>
      <w:r w:rsidRPr="0031633C">
        <w:t xml:space="preserve">A third party data series can be practically applied in the annual debt update process—We discuss this </w:t>
      </w:r>
      <w:r>
        <w:t xml:space="preserve">point </w:t>
      </w:r>
      <w:r w:rsidRPr="0031633C">
        <w:t>further below.</w:t>
      </w:r>
    </w:p>
    <w:p w:rsidR="00E6234D" w:rsidRPr="0031633C" w:rsidRDefault="00E6234D" w:rsidP="00E6234D">
      <w:pPr>
        <w:pStyle w:val="AERbulletlistfirststyle"/>
      </w:pPr>
      <w:r w:rsidRPr="0031633C">
        <w:t>A third party data series is independent information developed by finance experts with access to financial datasets—These experts develop this independently from the regulatory process and for the use of market practitioners.</w:t>
      </w:r>
    </w:p>
    <w:p w:rsidR="00E6234D" w:rsidRPr="0031633C" w:rsidRDefault="00E6234D" w:rsidP="00E6234D">
      <w:pPr>
        <w:pStyle w:val="AERbulletlistfirststyle"/>
      </w:pPr>
      <w:r w:rsidRPr="0031633C">
        <w:t xml:space="preserve">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w:t>
      </w:r>
      <w:r>
        <w:t>ARORO</w:t>
      </w:r>
      <w:r w:rsidRPr="0031633C">
        <w:t>.</w:t>
      </w:r>
    </w:p>
    <w:p w:rsidR="00E6234D" w:rsidRPr="00293457" w:rsidRDefault="00E6234D" w:rsidP="00E6234D">
      <w:pPr>
        <w:pStyle w:val="AERbulletlistfirststyle"/>
      </w:pPr>
      <w:r w:rsidRPr="00293457">
        <w:t>There is no consensus among Australian regulators on the best method to estimate the return on debt—Some regulators use independent third party data series while others use their own data series (with or without it being cross checked against a third party data series).</w:t>
      </w:r>
      <w:r>
        <w:rPr>
          <w:rStyle w:val="FootnoteReference"/>
        </w:rPr>
        <w:footnoteReference w:id="292"/>
      </w:r>
      <w:r w:rsidRPr="00293457">
        <w:t xml:space="preserve"> </w:t>
      </w:r>
      <w:r w:rsidRPr="0031633C">
        <w:t>The Tribunal has found both approaches reasonable</w:t>
      </w:r>
      <w:r>
        <w:t>.</w:t>
      </w:r>
      <w:r>
        <w:rPr>
          <w:rStyle w:val="FootnoteReference"/>
        </w:rPr>
        <w:footnoteReference w:id="293"/>
      </w:r>
    </w:p>
    <w:p w:rsidR="00E6234D" w:rsidRPr="0031633C" w:rsidRDefault="00E6234D" w:rsidP="00E6234D">
      <w:r w:rsidRPr="0031633C">
        <w:t xml:space="preserve">We explain our first reason listed above in more detail here. The </w:t>
      </w:r>
      <w:r>
        <w:t>rules</w:t>
      </w:r>
      <w:r w:rsidRPr="0031633C">
        <w:t xml:space="preserve"> require that if we apply annual updating (or any other approach that could result in a different return on debt each year), then the change in revenue must be effected through the automatic </w:t>
      </w:r>
      <w:r w:rsidRPr="0031633C">
        <w:lastRenderedPageBreak/>
        <w:t xml:space="preserve">application of a formula that is specified in the </w:t>
      </w:r>
      <w:r>
        <w:t xml:space="preserve">revenue </w:t>
      </w:r>
      <w:r w:rsidRPr="0031633C">
        <w:t>determination.</w:t>
      </w:r>
      <w:r>
        <w:rPr>
          <w:rStyle w:val="FootnoteReference"/>
        </w:rPr>
        <w:footnoteReference w:id="294"/>
      </w:r>
      <w:r w:rsidRPr="0031633C">
        <w:t xml:space="preserve"> Even if this were not a rule requirement, </w:t>
      </w:r>
      <w:r>
        <w:t xml:space="preserve">we consider </w:t>
      </w:r>
      <w:r w:rsidRPr="0031633C">
        <w:t xml:space="preserve">using a third party data series </w:t>
      </w:r>
      <w:r>
        <w:t>is likely to b</w:t>
      </w:r>
      <w:r w:rsidRPr="0031633C">
        <w:t>e the only practical option to update the return on debt annually. This position is supported by NERA</w:t>
      </w:r>
      <w:r>
        <w:t xml:space="preserve"> (commissioned by TransGrid in a recent decision process)</w:t>
      </w:r>
      <w:r w:rsidRPr="0031633C">
        <w:t>, who advised that:</w:t>
      </w:r>
    </w:p>
    <w:p w:rsidR="00E6234D" w:rsidRPr="0031633C" w:rsidRDefault="00E6234D" w:rsidP="00E6234D">
      <w:pPr>
        <w:pStyle w:val="AERquote"/>
      </w:pPr>
      <w:r w:rsidRPr="0031633C">
        <w:t>…a third party data service provider is essential to allow the return on debt to be updated automatically'.</w:t>
      </w:r>
      <w:r w:rsidRPr="0031633C">
        <w:rPr>
          <w:rStyle w:val="AERsuperscript"/>
        </w:rPr>
        <w:footnoteReference w:id="295"/>
      </w:r>
    </w:p>
    <w:p w:rsidR="00E6234D" w:rsidRDefault="00E6234D" w:rsidP="00E6234D">
      <w:r w:rsidRPr="0031633C">
        <w:t xml:space="preserve">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w:t>
      </w:r>
      <w:r w:rsidR="00704CF9">
        <w:t xml:space="preserve">particularly given </w:t>
      </w:r>
      <w:r w:rsidRPr="0031633C">
        <w:t xml:space="preserve">the complexity of calculations, would be impractical to achieve during the annual debt update process. The annual debt update we propose is set out below </w:t>
      </w:r>
      <w:r>
        <w:t>after</w:t>
      </w:r>
      <w:r w:rsidRPr="0031633C">
        <w:t xml:space="preserve"> the section on the averaging period. This process needs to occur relatively quickly and without consultation. Using a third party data series enables this. This is because we can consult on the choice of the data series and any implementation issues (for example, weighting of data series, extrapolation, or interpolation issues) when making the </w:t>
      </w:r>
      <w:r>
        <w:t xml:space="preserve">revenue </w:t>
      </w:r>
      <w:r w:rsidRPr="0031633C">
        <w:t>determination. We can then add a formula to the determination and apply it mechanistically during the annual debt update process.</w:t>
      </w:r>
    </w:p>
    <w:p w:rsidR="00E6234D" w:rsidRDefault="00E6234D" w:rsidP="00E6234D">
      <w:pPr>
        <w:pStyle w:val="HeadingBoldItalic"/>
      </w:pPr>
      <w:r w:rsidRPr="00484372">
        <w:t>Choice of third party data series (including adjustments)</w:t>
      </w:r>
    </w:p>
    <w:p w:rsidR="00E6234D" w:rsidRPr="00484372" w:rsidRDefault="00E6234D" w:rsidP="00E6234D">
      <w:pPr>
        <w:numPr>
          <w:ilvl w:val="0"/>
          <w:numId w:val="25"/>
        </w:numPr>
      </w:pPr>
      <w:r w:rsidRPr="00484372">
        <w:t xml:space="preserve">In the previous section, we explained our </w:t>
      </w:r>
      <w:r>
        <w:t xml:space="preserve">draft </w:t>
      </w:r>
      <w:r w:rsidRPr="00484372">
        <w:t>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E6234D" w:rsidRPr="00484372" w:rsidRDefault="00E6234D" w:rsidP="00E6234D">
      <w:pPr>
        <w:numPr>
          <w:ilvl w:val="0"/>
          <w:numId w:val="25"/>
        </w:numPr>
      </w:pPr>
      <w:r w:rsidRPr="00484372">
        <w:t>Our</w:t>
      </w:r>
      <w:r>
        <w:t xml:space="preserve"> draft</w:t>
      </w:r>
      <w:r w:rsidRPr="00484372">
        <w:t xml:space="preserve"> decision is to adopt a simple average of the debt data series published by the </w:t>
      </w:r>
      <w:r>
        <w:t>RBA</w:t>
      </w:r>
      <w:r w:rsidRPr="00484372">
        <w:t xml:space="preserve"> and Bloomberg that match, as close as available, our benchmarks of a BBB+ credit rating and a 10 year debt term. Specifically, </w:t>
      </w:r>
      <w:r w:rsidR="00371654">
        <w:t xml:space="preserve">in estimating the prevailing return on debt in each year (specified as </w:t>
      </w: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371654">
        <w:t xml:space="preserve"> in the next section below) </w:t>
      </w:r>
      <w:r>
        <w:t>we</w:t>
      </w:r>
      <w:r w:rsidRPr="00484372">
        <w:t xml:space="preserve"> adopt a simple average of:</w:t>
      </w:r>
    </w:p>
    <w:p w:rsidR="00E6234D" w:rsidRPr="00484372" w:rsidRDefault="00E6234D" w:rsidP="00E6234D">
      <w:pPr>
        <w:pStyle w:val="AERbulletlistfirststyle"/>
      </w:pPr>
      <w:r>
        <w:t>t</w:t>
      </w:r>
      <w:r w:rsidRPr="00484372">
        <w:t>he</w:t>
      </w:r>
      <w:r>
        <w:t xml:space="preserve"> </w:t>
      </w:r>
      <w:r w:rsidRPr="00484372">
        <w:t>10 year estimate from the non-financial corporate BBB rated data series published by the RBA (the RBA curve),</w:t>
      </w:r>
      <w:r w:rsidRPr="00D020D4">
        <w:rPr>
          <w:rStyle w:val="AERsuperscript"/>
        </w:rPr>
        <w:footnoteReference w:id="296"/>
      </w:r>
      <w:r w:rsidRPr="00D020D4">
        <w:rPr>
          <w:rStyle w:val="AERsuperscript"/>
        </w:rPr>
        <w:t xml:space="preserve"> </w:t>
      </w:r>
      <w:r w:rsidRPr="00484372">
        <w:t>and</w:t>
      </w:r>
    </w:p>
    <w:p w:rsidR="00E6234D" w:rsidRPr="00484372" w:rsidRDefault="00E6234D" w:rsidP="00E6234D">
      <w:pPr>
        <w:pStyle w:val="AERbulletlistfirststyle"/>
      </w:pPr>
      <w:r w:rsidRPr="00484372">
        <w:t>the 10 year yield estimate from the Australian corporate BBB rated Bloomberg Valuation Service (BVAL) data series published by Bloomberg (the BVAL curve).</w:t>
      </w:r>
      <w:r w:rsidRPr="00D020D4">
        <w:rPr>
          <w:rStyle w:val="AERsuperscript"/>
        </w:rPr>
        <w:footnoteReference w:id="297"/>
      </w:r>
    </w:p>
    <w:p w:rsidR="002A1979" w:rsidRPr="002A1979" w:rsidRDefault="00E6234D" w:rsidP="002A1979">
      <w:pPr>
        <w:numPr>
          <w:ilvl w:val="0"/>
          <w:numId w:val="25"/>
        </w:numPr>
      </w:pPr>
      <w:r w:rsidRPr="00484372">
        <w:lastRenderedPageBreak/>
        <w:t>The RBA and BVAL curves are both 'broad BBB' rated data series in that they reflect bond pricing generally across the BBB+, BBB and BBB- rated spectrum of bonds.</w:t>
      </w:r>
      <w:r w:rsidR="002A1979">
        <w:t xml:space="preserve"> CCP</w:t>
      </w:r>
      <w:r w:rsidR="0007291A">
        <w:t xml:space="preserve"> members Hugh Grant and David Headberry</w:t>
      </w:r>
      <w:r w:rsidR="002A1979">
        <w:t xml:space="preserve"> submitted that this use of broad BBB rated data '</w:t>
      </w:r>
      <w:r w:rsidR="002A1979" w:rsidRPr="002A1979">
        <w:t xml:space="preserve"> is</w:t>
      </w:r>
      <w:r w:rsidR="002A1979">
        <w:t xml:space="preserve"> providing </w:t>
      </w:r>
      <w:r w:rsidR="002A1979" w:rsidRPr="002A1979">
        <w:t>significantly</w:t>
      </w:r>
      <w:r w:rsidR="002A1979">
        <w:t xml:space="preserve"> </w:t>
      </w:r>
      <w:r w:rsidR="002A1979" w:rsidRPr="002A1979">
        <w:t>higher</w:t>
      </w:r>
      <w:r w:rsidR="002A1979">
        <w:t xml:space="preserve"> return on debt allowances than appropriate'.</w:t>
      </w:r>
      <w:r w:rsidR="002A1979">
        <w:rPr>
          <w:rStyle w:val="FootnoteReference"/>
        </w:rPr>
        <w:footnoteReference w:id="298"/>
      </w:r>
      <w:r w:rsidR="002A1979">
        <w:t xml:space="preserve"> However, the CCP </w:t>
      </w:r>
      <w:r w:rsidR="0007291A">
        <w:t xml:space="preserve">members' </w:t>
      </w:r>
      <w:r w:rsidR="002A1979">
        <w:t>did not set out how it determined the counterfactual appropriate return on debt, or an alternative data series that would be more appropriate. We acknowledge that the available data series does not precisely match our benchmark credit rating, but consider that the use of broad BBB rated data remains appropriate for practical purposes and that the resulting return on debt estimates are likely to achieve the ARORO.</w:t>
      </w:r>
    </w:p>
    <w:p w:rsidR="00E6234D" w:rsidRPr="00484372" w:rsidRDefault="00E6234D" w:rsidP="00E6234D">
      <w:pPr>
        <w:numPr>
          <w:ilvl w:val="0"/>
          <w:numId w:val="25"/>
        </w:numPr>
      </w:pPr>
      <w:r w:rsidRPr="00484372">
        <w:t xml:space="preserve">Our </w:t>
      </w:r>
      <w:r>
        <w:t xml:space="preserve">draft </w:t>
      </w:r>
      <w:r w:rsidRPr="00484372">
        <w:t xml:space="preserve">decision is also to make certain adjustments to the RBA and BVAL curves so these rates are consistent with our 10 year benchmark debt term and also so they can be applied across the dates of </w:t>
      </w:r>
      <w:r w:rsidR="00F20728">
        <w:t>TasNetworks'</w:t>
      </w:r>
      <w:r w:rsidR="00F20728" w:rsidRPr="00484372">
        <w:t xml:space="preserve"> </w:t>
      </w:r>
      <w:r w:rsidRPr="00484372">
        <w:t>averaging periods. Those adjustments are:</w:t>
      </w:r>
    </w:p>
    <w:p w:rsidR="00E6234D" w:rsidRPr="00484372" w:rsidRDefault="00E6234D" w:rsidP="00371654">
      <w:pPr>
        <w:pStyle w:val="AERbulletlistfirststyle"/>
      </w:pPr>
      <w:r w:rsidRPr="00484372">
        <w:t>For the RBA curve, to extrapolate the data series from a 'target' 10 year term to an 'effective' 10 year term using the method recommended by Dr Lally (the Lally method),</w:t>
      </w:r>
      <w:r w:rsidRPr="00940FFA">
        <w:rPr>
          <w:rStyle w:val="AERsuperscript"/>
        </w:rPr>
        <w:footnoteReference w:id="299"/>
      </w:r>
      <w:r w:rsidRPr="00484372">
        <w:t xml:space="preserve"> to interpolate the monthly data points to produce daily estimates, and to convert the estimates from a semi-annual to an effective annual rate.</w:t>
      </w:r>
    </w:p>
    <w:p w:rsidR="00E6234D" w:rsidRPr="00484372" w:rsidRDefault="00E6234D" w:rsidP="00E6234D">
      <w:pPr>
        <w:pStyle w:val="AERbulletlistfirststyle"/>
      </w:pPr>
      <w:r w:rsidRPr="00484372">
        <w:t>For the BVAL curve, to convert the estimates from a semi-annual to an effective annual rate</w:t>
      </w:r>
      <w:r w:rsidRPr="00484372">
        <w:rPr>
          <w:rStyle w:val="AERsuperscript"/>
        </w:rPr>
        <w:footnoteReference w:id="300"/>
      </w:r>
      <w:r w:rsidR="00371654">
        <w:t xml:space="preserve"> and, d</w:t>
      </w:r>
      <w:r w:rsidR="00371654" w:rsidRPr="00FB18DC">
        <w:t>epending on the maximum term published at the time</w:t>
      </w:r>
      <w:r w:rsidR="00371654">
        <w:t>:</w:t>
      </w:r>
    </w:p>
    <w:p w:rsidR="00371654" w:rsidRPr="00371654" w:rsidRDefault="00371654" w:rsidP="00371654">
      <w:pPr>
        <w:pStyle w:val="AERbulletlistsecondstyle"/>
      </w:pPr>
      <w:r w:rsidRPr="00371654">
        <w:t xml:space="preserve">where it is available, </w:t>
      </w:r>
      <w:r>
        <w:t xml:space="preserve">use </w:t>
      </w:r>
      <w:r w:rsidRPr="00371654">
        <w:t>the 10 year estimate</w:t>
      </w:r>
      <w:r w:rsidRPr="00371654">
        <w:rPr>
          <w:rStyle w:val="FootnoteReference"/>
        </w:rPr>
        <w:footnoteReference w:id="301"/>
      </w:r>
      <w:r w:rsidRPr="00371654">
        <w:t xml:space="preserve"> without further adjustment</w:t>
      </w:r>
    </w:p>
    <w:p w:rsidR="00371654" w:rsidRPr="00371654" w:rsidRDefault="00371654" w:rsidP="00371654">
      <w:pPr>
        <w:pStyle w:val="AERbulletlistsecondstyle"/>
      </w:pPr>
      <w:r w:rsidRPr="00371654">
        <w:t>where the 7 year estimate is available and the 10 year estimate is not available, extrapolate the 7 year estimate to a 10 year term using the 7</w:t>
      </w:r>
      <w:r w:rsidRPr="00371654">
        <w:softHyphen/>
        <w:t>–10</w:t>
      </w:r>
      <w:r>
        <w:t xml:space="preserve"> year margin from the RBA curve</w:t>
      </w:r>
    </w:p>
    <w:p w:rsidR="00371654" w:rsidRPr="00371654" w:rsidRDefault="00371654" w:rsidP="00371654">
      <w:pPr>
        <w:pStyle w:val="AERbulletlistsecondstyle"/>
      </w:pPr>
      <w:r w:rsidRPr="00371654">
        <w:lastRenderedPageBreak/>
        <w:t>where the 5 year estimate is available and neither the 10 year nor the 7 year estimates are available, extrapolate the 5 year estimate to a 10 year term using the 5–10 year margin from the RBA curve.</w:t>
      </w:r>
    </w:p>
    <w:p w:rsidR="00DC4846" w:rsidRDefault="00DC4846" w:rsidP="00371654">
      <w:r>
        <w:t xml:space="preserve">For both the RBA and BVAL estimates, we then calculate a simple average of the daily estimates over the averaging periods determined in the 'averaging periods' section below. </w:t>
      </w:r>
    </w:p>
    <w:p w:rsidR="00371654" w:rsidRDefault="00371654" w:rsidP="00371654">
      <w:r w:rsidRPr="00D63D95">
        <w:t xml:space="preserve">We do not estimate the allowed return on debt in this </w:t>
      </w:r>
      <w:r>
        <w:t xml:space="preserve">draft </w:t>
      </w:r>
      <w:r w:rsidRPr="00D63D95">
        <w:t xml:space="preserve">decision by reference to the 10 year yield curve published by Thomson Reuters (the Reuters curve). </w:t>
      </w:r>
      <w:r w:rsidR="00C23858">
        <w:t xml:space="preserve">While </w:t>
      </w:r>
      <w:r w:rsidR="00F20728">
        <w:t xml:space="preserve">TasNetworks </w:t>
      </w:r>
      <w:r w:rsidR="00C23858">
        <w:t xml:space="preserve">has not proposed we adopt the Thomson Reuters curve, other service providers have recently proposed this as a source of data for estimating the allowed return on debt. </w:t>
      </w:r>
      <w:r w:rsidRPr="00D63D95">
        <w:t>Nonetheless, we do not rule out including the Reuters curve in future determinations following a proper period of consultation.</w:t>
      </w:r>
      <w:r>
        <w:t xml:space="preserve"> We discuss the Reuters curve in section</w:t>
      </w:r>
      <w:r w:rsidR="004D1CA1">
        <w:t xml:space="preserve"> I.1 </w:t>
      </w:r>
      <w:r>
        <w:t>of attachment 3 to our draft decision on AusNet Services' 2017–22 transmission determination, and this analysis remains relevant.</w:t>
      </w:r>
      <w:r w:rsidR="0042271B" w:rsidRPr="0042271B">
        <w:rPr>
          <w:rStyle w:val="FootnoteReference"/>
        </w:rPr>
        <w:t xml:space="preserve"> </w:t>
      </w:r>
      <w:r w:rsidR="0042271B">
        <w:rPr>
          <w:rStyle w:val="FootnoteReference"/>
        </w:rPr>
        <w:footnoteReference w:id="302"/>
      </w:r>
    </w:p>
    <w:p w:rsidR="00E6234D" w:rsidRDefault="00E6234D" w:rsidP="00DD5F01">
      <w:r w:rsidRPr="00484372">
        <w:t xml:space="preserve">The above positions are consistent with the approach we adopted in the first round of decisions since the publication of the Guideline, the most recent being our </w:t>
      </w:r>
      <w:r>
        <w:t>decisions released in May 2016</w:t>
      </w:r>
      <w:r w:rsidRPr="00484372">
        <w:t>.</w:t>
      </w:r>
      <w:r w:rsidRPr="00484372">
        <w:rPr>
          <w:rStyle w:val="AERsuperscript"/>
        </w:rPr>
        <w:footnoteReference w:id="303"/>
      </w:r>
    </w:p>
    <w:p w:rsidR="00E6234D" w:rsidRPr="0044315E" w:rsidRDefault="00E6234D" w:rsidP="00E6234D">
      <w:r w:rsidRPr="0044315E">
        <w:t xml:space="preserve">We are satisfied that a simple average of the two </w:t>
      </w:r>
      <w:r>
        <w:t>curves</w:t>
      </w:r>
      <w:r w:rsidRPr="0044315E">
        <w:t xml:space="preserve"> will result in a return on debt that contributes to the achievement of the </w:t>
      </w:r>
      <w:r>
        <w:t>ARORO</w:t>
      </w:r>
      <w:r w:rsidRPr="0044315E">
        <w:t>. This is because:</w:t>
      </w:r>
    </w:p>
    <w:p w:rsidR="00E6234D" w:rsidRPr="0044315E" w:rsidRDefault="00E6234D" w:rsidP="00E6234D">
      <w:pPr>
        <w:pStyle w:val="AERbulletlistfirststyle"/>
      </w:pPr>
      <w:r w:rsidRPr="0044315E">
        <w:t>Based on analysis of the bond selection criteria</w:t>
      </w:r>
      <w:r>
        <w:t xml:space="preserve"> (including </w:t>
      </w:r>
      <w:r w:rsidR="00704CF9">
        <w:t xml:space="preserve">the </w:t>
      </w:r>
      <w:r>
        <w:t>approach for identifying outliers)</w:t>
      </w:r>
      <w:r w:rsidRPr="0044315E">
        <w:t xml:space="preserve">, we consider that both approaches employed by the RBA and Bloomberg have </w:t>
      </w:r>
      <w:r>
        <w:t xml:space="preserve">their unique </w:t>
      </w:r>
      <w:r w:rsidR="00DE7EC0">
        <w:t>differences</w:t>
      </w:r>
      <w:r w:rsidRPr="0044315E">
        <w:t>, but we are not satisfied that either is clearly superior.</w:t>
      </w:r>
    </w:p>
    <w:p w:rsidR="00E6234D" w:rsidRPr="0044315E" w:rsidRDefault="00E6234D" w:rsidP="00E6234D">
      <w:pPr>
        <w:pStyle w:val="AERbulletlistfirststyle"/>
      </w:pPr>
      <w:r w:rsidRPr="0044315E">
        <w:t xml:space="preserve">Based on analysis of the curve fitting (or averaging) methodologies, we consider that both approaches have </w:t>
      </w:r>
      <w:r>
        <w:t xml:space="preserve">their unique </w:t>
      </w:r>
      <w:r w:rsidR="00DE7EC0">
        <w:t>differences</w:t>
      </w:r>
      <w:r w:rsidRPr="0044315E">
        <w:t>, but we are not satisfied that either is clearly superior.</w:t>
      </w:r>
    </w:p>
    <w:p w:rsidR="00E6234D" w:rsidRPr="0044315E" w:rsidRDefault="00E6234D" w:rsidP="00E6234D">
      <w:pPr>
        <w:pStyle w:val="AERbulletlistfirststyle"/>
      </w:pPr>
      <w:r w:rsidRPr="0044315E">
        <w:t xml:space="preserve">Both curves require adjustments from their published form to make them </w:t>
      </w:r>
      <w:r>
        <w:t>fit-for-purpose</w:t>
      </w:r>
      <w:r w:rsidRPr="0044315E">
        <w:t xml:space="preserve">, and we are not satisfied that either can be more simply or reliably </w:t>
      </w:r>
      <w:r>
        <w:t>adjusted</w:t>
      </w:r>
      <w:r w:rsidRPr="0044315E">
        <w:t xml:space="preserve"> </w:t>
      </w:r>
      <w:r>
        <w:t>to estimate</w:t>
      </w:r>
      <w:r w:rsidRPr="0044315E">
        <w:t xml:space="preserve"> the annual return on debt.</w:t>
      </w:r>
      <w:r w:rsidRPr="0044315E">
        <w:rPr>
          <w:rStyle w:val="FootnoteReference"/>
        </w:rPr>
        <w:footnoteReference w:id="304"/>
      </w:r>
    </w:p>
    <w:p w:rsidR="00E6234D" w:rsidRDefault="00E6234D" w:rsidP="00E6234D">
      <w:pPr>
        <w:pStyle w:val="AERbulletlistfirststyle"/>
      </w:pPr>
      <w:r w:rsidRPr="0044315E">
        <w:t xml:space="preserve">A simple average is consistent with expert advice from Dr Lally that we adopt a simple average of the BVAL curve and the RBA curve, subject to the necessary </w:t>
      </w:r>
      <w:r w:rsidRPr="0044315E">
        <w:lastRenderedPageBreak/>
        <w:t xml:space="preserve">adjustments to each curve. </w:t>
      </w:r>
      <w:r w:rsidRPr="0044315E">
        <w:rPr>
          <w:rStyle w:val="AERsuperscript"/>
        </w:rPr>
        <w:footnoteReference w:id="305"/>
      </w:r>
      <w:r w:rsidRPr="0044315E">
        <w:t xml:space="preserve"> In particular, Lally concluded that based on analysis of the curves, it was reasonably likely that a simple average of the two curves would produce an estimator with a lower mean squared error (MSE) than using either curv</w:t>
      </w:r>
      <w:r>
        <w:t>e in isolation. Lally also advised:</w:t>
      </w:r>
    </w:p>
    <w:p w:rsidR="00E6234D" w:rsidRPr="0044315E" w:rsidRDefault="00E6234D" w:rsidP="00E6234D">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306"/>
      </w:r>
    </w:p>
    <w:p w:rsidR="00E6234D" w:rsidRPr="0044315E" w:rsidRDefault="00E6234D" w:rsidP="00E6234D">
      <w:pPr>
        <w:pStyle w:val="AERbulletlistfirststyle"/>
      </w:pPr>
      <w:r w:rsidRPr="0044315E">
        <w:t>The two curves have regularly produced materially different results at particular points in time. Both curves have their strengths</w:t>
      </w:r>
      <w:r>
        <w:t xml:space="preserve"> and shortcomings</w:t>
      </w:r>
      <w:r w:rsidRPr="0044315E">
        <w:t>, but it is no</w:t>
      </w:r>
      <w:r>
        <w:t>t clear to us that one approach</w:t>
      </w:r>
      <w:r w:rsidRPr="0044315E">
        <w:t xml:space="preserve"> is clearly superior. Consequently, </w:t>
      </w:r>
      <w:r>
        <w:t>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E6234D" w:rsidRPr="0044315E" w:rsidRDefault="00E6234D" w:rsidP="00E6234D">
      <w:pPr>
        <w:pStyle w:val="AERbulletlistfirststyle"/>
      </w:pPr>
      <w:r w:rsidRPr="0044315E">
        <w:t>A simple average of two curves, in these circumstances, is consistent with the Tribunal's decision in the ActewAGL matter where the Tribunal concluded that:</w:t>
      </w:r>
    </w:p>
    <w:p w:rsidR="00E6234D" w:rsidRPr="0044315E" w:rsidRDefault="00E6234D" w:rsidP="00E6234D">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307"/>
      </w:r>
    </w:p>
    <w:p w:rsidR="00E6234D" w:rsidRPr="0044315E" w:rsidRDefault="00E6234D" w:rsidP="00E6234D">
      <w:pPr>
        <w:pStyle w:val="AERbulletlistfirststyle"/>
      </w:pPr>
      <w:r w:rsidRPr="0044315E">
        <w:t>A simple average of the two curves will reduce the likely price shock if either curve becomes unavailable or produces erroneous estimates during the period.</w:t>
      </w:r>
    </w:p>
    <w:p w:rsidR="00E6234D" w:rsidRDefault="00E6234D" w:rsidP="00E6234D">
      <w:r>
        <w:t>In our previous decisions, we have explained each of these reasons in more detail.</w:t>
      </w:r>
      <w:r>
        <w:rPr>
          <w:rStyle w:val="FootnoteReference"/>
        </w:rPr>
        <w:footnoteReference w:id="308"/>
      </w:r>
      <w:r>
        <w:t xml:space="preserve"> This analysis included the following evidence.</w:t>
      </w:r>
    </w:p>
    <w:p w:rsidR="00E6234D" w:rsidRDefault="00E6234D" w:rsidP="00E6234D">
      <w:pPr>
        <w:numPr>
          <w:ilvl w:val="0"/>
          <w:numId w:val="25"/>
        </w:numPr>
      </w:pPr>
      <w:r>
        <w:t>Dr Lally used the report of the Regulatory Economic Unit</w:t>
      </w:r>
      <w:r w:rsidR="007A480E">
        <w:rPr>
          <w:rStyle w:val="FootnoteReference"/>
        </w:rPr>
        <w:footnoteReference w:id="309"/>
      </w:r>
      <w:r>
        <w:t xml:space="preserve"> to identify 11 points of distinction between the RBA and BVAL curves. Lally analysed each of those differences and concluded:</w:t>
      </w:r>
      <w:r w:rsidR="0039774C" w:rsidRPr="0039774C">
        <w:rPr>
          <w:rStyle w:val="FootnoteReference"/>
        </w:rPr>
        <w:t xml:space="preserve"> </w:t>
      </w:r>
      <w:r w:rsidR="0039774C" w:rsidRPr="00305172">
        <w:rPr>
          <w:rStyle w:val="FootnoteReference"/>
        </w:rPr>
        <w:footnoteReference w:id="310"/>
      </w:r>
    </w:p>
    <w:p w:rsidR="00E6234D" w:rsidRDefault="00E6234D" w:rsidP="00E6234D">
      <w:pPr>
        <w:pStyle w:val="AERquote"/>
      </w:pPr>
      <w:r w:rsidRPr="00305172">
        <w:t xml:space="preserve">In summary, eleven points of distinction have been identified between the BVAL and RBA indexes. Point (11) is irrelevant in view of the AER not requiring </w:t>
      </w:r>
      <w:r w:rsidRPr="00305172">
        <w:lastRenderedPageBreak/>
        <w:t>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p>
    <w:p w:rsidR="00E6234D" w:rsidRDefault="00E6234D" w:rsidP="00E6234D">
      <w:pPr>
        <w:numPr>
          <w:ilvl w:val="0"/>
          <w:numId w:val="25"/>
        </w:numPr>
      </w:pPr>
      <w:r>
        <w:t>Based on this analysis, Lally recommended using a simple average of the two curves. Lally advised:</w:t>
      </w:r>
      <w:r w:rsidR="0039774C" w:rsidRPr="0039774C">
        <w:rPr>
          <w:rStyle w:val="FootnoteReference"/>
        </w:rPr>
        <w:t xml:space="preserve"> </w:t>
      </w:r>
      <w:r w:rsidR="0039774C" w:rsidRPr="00305172">
        <w:rPr>
          <w:rStyle w:val="FootnoteReference"/>
        </w:rPr>
        <w:footnoteReference w:id="311"/>
      </w:r>
    </w:p>
    <w:p w:rsidR="00E6234D" w:rsidRPr="00305172" w:rsidRDefault="00E6234D" w:rsidP="00E6234D">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p>
    <w:p w:rsidR="00E6234D" w:rsidRDefault="00E6234D" w:rsidP="00E6234D">
      <w:r>
        <w:t>Those 11 points of distinction, and Lally's assessment of those differences between the RBA and BVAL curves, are summarised in the following table.</w:t>
      </w:r>
    </w:p>
    <w:p w:rsidR="00E6234D" w:rsidRPr="00420956" w:rsidRDefault="00E6234D" w:rsidP="00E6234D">
      <w:pPr>
        <w:pStyle w:val="Caption"/>
      </w:pPr>
      <w:r>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8</w:t>
      </w:r>
      <w:r w:rsidR="00AB6D99">
        <w:rPr>
          <w:noProof/>
        </w:rPr>
        <w:fldChar w:fldCharType="end"/>
      </w:r>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E6234D" w:rsidTr="00DA33BB">
        <w:trPr>
          <w:cnfStyle w:val="100000000000" w:firstRow="1" w:lastRow="0" w:firstColumn="0" w:lastColumn="0" w:oddVBand="0" w:evenVBand="0" w:oddHBand="0" w:evenHBand="0" w:firstRowFirstColumn="0" w:firstRowLastColumn="0" w:lastRowFirstColumn="0" w:lastRowLastColumn="0"/>
          <w:tblHeader/>
        </w:trPr>
        <w:tc>
          <w:tcPr>
            <w:tcW w:w="959" w:type="dxa"/>
          </w:tcPr>
          <w:p w:rsidR="00E6234D" w:rsidRDefault="00E6234D" w:rsidP="00E6234D">
            <w:pPr>
              <w:numPr>
                <w:ilvl w:val="0"/>
                <w:numId w:val="25"/>
              </w:numPr>
            </w:pPr>
            <w:r>
              <w:t>No.</w:t>
            </w:r>
          </w:p>
        </w:tc>
        <w:tc>
          <w:tcPr>
            <w:tcW w:w="4394" w:type="dxa"/>
          </w:tcPr>
          <w:p w:rsidR="00E6234D" w:rsidRDefault="00E6234D" w:rsidP="00E6234D">
            <w:pPr>
              <w:numPr>
                <w:ilvl w:val="0"/>
                <w:numId w:val="25"/>
              </w:numPr>
            </w:pPr>
            <w:r>
              <w:t>Points of distinction identified by REU</w:t>
            </w:r>
            <w:r>
              <w:rPr>
                <w:rStyle w:val="FootnoteReference"/>
              </w:rPr>
              <w:footnoteReference w:id="312"/>
            </w:r>
          </w:p>
        </w:tc>
        <w:tc>
          <w:tcPr>
            <w:tcW w:w="3340" w:type="dxa"/>
          </w:tcPr>
          <w:p w:rsidR="00E6234D" w:rsidRDefault="00E6234D" w:rsidP="00E6234D">
            <w:pPr>
              <w:numPr>
                <w:ilvl w:val="0"/>
                <w:numId w:val="25"/>
              </w:numPr>
            </w:pPr>
            <w:r>
              <w:t>Advice from Dr Lally</w:t>
            </w:r>
            <w:r>
              <w:rPr>
                <w:rStyle w:val="FootnoteReference"/>
              </w:rPr>
              <w:footnoteReference w:id="313"/>
            </w:r>
          </w:p>
        </w:tc>
      </w:tr>
      <w:tr w:rsidR="00E6234D" w:rsidTr="00DA33BB">
        <w:tc>
          <w:tcPr>
            <w:tcW w:w="959" w:type="dxa"/>
          </w:tcPr>
          <w:p w:rsidR="00E6234D" w:rsidRDefault="00E6234D" w:rsidP="00E6234D">
            <w:pPr>
              <w:numPr>
                <w:ilvl w:val="0"/>
                <w:numId w:val="25"/>
              </w:numPr>
            </w:pPr>
            <w:r>
              <w:t>1</w:t>
            </w:r>
          </w:p>
        </w:tc>
        <w:tc>
          <w:tcPr>
            <w:tcW w:w="4394" w:type="dxa"/>
          </w:tcPr>
          <w:p w:rsidR="00E6234D" w:rsidRDefault="00E6234D" w:rsidP="00E6234D">
            <w:pPr>
              <w:numPr>
                <w:ilvl w:val="0"/>
                <w:numId w:val="25"/>
              </w:numPr>
            </w:pPr>
            <w:r w:rsidRPr="009F0E67">
              <w:t>The BVAL is available daily whilst the RBA is only available monthly.</w:t>
            </w:r>
          </w:p>
        </w:tc>
        <w:tc>
          <w:tcPr>
            <w:tcW w:w="3340" w:type="dxa"/>
          </w:tcPr>
          <w:p w:rsidR="00E6234D" w:rsidRDefault="00E6234D" w:rsidP="00E6234D">
            <w:pPr>
              <w:numPr>
                <w:ilvl w:val="0"/>
                <w:numId w:val="25"/>
              </w:numPr>
            </w:pPr>
            <w:r w:rsidRPr="009F0E67">
              <w:t>BVAL favoured.</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2</w:t>
            </w:r>
          </w:p>
        </w:tc>
        <w:tc>
          <w:tcPr>
            <w:tcW w:w="4394" w:type="dxa"/>
          </w:tcPr>
          <w:p w:rsidR="00E6234D" w:rsidRDefault="00E6234D" w:rsidP="00E6234D">
            <w:pPr>
              <w:numPr>
                <w:ilvl w:val="0"/>
                <w:numId w:val="25"/>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E6234D" w:rsidRPr="009F0E67" w:rsidRDefault="00E6234D" w:rsidP="00E6234D">
            <w:pPr>
              <w:numPr>
                <w:ilvl w:val="0"/>
                <w:numId w:val="25"/>
              </w:numPr>
            </w:pPr>
            <w:r w:rsidRPr="009F0E67">
              <w:t>RBA favoured.</w:t>
            </w:r>
          </w:p>
          <w:p w:rsidR="00E6234D" w:rsidRPr="005C054F" w:rsidRDefault="00E6234D" w:rsidP="00E6234D">
            <w:pPr>
              <w:numPr>
                <w:ilvl w:val="0"/>
                <w:numId w:val="25"/>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E6234D" w:rsidTr="00DA33BB">
        <w:tc>
          <w:tcPr>
            <w:tcW w:w="959" w:type="dxa"/>
          </w:tcPr>
          <w:p w:rsidR="00E6234D" w:rsidRDefault="00E6234D" w:rsidP="00E6234D">
            <w:pPr>
              <w:numPr>
                <w:ilvl w:val="0"/>
                <w:numId w:val="25"/>
              </w:numPr>
            </w:pPr>
            <w:r>
              <w:t>3</w:t>
            </w:r>
          </w:p>
        </w:tc>
        <w:tc>
          <w:tcPr>
            <w:tcW w:w="4394" w:type="dxa"/>
          </w:tcPr>
          <w:p w:rsidR="00E6234D" w:rsidRDefault="00E6234D" w:rsidP="00E6234D">
            <w:pPr>
              <w:numPr>
                <w:ilvl w:val="0"/>
                <w:numId w:val="25"/>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4</w:t>
            </w:r>
          </w:p>
        </w:tc>
        <w:tc>
          <w:tcPr>
            <w:tcW w:w="4394" w:type="dxa"/>
          </w:tcPr>
          <w:p w:rsidR="00E6234D" w:rsidRDefault="00E6234D" w:rsidP="00E6234D">
            <w:pPr>
              <w:numPr>
                <w:ilvl w:val="0"/>
                <w:numId w:val="25"/>
              </w:numPr>
            </w:pPr>
            <w:r w:rsidRPr="009F0E67">
              <w:t>The BVAL sample does not exclude financial corporations whilst the RBA’s does.</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c>
          <w:tcPr>
            <w:tcW w:w="959" w:type="dxa"/>
          </w:tcPr>
          <w:p w:rsidR="00E6234D" w:rsidRDefault="00E6234D" w:rsidP="00E6234D">
            <w:pPr>
              <w:numPr>
                <w:ilvl w:val="0"/>
                <w:numId w:val="25"/>
              </w:numPr>
            </w:pPr>
            <w:r>
              <w:lastRenderedPageBreak/>
              <w:t>5</w:t>
            </w:r>
          </w:p>
        </w:tc>
        <w:tc>
          <w:tcPr>
            <w:tcW w:w="4394" w:type="dxa"/>
          </w:tcPr>
          <w:p w:rsidR="00E6234D" w:rsidRDefault="00E6234D" w:rsidP="00E6234D">
            <w:pPr>
              <w:numPr>
                <w:ilvl w:val="0"/>
                <w:numId w:val="25"/>
              </w:numPr>
            </w:pPr>
            <w:r w:rsidRPr="009F0E67">
              <w:t>The BVAL sample is limited to unsecured bonds whilst the RBA’s sample includes both secured and unsecured bonds.</w:t>
            </w:r>
          </w:p>
        </w:tc>
        <w:tc>
          <w:tcPr>
            <w:tcW w:w="3340" w:type="dxa"/>
          </w:tcPr>
          <w:p w:rsidR="00E6234D" w:rsidRDefault="00E6234D" w:rsidP="00E6234D">
            <w:pPr>
              <w:numPr>
                <w:ilvl w:val="0"/>
                <w:numId w:val="25"/>
              </w:numPr>
            </w:pPr>
            <w:r w:rsidRPr="009F0E67">
              <w:t>RBA favoured, but advantage is small.</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6</w:t>
            </w:r>
          </w:p>
        </w:tc>
        <w:tc>
          <w:tcPr>
            <w:tcW w:w="4394" w:type="dxa"/>
          </w:tcPr>
          <w:p w:rsidR="00E6234D" w:rsidRDefault="00E6234D" w:rsidP="00E6234D">
            <w:pPr>
              <w:numPr>
                <w:ilvl w:val="0"/>
                <w:numId w:val="25"/>
              </w:numPr>
            </w:pPr>
            <w:r w:rsidRPr="009F0E67">
              <w:t>The BVAL sample is limited to bonds rated by either S&amp;P or Moody’s, whilst the RBA sample is limited to bonds rated by S&amp;P or issued by a firm with an S&amp;P rating.</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c>
          <w:tcPr>
            <w:tcW w:w="959" w:type="dxa"/>
          </w:tcPr>
          <w:p w:rsidR="00E6234D" w:rsidRDefault="00E6234D" w:rsidP="00E6234D">
            <w:pPr>
              <w:numPr>
                <w:ilvl w:val="0"/>
                <w:numId w:val="25"/>
              </w:numPr>
            </w:pPr>
            <w:r>
              <w:t>7</w:t>
            </w:r>
          </w:p>
        </w:tc>
        <w:tc>
          <w:tcPr>
            <w:tcW w:w="4394" w:type="dxa"/>
          </w:tcPr>
          <w:p w:rsidR="00E6234D" w:rsidRDefault="00E6234D" w:rsidP="00E6234D">
            <w:pPr>
              <w:numPr>
                <w:ilvl w:val="0"/>
                <w:numId w:val="25"/>
              </w:numPr>
            </w:pPr>
            <w:r w:rsidRPr="009F0E67">
              <w:t>The BVAL sample is limited to AUD denominated bonds whilst the RBA sample also includes USD and Euro denominated bonds.</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8</w:t>
            </w:r>
          </w:p>
        </w:tc>
        <w:tc>
          <w:tcPr>
            <w:tcW w:w="4394" w:type="dxa"/>
          </w:tcPr>
          <w:p w:rsidR="00E6234D" w:rsidRDefault="00E6234D" w:rsidP="00E6234D">
            <w:pPr>
              <w:numPr>
                <w:ilvl w:val="0"/>
                <w:numId w:val="25"/>
              </w:numPr>
            </w:pPr>
            <w:r w:rsidRPr="009F0E67">
              <w:t>The BVAL sample excludes bonds with call, put and conversion options, whilst the RBA sample does not exclude them.</w:t>
            </w:r>
          </w:p>
        </w:tc>
        <w:tc>
          <w:tcPr>
            <w:tcW w:w="3340" w:type="dxa"/>
          </w:tcPr>
          <w:p w:rsidR="00E6234D" w:rsidRDefault="00E6234D" w:rsidP="00E6234D">
            <w:pPr>
              <w:numPr>
                <w:ilvl w:val="0"/>
                <w:numId w:val="25"/>
              </w:numPr>
            </w:pPr>
            <w:r w:rsidRPr="009F0E67">
              <w:t>Not possible to express preference for one over the other.</w:t>
            </w:r>
          </w:p>
        </w:tc>
      </w:tr>
      <w:tr w:rsidR="00E6234D" w:rsidTr="00DA33BB">
        <w:tc>
          <w:tcPr>
            <w:tcW w:w="959" w:type="dxa"/>
          </w:tcPr>
          <w:p w:rsidR="00E6234D" w:rsidRDefault="00E6234D" w:rsidP="00E6234D">
            <w:pPr>
              <w:numPr>
                <w:ilvl w:val="0"/>
                <w:numId w:val="25"/>
              </w:numPr>
            </w:pPr>
            <w:r>
              <w:t>9</w:t>
            </w:r>
          </w:p>
        </w:tc>
        <w:tc>
          <w:tcPr>
            <w:tcW w:w="4394" w:type="dxa"/>
          </w:tcPr>
          <w:p w:rsidR="00E6234D" w:rsidRDefault="00E6234D" w:rsidP="00E6234D">
            <w:pPr>
              <w:numPr>
                <w:ilvl w:val="0"/>
                <w:numId w:val="25"/>
              </w:numPr>
            </w:pPr>
            <w:r w:rsidRPr="009F0E67">
              <w:t>The BVAL methodology involves a par yield curve whilst the RBA’s does not.</w:t>
            </w:r>
          </w:p>
        </w:tc>
        <w:tc>
          <w:tcPr>
            <w:tcW w:w="3340" w:type="dxa"/>
          </w:tcPr>
          <w:p w:rsidR="00E6234D" w:rsidRDefault="00E6234D" w:rsidP="00E6234D">
            <w:pPr>
              <w:numPr>
                <w:ilvl w:val="0"/>
                <w:numId w:val="25"/>
              </w:numPr>
            </w:pPr>
            <w:r w:rsidRPr="009F0E67">
              <w:t>BVAL favoured, but advantage is small.</w:t>
            </w:r>
          </w:p>
        </w:tc>
      </w:tr>
      <w:tr w:rsidR="00E6234D" w:rsidTr="00DA33BB">
        <w:trPr>
          <w:cnfStyle w:val="000000010000" w:firstRow="0" w:lastRow="0" w:firstColumn="0" w:lastColumn="0" w:oddVBand="0" w:evenVBand="0" w:oddHBand="0" w:evenHBand="1" w:firstRowFirstColumn="0" w:firstRowLastColumn="0" w:lastRowFirstColumn="0" w:lastRowLastColumn="0"/>
        </w:trPr>
        <w:tc>
          <w:tcPr>
            <w:tcW w:w="959" w:type="dxa"/>
          </w:tcPr>
          <w:p w:rsidR="00E6234D" w:rsidRDefault="00E6234D" w:rsidP="00E6234D">
            <w:pPr>
              <w:numPr>
                <w:ilvl w:val="0"/>
                <w:numId w:val="25"/>
              </w:numPr>
            </w:pPr>
            <w:r>
              <w:t>10</w:t>
            </w:r>
          </w:p>
        </w:tc>
        <w:tc>
          <w:tcPr>
            <w:tcW w:w="4394" w:type="dxa"/>
          </w:tcPr>
          <w:p w:rsidR="00E6234D" w:rsidRDefault="00E6234D" w:rsidP="00E6234D">
            <w:pPr>
              <w:numPr>
                <w:ilvl w:val="0"/>
                <w:numId w:val="25"/>
              </w:numPr>
            </w:pPr>
            <w:r w:rsidRPr="009F0E67">
              <w:t>The BVAL methodology for curve fitting is (in large part) not disclosed whilst the RBA’s methodology is disclosed.</w:t>
            </w:r>
          </w:p>
        </w:tc>
        <w:tc>
          <w:tcPr>
            <w:tcW w:w="3340" w:type="dxa"/>
          </w:tcPr>
          <w:p w:rsidR="00E6234D" w:rsidRDefault="00E6234D" w:rsidP="00E6234D">
            <w:pPr>
              <w:numPr>
                <w:ilvl w:val="0"/>
                <w:numId w:val="25"/>
              </w:numPr>
            </w:pPr>
            <w:r w:rsidRPr="009F0E67">
              <w:t>RBA favoured.</w:t>
            </w:r>
          </w:p>
        </w:tc>
      </w:tr>
      <w:tr w:rsidR="00E6234D" w:rsidTr="00DA33BB">
        <w:tc>
          <w:tcPr>
            <w:tcW w:w="959" w:type="dxa"/>
          </w:tcPr>
          <w:p w:rsidR="00E6234D" w:rsidRDefault="00E6234D" w:rsidP="00E6234D">
            <w:pPr>
              <w:numPr>
                <w:ilvl w:val="0"/>
                <w:numId w:val="25"/>
              </w:numPr>
            </w:pPr>
            <w:r>
              <w:t>11</w:t>
            </w:r>
          </w:p>
        </w:tc>
        <w:tc>
          <w:tcPr>
            <w:tcW w:w="4394" w:type="dxa"/>
          </w:tcPr>
          <w:p w:rsidR="00E6234D" w:rsidRDefault="00E6234D" w:rsidP="00E6234D">
            <w:pPr>
              <w:numPr>
                <w:ilvl w:val="0"/>
                <w:numId w:val="25"/>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E6234D" w:rsidRDefault="00E6234D" w:rsidP="00E6234D">
            <w:pPr>
              <w:numPr>
                <w:ilvl w:val="0"/>
                <w:numId w:val="25"/>
              </w:numPr>
            </w:pPr>
            <w:r w:rsidRPr="009F0E67">
              <w:t>Not relevant, as AER does not require historical data.</w:t>
            </w:r>
          </w:p>
        </w:tc>
      </w:tr>
    </w:tbl>
    <w:p w:rsidR="00E6234D" w:rsidRDefault="00E6234D" w:rsidP="00E6234D">
      <w:pPr>
        <w:pStyle w:val="AERtablesource"/>
      </w:pPr>
      <w:r>
        <w:t xml:space="preserve">Source: </w:t>
      </w:r>
      <w:r>
        <w:tab/>
        <w:t>Advice from Dr Lally.</w:t>
      </w:r>
      <w:r>
        <w:rPr>
          <w:rStyle w:val="FootnoteReference"/>
        </w:rPr>
        <w:footnoteReference w:id="314"/>
      </w:r>
    </w:p>
    <w:p w:rsidR="00E6234D" w:rsidRDefault="00E6234D" w:rsidP="00E6234D">
      <w:r>
        <w:t>In our previous decisions, we explained each of these reasons in more detail.</w:t>
      </w:r>
      <w:r>
        <w:rPr>
          <w:rStyle w:val="FootnoteReference"/>
        </w:rPr>
        <w:footnoteReference w:id="315"/>
      </w:r>
      <w:r>
        <w:t xml:space="preserve"> </w:t>
      </w:r>
    </w:p>
    <w:p w:rsidR="00E6234D" w:rsidRDefault="00E6234D" w:rsidP="00E6234D">
      <w:r>
        <w:t xml:space="preserve">Recently, the Tribunal also upheld this approach, in relation to the NSW/ACT electricity distribution determinations and JGN gas access arrangement. </w:t>
      </w:r>
    </w:p>
    <w:p w:rsidR="00E6234D" w:rsidRDefault="00E6234D" w:rsidP="00E6234D">
      <w:r>
        <w:t>The Tribunal was satisfied that our approach of adopting a simple average of the information from both the RBA and Bloomberg data services in those reviews was appropriate, stating:</w:t>
      </w:r>
      <w:r>
        <w:rPr>
          <w:rStyle w:val="FootnoteReference"/>
        </w:rPr>
        <w:footnoteReference w:id="316"/>
      </w:r>
    </w:p>
    <w:p w:rsidR="00E6234D" w:rsidRDefault="00E6234D" w:rsidP="00E6234D">
      <w:pPr>
        <w:pStyle w:val="AERquote"/>
      </w:pPr>
      <w:r w:rsidRPr="008B6856">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E6234D" w:rsidRDefault="00E6234D" w:rsidP="00E6234D">
      <w:r>
        <w:t>Similarly, in relation to the choice of a BBB+ credit rating, the Tribunal noted:</w:t>
      </w:r>
      <w:r>
        <w:rPr>
          <w:rStyle w:val="FootnoteReference"/>
        </w:rPr>
        <w:footnoteReference w:id="317"/>
      </w:r>
    </w:p>
    <w:p w:rsidR="00E6234D" w:rsidRDefault="00E6234D" w:rsidP="00E6234D">
      <w:pPr>
        <w:pStyle w:val="AERquote"/>
      </w:pPr>
      <w:r w:rsidRPr="00C32DF3">
        <w:lastRenderedPageBreak/>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E6234D" w:rsidRDefault="00E6234D" w:rsidP="00E6234D">
      <w:r>
        <w:t>Indeed, 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318"/>
      </w:r>
    </w:p>
    <w:p w:rsidR="00E6234D" w:rsidRDefault="00E6234D" w:rsidP="00E6234D">
      <w:pPr>
        <w:pStyle w:val="AERquote"/>
      </w:pPr>
      <w:r w:rsidRPr="00C32DF3">
        <w:t>In any event, the Tribunal would not take the step of being satisfied, in either respect, that to vary or set aside the relevant Final Decision would, or would be likely to, result in a materially preferable NEO decision under s 71P(2a)(c)</w:t>
      </w:r>
      <w:r>
        <w:t>.While some aspects of the Tribunal's decision have been challenged in the Full Federal Court, this aspect of the Tribunal's decision has not been challenged by any party.</w:t>
      </w:r>
    </w:p>
    <w:p w:rsidR="00E6234D" w:rsidRDefault="00E6234D" w:rsidP="00E6234D">
      <w:r>
        <w:t>We have assessed</w:t>
      </w:r>
      <w:r w:rsidR="003E0B5D">
        <w:t xml:space="preserve"> new</w:t>
      </w:r>
      <w:r>
        <w:t xml:space="preserve"> information </w:t>
      </w:r>
      <w:r w:rsidR="00517772">
        <w:t xml:space="preserve">recently </w:t>
      </w:r>
      <w:r>
        <w:t xml:space="preserve">received in </w:t>
      </w:r>
      <w:r w:rsidR="00517772">
        <w:t>regulatory</w:t>
      </w:r>
      <w:r>
        <w:t xml:space="preserve"> proposals from service providers who recommend that we depart from our previous position of adopting a simple average of the RBA and BVAL curves. </w:t>
      </w:r>
      <w:r w:rsidR="003E0B5D">
        <w:t>We consider that this new information does not persuade us</w:t>
      </w:r>
      <w:r>
        <w:t xml:space="preserve"> to depart from our position or reasons from recent decisions. We explain </w:t>
      </w:r>
      <w:r w:rsidR="003E0B5D">
        <w:t>our reasoning in</w:t>
      </w:r>
      <w:r>
        <w:t xml:space="preserve"> </w:t>
      </w:r>
      <w:r w:rsidR="004376CE">
        <w:t>sections I.1, I.2, and I.3 of attachment 3 to our draft decision on AusNet Services 2017–22 transmission determination, and they remain relevant</w:t>
      </w:r>
      <w:r>
        <w:t>.</w:t>
      </w:r>
    </w:p>
    <w:p w:rsidR="00E6234D" w:rsidRDefault="00E6234D" w:rsidP="00E6234D">
      <w:r>
        <w:t>We also requested Dr Lally review the recommendations from his previous report in light of the material submitted by service providers with current proposals. As part of that analysis, we requested Dr Lally review both our approach and the various approaches proposed by service providers proposals at that time against a set of criteria drawn from the requirements of the law and the rules, including the ARORO. After reviewing that material, Dr Lally concluded:</w:t>
      </w:r>
    </w:p>
    <w:p w:rsidR="00E6234D" w:rsidRPr="002C49C4" w:rsidRDefault="00E6234D" w:rsidP="00E6234D">
      <w:pPr>
        <w:pStyle w:val="AERquote"/>
      </w:pPr>
      <w:r>
        <w:t>…</w:t>
      </w:r>
      <w:r w:rsidRPr="002C49C4">
        <w:t>the AER’s proposed approach satisfies the criteria and these criteria are not satisfied by any other proposed approach.</w:t>
      </w:r>
    </w:p>
    <w:p w:rsidR="00E6234D" w:rsidRDefault="00E6234D" w:rsidP="00E6234D">
      <w:pPr>
        <w:pStyle w:val="AERquote"/>
      </w:pPr>
      <w:r w:rsidRPr="002C49C4">
        <w:t>Finally, I have previously provided advice on these implementation issues to the AER and nothing in these submissions warrants any change in that advice.</w:t>
      </w:r>
      <w:r>
        <w:rPr>
          <w:rStyle w:val="FootnoteReference"/>
        </w:rPr>
        <w:footnoteReference w:id="319"/>
      </w:r>
    </w:p>
    <w:p w:rsidR="00C32285" w:rsidRDefault="00C32285" w:rsidP="00C32285">
      <w:r>
        <w:t xml:space="preserve">In its regulatory proposal, </w:t>
      </w:r>
      <w:r w:rsidR="00C057C4">
        <w:t>TasNetworks'</w:t>
      </w:r>
      <w:r w:rsidR="00C057C4" w:rsidRPr="0042271B">
        <w:t xml:space="preserve"> </w:t>
      </w:r>
      <w:r w:rsidRPr="0042271B">
        <w:t>return on debt estimate is based on a simple average of the estimates from Bloomberg’s BVAL and the RBA’s series. We accept this approach and note that it is consistent with our recent determinations.</w:t>
      </w:r>
      <w:r w:rsidRPr="0042271B">
        <w:rPr>
          <w:rStyle w:val="FootnoteReference"/>
        </w:rPr>
        <w:footnoteReference w:id="320"/>
      </w:r>
    </w:p>
    <w:p w:rsidR="00C32285" w:rsidRDefault="00C057C4" w:rsidP="00C32285">
      <w:r>
        <w:lastRenderedPageBreak/>
        <w:t xml:space="preserve">In a concurrent regulatory determination process, </w:t>
      </w:r>
      <w:r w:rsidR="0042271B" w:rsidRPr="009621EB">
        <w:t>Powerlink requested Queensland Treasury Corpora</w:t>
      </w:r>
      <w:r w:rsidR="0042271B">
        <w:t xml:space="preserve">tion’s (QTC’s) advice on how to </w:t>
      </w:r>
      <w:r w:rsidR="0042271B" w:rsidRPr="009621EB">
        <w:t>estimate the 10-year benchmark debt yield to be used in its regulatory proposal</w:t>
      </w:r>
      <w:r w:rsidR="0042271B">
        <w:t>.</w:t>
      </w:r>
      <w:r w:rsidR="0042271B">
        <w:rPr>
          <w:rStyle w:val="FootnoteReference"/>
        </w:rPr>
        <w:footnoteReference w:id="321"/>
      </w:r>
      <w:r w:rsidR="0042271B">
        <w:t xml:space="preserve"> </w:t>
      </w:r>
      <w:r w:rsidR="00C32285">
        <w:t>QTC's advice recommended:</w:t>
      </w:r>
      <w:r w:rsidR="00C32285">
        <w:rPr>
          <w:rStyle w:val="FootnoteReference"/>
        </w:rPr>
        <w:footnoteReference w:id="322"/>
      </w:r>
    </w:p>
    <w:p w:rsidR="00C32285" w:rsidRPr="0042271B" w:rsidRDefault="00C32285" w:rsidP="00C32285">
      <w:pPr>
        <w:pStyle w:val="AERbulletlistfirststyle"/>
      </w:pPr>
      <w:r>
        <w:t xml:space="preserve">The RBA's non-financial </w:t>
      </w:r>
      <w:r w:rsidRPr="0042271B">
        <w:t xml:space="preserve">yields are appropriate for the purposes of estimating the benchmark debt yield to determine Powerlink's allowed return on debt. </w:t>
      </w:r>
    </w:p>
    <w:p w:rsidR="00C32285" w:rsidRPr="0042271B" w:rsidRDefault="00C32285" w:rsidP="00C32285">
      <w:pPr>
        <w:pStyle w:val="AERbulletlistfirststyle"/>
      </w:pPr>
      <w:r>
        <w:t xml:space="preserve">If the BVAL margin is maintained to a level that is consistent with QTC's credit margin survey data and our past extrapolations, it would be appropriate to give equal weight to the RBA and Bloomberg estimates. Otherwise, sole reliance should be placed on the RBA estimates. </w:t>
      </w:r>
      <w:r w:rsidR="00F73E6F">
        <w:t xml:space="preserve"> QTC </w:t>
      </w:r>
      <w:r w:rsidR="005B7706">
        <w:t xml:space="preserve">advice </w:t>
      </w:r>
      <w:r w:rsidR="00F73E6F">
        <w:t xml:space="preserve">does not discuss the probability of the </w:t>
      </w:r>
      <w:r w:rsidR="005B7706">
        <w:t xml:space="preserve">maintenance of the </w:t>
      </w:r>
      <w:r w:rsidR="00F73E6F">
        <w:t xml:space="preserve">BVAL margin. </w:t>
      </w:r>
    </w:p>
    <w:p w:rsidR="0042271B" w:rsidRPr="009621EB" w:rsidRDefault="0042271B" w:rsidP="0042271B">
      <w:r>
        <w:t>QTC's</w:t>
      </w:r>
      <w:r w:rsidRPr="009621EB">
        <w:t xml:space="preserve"> </w:t>
      </w:r>
      <w:r w:rsidR="00C32285">
        <w:t xml:space="preserve">advice was based on the following </w:t>
      </w:r>
      <w:r w:rsidRPr="009621EB">
        <w:t>observations:</w:t>
      </w:r>
      <w:r>
        <w:rPr>
          <w:rStyle w:val="FootnoteReference"/>
        </w:rPr>
        <w:footnoteReference w:id="323"/>
      </w:r>
    </w:p>
    <w:p w:rsidR="0042271B" w:rsidRPr="0042271B" w:rsidRDefault="00C057C4" w:rsidP="0042271B">
      <w:pPr>
        <w:pStyle w:val="AERbulletlistfirststyle"/>
      </w:pPr>
      <w:r>
        <w:t>The AER previously used a</w:t>
      </w:r>
      <w:r w:rsidR="0042271B" w:rsidRPr="0042271B">
        <w:t xml:space="preserve"> ‘paired bond’ method (to extrapolate the 7-year BVAL margin to swap to a 10-year tenor)</w:t>
      </w:r>
      <w:r w:rsidR="006D538E">
        <w:t xml:space="preserve">. This </w:t>
      </w:r>
      <w:r w:rsidR="000F3B82">
        <w:t xml:space="preserve">method </w:t>
      </w:r>
      <w:r w:rsidR="000F3B82" w:rsidRPr="0042271B">
        <w:t>typically</w:t>
      </w:r>
      <w:r w:rsidR="0042271B" w:rsidRPr="0042271B">
        <w:t xml:space="preserve"> resulted in a margin of about 0.3 per cent being added to the 7-year BVAL margin</w:t>
      </w:r>
      <w:r w:rsidR="006D538E">
        <w:t>, which i</w:t>
      </w:r>
      <w:r w:rsidR="0042271B" w:rsidRPr="0042271B">
        <w:t>s consistent with the results from QTC’s credit margin survey.</w:t>
      </w:r>
    </w:p>
    <w:p w:rsidR="0042271B" w:rsidRPr="0042271B" w:rsidRDefault="0042271B" w:rsidP="0042271B">
      <w:pPr>
        <w:pStyle w:val="AERbulletlistfirststyle"/>
      </w:pPr>
      <w:r w:rsidRPr="009621EB">
        <w:t>Compared to QTC’s SRP survey data, the difference between the 7-</w:t>
      </w:r>
      <w:r w:rsidRPr="0042271B">
        <w:t>year and 10-year BVAL margins to swap up to November 2015 is too small.</w:t>
      </w:r>
    </w:p>
    <w:p w:rsidR="0042271B" w:rsidRPr="0042271B" w:rsidRDefault="0042271B" w:rsidP="0042271B">
      <w:pPr>
        <w:pStyle w:val="AERbulletlistfirststyle"/>
      </w:pPr>
      <w:r w:rsidRPr="009621EB">
        <w:t>From November 2015 the BVAL BBB swap spread has widened significantly and it is</w:t>
      </w:r>
      <w:r w:rsidRPr="0042271B">
        <w:t xml:space="preserve"> more in line with survey data.</w:t>
      </w:r>
    </w:p>
    <w:p w:rsidR="0042271B" w:rsidRDefault="0042271B" w:rsidP="0042271B">
      <w:pPr>
        <w:pStyle w:val="AERbulletlistfirststyle"/>
      </w:pPr>
      <w:r w:rsidRPr="009621EB">
        <w:t>Based on current observations it is appropriate to consider giving equal weight to the RBA</w:t>
      </w:r>
      <w:r>
        <w:t xml:space="preserve"> </w:t>
      </w:r>
      <w:r w:rsidRPr="009621EB">
        <w:t>and Bloomberg estimates. QTC will continue to monitor the BVAL performance going</w:t>
      </w:r>
      <w:r>
        <w:t xml:space="preserve"> </w:t>
      </w:r>
      <w:r w:rsidRPr="009621EB">
        <w:t>forward.</w:t>
      </w:r>
    </w:p>
    <w:p w:rsidR="00866D1D" w:rsidRPr="00D729CA" w:rsidRDefault="00866D1D" w:rsidP="00866D1D">
      <w:r w:rsidRPr="00D729CA">
        <w:t>We are not satisfied that analysis</w:t>
      </w:r>
      <w:r>
        <w:t xml:space="preserve"> of</w:t>
      </w:r>
      <w:r w:rsidRPr="00D729CA">
        <w:t xml:space="preserve"> comparative movements of yield estimates can robustly demonstrate that either curve clearly better reflects the costs faced by a benchmark efficient entity. More generally, we are not persuaded that time-series or cross-sectional comparisons between curve outputs are reliable or consistent ways to determine which curve produces a result that is most consistent with benchmark efficient costs. </w:t>
      </w:r>
    </w:p>
    <w:p w:rsidR="00866D1D" w:rsidRPr="00D729CA" w:rsidRDefault="00866D1D" w:rsidP="00866D1D">
      <w:r w:rsidRPr="00D729CA">
        <w:t xml:space="preserve">Different market experts may come to different views about the best approaches to estimating yield curves. For example, Bloomberg, the RBA and Thompson Reuters appear all to adopt distinct bond selection criteria and distinct curve fitting methodologies. We have assessed the RBA and BVAL curves through a detailed </w:t>
      </w:r>
      <w:r w:rsidRPr="00D729CA">
        <w:lastRenderedPageBreak/>
        <w:t>analysis of their underlying technical characteristics, including analysis from expert consultants.</w:t>
      </w:r>
      <w:r w:rsidRPr="00D729CA">
        <w:rPr>
          <w:rStyle w:val="FootnoteReference"/>
        </w:rPr>
        <w:footnoteReference w:id="324"/>
      </w:r>
      <w:r w:rsidRPr="00D729CA">
        <w:t xml:space="preserve"> Our analysis and expert advice supported a conclusion that both curves had strengths and weaknesses, but that neither was clearly superior. Therefore, we do not agree that it is robust or informative to compare the outputs of the two curves against each other. </w:t>
      </w:r>
    </w:p>
    <w:p w:rsidR="00866D1D" w:rsidRPr="00D729CA" w:rsidRDefault="00866D1D" w:rsidP="00866D1D">
      <w:r w:rsidRPr="00D729CA">
        <w:t>Nonetheless, to the extent that these comparisons are informative, we are not persuaded that a comparison of the Bloomberg and RBA curves suggest anomalous performance of either curve. While the curves produce materially different results at specific points in time, they appear to have consistently reflected the same underlying debt market movements</w:t>
      </w:r>
      <w:r>
        <w:t>.</w:t>
      </w:r>
    </w:p>
    <w:p w:rsidR="003052A7" w:rsidRDefault="0042271B" w:rsidP="0042271B">
      <w:r w:rsidRPr="00D729CA">
        <w:t>Further, the approach we adopt must produce annual estimates each year over the five year period that will achieve the allowed rate of return objective</w:t>
      </w:r>
      <w:r w:rsidR="00635710">
        <w:t xml:space="preserve">, while being </w:t>
      </w:r>
      <w:r w:rsidR="00635710" w:rsidRPr="00FB18DC">
        <w:t xml:space="preserve">effected through a formula specified </w:t>
      </w:r>
      <w:r w:rsidR="00866D1D">
        <w:t xml:space="preserve">up front </w:t>
      </w:r>
      <w:r w:rsidR="00635710" w:rsidRPr="00FB18DC">
        <w:t xml:space="preserve">in </w:t>
      </w:r>
      <w:r w:rsidR="00866D1D">
        <w:t>our</w:t>
      </w:r>
      <w:r w:rsidR="00635710" w:rsidRPr="00FB18DC">
        <w:t xml:space="preserve"> </w:t>
      </w:r>
      <w:r w:rsidR="00635710">
        <w:t xml:space="preserve">regulatory </w:t>
      </w:r>
      <w:r w:rsidR="00635710" w:rsidRPr="00FB18DC">
        <w:t>determination</w:t>
      </w:r>
      <w:r w:rsidRPr="00D729CA">
        <w:t>.</w:t>
      </w:r>
      <w:r w:rsidR="00635710" w:rsidRPr="00FB18DC">
        <w:rPr>
          <w:rStyle w:val="FootnoteReference"/>
        </w:rPr>
        <w:footnoteReference w:id="325"/>
      </w:r>
      <w:r w:rsidRPr="00D729CA">
        <w:t xml:space="preserve"> We have therefore adopted an approach that we are </w:t>
      </w:r>
      <w:r>
        <w:t xml:space="preserve">currently </w:t>
      </w:r>
      <w:r w:rsidRPr="00D729CA">
        <w:t>satisfied will contribute to estimates that will, across the regulatory period, achieve the allowed rate of return objective.</w:t>
      </w:r>
    </w:p>
    <w:p w:rsidR="0042271B" w:rsidRPr="00E6234D" w:rsidRDefault="0042271B" w:rsidP="0042271B">
      <w:pPr>
        <w:pStyle w:val="HeadingBoldItalic"/>
        <w:numPr>
          <w:ilvl w:val="0"/>
          <w:numId w:val="25"/>
        </w:numPr>
      </w:pPr>
      <w:r>
        <w:t>Formula for calculating the trailing average return on debt</w:t>
      </w:r>
    </w:p>
    <w:p w:rsidR="00DE0835" w:rsidRPr="00FB18DC" w:rsidRDefault="00DE0835" w:rsidP="00DE0835">
      <w:pPr>
        <w:numPr>
          <w:ilvl w:val="0"/>
          <w:numId w:val="25"/>
        </w:numPr>
      </w:pPr>
      <w:r w:rsidRPr="00FB18DC">
        <w:t>Below we specify the allowed return on debt formulae for each year of the 10 year transition path. In each formula:</w:t>
      </w:r>
    </w:p>
    <w:p w:rsidR="00DE0835" w:rsidRPr="00FB18DC" w:rsidRDefault="00AB6D99" w:rsidP="00DE0835">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DE0835" w:rsidRPr="00FB18DC">
        <w:t xml:space="preserve"> corresponds to the estimated return on debt that was entered into in year a and matures in year a+10</w:t>
      </w:r>
      <w:r w:rsidR="00DE0835">
        <w:t xml:space="preserve">, </w:t>
      </w:r>
      <w:r w:rsidR="00DE0835" w:rsidRPr="00FB18DC">
        <w:t xml:space="preserve">which is to be calculated using the return on debt implementation methodology </w:t>
      </w:r>
      <w:r w:rsidR="00DE0835">
        <w:t xml:space="preserve">outlined </w:t>
      </w:r>
      <w:r w:rsidR="00DE0835" w:rsidRPr="00FB18DC">
        <w:t xml:space="preserve">in </w:t>
      </w:r>
      <w:r w:rsidR="00DE0835">
        <w:t xml:space="preserve">the remainder </w:t>
      </w:r>
      <w:r w:rsidR="0042271B">
        <w:t xml:space="preserve">this </w:t>
      </w:r>
      <w:r w:rsidR="00DE0835" w:rsidRPr="00FB18DC">
        <w:t xml:space="preserve">section and </w:t>
      </w:r>
      <w:r w:rsidR="00DE0835">
        <w:t xml:space="preserve">using </w:t>
      </w:r>
      <w:r w:rsidR="00E54FDB">
        <w:t>TasNetworks'</w:t>
      </w:r>
      <w:r w:rsidR="00E54FDB" w:rsidRPr="00FB18DC">
        <w:t xml:space="preserve"> </w:t>
      </w:r>
      <w:r w:rsidR="00DE0835" w:rsidRPr="00FB18DC">
        <w:t>return on debt averaging periods specified in confidential appendix</w:t>
      </w:r>
      <w:r w:rsidR="00DE0835">
        <w:t xml:space="preserve"> </w:t>
      </w:r>
      <w:r w:rsidR="00DE0835">
        <w:fldChar w:fldCharType="begin"/>
      </w:r>
      <w:r w:rsidR="00DE0835">
        <w:instrText xml:space="preserve"> REF _Ref457824593 \r \h </w:instrText>
      </w:r>
      <w:r w:rsidR="00DE0835">
        <w:fldChar w:fldCharType="separate"/>
      </w:r>
      <w:r w:rsidR="00691B4D">
        <w:t>D</w:t>
      </w:r>
      <w:r w:rsidR="00DE0835">
        <w:fldChar w:fldCharType="end"/>
      </w:r>
      <w:r w:rsidR="00DE0835">
        <w:t>.</w:t>
      </w:r>
    </w:p>
    <w:p w:rsidR="00DE0835" w:rsidRPr="00FB18DC" w:rsidRDefault="00AB6D99" w:rsidP="00DE0835">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DE0835" w:rsidRPr="00FB18DC">
        <w:t xml:space="preserve"> refers to the allowed return on debt for regulatory year b+1.</w:t>
      </w:r>
    </w:p>
    <w:p w:rsidR="00DE0835" w:rsidRPr="00FB18DC" w:rsidRDefault="00DE0835" w:rsidP="00DE0835">
      <w:pPr>
        <w:numPr>
          <w:ilvl w:val="0"/>
          <w:numId w:val="25"/>
        </w:numPr>
      </w:pPr>
      <w:r w:rsidRPr="00FB18DC">
        <w:t xml:space="preserve">In the first regulatory year of </w:t>
      </w:r>
      <w:r>
        <w:t xml:space="preserve"> transitioning to the trailing average approach </w:t>
      </w:r>
      <w:r w:rsidRPr="00FB18DC">
        <w:t>(201</w:t>
      </w:r>
      <w:r>
        <w:t>7</w:t>
      </w:r>
      <w:r w:rsidRPr="00FB18DC">
        <w:t>), the allowed rate of return on debt will be based on the estimated prevailing rate of return on debt for that year (similar to the 'on the day' approach):</w:t>
      </w:r>
    </w:p>
    <w:p w:rsidR="00DE0835" w:rsidRPr="00FB18DC" w:rsidRDefault="00AB6D99" w:rsidP="00DE0835">
      <w:pPr>
        <w:numPr>
          <w:ilvl w:val="0"/>
          <w:numId w:val="25"/>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DE0835" w:rsidRPr="00FB18DC" w:rsidRDefault="00DE0835" w:rsidP="00DE0835">
      <w:pPr>
        <w:numPr>
          <w:ilvl w:val="0"/>
          <w:numId w:val="25"/>
        </w:numPr>
      </w:pPr>
      <w:r w:rsidRPr="00FB18DC">
        <w:t>In the second regulatory year, the allowed rate of return on debt will be the weighted average of the prevailing rates in the first and second regulatory years of the transitional period:</w:t>
      </w:r>
    </w:p>
    <w:p w:rsidR="00DE0835" w:rsidRPr="00FB18DC" w:rsidRDefault="00AB6D99" w:rsidP="00DE0835">
      <w:pPr>
        <w:numPr>
          <w:ilvl w:val="0"/>
          <w:numId w:val="25"/>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DE0835" w:rsidRPr="00FB18DC" w:rsidRDefault="00DE0835" w:rsidP="00DE0835">
      <w:pPr>
        <w:numPr>
          <w:ilvl w:val="0"/>
          <w:numId w:val="25"/>
        </w:numPr>
      </w:pPr>
      <w:r w:rsidRPr="00FB18DC">
        <w:lastRenderedPageBreak/>
        <w:t xml:space="preserve">In the third regulatory year, the allowed rate of return on debt will be the weighted average of the prevailing rates in the first, second, and third regulatory years of the transitional period:  </w:t>
      </w:r>
    </w:p>
    <w:p w:rsidR="00DE0835" w:rsidRPr="00FB18DC" w:rsidRDefault="00AB6D99" w:rsidP="00DE0835">
      <w:pPr>
        <w:numPr>
          <w:ilvl w:val="0"/>
          <w:numId w:val="25"/>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DE0835" w:rsidRPr="00FB18DC" w:rsidRDefault="00DE0835" w:rsidP="00DE0835">
      <w:pPr>
        <w:numPr>
          <w:ilvl w:val="0"/>
          <w:numId w:val="25"/>
        </w:numPr>
      </w:pPr>
      <w:r w:rsidRPr="00FB18DC">
        <w:t xml:space="preserve">In the fourth regulatory year, the allowed rate of return on debt will be the weighted average of the prevailing rates in the first, second, third and fourth regulatory years of the transitional period:  </w:t>
      </w:r>
    </w:p>
    <w:p w:rsidR="00DE0835" w:rsidRPr="00FB18DC" w:rsidRDefault="00AB6D99" w:rsidP="00DE0835">
      <w:pPr>
        <w:numPr>
          <w:ilvl w:val="0"/>
          <w:numId w:val="25"/>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DE0835" w:rsidRPr="00FB18DC" w:rsidRDefault="00DE0835" w:rsidP="00DE0835">
      <w:pPr>
        <w:numPr>
          <w:ilvl w:val="0"/>
          <w:numId w:val="25"/>
        </w:numPr>
      </w:pPr>
      <w:r w:rsidRPr="00FB18DC">
        <w:t xml:space="preserve">In the fifth regulatory year, the allowed rate of return on debt will be the weighted average of the prevailing rates in the first, second, third, fourth and fifth regulatory years of the transitional period:  </w:t>
      </w:r>
    </w:p>
    <w:p w:rsidR="00DE0835" w:rsidRPr="00FB18DC" w:rsidRDefault="00AB6D99" w:rsidP="00DE0835">
      <w:pPr>
        <w:numPr>
          <w:ilvl w:val="0"/>
          <w:numId w:val="25"/>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DE0835" w:rsidRPr="00FB18DC" w:rsidRDefault="00DE0835" w:rsidP="00DE0835">
      <w:pPr>
        <w:numPr>
          <w:ilvl w:val="0"/>
          <w:numId w:val="25"/>
        </w:numPr>
      </w:pPr>
      <w:r w:rsidRPr="00FB18DC">
        <w:t>The calculation for all subsequent regulatory years until the transitional period is completed is set out below:</w:t>
      </w:r>
    </w:p>
    <w:p w:rsidR="00DE0835" w:rsidRPr="00FB18DC" w:rsidRDefault="00AB6D99" w:rsidP="00DE0835">
      <w:pPr>
        <w:numPr>
          <w:ilvl w:val="0"/>
          <w:numId w:val="25"/>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DE0835" w:rsidRPr="00FB18DC" w:rsidRDefault="00AB6D99" w:rsidP="00DE0835">
      <w:pPr>
        <w:numPr>
          <w:ilvl w:val="0"/>
          <w:numId w:val="25"/>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DE0835" w:rsidRPr="00FB18DC" w:rsidRDefault="00AB6D99" w:rsidP="00DE0835">
      <w:pPr>
        <w:numPr>
          <w:ilvl w:val="0"/>
          <w:numId w:val="25"/>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DE0835" w:rsidRPr="00FB18DC" w:rsidRDefault="00AB6D99" w:rsidP="00DE0835">
      <w:pPr>
        <w:numPr>
          <w:ilvl w:val="0"/>
          <w:numId w:val="25"/>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DE0835" w:rsidRPr="00FB18DC" w:rsidRDefault="00AB6D99" w:rsidP="00DE0835">
      <w:pPr>
        <w:numPr>
          <w:ilvl w:val="0"/>
          <w:numId w:val="25"/>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E6234D" w:rsidRDefault="00E6234D" w:rsidP="00E6234D">
      <w:pPr>
        <w:pStyle w:val="HeadingBoldItalic"/>
      </w:pPr>
      <w:r>
        <w:t>Extrapolation and interpolation</w:t>
      </w:r>
    </w:p>
    <w:p w:rsidR="006969CD" w:rsidRPr="00FB18DC" w:rsidRDefault="006969CD" w:rsidP="006969CD">
      <w:r>
        <w:t>We will likely need to make the following adjustments to data from third party data series</w:t>
      </w:r>
      <w:r w:rsidRPr="00FB18DC">
        <w:t>:</w:t>
      </w:r>
    </w:p>
    <w:p w:rsidR="006969CD" w:rsidRPr="00FB18DC" w:rsidRDefault="006969CD" w:rsidP="006969CD">
      <w:pPr>
        <w:pStyle w:val="AERbulletlistfirststyle"/>
      </w:pPr>
      <w:r w:rsidRPr="00FB18DC">
        <w:t xml:space="preserve">Extrapolation—where we need to extend a curve beyond </w:t>
      </w:r>
      <w:r>
        <w:t>the</w:t>
      </w:r>
      <w:r w:rsidRPr="00FB18DC">
        <w:t xml:space="preserve"> observed or published range. For example, before April 2015, Bloomberg publishes its BVAL curve to a maximum term of 7 years, whereas we require an estimate for a 10 year term.</w:t>
      </w:r>
    </w:p>
    <w:p w:rsidR="006969CD" w:rsidRPr="00FB18DC" w:rsidRDefault="006969CD" w:rsidP="006969CD">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6969CD" w:rsidRPr="00FB18DC" w:rsidRDefault="006969CD" w:rsidP="006969CD">
      <w:r>
        <w:lastRenderedPageBreak/>
        <w:t xml:space="preserve">We maintain our same approach in regards to </w:t>
      </w:r>
      <w:r w:rsidRPr="00F427A1">
        <w:t xml:space="preserve">extrapolation and interpolation issues </w:t>
      </w:r>
      <w:r>
        <w:t xml:space="preserve">as </w:t>
      </w:r>
      <w:r w:rsidRPr="00F427A1">
        <w:t>set out in our recent decisions.</w:t>
      </w:r>
      <w:r>
        <w:rPr>
          <w:rStyle w:val="FootnoteReference"/>
        </w:rPr>
        <w:footnoteReference w:id="326"/>
      </w:r>
      <w:r w:rsidRPr="00F427A1">
        <w:t xml:space="preserve"> </w:t>
      </w:r>
      <w:r w:rsidRPr="00FB18DC">
        <w:t>Specifically, we will make the following adjustments as set out in</w:t>
      </w:r>
      <w:r>
        <w:t xml:space="preserve"> </w:t>
      </w:r>
      <w:r w:rsidR="00DF01F2">
        <w:fldChar w:fldCharType="begin"/>
      </w:r>
      <w:r w:rsidR="00DF01F2">
        <w:instrText xml:space="preserve"> REF _Ref458461764 \h </w:instrText>
      </w:r>
      <w:r w:rsidR="00DF01F2">
        <w:fldChar w:fldCharType="separate"/>
      </w:r>
      <w:r w:rsidR="00691B4D" w:rsidRPr="00FB18DC">
        <w:t xml:space="preserve">Table </w:t>
      </w:r>
      <w:r w:rsidR="00691B4D">
        <w:rPr>
          <w:noProof/>
        </w:rPr>
        <w:t>3</w:t>
      </w:r>
      <w:r w:rsidR="00691B4D">
        <w:noBreakHyphen/>
      </w:r>
      <w:r w:rsidR="00691B4D">
        <w:rPr>
          <w:noProof/>
        </w:rPr>
        <w:t>9</w:t>
      </w:r>
      <w:r w:rsidR="00DF01F2">
        <w:fldChar w:fldCharType="end"/>
      </w:r>
      <w:r w:rsidR="00DF01F2">
        <w:t xml:space="preserve"> </w:t>
      </w:r>
      <w:r>
        <w:t>and</w:t>
      </w:r>
      <w:r w:rsidR="00DF01F2">
        <w:t xml:space="preserve"> </w:t>
      </w:r>
      <w:r w:rsidR="00DF01F2">
        <w:fldChar w:fldCharType="begin"/>
      </w:r>
      <w:r w:rsidR="00DF01F2">
        <w:instrText xml:space="preserve"> REF _Ref458461778 \h </w:instrText>
      </w:r>
      <w:r w:rsidR="00DF01F2">
        <w:fldChar w:fldCharType="separate"/>
      </w:r>
      <w:r w:rsidR="00691B4D" w:rsidRPr="00FB18DC">
        <w:t xml:space="preserve">Table </w:t>
      </w:r>
      <w:r w:rsidR="00691B4D">
        <w:rPr>
          <w:noProof/>
        </w:rPr>
        <w:t>3</w:t>
      </w:r>
      <w:r w:rsidR="00691B4D">
        <w:noBreakHyphen/>
      </w:r>
      <w:r w:rsidR="00691B4D">
        <w:rPr>
          <w:noProof/>
        </w:rPr>
        <w:t>10</w:t>
      </w:r>
      <w:r w:rsidR="00DF01F2">
        <w:fldChar w:fldCharType="end"/>
      </w:r>
      <w:r w:rsidRPr="00FB18DC">
        <w:t>.</w:t>
      </w:r>
    </w:p>
    <w:p w:rsidR="006969CD" w:rsidRPr="00FB18DC" w:rsidRDefault="006969CD" w:rsidP="006969CD">
      <w:pPr>
        <w:pStyle w:val="Caption"/>
      </w:pPr>
      <w:bookmarkStart w:id="92" w:name="_Ref458461764"/>
      <w:r w:rsidRPr="00FB18DC">
        <w:t xml:space="preserve">Table </w:t>
      </w:r>
      <w:r w:rsidRPr="006969CD">
        <w:fldChar w:fldCharType="begin"/>
      </w:r>
      <w:r>
        <w:instrText xml:space="preserve"> STYLEREF 1 \s </w:instrText>
      </w:r>
      <w:r w:rsidRPr="006969CD">
        <w:fldChar w:fldCharType="separate"/>
      </w:r>
      <w:r w:rsidR="00691B4D">
        <w:rPr>
          <w:noProof/>
        </w:rPr>
        <w:t>3</w:t>
      </w:r>
      <w:r w:rsidRPr="006969CD">
        <w:fldChar w:fldCharType="end"/>
      </w:r>
      <w:r>
        <w:noBreakHyphen/>
      </w:r>
      <w:r w:rsidRPr="006969CD">
        <w:fldChar w:fldCharType="begin"/>
      </w:r>
      <w:r>
        <w:instrText xml:space="preserve"> SEQ Table \* ARABIC \s 1 </w:instrText>
      </w:r>
      <w:r w:rsidRPr="006969CD">
        <w:fldChar w:fldCharType="separate"/>
      </w:r>
      <w:r w:rsidR="00691B4D">
        <w:rPr>
          <w:noProof/>
        </w:rPr>
        <w:t>9</w:t>
      </w:r>
      <w:r w:rsidRPr="006969CD">
        <w:fldChar w:fldCharType="end"/>
      </w:r>
      <w:bookmarkEnd w:id="92"/>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6969CD" w:rsidRPr="00BB7AB1" w:rsidTr="006969CD">
        <w:trPr>
          <w:cnfStyle w:val="100000000000" w:firstRow="1" w:lastRow="0" w:firstColumn="0" w:lastColumn="0" w:oddVBand="0" w:evenVBand="0" w:oddHBand="0" w:evenHBand="0" w:firstRowFirstColumn="0" w:firstRowLastColumn="0" w:lastRowFirstColumn="0" w:lastRowLastColumn="0"/>
          <w:tblHeader/>
        </w:trPr>
        <w:tc>
          <w:tcPr>
            <w:tcW w:w="1763" w:type="dxa"/>
          </w:tcPr>
          <w:p w:rsidR="006969CD" w:rsidRPr="006969CD" w:rsidRDefault="006969CD" w:rsidP="006969CD">
            <w:r w:rsidRPr="00FB18DC">
              <w:t xml:space="preserve">Adjustment </w:t>
            </w:r>
            <w:r w:rsidRPr="006969CD">
              <w:t>type</w:t>
            </w:r>
          </w:p>
        </w:tc>
        <w:tc>
          <w:tcPr>
            <w:tcW w:w="1262" w:type="dxa"/>
          </w:tcPr>
          <w:p w:rsidR="006969CD" w:rsidRPr="006969CD" w:rsidRDefault="006969CD" w:rsidP="006969CD">
            <w:r w:rsidRPr="00FB18DC">
              <w:t>Amendment made?</w:t>
            </w:r>
          </w:p>
        </w:tc>
        <w:tc>
          <w:tcPr>
            <w:tcW w:w="5668" w:type="dxa"/>
          </w:tcPr>
          <w:p w:rsidR="006969CD" w:rsidRPr="006969CD" w:rsidRDefault="006969CD" w:rsidP="006969CD">
            <w:r w:rsidRPr="00FB18DC">
              <w:t>Comments</w:t>
            </w:r>
          </w:p>
        </w:tc>
      </w:tr>
      <w:tr w:rsidR="006969CD" w:rsidRPr="00BB7AB1" w:rsidTr="006969CD">
        <w:tc>
          <w:tcPr>
            <w:tcW w:w="1763" w:type="dxa"/>
          </w:tcPr>
          <w:p w:rsidR="006969CD" w:rsidRPr="006969CD" w:rsidRDefault="006969CD" w:rsidP="006969CD">
            <w:r w:rsidRPr="00FB18DC">
              <w:t>Interpolation to construct daily estimates</w:t>
            </w:r>
          </w:p>
        </w:tc>
        <w:tc>
          <w:tcPr>
            <w:tcW w:w="1262" w:type="dxa"/>
          </w:tcPr>
          <w:p w:rsidR="006969CD" w:rsidRPr="006969CD" w:rsidRDefault="006969CD" w:rsidP="006969CD">
            <w:r w:rsidRPr="00FB18DC">
              <w:t>Yes</w:t>
            </w:r>
          </w:p>
        </w:tc>
        <w:tc>
          <w:tcPr>
            <w:tcW w:w="5668" w:type="dxa"/>
          </w:tcPr>
          <w:p w:rsidR="006969CD" w:rsidRPr="006969CD" w:rsidRDefault="006969CD" w:rsidP="006969CD">
            <w:r w:rsidRPr="00FB18DC">
              <w:t xml:space="preserve">The RBA curve only provides an estimate for one business day at the end of each month. In our experience, averaging periods commonly start and/or end on dates during the month.  </w:t>
            </w:r>
          </w:p>
          <w:p w:rsidR="006969CD" w:rsidRPr="006969CD" w:rsidRDefault="006969CD" w:rsidP="006969CD">
            <w:r w:rsidRPr="00FB18DC">
              <w:t>We will address this issue by linearly interpolating between month end values where possible. While we are satisfied that interpolation over business days is also reasonable, we will interpolate over all days because:</w:t>
            </w:r>
          </w:p>
          <w:p w:rsidR="006969CD" w:rsidRPr="006969CD" w:rsidRDefault="006969CD" w:rsidP="006969CD">
            <w:pPr>
              <w:pStyle w:val="AERbulletlistfirststyle"/>
            </w:pPr>
            <w:r w:rsidRPr="00FB18DC">
              <w:t xml:space="preserve">this is consistent with our widely accepted approach to interpolate estimates of the risk free rate using </w:t>
            </w:r>
            <w:r w:rsidR="004C7926">
              <w:t>Australian government securities</w:t>
            </w:r>
          </w:p>
          <w:p w:rsidR="006969CD" w:rsidRPr="006969CD" w:rsidRDefault="006969CD" w:rsidP="006969CD">
            <w:pPr>
              <w:pStyle w:val="AERbulletlistfirststyle"/>
            </w:pPr>
            <w:r w:rsidRPr="00FB18DC">
              <w:t>interpolating over all days is simpler to implement</w:t>
            </w:r>
          </w:p>
          <w:p w:rsidR="006969CD" w:rsidRPr="006969CD" w:rsidRDefault="006969CD" w:rsidP="006969CD">
            <w:pPr>
              <w:pStyle w:val="AERbulletlistfirststyle"/>
            </w:pPr>
            <w:r w:rsidRPr="00FB18DC">
              <w:t>it is impractical to interpolate over business days for estimating the risk free rate, as this would require calculations relative to specific trading days 10 years in advance</w:t>
            </w:r>
          </w:p>
          <w:p w:rsidR="006969CD" w:rsidRPr="006969CD" w:rsidRDefault="006969CD" w:rsidP="006969CD">
            <w:pPr>
              <w:pStyle w:val="AERbulletlistfirststyle"/>
            </w:pPr>
            <w:r w:rsidRPr="00FB18DC">
              <w:t>the difference to the estimates between interpolating over business days or interpolating over all days is immaterial.</w:t>
            </w:r>
            <w:r w:rsidRPr="006969CD">
              <w:rPr>
                <w:rStyle w:val="AERsuperscript"/>
              </w:rPr>
              <w:footnoteReference w:id="327"/>
            </w:r>
          </w:p>
          <w:p w:rsidR="006969CD" w:rsidRPr="006969CD" w:rsidRDefault="006969CD" w:rsidP="006969CD">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6969CD">
              <w:t xml:space="preserve">draft decision on the annual debt update process is set out in this appendix. </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1763" w:type="dxa"/>
          </w:tcPr>
          <w:p w:rsidR="006969CD" w:rsidRPr="006969CD" w:rsidRDefault="006969CD" w:rsidP="006969CD">
            <w:r w:rsidRPr="00FB18DC">
              <w:t>Extrapolation to target term</w:t>
            </w:r>
          </w:p>
        </w:tc>
        <w:tc>
          <w:tcPr>
            <w:tcW w:w="1262" w:type="dxa"/>
          </w:tcPr>
          <w:p w:rsidR="006969CD" w:rsidRPr="006969CD" w:rsidRDefault="006969CD" w:rsidP="006969CD">
            <w:r w:rsidRPr="00FB18DC">
              <w:t>Yes</w:t>
            </w:r>
          </w:p>
        </w:tc>
        <w:tc>
          <w:tcPr>
            <w:tcW w:w="5668" w:type="dxa"/>
          </w:tcPr>
          <w:p w:rsidR="006969CD" w:rsidRPr="006969CD" w:rsidRDefault="006969CD" w:rsidP="006969CD">
            <w:r w:rsidRPr="00FB18DC">
              <w:t>The 'effective term' of the RBA bond sample is commonly less than 10 years. For this reason, Lally recommended that the spread component of the yield should be extrapolated from its effective term at publication to the benchmark term (10 years).</w:t>
            </w:r>
            <w:r w:rsidRPr="006969CD">
              <w:rPr>
                <w:rStyle w:val="AERsuperscript"/>
              </w:rPr>
              <w:footnoteReference w:id="328"/>
            </w:r>
            <w:r w:rsidRPr="006969CD">
              <w:rPr>
                <w:rStyle w:val="AERsuperscript"/>
              </w:rPr>
              <w:t xml:space="preserve"> </w:t>
            </w:r>
          </w:p>
          <w:p w:rsidR="006969CD" w:rsidRPr="006969CD" w:rsidRDefault="006969CD" w:rsidP="006969CD">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6969CD">
              <w:rPr>
                <w:rStyle w:val="AERsuperscript"/>
              </w:rPr>
              <w:footnoteReference w:id="329"/>
            </w:r>
            <w:r w:rsidRPr="006969CD">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6969CD" w:rsidRPr="00BB7AB1" w:rsidTr="006969CD">
        <w:tc>
          <w:tcPr>
            <w:tcW w:w="1763" w:type="dxa"/>
          </w:tcPr>
          <w:p w:rsidR="006969CD" w:rsidRPr="006969CD" w:rsidRDefault="006969CD" w:rsidP="006969CD">
            <w:r w:rsidRPr="00FB18DC">
              <w:t xml:space="preserve">Conversion to </w:t>
            </w:r>
            <w:r w:rsidRPr="00FB18DC">
              <w:lastRenderedPageBreak/>
              <w:t>effective annual rate</w:t>
            </w:r>
          </w:p>
        </w:tc>
        <w:tc>
          <w:tcPr>
            <w:tcW w:w="1262" w:type="dxa"/>
          </w:tcPr>
          <w:p w:rsidR="006969CD" w:rsidRPr="006969CD" w:rsidRDefault="006969CD" w:rsidP="006969CD">
            <w:r w:rsidRPr="00FB18DC">
              <w:lastRenderedPageBreak/>
              <w:t>Yes</w:t>
            </w:r>
          </w:p>
        </w:tc>
        <w:tc>
          <w:tcPr>
            <w:tcW w:w="5668" w:type="dxa"/>
          </w:tcPr>
          <w:p w:rsidR="006969CD" w:rsidRPr="006969CD" w:rsidRDefault="006969CD" w:rsidP="006969CD">
            <w:r w:rsidRPr="00FB18DC">
              <w:t xml:space="preserve">The RBA's published methodology does not explicitly specify whether the </w:t>
            </w:r>
            <w:r w:rsidRPr="00FB18DC">
              <w:lastRenderedPageBreak/>
              <w:t>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6969CD">
              <w:rPr>
                <w:rStyle w:val="AERsuperscript"/>
              </w:rPr>
              <w:footnoteReference w:id="330"/>
            </w:r>
            <w:r w:rsidRPr="006969CD">
              <w:t xml:space="preserve"> Therefore, this would require conversion into an effective annual rate, using the same approach as is applied to the BVAL yield estimate. </w:t>
            </w:r>
          </w:p>
        </w:tc>
      </w:tr>
    </w:tbl>
    <w:p w:rsidR="006969CD" w:rsidRPr="00FB18DC" w:rsidRDefault="006969CD" w:rsidP="006969CD">
      <w:pPr>
        <w:pStyle w:val="AERtablesource"/>
      </w:pPr>
      <w:r w:rsidRPr="00FB18DC">
        <w:lastRenderedPageBreak/>
        <w:t xml:space="preserve">Source: </w:t>
      </w:r>
      <w:r>
        <w:tab/>
      </w:r>
      <w:r w:rsidRPr="00FB18DC">
        <w:t>AER analysis</w:t>
      </w:r>
      <w:r>
        <w:t>.</w:t>
      </w:r>
    </w:p>
    <w:p w:rsidR="006969CD" w:rsidRPr="00FB18DC" w:rsidRDefault="006969CD" w:rsidP="006969CD">
      <w:pPr>
        <w:pStyle w:val="Caption"/>
      </w:pPr>
      <w:bookmarkStart w:id="93" w:name="_Ref458461778"/>
      <w:r w:rsidRPr="00FB18DC">
        <w:t xml:space="preserve">Table </w:t>
      </w:r>
      <w:r w:rsidRPr="006969CD">
        <w:fldChar w:fldCharType="begin"/>
      </w:r>
      <w:r>
        <w:instrText xml:space="preserve"> STYLEREF 1 \s </w:instrText>
      </w:r>
      <w:r w:rsidRPr="006969CD">
        <w:fldChar w:fldCharType="separate"/>
      </w:r>
      <w:r w:rsidR="00691B4D">
        <w:rPr>
          <w:noProof/>
        </w:rPr>
        <w:t>3</w:t>
      </w:r>
      <w:r w:rsidRPr="006969CD">
        <w:fldChar w:fldCharType="end"/>
      </w:r>
      <w:r>
        <w:noBreakHyphen/>
      </w:r>
      <w:r w:rsidRPr="006969CD">
        <w:fldChar w:fldCharType="begin"/>
      </w:r>
      <w:r>
        <w:instrText xml:space="preserve"> SEQ Table \* ARABIC \s 1 </w:instrText>
      </w:r>
      <w:r w:rsidRPr="006969CD">
        <w:fldChar w:fldCharType="separate"/>
      </w:r>
      <w:r w:rsidR="00691B4D">
        <w:rPr>
          <w:noProof/>
        </w:rPr>
        <w:t>10</w:t>
      </w:r>
      <w:r w:rsidRPr="006969CD">
        <w:fldChar w:fldCharType="end"/>
      </w:r>
      <w:bookmarkEnd w:id="93"/>
      <w:r w:rsidRPr="00FB18DC">
        <w:tab/>
        <w:t>Adjustments to the BVAL curve</w:t>
      </w:r>
    </w:p>
    <w:tbl>
      <w:tblPr>
        <w:tblStyle w:val="AERtable-text0"/>
        <w:tblW w:w="0" w:type="auto"/>
        <w:tblLook w:val="04A0" w:firstRow="1" w:lastRow="0" w:firstColumn="1" w:lastColumn="0" w:noHBand="0" w:noVBand="1"/>
      </w:tblPr>
      <w:tblGrid>
        <w:gridCol w:w="2892"/>
        <w:gridCol w:w="1416"/>
        <w:gridCol w:w="4385"/>
      </w:tblGrid>
      <w:tr w:rsidR="006969CD" w:rsidRPr="00BB7AB1" w:rsidTr="006969CD">
        <w:trPr>
          <w:cnfStyle w:val="100000000000" w:firstRow="1" w:lastRow="0" w:firstColumn="0" w:lastColumn="0" w:oddVBand="0" w:evenVBand="0" w:oddHBand="0" w:evenHBand="0" w:firstRowFirstColumn="0" w:firstRowLastColumn="0" w:lastRowFirstColumn="0" w:lastRowLastColumn="0"/>
          <w:tblHeader/>
        </w:trPr>
        <w:tc>
          <w:tcPr>
            <w:tcW w:w="3080" w:type="dxa"/>
          </w:tcPr>
          <w:p w:rsidR="006969CD" w:rsidRPr="006969CD" w:rsidRDefault="006969CD" w:rsidP="006969CD">
            <w:r w:rsidRPr="00FB18DC">
              <w:t xml:space="preserve">Adjustment </w:t>
            </w:r>
            <w:r w:rsidRPr="006969CD">
              <w:t>type</w:t>
            </w:r>
          </w:p>
        </w:tc>
        <w:tc>
          <w:tcPr>
            <w:tcW w:w="1446" w:type="dxa"/>
          </w:tcPr>
          <w:p w:rsidR="006969CD" w:rsidRPr="006969CD" w:rsidRDefault="006969CD" w:rsidP="006969CD">
            <w:r w:rsidRPr="00FB18DC">
              <w:t>Amendment made?</w:t>
            </w:r>
          </w:p>
        </w:tc>
        <w:tc>
          <w:tcPr>
            <w:tcW w:w="4716" w:type="dxa"/>
          </w:tcPr>
          <w:p w:rsidR="006969CD" w:rsidRPr="00FB18DC" w:rsidRDefault="006969CD" w:rsidP="006969CD">
            <w:pPr>
              <w:numPr>
                <w:ilvl w:val="0"/>
                <w:numId w:val="25"/>
              </w:numPr>
            </w:pPr>
            <w:r w:rsidRPr="00FB18DC">
              <w:t>Comments</w:t>
            </w:r>
          </w:p>
        </w:tc>
      </w:tr>
      <w:tr w:rsidR="006969CD" w:rsidRPr="00BB7AB1" w:rsidTr="006969CD">
        <w:tc>
          <w:tcPr>
            <w:tcW w:w="3080" w:type="dxa"/>
          </w:tcPr>
          <w:p w:rsidR="006969CD" w:rsidRPr="006969CD" w:rsidRDefault="006969CD" w:rsidP="006969CD">
            <w:r w:rsidRPr="00FB18DC">
              <w:t>Interpolation to construct daily estimates</w:t>
            </w:r>
          </w:p>
        </w:tc>
        <w:tc>
          <w:tcPr>
            <w:tcW w:w="1446" w:type="dxa"/>
          </w:tcPr>
          <w:p w:rsidR="006969CD" w:rsidRPr="006969CD" w:rsidRDefault="006969CD" w:rsidP="006969CD">
            <w:r w:rsidRPr="00FB18DC">
              <w:t>No</w:t>
            </w:r>
          </w:p>
        </w:tc>
        <w:tc>
          <w:tcPr>
            <w:tcW w:w="4716" w:type="dxa"/>
          </w:tcPr>
          <w:p w:rsidR="006969CD" w:rsidRPr="00FB18DC" w:rsidRDefault="006969CD" w:rsidP="006969CD">
            <w:pPr>
              <w:numPr>
                <w:ilvl w:val="0"/>
                <w:numId w:val="25"/>
              </w:numPr>
            </w:pPr>
            <w:r w:rsidRPr="00FB18DC">
              <w:t>Bloomberg publishes daily estimates.</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3080" w:type="dxa"/>
          </w:tcPr>
          <w:p w:rsidR="006969CD" w:rsidRPr="006969CD" w:rsidRDefault="006969CD" w:rsidP="006969CD">
            <w:r w:rsidRPr="00FB18DC">
              <w:t>Extrapolation to target term</w:t>
            </w:r>
          </w:p>
        </w:tc>
        <w:tc>
          <w:tcPr>
            <w:tcW w:w="1446" w:type="dxa"/>
          </w:tcPr>
          <w:p w:rsidR="006969CD" w:rsidRPr="006969CD" w:rsidRDefault="006969CD" w:rsidP="006969CD">
            <w:r w:rsidRPr="00FB18DC">
              <w:t>Depends on maximum term published by Bloomberg</w:t>
            </w:r>
          </w:p>
        </w:tc>
        <w:tc>
          <w:tcPr>
            <w:tcW w:w="4716" w:type="dxa"/>
          </w:tcPr>
          <w:p w:rsidR="006969CD" w:rsidRPr="00FB18DC" w:rsidRDefault="006969CD" w:rsidP="006969CD">
            <w:pPr>
              <w:numPr>
                <w:ilvl w:val="0"/>
                <w:numId w:val="25"/>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331"/>
            </w:r>
            <w:r w:rsidRPr="00FB18DC">
              <w:t xml:space="preserve"> In April 2015, Bloomberg revised its methodology for the BVAL curve (BVCSAB10) and it now publishes a 10 year estimate.</w:t>
            </w:r>
            <w:r w:rsidRPr="00FB18DC">
              <w:rPr>
                <w:rStyle w:val="FootnoteReference"/>
              </w:rPr>
              <w:footnoteReference w:id="332"/>
            </w:r>
            <w:r w:rsidRPr="00FB18DC">
              <w:t xml:space="preserve"> </w:t>
            </w:r>
          </w:p>
          <w:p w:rsidR="006969CD" w:rsidRPr="00FB18DC" w:rsidRDefault="006969CD" w:rsidP="006969CD">
            <w:pPr>
              <w:numPr>
                <w:ilvl w:val="0"/>
                <w:numId w:val="25"/>
              </w:numPr>
            </w:pPr>
            <w:r w:rsidRPr="00FB18DC">
              <w:t xml:space="preserve">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w:t>
            </w:r>
            <w:r w:rsidR="00176317">
              <w:t>Australian Government security</w:t>
            </w:r>
            <w:r w:rsidRPr="00FB18DC">
              <w:t xml:space="preserve"> estimates from 7 to 10 years. That is:</w:t>
            </w:r>
          </w:p>
          <w:p w:rsidR="006969CD" w:rsidRPr="00FB18DC" w:rsidRDefault="006969CD" w:rsidP="006969CD">
            <w:pPr>
              <w:numPr>
                <w:ilvl w:val="0"/>
                <w:numId w:val="25"/>
              </w:numPr>
            </w:pPr>
            <w:r w:rsidRPr="00FB18DC">
              <w:t>BVAL yield 10 years = BVAL</w:t>
            </w:r>
            <w:r w:rsidR="00176317">
              <w:t xml:space="preserve"> yield 7 years + difference in A</w:t>
            </w:r>
            <w:r w:rsidRPr="00FB18DC">
              <w:t xml:space="preserve">GS from 7 to 10 years + difference in RBA extrapolated spread to </w:t>
            </w:r>
            <w:r w:rsidR="00176317">
              <w:t>AGS</w:t>
            </w:r>
            <w:r w:rsidRPr="00FB18DC">
              <w:t xml:space="preserve"> from 7 to 10 years</w:t>
            </w:r>
          </w:p>
          <w:p w:rsidR="006969CD" w:rsidRPr="00FB18DC" w:rsidRDefault="006969CD" w:rsidP="006969CD">
            <w:pPr>
              <w:numPr>
                <w:ilvl w:val="0"/>
                <w:numId w:val="25"/>
              </w:numPr>
            </w:pPr>
            <w:r w:rsidRPr="00FB18DC">
              <w:t>As recommended by Lally,</w:t>
            </w:r>
            <w:r w:rsidRPr="00FB18DC">
              <w:rPr>
                <w:rStyle w:val="AERsuperscript"/>
              </w:rPr>
              <w:footnoteReference w:id="333"/>
            </w:r>
            <w:r w:rsidRPr="00FB18DC">
              <w:t xml:space="preserve"> we are satisfied this approach is comparably reliable to the more complex approaches submitted by other stakeholders,</w:t>
            </w:r>
            <w:r w:rsidRPr="00FB18DC">
              <w:rPr>
                <w:rStyle w:val="AERsuperscript"/>
              </w:rPr>
              <w:footnoteReference w:id="334"/>
            </w:r>
            <w:r w:rsidRPr="00FB18DC">
              <w:rPr>
                <w:rStyle w:val="AERsuperscript"/>
              </w:rPr>
              <w:t xml:space="preserve"> </w:t>
            </w:r>
            <w:r w:rsidRPr="00FB18DC">
              <w:t>but is simpler to implement and based on publicly available data.</w:t>
            </w:r>
          </w:p>
          <w:p w:rsidR="006969CD" w:rsidRPr="00FB18DC" w:rsidRDefault="006969CD" w:rsidP="006969CD">
            <w:pPr>
              <w:numPr>
                <w:ilvl w:val="0"/>
                <w:numId w:val="25"/>
              </w:numPr>
            </w:pPr>
            <w:r w:rsidRPr="00FB18DC">
              <w:t>For the period where 5 years is the maximum term, we extrapolate the spread component of the 5 year yield estimate to the 10 year target term using an analogous methodology to that used to extrapolate from 7 to 10 years.</w:t>
            </w:r>
          </w:p>
          <w:p w:rsidR="006969CD" w:rsidRPr="00FB18DC" w:rsidRDefault="006969CD" w:rsidP="006969CD">
            <w:pPr>
              <w:numPr>
                <w:ilvl w:val="0"/>
                <w:numId w:val="25"/>
              </w:numPr>
            </w:pPr>
            <w:r w:rsidRPr="00FB18DC">
              <w:t xml:space="preserve">For the period where 10 years is the maximum term, we </w:t>
            </w:r>
            <w:r w:rsidRPr="00FB18DC">
              <w:lastRenderedPageBreak/>
              <w:t>do not extrapolate the estimate.</w:t>
            </w:r>
          </w:p>
        </w:tc>
      </w:tr>
      <w:tr w:rsidR="006969CD" w:rsidRPr="00BB7AB1" w:rsidTr="006969CD">
        <w:tc>
          <w:tcPr>
            <w:tcW w:w="3080" w:type="dxa"/>
          </w:tcPr>
          <w:p w:rsidR="006969CD" w:rsidRPr="006969CD" w:rsidRDefault="006969CD" w:rsidP="006969CD">
            <w:r w:rsidRPr="00FB18DC">
              <w:lastRenderedPageBreak/>
              <w:t>Conversion to effective annual rate</w:t>
            </w:r>
          </w:p>
        </w:tc>
        <w:tc>
          <w:tcPr>
            <w:tcW w:w="1446" w:type="dxa"/>
          </w:tcPr>
          <w:p w:rsidR="006969CD" w:rsidRPr="006969CD" w:rsidRDefault="006969CD" w:rsidP="006969CD">
            <w:r w:rsidRPr="00FB18DC">
              <w:t>Yes</w:t>
            </w:r>
          </w:p>
        </w:tc>
        <w:tc>
          <w:tcPr>
            <w:tcW w:w="4716" w:type="dxa"/>
          </w:tcPr>
          <w:p w:rsidR="006969CD" w:rsidRPr="00FB18DC" w:rsidRDefault="006969CD" w:rsidP="006969CD">
            <w:pPr>
              <w:numPr>
                <w:ilvl w:val="0"/>
                <w:numId w:val="25"/>
              </w:numPr>
            </w:pPr>
            <w:r w:rsidRPr="00FB18DC">
              <w:t>Bloomberg publishes its yield as annual rates with semi-annual compounding. This needs to be converted into an effective annual rate.</w:t>
            </w:r>
          </w:p>
        </w:tc>
      </w:tr>
    </w:tbl>
    <w:p w:rsidR="006969CD" w:rsidRPr="00F427A1" w:rsidRDefault="006969CD" w:rsidP="00E6234D"/>
    <w:p w:rsidR="00DE0835" w:rsidRDefault="00DE0835" w:rsidP="00DE0835">
      <w:pPr>
        <w:pStyle w:val="HeadingBoldItalic"/>
      </w:pPr>
      <w:r w:rsidRPr="00E761F9">
        <w:t xml:space="preserve">Averaging periods </w:t>
      </w:r>
    </w:p>
    <w:p w:rsidR="00DE0835" w:rsidRDefault="00492396" w:rsidP="00DE0835">
      <w:pPr>
        <w:numPr>
          <w:ilvl w:val="0"/>
          <w:numId w:val="25"/>
        </w:numPr>
      </w:pPr>
      <w:r>
        <w:t>TasNetworks did not propose a placeholder averaging period for the purposes of this draft decision. Accordingly, we have nominated a placeholder return on debt averaging period</w:t>
      </w:r>
      <w:r w:rsidR="00DE0835">
        <w:t>.</w:t>
      </w:r>
      <w:r w:rsidR="00DE0835">
        <w:rPr>
          <w:rStyle w:val="FootnoteReference"/>
        </w:rPr>
        <w:footnoteReference w:id="335"/>
      </w:r>
      <w:r w:rsidR="00DE0835">
        <w:t xml:space="preserve"> W</w:t>
      </w:r>
      <w:r w:rsidR="00DE0835" w:rsidRPr="00E761F9">
        <w:t>e w</w:t>
      </w:r>
      <w:r w:rsidR="00DE0835">
        <w:t>ill</w:t>
      </w:r>
      <w:r w:rsidR="00DE0835" w:rsidRPr="00E761F9">
        <w:t xml:space="preserve"> update this averaging period for the final decision</w:t>
      </w:r>
      <w:r w:rsidR="00DE0835">
        <w:t xml:space="preserve"> in accordance with the final averaging periods in</w:t>
      </w:r>
      <w:r w:rsidR="00DE0835" w:rsidRPr="00E761F9">
        <w:t xml:space="preserve"> c</w:t>
      </w:r>
      <w:r w:rsidR="00DE0835">
        <w:t xml:space="preserve">onfidential appendix </w:t>
      </w:r>
      <w:r w:rsidR="00DE0835">
        <w:fldChar w:fldCharType="begin"/>
      </w:r>
      <w:r w:rsidR="00DE0835">
        <w:instrText xml:space="preserve"> REF _Ref457824593 \r \h </w:instrText>
      </w:r>
      <w:r w:rsidR="00DE0835">
        <w:fldChar w:fldCharType="separate"/>
      </w:r>
      <w:r w:rsidR="00691B4D">
        <w:t>D</w:t>
      </w:r>
      <w:r w:rsidR="00DE0835">
        <w:fldChar w:fldCharType="end"/>
      </w:r>
      <w:r w:rsidR="00DE0835">
        <w:t>.</w:t>
      </w:r>
    </w:p>
    <w:p w:rsidR="00DE0835" w:rsidRPr="00E761F9" w:rsidRDefault="00DE0835" w:rsidP="00DE0835">
      <w:r>
        <w:t xml:space="preserve">For use in our final decision, we </w:t>
      </w:r>
      <w:r w:rsidRPr="00F62E1D">
        <w:t xml:space="preserve">accept </w:t>
      </w:r>
      <w:r w:rsidR="00492396">
        <w:t xml:space="preserve">TasNetworks' </w:t>
      </w:r>
      <w:r w:rsidRPr="00F62E1D">
        <w:t xml:space="preserve">proposed debt </w:t>
      </w:r>
      <w:r>
        <w:t>averaging periods for 2017 to 20</w:t>
      </w:r>
      <w:r w:rsidR="00492396">
        <w:t>19</w:t>
      </w:r>
      <w:r>
        <w:t>.</w:t>
      </w:r>
      <w:r>
        <w:rPr>
          <w:rStyle w:val="FootnoteReference"/>
        </w:rPr>
        <w:footnoteReference w:id="336"/>
      </w:r>
      <w:r>
        <w:t xml:space="preserve"> </w:t>
      </w:r>
      <w:r w:rsidRPr="00E761F9">
        <w:t>We specify these averaging periods for the 2017 to 20</w:t>
      </w:r>
      <w:r w:rsidR="00492396">
        <w:t>19</w:t>
      </w:r>
      <w:r w:rsidRPr="00E761F9">
        <w:t xml:space="preserve"> regulatory years in c</w:t>
      </w:r>
      <w:r>
        <w:t xml:space="preserve">onfidential Appendix </w:t>
      </w:r>
      <w:r w:rsidR="00492396">
        <w:t>D</w:t>
      </w:r>
      <w:r w:rsidRPr="00E761F9">
        <w:t>. This is because our practice is to keep the dates of averaging periods confidential until they have expired.</w:t>
      </w:r>
    </w:p>
    <w:p w:rsidR="00DE0835" w:rsidRPr="00E761F9" w:rsidRDefault="00DE0835" w:rsidP="00DE0835">
      <w:r w:rsidRPr="00E761F9">
        <w:t>In the Guideline,</w:t>
      </w:r>
      <w:r w:rsidRPr="00E761F9">
        <w:rPr>
          <w:rStyle w:val="FootnoteReference"/>
        </w:rPr>
        <w:footnoteReference w:id="337"/>
      </w:r>
      <w:r w:rsidRPr="00E761F9">
        <w:t xml:space="preserve"> we proposed that service providers could nominate averaging periods that satisfy certain conditions</w:t>
      </w:r>
      <w:r>
        <w:t>, which are set out in</w:t>
      </w:r>
      <w:r w:rsidR="00EA60E7">
        <w:t xml:space="preserve"> </w:t>
      </w:r>
      <w:r w:rsidR="00EA60E7">
        <w:fldChar w:fldCharType="begin"/>
      </w:r>
      <w:r w:rsidR="00EA60E7">
        <w:instrText xml:space="preserve"> REF _Ref458461810 \h </w:instrText>
      </w:r>
      <w:r w:rsidR="00EA60E7">
        <w:fldChar w:fldCharType="separate"/>
      </w:r>
      <w:r w:rsidR="00691B4D" w:rsidRPr="00E761F9">
        <w:t xml:space="preserve">Table </w:t>
      </w:r>
      <w:r w:rsidR="00691B4D">
        <w:rPr>
          <w:noProof/>
        </w:rPr>
        <w:t>3</w:t>
      </w:r>
      <w:r w:rsidR="00691B4D">
        <w:noBreakHyphen/>
      </w:r>
      <w:r w:rsidR="00691B4D">
        <w:rPr>
          <w:noProof/>
        </w:rPr>
        <w:t>11</w:t>
      </w:r>
      <w:r w:rsidR="00EA60E7">
        <w:fldChar w:fldCharType="end"/>
      </w:r>
      <w:r w:rsidRPr="00E761F9">
        <w:t xml:space="preserve">. We developed these conditions so that the application of the averaging period contributes to the achievement of the </w:t>
      </w:r>
      <w:r>
        <w:t>ARORO</w:t>
      </w:r>
      <w:r w:rsidRPr="00E761F9">
        <w:t>.</w:t>
      </w:r>
      <w:r w:rsidRPr="00E761F9">
        <w:rPr>
          <w:rStyle w:val="FootnoteReference"/>
        </w:rPr>
        <w:footnoteReference w:id="338"/>
      </w:r>
      <w:r>
        <w:t xml:space="preserve"> We consider that </w:t>
      </w:r>
      <w:r w:rsidR="00492396">
        <w:t xml:space="preserve">TasNetworks' </w:t>
      </w:r>
      <w:r>
        <w:t>proposed averaging periods satisfy these conditions.</w:t>
      </w:r>
    </w:p>
    <w:p w:rsidR="00DE0835" w:rsidRPr="00E761F9" w:rsidRDefault="00DE0835" w:rsidP="00DE0835">
      <w:r w:rsidRPr="00E761F9">
        <w:t xml:space="preserve">In </w:t>
      </w:r>
      <w:r>
        <w:t xml:space="preserve">general, when </w:t>
      </w:r>
      <w:r w:rsidRPr="00E761F9">
        <w:t xml:space="preserve">assessing service providers' proposed averaging periods, we applied the conditions we proposed in the Guideline, </w:t>
      </w:r>
      <w:r>
        <w:t>except for one condition that we do</w:t>
      </w:r>
      <w:r w:rsidRPr="00E761F9">
        <w:t xml:space="preserve"> not</w:t>
      </w:r>
      <w:r>
        <w:t xml:space="preserve"> consider is</w:t>
      </w:r>
      <w:r w:rsidRPr="00E761F9">
        <w:t xml:space="preserve"> necessary to achieve the </w:t>
      </w:r>
      <w:r>
        <w:t>ARORO</w:t>
      </w:r>
      <w:r w:rsidRPr="00E761F9">
        <w:t>. Th</w:t>
      </w:r>
      <w:r>
        <w:t>is</w:t>
      </w:r>
      <w:r w:rsidRPr="00E761F9">
        <w:t xml:space="preserve"> condition was that averaging periods should be as close as practical to the commencement of each regulatory year. We remain of the view that the remaining Guideline conditions are important and necessary to promote the </w:t>
      </w:r>
      <w:r>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DE0835" w:rsidRPr="00E761F9" w:rsidRDefault="00DE0835" w:rsidP="00DE0835">
      <w:pPr>
        <w:pStyle w:val="Caption"/>
      </w:pPr>
      <w:bookmarkStart w:id="94" w:name="_Ref458461810"/>
      <w:r w:rsidRPr="00E761F9">
        <w:lastRenderedPageBreak/>
        <w:t xml:space="preserve">Table </w:t>
      </w:r>
      <w:r w:rsidRPr="002E6B28">
        <w:fldChar w:fldCharType="begin"/>
      </w:r>
      <w:r>
        <w:instrText xml:space="preserve"> STYLEREF 1 \s </w:instrText>
      </w:r>
      <w:r w:rsidRPr="002E6B28">
        <w:fldChar w:fldCharType="separate"/>
      </w:r>
      <w:r w:rsidR="00691B4D">
        <w:rPr>
          <w:noProof/>
        </w:rPr>
        <w:t>3</w:t>
      </w:r>
      <w:r w:rsidRPr="002E6B28">
        <w:fldChar w:fldCharType="end"/>
      </w:r>
      <w:r>
        <w:noBreakHyphen/>
      </w:r>
      <w:r w:rsidRPr="002E6B28">
        <w:fldChar w:fldCharType="begin"/>
      </w:r>
      <w:r>
        <w:instrText xml:space="preserve"> SEQ Table \* ARABIC \s 1 </w:instrText>
      </w:r>
      <w:r w:rsidRPr="002E6B28">
        <w:fldChar w:fldCharType="separate"/>
      </w:r>
      <w:r w:rsidR="00691B4D">
        <w:rPr>
          <w:noProof/>
        </w:rPr>
        <w:t>11</w:t>
      </w:r>
      <w:r w:rsidRPr="002E6B28">
        <w:fldChar w:fldCharType="end"/>
      </w:r>
      <w:bookmarkEnd w:id="94"/>
      <w:r w:rsidRPr="00E761F9">
        <w:tab/>
        <w:t xml:space="preserve">Assessment of proposed averaging periods against </w:t>
      </w:r>
      <w:r>
        <w:t>our conditions</w:t>
      </w:r>
    </w:p>
    <w:tbl>
      <w:tblPr>
        <w:tblStyle w:val="AERtable-text0"/>
        <w:tblW w:w="0" w:type="auto"/>
        <w:tblLook w:val="04A0" w:firstRow="1" w:lastRow="0" w:firstColumn="1" w:lastColumn="0" w:noHBand="0" w:noVBand="1"/>
      </w:tblPr>
      <w:tblGrid>
        <w:gridCol w:w="2591"/>
        <w:gridCol w:w="4647"/>
        <w:gridCol w:w="1425"/>
      </w:tblGrid>
      <w:tr w:rsidR="00DE0835" w:rsidTr="00DD5F01">
        <w:trPr>
          <w:cnfStyle w:val="100000000000" w:firstRow="1" w:lastRow="0" w:firstColumn="0" w:lastColumn="0" w:oddVBand="0" w:evenVBand="0" w:oddHBand="0" w:evenHBand="0" w:firstRowFirstColumn="0" w:firstRowLastColumn="0" w:lastRowFirstColumn="0" w:lastRowLastColumn="0"/>
          <w:trHeight w:val="143"/>
          <w:tblHeader/>
        </w:trPr>
        <w:tc>
          <w:tcPr>
            <w:tcW w:w="2591" w:type="dxa"/>
          </w:tcPr>
          <w:p w:rsidR="00DE0835" w:rsidRPr="00DE0835" w:rsidRDefault="00DE0835" w:rsidP="00DE0835">
            <w:r w:rsidRPr="00E761F9">
              <w:t>Condition</w:t>
            </w:r>
          </w:p>
        </w:tc>
        <w:tc>
          <w:tcPr>
            <w:tcW w:w="4647" w:type="dxa"/>
          </w:tcPr>
          <w:p w:rsidR="00DE0835" w:rsidRPr="00DE0835" w:rsidRDefault="00DE0835" w:rsidP="00DE0835">
            <w:r w:rsidRPr="00E761F9">
              <w:t>Reasons for condition</w:t>
            </w:r>
          </w:p>
        </w:tc>
        <w:tc>
          <w:tcPr>
            <w:tcW w:w="1425" w:type="dxa"/>
          </w:tcPr>
          <w:p w:rsidR="00DE0835" w:rsidRPr="00DE0835" w:rsidRDefault="00DE0835" w:rsidP="00DE0835">
            <w:r w:rsidRPr="00E761F9">
              <w:t>Condition met?</w:t>
            </w:r>
          </w:p>
        </w:tc>
      </w:tr>
      <w:tr w:rsidR="00DE0835" w:rsidTr="00DD5F01">
        <w:trPr>
          <w:trHeight w:val="143"/>
        </w:trPr>
        <w:tc>
          <w:tcPr>
            <w:tcW w:w="2591" w:type="dxa"/>
          </w:tcPr>
          <w:p w:rsidR="00DE0835" w:rsidRPr="00DE0835" w:rsidRDefault="00DE0835" w:rsidP="00DE0835">
            <w:r w:rsidRPr="00E761F9">
              <w:t xml:space="preserve">Observed over a period of 10 or more consecutive business days up to a maximum of </w:t>
            </w:r>
            <w:r w:rsidRPr="00DE0835">
              <w:t>12 months</w:t>
            </w:r>
          </w:p>
        </w:tc>
        <w:tc>
          <w:tcPr>
            <w:tcW w:w="4647" w:type="dxa"/>
          </w:tcPr>
          <w:p w:rsidR="00DE0835" w:rsidRPr="00DE0835" w:rsidRDefault="00DE0835" w:rsidP="00DE0835">
            <w:r w:rsidRPr="00E761F9">
              <w:t>Averaging daily estimates</w:t>
            </w:r>
            <w:r w:rsidRPr="00DE0835">
              <w:t xml:space="preserve"> over a number of days smooths out short term volatility in the annually updated return on debt allowance.</w:t>
            </w:r>
          </w:p>
        </w:tc>
        <w:tc>
          <w:tcPr>
            <w:tcW w:w="1425" w:type="dxa"/>
          </w:tcPr>
          <w:p w:rsidR="00DE0835" w:rsidRPr="00DE0835" w:rsidRDefault="00DE0835" w:rsidP="00DE0835">
            <w:r w:rsidRPr="00E761F9">
              <w:t>Yes</w:t>
            </w:r>
          </w:p>
        </w:tc>
      </w:tr>
      <w:tr w:rsidR="00DE0835" w:rsidTr="00DD5F01">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DE0835" w:rsidRPr="00DE0835" w:rsidRDefault="00DE0835" w:rsidP="00AF310A">
            <w:r w:rsidRPr="00E761F9">
              <w:t>It should be specified prior to the commencement of the regulatory period.</w:t>
            </w:r>
          </w:p>
        </w:tc>
        <w:tc>
          <w:tcPr>
            <w:tcW w:w="4647" w:type="dxa"/>
          </w:tcPr>
          <w:p w:rsidR="00DE0835" w:rsidRPr="00DE0835" w:rsidRDefault="00DE0835" w:rsidP="00DE0835">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25" w:type="dxa"/>
          </w:tcPr>
          <w:p w:rsidR="00DE0835" w:rsidRPr="00DE0835" w:rsidRDefault="00DE0835" w:rsidP="00DE0835">
            <w:r w:rsidRPr="00E761F9">
              <w:t>Yes</w:t>
            </w:r>
          </w:p>
        </w:tc>
      </w:tr>
      <w:tr w:rsidR="00DE0835" w:rsidTr="00DD5F01">
        <w:trPr>
          <w:trHeight w:val="143"/>
        </w:trPr>
        <w:tc>
          <w:tcPr>
            <w:tcW w:w="2591" w:type="dxa"/>
          </w:tcPr>
          <w:p w:rsidR="00DE0835" w:rsidRPr="00DE0835" w:rsidRDefault="00DE0835" w:rsidP="00DE0835">
            <w:r w:rsidRPr="00E761F9">
              <w:t>At the time it is nominated, all dates in the averaging period must take place in the future.</w:t>
            </w:r>
          </w:p>
        </w:tc>
        <w:tc>
          <w:tcPr>
            <w:tcW w:w="4647" w:type="dxa"/>
          </w:tcPr>
          <w:p w:rsidR="00DE0835" w:rsidRPr="00DE0835" w:rsidRDefault="00DE0835" w:rsidP="00DE0835">
            <w:r w:rsidRPr="00E761F9">
              <w:t>If a regulated service provider can select an averaging period by looking at historical yields, it may introduce an upward bias.</w:t>
            </w:r>
            <w:r w:rsidRPr="00DE0835">
              <w:rPr>
                <w:rStyle w:val="FootnoteReference"/>
              </w:rPr>
              <w:footnoteReference w:id="339"/>
            </w:r>
          </w:p>
        </w:tc>
        <w:tc>
          <w:tcPr>
            <w:tcW w:w="1425" w:type="dxa"/>
          </w:tcPr>
          <w:p w:rsidR="00DE0835" w:rsidRPr="00DE0835" w:rsidRDefault="00DE0835" w:rsidP="00DE0835">
            <w:r w:rsidRPr="00E761F9">
              <w:t>Yes</w:t>
            </w:r>
          </w:p>
        </w:tc>
      </w:tr>
      <w:tr w:rsidR="00DE0835" w:rsidTr="00DD5F01">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DE0835" w:rsidRPr="00DE0835" w:rsidRDefault="00DE0835" w:rsidP="00AF310A">
            <w:r w:rsidRPr="00E761F9">
              <w:t>An averaging period needs to be specified for each regulatory year within a regulatory period.</w:t>
            </w:r>
          </w:p>
        </w:tc>
        <w:tc>
          <w:tcPr>
            <w:tcW w:w="4647" w:type="dxa"/>
          </w:tcPr>
          <w:p w:rsidR="00DE0835" w:rsidRPr="00DE0835" w:rsidRDefault="00DE0835" w:rsidP="00DE0835">
            <w:r w:rsidRPr="00E761F9">
              <w:t>This allows for the annual debt update. The annual debt update reduces the potential for a mismatch between the allowed and actual return on debt for the benchmark efficient entity.</w:t>
            </w:r>
          </w:p>
        </w:tc>
        <w:tc>
          <w:tcPr>
            <w:tcW w:w="1425" w:type="dxa"/>
          </w:tcPr>
          <w:p w:rsidR="00DE0835" w:rsidRPr="00DE0835" w:rsidRDefault="00DE0835" w:rsidP="00DE0835">
            <w:r w:rsidRPr="00E761F9">
              <w:t>Yes</w:t>
            </w:r>
          </w:p>
        </w:tc>
      </w:tr>
      <w:tr w:rsidR="00DE0835" w:rsidTr="00DD5F01">
        <w:trPr>
          <w:trHeight w:val="143"/>
        </w:trPr>
        <w:tc>
          <w:tcPr>
            <w:tcW w:w="2591" w:type="dxa"/>
          </w:tcPr>
          <w:p w:rsidR="00DE0835" w:rsidRPr="00DE0835" w:rsidRDefault="00DE0835" w:rsidP="00DE0835">
            <w:r w:rsidRPr="00E761F9">
              <w:t>The proposed averaging periods for different regulatory years are not required to be identical but should not overlap.</w:t>
            </w:r>
          </w:p>
        </w:tc>
        <w:tc>
          <w:tcPr>
            <w:tcW w:w="4647" w:type="dxa"/>
          </w:tcPr>
          <w:p w:rsidR="00DE0835" w:rsidRPr="00DE0835" w:rsidRDefault="00DE0835" w:rsidP="00DE0835">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25" w:type="dxa"/>
          </w:tcPr>
          <w:p w:rsidR="00DE0835" w:rsidRPr="00DE0835" w:rsidRDefault="00DE0835" w:rsidP="00DE0835">
            <w:r w:rsidRPr="00E761F9">
              <w:t>Yes</w:t>
            </w:r>
          </w:p>
        </w:tc>
      </w:tr>
      <w:tr w:rsidR="00DE0835" w:rsidTr="00DD5F01">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DE0835" w:rsidRPr="00DE0835" w:rsidRDefault="00DE0835" w:rsidP="00DE0835">
            <w:r w:rsidRPr="00E761F9">
              <w:t xml:space="preserve">The nominal return on debt is to be updated annually using the </w:t>
            </w:r>
            <w:r w:rsidRPr="00DE0835">
              <w:t>agreed averaging period for the relevant regulatory year.</w:t>
            </w:r>
          </w:p>
        </w:tc>
        <w:tc>
          <w:tcPr>
            <w:tcW w:w="4647" w:type="dxa"/>
          </w:tcPr>
          <w:p w:rsidR="00DE0835" w:rsidRPr="00DE0835" w:rsidRDefault="00DE0835" w:rsidP="00DE0835">
            <w:r w:rsidRPr="00E761F9">
              <w:t>This prevents a service provider from introducing bias by only updating annually using the agreed averaging period when it is advantageous for it to do so.</w:t>
            </w:r>
          </w:p>
        </w:tc>
        <w:tc>
          <w:tcPr>
            <w:tcW w:w="1425" w:type="dxa"/>
          </w:tcPr>
          <w:p w:rsidR="00DE0835" w:rsidRPr="00DE0835" w:rsidRDefault="00DE0835" w:rsidP="00DE0835">
            <w:r w:rsidRPr="00E761F9">
              <w:t>Yes</w:t>
            </w:r>
          </w:p>
        </w:tc>
      </w:tr>
      <w:tr w:rsidR="00DE0835" w:rsidTr="00DD5F01">
        <w:trPr>
          <w:trHeight w:val="143"/>
        </w:trPr>
        <w:tc>
          <w:tcPr>
            <w:tcW w:w="2591" w:type="dxa"/>
          </w:tcPr>
          <w:p w:rsidR="00DE0835" w:rsidRPr="00DE0835" w:rsidRDefault="00DE0835" w:rsidP="00DE0835">
            <w:r>
              <w:t>The averaging period should fall within a window of</w:t>
            </w:r>
            <w:r w:rsidRPr="00DE0835">
              <w:t>:</w:t>
            </w:r>
          </w:p>
          <w:p w:rsidR="00DE0835" w:rsidRPr="00DE0835" w:rsidRDefault="00DE0835" w:rsidP="00CC08B0">
            <w:pPr>
              <w:pStyle w:val="AERnumberedlistsecondstyle"/>
            </w:pPr>
            <w:r>
              <w:t xml:space="preserve">25 business days prior to when </w:t>
            </w:r>
            <w:r w:rsidR="00492396">
              <w:t>TasNetworks submits its pricing proposal to us</w:t>
            </w:r>
            <w:r w:rsidRPr="00DE0835">
              <w:t>; and</w:t>
            </w:r>
          </w:p>
          <w:p w:rsidR="00DE0835" w:rsidRPr="00DE0835" w:rsidRDefault="00DE0835" w:rsidP="00CC08B0">
            <w:pPr>
              <w:pStyle w:val="AERnumberedlistsecondstyle"/>
            </w:pPr>
            <w:r>
              <w:t>12 months prior to (a)</w:t>
            </w:r>
          </w:p>
        </w:tc>
        <w:tc>
          <w:tcPr>
            <w:tcW w:w="4647" w:type="dxa"/>
          </w:tcPr>
          <w:p w:rsidR="00DE0835" w:rsidRPr="00DE0835" w:rsidRDefault="00DE0835" w:rsidP="00492396">
            <w:r>
              <w:t>T</w:t>
            </w:r>
            <w:r w:rsidRPr="00DE0835">
              <w:t xml:space="preserve">he timing of </w:t>
            </w:r>
            <w:r w:rsidR="00492396">
              <w:t>submitting a pricing proposal</w:t>
            </w:r>
            <w:r w:rsidRPr="00DE0835">
              <w:t xml:space="preserve"> affects how late an averaging period can end and still be implemented in practice. This provides sufficient time for us to calculate (and provide quality assurance checks on) the updated return on debt, revenue and X factor; and for </w:t>
            </w:r>
            <w:r w:rsidR="00492396">
              <w:t>TasNetworks</w:t>
            </w:r>
            <w:r w:rsidR="00492396" w:rsidRPr="00DE0835">
              <w:t xml:space="preserve"> </w:t>
            </w:r>
            <w:r w:rsidRPr="00DE0835">
              <w:t>to factor the updated information into its pric</w:t>
            </w:r>
            <w:r w:rsidR="00492396">
              <w:t>ing proposal</w:t>
            </w:r>
            <w:r w:rsidRPr="00DE0835">
              <w:t>.</w:t>
            </w:r>
          </w:p>
        </w:tc>
        <w:tc>
          <w:tcPr>
            <w:tcW w:w="1425" w:type="dxa"/>
          </w:tcPr>
          <w:p w:rsidR="00DE0835" w:rsidRPr="00DE0835" w:rsidRDefault="00DE0835" w:rsidP="00DE0835">
            <w:r>
              <w:t>Yes</w:t>
            </w:r>
          </w:p>
        </w:tc>
      </w:tr>
      <w:tr w:rsidR="00DE0835" w:rsidTr="00DD5F01">
        <w:trPr>
          <w:cnfStyle w:val="000000010000" w:firstRow="0" w:lastRow="0" w:firstColumn="0" w:lastColumn="0" w:oddVBand="0" w:evenVBand="0" w:oddHBand="0" w:evenHBand="1" w:firstRowFirstColumn="0" w:firstRowLastColumn="0" w:lastRowFirstColumn="0" w:lastRowLastColumn="0"/>
          <w:trHeight w:val="143"/>
        </w:trPr>
        <w:tc>
          <w:tcPr>
            <w:tcW w:w="2591" w:type="dxa"/>
          </w:tcPr>
          <w:p w:rsidR="00DE0835" w:rsidRPr="00DE0835" w:rsidRDefault="00DE0835" w:rsidP="00DE0835">
            <w:r w:rsidRPr="00E761F9">
              <w:t>Each agreed averaging period is to be confidential.</w:t>
            </w:r>
          </w:p>
        </w:tc>
        <w:tc>
          <w:tcPr>
            <w:tcW w:w="4647" w:type="dxa"/>
          </w:tcPr>
          <w:p w:rsidR="00DE0835" w:rsidRPr="00DE0835" w:rsidRDefault="00DE0835" w:rsidP="00DE0835">
            <w:r w:rsidRPr="00E761F9">
              <w:t>This facilitates service providers organising their financing arrangements without market participants being aware of the averaging periods. Accordingly, in practice we keep averaging periods confidential until they expire.</w:t>
            </w:r>
          </w:p>
        </w:tc>
        <w:tc>
          <w:tcPr>
            <w:tcW w:w="1425" w:type="dxa"/>
          </w:tcPr>
          <w:p w:rsidR="00DE0835" w:rsidRPr="00DE0835" w:rsidRDefault="00DE0835" w:rsidP="00DE0835">
            <w:r w:rsidRPr="00E761F9">
              <w:t>Yes</w:t>
            </w:r>
          </w:p>
        </w:tc>
      </w:tr>
    </w:tbl>
    <w:p w:rsidR="00DE0835" w:rsidRPr="00E761F9" w:rsidRDefault="00DE0835" w:rsidP="00DE0835">
      <w:pPr>
        <w:pStyle w:val="AERtablesource"/>
      </w:pPr>
      <w:r w:rsidRPr="00E761F9">
        <w:t xml:space="preserve">Source: </w:t>
      </w:r>
      <w:r w:rsidRPr="00E761F9">
        <w:tab/>
        <w:t xml:space="preserve">AER, </w:t>
      </w:r>
      <w:r w:rsidRPr="00E761F9">
        <w:rPr>
          <w:rStyle w:val="AERtextitalic"/>
        </w:rPr>
        <w:t>Rate of return guideline</w:t>
      </w:r>
      <w:r w:rsidRPr="00E761F9">
        <w:t xml:space="preserve">, December 2013, pp. 21-22; </w:t>
      </w:r>
      <w:r w:rsidR="004A3847">
        <w:t>TasNetworks</w:t>
      </w:r>
      <w:r w:rsidR="004A3847" w:rsidRPr="00C808D5">
        <w:rPr>
          <w:rStyle w:val="AERtextitalic"/>
        </w:rPr>
        <w:t xml:space="preserve">, </w:t>
      </w:r>
      <w:r w:rsidR="004A3847">
        <w:rPr>
          <w:rStyle w:val="AERtextitalic"/>
        </w:rPr>
        <w:t xml:space="preserve">Letter from John Sayers Program Leader Revenue Resets TasNetworks to Chris Pattas General Manager AER - Averaging periods to estimate the allowed return on debt, </w:t>
      </w:r>
      <w:r w:rsidR="004A3847">
        <w:t>23 December 2015</w:t>
      </w:r>
      <w:r w:rsidRPr="00E761F9">
        <w:t>; AER analysis.</w:t>
      </w:r>
    </w:p>
    <w:p w:rsidR="00DE0835" w:rsidRDefault="00DE0835" w:rsidP="00DE0835">
      <w:r>
        <w:t xml:space="preserve">In recent regulatory processes, some </w:t>
      </w:r>
      <w:r w:rsidRPr="00E761F9">
        <w:t xml:space="preserve">service providers </w:t>
      </w:r>
      <w:r>
        <w:t>proposed</w:t>
      </w:r>
      <w:r w:rsidRPr="00E761F9">
        <w:t xml:space="preserve"> </w:t>
      </w:r>
      <w:r>
        <w:t xml:space="preserve">more </w:t>
      </w:r>
      <w:r w:rsidRPr="00E761F9">
        <w:t>complicated approaches to nominating debt averaging periods</w:t>
      </w:r>
      <w:r>
        <w:t xml:space="preserve">. Jemena and ActewAGL proposed </w:t>
      </w:r>
      <w:r>
        <w:lastRenderedPageBreak/>
        <w:t>nominating averaging periods each year, rather than nominating periods up front for all years of the regulatory period.</w:t>
      </w:r>
      <w:r>
        <w:rPr>
          <w:rStyle w:val="FootnoteReference"/>
        </w:rPr>
        <w:footnoteReference w:id="340"/>
      </w:r>
      <w:r w:rsidRPr="00E761F9">
        <w:t xml:space="preserve"> </w:t>
      </w:r>
      <w:r>
        <w:t>Jemena and ActewAGL also proposed a lag of one year in the annual debt update process.</w:t>
      </w:r>
      <w:r>
        <w:rPr>
          <w:rStyle w:val="FootnoteReference"/>
        </w:rPr>
        <w:footnoteReference w:id="341"/>
      </w:r>
      <w:r>
        <w:t xml:space="preserve"> Australian Gas Networks proposed separate averaging periods for the base rate and debt risk premium components of the return on debt.</w:t>
      </w:r>
      <w:r>
        <w:rPr>
          <w:rStyle w:val="FootnoteReference"/>
        </w:rPr>
        <w:footnoteReference w:id="342"/>
      </w:r>
      <w:r>
        <w:t xml:space="preserve"> </w:t>
      </w:r>
    </w:p>
    <w:p w:rsidR="00DE0835" w:rsidRDefault="00DE0835" w:rsidP="00DE0835">
      <w:r>
        <w:t>We did not accept these proposals. We we</w:t>
      </w:r>
      <w:r w:rsidRPr="0023546E">
        <w:t xml:space="preserve">re not satisfied that there are benefits </w:t>
      </w:r>
      <w:r>
        <w:t>from the</w:t>
      </w:r>
      <w:r w:rsidRPr="0023546E">
        <w:t>s</w:t>
      </w:r>
      <w:r>
        <w:t>e</w:t>
      </w:r>
      <w:r w:rsidRPr="0023546E">
        <w:t xml:space="preserve"> </w:t>
      </w:r>
      <w:r>
        <w:t>proposals</w:t>
      </w:r>
      <w:r w:rsidRPr="0023546E">
        <w:t xml:space="preserve"> </w:t>
      </w:r>
      <w:r>
        <w:t>that</w:t>
      </w:r>
      <w:r w:rsidRPr="0023546E">
        <w:t xml:space="preserve"> outweigh the addition</w:t>
      </w:r>
      <w:r>
        <w:t>al complexity and increased risk of introducing bias.</w:t>
      </w:r>
      <w:r w:rsidRPr="00986B6E">
        <w:t xml:space="preserve"> We </w:t>
      </w:r>
      <w:r>
        <w:t xml:space="preserve">also </w:t>
      </w:r>
      <w:r w:rsidRPr="00986B6E">
        <w:t>consider</w:t>
      </w:r>
      <w:r>
        <w:t>ed</w:t>
      </w:r>
      <w:r w:rsidRPr="00986B6E">
        <w:t xml:space="preserve"> a sufficiently simple, mechanistic process is required to meet the rules requirement for automatic updating.</w:t>
      </w:r>
      <w:r>
        <w:t xml:space="preserve"> Our reasons for our decision are in section I.5 of attachment 3 to our draft decision for AusNet Services' 2017–22 transmission determination, and they remain relevant.</w:t>
      </w:r>
    </w:p>
    <w:p w:rsidR="00DE0835" w:rsidRDefault="00DE0835" w:rsidP="00DE0835">
      <w:r w:rsidRPr="00E761F9">
        <w:t xml:space="preserve">We also received submissions from other stakeholders. For example, the CCP </w:t>
      </w:r>
      <w:r w:rsidR="0007291A">
        <w:t xml:space="preserve">members do </w:t>
      </w:r>
      <w:r w:rsidRPr="00E761F9">
        <w:t xml:space="preserve">not support the service providers' proposals to nominate an averaging period for each regulatory year just prior to that regulatory year, rather than at the start of the whole regulatory period. It considers </w:t>
      </w:r>
      <w:r>
        <w:t xml:space="preserve">that </w:t>
      </w:r>
      <w:r w:rsidRPr="00E761F9">
        <w:t>this increases the complexity and opportunities for regulatory gaming.</w:t>
      </w:r>
      <w:r w:rsidRPr="00E761F9">
        <w:rPr>
          <w:rStyle w:val="FootnoteReference"/>
        </w:rPr>
        <w:footnoteReference w:id="343"/>
      </w:r>
    </w:p>
    <w:p w:rsidR="00DE0835" w:rsidRDefault="00DE0835" w:rsidP="00DE0835">
      <w:r>
        <w:t xml:space="preserve">Some service providers also proposed </w:t>
      </w:r>
      <w:r w:rsidRPr="00986B6E">
        <w:t>depart</w:t>
      </w:r>
      <w:r>
        <w:t>ing</w:t>
      </w:r>
      <w:r w:rsidRPr="00986B6E">
        <w:t xml:space="preserve"> from the Guideline in relation to nominating averaging periods that are as close as practical to the commencement of each regulato</w:t>
      </w:r>
      <w:r>
        <w:t>ry year in a regulatory period</w:t>
      </w:r>
      <w:r w:rsidRPr="00986B6E">
        <w:t>.</w:t>
      </w:r>
      <w:r w:rsidRPr="00986B6E">
        <w:rPr>
          <w:rStyle w:val="FootnoteReference"/>
        </w:rPr>
        <w:footnoteReference w:id="344"/>
      </w:r>
      <w:r>
        <w:t xml:space="preserve"> We consider that r</w:t>
      </w:r>
      <w:r w:rsidRPr="00986B6E">
        <w:t>elaxing th</w:t>
      </w:r>
      <w:r>
        <w:t>is</w:t>
      </w:r>
      <w:r w:rsidRPr="00986B6E">
        <w:t xml:space="preserve"> Guideline condition gives service providers more flexibility in nominating averaging periods without adding significant complexity</w:t>
      </w:r>
      <w:r>
        <w:t>.</w:t>
      </w:r>
    </w:p>
    <w:p w:rsidR="00DE0835" w:rsidRPr="00DE0835" w:rsidRDefault="00DE0835" w:rsidP="00CC08B0">
      <w:r w:rsidRPr="00986B6E">
        <w:t>The Guideline approach to estimating the return on debt is significantly different to the previous approach under the old rules. Under the old rules (on-the-day approach), the return on debt was estimated once for the entire regulatory period. Therefore, the return on debt of a service provider was estimated as the prevailing return on debt as close as possible to the start of the regulatory period.</w:t>
      </w:r>
      <w:r w:rsidRPr="00DE0835">
        <w:rPr>
          <w:rStyle w:val="FootnoteReference"/>
        </w:rPr>
        <w:footnoteReference w:id="345"/>
      </w:r>
      <w:r w:rsidRPr="00DE0835">
        <w:t xml:space="preserve"> The same averaging periods was also used for both return on equity and return on debt. Under this approach, the averaging period should to be as close as practically possible to the commencement of the regulatory period. We continue to hold this position for the return on equity averaging period. However, under the new rules we have proposed and adopted a </w:t>
      </w:r>
      <w:r w:rsidRPr="00DE0835">
        <w:lastRenderedPageBreak/>
        <w:t>trailing average approach with annual updates.</w:t>
      </w:r>
      <w:r w:rsidRPr="00DE0835">
        <w:rPr>
          <w:rStyle w:val="FootnoteReference"/>
        </w:rPr>
        <w:footnoteReference w:id="346"/>
      </w:r>
      <w:r w:rsidRPr="00DE0835">
        <w:t xml:space="preserve"> This estimates the return on debt as a weighted average of the total return on debt over a period (10 years) spanning up to the start of the regulatory period (or regulatory year).</w:t>
      </w:r>
      <w:r w:rsidRPr="00DE0835">
        <w:rPr>
          <w:rStyle w:val="FootnoteReference"/>
        </w:rPr>
        <w:footnoteReference w:id="347"/>
      </w:r>
      <w:r w:rsidRPr="00DE0835">
        <w:t xml:space="preserve"> Under this approach, we consider it is less important for the debt averaging periods to be as close as practically possible to the commencement of each regulatory year in the regulatory period. This is because the return on debt is updated each year, and because a different (or potentially different) averaging period is now used for the return on equity and return on debt.</w:t>
      </w:r>
    </w:p>
    <w:p w:rsidR="006969CD" w:rsidRDefault="006969CD" w:rsidP="006969CD">
      <w:pPr>
        <w:pStyle w:val="HeadingBoldItalic"/>
      </w:pPr>
      <w:r>
        <w:t>Step-by-step guide to calculations</w:t>
      </w:r>
    </w:p>
    <w:p w:rsidR="006969CD" w:rsidRPr="00FB18DC" w:rsidRDefault="006969CD" w:rsidP="006969CD">
      <w:pPr>
        <w:numPr>
          <w:ilvl w:val="0"/>
          <w:numId w:val="25"/>
        </w:numPr>
      </w:pPr>
      <w:r w:rsidRPr="00FB18DC">
        <w:t>Below we describe the step-by-step processes of calculating:</w:t>
      </w:r>
    </w:p>
    <w:p w:rsidR="006969CD" w:rsidRPr="00FB18DC" w:rsidRDefault="006969CD" w:rsidP="006969CD">
      <w:pPr>
        <w:pStyle w:val="AERbulletlistfirststyle"/>
      </w:pPr>
      <w:r w:rsidRPr="00FB18DC">
        <w:t xml:space="preserve">the adjusted RBA estimate </w:t>
      </w:r>
    </w:p>
    <w:p w:rsidR="006969CD" w:rsidRPr="00FB18DC" w:rsidRDefault="006969CD" w:rsidP="006969CD">
      <w:pPr>
        <w:pStyle w:val="AERbulletlistfirststyle"/>
      </w:pPr>
      <w:r w:rsidRPr="00FB18DC">
        <w:t xml:space="preserve">the adjusted BVAL estimate </w:t>
      </w:r>
    </w:p>
    <w:p w:rsidR="006969CD" w:rsidRPr="00FB18DC" w:rsidRDefault="006969CD" w:rsidP="006969CD">
      <w:pPr>
        <w:pStyle w:val="AERbulletlistfirststyle"/>
      </w:pPr>
      <w:r w:rsidRPr="00FB18DC">
        <w:t>the final estimate—where we combine our implementations of the RBA estimate and the BVAL estimate.</w:t>
      </w:r>
    </w:p>
    <w:p w:rsidR="006969CD" w:rsidRDefault="006969CD" w:rsidP="006969CD">
      <w:pPr>
        <w:numPr>
          <w:ilvl w:val="0"/>
          <w:numId w:val="25"/>
        </w:numPr>
      </w:pPr>
      <w:r w:rsidRPr="00FB18DC">
        <w:t>These formula steps relate to the approach specified in this decision</w:t>
      </w:r>
      <w:r>
        <w:t xml:space="preserve">, and the averaging periods determined in confidential appendix </w:t>
      </w:r>
      <w:r>
        <w:fldChar w:fldCharType="begin"/>
      </w:r>
      <w:r>
        <w:instrText xml:space="preserve"> REF _Ref457824593 \r \h </w:instrText>
      </w:r>
      <w:r>
        <w:fldChar w:fldCharType="separate"/>
      </w:r>
      <w:r w:rsidR="00691B4D">
        <w:t>D</w:t>
      </w:r>
      <w:r>
        <w:fldChar w:fldCharType="end"/>
      </w:r>
      <w:r w:rsidRPr="00FB18DC">
        <w:t xml:space="preserve">. In the event that data availability changes during the regulatory period, the formulas below will change to reflect the contingencies set out in </w:t>
      </w:r>
      <w:r w:rsidR="00EA60E7">
        <w:t xml:space="preserve">the 'Contingencies' </w:t>
      </w:r>
      <w:r w:rsidRPr="00FB18DC">
        <w:t>section</w:t>
      </w:r>
      <w:r w:rsidR="00EA60E7">
        <w:t xml:space="preserve"> below</w:t>
      </w:r>
      <w:r w:rsidRPr="00FB18DC">
        <w:t>.</w:t>
      </w:r>
    </w:p>
    <w:p w:rsidR="006969CD" w:rsidRPr="00FB18DC" w:rsidRDefault="006969CD" w:rsidP="006969CD">
      <w:pPr>
        <w:numPr>
          <w:ilvl w:val="0"/>
          <w:numId w:val="25"/>
        </w:numPr>
      </w:pPr>
      <w:r w:rsidRPr="00352B6E">
        <w:t xml:space="preserve">For the purposes of calculating the return on debt, a 'business day' is a day that is not a Saturday or Sunday and not a national or </w:t>
      </w:r>
      <w:r>
        <w:t>New South Wales</w:t>
      </w:r>
      <w:r w:rsidRPr="00352B6E">
        <w:t xml:space="preserve"> public holiday. This is because the independent data service providers (RBA and Bloomberg) do not publish data on national or </w:t>
      </w:r>
      <w:r>
        <w:t>New South Wales</w:t>
      </w:r>
      <w:r w:rsidRPr="00352B6E">
        <w:t xml:space="preserve"> public holidays.</w:t>
      </w:r>
    </w:p>
    <w:p w:rsidR="006969CD" w:rsidRPr="00FB18DC" w:rsidRDefault="006969CD" w:rsidP="006969CD">
      <w:pPr>
        <w:numPr>
          <w:ilvl w:val="0"/>
          <w:numId w:val="25"/>
        </w:numPr>
        <w:rPr>
          <w:rStyle w:val="AERtextitalic"/>
        </w:rPr>
      </w:pPr>
      <w:r w:rsidRPr="00FB18DC">
        <w:rPr>
          <w:rStyle w:val="AERtextitalic"/>
        </w:rPr>
        <w:t>Calculation of the adjusted RBA estimate</w:t>
      </w:r>
    </w:p>
    <w:p w:rsidR="006969CD" w:rsidRPr="00FB18DC" w:rsidRDefault="006969CD" w:rsidP="006969CD">
      <w:pPr>
        <w:numPr>
          <w:ilvl w:val="1"/>
          <w:numId w:val="25"/>
        </w:numPr>
      </w:pPr>
      <w:r w:rsidRPr="00FB18DC">
        <w:t>Download RBA table F3—'Aggregate measures of Australian corporate bond yields' from the RBA website.</w:t>
      </w:r>
    </w:p>
    <w:p w:rsidR="006969CD" w:rsidRPr="00FB18DC" w:rsidRDefault="006969CD" w:rsidP="006969CD">
      <w:pPr>
        <w:numPr>
          <w:ilvl w:val="1"/>
          <w:numId w:val="25"/>
        </w:numPr>
      </w:pPr>
      <w:r w:rsidRPr="00FB18DC">
        <w:t>From this file, download the 7 and 10 year 'Non-financial corporate BBB-rated bonds—Yield' entries for dates:</w:t>
      </w:r>
    </w:p>
    <w:p w:rsidR="006969CD" w:rsidRPr="00FB18DC" w:rsidRDefault="006969CD" w:rsidP="006969CD">
      <w:pPr>
        <w:numPr>
          <w:ilvl w:val="2"/>
          <w:numId w:val="25"/>
        </w:numPr>
      </w:pPr>
      <w:r w:rsidRPr="00FB18DC">
        <w:t xml:space="preserve">from the most recent published RBA date prior to the commencement of the </w:t>
      </w:r>
      <w:r>
        <w:t>relevant</w:t>
      </w:r>
      <w:r w:rsidRPr="00FB18DC">
        <w:t xml:space="preserve"> averaging period for debt</w:t>
      </w:r>
    </w:p>
    <w:p w:rsidR="006969CD" w:rsidRPr="00FB18DC" w:rsidRDefault="006969CD" w:rsidP="006969CD">
      <w:pPr>
        <w:numPr>
          <w:ilvl w:val="2"/>
          <w:numId w:val="25"/>
        </w:numPr>
      </w:pPr>
      <w:r w:rsidRPr="00FB18DC">
        <w:t xml:space="preserve">to the first published RBA date following the conclusion of the </w:t>
      </w:r>
      <w:r>
        <w:t>relevant</w:t>
      </w:r>
      <w:r w:rsidRPr="00FB18DC">
        <w:t xml:space="preserve"> averaging period for debt</w:t>
      </w:r>
    </w:p>
    <w:p w:rsidR="006969CD" w:rsidRPr="00FB18DC" w:rsidRDefault="006969CD" w:rsidP="006969CD">
      <w:pPr>
        <w:numPr>
          <w:ilvl w:val="2"/>
          <w:numId w:val="25"/>
        </w:numPr>
      </w:pPr>
      <w:r w:rsidRPr="00FB18DC">
        <w:t>all published dates between a. and b.</w:t>
      </w:r>
    </w:p>
    <w:p w:rsidR="006969CD" w:rsidRPr="00FB18DC" w:rsidRDefault="006969CD" w:rsidP="006969CD">
      <w:pPr>
        <w:numPr>
          <w:ilvl w:val="1"/>
          <w:numId w:val="25"/>
        </w:numPr>
      </w:pPr>
      <w:r w:rsidRPr="00FB18DC">
        <w:lastRenderedPageBreak/>
        <w:t xml:space="preserve">Download, from RBA table F16—'Indicative Mid Rates of </w:t>
      </w:r>
      <w:r>
        <w:t>Australian</w:t>
      </w:r>
      <w:r w:rsidRPr="00FB18DC">
        <w:t xml:space="preserve"> Government Securities - 2013 to Current', daily yields on </w:t>
      </w:r>
      <w:r w:rsidR="004C7926">
        <w:t>Australian Government securities</w:t>
      </w:r>
      <w:r w:rsidRPr="00FB18DC">
        <w:t xml:space="preserve"> for dates within the </w:t>
      </w:r>
      <w:r>
        <w:t>relevant</w:t>
      </w:r>
      <w:r w:rsidRPr="00FB18DC">
        <w:t xml:space="preserve"> averaging period. </w:t>
      </w:r>
    </w:p>
    <w:p w:rsidR="006969CD" w:rsidRPr="00FB18DC" w:rsidRDefault="006969CD" w:rsidP="006969CD">
      <w:pPr>
        <w:numPr>
          <w:ilvl w:val="1"/>
          <w:numId w:val="25"/>
        </w:numPr>
      </w:pPr>
      <w:r w:rsidRPr="00FB18DC">
        <w:t>Linearly interpolate between the two nearest bonds straddling 7 years remaining term to maturity,</w:t>
      </w:r>
      <w:r w:rsidRPr="00FB18DC">
        <w:rPr>
          <w:rStyle w:val="AERsuperscript"/>
        </w:rPr>
        <w:footnoteReference w:id="348"/>
      </w:r>
      <w:r w:rsidRPr="00FB18DC">
        <w:t xml:space="preserve"> and the two nearest </w:t>
      </w:r>
      <w:r w:rsidR="004C7926">
        <w:t>Australian Government</w:t>
      </w:r>
      <w:r w:rsidRPr="00FB18DC">
        <w:t xml:space="preserve"> </w:t>
      </w:r>
      <w:r w:rsidR="004C7926">
        <w:t>securities (</w:t>
      </w:r>
      <w:r w:rsidRPr="00FB18DC">
        <w:t>bonds</w:t>
      </w:r>
      <w:r w:rsidR="004C7926">
        <w:t>)</w:t>
      </w:r>
      <w:r w:rsidRPr="00FB18DC">
        <w:t xml:space="preserve"> straddling 10 years remaining term to maturity. This should be done using the following formula:</w:t>
      </w:r>
      <w:r w:rsidRPr="00FB18DC">
        <w:rPr>
          <w:rStyle w:val="AERsuperscript"/>
        </w:rPr>
        <w:footnoteReference w:id="349"/>
      </w:r>
    </w:p>
    <w:p w:rsidR="006969CD" w:rsidRPr="00FB18DC" w:rsidRDefault="006969CD" w:rsidP="006969CD">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6969CD" w:rsidRPr="00FB18DC" w:rsidRDefault="006969CD" w:rsidP="006969CD">
      <w:pPr>
        <w:numPr>
          <w:ilvl w:val="1"/>
          <w:numId w:val="25"/>
        </w:numPr>
      </w:pPr>
      <w:r w:rsidRPr="00FB18DC">
        <w:t>Linearly extrapolate the published RBA 10 year yield (from step 2) from its published effective term to an effective term of 10 years using the formula below:</w:t>
      </w:r>
      <w:r w:rsidRPr="00FB18DC">
        <w:rPr>
          <w:rStyle w:val="AERsuperscript"/>
        </w:rPr>
        <w:footnoteReference w:id="350"/>
      </w:r>
    </w:p>
    <w:p w:rsidR="006969CD" w:rsidRPr="00FB18DC" w:rsidRDefault="006969CD" w:rsidP="006969CD">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6969CD" w:rsidRPr="00FB18DC" w:rsidRDefault="006969CD" w:rsidP="006969CD">
      <w:pPr>
        <w:numPr>
          <w:ilvl w:val="1"/>
          <w:numId w:val="25"/>
        </w:numPr>
      </w:pPr>
      <w:r w:rsidRPr="00FB18DC">
        <w:t>Linearly extrapolate the published RBA 7 year yield (from step 2) from its published effective term to an effective term of 7 years using the formula below:</w:t>
      </w:r>
      <w:r w:rsidRPr="00FB18DC">
        <w:rPr>
          <w:rStyle w:val="AERsuperscript"/>
        </w:rPr>
        <w:footnoteReference w:id="351"/>
      </w:r>
    </w:p>
    <w:p w:rsidR="006969CD" w:rsidRPr="00FB18DC" w:rsidRDefault="006969CD" w:rsidP="006969CD">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6969CD" w:rsidRPr="00FB18DC" w:rsidRDefault="006969CD" w:rsidP="006969CD">
      <w:pPr>
        <w:numPr>
          <w:ilvl w:val="1"/>
          <w:numId w:val="25"/>
        </w:numPr>
      </w:pPr>
      <w:r w:rsidRPr="00FB18DC">
        <w:t xml:space="preserve">Subtract from the extrapolated 10 year RBA yield on each publication date the interpolated </w:t>
      </w:r>
      <w:r w:rsidR="004C7926">
        <w:t>Australian Government security</w:t>
      </w:r>
      <w:r w:rsidRPr="00FB18DC">
        <w:t xml:space="preserve"> yield on that date. For the 10 year term, use the RBA series as adjusted in step 5. These are the adjusted RBA 10 year spreads.</w:t>
      </w:r>
      <w:r w:rsidRPr="00FB18DC">
        <w:rPr>
          <w:rStyle w:val="AERsuperscript"/>
        </w:rPr>
        <w:footnoteReference w:id="352"/>
      </w:r>
    </w:p>
    <w:p w:rsidR="006969CD" w:rsidRPr="00FB18DC" w:rsidRDefault="006969CD" w:rsidP="006969CD">
      <w:pPr>
        <w:numPr>
          <w:ilvl w:val="1"/>
          <w:numId w:val="25"/>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6969CD" w:rsidRPr="00FB18DC" w:rsidRDefault="006969CD" w:rsidP="006969CD">
      <w:pPr>
        <w:pStyle w:val="AERquote"/>
      </w:pPr>
      <w:r w:rsidRPr="00FB18DC">
        <w:lastRenderedPageBreak/>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6969CD" w:rsidRPr="00FB18DC" w:rsidRDefault="006969CD" w:rsidP="006969CD">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6969CD" w:rsidRPr="00FB18DC" w:rsidRDefault="006969CD" w:rsidP="006969CD">
      <w:pPr>
        <w:numPr>
          <w:ilvl w:val="1"/>
          <w:numId w:val="25"/>
        </w:numPr>
      </w:pPr>
      <w:r w:rsidRPr="00FB18DC">
        <w:t xml:space="preserve">Add to these daily spreads (from step 8), daily interpolated estimates of the </w:t>
      </w:r>
      <w:r w:rsidR="004C7926">
        <w:t>Australian Government securities</w:t>
      </w:r>
      <w:r w:rsidRPr="00FB18DC">
        <w:t xml:space="preserve"> (from step 4) for all business days in the </w:t>
      </w:r>
      <w:r>
        <w:t>relevant</w:t>
      </w:r>
      <w:r w:rsidRPr="00FB18DC">
        <w:t xml:space="preserve"> averaging period. Specifically:</w:t>
      </w:r>
    </w:p>
    <w:p w:rsidR="006969CD" w:rsidRPr="00FB18DC" w:rsidRDefault="006969CD" w:rsidP="006969CD">
      <w:pPr>
        <w:numPr>
          <w:ilvl w:val="2"/>
          <w:numId w:val="25"/>
        </w:numPr>
      </w:pPr>
      <w:r w:rsidRPr="00FB18DC">
        <w:t xml:space="preserve">add the 7 year interpolated </w:t>
      </w:r>
      <w:r w:rsidR="004C7926">
        <w:t>Australian Government securities</w:t>
      </w:r>
      <w:r w:rsidRPr="00FB18DC">
        <w:t xml:space="preserve"> estimates to the 7 year interpolated RBA spreads. These are the interpolated RBA daily 7-year yield estimates.</w:t>
      </w:r>
    </w:p>
    <w:p w:rsidR="006969CD" w:rsidRPr="00FB18DC" w:rsidRDefault="006969CD" w:rsidP="006969CD">
      <w:pPr>
        <w:numPr>
          <w:ilvl w:val="2"/>
          <w:numId w:val="25"/>
        </w:numPr>
      </w:pPr>
      <w:r w:rsidRPr="00FB18DC">
        <w:t xml:space="preserve">add the 10 year interpolated </w:t>
      </w:r>
      <w:r w:rsidR="004C7926">
        <w:t>Australian Government securities</w:t>
      </w:r>
      <w:r w:rsidRPr="00FB18DC">
        <w:t xml:space="preserve"> estimate to the 10 year interpolated RBA spread. These are the interpolated RBA daily 10-year yield estimates.</w:t>
      </w:r>
    </w:p>
    <w:p w:rsidR="006969CD" w:rsidRPr="00FB18DC" w:rsidRDefault="006969CD" w:rsidP="006969CD">
      <w:pPr>
        <w:numPr>
          <w:ilvl w:val="1"/>
          <w:numId w:val="25"/>
        </w:numPr>
      </w:pPr>
      <w:r w:rsidRPr="00FB18DC">
        <w:t>Convert the interpolated daily yield estimates (from step 9) to effective annual rates, using the formula:</w:t>
      </w:r>
      <w:r w:rsidRPr="004842DA">
        <w:rPr>
          <w:rStyle w:val="AERsuperscript"/>
        </w:rPr>
        <w:footnoteReference w:id="353"/>
      </w:r>
    </w:p>
    <w:p w:rsidR="006969CD" w:rsidRPr="00FB18DC" w:rsidRDefault="006969CD" w:rsidP="006969CD">
      <w:pPr>
        <w:pStyle w:val="AERquote"/>
      </w:pPr>
      <w:r w:rsidRPr="00FB18DC">
        <w:t>effective annual rate = ((1 + yield / 200)</w:t>
      </w:r>
      <w:r w:rsidRPr="00FB18DC">
        <w:rPr>
          <w:rStyle w:val="AERsuperscript"/>
        </w:rPr>
        <w:t>2</w:t>
      </w:r>
      <w:r w:rsidRPr="00FB18DC">
        <w:t xml:space="preserve"> - 1)*100</w:t>
      </w:r>
    </w:p>
    <w:p w:rsidR="006969CD" w:rsidRPr="00FB18DC" w:rsidRDefault="006969CD" w:rsidP="006969CD">
      <w:pPr>
        <w:numPr>
          <w:ilvl w:val="1"/>
          <w:numId w:val="25"/>
        </w:numPr>
      </w:pPr>
      <w:r w:rsidRPr="00FB18DC">
        <w:t xml:space="preserve">Average the yield estimate for the 10 year RBA yield estimate over all business days in </w:t>
      </w:r>
      <w:r>
        <w:t>the relevant</w:t>
      </w:r>
      <w:r w:rsidRPr="00FB18DC">
        <w:t xml:space="preserve"> averaging period. This is our adjusted RBA estimate.</w:t>
      </w:r>
    </w:p>
    <w:p w:rsidR="006969CD" w:rsidRPr="00FB18DC" w:rsidRDefault="006969CD" w:rsidP="006969CD">
      <w:pPr>
        <w:numPr>
          <w:ilvl w:val="0"/>
          <w:numId w:val="25"/>
        </w:numPr>
        <w:rPr>
          <w:rStyle w:val="AERtextitalic"/>
        </w:rPr>
      </w:pPr>
      <w:r w:rsidRPr="00FB18DC">
        <w:rPr>
          <w:rStyle w:val="AERtextitalic"/>
        </w:rPr>
        <w:t>Calculation of the adjusted BVAL estimate</w:t>
      </w:r>
    </w:p>
    <w:p w:rsidR="006969CD" w:rsidRPr="00FB18DC" w:rsidRDefault="006969CD" w:rsidP="006969CD">
      <w:pPr>
        <w:numPr>
          <w:ilvl w:val="1"/>
          <w:numId w:val="25"/>
        </w:numPr>
      </w:pPr>
      <w:r w:rsidRPr="00FB18DC">
        <w:t>For dates after 14 April 2015, download the 10 year Corporate BBB rated Australian BVAL curve (BVC</w:t>
      </w:r>
      <w:r>
        <w:t>S</w:t>
      </w:r>
      <w:r w:rsidRPr="00FB18DC">
        <w:t>AB10).</w:t>
      </w:r>
      <w:r>
        <w:rPr>
          <w:rStyle w:val="FootnoteReference"/>
        </w:rPr>
        <w:footnoteReference w:id="354"/>
      </w:r>
      <w:r w:rsidRPr="00FB18DC">
        <w:t xml:space="preserve"> </w:t>
      </w:r>
    </w:p>
    <w:p w:rsidR="006969CD" w:rsidRPr="00FB18DC" w:rsidRDefault="006969CD" w:rsidP="006969CD">
      <w:pPr>
        <w:numPr>
          <w:ilvl w:val="1"/>
          <w:numId w:val="25"/>
        </w:numPr>
      </w:pPr>
      <w:r>
        <w:t>C</w:t>
      </w:r>
      <w:r w:rsidRPr="00FB18DC">
        <w:t xml:space="preserve">onvert the 10 year yields into effective annual rates, using the formula: </w:t>
      </w:r>
    </w:p>
    <w:p w:rsidR="006969CD" w:rsidRPr="00FB18DC" w:rsidRDefault="006969CD" w:rsidP="006969CD">
      <w:pPr>
        <w:pStyle w:val="AERquote"/>
      </w:pPr>
      <w:r w:rsidRPr="00FB18DC">
        <w:t>effective annual rate = ((1 + yield / 200 )</w:t>
      </w:r>
      <w:r w:rsidRPr="00FB18DC">
        <w:rPr>
          <w:rStyle w:val="AERsuperscript"/>
        </w:rPr>
        <w:t>2</w:t>
      </w:r>
      <w:r w:rsidRPr="00FB18DC">
        <w:t xml:space="preserve"> - 1)*100</w:t>
      </w:r>
    </w:p>
    <w:p w:rsidR="006969CD" w:rsidRPr="00FB18DC" w:rsidRDefault="006969CD" w:rsidP="006969CD">
      <w:pPr>
        <w:numPr>
          <w:ilvl w:val="1"/>
          <w:numId w:val="25"/>
        </w:numPr>
      </w:pPr>
      <w:r w:rsidRPr="00FB18DC">
        <w:t xml:space="preserve">Average the extrapolated daily estimates of the BVAL 10 year yield over all business days in the </w:t>
      </w:r>
      <w:r>
        <w:t>relevant</w:t>
      </w:r>
      <w:r w:rsidRPr="00FB18DC">
        <w:t xml:space="preserve"> averaging period. This is our adjusted BVAL estimate.</w:t>
      </w:r>
    </w:p>
    <w:p w:rsidR="006969CD" w:rsidRPr="00FB18DC" w:rsidRDefault="006969CD" w:rsidP="006969CD">
      <w:pPr>
        <w:numPr>
          <w:ilvl w:val="0"/>
          <w:numId w:val="25"/>
        </w:numPr>
        <w:rPr>
          <w:rStyle w:val="AERtextitalic"/>
        </w:rPr>
      </w:pPr>
      <w:r w:rsidRPr="00FB18DC">
        <w:rPr>
          <w:rStyle w:val="AERtextitalic"/>
        </w:rPr>
        <w:lastRenderedPageBreak/>
        <w:t>Final estimate</w:t>
      </w:r>
    </w:p>
    <w:p w:rsidR="006969CD" w:rsidRPr="00FB18DC" w:rsidRDefault="006969CD" w:rsidP="006969CD">
      <w:pPr>
        <w:numPr>
          <w:ilvl w:val="0"/>
          <w:numId w:val="25"/>
        </w:numPr>
      </w:pPr>
      <w:r w:rsidRPr="00FB18DC">
        <w:t>Take the simple average of the adjusted RBA estimate (from step 11 in the RBA data section) and the adjusted BVAL estimate (from step 4 in the BVAL data section). This is the annual estimate of the return on debt.</w:t>
      </w:r>
    </w:p>
    <w:p w:rsidR="00E6234D" w:rsidRPr="00E761F9" w:rsidRDefault="005964E0" w:rsidP="00E6234D">
      <w:pPr>
        <w:pStyle w:val="HeadingBoldItalic"/>
      </w:pPr>
      <w:r>
        <w:t>Timing of a</w:t>
      </w:r>
      <w:r w:rsidR="00E6234D" w:rsidRPr="00E761F9">
        <w:t xml:space="preserve">nnual debt updates </w:t>
      </w:r>
    </w:p>
    <w:p w:rsidR="006969CD" w:rsidRPr="00FB18DC" w:rsidRDefault="006969CD" w:rsidP="006969CD">
      <w:pPr>
        <w:pStyle w:val="ListParagraph"/>
        <w:numPr>
          <w:ilvl w:val="0"/>
          <w:numId w:val="25"/>
        </w:numPr>
      </w:pPr>
      <w:r w:rsidRPr="00FB18DC">
        <w:t xml:space="preserve">Our </w:t>
      </w:r>
      <w:r>
        <w:t xml:space="preserve">draft </w:t>
      </w:r>
      <w:r w:rsidRPr="00FB18DC">
        <w:t xml:space="preserve">decision </w:t>
      </w:r>
      <w:r>
        <w:t xml:space="preserve">is to </w:t>
      </w:r>
      <w:r w:rsidRPr="004F2787">
        <w:t xml:space="preserve">complete our annual update debt process by </w:t>
      </w:r>
      <w:r w:rsidRPr="00616FA2">
        <w:t xml:space="preserve">25 business days </w:t>
      </w:r>
      <w:r w:rsidRPr="00337551">
        <w:t xml:space="preserve">before </w:t>
      </w:r>
      <w:r w:rsidR="004A3847">
        <w:t>TasNetworks submits its pricing proposal to us</w:t>
      </w:r>
      <w:r>
        <w:t xml:space="preserve">. This will allow </w:t>
      </w:r>
      <w:r w:rsidR="004A3847">
        <w:t xml:space="preserve">TasNetworks </w:t>
      </w:r>
      <w:r>
        <w:t>to finalise</w:t>
      </w:r>
      <w:r w:rsidRPr="004F2787">
        <w:t xml:space="preserve"> </w:t>
      </w:r>
      <w:r w:rsidR="004A3847">
        <w:t>its pricing proposal</w:t>
      </w:r>
      <w:r>
        <w:t>. Additionally, we consider this is consistent with the period for notifying other service providers of their updated</w:t>
      </w:r>
      <w:r w:rsidRPr="000E04F3">
        <w:t xml:space="preserve"> </w:t>
      </w:r>
      <w:r>
        <w:t xml:space="preserve">return on </w:t>
      </w:r>
      <w:r w:rsidRPr="000E04F3">
        <w:t>debt allowance</w:t>
      </w:r>
      <w:r>
        <w:t xml:space="preserve"> prior to the start of the regulatory year. </w:t>
      </w:r>
    </w:p>
    <w:p w:rsidR="006969CD" w:rsidRPr="00FB18DC" w:rsidRDefault="006969CD" w:rsidP="006969CD">
      <w:pPr>
        <w:numPr>
          <w:ilvl w:val="0"/>
          <w:numId w:val="25"/>
        </w:numPr>
      </w:pPr>
      <w:r>
        <w:t xml:space="preserve">The general </w:t>
      </w:r>
      <w:r w:rsidRPr="004057C7">
        <w:t xml:space="preserve">process </w:t>
      </w:r>
      <w:r>
        <w:t>we propose to adopt for the annual debt update</w:t>
      </w:r>
      <w:r w:rsidRPr="004057C7">
        <w:t xml:space="preserve"> </w:t>
      </w:r>
      <w:r>
        <w:t>f</w:t>
      </w:r>
      <w:r w:rsidRPr="004057C7">
        <w:t>or</w:t>
      </w:r>
      <w:r>
        <w:t xml:space="preserve"> </w:t>
      </w:r>
      <w:r w:rsidR="004A3847">
        <w:t xml:space="preserve">TasNetworks </w:t>
      </w:r>
      <w:r>
        <w:t>is set out in</w:t>
      </w:r>
      <w:r w:rsidR="00F64291">
        <w:t xml:space="preserve"> </w:t>
      </w:r>
      <w:r w:rsidR="00F64291">
        <w:fldChar w:fldCharType="begin"/>
      </w:r>
      <w:r w:rsidR="00F64291">
        <w:instrText xml:space="preserve"> REF _Ref457899138 \h </w:instrText>
      </w:r>
      <w:r w:rsidR="00F64291">
        <w:fldChar w:fldCharType="separate"/>
      </w:r>
      <w:r w:rsidR="00691B4D">
        <w:t xml:space="preserve">Table </w:t>
      </w:r>
      <w:r w:rsidR="00691B4D">
        <w:rPr>
          <w:noProof/>
        </w:rPr>
        <w:t>3</w:t>
      </w:r>
      <w:r w:rsidR="00691B4D">
        <w:noBreakHyphen/>
      </w:r>
      <w:r w:rsidR="00691B4D">
        <w:rPr>
          <w:noProof/>
        </w:rPr>
        <w:t>12</w:t>
      </w:r>
      <w:r w:rsidR="00F64291">
        <w:fldChar w:fldCharType="end"/>
      </w:r>
      <w:r w:rsidRPr="00FB18DC">
        <w:t xml:space="preserve">. </w:t>
      </w:r>
    </w:p>
    <w:p w:rsidR="006969CD" w:rsidRPr="004057C7" w:rsidRDefault="006969CD" w:rsidP="006969CD">
      <w:pPr>
        <w:pStyle w:val="Caption"/>
      </w:pPr>
      <w:bookmarkStart w:id="95" w:name="_Ref457899138"/>
      <w:r>
        <w:t xml:space="preserve">Table </w:t>
      </w:r>
      <w:r w:rsidRPr="00ED10CB">
        <w:fldChar w:fldCharType="begin"/>
      </w:r>
      <w:r>
        <w:instrText xml:space="preserve"> STYLEREF 1 \s </w:instrText>
      </w:r>
      <w:r w:rsidRPr="00ED10CB">
        <w:fldChar w:fldCharType="separate"/>
      </w:r>
      <w:r w:rsidR="00691B4D">
        <w:rPr>
          <w:noProof/>
        </w:rPr>
        <w:t>3</w:t>
      </w:r>
      <w:r w:rsidRPr="00ED10CB">
        <w:fldChar w:fldCharType="end"/>
      </w:r>
      <w:r>
        <w:noBreakHyphen/>
      </w:r>
      <w:r w:rsidRPr="00ED10CB">
        <w:fldChar w:fldCharType="begin"/>
      </w:r>
      <w:r>
        <w:instrText xml:space="preserve"> SEQ Table \* ARABIC \s 1 </w:instrText>
      </w:r>
      <w:r w:rsidRPr="00ED10CB">
        <w:fldChar w:fldCharType="separate"/>
      </w:r>
      <w:r w:rsidR="00691B4D">
        <w:rPr>
          <w:noProof/>
        </w:rPr>
        <w:t>12</w:t>
      </w:r>
      <w:r w:rsidRPr="00ED10CB">
        <w:fldChar w:fldCharType="end"/>
      </w:r>
      <w:bookmarkEnd w:id="95"/>
      <w:r w:rsidRPr="00FB18DC">
        <w:tab/>
        <w:t xml:space="preserve">Annual </w:t>
      </w:r>
      <w:r w:rsidR="004A3847">
        <w:t>distribution</w:t>
      </w:r>
      <w:r w:rsidR="004A3847" w:rsidRPr="00FB18DC">
        <w:t xml:space="preserve"> </w:t>
      </w:r>
      <w:r>
        <w:t>debt update process</w:t>
      </w:r>
    </w:p>
    <w:tbl>
      <w:tblPr>
        <w:tblStyle w:val="AERtable-text0"/>
        <w:tblW w:w="5000" w:type="pct"/>
        <w:tblLook w:val="04A0" w:firstRow="1" w:lastRow="0" w:firstColumn="1" w:lastColumn="0" w:noHBand="0" w:noVBand="1"/>
      </w:tblPr>
      <w:tblGrid>
        <w:gridCol w:w="650"/>
        <w:gridCol w:w="2144"/>
        <w:gridCol w:w="2655"/>
        <w:gridCol w:w="3244"/>
      </w:tblGrid>
      <w:tr w:rsidR="006969CD" w:rsidRPr="00616FA2" w:rsidTr="00CC08B0">
        <w:trPr>
          <w:cnfStyle w:val="100000000000" w:firstRow="1" w:lastRow="0" w:firstColumn="0" w:lastColumn="0" w:oddVBand="0" w:evenVBand="0" w:oddHBand="0" w:evenHBand="0" w:firstRowFirstColumn="0" w:firstRowLastColumn="0" w:lastRowFirstColumn="0" w:lastRowLastColumn="0"/>
        </w:trPr>
        <w:tc>
          <w:tcPr>
            <w:tcW w:w="374" w:type="pct"/>
          </w:tcPr>
          <w:p w:rsidR="006969CD" w:rsidRPr="006969CD" w:rsidRDefault="006969CD" w:rsidP="006969CD">
            <w:pPr>
              <w:pStyle w:val="AERtabletextleft"/>
            </w:pPr>
            <w:r w:rsidRPr="00616FA2">
              <w:t>Step</w:t>
            </w:r>
          </w:p>
        </w:tc>
        <w:tc>
          <w:tcPr>
            <w:tcW w:w="1233" w:type="pct"/>
          </w:tcPr>
          <w:p w:rsidR="006969CD" w:rsidRPr="006969CD" w:rsidRDefault="006969CD" w:rsidP="006969CD">
            <w:pPr>
              <w:pStyle w:val="AERtabletextleft"/>
            </w:pPr>
            <w:r w:rsidRPr="00616FA2">
              <w:t>Timing</w:t>
            </w:r>
          </w:p>
        </w:tc>
        <w:tc>
          <w:tcPr>
            <w:tcW w:w="1527" w:type="pct"/>
          </w:tcPr>
          <w:p w:rsidR="006969CD" w:rsidRPr="006969CD" w:rsidRDefault="006969CD" w:rsidP="006969CD">
            <w:pPr>
              <w:pStyle w:val="AERtabletextleft"/>
            </w:pPr>
            <w:r w:rsidRPr="00616FA2">
              <w:t>Description of step</w:t>
            </w:r>
          </w:p>
        </w:tc>
        <w:tc>
          <w:tcPr>
            <w:tcW w:w="1866" w:type="pct"/>
          </w:tcPr>
          <w:p w:rsidR="006969CD" w:rsidRPr="006969CD" w:rsidRDefault="006969CD" w:rsidP="006969CD">
            <w:pPr>
              <w:pStyle w:val="AERtabletextleft"/>
            </w:pPr>
            <w:r w:rsidRPr="00616FA2">
              <w:t>Reasons for timing</w:t>
            </w:r>
          </w:p>
        </w:tc>
      </w:tr>
      <w:tr w:rsidR="006969CD" w:rsidRPr="00616FA2" w:rsidTr="00CC08B0">
        <w:tc>
          <w:tcPr>
            <w:tcW w:w="374" w:type="pct"/>
          </w:tcPr>
          <w:p w:rsidR="006969CD" w:rsidRPr="006969CD" w:rsidRDefault="006969CD" w:rsidP="006969CD">
            <w:pPr>
              <w:pStyle w:val="AERtabletextleft"/>
            </w:pPr>
            <w:r w:rsidRPr="00616FA2">
              <w:t>1</w:t>
            </w:r>
          </w:p>
        </w:tc>
        <w:tc>
          <w:tcPr>
            <w:tcW w:w="1233" w:type="pct"/>
          </w:tcPr>
          <w:p w:rsidR="006969CD" w:rsidRPr="006969CD" w:rsidRDefault="006969CD" w:rsidP="004A3847">
            <w:pPr>
              <w:pStyle w:val="AERtabletextleft"/>
            </w:pPr>
            <w:r w:rsidRPr="00616FA2">
              <w:t xml:space="preserve">25 business days </w:t>
            </w:r>
            <w:r w:rsidRPr="006969CD">
              <w:t xml:space="preserve">before </w:t>
            </w:r>
            <w:r w:rsidR="004A3847">
              <w:t>pricing proposal is submitted to us</w:t>
            </w:r>
            <w:r w:rsidRPr="006969CD">
              <w:t>.</w:t>
            </w:r>
          </w:p>
        </w:tc>
        <w:tc>
          <w:tcPr>
            <w:tcW w:w="1527" w:type="pct"/>
          </w:tcPr>
          <w:p w:rsidR="006969CD" w:rsidRPr="006969CD" w:rsidRDefault="006969CD" w:rsidP="006969CD">
            <w:pPr>
              <w:pStyle w:val="AERtabletextleft"/>
            </w:pPr>
            <w:r w:rsidRPr="00616FA2">
              <w:t xml:space="preserve">Averaging period </w:t>
            </w:r>
            <w:r w:rsidRPr="006969CD">
              <w:t>ends on or before this date</w:t>
            </w:r>
          </w:p>
        </w:tc>
        <w:tc>
          <w:tcPr>
            <w:tcW w:w="1866" w:type="pct"/>
          </w:tcPr>
          <w:p w:rsidR="006969CD" w:rsidRPr="006969CD" w:rsidRDefault="006969CD" w:rsidP="006969CD">
            <w:pPr>
              <w:pStyle w:val="AERtabletextleft"/>
            </w:pPr>
            <w:r w:rsidRPr="00616FA2">
              <w:t>We determine the maximum practical end date of the averaging period from the timing of steps 2 and 3.</w:t>
            </w:r>
          </w:p>
        </w:tc>
      </w:tr>
      <w:tr w:rsidR="006969CD" w:rsidRPr="00616FA2" w:rsidTr="00CC08B0">
        <w:trPr>
          <w:cnfStyle w:val="000000010000" w:firstRow="0" w:lastRow="0" w:firstColumn="0" w:lastColumn="0" w:oddVBand="0" w:evenVBand="0" w:oddHBand="0" w:evenHBand="1" w:firstRowFirstColumn="0" w:firstRowLastColumn="0" w:lastRowFirstColumn="0" w:lastRowLastColumn="0"/>
        </w:trPr>
        <w:tc>
          <w:tcPr>
            <w:tcW w:w="374" w:type="pct"/>
          </w:tcPr>
          <w:p w:rsidR="006969CD" w:rsidRPr="006969CD" w:rsidRDefault="006969CD" w:rsidP="006969CD">
            <w:pPr>
              <w:pStyle w:val="AERtabletextleft"/>
            </w:pPr>
            <w:r w:rsidRPr="00616FA2">
              <w:t>2</w:t>
            </w:r>
          </w:p>
        </w:tc>
        <w:tc>
          <w:tcPr>
            <w:tcW w:w="1233" w:type="pct"/>
          </w:tcPr>
          <w:p w:rsidR="006969CD" w:rsidRPr="006969CD" w:rsidRDefault="006969CD" w:rsidP="004A3847">
            <w:pPr>
              <w:pStyle w:val="AERtabletextleft"/>
            </w:pPr>
            <w:r w:rsidRPr="00616FA2">
              <w:t xml:space="preserve">10 business days before </w:t>
            </w:r>
            <w:r w:rsidR="004A3847">
              <w:t>pricing proposal is submitted to us</w:t>
            </w:r>
            <w:r w:rsidRPr="006969CD">
              <w:t>.</w:t>
            </w:r>
          </w:p>
        </w:tc>
        <w:tc>
          <w:tcPr>
            <w:tcW w:w="1527" w:type="pct"/>
          </w:tcPr>
          <w:p w:rsidR="006969CD" w:rsidRPr="006969CD" w:rsidRDefault="006969CD" w:rsidP="004A3847">
            <w:pPr>
              <w:pStyle w:val="AERtabletextleft"/>
            </w:pPr>
            <w:r w:rsidRPr="00616FA2">
              <w:t xml:space="preserve">So </w:t>
            </w:r>
            <w:r w:rsidR="004A3847">
              <w:t>TasNetworks</w:t>
            </w:r>
            <w:r w:rsidR="004A3847" w:rsidRPr="006969CD">
              <w:t xml:space="preserve"> </w:t>
            </w:r>
            <w:r w:rsidRPr="006969CD">
              <w:t xml:space="preserve">can factor this its </w:t>
            </w:r>
            <w:r w:rsidR="004A3847">
              <w:t>pricing proposal</w:t>
            </w:r>
            <w:r w:rsidRPr="006969CD">
              <w:t>, we inform it of updates on the return on debt, annual building block revenue requirement and X factor</w:t>
            </w:r>
            <w:r w:rsidRPr="006969CD" w:rsidDel="00665E6A">
              <w:t xml:space="preserve"> </w:t>
            </w:r>
            <w:r w:rsidRPr="006969CD">
              <w:t>that incorporates the updated return on debt</w:t>
            </w:r>
            <w:r w:rsidRPr="006969CD" w:rsidDel="00665E6A">
              <w:t xml:space="preserve"> </w:t>
            </w:r>
          </w:p>
        </w:tc>
        <w:tc>
          <w:tcPr>
            <w:tcW w:w="1866" w:type="pct"/>
          </w:tcPr>
          <w:p w:rsidR="006969CD" w:rsidRPr="006969CD" w:rsidRDefault="006969CD" w:rsidP="006969CD">
            <w:pPr>
              <w:pStyle w:val="AERtabletextleft"/>
            </w:pPr>
            <w:r w:rsidRPr="00616FA2">
              <w:t xml:space="preserve">15 business days between steps 1 and 2 provides sufficient time for us to calculate (and provide quality assurance </w:t>
            </w:r>
            <w:r w:rsidRPr="006969CD">
              <w:t>checks on) the updated return on debt, revenue and X factor.</w:t>
            </w:r>
          </w:p>
        </w:tc>
      </w:tr>
      <w:tr w:rsidR="006969CD" w:rsidRPr="00616FA2" w:rsidTr="00CC08B0">
        <w:tc>
          <w:tcPr>
            <w:tcW w:w="374" w:type="pct"/>
          </w:tcPr>
          <w:p w:rsidR="006969CD" w:rsidRPr="006969CD" w:rsidRDefault="006969CD" w:rsidP="006969CD">
            <w:pPr>
              <w:pStyle w:val="AERtabletextleft"/>
            </w:pPr>
            <w:r w:rsidRPr="00616FA2">
              <w:t>3</w:t>
            </w:r>
          </w:p>
        </w:tc>
        <w:tc>
          <w:tcPr>
            <w:tcW w:w="1233" w:type="pct"/>
          </w:tcPr>
          <w:p w:rsidR="006969CD" w:rsidRPr="006969CD" w:rsidRDefault="004A3847" w:rsidP="006969CD">
            <w:pPr>
              <w:pStyle w:val="AERtabletextleft"/>
            </w:pPr>
            <w:r>
              <w:t>Pricing proposal is submitted</w:t>
            </w:r>
          </w:p>
        </w:tc>
        <w:tc>
          <w:tcPr>
            <w:tcW w:w="1527" w:type="pct"/>
          </w:tcPr>
          <w:p w:rsidR="006969CD" w:rsidRPr="006969CD" w:rsidRDefault="004A3847" w:rsidP="004A3847">
            <w:pPr>
              <w:pStyle w:val="AERtabletextleft"/>
            </w:pPr>
            <w:r>
              <w:t>TasNetworks</w:t>
            </w:r>
            <w:r w:rsidRPr="006969CD">
              <w:t xml:space="preserve"> </w:t>
            </w:r>
            <w:r>
              <w:t>submits its</w:t>
            </w:r>
            <w:r w:rsidR="006969CD" w:rsidRPr="006969CD">
              <w:t xml:space="preserve"> pric</w:t>
            </w:r>
            <w:r>
              <w:t>ing proposal</w:t>
            </w:r>
            <w:r w:rsidR="006969CD" w:rsidRPr="006969CD">
              <w:t xml:space="preserve"> for the relevant year.</w:t>
            </w:r>
          </w:p>
        </w:tc>
        <w:tc>
          <w:tcPr>
            <w:tcW w:w="1866" w:type="pct"/>
          </w:tcPr>
          <w:p w:rsidR="006969CD" w:rsidRPr="006969CD" w:rsidRDefault="006969CD" w:rsidP="004A3847">
            <w:pPr>
              <w:pStyle w:val="AERtabletextleft"/>
            </w:pPr>
            <w:r w:rsidRPr="00616FA2">
              <w:t xml:space="preserve">10 business days between steps 2 and 3 is based on </w:t>
            </w:r>
            <w:r w:rsidRPr="006969CD">
              <w:t>service providers' advice regarding the minimum period it would require to factor the updated information into its prices.</w:t>
            </w:r>
          </w:p>
        </w:tc>
      </w:tr>
    </w:tbl>
    <w:p w:rsidR="006969CD" w:rsidRDefault="006969CD" w:rsidP="006969CD">
      <w:pPr>
        <w:pStyle w:val="AERtablesource"/>
      </w:pPr>
      <w:r>
        <w:t xml:space="preserve">Source: </w:t>
      </w:r>
      <w:r>
        <w:tab/>
        <w:t>AER analysis.</w:t>
      </w:r>
    </w:p>
    <w:p w:rsidR="006969CD" w:rsidRDefault="006969CD" w:rsidP="006969CD">
      <w:pPr>
        <w:numPr>
          <w:ilvl w:val="0"/>
          <w:numId w:val="25"/>
        </w:numPr>
      </w:pPr>
      <w:r>
        <w:t>W</w:t>
      </w:r>
      <w:r w:rsidRPr="00E761F9">
        <w:t xml:space="preserve">e are open to </w:t>
      </w:r>
      <w:r>
        <w:t>service providers</w:t>
      </w:r>
      <w:r w:rsidRPr="00E761F9">
        <w:t xml:space="preserve"> </w:t>
      </w:r>
      <w:r>
        <w:t>requesting</w:t>
      </w:r>
      <w:r w:rsidRPr="00E761F9">
        <w:t xml:space="preserve"> a </w:t>
      </w:r>
      <w:r>
        <w:t xml:space="preserve">different notification date than that outlined in step 2 of </w:t>
      </w:r>
      <w:r w:rsidR="00F15799">
        <w:fldChar w:fldCharType="begin"/>
      </w:r>
      <w:r w:rsidR="00F15799">
        <w:instrText xml:space="preserve"> REF _Ref457899138 \h </w:instrText>
      </w:r>
      <w:r w:rsidR="00F15799">
        <w:fldChar w:fldCharType="separate"/>
      </w:r>
      <w:r w:rsidR="00691B4D">
        <w:t xml:space="preserve">Table </w:t>
      </w:r>
      <w:r w:rsidR="00691B4D">
        <w:rPr>
          <w:noProof/>
        </w:rPr>
        <w:t>3</w:t>
      </w:r>
      <w:r w:rsidR="00691B4D">
        <w:noBreakHyphen/>
      </w:r>
      <w:r w:rsidR="00691B4D">
        <w:rPr>
          <w:noProof/>
        </w:rPr>
        <w:t>12</w:t>
      </w:r>
      <w:r w:rsidR="00F15799">
        <w:fldChar w:fldCharType="end"/>
      </w:r>
      <w:r w:rsidR="00F15799">
        <w:t xml:space="preserve"> </w:t>
      </w:r>
      <w:r>
        <w:t xml:space="preserve">if it better </w:t>
      </w:r>
      <w:r w:rsidRPr="00E761F9">
        <w:t>accommodate</w:t>
      </w:r>
      <w:r>
        <w:t>s</w:t>
      </w:r>
      <w:r w:rsidRPr="00E761F9">
        <w:t xml:space="preserve"> their internal processes. We note that a longer (or shorter) time period would move back (or forward) the </w:t>
      </w:r>
      <w:r>
        <w:t>timeframe in which an averaging period should fall (see</w:t>
      </w:r>
      <w:r w:rsidR="00F15799">
        <w:t xml:space="preserve"> </w:t>
      </w:r>
      <w:r w:rsidR="00F15799">
        <w:fldChar w:fldCharType="begin"/>
      </w:r>
      <w:r w:rsidR="00F15799">
        <w:instrText xml:space="preserve"> REF _Ref458461810 \h </w:instrText>
      </w:r>
      <w:r w:rsidR="00F15799">
        <w:fldChar w:fldCharType="separate"/>
      </w:r>
      <w:r w:rsidR="00691B4D" w:rsidRPr="00E761F9">
        <w:t xml:space="preserve">Table </w:t>
      </w:r>
      <w:r w:rsidR="00691B4D">
        <w:rPr>
          <w:noProof/>
        </w:rPr>
        <w:t>3</w:t>
      </w:r>
      <w:r w:rsidR="00691B4D">
        <w:noBreakHyphen/>
      </w:r>
      <w:r w:rsidR="00691B4D">
        <w:rPr>
          <w:noProof/>
        </w:rPr>
        <w:t>11</w:t>
      </w:r>
      <w:r w:rsidR="00F15799">
        <w:fldChar w:fldCharType="end"/>
      </w:r>
      <w:r>
        <w:t>)</w:t>
      </w:r>
      <w:r w:rsidRPr="00E761F9">
        <w:t xml:space="preserve">. </w:t>
      </w:r>
    </w:p>
    <w:p w:rsidR="006969CD" w:rsidRDefault="006969CD" w:rsidP="006969CD">
      <w:pPr>
        <w:numPr>
          <w:ilvl w:val="0"/>
          <w:numId w:val="25"/>
        </w:numPr>
      </w:pPr>
      <w:r>
        <w:lastRenderedPageBreak/>
        <w:t xml:space="preserve">The process outlined in </w:t>
      </w:r>
      <w:r w:rsidR="00F15799">
        <w:fldChar w:fldCharType="begin"/>
      </w:r>
      <w:r w:rsidR="00F15799">
        <w:instrText xml:space="preserve"> REF _Ref457899138 \h </w:instrText>
      </w:r>
      <w:r w:rsidR="00F15799">
        <w:fldChar w:fldCharType="separate"/>
      </w:r>
      <w:r w:rsidR="00691B4D">
        <w:t xml:space="preserve">Table </w:t>
      </w:r>
      <w:r w:rsidR="00691B4D">
        <w:rPr>
          <w:noProof/>
        </w:rPr>
        <w:t>3</w:t>
      </w:r>
      <w:r w:rsidR="00691B4D">
        <w:noBreakHyphen/>
      </w:r>
      <w:r w:rsidR="00691B4D">
        <w:rPr>
          <w:noProof/>
        </w:rPr>
        <w:t>12</w:t>
      </w:r>
      <w:r w:rsidR="00F15799">
        <w:fldChar w:fldCharType="end"/>
      </w:r>
      <w:r w:rsidR="00F15799">
        <w:t xml:space="preserve"> </w:t>
      </w:r>
      <w:r>
        <w:t>does not apply to the first year of the regulatory period. This is because in our determination, X factors will already incorporate the return on debt</w:t>
      </w:r>
      <w:r w:rsidRPr="00224534">
        <w:t xml:space="preserve"> </w:t>
      </w:r>
      <w:r>
        <w:t xml:space="preserve">for the first year. </w:t>
      </w:r>
    </w:p>
    <w:p w:rsidR="006969CD" w:rsidRDefault="006969CD" w:rsidP="006969CD">
      <w:pPr>
        <w:pStyle w:val="HeadingBoldItalic"/>
        <w:numPr>
          <w:ilvl w:val="0"/>
          <w:numId w:val="25"/>
        </w:numPr>
      </w:pPr>
      <w:bookmarkStart w:id="96" w:name="_Ref451351248"/>
      <w:bookmarkStart w:id="97" w:name="_Toc451938958"/>
      <w:r>
        <w:t>Contingencies</w:t>
      </w:r>
    </w:p>
    <w:p w:rsidR="006969CD" w:rsidRPr="00FB18DC" w:rsidRDefault="006969CD" w:rsidP="006969CD">
      <w:r w:rsidRPr="00FB18DC">
        <w:t>We have set out a series of contingencies</w:t>
      </w:r>
      <w:r w:rsidRPr="00ED10CB">
        <w:t xml:space="preserve"> </w:t>
      </w:r>
      <w:r w:rsidRPr="00FB18DC">
        <w:t xml:space="preserve">in </w:t>
      </w:r>
      <w:r w:rsidR="00BC4016">
        <w:fldChar w:fldCharType="begin"/>
      </w:r>
      <w:r w:rsidR="00BC4016">
        <w:instrText xml:space="preserve"> REF _Ref459138125 \h </w:instrText>
      </w:r>
      <w:r w:rsidR="00BC4016">
        <w:fldChar w:fldCharType="separate"/>
      </w:r>
      <w:r w:rsidR="00691B4D" w:rsidRPr="00FB18DC">
        <w:t xml:space="preserve">Table </w:t>
      </w:r>
      <w:r w:rsidR="00691B4D">
        <w:rPr>
          <w:noProof/>
        </w:rPr>
        <w:t>3</w:t>
      </w:r>
      <w:r w:rsidR="00691B4D">
        <w:noBreakHyphen/>
      </w:r>
      <w:r w:rsidR="00691B4D">
        <w:rPr>
          <w:noProof/>
        </w:rPr>
        <w:t>13</w:t>
      </w:r>
      <w:r w:rsidR="00BC4016">
        <w:fldChar w:fldCharType="end"/>
      </w:r>
      <w:r w:rsidR="00BC4016">
        <w:t xml:space="preserve"> </w:t>
      </w:r>
      <w:r w:rsidRPr="00FB18DC">
        <w:t>below</w:t>
      </w:r>
      <w:r>
        <w:t xml:space="preserve"> that form</w:t>
      </w:r>
      <w:r w:rsidR="00BC4016">
        <w:t>s</w:t>
      </w:r>
      <w:r>
        <w:t xml:space="preserve"> part of our draft decision. This is important because </w:t>
      </w:r>
      <w:r w:rsidRPr="00FB18DC">
        <w:t xml:space="preserve">the availability of third party data </w:t>
      </w:r>
      <w:r>
        <w:t xml:space="preserve">can </w:t>
      </w:r>
      <w:r w:rsidRPr="00FB18DC">
        <w:t>change</w:t>
      </w:r>
      <w:r>
        <w:t xml:space="preserve"> and we have determined to</w:t>
      </w:r>
      <w:r w:rsidRPr="00FB18DC">
        <w:t xml:space="preserve"> annually update the trailing average portfolio return on debt. Under the rules, the change in revenue resulting from the annual update must occur by automatic application of a formula that is specified in the</w:t>
      </w:r>
      <w:r>
        <w:t xml:space="preserve"> revenue determination</w:t>
      </w:r>
      <w:r w:rsidRPr="00FB18DC">
        <w:t>.</w:t>
      </w:r>
      <w:r w:rsidRPr="00FB18DC">
        <w:rPr>
          <w:rStyle w:val="AERsuperscript"/>
        </w:rPr>
        <w:t xml:space="preserve"> </w:t>
      </w:r>
      <w:r w:rsidRPr="00FB18DC">
        <w:rPr>
          <w:rStyle w:val="AERsuperscript"/>
        </w:rPr>
        <w:footnoteReference w:id="355"/>
      </w:r>
      <w:r w:rsidRPr="00FB18DC">
        <w:t xml:space="preserve"> This means that our decision on how to apply these third party data sources must be fully specified upfront in the determination, and must be capable of application over the regulatory period without the use of subsequent judgement or discretion. </w:t>
      </w:r>
    </w:p>
    <w:p w:rsidR="006969CD" w:rsidRPr="00FB18DC" w:rsidRDefault="006969CD" w:rsidP="006969CD">
      <w:pPr>
        <w:pStyle w:val="Caption"/>
      </w:pPr>
      <w:bookmarkStart w:id="98" w:name="_Ref459138125"/>
      <w:r w:rsidRPr="00FB18DC">
        <w:t xml:space="preserve">Table </w:t>
      </w:r>
      <w:r w:rsidRPr="006969CD">
        <w:fldChar w:fldCharType="begin"/>
      </w:r>
      <w:r>
        <w:instrText xml:space="preserve"> STYLEREF 1 \s </w:instrText>
      </w:r>
      <w:r w:rsidRPr="006969CD">
        <w:fldChar w:fldCharType="separate"/>
      </w:r>
      <w:r w:rsidR="00691B4D">
        <w:rPr>
          <w:noProof/>
        </w:rPr>
        <w:t>3</w:t>
      </w:r>
      <w:r w:rsidRPr="006969CD">
        <w:fldChar w:fldCharType="end"/>
      </w:r>
      <w:r>
        <w:noBreakHyphen/>
      </w:r>
      <w:r w:rsidRPr="006969CD">
        <w:fldChar w:fldCharType="begin"/>
      </w:r>
      <w:r>
        <w:instrText xml:space="preserve"> SEQ Table \* ARABIC \s 1 </w:instrText>
      </w:r>
      <w:r w:rsidRPr="006969CD">
        <w:fldChar w:fldCharType="separate"/>
      </w:r>
      <w:r w:rsidR="00691B4D">
        <w:rPr>
          <w:noProof/>
        </w:rPr>
        <w:t>13</w:t>
      </w:r>
      <w:r w:rsidRPr="006969CD">
        <w:fldChar w:fldCharType="end"/>
      </w:r>
      <w:bookmarkEnd w:id="98"/>
      <w:r w:rsidRPr="00FB18DC">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6969CD" w:rsidRPr="00BB7AB1" w:rsidTr="006969CD">
        <w:trPr>
          <w:cnfStyle w:val="100000000000" w:firstRow="1" w:lastRow="0" w:firstColumn="0" w:lastColumn="0" w:oddVBand="0" w:evenVBand="0" w:oddHBand="0" w:evenHBand="0" w:firstRowFirstColumn="0" w:firstRowLastColumn="0" w:lastRowFirstColumn="0" w:lastRowLastColumn="0"/>
          <w:tblHeader/>
        </w:trPr>
        <w:tc>
          <w:tcPr>
            <w:tcW w:w="1461" w:type="pct"/>
          </w:tcPr>
          <w:p w:rsidR="006969CD" w:rsidRPr="00FB18DC" w:rsidRDefault="006969CD" w:rsidP="006969CD">
            <w:pPr>
              <w:numPr>
                <w:ilvl w:val="0"/>
                <w:numId w:val="25"/>
              </w:numPr>
            </w:pPr>
            <w:r w:rsidRPr="00FB18DC">
              <w:t>Event</w:t>
            </w:r>
          </w:p>
        </w:tc>
        <w:tc>
          <w:tcPr>
            <w:tcW w:w="3539" w:type="pct"/>
          </w:tcPr>
          <w:p w:rsidR="006969CD" w:rsidRPr="00FB18DC" w:rsidRDefault="006969CD" w:rsidP="006969CD">
            <w:pPr>
              <w:numPr>
                <w:ilvl w:val="0"/>
                <w:numId w:val="25"/>
              </w:numPr>
            </w:pPr>
            <w:r w:rsidRPr="00FB18DC">
              <w:t>Changes to approach</w:t>
            </w:r>
          </w:p>
        </w:tc>
      </w:tr>
      <w:tr w:rsidR="006969CD" w:rsidRPr="00BB7AB1" w:rsidTr="006969CD">
        <w:tc>
          <w:tcPr>
            <w:tcW w:w="1461" w:type="pct"/>
          </w:tcPr>
          <w:p w:rsidR="006969CD" w:rsidRPr="00FB18DC" w:rsidRDefault="006969CD" w:rsidP="006969CD">
            <w:pPr>
              <w:numPr>
                <w:ilvl w:val="0"/>
                <w:numId w:val="25"/>
              </w:numPr>
            </w:pPr>
            <w:r w:rsidRPr="00FB18DC">
              <w:t>Either the RBA or Bloomberg ceases publication of Australian yield curves that reflect a broad BBB rating.</w:t>
            </w:r>
          </w:p>
        </w:tc>
        <w:tc>
          <w:tcPr>
            <w:tcW w:w="3539" w:type="pct"/>
          </w:tcPr>
          <w:p w:rsidR="006969CD" w:rsidRPr="00FB18DC" w:rsidRDefault="006969CD" w:rsidP="006969CD">
            <w:pPr>
              <w:numPr>
                <w:ilvl w:val="0"/>
                <w:numId w:val="25"/>
              </w:numPr>
            </w:pPr>
            <w:r w:rsidRPr="00FB18DC">
              <w:t>We will estimate the annual return on debt using the remaining curve.</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1461" w:type="pct"/>
          </w:tcPr>
          <w:p w:rsidR="006969CD" w:rsidRPr="00FB18DC" w:rsidRDefault="006969CD" w:rsidP="006969CD">
            <w:pPr>
              <w:numPr>
                <w:ilvl w:val="0"/>
                <w:numId w:val="25"/>
              </w:numPr>
            </w:pPr>
            <w:r w:rsidRPr="00FB18DC">
              <w:t>A different third party commences publication of a 10 year yield estimate</w:t>
            </w:r>
            <w:r>
              <w:t xml:space="preserve"> (or we are made aware of a different third party publishing a 10 year yield estimate)</w:t>
            </w:r>
            <w:r w:rsidRPr="00FB18DC">
              <w:t>.</w:t>
            </w:r>
            <w:r>
              <w:rPr>
                <w:rStyle w:val="FootnoteReference"/>
              </w:rPr>
              <w:footnoteReference w:id="356"/>
            </w:r>
          </w:p>
        </w:tc>
        <w:tc>
          <w:tcPr>
            <w:tcW w:w="3539" w:type="pct"/>
          </w:tcPr>
          <w:p w:rsidR="006969CD" w:rsidRPr="00FB18DC" w:rsidRDefault="006969CD" w:rsidP="006969CD">
            <w:pPr>
              <w:numPr>
                <w:ilvl w:val="0"/>
                <w:numId w:val="25"/>
              </w:numPr>
            </w:pPr>
            <w:r w:rsidRPr="00FB18DC">
              <w:t xml:space="preserve">We will not apply estimates from a third party data provider that we have not evaluated and included in our final decision approach. We will consider any new data sources in future determinations. </w:t>
            </w:r>
          </w:p>
        </w:tc>
      </w:tr>
      <w:tr w:rsidR="006969CD" w:rsidRPr="00BB7AB1" w:rsidTr="006969CD">
        <w:tc>
          <w:tcPr>
            <w:tcW w:w="1461" w:type="pct"/>
          </w:tcPr>
          <w:p w:rsidR="006969CD" w:rsidRPr="00FB18DC" w:rsidRDefault="006969CD" w:rsidP="006969CD">
            <w:pPr>
              <w:numPr>
                <w:ilvl w:val="0"/>
                <w:numId w:val="25"/>
              </w:numPr>
            </w:pPr>
            <w:r w:rsidRPr="00FB18DC">
              <w:t>Either Bloomberg or RBA substitutes its current methodology for a revised or updated methodology.</w:t>
            </w:r>
          </w:p>
        </w:tc>
        <w:tc>
          <w:tcPr>
            <w:tcW w:w="3539" w:type="pct"/>
          </w:tcPr>
          <w:p w:rsidR="006969CD" w:rsidRPr="00FB18DC" w:rsidRDefault="006969CD" w:rsidP="006969CD">
            <w:pPr>
              <w:numPr>
                <w:ilvl w:val="0"/>
                <w:numId w:val="25"/>
              </w:numPr>
            </w:pPr>
            <w:r w:rsidRPr="00FB18DC">
              <w:t>We will adopt the revised or updated methodology. Then, at the next regulatory determination, we will review this updated methodology. As noted above, we would also review any new data sources.</w:t>
            </w:r>
          </w:p>
          <w:p w:rsidR="006969CD" w:rsidRPr="00FB18DC" w:rsidRDefault="006969CD" w:rsidP="006969CD">
            <w:pPr>
              <w:numPr>
                <w:ilvl w:val="0"/>
                <w:numId w:val="25"/>
              </w:numPr>
            </w:pPr>
            <w:r w:rsidRPr="00FB18DC">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1461" w:type="pct"/>
          </w:tcPr>
          <w:p w:rsidR="006969CD" w:rsidRPr="00FB18DC" w:rsidRDefault="006969CD" w:rsidP="006969CD">
            <w:pPr>
              <w:numPr>
                <w:ilvl w:val="0"/>
                <w:numId w:val="25"/>
              </w:numPr>
            </w:pPr>
            <w:r w:rsidRPr="00FB18DC">
              <w:t>Bloomberg reduces the maximum published BVAL term from 10 years</w:t>
            </w:r>
            <w:r>
              <w:t>.</w:t>
            </w:r>
          </w:p>
        </w:tc>
        <w:tc>
          <w:tcPr>
            <w:tcW w:w="3539" w:type="pct"/>
          </w:tcPr>
          <w:p w:rsidR="006969CD" w:rsidRPr="00FB18DC" w:rsidRDefault="006969CD" w:rsidP="006969CD">
            <w:pPr>
              <w:numPr>
                <w:ilvl w:val="0"/>
                <w:numId w:val="25"/>
              </w:numPr>
            </w:pPr>
            <w:r w:rsidRPr="00FB18DC">
              <w:t>If Bloomberg still publishes the BVAL curve to 5 or more years, we will extrapolate the BVAL curve from the longest published term</w:t>
            </w:r>
            <w:r>
              <w:t xml:space="preserve"> to 10 years</w:t>
            </w:r>
            <w:r w:rsidRPr="00FB18DC">
              <w:t xml:space="preserve"> using the </w:t>
            </w:r>
            <w:r>
              <w:t xml:space="preserve">corresponding </w:t>
            </w:r>
            <w:r w:rsidRPr="00FB18DC">
              <w:t xml:space="preserve">yield margin from the RBA curve. </w:t>
            </w:r>
            <w:r>
              <w:rPr>
                <w:rStyle w:val="FootnoteReference"/>
              </w:rPr>
              <w:footnoteReference w:id="357"/>
            </w:r>
          </w:p>
          <w:p w:rsidR="006969CD" w:rsidRPr="00FB18DC" w:rsidRDefault="006969CD" w:rsidP="006969CD">
            <w:pPr>
              <w:numPr>
                <w:ilvl w:val="0"/>
                <w:numId w:val="25"/>
              </w:numPr>
            </w:pPr>
            <w:r w:rsidRPr="00FB18DC">
              <w:t xml:space="preserve">If Bloomberg no longer publishes the BVAL curve to 5 years, we will rely entirely on </w:t>
            </w:r>
            <w:r w:rsidRPr="00FB18DC">
              <w:lastRenderedPageBreak/>
              <w:t>the RBA curve.</w:t>
            </w:r>
          </w:p>
        </w:tc>
      </w:tr>
      <w:tr w:rsidR="006969CD" w:rsidRPr="00BB7AB1" w:rsidTr="006969CD">
        <w:tc>
          <w:tcPr>
            <w:tcW w:w="1461" w:type="pct"/>
          </w:tcPr>
          <w:p w:rsidR="006969CD" w:rsidRPr="00FB18DC" w:rsidRDefault="006969CD" w:rsidP="006969CD">
            <w:pPr>
              <w:numPr>
                <w:ilvl w:val="0"/>
                <w:numId w:val="25"/>
              </w:numPr>
            </w:pPr>
            <w:r w:rsidRPr="00FB18DC">
              <w:lastRenderedPageBreak/>
              <w:t>The RBA ceases publication of a 10 year yield estimate.</w:t>
            </w:r>
            <w:r w:rsidRPr="00FB18DC">
              <w:tab/>
            </w:r>
          </w:p>
        </w:tc>
        <w:tc>
          <w:tcPr>
            <w:tcW w:w="3539" w:type="pct"/>
          </w:tcPr>
          <w:p w:rsidR="006969CD" w:rsidRPr="00FB18DC" w:rsidRDefault="006969CD" w:rsidP="006969CD">
            <w:pPr>
              <w:numPr>
                <w:ilvl w:val="0"/>
                <w:numId w:val="25"/>
              </w:numPr>
            </w:pPr>
            <w:r w:rsidRPr="00FB18DC">
              <w:t>If the RBA ceases publication of a 10 year yield estimate, we will extrapolate the RBA estimate to 10 years using:</w:t>
            </w:r>
          </w:p>
          <w:p w:rsidR="006969CD" w:rsidRPr="006969CD" w:rsidRDefault="006969CD" w:rsidP="006969CD">
            <w:pPr>
              <w:pStyle w:val="AERbulletlistfirststyle"/>
            </w:pPr>
            <w:r w:rsidRPr="00FB18DC">
              <w:t>if available, the margin between spreads in the Bloomberg curve,</w:t>
            </w:r>
            <w:r w:rsidRPr="006969CD">
              <w:rPr>
                <w:rStyle w:val="FootnoteReference"/>
              </w:rPr>
              <w:footnoteReference w:id="358"/>
            </w:r>
            <w:r w:rsidRPr="006969CD">
              <w:t xml:space="preserve"> from the RBA's longest published target term to 10 years</w:t>
            </w:r>
          </w:p>
          <w:p w:rsidR="006969CD" w:rsidRPr="006969CD" w:rsidRDefault="006969CD" w:rsidP="004C7926">
            <w:pPr>
              <w:pStyle w:val="AERbulletlistfirststyle"/>
            </w:pPr>
            <w:r w:rsidRPr="00FB18DC">
              <w:t xml:space="preserve">otherwise, the actual </w:t>
            </w:r>
            <w:r w:rsidR="004C7926">
              <w:t>Australian Government securities</w:t>
            </w:r>
            <w:r w:rsidRPr="00FB18DC">
              <w:t xml:space="preserve"> margin from the RBA's longest published estimate to 10 years, plus the average </w:t>
            </w:r>
            <w:r w:rsidR="00EE3CBB">
              <w:t>debt risk premium</w:t>
            </w:r>
            <w:r w:rsidRPr="00FB18DC">
              <w:t xml:space="preserve"> spread for the same term margin over the last month prior to the end of its publication.</w:t>
            </w:r>
          </w:p>
        </w:tc>
      </w:tr>
      <w:tr w:rsidR="006969CD" w:rsidRPr="00BB7AB1" w:rsidTr="006969CD">
        <w:trPr>
          <w:cnfStyle w:val="000000010000" w:firstRow="0" w:lastRow="0" w:firstColumn="0" w:lastColumn="0" w:oddVBand="0" w:evenVBand="0" w:oddHBand="0" w:evenHBand="1" w:firstRowFirstColumn="0" w:firstRowLastColumn="0" w:lastRowFirstColumn="0" w:lastRowLastColumn="0"/>
        </w:trPr>
        <w:tc>
          <w:tcPr>
            <w:tcW w:w="1461" w:type="pct"/>
          </w:tcPr>
          <w:p w:rsidR="006969CD" w:rsidRPr="00FB18DC" w:rsidRDefault="006969CD" w:rsidP="006969CD">
            <w:pPr>
              <w:numPr>
                <w:ilvl w:val="0"/>
                <w:numId w:val="25"/>
              </w:numPr>
            </w:pPr>
            <w:r w:rsidRPr="00FB18DC">
              <w:t>The RBA commences publication of daily estimates.</w:t>
            </w:r>
          </w:p>
        </w:tc>
        <w:tc>
          <w:tcPr>
            <w:tcW w:w="3539" w:type="pct"/>
          </w:tcPr>
          <w:p w:rsidR="006969CD" w:rsidRPr="00FB18DC" w:rsidRDefault="006969CD" w:rsidP="006969CD">
            <w:pPr>
              <w:numPr>
                <w:ilvl w:val="0"/>
                <w:numId w:val="25"/>
              </w:numPr>
            </w:pPr>
            <w:r w:rsidRPr="00FB18DC">
              <w:t>We will cease interpolating the RBA monthly yields. Instead, we will estimate both the RBA yield and the RBA year extrapolation margin (used with the BVAL curve) using these daily estimates.</w:t>
            </w:r>
          </w:p>
        </w:tc>
      </w:tr>
      <w:tr w:rsidR="006969CD" w:rsidRPr="00BB7AB1" w:rsidTr="006969CD">
        <w:tc>
          <w:tcPr>
            <w:tcW w:w="1461" w:type="pct"/>
          </w:tcPr>
          <w:p w:rsidR="006969CD" w:rsidRPr="00FB18DC" w:rsidRDefault="006969CD" w:rsidP="006969CD">
            <w:pPr>
              <w:numPr>
                <w:ilvl w:val="0"/>
                <w:numId w:val="25"/>
              </w:numPr>
            </w:pPr>
            <w:r w:rsidRPr="00FB18DC">
              <w:t>Either Bloomberg or the RBA publishes a BBB+ or utilities specific yield curve.</w:t>
            </w:r>
          </w:p>
        </w:tc>
        <w:tc>
          <w:tcPr>
            <w:tcW w:w="3539" w:type="pct"/>
          </w:tcPr>
          <w:p w:rsidR="006969CD" w:rsidRPr="00FB18DC" w:rsidRDefault="006969CD" w:rsidP="006969CD">
            <w:pPr>
              <w:numPr>
                <w:ilvl w:val="0"/>
                <w:numId w:val="25"/>
              </w:numPr>
            </w:pPr>
            <w:r w:rsidRPr="00FB18DC">
              <w:t>We will adopt the BBB+ or utilities curve in place of the provider's existing curve, on the basis that it is a closer fit to our benchmark efficient entity.</w:t>
            </w:r>
          </w:p>
        </w:tc>
      </w:tr>
    </w:tbl>
    <w:p w:rsidR="006969CD" w:rsidRPr="00FB18DC" w:rsidRDefault="006969CD" w:rsidP="006969CD">
      <w:pPr>
        <w:pStyle w:val="AERtablesource"/>
      </w:pPr>
      <w:r w:rsidRPr="00FB18DC">
        <w:t>Source:</w:t>
      </w:r>
      <w:r w:rsidRPr="00FB18DC">
        <w:tab/>
        <w:t>AER analysis</w:t>
      </w:r>
    </w:p>
    <w:p w:rsidR="006969CD" w:rsidRPr="00FB18DC" w:rsidRDefault="006969CD" w:rsidP="006969CD">
      <w:r w:rsidRPr="00FB18DC">
        <w:t xml:space="preserve">Our </w:t>
      </w:r>
      <w:r>
        <w:t xml:space="preserve">draft </w:t>
      </w:r>
      <w:r w:rsidRPr="00FB18DC">
        <w:t>decision largely maintain</w:t>
      </w:r>
      <w:r>
        <w:t>s</w:t>
      </w:r>
      <w:r w:rsidRPr="00FB18DC">
        <w:t xml:space="preserve"> the set of contingencies set out in our recent decisions. </w:t>
      </w:r>
    </w:p>
    <w:p w:rsidR="006969CD" w:rsidRDefault="006969CD" w:rsidP="006969CD">
      <w:r>
        <w:t>For this draft decision, we have re-worded the contingency for the scenario where Bloomberg reduces its longest published term to between 5 and 10 years. This does not change the meaning of the required change in response to this event, and remains consistent with the approach we adopted in decisions prior to Bloomberg publishing a 10 year BVAL estimate. However, we consider this explanation of the 'changes to approach' is clearer.</w:t>
      </w:r>
    </w:p>
    <w:p w:rsidR="006969CD" w:rsidRPr="00FB18DC" w:rsidRDefault="006969CD" w:rsidP="006969CD">
      <w:r w:rsidRPr="00FB18DC">
        <w:t>We have made our decision based on the information and third party data that is currently available</w:t>
      </w:r>
      <w:r>
        <w:t>, subject to consultation and review</w:t>
      </w:r>
      <w:r w:rsidRPr="00FB18DC">
        <w:t>.</w:t>
      </w:r>
      <w:r w:rsidRPr="00FB18DC">
        <w:rPr>
          <w:rStyle w:val="FootnoteReference"/>
        </w:rPr>
        <w:footnoteReference w:id="359"/>
      </w:r>
      <w:r w:rsidRPr="00FB18DC">
        <w:t xml:space="preserve"> </w:t>
      </w:r>
      <w:r>
        <w:t xml:space="preserve"> For clarity, we do not estimate the allowed return on debt with reference to the Reuters data series, on which we have had limited opportunity to consult or review.</w:t>
      </w:r>
      <w:r>
        <w:rPr>
          <w:rStyle w:val="FootnoteReference"/>
        </w:rPr>
        <w:footnoteReference w:id="360"/>
      </w:r>
      <w:r>
        <w:t xml:space="preserve">  </w:t>
      </w:r>
    </w:p>
    <w:p w:rsidR="006969CD" w:rsidRPr="00FB18DC" w:rsidRDefault="006969CD" w:rsidP="006969CD">
      <w:r w:rsidRPr="00FB18DC">
        <w:t>In general, we have decided on these contingencies based on a series of guiding principles. These are that the contingency must:</w:t>
      </w:r>
    </w:p>
    <w:p w:rsidR="006969CD" w:rsidRPr="00FB18DC" w:rsidRDefault="006969CD" w:rsidP="006969CD">
      <w:pPr>
        <w:pStyle w:val="AERbulletlistfirststyle"/>
      </w:pPr>
      <w:r w:rsidRPr="00FB18DC">
        <w:lastRenderedPageBreak/>
        <w:t xml:space="preserve">Be practically implementable—the </w:t>
      </w:r>
      <w:r>
        <w:t>NER</w:t>
      </w:r>
      <w:r w:rsidRPr="00FB18DC">
        <w:t xml:space="preserve"> require the automatic application of a formula to update the trailing average portfolio return on debt. As a result, we will be unable to analyse changes to the approaches or new approaches during the regulatory period. </w:t>
      </w:r>
      <w:r>
        <w:t>Therefore, it</w:t>
      </w:r>
      <w:r w:rsidRPr="00FB18DC">
        <w:t xml:space="preserve"> is important that any contingency be practical and easily implementable.</w:t>
      </w:r>
    </w:p>
    <w:p w:rsidR="006969CD" w:rsidRPr="00FB18DC" w:rsidRDefault="006969CD" w:rsidP="006969CD">
      <w:pPr>
        <w:pStyle w:val="AERbulletlistfirststyle"/>
      </w:pPr>
      <w:r w:rsidRPr="00FB18DC">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6969CD" w:rsidRPr="00A42A22" w:rsidRDefault="006969CD" w:rsidP="006969CD">
      <w:pPr>
        <w:pStyle w:val="AERbulletlistfirststyle"/>
      </w:pPr>
      <w:r w:rsidRPr="00FB18DC">
        <w:t>Where necessary, rely on the independent expert judgement of the RBA and Bloomberg</w:t>
      </w:r>
      <w:r>
        <w:t xml:space="preserve">. </w:t>
      </w:r>
      <w:r w:rsidRPr="00FB18DC">
        <w:t>In particular, where the RBA or Bloomberg makes changes to its methodology, we would prefer to evaluate these changes before concluding we are satisfied the curve still meets the criteria set out in the Guideline.</w:t>
      </w:r>
      <w:r w:rsidRPr="00A42A22">
        <w:rPr>
          <w:rStyle w:val="FootnoteReference"/>
        </w:rPr>
        <w:footnoteReference w:id="361"/>
      </w:r>
      <w:r w:rsidRPr="00A42A22">
        <w:t xml:space="preserve"> However, this is not possible during the regulatory period. In these circumstances, we </w:t>
      </w:r>
      <w:r>
        <w:t xml:space="preserve">have </w:t>
      </w:r>
      <w:r w:rsidRPr="00A42A22">
        <w:t>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2F6FA6" w:rsidRDefault="002F6FA6" w:rsidP="002F6FA6">
      <w:pPr>
        <w:pStyle w:val="Heading3"/>
      </w:pPr>
      <w:bookmarkStart w:id="99" w:name="_Ref457913839"/>
      <w:bookmarkStart w:id="100" w:name="_Toc462754634"/>
      <w:r>
        <w:t>Gearing</w:t>
      </w:r>
      <w:bookmarkEnd w:id="96"/>
      <w:bookmarkEnd w:id="97"/>
      <w:r w:rsidR="000055D3">
        <w:t xml:space="preserve"> ratio</w:t>
      </w:r>
      <w:bookmarkEnd w:id="99"/>
      <w:bookmarkEnd w:id="100"/>
    </w:p>
    <w:p w:rsidR="00972CF8" w:rsidRPr="00E96F55" w:rsidRDefault="00972CF8" w:rsidP="00972CF8">
      <w:pPr>
        <w:numPr>
          <w:ilvl w:val="0"/>
          <w:numId w:val="25"/>
        </w:numPr>
      </w:pPr>
      <w:r w:rsidRPr="00E96F55">
        <w:t xml:space="preserve">Our decision is to adopt a 60 per cent gearing ratio. </w:t>
      </w:r>
      <w:r>
        <w:t xml:space="preserve">This is consistent with </w:t>
      </w:r>
      <w:r w:rsidRPr="00E96F55">
        <w:t xml:space="preserve">the Guideline and </w:t>
      </w:r>
      <w:r w:rsidR="00F25B85">
        <w:t xml:space="preserve">TasNetworks' </w:t>
      </w:r>
      <w:r>
        <w:t>regulatory proposal</w:t>
      </w:r>
      <w:r w:rsidRPr="00E96F55">
        <w:t>.</w:t>
      </w:r>
      <w:r>
        <w:rPr>
          <w:rStyle w:val="FootnoteReference"/>
        </w:rPr>
        <w:footnoteReference w:id="362"/>
      </w:r>
    </w:p>
    <w:p w:rsidR="00972CF8" w:rsidRPr="00E96F55" w:rsidRDefault="00972CF8" w:rsidP="00972CF8">
      <w:pPr>
        <w:numPr>
          <w:ilvl w:val="0"/>
          <w:numId w:val="25"/>
        </w:numPr>
      </w:pPr>
      <w:r w:rsidRPr="00E96F55">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972CF8" w:rsidRPr="00E96F55" w:rsidRDefault="00972CF8" w:rsidP="00972CF8">
      <w:pPr>
        <w:numPr>
          <w:ilvl w:val="0"/>
          <w:numId w:val="25"/>
        </w:numPr>
      </w:pPr>
      <w:r w:rsidRPr="00E96F55">
        <w:t xml:space="preserve">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w:t>
      </w:r>
      <w:r w:rsidRPr="00E96F55">
        <w:lastRenderedPageBreak/>
        <w:t>factors. Because of this uncertainty around the theoretically optimal gearing ratio, we primary rely on the average of a sample of firms that are comparable to the benchmark efficient entity. In other words, we assume that the industry is, on average, efficient and therefore use the industry average to guide our regulatory benchmark.</w:t>
      </w:r>
    </w:p>
    <w:p w:rsidR="00972CF8" w:rsidRDefault="00972CF8" w:rsidP="00972CF8">
      <w:pPr>
        <w:numPr>
          <w:ilvl w:val="0"/>
          <w:numId w:val="25"/>
        </w:numPr>
      </w:pPr>
      <w:r w:rsidRPr="00E96F55">
        <w:t xml:space="preserve">We consider that the empirical evidence supports a gearing of 60 per cent. Average gearing levels </w:t>
      </w:r>
      <w:r w:rsidR="009737C8">
        <w:t xml:space="preserve">considered in our Guideline </w:t>
      </w:r>
      <w:r w:rsidRPr="00E96F55">
        <w:t>are presented in the following table. We observe that the average level of gearing across the four different approaches has a range of 59 to 66 per cent. Accordingly, we propose to maintain the currently adopted benchmark efficient level of gearing of 60 per cent.</w:t>
      </w:r>
    </w:p>
    <w:p w:rsidR="00972CF8" w:rsidRPr="00E96F55" w:rsidRDefault="00972CF8" w:rsidP="00972CF8">
      <w:pPr>
        <w:pStyle w:val="Caption"/>
      </w:pPr>
      <w:r w:rsidRPr="00E96F55">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14</w:t>
      </w:r>
      <w:r w:rsidR="00AB6D99">
        <w:rPr>
          <w:noProof/>
        </w:rPr>
        <w:fldChar w:fldCharType="end"/>
      </w:r>
      <w:r w:rsidRPr="00E96F55">
        <w:tab/>
        <w:t>Averaging gearing ratio—Comparator set of firms</w:t>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972CF8" w:rsidRPr="00E94496" w:rsidTr="00E42A91">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972CF8" w:rsidRPr="00E96F55" w:rsidRDefault="00972CF8" w:rsidP="00972CF8">
            <w:r w:rsidRPr="00E96F55">
              <w:t>Year</w:t>
            </w:r>
          </w:p>
        </w:tc>
        <w:tc>
          <w:tcPr>
            <w:tcW w:w="1812" w:type="dxa"/>
            <w:noWrap/>
          </w:tcPr>
          <w:p w:rsidR="00972CF8" w:rsidRPr="00E96F55" w:rsidRDefault="00972CF8" w:rsidP="00972CF8">
            <w:r w:rsidRPr="00E96F55">
              <w:t xml:space="preserve">2009 </w:t>
            </w:r>
            <w:r w:rsidR="002B2D25">
              <w:t>AER</w:t>
            </w:r>
            <w:r w:rsidRPr="00E96F55">
              <w:t xml:space="preserve"> review </w:t>
            </w:r>
          </w:p>
          <w:p w:rsidR="00972CF8" w:rsidRPr="00972CF8" w:rsidRDefault="00972CF8" w:rsidP="00972CF8">
            <w:r w:rsidRPr="00E96F55">
              <w:t>2002–2007</w:t>
            </w:r>
            <w:r w:rsidRPr="00972CF8">
              <w:rPr>
                <w:rStyle w:val="AERsuperscript"/>
              </w:rPr>
              <w:t>a</w:t>
            </w:r>
            <w:r w:rsidRPr="00972CF8">
              <w:t xml:space="preserve"> </w:t>
            </w:r>
          </w:p>
        </w:tc>
        <w:tc>
          <w:tcPr>
            <w:tcW w:w="1813" w:type="dxa"/>
            <w:noWrap/>
          </w:tcPr>
          <w:p w:rsidR="00972CF8" w:rsidRPr="00E96F55" w:rsidRDefault="00972CF8" w:rsidP="00972CF8">
            <w:r w:rsidRPr="00E96F55">
              <w:t>Bloomberg    (market value)</w:t>
            </w:r>
          </w:p>
          <w:p w:rsidR="00972CF8" w:rsidRPr="00972CF8" w:rsidRDefault="00972CF8" w:rsidP="00972CF8">
            <w:r w:rsidRPr="00E96F55">
              <w:t>2002–2012            (full sample)</w:t>
            </w:r>
            <w:r w:rsidRPr="00972CF8">
              <w:rPr>
                <w:rStyle w:val="AERsuperscript"/>
              </w:rPr>
              <w:t>b</w:t>
            </w:r>
          </w:p>
        </w:tc>
        <w:tc>
          <w:tcPr>
            <w:tcW w:w="1812" w:type="dxa"/>
          </w:tcPr>
          <w:p w:rsidR="00972CF8" w:rsidRPr="00E96F55" w:rsidRDefault="00972CF8" w:rsidP="00972CF8">
            <w:r w:rsidRPr="00E96F55">
              <w:t>Bloomberg    (market value)</w:t>
            </w:r>
          </w:p>
          <w:p w:rsidR="00972CF8" w:rsidRPr="00972CF8" w:rsidRDefault="00972CF8" w:rsidP="00972CF8">
            <w:r w:rsidRPr="00E96F55">
              <w:t>2002–2012     (refined sample)</w:t>
            </w:r>
            <w:r w:rsidRPr="00972CF8">
              <w:rPr>
                <w:rStyle w:val="AERsuperscript"/>
              </w:rPr>
              <w:t>c</w:t>
            </w:r>
          </w:p>
        </w:tc>
        <w:tc>
          <w:tcPr>
            <w:tcW w:w="1813" w:type="dxa"/>
          </w:tcPr>
          <w:p w:rsidR="00972CF8" w:rsidRPr="00E96F55" w:rsidRDefault="00972CF8" w:rsidP="00972CF8">
            <w:r w:rsidRPr="00E96F55">
              <w:t>Standard and Poor's (book value)</w:t>
            </w:r>
          </w:p>
          <w:p w:rsidR="00972CF8" w:rsidRPr="00972CF8" w:rsidRDefault="00972CF8" w:rsidP="00972CF8">
            <w:r w:rsidRPr="00E96F55">
              <w:t>2008–2012</w:t>
            </w:r>
            <w:r w:rsidRPr="00972CF8">
              <w:rPr>
                <w:rStyle w:val="AERsuperscript"/>
              </w:rPr>
              <w:t>d</w:t>
            </w:r>
          </w:p>
        </w:tc>
      </w:tr>
      <w:tr w:rsidR="00972CF8" w:rsidRPr="00E94496" w:rsidTr="00E42A91">
        <w:trPr>
          <w:trHeight w:val="255"/>
        </w:trPr>
        <w:tc>
          <w:tcPr>
            <w:tcW w:w="1812" w:type="dxa"/>
            <w:noWrap/>
          </w:tcPr>
          <w:p w:rsidR="00972CF8" w:rsidRPr="00E96F55" w:rsidRDefault="00972CF8" w:rsidP="00972CF8">
            <w:r w:rsidRPr="00E96F55">
              <w:t>2002</w:t>
            </w:r>
          </w:p>
        </w:tc>
        <w:tc>
          <w:tcPr>
            <w:tcW w:w="1812" w:type="dxa"/>
            <w:noWrap/>
          </w:tcPr>
          <w:p w:rsidR="00972CF8" w:rsidRPr="00E96F55" w:rsidRDefault="00972CF8" w:rsidP="00972CF8">
            <w:r w:rsidRPr="00E96F55">
              <w:t>65.1</w:t>
            </w:r>
          </w:p>
        </w:tc>
        <w:tc>
          <w:tcPr>
            <w:tcW w:w="1813" w:type="dxa"/>
            <w:noWrap/>
          </w:tcPr>
          <w:p w:rsidR="00972CF8" w:rsidRPr="00E96F55" w:rsidRDefault="00972CF8" w:rsidP="00972CF8">
            <w:r w:rsidRPr="00E96F55">
              <w:t>54.5</w:t>
            </w:r>
          </w:p>
        </w:tc>
        <w:tc>
          <w:tcPr>
            <w:tcW w:w="1812" w:type="dxa"/>
          </w:tcPr>
          <w:p w:rsidR="00972CF8" w:rsidRPr="00E96F55" w:rsidRDefault="00972CF8" w:rsidP="00972CF8">
            <w:r w:rsidRPr="00E96F55">
              <w:t>65.8</w:t>
            </w:r>
          </w:p>
        </w:tc>
        <w:tc>
          <w:tcPr>
            <w:tcW w:w="1813" w:type="dxa"/>
          </w:tcPr>
          <w:p w:rsidR="00972CF8" w:rsidRPr="00E96F55" w:rsidRDefault="00972CF8" w:rsidP="00972CF8">
            <w:r w:rsidRPr="00E96F55">
              <w:t>N/A</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2003</w:t>
            </w:r>
          </w:p>
        </w:tc>
        <w:tc>
          <w:tcPr>
            <w:tcW w:w="1812" w:type="dxa"/>
            <w:noWrap/>
          </w:tcPr>
          <w:p w:rsidR="00972CF8" w:rsidRPr="00E96F55" w:rsidRDefault="00972CF8" w:rsidP="00972CF8">
            <w:r w:rsidRPr="00E96F55">
              <w:t>64.8</w:t>
            </w:r>
          </w:p>
        </w:tc>
        <w:tc>
          <w:tcPr>
            <w:tcW w:w="1813" w:type="dxa"/>
            <w:noWrap/>
          </w:tcPr>
          <w:p w:rsidR="00972CF8" w:rsidRPr="00E96F55" w:rsidRDefault="00972CF8" w:rsidP="00972CF8">
            <w:r w:rsidRPr="00E96F55">
              <w:t>51.8</w:t>
            </w:r>
          </w:p>
        </w:tc>
        <w:tc>
          <w:tcPr>
            <w:tcW w:w="1812" w:type="dxa"/>
          </w:tcPr>
          <w:p w:rsidR="00972CF8" w:rsidRPr="00E96F55" w:rsidRDefault="00972CF8" w:rsidP="00972CF8">
            <w:r w:rsidRPr="00E96F55">
              <w:t>60.5</w:t>
            </w:r>
          </w:p>
        </w:tc>
        <w:tc>
          <w:tcPr>
            <w:tcW w:w="1813" w:type="dxa"/>
          </w:tcPr>
          <w:p w:rsidR="00972CF8" w:rsidRPr="00E96F55" w:rsidRDefault="00972CF8" w:rsidP="00972CF8">
            <w:r w:rsidRPr="00E96F55">
              <w:t>N/A</w:t>
            </w:r>
          </w:p>
        </w:tc>
      </w:tr>
      <w:tr w:rsidR="00972CF8" w:rsidRPr="00E94496" w:rsidTr="00E42A91">
        <w:trPr>
          <w:trHeight w:val="255"/>
        </w:trPr>
        <w:tc>
          <w:tcPr>
            <w:tcW w:w="1812" w:type="dxa"/>
            <w:noWrap/>
          </w:tcPr>
          <w:p w:rsidR="00972CF8" w:rsidRPr="00E96F55" w:rsidRDefault="00972CF8" w:rsidP="00972CF8">
            <w:r w:rsidRPr="00E96F55">
              <w:t>2004</w:t>
            </w:r>
          </w:p>
        </w:tc>
        <w:tc>
          <w:tcPr>
            <w:tcW w:w="1812" w:type="dxa"/>
            <w:noWrap/>
          </w:tcPr>
          <w:p w:rsidR="00972CF8" w:rsidRPr="00E96F55" w:rsidRDefault="00972CF8" w:rsidP="00972CF8">
            <w:r w:rsidRPr="00E96F55">
              <w:t>61.7</w:t>
            </w:r>
          </w:p>
        </w:tc>
        <w:tc>
          <w:tcPr>
            <w:tcW w:w="1813" w:type="dxa"/>
            <w:noWrap/>
          </w:tcPr>
          <w:p w:rsidR="00972CF8" w:rsidRPr="00E96F55" w:rsidRDefault="00972CF8" w:rsidP="00972CF8">
            <w:r w:rsidRPr="00E96F55">
              <w:t>51.2</w:t>
            </w:r>
          </w:p>
        </w:tc>
        <w:tc>
          <w:tcPr>
            <w:tcW w:w="1812" w:type="dxa"/>
          </w:tcPr>
          <w:p w:rsidR="00972CF8" w:rsidRPr="00E96F55" w:rsidRDefault="00972CF8" w:rsidP="00972CF8">
            <w:r w:rsidRPr="00E96F55">
              <w:t>55.1</w:t>
            </w:r>
          </w:p>
        </w:tc>
        <w:tc>
          <w:tcPr>
            <w:tcW w:w="1813" w:type="dxa"/>
          </w:tcPr>
          <w:p w:rsidR="00972CF8" w:rsidRPr="00E96F55" w:rsidRDefault="00972CF8" w:rsidP="00972CF8">
            <w:r w:rsidRPr="00E96F55">
              <w:t>N/A</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2005</w:t>
            </w:r>
          </w:p>
        </w:tc>
        <w:tc>
          <w:tcPr>
            <w:tcW w:w="1812" w:type="dxa"/>
            <w:noWrap/>
          </w:tcPr>
          <w:p w:rsidR="00972CF8" w:rsidRPr="00E96F55" w:rsidRDefault="00972CF8" w:rsidP="00972CF8">
            <w:r w:rsidRPr="00E96F55">
              <w:t>64.6</w:t>
            </w:r>
          </w:p>
        </w:tc>
        <w:tc>
          <w:tcPr>
            <w:tcW w:w="1813" w:type="dxa"/>
            <w:noWrap/>
          </w:tcPr>
          <w:p w:rsidR="00972CF8" w:rsidRPr="00E96F55" w:rsidRDefault="00972CF8" w:rsidP="00972CF8">
            <w:r w:rsidRPr="00E96F55">
              <w:t>51.2</w:t>
            </w:r>
          </w:p>
        </w:tc>
        <w:tc>
          <w:tcPr>
            <w:tcW w:w="1812" w:type="dxa"/>
          </w:tcPr>
          <w:p w:rsidR="00972CF8" w:rsidRPr="00E96F55" w:rsidRDefault="00972CF8" w:rsidP="00972CF8">
            <w:r w:rsidRPr="00E96F55">
              <w:t>62.6</w:t>
            </w:r>
          </w:p>
        </w:tc>
        <w:tc>
          <w:tcPr>
            <w:tcW w:w="1813" w:type="dxa"/>
          </w:tcPr>
          <w:p w:rsidR="00972CF8" w:rsidRPr="00E96F55" w:rsidRDefault="00972CF8" w:rsidP="00972CF8">
            <w:r w:rsidRPr="00E96F55">
              <w:t>N/A</w:t>
            </w:r>
          </w:p>
        </w:tc>
      </w:tr>
      <w:tr w:rsidR="00972CF8" w:rsidRPr="00E94496" w:rsidTr="00E42A91">
        <w:trPr>
          <w:trHeight w:val="255"/>
        </w:trPr>
        <w:tc>
          <w:tcPr>
            <w:tcW w:w="1812" w:type="dxa"/>
            <w:noWrap/>
          </w:tcPr>
          <w:p w:rsidR="00972CF8" w:rsidRPr="00E96F55" w:rsidRDefault="00972CF8" w:rsidP="00972CF8">
            <w:r w:rsidRPr="00E96F55">
              <w:t>2006</w:t>
            </w:r>
          </w:p>
        </w:tc>
        <w:tc>
          <w:tcPr>
            <w:tcW w:w="1812" w:type="dxa"/>
            <w:noWrap/>
          </w:tcPr>
          <w:p w:rsidR="00972CF8" w:rsidRPr="00E96F55" w:rsidRDefault="00972CF8" w:rsidP="00972CF8">
            <w:r w:rsidRPr="00E96F55">
              <w:t>63.0</w:t>
            </w:r>
          </w:p>
        </w:tc>
        <w:tc>
          <w:tcPr>
            <w:tcW w:w="1813" w:type="dxa"/>
            <w:noWrap/>
          </w:tcPr>
          <w:p w:rsidR="00972CF8" w:rsidRPr="00E96F55" w:rsidRDefault="00972CF8" w:rsidP="00972CF8">
            <w:r w:rsidRPr="00E96F55">
              <w:t>56.6</w:t>
            </w:r>
          </w:p>
        </w:tc>
        <w:tc>
          <w:tcPr>
            <w:tcW w:w="1812" w:type="dxa"/>
          </w:tcPr>
          <w:p w:rsidR="00972CF8" w:rsidRPr="00E96F55" w:rsidRDefault="00972CF8" w:rsidP="00972CF8">
            <w:r w:rsidRPr="00E96F55">
              <w:t>61.9</w:t>
            </w:r>
          </w:p>
        </w:tc>
        <w:tc>
          <w:tcPr>
            <w:tcW w:w="1813" w:type="dxa"/>
          </w:tcPr>
          <w:p w:rsidR="00972CF8" w:rsidRPr="00E96F55" w:rsidRDefault="00972CF8" w:rsidP="00972CF8">
            <w:r w:rsidRPr="00E96F55">
              <w:t>N/A</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2007</w:t>
            </w:r>
          </w:p>
        </w:tc>
        <w:tc>
          <w:tcPr>
            <w:tcW w:w="1812" w:type="dxa"/>
            <w:noWrap/>
          </w:tcPr>
          <w:p w:rsidR="00972CF8" w:rsidRPr="00E96F55" w:rsidRDefault="00972CF8" w:rsidP="00972CF8">
            <w:r w:rsidRPr="00E96F55">
              <w:t>60.5</w:t>
            </w:r>
          </w:p>
        </w:tc>
        <w:tc>
          <w:tcPr>
            <w:tcW w:w="1813" w:type="dxa"/>
            <w:noWrap/>
          </w:tcPr>
          <w:p w:rsidR="00972CF8" w:rsidRPr="00E96F55" w:rsidRDefault="00972CF8" w:rsidP="00972CF8">
            <w:r w:rsidRPr="00E96F55">
              <w:t>57.6</w:t>
            </w:r>
          </w:p>
        </w:tc>
        <w:tc>
          <w:tcPr>
            <w:tcW w:w="1812" w:type="dxa"/>
          </w:tcPr>
          <w:p w:rsidR="00972CF8" w:rsidRPr="00E96F55" w:rsidRDefault="00972CF8" w:rsidP="00972CF8">
            <w:r w:rsidRPr="00E96F55">
              <w:t>57.6</w:t>
            </w:r>
          </w:p>
        </w:tc>
        <w:tc>
          <w:tcPr>
            <w:tcW w:w="1813" w:type="dxa"/>
          </w:tcPr>
          <w:p w:rsidR="00972CF8" w:rsidRPr="00E96F55" w:rsidRDefault="00972CF8" w:rsidP="00972CF8">
            <w:r w:rsidRPr="00E96F55">
              <w:t>N/A</w:t>
            </w:r>
          </w:p>
        </w:tc>
      </w:tr>
      <w:tr w:rsidR="00972CF8" w:rsidRPr="00E94496" w:rsidTr="00E42A91">
        <w:trPr>
          <w:trHeight w:val="255"/>
        </w:trPr>
        <w:tc>
          <w:tcPr>
            <w:tcW w:w="1812" w:type="dxa"/>
            <w:noWrap/>
          </w:tcPr>
          <w:p w:rsidR="00972CF8" w:rsidRPr="00E96F55" w:rsidRDefault="00972CF8" w:rsidP="00972CF8">
            <w:r w:rsidRPr="00E96F55">
              <w:t>2008</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68.3</w:t>
            </w:r>
          </w:p>
        </w:tc>
        <w:tc>
          <w:tcPr>
            <w:tcW w:w="1812" w:type="dxa"/>
          </w:tcPr>
          <w:p w:rsidR="00972CF8" w:rsidRPr="00E96F55" w:rsidRDefault="00972CF8" w:rsidP="00972CF8">
            <w:r w:rsidRPr="00E96F55">
              <w:t>68.3</w:t>
            </w:r>
          </w:p>
        </w:tc>
        <w:tc>
          <w:tcPr>
            <w:tcW w:w="1813" w:type="dxa"/>
          </w:tcPr>
          <w:p w:rsidR="00972CF8" w:rsidRPr="00E96F55" w:rsidRDefault="00972CF8" w:rsidP="00972CF8">
            <w:r w:rsidRPr="00E96F55">
              <w:t>70</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2009</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68.8</w:t>
            </w:r>
          </w:p>
        </w:tc>
        <w:tc>
          <w:tcPr>
            <w:tcW w:w="1812" w:type="dxa"/>
          </w:tcPr>
          <w:p w:rsidR="00972CF8" w:rsidRPr="00E96F55" w:rsidRDefault="00972CF8" w:rsidP="00972CF8">
            <w:r w:rsidRPr="00E96F55">
              <w:t>68.8</w:t>
            </w:r>
          </w:p>
        </w:tc>
        <w:tc>
          <w:tcPr>
            <w:tcW w:w="1813" w:type="dxa"/>
          </w:tcPr>
          <w:p w:rsidR="00972CF8" w:rsidRPr="00E96F55" w:rsidRDefault="00972CF8" w:rsidP="00972CF8">
            <w:r w:rsidRPr="00E96F55">
              <w:t>69</w:t>
            </w:r>
          </w:p>
        </w:tc>
      </w:tr>
      <w:tr w:rsidR="00972CF8" w:rsidRPr="00E94496" w:rsidTr="00E42A91">
        <w:trPr>
          <w:trHeight w:val="255"/>
        </w:trPr>
        <w:tc>
          <w:tcPr>
            <w:tcW w:w="1812" w:type="dxa"/>
            <w:noWrap/>
          </w:tcPr>
          <w:p w:rsidR="00972CF8" w:rsidRPr="00E96F55" w:rsidRDefault="00972CF8" w:rsidP="00972CF8">
            <w:r w:rsidRPr="00E96F55">
              <w:t>2010</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65.5</w:t>
            </w:r>
          </w:p>
        </w:tc>
        <w:tc>
          <w:tcPr>
            <w:tcW w:w="1812" w:type="dxa"/>
          </w:tcPr>
          <w:p w:rsidR="00972CF8" w:rsidRPr="00E96F55" w:rsidRDefault="00972CF8" w:rsidP="00972CF8">
            <w:r w:rsidRPr="00E96F55">
              <w:t>65.5</w:t>
            </w:r>
          </w:p>
        </w:tc>
        <w:tc>
          <w:tcPr>
            <w:tcW w:w="1813" w:type="dxa"/>
          </w:tcPr>
          <w:p w:rsidR="00972CF8" w:rsidRPr="00E96F55" w:rsidRDefault="00972CF8" w:rsidP="00972CF8">
            <w:r w:rsidRPr="00E96F55">
              <w:t>66</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2011</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63.2</w:t>
            </w:r>
          </w:p>
        </w:tc>
        <w:tc>
          <w:tcPr>
            <w:tcW w:w="1812" w:type="dxa"/>
          </w:tcPr>
          <w:p w:rsidR="00972CF8" w:rsidRPr="00E96F55" w:rsidRDefault="00972CF8" w:rsidP="00972CF8">
            <w:r w:rsidRPr="00E96F55">
              <w:t>63.2</w:t>
            </w:r>
          </w:p>
        </w:tc>
        <w:tc>
          <w:tcPr>
            <w:tcW w:w="1813" w:type="dxa"/>
          </w:tcPr>
          <w:p w:rsidR="00972CF8" w:rsidRPr="00E96F55" w:rsidRDefault="00972CF8" w:rsidP="00972CF8">
            <w:r w:rsidRPr="00E96F55">
              <w:t>62</w:t>
            </w:r>
          </w:p>
        </w:tc>
      </w:tr>
      <w:tr w:rsidR="00972CF8" w:rsidRPr="00E94496" w:rsidTr="00E42A91">
        <w:trPr>
          <w:trHeight w:val="255"/>
        </w:trPr>
        <w:tc>
          <w:tcPr>
            <w:tcW w:w="1812" w:type="dxa"/>
            <w:noWrap/>
          </w:tcPr>
          <w:p w:rsidR="00972CF8" w:rsidRPr="00E96F55" w:rsidRDefault="00972CF8" w:rsidP="00972CF8">
            <w:r w:rsidRPr="00E96F55">
              <w:t>2012</w:t>
            </w:r>
          </w:p>
        </w:tc>
        <w:tc>
          <w:tcPr>
            <w:tcW w:w="1812" w:type="dxa"/>
            <w:noWrap/>
          </w:tcPr>
          <w:p w:rsidR="00972CF8" w:rsidRPr="00E96F55" w:rsidRDefault="00972CF8" w:rsidP="00972CF8">
            <w:r w:rsidRPr="00E96F55">
              <w:t>N/A</w:t>
            </w:r>
          </w:p>
        </w:tc>
        <w:tc>
          <w:tcPr>
            <w:tcW w:w="1813" w:type="dxa"/>
            <w:noWrap/>
          </w:tcPr>
          <w:p w:rsidR="00972CF8" w:rsidRPr="00E96F55" w:rsidRDefault="00972CF8" w:rsidP="00972CF8">
            <w:r w:rsidRPr="00E96F55">
              <w:t>60.6</w:t>
            </w:r>
          </w:p>
        </w:tc>
        <w:tc>
          <w:tcPr>
            <w:tcW w:w="1812" w:type="dxa"/>
          </w:tcPr>
          <w:p w:rsidR="00972CF8" w:rsidRPr="00E96F55" w:rsidRDefault="00972CF8" w:rsidP="00972CF8">
            <w:r w:rsidRPr="00E96F55">
              <w:t>60.6</w:t>
            </w:r>
          </w:p>
        </w:tc>
        <w:tc>
          <w:tcPr>
            <w:tcW w:w="1813" w:type="dxa"/>
          </w:tcPr>
          <w:p w:rsidR="00972CF8" w:rsidRPr="00E96F55" w:rsidRDefault="00972CF8" w:rsidP="00972CF8">
            <w:r w:rsidRPr="00E96F55">
              <w:t>65</w:t>
            </w:r>
          </w:p>
        </w:tc>
      </w:tr>
      <w:tr w:rsidR="00972CF8" w:rsidRPr="00E94496" w:rsidTr="00E42A91">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972CF8" w:rsidRPr="00E96F55" w:rsidRDefault="00972CF8" w:rsidP="00972CF8">
            <w:r w:rsidRPr="00E96F55">
              <w:t>Average</w:t>
            </w:r>
          </w:p>
        </w:tc>
        <w:tc>
          <w:tcPr>
            <w:tcW w:w="1812" w:type="dxa"/>
            <w:noWrap/>
          </w:tcPr>
          <w:p w:rsidR="00972CF8" w:rsidRPr="00E96F55" w:rsidRDefault="00972CF8" w:rsidP="00972CF8">
            <w:r w:rsidRPr="00E96F55">
              <w:t>63.3</w:t>
            </w:r>
          </w:p>
        </w:tc>
        <w:tc>
          <w:tcPr>
            <w:tcW w:w="1813" w:type="dxa"/>
            <w:noWrap/>
          </w:tcPr>
          <w:p w:rsidR="00972CF8" w:rsidRPr="00E96F55" w:rsidRDefault="00972CF8" w:rsidP="00972CF8">
            <w:r w:rsidRPr="00E96F55">
              <w:t>59.0</w:t>
            </w:r>
          </w:p>
        </w:tc>
        <w:tc>
          <w:tcPr>
            <w:tcW w:w="1812" w:type="dxa"/>
          </w:tcPr>
          <w:p w:rsidR="00972CF8" w:rsidRPr="00E96F55" w:rsidRDefault="00972CF8" w:rsidP="00972CF8">
            <w:r w:rsidRPr="00E96F55">
              <w:t>63.1</w:t>
            </w:r>
          </w:p>
        </w:tc>
        <w:tc>
          <w:tcPr>
            <w:tcW w:w="1813" w:type="dxa"/>
          </w:tcPr>
          <w:p w:rsidR="00972CF8" w:rsidRPr="00E96F55" w:rsidRDefault="00972CF8" w:rsidP="00972CF8">
            <w:r w:rsidRPr="00E96F55">
              <w:t>66</w:t>
            </w:r>
          </w:p>
        </w:tc>
      </w:tr>
    </w:tbl>
    <w:p w:rsidR="00972CF8" w:rsidRPr="00E96F55" w:rsidRDefault="00972CF8" w:rsidP="00972CF8">
      <w:pPr>
        <w:pStyle w:val="AERtablesource"/>
      </w:pPr>
      <w:r w:rsidRPr="00E96F55">
        <w:t xml:space="preserve">Source: </w:t>
      </w:r>
      <w:r w:rsidRPr="00E96F55">
        <w:tab/>
        <w:t>AER analysis.</w:t>
      </w:r>
    </w:p>
    <w:p w:rsidR="00972CF8" w:rsidRPr="00E96F55" w:rsidRDefault="00972CF8" w:rsidP="00972CF8">
      <w:pPr>
        <w:pStyle w:val="AERtablesource"/>
      </w:pPr>
      <w:r w:rsidRPr="00E96F55">
        <w:t xml:space="preserve">Notes: </w:t>
      </w:r>
      <w:r w:rsidRPr="00E96F55">
        <w:tab/>
        <w:t xml:space="preserve">(a) AER, </w:t>
      </w:r>
      <w:r w:rsidRPr="00E96F55">
        <w:rPr>
          <w:rStyle w:val="AERtextitalic"/>
        </w:rPr>
        <w:t>Final decision: Electricity transmission and distribution network service providers: Review of the weighted average cost of capital (WACC) parameters</w:t>
      </w:r>
      <w:r w:rsidRPr="00E96F55">
        <w:t>, 1 May 2009, p. 124.</w:t>
      </w:r>
    </w:p>
    <w:p w:rsidR="00972CF8" w:rsidRPr="00E96F55" w:rsidRDefault="00972CF8" w:rsidP="00972CF8">
      <w:pPr>
        <w:pStyle w:val="AERtablesource"/>
      </w:pPr>
      <w:r w:rsidRPr="00E96F55">
        <w:tab/>
        <w:t>(b) Analysis including full sample of businesses.</w:t>
      </w:r>
    </w:p>
    <w:p w:rsidR="00972CF8" w:rsidRPr="00E96F55" w:rsidRDefault="00972CF8" w:rsidP="00972CF8">
      <w:pPr>
        <w:pStyle w:val="AERtablesource"/>
      </w:pPr>
      <w:r w:rsidRPr="00E96F55">
        <w:tab/>
        <w:t>(c) AGL, Alinta and GasNet excluded from the analysis.</w:t>
      </w:r>
    </w:p>
    <w:p w:rsidR="00972CF8" w:rsidRPr="00E96F55" w:rsidRDefault="00972CF8" w:rsidP="00972CF8">
      <w:pPr>
        <w:pStyle w:val="AERtablesource"/>
      </w:pPr>
      <w:r w:rsidRPr="00E96F55">
        <w:tab/>
        <w:t xml:space="preserve">(d) ERA, </w:t>
      </w:r>
      <w:r w:rsidRPr="00E96F55">
        <w:rPr>
          <w:rStyle w:val="AERtextitalic"/>
        </w:rPr>
        <w:t>Explanatory statement for the draft rate of return guidelines</w:t>
      </w:r>
      <w:r w:rsidRPr="00E96F55">
        <w:t>, 6 August 2013, p. 49.</w:t>
      </w:r>
    </w:p>
    <w:p w:rsidR="00972CF8" w:rsidRPr="00E96F55" w:rsidRDefault="00972CF8" w:rsidP="00972CF8">
      <w:pPr>
        <w:numPr>
          <w:ilvl w:val="0"/>
          <w:numId w:val="25"/>
        </w:numPr>
      </w:pPr>
      <w:r w:rsidRPr="00E96F55">
        <w:t>The benchmark gearing ratio is used:</w:t>
      </w:r>
    </w:p>
    <w:p w:rsidR="00972CF8" w:rsidRPr="00E96F55" w:rsidRDefault="00972CF8" w:rsidP="00972CF8">
      <w:pPr>
        <w:pStyle w:val="AERbulletlistfirststyle"/>
      </w:pPr>
      <w:r w:rsidRPr="00E96F55">
        <w:t>to weight the expected required return</w:t>
      </w:r>
      <w:r w:rsidR="002B2D25">
        <w:t xml:space="preserve"> on debt and equity to derive an overall rate of return</w:t>
      </w:r>
    </w:p>
    <w:p w:rsidR="00972CF8" w:rsidRPr="00E96F55" w:rsidRDefault="00972CF8" w:rsidP="00972CF8">
      <w:pPr>
        <w:pStyle w:val="AERbulletlistfirststyle"/>
      </w:pPr>
      <w:r w:rsidRPr="00E96F55">
        <w:t>to re-lever the asset betas for the purposes of comparing the levels of systematic risk across businesses, and</w:t>
      </w:r>
    </w:p>
    <w:p w:rsidR="00972CF8" w:rsidRPr="00972CF8" w:rsidRDefault="00972CF8" w:rsidP="00972CF8">
      <w:pPr>
        <w:pStyle w:val="AERbulletlistfirststyle"/>
      </w:pPr>
      <w:r w:rsidRPr="00E96F55">
        <w:lastRenderedPageBreak/>
        <w:t>as a factor in estimating the benchmark credit rating.</w:t>
      </w:r>
      <w:r w:rsidRPr="00E96F55">
        <w:rPr>
          <w:rStyle w:val="FootnoteReference"/>
        </w:rPr>
        <w:footnoteReference w:id="363"/>
      </w:r>
    </w:p>
    <w:p w:rsidR="00310B3B" w:rsidRPr="00310B3B" w:rsidRDefault="00092524" w:rsidP="00310B3B">
      <w:pPr>
        <w:rPr>
          <w:rStyle w:val="AERbody"/>
        </w:rPr>
      </w:pPr>
      <w:bookmarkStart w:id="101" w:name="_Ref451351249"/>
      <w:bookmarkStart w:id="102" w:name="_Toc451938959"/>
      <w:r>
        <w:rPr>
          <w:rStyle w:val="AERbody"/>
        </w:rPr>
        <w:t xml:space="preserve">CCP members Hugh Grant and David Headberry </w:t>
      </w:r>
      <w:r w:rsidR="00310B3B" w:rsidRPr="00310B3B">
        <w:rPr>
          <w:rStyle w:val="AERbody"/>
        </w:rPr>
        <w:t xml:space="preserve">submitted that we should adopt a lower gearing ratio based </w:t>
      </w:r>
      <w:r w:rsidR="00F25B85">
        <w:rPr>
          <w:rStyle w:val="AERbody"/>
        </w:rPr>
        <w:t>for</w:t>
      </w:r>
      <w:r w:rsidR="00310B3B" w:rsidRPr="00310B3B">
        <w:rPr>
          <w:rStyle w:val="AERbody"/>
        </w:rPr>
        <w:t xml:space="preserve"> Powerlink </w:t>
      </w:r>
      <w:r w:rsidR="00F25B85">
        <w:rPr>
          <w:rStyle w:val="AERbody"/>
        </w:rPr>
        <w:t xml:space="preserve">based on its </w:t>
      </w:r>
      <w:r w:rsidR="00310B3B" w:rsidRPr="00310B3B">
        <w:rPr>
          <w:rStyle w:val="AERbody"/>
        </w:rPr>
        <w:t>actual financing arrangements.</w:t>
      </w:r>
      <w:r w:rsidR="0046710C">
        <w:rPr>
          <w:rStyle w:val="FootnoteReference"/>
        </w:rPr>
        <w:footnoteReference w:id="364"/>
      </w:r>
      <w:r w:rsidR="00310B3B">
        <w:rPr>
          <w:rStyle w:val="AERbody"/>
        </w:rPr>
        <w:t xml:space="preserve"> We note that the CCP</w:t>
      </w:r>
      <w:r>
        <w:rPr>
          <w:rStyle w:val="AERbody"/>
        </w:rPr>
        <w:t xml:space="preserve"> members</w:t>
      </w:r>
      <w:r w:rsidR="00310B3B">
        <w:rPr>
          <w:rStyle w:val="AERbody"/>
        </w:rPr>
        <w:t xml:space="preserve">' submission relies on </w:t>
      </w:r>
      <w:r w:rsidR="00937EDF">
        <w:rPr>
          <w:rStyle w:val="AERbody"/>
        </w:rPr>
        <w:t xml:space="preserve">a </w:t>
      </w:r>
      <w:r w:rsidR="00310B3B">
        <w:rPr>
          <w:rStyle w:val="AERbody"/>
        </w:rPr>
        <w:t>method for valuing Powerlink's asset base</w:t>
      </w:r>
      <w:r w:rsidR="00937EDF">
        <w:rPr>
          <w:rStyle w:val="AERbody"/>
        </w:rPr>
        <w:t xml:space="preserve"> that we consider is inconsistent with the NER (see attachment 2 to our </w:t>
      </w:r>
      <w:r w:rsidR="00F25B85">
        <w:rPr>
          <w:rStyle w:val="AERbody"/>
        </w:rPr>
        <w:t xml:space="preserve">Powerlink </w:t>
      </w:r>
      <w:r w:rsidR="00937EDF">
        <w:rPr>
          <w:rStyle w:val="AERbody"/>
        </w:rPr>
        <w:t xml:space="preserve">draft decision for more detail). In any case, we consider that using a benchmark gearing ratio will contribute to the achievement of the ARORO given </w:t>
      </w:r>
      <w:r w:rsidR="00937EDF" w:rsidRPr="00E96F55">
        <w:t>uncertainty around the theoretically optimal gearing ratio</w:t>
      </w:r>
      <w:r w:rsidR="00937EDF">
        <w:t>.</w:t>
      </w:r>
      <w:r w:rsidR="00937EDF">
        <w:rPr>
          <w:rStyle w:val="FootnoteReference"/>
        </w:rPr>
        <w:footnoteReference w:id="365"/>
      </w:r>
    </w:p>
    <w:p w:rsidR="002F6FA6" w:rsidRDefault="002F6FA6" w:rsidP="002F6FA6">
      <w:pPr>
        <w:pStyle w:val="Heading3"/>
      </w:pPr>
      <w:bookmarkStart w:id="103" w:name="_Toc462754635"/>
      <w:r>
        <w:t>Expected inflation rate</w:t>
      </w:r>
      <w:bookmarkEnd w:id="101"/>
      <w:bookmarkEnd w:id="102"/>
      <w:bookmarkEnd w:id="103"/>
    </w:p>
    <w:p w:rsidR="009D13D5" w:rsidRDefault="00972CF8" w:rsidP="00972CF8">
      <w:r>
        <w:t xml:space="preserve">Our estimate of expected inflation for this draft decision is set out in </w:t>
      </w:r>
      <w:r>
        <w:fldChar w:fldCharType="begin"/>
      </w:r>
      <w:r>
        <w:instrText xml:space="preserve"> REF  _Ref450910100 \* Lower \h </w:instrText>
      </w:r>
      <w:r>
        <w:fldChar w:fldCharType="separate"/>
      </w:r>
      <w:r w:rsidR="00691B4D">
        <w:t xml:space="preserve">table </w:t>
      </w:r>
      <w:r w:rsidR="00691B4D">
        <w:rPr>
          <w:noProof/>
        </w:rPr>
        <w:t>3</w:t>
      </w:r>
      <w:r w:rsidR="00691B4D">
        <w:noBreakHyphen/>
      </w:r>
      <w:r w:rsidR="00691B4D">
        <w:rPr>
          <w:noProof/>
        </w:rPr>
        <w:t>15</w:t>
      </w:r>
      <w:r>
        <w:fldChar w:fldCharType="end"/>
      </w:r>
      <w:r>
        <w:t xml:space="preserve">. </w:t>
      </w:r>
      <w:r w:rsidRPr="00C66100">
        <w:t xml:space="preserve">We base our approach on an average of the RBA's short term inflation forecasts and the mid-point of the </w:t>
      </w:r>
      <w:r>
        <w:t>RBA’s inflation targeting band.</w:t>
      </w:r>
      <w:r w:rsidR="009D13D5">
        <w:t xml:space="preserve"> </w:t>
      </w:r>
      <w:r w:rsidR="00DE3789">
        <w:t xml:space="preserve">TasNetworks </w:t>
      </w:r>
      <w:r w:rsidR="009D13D5">
        <w:t>also proposed to use this method to estimate expected inflation.</w:t>
      </w:r>
      <w:r w:rsidR="009737C8">
        <w:rPr>
          <w:rStyle w:val="FootnoteReference"/>
        </w:rPr>
        <w:footnoteReference w:id="366"/>
      </w:r>
      <w:r w:rsidR="009D13D5">
        <w:t xml:space="preserve"> </w:t>
      </w:r>
    </w:p>
    <w:p w:rsidR="00972CF8" w:rsidRDefault="009D13D5" w:rsidP="00972CF8">
      <w:r>
        <w:fldChar w:fldCharType="begin"/>
      </w:r>
      <w:r>
        <w:instrText xml:space="preserve"> REF _Ref450910100 \h </w:instrText>
      </w:r>
      <w:r>
        <w:fldChar w:fldCharType="separate"/>
      </w:r>
      <w:r w:rsidR="00691B4D">
        <w:t xml:space="preserve">Table </w:t>
      </w:r>
      <w:r w:rsidR="00691B4D">
        <w:rPr>
          <w:noProof/>
        </w:rPr>
        <w:t>3</w:t>
      </w:r>
      <w:r w:rsidR="00691B4D">
        <w:noBreakHyphen/>
      </w:r>
      <w:r w:rsidR="00691B4D">
        <w:rPr>
          <w:noProof/>
        </w:rPr>
        <w:t>15</w:t>
      </w:r>
      <w:r>
        <w:fldChar w:fldCharType="end"/>
      </w:r>
      <w:r>
        <w:t xml:space="preserve"> is based on the RBA's August 2016 Statement of Monetary Policy. W</w:t>
      </w:r>
      <w:r w:rsidR="00972CF8" w:rsidRPr="00AF5BA1">
        <w:t xml:space="preserve">e will update </w:t>
      </w:r>
      <w:r w:rsidR="00972CF8">
        <w:t>our estimated</w:t>
      </w:r>
      <w:r w:rsidR="00972CF8" w:rsidRPr="00AF5BA1">
        <w:t xml:space="preserve"> expected inflation rate </w:t>
      </w:r>
      <w:r w:rsidR="00972CF8">
        <w:t>for the RBA’s most recent inflation forecasts available as close as practical to the publication of our final decision.</w:t>
      </w:r>
    </w:p>
    <w:p w:rsidR="00972CF8" w:rsidRDefault="00972CF8" w:rsidP="00972CF8">
      <w:pPr>
        <w:pStyle w:val="Caption"/>
      </w:pPr>
      <w:bookmarkStart w:id="104" w:name="_Ref450910100"/>
      <w:r>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15</w:t>
      </w:r>
      <w:r w:rsidR="00AB6D99">
        <w:rPr>
          <w:noProof/>
        </w:rPr>
        <w:fldChar w:fldCharType="end"/>
      </w:r>
      <w:bookmarkEnd w:id="104"/>
      <w:r>
        <w:tab/>
      </w:r>
      <w:r w:rsidRPr="00C66100">
        <w:t xml:space="preserve">AER </w:t>
      </w:r>
      <w:r>
        <w:t>estimate of expected inflation</w:t>
      </w:r>
      <w:r w:rsidRPr="00C66100">
        <w:t xml:space="preserve"> (per cent)</w:t>
      </w:r>
    </w:p>
    <w:tbl>
      <w:tblPr>
        <w:tblStyle w:val="AERtable-numbers"/>
        <w:tblW w:w="5000" w:type="pct"/>
        <w:tblLook w:val="04A0" w:firstRow="1" w:lastRow="0" w:firstColumn="1" w:lastColumn="0" w:noHBand="0" w:noVBand="1"/>
      </w:tblPr>
      <w:tblGrid>
        <w:gridCol w:w="2560"/>
        <w:gridCol w:w="1154"/>
        <w:gridCol w:w="1154"/>
        <w:gridCol w:w="1728"/>
        <w:gridCol w:w="2097"/>
      </w:tblGrid>
      <w:tr w:rsidR="001443CB" w:rsidRPr="00616FA2" w:rsidTr="00144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rsidR="001443CB" w:rsidRPr="00972CF8" w:rsidRDefault="001443CB" w:rsidP="00972CF8">
            <w:r>
              <w:t>Expected</w:t>
            </w:r>
            <w:r w:rsidRPr="00972CF8">
              <w:t xml:space="preserve"> inflation</w:t>
            </w:r>
          </w:p>
        </w:tc>
        <w:tc>
          <w:tcPr>
            <w:tcW w:w="664" w:type="pct"/>
          </w:tcPr>
          <w:p w:rsidR="001443CB" w:rsidRDefault="001443CB" w:rsidP="00972CF8">
            <w:pPr>
              <w:cnfStyle w:val="100000000000" w:firstRow="1" w:lastRow="0" w:firstColumn="0" w:lastColumn="0" w:oddVBand="0" w:evenVBand="0" w:oddHBand="0" w:evenHBand="0" w:firstRowFirstColumn="0" w:firstRowLastColumn="0" w:lastRowFirstColumn="0" w:lastRowLastColumn="0"/>
            </w:pPr>
            <w:r>
              <w:t>2017–18</w:t>
            </w:r>
          </w:p>
        </w:tc>
        <w:tc>
          <w:tcPr>
            <w:tcW w:w="664" w:type="pct"/>
          </w:tcPr>
          <w:p w:rsidR="001443CB" w:rsidRPr="00972CF8" w:rsidRDefault="001443CB" w:rsidP="001443CB">
            <w:pPr>
              <w:cnfStyle w:val="100000000000" w:firstRow="1" w:lastRow="0" w:firstColumn="0" w:lastColumn="0" w:oddVBand="0" w:evenVBand="0" w:oddHBand="0" w:evenHBand="0" w:firstRowFirstColumn="0" w:firstRowLastColumn="0" w:lastRowFirstColumn="0" w:lastRowLastColumn="0"/>
            </w:pPr>
            <w:r>
              <w:t>20</w:t>
            </w:r>
            <w:r w:rsidRPr="00972CF8">
              <w:t>1</w:t>
            </w:r>
            <w:r>
              <w:t>8</w:t>
            </w:r>
            <w:r w:rsidRPr="00972CF8">
              <w:t>–1</w:t>
            </w:r>
            <w:r>
              <w:t>9</w:t>
            </w:r>
          </w:p>
        </w:tc>
        <w:tc>
          <w:tcPr>
            <w:tcW w:w="994" w:type="pct"/>
          </w:tcPr>
          <w:p w:rsidR="001443CB" w:rsidRPr="00972CF8" w:rsidRDefault="001443CB" w:rsidP="00972CF8">
            <w:pPr>
              <w:cnfStyle w:val="100000000000" w:firstRow="1" w:lastRow="0" w:firstColumn="0" w:lastColumn="0" w:oddVBand="0" w:evenVBand="0" w:oddHBand="0" w:evenHBand="0" w:firstRowFirstColumn="0" w:firstRowLastColumn="0" w:lastRowFirstColumn="0" w:lastRowLastColumn="0"/>
            </w:pPr>
            <w:r>
              <w:t>2019</w:t>
            </w:r>
            <w:r w:rsidRPr="00972CF8">
              <w:t>–20 to 2026–27</w:t>
            </w:r>
          </w:p>
        </w:tc>
        <w:tc>
          <w:tcPr>
            <w:tcW w:w="1206" w:type="pct"/>
          </w:tcPr>
          <w:p w:rsidR="001443CB" w:rsidRPr="00972CF8" w:rsidRDefault="001443CB" w:rsidP="00972CF8">
            <w:pPr>
              <w:cnfStyle w:val="100000000000" w:firstRow="1" w:lastRow="0" w:firstColumn="0" w:lastColumn="0" w:oddVBand="0" w:evenVBand="0" w:oddHBand="0" w:evenHBand="0" w:firstRowFirstColumn="0" w:firstRowLastColumn="0" w:lastRowFirstColumn="0" w:lastRowLastColumn="0"/>
            </w:pPr>
            <w:r w:rsidRPr="00616FA2">
              <w:t xml:space="preserve">Geometric </w:t>
            </w:r>
            <w:r w:rsidRPr="00972CF8">
              <w:t>average</w:t>
            </w:r>
          </w:p>
        </w:tc>
      </w:tr>
      <w:tr w:rsidR="001443CB" w:rsidRPr="00616FA2" w:rsidTr="001443CB">
        <w:tc>
          <w:tcPr>
            <w:cnfStyle w:val="001000000000" w:firstRow="0" w:lastRow="0" w:firstColumn="1" w:lastColumn="0" w:oddVBand="0" w:evenVBand="0" w:oddHBand="0" w:evenHBand="0" w:firstRowFirstColumn="0" w:firstRowLastColumn="0" w:lastRowFirstColumn="0" w:lastRowLastColumn="0"/>
            <w:tcW w:w="1472" w:type="pct"/>
          </w:tcPr>
          <w:p w:rsidR="001443CB" w:rsidRPr="00972CF8" w:rsidRDefault="00E54FDB" w:rsidP="00972CF8">
            <w:r>
              <w:t xml:space="preserve">TasNetworks </w:t>
            </w:r>
            <w:r w:rsidR="001443CB">
              <w:t xml:space="preserve">proposal </w:t>
            </w:r>
            <w:r w:rsidR="009D13D5">
              <w:t>(indicative)</w:t>
            </w:r>
          </w:p>
        </w:tc>
        <w:tc>
          <w:tcPr>
            <w:tcW w:w="664" w:type="pct"/>
          </w:tcPr>
          <w:p w:rsidR="001443CB" w:rsidRDefault="001443CB">
            <w:pPr>
              <w:cnfStyle w:val="000000000000" w:firstRow="0" w:lastRow="0" w:firstColumn="0" w:lastColumn="0" w:oddVBand="0" w:evenVBand="0" w:oddHBand="0" w:evenHBand="0" w:firstRowFirstColumn="0" w:firstRowLastColumn="0" w:lastRowFirstColumn="0" w:lastRowLastColumn="0"/>
            </w:pPr>
            <w:r>
              <w:t>2.5</w:t>
            </w:r>
            <w:r w:rsidR="00E54FDB">
              <w:t>0</w:t>
            </w:r>
          </w:p>
        </w:tc>
        <w:tc>
          <w:tcPr>
            <w:tcW w:w="664" w:type="pct"/>
          </w:tcPr>
          <w:p w:rsidR="001443CB" w:rsidRPr="00972CF8" w:rsidRDefault="001443CB">
            <w:pPr>
              <w:cnfStyle w:val="000000000000" w:firstRow="0" w:lastRow="0" w:firstColumn="0" w:lastColumn="0" w:oddVBand="0" w:evenVBand="0" w:oddHBand="0" w:evenHBand="0" w:firstRowFirstColumn="0" w:firstRowLastColumn="0" w:lastRowFirstColumn="0" w:lastRowLastColumn="0"/>
            </w:pPr>
            <w:r>
              <w:t>2.5</w:t>
            </w:r>
            <w:r w:rsidR="00E54FDB">
              <w:t>0</w:t>
            </w:r>
          </w:p>
        </w:tc>
        <w:tc>
          <w:tcPr>
            <w:tcW w:w="994" w:type="pct"/>
          </w:tcPr>
          <w:p w:rsidR="001443CB" w:rsidRPr="00972CF8" w:rsidRDefault="001443CB" w:rsidP="00972CF8">
            <w:pPr>
              <w:cnfStyle w:val="000000000000" w:firstRow="0" w:lastRow="0" w:firstColumn="0" w:lastColumn="0" w:oddVBand="0" w:evenVBand="0" w:oddHBand="0" w:evenHBand="0" w:firstRowFirstColumn="0" w:firstRowLastColumn="0" w:lastRowFirstColumn="0" w:lastRowLastColumn="0"/>
            </w:pPr>
            <w:r>
              <w:t>2.5</w:t>
            </w:r>
            <w:r w:rsidR="00E54FDB">
              <w:t>0</w:t>
            </w:r>
          </w:p>
        </w:tc>
        <w:tc>
          <w:tcPr>
            <w:tcW w:w="1206" w:type="pct"/>
          </w:tcPr>
          <w:p w:rsidR="001443CB" w:rsidRPr="00972CF8" w:rsidRDefault="001443CB">
            <w:pPr>
              <w:cnfStyle w:val="000000000000" w:firstRow="0" w:lastRow="0" w:firstColumn="0" w:lastColumn="0" w:oddVBand="0" w:evenVBand="0" w:oddHBand="0" w:evenHBand="0" w:firstRowFirstColumn="0" w:firstRowLastColumn="0" w:lastRowFirstColumn="0" w:lastRowLastColumn="0"/>
            </w:pPr>
            <w:r>
              <w:t>2.5</w:t>
            </w:r>
            <w:r w:rsidR="00E54FDB">
              <w:t>0</w:t>
            </w:r>
          </w:p>
        </w:tc>
      </w:tr>
      <w:tr w:rsidR="001443CB" w:rsidRPr="00616FA2" w:rsidTr="001443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rsidR="001443CB" w:rsidRPr="00972CF8" w:rsidRDefault="001443CB" w:rsidP="009D13D5">
            <w:r>
              <w:t>AER draft decision</w:t>
            </w:r>
          </w:p>
        </w:tc>
        <w:tc>
          <w:tcPr>
            <w:tcW w:w="664" w:type="pct"/>
          </w:tcPr>
          <w:p w:rsidR="001443CB" w:rsidRDefault="003C7DE9" w:rsidP="003C7DE9">
            <w:pPr>
              <w:cnfStyle w:val="000000010000" w:firstRow="0" w:lastRow="0" w:firstColumn="0" w:lastColumn="0" w:oddVBand="0" w:evenVBand="0" w:oddHBand="0" w:evenHBand="1" w:firstRowFirstColumn="0" w:firstRowLastColumn="0" w:lastRowFirstColumn="0" w:lastRowLastColumn="0"/>
            </w:pPr>
            <w:r>
              <w:t>2.00</w:t>
            </w:r>
            <w:r w:rsidR="009D13D5" w:rsidRPr="003C7DE9">
              <w:t xml:space="preserve"> </w:t>
            </w:r>
            <w:r w:rsidR="009D13D5" w:rsidRPr="009D13D5">
              <w:rPr>
                <w:rStyle w:val="FootnoteReference"/>
              </w:rPr>
              <w:t>a</w:t>
            </w:r>
          </w:p>
        </w:tc>
        <w:tc>
          <w:tcPr>
            <w:tcW w:w="664" w:type="pct"/>
          </w:tcPr>
          <w:p w:rsidR="001443CB" w:rsidRPr="00972CF8" w:rsidRDefault="003C7DE9" w:rsidP="009D13D5">
            <w:pPr>
              <w:cnfStyle w:val="000000010000" w:firstRow="0" w:lastRow="0" w:firstColumn="0" w:lastColumn="0" w:oddVBand="0" w:evenVBand="0" w:oddHBand="0" w:evenHBand="1" w:firstRowFirstColumn="0" w:firstRowLastColumn="0" w:lastRowFirstColumn="0" w:lastRowLastColumn="0"/>
            </w:pPr>
            <w:r>
              <w:t>2.50</w:t>
            </w:r>
            <w:r w:rsidR="009D13D5" w:rsidRPr="003C7DE9">
              <w:t xml:space="preserve"> </w:t>
            </w:r>
            <w:r w:rsidR="009D13D5">
              <w:rPr>
                <w:rStyle w:val="FootnoteReference"/>
              </w:rPr>
              <w:t>b</w:t>
            </w:r>
          </w:p>
        </w:tc>
        <w:tc>
          <w:tcPr>
            <w:tcW w:w="994" w:type="pct"/>
          </w:tcPr>
          <w:p w:rsidR="001443CB" w:rsidRPr="00972CF8" w:rsidRDefault="001443CB" w:rsidP="00972CF8">
            <w:pPr>
              <w:cnfStyle w:val="000000010000" w:firstRow="0" w:lastRow="0" w:firstColumn="0" w:lastColumn="0" w:oddVBand="0" w:evenVBand="0" w:oddHBand="0" w:evenHBand="1" w:firstRowFirstColumn="0" w:firstRowLastColumn="0" w:lastRowFirstColumn="0" w:lastRowLastColumn="0"/>
            </w:pPr>
            <w:r>
              <w:t>2.5</w:t>
            </w:r>
            <w:r w:rsidR="003C7DE9">
              <w:t>0</w:t>
            </w:r>
          </w:p>
        </w:tc>
        <w:tc>
          <w:tcPr>
            <w:tcW w:w="1206" w:type="pct"/>
          </w:tcPr>
          <w:p w:rsidR="001443CB" w:rsidRPr="00972CF8" w:rsidRDefault="00C52035" w:rsidP="000F260B">
            <w:pPr>
              <w:cnfStyle w:val="000000010000" w:firstRow="0" w:lastRow="0" w:firstColumn="0" w:lastColumn="0" w:oddVBand="0" w:evenVBand="0" w:oddHBand="0" w:evenHBand="1" w:firstRowFirstColumn="0" w:firstRowLastColumn="0" w:lastRowFirstColumn="0" w:lastRowLastColumn="0"/>
            </w:pPr>
            <w:r>
              <w:t>2.45</w:t>
            </w:r>
          </w:p>
        </w:tc>
      </w:tr>
    </w:tbl>
    <w:p w:rsidR="00972CF8" w:rsidRDefault="00972CF8" w:rsidP="00972CF8">
      <w:pPr>
        <w:pStyle w:val="AERtablesource"/>
      </w:pPr>
      <w:r w:rsidRPr="008234EE">
        <w:t xml:space="preserve">Source: </w:t>
      </w:r>
      <w:r>
        <w:tab/>
      </w:r>
      <w:r w:rsidR="00DE3789">
        <w:t xml:space="preserve">TasNetworks, </w:t>
      </w:r>
      <w:r w:rsidR="00DE3789" w:rsidRPr="00A23DF5">
        <w:rPr>
          <w:rStyle w:val="AERtextitalic"/>
        </w:rPr>
        <w:t>Tasmanian Distribution Regulatory Proposal Regulatory Control Period 1 July 2017 to 30 June 2019</w:t>
      </w:r>
      <w:r w:rsidR="00DE3789">
        <w:t>, 29 January 2016, p. 117</w:t>
      </w:r>
      <w:r>
        <w:t xml:space="preserve">; </w:t>
      </w:r>
      <w:r w:rsidRPr="00A00BC9">
        <w:t xml:space="preserve">RBA, </w:t>
      </w:r>
      <w:r w:rsidRPr="00A00BC9">
        <w:rPr>
          <w:rStyle w:val="AERtextitalic"/>
        </w:rPr>
        <w:t>Statement on Monetary Policy</w:t>
      </w:r>
      <w:r>
        <w:t xml:space="preserve">, </w:t>
      </w:r>
      <w:r w:rsidR="007D57D8">
        <w:t>August</w:t>
      </w:r>
      <w:r>
        <w:t xml:space="preserve"> 2016, p. 6</w:t>
      </w:r>
      <w:r w:rsidR="003C7DE9">
        <w:t>7</w:t>
      </w:r>
      <w:r w:rsidRPr="001372F5">
        <w:t>.</w:t>
      </w:r>
    </w:p>
    <w:p w:rsidR="00972CF8" w:rsidRDefault="00972CF8" w:rsidP="00972CF8">
      <w:pPr>
        <w:pStyle w:val="AERtablesource"/>
      </w:pPr>
      <w:r w:rsidRPr="008234EE">
        <w:t>(</w:t>
      </w:r>
      <w:r w:rsidR="000F260B">
        <w:t>a</w:t>
      </w:r>
      <w:r w:rsidRPr="008234EE">
        <w:t xml:space="preserve">) </w:t>
      </w:r>
      <w:r>
        <w:tab/>
        <w:t xml:space="preserve">In </w:t>
      </w:r>
      <w:r w:rsidR="007D57D8">
        <w:t>August</w:t>
      </w:r>
      <w:r>
        <w:t xml:space="preserve"> 2016</w:t>
      </w:r>
      <w:r w:rsidRPr="00AF5BA1">
        <w:t xml:space="preserve">, the RBA published a range </w:t>
      </w:r>
      <w:r>
        <w:t>of</w:t>
      </w:r>
      <w:r w:rsidRPr="00AF5BA1">
        <w:t xml:space="preserve"> </w:t>
      </w:r>
      <w:r>
        <w:t xml:space="preserve">1.5–2.5 </w:t>
      </w:r>
      <w:r w:rsidRPr="00AF5BA1">
        <w:t xml:space="preserve">per cent for its </w:t>
      </w:r>
      <w:r w:rsidR="007D57D8">
        <w:t>June</w:t>
      </w:r>
      <w:r>
        <w:t xml:space="preserve"> 201</w:t>
      </w:r>
      <w:r w:rsidR="003C7DE9">
        <w:t>8</w:t>
      </w:r>
      <w:r>
        <w:t xml:space="preserve"> C</w:t>
      </w:r>
      <w:r w:rsidR="00B63D5D">
        <w:t xml:space="preserve">onsumer </w:t>
      </w:r>
      <w:r>
        <w:t>P</w:t>
      </w:r>
      <w:r w:rsidR="00B63D5D">
        <w:t xml:space="preserve">rice </w:t>
      </w:r>
      <w:r>
        <w:t>I</w:t>
      </w:r>
      <w:r w:rsidR="00B63D5D">
        <w:t>ndex (CPI)</w:t>
      </w:r>
      <w:r>
        <w:t xml:space="preserve"> inflation forecast</w:t>
      </w:r>
      <w:r w:rsidRPr="00AF5BA1">
        <w:t xml:space="preserve">. </w:t>
      </w:r>
      <w:r>
        <w:t>We select</w:t>
      </w:r>
      <w:r w:rsidRPr="008234EE">
        <w:t xml:space="preserve"> the mid-poin</w:t>
      </w:r>
      <w:r>
        <w:t>t from this range.</w:t>
      </w:r>
    </w:p>
    <w:p w:rsidR="009D13D5" w:rsidRDefault="009D13D5" w:rsidP="009D13D5">
      <w:pPr>
        <w:pStyle w:val="AERtablesource"/>
      </w:pPr>
      <w:r w:rsidRPr="008234EE">
        <w:t>(</w:t>
      </w:r>
      <w:r>
        <w:t>b</w:t>
      </w:r>
      <w:r w:rsidRPr="008234EE">
        <w:t xml:space="preserve">) </w:t>
      </w:r>
      <w:r>
        <w:tab/>
        <w:t>The August 2016 statement of monetary policy did not have a CPI inflation forecast for the year ending June 2019. However, we expect this forecast to be included in the RBA's February 2017 statement of monetary policy, which we will take into account in our final decision.</w:t>
      </w:r>
    </w:p>
    <w:p w:rsidR="009D13D5" w:rsidRDefault="009D13D5" w:rsidP="009D13D5">
      <w:r w:rsidRPr="00C66100">
        <w:lastRenderedPageBreak/>
        <w:t>This</w:t>
      </w:r>
      <w:r>
        <w:t xml:space="preserve"> method is consistent with what w</w:t>
      </w:r>
      <w:r w:rsidRPr="00C66100">
        <w:t>e have previously adopted</w:t>
      </w:r>
      <w:r>
        <w:t xml:space="preserve"> and applied since 2008, as well as</w:t>
      </w:r>
      <w:r w:rsidRPr="00E04B8A">
        <w:t xml:space="preserve"> our </w:t>
      </w:r>
      <w:r>
        <w:t>recent</w:t>
      </w:r>
      <w:r w:rsidRPr="00E04B8A">
        <w:t xml:space="preserve"> de</w:t>
      </w:r>
      <w:r>
        <w:t>cisions (the current method).</w:t>
      </w:r>
      <w:r w:rsidRPr="00DA79C8">
        <w:rPr>
          <w:rStyle w:val="FootnoteReference"/>
        </w:rPr>
        <w:footnoteReference w:id="367"/>
      </w:r>
      <w:r>
        <w:t xml:space="preserve"> We consider the current method to be a reasonable estimation method for the following reasons:</w:t>
      </w:r>
    </w:p>
    <w:p w:rsidR="009D13D5" w:rsidRPr="007614B1" w:rsidRDefault="009D13D5" w:rsidP="009D13D5">
      <w:pPr>
        <w:pStyle w:val="AERbulletlistfirststyle"/>
      </w:pPr>
      <w:r>
        <w:t xml:space="preserve">RBA </w:t>
      </w:r>
      <w:r w:rsidRPr="007614B1">
        <w:t xml:space="preserve">research </w:t>
      </w:r>
      <w:r>
        <w:t>indicates that its one</w:t>
      </w:r>
      <w:r w:rsidRPr="007614B1">
        <w:t xml:space="preserve"> year inflation forecasts have substantial explanatory power.</w:t>
      </w:r>
      <w:r w:rsidRPr="007614B1">
        <w:rPr>
          <w:rStyle w:val="FootnoteReference"/>
        </w:rPr>
        <w:footnoteReference w:id="368"/>
      </w:r>
    </w:p>
    <w:p w:rsidR="009D13D5" w:rsidRDefault="009D13D5" w:rsidP="009D13D5">
      <w:pPr>
        <w:pStyle w:val="AERbulletlistfirststyle"/>
      </w:pPr>
      <w:r w:rsidRPr="00D62DC1">
        <w:t>To the extent that the historical success of RBA monetary policy informs m</w:t>
      </w:r>
      <w:r>
        <w:t xml:space="preserve">arket </w:t>
      </w:r>
      <w:r w:rsidRPr="00D62DC1">
        <w:t xml:space="preserve">consensus inflation expectations, </w:t>
      </w:r>
      <w:r>
        <w:t xml:space="preserve">the mid-point of the RBA's inflation targeting band </w:t>
      </w:r>
      <w:r w:rsidRPr="00D62DC1">
        <w:t xml:space="preserve">would </w:t>
      </w:r>
      <w:r>
        <w:t>reflect</w:t>
      </w:r>
      <w:r w:rsidRPr="00D62DC1">
        <w:t xml:space="preserve"> longer term inflation expectations.</w:t>
      </w:r>
      <w:r>
        <w:t xml:space="preserve"> We note that s</w:t>
      </w:r>
      <w:r w:rsidRPr="00883AE6">
        <w:t xml:space="preserve">ince inflation </w:t>
      </w:r>
      <w:r w:rsidRPr="004B3EE3">
        <w:t>rate targeting in 1993, the average annuali</w:t>
      </w:r>
      <w:r>
        <w:t>sed inflation rate has been approximately 2.6 per cent, which is close to the 2.5 per cent</w:t>
      </w:r>
      <w:r w:rsidRPr="004B3EE3">
        <w:t xml:space="preserve"> midpoint of the target band.</w:t>
      </w:r>
    </w:p>
    <w:p w:rsidR="009D13D5" w:rsidRDefault="009D13D5" w:rsidP="009D13D5">
      <w:pPr>
        <w:pStyle w:val="AERbulletlistfirststyle"/>
      </w:pPr>
      <w:r>
        <w:t>Evidence indicates</w:t>
      </w:r>
      <w:r w:rsidRPr="007614B1">
        <w:t xml:space="preserve"> that the RBA's control of official interest rates and commentary has an impact on outturn inflation and inflation expectations.</w:t>
      </w:r>
      <w:r w:rsidRPr="007614B1">
        <w:rPr>
          <w:rStyle w:val="FootnoteReference"/>
        </w:rPr>
        <w:footnoteReference w:id="369"/>
      </w:r>
    </w:p>
    <w:p w:rsidR="009D13D5" w:rsidRDefault="009D13D5" w:rsidP="009D13D5">
      <w:pPr>
        <w:pStyle w:val="AERbulletlistfirststyle"/>
      </w:pPr>
      <w:r w:rsidRPr="00B6405A">
        <w:t>This</w:t>
      </w:r>
      <w:r>
        <w:t xml:space="preserve"> method</w:t>
      </w:r>
      <w:r w:rsidRPr="00B6405A">
        <w:t xml:space="preserve"> is simple, transparent, easily replicated and unlikely to be subject to estimation error.</w:t>
      </w:r>
    </w:p>
    <w:p w:rsidR="00972CF8" w:rsidRDefault="000C11B7" w:rsidP="00972CF8">
      <w:r>
        <w:t>A</w:t>
      </w:r>
      <w:r w:rsidR="0097636F">
        <w:t xml:space="preserve">lthough </w:t>
      </w:r>
      <w:r w:rsidR="004460C9">
        <w:t xml:space="preserve">TasNetworks </w:t>
      </w:r>
      <w:r w:rsidR="0097636F">
        <w:t>proposed this method, a</w:t>
      </w:r>
      <w:r>
        <w:t xml:space="preserve"> number of </w:t>
      </w:r>
      <w:r w:rsidR="0097636F">
        <w:t xml:space="preserve">other </w:t>
      </w:r>
      <w:r>
        <w:t>s</w:t>
      </w:r>
      <w:r w:rsidR="00972CF8">
        <w:t>ervice</w:t>
      </w:r>
      <w:r>
        <w:t xml:space="preserve"> providers recently </w:t>
      </w:r>
      <w:r w:rsidR="00972CF8">
        <w:t>propose</w:t>
      </w:r>
      <w:r>
        <w:t>d</w:t>
      </w:r>
      <w:r w:rsidR="00972CF8">
        <w:t xml:space="preserve"> estimat</w:t>
      </w:r>
      <w:r>
        <w:t>ing</w:t>
      </w:r>
      <w:r w:rsidR="00972CF8">
        <w:t xml:space="preserve"> expected inflation </w:t>
      </w:r>
      <w:r>
        <w:t>by using</w:t>
      </w:r>
      <w:r w:rsidR="00972CF8">
        <w:t xml:space="preserve"> the 'breakeven approach'.</w:t>
      </w:r>
      <w:r w:rsidR="00972CF8">
        <w:rPr>
          <w:rStyle w:val="FootnoteReference"/>
        </w:rPr>
        <w:footnoteReference w:id="370"/>
      </w:r>
      <w:r w:rsidR="00972CF8">
        <w:t xml:space="preserve"> </w:t>
      </w:r>
      <w:r w:rsidRPr="00A9475D">
        <w:t>The</w:t>
      </w:r>
      <w:r>
        <w:t xml:space="preserve"> breakeven approach entails estimating the inflation rate </w:t>
      </w:r>
      <w:r w:rsidRPr="00A9475D">
        <w:t>in which an investor would be indifferent between investing in nominal bonds and indexed bonds.</w:t>
      </w:r>
      <w:r>
        <w:t xml:space="preserve"> This inflation rate is </w:t>
      </w:r>
      <w:r w:rsidRPr="00A9475D">
        <w:t>implied from nominal and indexed bond yields of the same maturity.</w:t>
      </w:r>
    </w:p>
    <w:p w:rsidR="007B1E8D" w:rsidRDefault="000C11B7" w:rsidP="000C11B7">
      <w:r>
        <w:t xml:space="preserve">Our draft decision is to apply </w:t>
      </w:r>
      <w:r w:rsidR="009D13D5">
        <w:t>our</w:t>
      </w:r>
      <w:r>
        <w:t xml:space="preserve"> current </w:t>
      </w:r>
      <w:r w:rsidRPr="007568F9">
        <w:t xml:space="preserve">method rather than to use </w:t>
      </w:r>
      <w:r>
        <w:t>the</w:t>
      </w:r>
      <w:r w:rsidRPr="007568F9">
        <w:t xml:space="preserve"> breakeven </w:t>
      </w:r>
      <w:r>
        <w:t>approach</w:t>
      </w:r>
      <w:r w:rsidRPr="007568F9">
        <w:t>.</w:t>
      </w:r>
      <w:r>
        <w:t xml:space="preserve"> We consider there are </w:t>
      </w:r>
      <w:r w:rsidRPr="005F5142">
        <w:t xml:space="preserve">clear limitations to </w:t>
      </w:r>
      <w:r>
        <w:t>using</w:t>
      </w:r>
      <w:r w:rsidRPr="005F5142">
        <w:t xml:space="preserve"> breakeven approach</w:t>
      </w:r>
      <w:r>
        <w:t>es</w:t>
      </w:r>
      <w:r w:rsidRPr="005F5142">
        <w:t xml:space="preserve"> that result in biase</w:t>
      </w:r>
      <w:r>
        <w:t>d estimates of expected inflation</w:t>
      </w:r>
      <w:r w:rsidRPr="005F5142">
        <w:t xml:space="preserve"> unless particular adjustments are made to these estimates. </w:t>
      </w:r>
      <w:r>
        <w:t xml:space="preserve">We outlined these potential adjustments in Table 3-25 in Attachment 3 to our final decision on AusNet Services 2016–20 distribution determination. </w:t>
      </w:r>
    </w:p>
    <w:p w:rsidR="000C11B7" w:rsidRPr="005F5142" w:rsidRDefault="000C11B7" w:rsidP="000C11B7">
      <w:r>
        <w:t>So far, no stakeholder</w:t>
      </w:r>
      <w:r w:rsidRPr="005F5142">
        <w:t xml:space="preserve"> has put any material before us to discuss the limitations</w:t>
      </w:r>
      <w:r w:rsidR="007B1E8D">
        <w:t xml:space="preserve"> of the breakeven approach</w:t>
      </w:r>
      <w:r w:rsidRPr="005F5142">
        <w:t xml:space="preserve"> or how </w:t>
      </w:r>
      <w:r>
        <w:t>to adjust for them</w:t>
      </w:r>
      <w:r w:rsidRPr="005F5142">
        <w:t>.</w:t>
      </w:r>
      <w:r w:rsidR="007B1E8D">
        <w:t xml:space="preserve"> </w:t>
      </w:r>
      <w:r w:rsidR="004F65B6">
        <w:t>Without</w:t>
      </w:r>
      <w:r w:rsidR="007B1E8D">
        <w:t xml:space="preserve"> consensus on the appropriate methods for addressing these limitations</w:t>
      </w:r>
      <w:r w:rsidR="004F65B6">
        <w:t>, t</w:t>
      </w:r>
      <w:r w:rsidR="007B1E8D">
        <w:t xml:space="preserve">he breakeven approach may increase </w:t>
      </w:r>
      <w:r w:rsidR="007B1E8D">
        <w:lastRenderedPageBreak/>
        <w:t>uncertainty</w:t>
      </w:r>
      <w:r w:rsidR="004F65B6">
        <w:t xml:space="preserve"> and </w:t>
      </w:r>
      <w:r w:rsidR="007B1E8D">
        <w:t xml:space="preserve">the potential for bias as a result of regulatory gaming, relative to our current approach based on RBA forecasts. </w:t>
      </w:r>
    </w:p>
    <w:p w:rsidR="000C11B7" w:rsidRDefault="007B1E8D" w:rsidP="00972CF8">
      <w:r>
        <w:t>Further</w:t>
      </w:r>
      <w:r w:rsidR="00F62A07">
        <w:t>, market imperfections can undermine the ability of breakeven approaches to estimate the market's inflation expectations. D</w:t>
      </w:r>
      <w:r w:rsidR="00F62A07" w:rsidRPr="005F5142">
        <w:t>espite having improved since 2007,</w:t>
      </w:r>
      <w:r w:rsidR="00E804A8">
        <w:rPr>
          <w:rStyle w:val="FootnoteReference"/>
        </w:rPr>
        <w:footnoteReference w:id="371"/>
      </w:r>
      <w:r w:rsidR="00F62A07" w:rsidRPr="005F5142">
        <w:t xml:space="preserve"> </w:t>
      </w:r>
      <w:r w:rsidR="00F62A07">
        <w:t xml:space="preserve">we consider that </w:t>
      </w:r>
      <w:r w:rsidR="00F62A07" w:rsidRPr="005F5142">
        <w:t xml:space="preserve">the size and liquidity of the market </w:t>
      </w:r>
      <w:r w:rsidR="00F62A07">
        <w:t xml:space="preserve">for </w:t>
      </w:r>
      <w:r w:rsidR="00F62A07" w:rsidRPr="005F5142">
        <w:t xml:space="preserve">indexed </w:t>
      </w:r>
      <w:r w:rsidR="00F62A07">
        <w:t>Australian government bonds</w:t>
      </w:r>
      <w:r w:rsidR="00F62A07" w:rsidRPr="005F5142">
        <w:t xml:space="preserve"> is still limited</w:t>
      </w:r>
      <w:r w:rsidR="00E804A8">
        <w:t xml:space="preserve"> and may cause biases in breakeven inflation estimates</w:t>
      </w:r>
      <w:r w:rsidR="00F62A07" w:rsidRPr="005F5142">
        <w:t>.</w:t>
      </w:r>
      <w:r w:rsidR="00F62A07" w:rsidRPr="005F5142">
        <w:rPr>
          <w:rStyle w:val="FootnoteReference"/>
        </w:rPr>
        <w:footnoteReference w:id="372"/>
      </w:r>
    </w:p>
    <w:p w:rsidR="000C11B7" w:rsidRDefault="00F62A07" w:rsidP="00972CF8">
      <w:r>
        <w:t xml:space="preserve">Given the information currently before us, and considering the limited amount of consultation we have been able to undertake on a parameter that </w:t>
      </w:r>
      <w:r w:rsidRPr="00972CF8">
        <w:t>should apply to all service providers</w:t>
      </w:r>
      <w:r>
        <w:t xml:space="preserve">, we are not satisfied that changing our approach would improve our estimates of expected inflation. </w:t>
      </w:r>
    </w:p>
    <w:p w:rsidR="00F62A07" w:rsidRDefault="00F62A07" w:rsidP="00972CF8"/>
    <w:p w:rsidR="007D57D8" w:rsidRDefault="007D57D8" w:rsidP="00972CF8"/>
    <w:p w:rsidR="003920C5" w:rsidRDefault="003920C5" w:rsidP="002F6FA6">
      <w:pPr>
        <w:spacing w:line="240" w:lineRule="auto"/>
      </w:pPr>
      <w:r>
        <w:br w:type="page"/>
      </w:r>
    </w:p>
    <w:p w:rsidR="00312F8A" w:rsidRDefault="0068171D" w:rsidP="00312F8A">
      <w:pPr>
        <w:pStyle w:val="Heading7"/>
      </w:pPr>
      <w:bookmarkStart w:id="105" w:name="_Ref456978055"/>
      <w:bookmarkStart w:id="106" w:name="_Toc462754636"/>
      <w:bookmarkStart w:id="107" w:name="_Ref451267680"/>
      <w:bookmarkStart w:id="108" w:name="_Ref451267772"/>
      <w:bookmarkStart w:id="109" w:name="_Ref451267793"/>
      <w:bookmarkStart w:id="110" w:name="_Ref451267832"/>
      <w:bookmarkStart w:id="111" w:name="_Ref451267844"/>
      <w:bookmarkStart w:id="112" w:name="_Ref451267855"/>
      <w:bookmarkStart w:id="113" w:name="_Ref451267869"/>
      <w:bookmarkStart w:id="114" w:name="_Ref451267984"/>
      <w:bookmarkStart w:id="115" w:name="_Ref451268006"/>
      <w:bookmarkStart w:id="116" w:name="_Ref451268035"/>
      <w:bookmarkStart w:id="117" w:name="_Toc452629090"/>
      <w:bookmarkStart w:id="118" w:name="_Ref451267897"/>
      <w:bookmarkStart w:id="119" w:name="_Ref451268065"/>
      <w:bookmarkStart w:id="120" w:name="_Toc452629156"/>
      <w:bookmarkStart w:id="121" w:name="_Ref451267719"/>
      <w:bookmarkStart w:id="122" w:name="_Ref451268021"/>
      <w:bookmarkStart w:id="123" w:name="_Toc452629164"/>
      <w:bookmarkStart w:id="124" w:name="_Ref451675743"/>
      <w:bookmarkStart w:id="125" w:name="_Ref451675824"/>
      <w:bookmarkStart w:id="126" w:name="_Toc451678630"/>
      <w:bookmarkStart w:id="127" w:name="_Toc451678708"/>
      <w:r>
        <w:lastRenderedPageBreak/>
        <w:t>Return on equity implementation</w:t>
      </w:r>
      <w:bookmarkEnd w:id="105"/>
      <w:bookmarkEnd w:id="106"/>
    </w:p>
    <w:p w:rsidR="00B830B1" w:rsidRDefault="006807B0" w:rsidP="00B360AF">
      <w:r>
        <w:t xml:space="preserve">Section </w:t>
      </w:r>
      <w:r>
        <w:fldChar w:fldCharType="begin"/>
      </w:r>
      <w:r>
        <w:instrText xml:space="preserve"> REF _Ref430958591 \r \h </w:instrText>
      </w:r>
      <w:r>
        <w:fldChar w:fldCharType="separate"/>
      </w:r>
      <w:r w:rsidR="00691B4D">
        <w:t>3.4.1</w:t>
      </w:r>
      <w:r>
        <w:fldChar w:fldCharType="end"/>
      </w:r>
      <w:r>
        <w:t xml:space="preserve"> sets out our reasons for our return on equity estimate. This section provides more detail on the information that we have had regard to in estimating return on equity.</w:t>
      </w:r>
      <w:r w:rsidR="0048287C">
        <w:t xml:space="preserve"> Further detail on how the application of our return on equity estimation approach and the information we consider can be found in our Rate of Return Guideline and in our previous determinations.</w:t>
      </w:r>
      <w:r w:rsidR="0048287C">
        <w:rPr>
          <w:rStyle w:val="FootnoteReference"/>
        </w:rPr>
        <w:footnoteReference w:id="373"/>
      </w:r>
    </w:p>
    <w:p w:rsidR="0068171D" w:rsidRPr="006705B3" w:rsidRDefault="0068171D" w:rsidP="00B360AF">
      <w:pPr>
        <w:pStyle w:val="Heading8"/>
        <w:numPr>
          <w:ilvl w:val="1"/>
          <w:numId w:val="67"/>
        </w:numPr>
      </w:pPr>
      <w:bookmarkStart w:id="128" w:name="_Ref456978764"/>
      <w:bookmarkStart w:id="129" w:name="_Toc457911190"/>
      <w:bookmarkStart w:id="130" w:name="_Toc461803727"/>
      <w:bookmarkStart w:id="131" w:name="_Toc462754637"/>
      <w:r>
        <w:t>Historical stock</w:t>
      </w:r>
      <w:r w:rsidRPr="006705B3">
        <w:t xml:space="preserve"> returns</w:t>
      </w:r>
      <w:bookmarkEnd w:id="128"/>
      <w:bookmarkEnd w:id="129"/>
      <w:bookmarkEnd w:id="130"/>
      <w:bookmarkEnd w:id="131"/>
    </w:p>
    <w:p w:rsidR="00A71C54" w:rsidRDefault="00A71C54" w:rsidP="00A71C54">
      <w:r>
        <w:t xml:space="preserve">This </w:t>
      </w:r>
      <w:r w:rsidR="00B360AF">
        <w:t>section</w:t>
      </w:r>
      <w:r>
        <w:t xml:space="preserve"> examines realised returns to Australian listed equity (stocks) as a proxy for the historical return on the portfolio of all equity in the market. We examine total returns and excess returns. E</w:t>
      </w:r>
      <w:r w:rsidRPr="009F06D7">
        <w:t xml:space="preserve">xcess returns </w:t>
      </w:r>
      <w:r>
        <w:t>are the realised returns</w:t>
      </w:r>
      <w:r>
        <w:rPr>
          <w:rStyle w:val="FootnoteReference"/>
        </w:rPr>
        <w:footnoteReference w:id="374"/>
      </w:r>
      <w:r w:rsidRPr="009F06D7">
        <w:t xml:space="preserve"> </w:t>
      </w:r>
      <w:r>
        <w:t xml:space="preserve">that </w:t>
      </w:r>
      <w:r w:rsidRPr="009F06D7">
        <w:t>stocks have earned in excess of the</w:t>
      </w:r>
      <w:r>
        <w:t xml:space="preserve"> returns on government bonds with a ten-year term-to-maturity.</w:t>
      </w:r>
    </w:p>
    <w:p w:rsidR="00A71C54" w:rsidRPr="00DC72A3" w:rsidRDefault="00A71C54" w:rsidP="00A71C54">
      <w:pPr>
        <w:rPr>
          <w:rStyle w:val="AERbody"/>
        </w:rPr>
      </w:pPr>
      <w:r w:rsidRPr="00DC72A3">
        <w:rPr>
          <w:rStyle w:val="AERbody"/>
        </w:rPr>
        <w:t>Our dataset and methodology is based on Brailsford, Handley, and Maheswaran</w:t>
      </w:r>
      <w:r>
        <w:rPr>
          <w:rStyle w:val="AERbody"/>
        </w:rPr>
        <w:t xml:space="preserve"> (Brailsford et al)</w:t>
      </w:r>
      <w:r w:rsidRPr="00DC72A3">
        <w:rPr>
          <w:rStyle w:val="AERbody"/>
        </w:rPr>
        <w:t>.</w:t>
      </w:r>
      <w:r w:rsidRPr="00DC72A3">
        <w:rPr>
          <w:rStyle w:val="AERsuperscript"/>
        </w:rPr>
        <w:footnoteReference w:id="375"/>
      </w:r>
      <w:r w:rsidRPr="00DC72A3">
        <w:rPr>
          <w:rStyle w:val="AERbody"/>
        </w:rPr>
        <w:t xml:space="preserve"> </w:t>
      </w:r>
      <w:r>
        <w:rPr>
          <w:rStyle w:val="AERbody"/>
        </w:rPr>
        <w:t>A</w:t>
      </w:r>
      <w:r w:rsidRPr="00DC72A3">
        <w:rPr>
          <w:rStyle w:val="AERbody"/>
        </w:rPr>
        <w:t xml:space="preserve"> detailed discussion on data and methodology</w:t>
      </w:r>
      <w:r>
        <w:rPr>
          <w:rStyle w:val="AERbody"/>
        </w:rPr>
        <w:t xml:space="preserve"> </w:t>
      </w:r>
      <w:r w:rsidRPr="00DC72A3">
        <w:rPr>
          <w:rStyle w:val="AERbody"/>
        </w:rPr>
        <w:t xml:space="preserve">can be found </w:t>
      </w:r>
      <w:r>
        <w:rPr>
          <w:rStyle w:val="AERbody"/>
        </w:rPr>
        <w:t>in</w:t>
      </w:r>
      <w:r w:rsidRPr="00DC72A3">
        <w:rPr>
          <w:rStyle w:val="AERbody"/>
        </w:rPr>
        <w:t xml:space="preserve"> </w:t>
      </w:r>
      <w:r>
        <w:rPr>
          <w:rStyle w:val="AERbody"/>
        </w:rPr>
        <w:t>Brailsford et al</w:t>
      </w:r>
      <w:r w:rsidRPr="00DC72A3">
        <w:rPr>
          <w:rStyle w:val="AERbody"/>
        </w:rPr>
        <w:t xml:space="preserve">, our Guideline, and </w:t>
      </w:r>
      <w:r>
        <w:rPr>
          <w:rStyle w:val="AERbody"/>
        </w:rPr>
        <w:t xml:space="preserve">attachment 3 to our </w:t>
      </w:r>
      <w:r w:rsidR="008262CF">
        <w:rPr>
          <w:rStyle w:val="AERbody"/>
        </w:rPr>
        <w:t xml:space="preserve">preliminary </w:t>
      </w:r>
      <w:r>
        <w:rPr>
          <w:rStyle w:val="AERbody"/>
        </w:rPr>
        <w:t>decision for AusNet Services</w:t>
      </w:r>
      <w:r w:rsidR="008262CF">
        <w:rPr>
          <w:rStyle w:val="AERbody"/>
        </w:rPr>
        <w:t>' 2016-20 distribution determination</w:t>
      </w:r>
      <w:r w:rsidRPr="00DC72A3">
        <w:rPr>
          <w:rStyle w:val="AERbody"/>
        </w:rPr>
        <w:t xml:space="preserve">. </w:t>
      </w:r>
    </w:p>
    <w:p w:rsidR="0068171D" w:rsidRPr="00B4711B" w:rsidRDefault="0068171D" w:rsidP="0068171D">
      <w:pPr>
        <w:pStyle w:val="Heading9"/>
      </w:pPr>
      <w:bookmarkStart w:id="132" w:name="_Toc457911191"/>
      <w:bookmarkStart w:id="133" w:name="_Toc461803728"/>
      <w:bookmarkStart w:id="134" w:name="_Toc462754638"/>
      <w:r>
        <w:t>Prevailing estimates: excess returns</w:t>
      </w:r>
      <w:bookmarkEnd w:id="132"/>
      <w:bookmarkEnd w:id="133"/>
      <w:bookmarkEnd w:id="134"/>
    </w:p>
    <w:p w:rsidR="00A71C54" w:rsidRDefault="00A71C54" w:rsidP="00A71C54">
      <w:r>
        <w:fldChar w:fldCharType="begin"/>
      </w:r>
      <w:r>
        <w:instrText xml:space="preserve"> REF _Ref432619921 \h </w:instrText>
      </w:r>
      <w:r>
        <w:fldChar w:fldCharType="separate"/>
      </w:r>
      <w:r w:rsidR="00691B4D">
        <w:t xml:space="preserve">Table </w:t>
      </w:r>
      <w:r w:rsidR="00691B4D">
        <w:rPr>
          <w:noProof/>
        </w:rPr>
        <w:t>3</w:t>
      </w:r>
      <w:r w:rsidR="00691B4D">
        <w:noBreakHyphen/>
      </w:r>
      <w:r w:rsidR="00691B4D">
        <w:rPr>
          <w:noProof/>
        </w:rPr>
        <w:t>16</w:t>
      </w:r>
      <w:r>
        <w:fldChar w:fldCharType="end"/>
      </w:r>
      <w:r w:rsidRPr="00DD37EB">
        <w:t xml:space="preserve"> sets out </w:t>
      </w:r>
      <w:r>
        <w:t xml:space="preserve">our estimates of </w:t>
      </w:r>
      <w:r w:rsidRPr="00DD37EB">
        <w:t>historical excess returns</w:t>
      </w:r>
      <w:r>
        <w:t xml:space="preserve">, measured using both </w:t>
      </w:r>
      <w:r w:rsidRPr="00DD37EB">
        <w:t>arithmetic and geometric average</w:t>
      </w:r>
      <w:r>
        <w:t>s, and</w:t>
      </w:r>
      <w:r w:rsidRPr="00DD37EB">
        <w:t xml:space="preserve"> estimated over different </w:t>
      </w:r>
      <w:r>
        <w:t>sample periods up until the 2015</w:t>
      </w:r>
      <w:r w:rsidRPr="00DD37EB">
        <w:t xml:space="preserve"> calendar year end.</w:t>
      </w:r>
      <w:r w:rsidRPr="00DD37EB">
        <w:rPr>
          <w:rStyle w:val="FootnoteReference"/>
        </w:rPr>
        <w:footnoteReference w:id="376"/>
      </w:r>
      <w:r w:rsidRPr="00DD37EB">
        <w:t xml:space="preserve"> </w:t>
      </w:r>
      <w:r>
        <w:t>Arithmetic average measures</w:t>
      </w:r>
      <w:r w:rsidRPr="00DD37EB">
        <w:t xml:space="preserve"> range between </w:t>
      </w:r>
      <w:r w:rsidR="001A3CFD">
        <w:t>5.6</w:t>
      </w:r>
      <w:r w:rsidRPr="00DD37EB">
        <w:t xml:space="preserve"> and </w:t>
      </w:r>
      <w:r w:rsidR="001A3CFD">
        <w:t>6.3</w:t>
      </w:r>
      <w:r w:rsidRPr="00DD37EB">
        <w:t xml:space="preserve"> per cent and geometric average</w:t>
      </w:r>
      <w:r>
        <w:t xml:space="preserve"> measures</w:t>
      </w:r>
      <w:r w:rsidRPr="00DD37EB">
        <w:t xml:space="preserve"> range between </w:t>
      </w:r>
      <w:r w:rsidR="001A3CFD">
        <w:t>3.9</w:t>
      </w:r>
      <w:r w:rsidRPr="00DD37EB">
        <w:t xml:space="preserve"> and </w:t>
      </w:r>
      <w:r w:rsidR="001A3CFD">
        <w:t>4.9</w:t>
      </w:r>
      <w:r w:rsidRPr="00DD37EB">
        <w:t xml:space="preserve"> per cent.</w:t>
      </w:r>
      <w:r>
        <w:t xml:space="preserve">  </w:t>
      </w:r>
    </w:p>
    <w:p w:rsidR="00A71C54" w:rsidRPr="007B58A9" w:rsidRDefault="00A71C54" w:rsidP="00A71C54">
      <w:pPr>
        <w:pStyle w:val="Caption"/>
        <w:rPr>
          <w:rStyle w:val="Strong"/>
        </w:rPr>
      </w:pPr>
      <w:bookmarkStart w:id="135" w:name="_Ref432619921"/>
      <w:r>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16</w:t>
      </w:r>
      <w:r w:rsidR="00AB6D99">
        <w:rPr>
          <w:noProof/>
        </w:rPr>
        <w:fldChar w:fldCharType="end"/>
      </w:r>
      <w:bookmarkEnd w:id="135"/>
      <w:r>
        <w:tab/>
      </w:r>
      <w:r w:rsidRPr="005F2D3F">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A71C54" w:rsidRPr="00F7507F" w:rsidTr="00A71C5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pPr>
              <w:rPr>
                <w:rStyle w:val="Strong"/>
              </w:rPr>
            </w:pPr>
            <w:r w:rsidRPr="00DD37EB">
              <w:rPr>
                <w:rStyle w:val="Strong"/>
              </w:rPr>
              <w:t>Sampling period</w:t>
            </w:r>
          </w:p>
        </w:tc>
        <w:tc>
          <w:tcPr>
            <w:tcW w:w="1667" w:type="pct"/>
            <w:noWrap/>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A71C54">
              <w:rPr>
                <w:rStyle w:val="Strong"/>
              </w:rPr>
              <w:t>average</w:t>
            </w:r>
          </w:p>
        </w:tc>
        <w:tc>
          <w:tcPr>
            <w:tcW w:w="1667" w:type="pct"/>
            <w:noWrap/>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A71C54">
              <w:rPr>
                <w:rStyle w:val="Strong"/>
              </w:rPr>
              <w:t>average</w:t>
            </w:r>
          </w:p>
        </w:tc>
      </w:tr>
      <w:tr w:rsidR="00A71C54" w:rsidRPr="00F7507F" w:rsidTr="00A71C5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1883–</w:t>
            </w:r>
            <w:r w:rsidRPr="00A71C54">
              <w:t>2015</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w:t>
            </w:r>
            <w:r w:rsidR="001A3CFD">
              <w:t>2</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4.</w:t>
            </w:r>
            <w:r w:rsidR="001A3CFD">
              <w:t>9</w:t>
            </w:r>
          </w:p>
        </w:tc>
      </w:tr>
      <w:tr w:rsidR="00A71C54" w:rsidRPr="00F7507F" w:rsidTr="00A71C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1937–</w:t>
            </w:r>
            <w:r w:rsidRPr="00A71C54">
              <w:t>2015</w:t>
            </w:r>
          </w:p>
        </w:tc>
        <w:tc>
          <w:tcPr>
            <w:tcW w:w="1667"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5.</w:t>
            </w:r>
            <w:r w:rsidR="001A3CFD">
              <w:t>9</w:t>
            </w:r>
          </w:p>
        </w:tc>
        <w:tc>
          <w:tcPr>
            <w:tcW w:w="1667" w:type="pct"/>
            <w:noWrap/>
          </w:tcPr>
          <w:p w:rsidR="00A71C54" w:rsidRPr="00A71C54" w:rsidRDefault="001A3CFD" w:rsidP="00A71C54">
            <w:pPr>
              <w:cnfStyle w:val="000000010000" w:firstRow="0" w:lastRow="0" w:firstColumn="0" w:lastColumn="0" w:oddVBand="0" w:evenVBand="0" w:oddHBand="0" w:evenHBand="1" w:firstRowFirstColumn="0" w:firstRowLastColumn="0" w:lastRowFirstColumn="0" w:lastRowLastColumn="0"/>
            </w:pPr>
            <w:r>
              <w:t>4.0</w:t>
            </w:r>
          </w:p>
        </w:tc>
      </w:tr>
      <w:tr w:rsidR="00A71C54" w:rsidRPr="00F7507F" w:rsidTr="00A71C5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lastRenderedPageBreak/>
              <w:t>1958–</w:t>
            </w:r>
            <w:r w:rsidRPr="00A71C54">
              <w:t>2015</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6</w:t>
            </w:r>
            <w:r w:rsidRPr="00A71C54">
              <w:t>.</w:t>
            </w:r>
            <w:r w:rsidR="001A3CFD">
              <w:t>3</w:t>
            </w:r>
          </w:p>
        </w:tc>
        <w:tc>
          <w:tcPr>
            <w:tcW w:w="1667" w:type="pct"/>
            <w:noWrap/>
          </w:tcPr>
          <w:p w:rsidR="00A71C54" w:rsidRPr="00A71C54" w:rsidRDefault="001A3CFD" w:rsidP="00A71C54">
            <w:pPr>
              <w:cnfStyle w:val="000000000000" w:firstRow="0" w:lastRow="0" w:firstColumn="0" w:lastColumn="0" w:oddVBand="0" w:evenVBand="0" w:oddHBand="0" w:evenHBand="0" w:firstRowFirstColumn="0" w:firstRowLastColumn="0" w:lastRowFirstColumn="0" w:lastRowLastColumn="0"/>
            </w:pPr>
            <w:r>
              <w:t>4.0</w:t>
            </w:r>
          </w:p>
        </w:tc>
      </w:tr>
      <w:tr w:rsidR="00A71C54" w:rsidRPr="00F7507F" w:rsidTr="00A71C5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1980–</w:t>
            </w:r>
            <w:r w:rsidRPr="00A71C54">
              <w:t>2015</w:t>
            </w:r>
          </w:p>
        </w:tc>
        <w:tc>
          <w:tcPr>
            <w:tcW w:w="1667" w:type="pct"/>
            <w:noWrap/>
          </w:tcPr>
          <w:p w:rsidR="00A71C54" w:rsidRPr="00A71C54" w:rsidRDefault="001A3CFD" w:rsidP="00A71C54">
            <w:pPr>
              <w:cnfStyle w:val="000000010000" w:firstRow="0" w:lastRow="0" w:firstColumn="0" w:lastColumn="0" w:oddVBand="0" w:evenVBand="0" w:oddHBand="0" w:evenHBand="1" w:firstRowFirstColumn="0" w:firstRowLastColumn="0" w:lastRowFirstColumn="0" w:lastRowLastColumn="0"/>
            </w:pPr>
            <w:r>
              <w:t>6.2</w:t>
            </w:r>
          </w:p>
        </w:tc>
        <w:tc>
          <w:tcPr>
            <w:tcW w:w="1667" w:type="pct"/>
            <w:noWrap/>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3.</w:t>
            </w:r>
            <w:r w:rsidR="001A3CFD">
              <w:t>9</w:t>
            </w:r>
          </w:p>
        </w:tc>
      </w:tr>
      <w:tr w:rsidR="00A71C54" w:rsidRPr="00F7507F" w:rsidTr="00A71C54">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A71C54" w:rsidRPr="00A71C54" w:rsidRDefault="00A71C54" w:rsidP="00A71C54">
            <w:r w:rsidRPr="00F7507F">
              <w:t>1988–</w:t>
            </w:r>
            <w:r w:rsidRPr="00A71C54">
              <w:t>2015</w:t>
            </w:r>
          </w:p>
        </w:tc>
        <w:tc>
          <w:tcPr>
            <w:tcW w:w="1667" w:type="pct"/>
            <w:noWrap/>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5.</w:t>
            </w:r>
            <w:r w:rsidR="001A3CFD">
              <w:t>6</w:t>
            </w:r>
          </w:p>
        </w:tc>
        <w:tc>
          <w:tcPr>
            <w:tcW w:w="1667" w:type="pct"/>
            <w:noWrap/>
          </w:tcPr>
          <w:p w:rsidR="00A71C54" w:rsidRPr="00A71C54" w:rsidRDefault="001A3CFD" w:rsidP="00A71C54">
            <w:pPr>
              <w:cnfStyle w:val="000000000000" w:firstRow="0" w:lastRow="0" w:firstColumn="0" w:lastColumn="0" w:oddVBand="0" w:evenVBand="0" w:oddHBand="0" w:evenHBand="0" w:firstRowFirstColumn="0" w:firstRowLastColumn="0" w:lastRowFirstColumn="0" w:lastRowLastColumn="0"/>
            </w:pPr>
            <w:r>
              <w:t>4.0</w:t>
            </w:r>
          </w:p>
        </w:tc>
      </w:tr>
    </w:tbl>
    <w:p w:rsidR="00A71C54" w:rsidRPr="00A71C54" w:rsidRDefault="00A71C54" w:rsidP="00A71C54">
      <w:pPr>
        <w:pStyle w:val="AERtablesource"/>
      </w:pPr>
      <w:r w:rsidRPr="00823B7B">
        <w:t>Source:</w:t>
      </w:r>
      <w:r w:rsidRPr="00823B7B">
        <w:tab/>
        <w:t xml:space="preserve">Handley, </w:t>
      </w:r>
      <w:r w:rsidRPr="00A71C54">
        <w:rPr>
          <w:rStyle w:val="AERtextitalic"/>
        </w:rPr>
        <w:t>An estimate of the historical equity risk premium for the period 1883 to 2011</w:t>
      </w:r>
      <w:r w:rsidRPr="00A71C54">
        <w:t>, April 2012, p. 6. AER update for 2012–2015 market data.</w:t>
      </w:r>
    </w:p>
    <w:p w:rsidR="00A71C54" w:rsidRPr="00DE1A32" w:rsidRDefault="00A71C54" w:rsidP="00A71C54">
      <w:pPr>
        <w:pStyle w:val="AERtablesource"/>
      </w:pPr>
      <w:r>
        <w:t>Notes</w:t>
      </w:r>
      <w:r w:rsidRPr="00DE1A32">
        <w:t xml:space="preserve">: </w:t>
      </w:r>
      <w:r w:rsidRPr="00DE1A32">
        <w:tab/>
      </w:r>
      <w:r>
        <w:t>Based on a theta of 0.6.</w:t>
      </w:r>
    </w:p>
    <w:p w:rsidR="0068171D" w:rsidRPr="00B4711B" w:rsidRDefault="0068171D" w:rsidP="0068171D">
      <w:pPr>
        <w:pStyle w:val="Heading9"/>
      </w:pPr>
      <w:bookmarkStart w:id="136" w:name="_Toc457911192"/>
      <w:bookmarkStart w:id="137" w:name="_Ref458978951"/>
      <w:bookmarkStart w:id="138" w:name="_Toc461803729"/>
      <w:bookmarkStart w:id="139" w:name="_Toc462754639"/>
      <w:r>
        <w:t>Prevailing estimates: total returns</w:t>
      </w:r>
      <w:bookmarkEnd w:id="136"/>
      <w:bookmarkEnd w:id="137"/>
      <w:bookmarkEnd w:id="138"/>
      <w:bookmarkEnd w:id="139"/>
    </w:p>
    <w:p w:rsidR="00A71C54" w:rsidRDefault="00A71C54" w:rsidP="00A71C54">
      <w:r>
        <w:fldChar w:fldCharType="begin"/>
      </w:r>
      <w:r>
        <w:instrText xml:space="preserve"> REF _Ref417570520 \h </w:instrText>
      </w:r>
      <w:r>
        <w:fldChar w:fldCharType="separate"/>
      </w:r>
      <w:r w:rsidR="00691B4D">
        <w:t xml:space="preserve">Table </w:t>
      </w:r>
      <w:r w:rsidR="00691B4D">
        <w:rPr>
          <w:noProof/>
        </w:rPr>
        <w:t>3</w:t>
      </w:r>
      <w:r w:rsidR="00691B4D">
        <w:noBreakHyphen/>
      </w:r>
      <w:r w:rsidR="00691B4D">
        <w:rPr>
          <w:noProof/>
        </w:rPr>
        <w:t>17</w:t>
      </w:r>
      <w:r>
        <w:fldChar w:fldCharType="end"/>
      </w:r>
      <w:r w:rsidRPr="00760BFA">
        <w:t xml:space="preserve"> sets out our estimates of historical returns on the market portfolio.</w:t>
      </w:r>
      <w:r w:rsidRPr="00F57E56">
        <w:t xml:space="preserve"> </w:t>
      </w:r>
      <w:r>
        <w:t>The nominal</w:t>
      </w:r>
      <w:r w:rsidR="001A3CFD">
        <w:t xml:space="preserve"> return ranges from 9.9 to 12.5</w:t>
      </w:r>
      <w:r>
        <w:t>. We use a range because the estimated return on the market will vary depending on the time period used.</w:t>
      </w:r>
      <w:r>
        <w:rPr>
          <w:rStyle w:val="FootnoteReference"/>
        </w:rPr>
        <w:footnoteReference w:id="377"/>
      </w:r>
    </w:p>
    <w:p w:rsidR="00A71C54" w:rsidRPr="00276FAF" w:rsidRDefault="00A71C54" w:rsidP="00A71C54">
      <w:pPr>
        <w:pStyle w:val="Caption"/>
        <w:rPr>
          <w:rStyle w:val="Strong"/>
        </w:rPr>
      </w:pPr>
      <w:bookmarkStart w:id="140" w:name="_Ref417570520"/>
      <w:r>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17</w:t>
      </w:r>
      <w:r w:rsidR="00AB6D99">
        <w:rPr>
          <w:noProof/>
        </w:rPr>
        <w:fldChar w:fldCharType="end"/>
      </w:r>
      <w:bookmarkEnd w:id="140"/>
      <w:r>
        <w:tab/>
      </w:r>
      <w:r w:rsidRPr="005F2D3F">
        <w:t xml:space="preserve">Historical returns on the market portfolio </w:t>
      </w:r>
      <w:r>
        <w:t>(per cent)</w:t>
      </w:r>
    </w:p>
    <w:tbl>
      <w:tblPr>
        <w:tblStyle w:val="AERtable-numbers"/>
        <w:tblW w:w="8755" w:type="dxa"/>
        <w:tblLook w:val="04A0" w:firstRow="1" w:lastRow="0" w:firstColumn="1" w:lastColumn="0" w:noHBand="0" w:noVBand="1"/>
      </w:tblPr>
      <w:tblGrid>
        <w:gridCol w:w="1909"/>
        <w:gridCol w:w="3423"/>
        <w:gridCol w:w="3423"/>
      </w:tblGrid>
      <w:tr w:rsidR="00A71C54" w:rsidRPr="00B9584E" w:rsidTr="00A71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rsidRPr="00B9584E">
              <w:t>Sampling period</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rsidRPr="009E266F">
              <w:t>Market return (real)</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rsidRPr="009E266F">
              <w:t>Market return (nominal)</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1883</w:t>
            </w:r>
            <w:r w:rsidRPr="00A71C54">
              <w:t>–2015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8.</w:t>
            </w:r>
            <w:r w:rsidRPr="00A71C54">
              <w:t>6</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11.</w:t>
            </w:r>
            <w:r w:rsidRPr="00A71C54">
              <w:t>3</w:t>
            </w:r>
          </w:p>
        </w:tc>
      </w:tr>
      <w:tr w:rsidR="00A71C54" w:rsidRPr="00B9584E"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1937–201</w:t>
            </w:r>
            <w:r w:rsidRPr="00A71C54">
              <w:t>5</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7.</w:t>
            </w:r>
            <w:r w:rsidRPr="00A71C54">
              <w:t>3</w:t>
            </w:r>
          </w:p>
        </w:tc>
        <w:tc>
          <w:tcPr>
            <w:tcW w:w="3423" w:type="dxa"/>
          </w:tcPr>
          <w:p w:rsidR="00A71C54" w:rsidRPr="00A71C54" w:rsidRDefault="001A3CFD" w:rsidP="00A71C54">
            <w:pPr>
              <w:cnfStyle w:val="000000010000" w:firstRow="0" w:lastRow="0" w:firstColumn="0" w:lastColumn="0" w:oddVBand="0" w:evenVBand="0" w:oddHBand="0" w:evenHBand="1" w:firstRowFirstColumn="0" w:firstRowLastColumn="0" w:lastRowFirstColumn="0" w:lastRowLastColumn="0"/>
            </w:pPr>
            <w:r>
              <w:t>9.9</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1958–201</w:t>
            </w:r>
            <w:r w:rsidRPr="00A71C54">
              <w:t>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8.</w:t>
            </w:r>
            <w:r w:rsidR="001A3CFD">
              <w:t>8</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11.</w:t>
            </w:r>
            <w:r w:rsidR="001A3CFD">
              <w:t>5</w:t>
            </w:r>
          </w:p>
        </w:tc>
      </w:tr>
      <w:tr w:rsidR="00A71C54" w:rsidRPr="00B9584E"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1980–201</w:t>
            </w:r>
            <w:r w:rsidRPr="00A71C54">
              <w:t>5</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9.</w:t>
            </w:r>
            <w:r w:rsidR="001A3CFD">
              <w:t>7</w:t>
            </w:r>
          </w:p>
        </w:tc>
        <w:tc>
          <w:tcPr>
            <w:tcW w:w="3423" w:type="dxa"/>
          </w:tcPr>
          <w:p w:rsidR="00A71C54" w:rsidRPr="00A71C54" w:rsidRDefault="00A71C54" w:rsidP="00A71C54">
            <w:pPr>
              <w:cnfStyle w:val="000000010000" w:firstRow="0" w:lastRow="0" w:firstColumn="0" w:lastColumn="0" w:oddVBand="0" w:evenVBand="0" w:oddHBand="0" w:evenHBand="1" w:firstRowFirstColumn="0" w:firstRowLastColumn="0" w:lastRowFirstColumn="0" w:lastRowLastColumn="0"/>
            </w:pPr>
            <w:r>
              <w:t>1</w:t>
            </w:r>
            <w:r w:rsidRPr="00A71C54">
              <w:t>2.</w:t>
            </w:r>
            <w:r w:rsidR="001A3CFD">
              <w:t>5</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1988–201</w:t>
            </w:r>
            <w:r w:rsidRPr="00A71C54">
              <w:t>5</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9.</w:t>
            </w:r>
            <w:r w:rsidR="001A3CFD">
              <w:t>0</w:t>
            </w:r>
          </w:p>
        </w:tc>
        <w:tc>
          <w:tcPr>
            <w:tcW w:w="3423" w:type="dxa"/>
          </w:tcPr>
          <w:p w:rsidR="00A71C54" w:rsidRPr="00A71C54" w:rsidRDefault="00A71C54" w:rsidP="00A71C54">
            <w:pPr>
              <w:cnfStyle w:val="000000000000" w:firstRow="0" w:lastRow="0" w:firstColumn="0" w:lastColumn="0" w:oddVBand="0" w:evenVBand="0" w:oddHBand="0" w:evenHBand="0" w:firstRowFirstColumn="0" w:firstRowLastColumn="0" w:lastRowFirstColumn="0" w:lastRowLastColumn="0"/>
            </w:pPr>
            <w:r>
              <w:t>1</w:t>
            </w:r>
            <w:r w:rsidR="001A3CFD">
              <w:t>1.7</w:t>
            </w:r>
          </w:p>
        </w:tc>
      </w:tr>
    </w:tbl>
    <w:p w:rsidR="00A71C54" w:rsidRPr="00BA0AFD" w:rsidRDefault="00A71C54" w:rsidP="00A71C54">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A71C54" w:rsidRPr="00BA0AFD" w:rsidRDefault="00A71C54" w:rsidP="00A71C54">
      <w:pPr>
        <w:pStyle w:val="AERtablesource"/>
      </w:pPr>
      <w:r>
        <w:t>Notes</w:t>
      </w:r>
      <w:r>
        <w:tab/>
        <w:t>Historical market returns are estimated using arithmetic averages, a</w:t>
      </w:r>
      <w:r w:rsidRPr="00BA0AFD">
        <w:t xml:space="preserve">ssuming </w:t>
      </w:r>
      <w:r>
        <w:t xml:space="preserve">a theta value of 0.6, and assuming </w:t>
      </w:r>
      <w:r w:rsidRPr="00BA0AFD">
        <w:t xml:space="preserve">an inflation rate of 2.5 per cent. Nominal figures calculated by the AER using the Fisher equation: </w:t>
      </w:r>
    </w:p>
    <w:p w:rsidR="00A71C54" w:rsidRPr="00BA0AFD" w:rsidRDefault="00A71C54" w:rsidP="00A71C54">
      <w:pPr>
        <w:pStyle w:val="AERtablesource"/>
      </w:pPr>
      <w:r w:rsidRPr="00823B7B">
        <w:tab/>
        <w:t>1+i=(1+r)×(1+</w:t>
      </w:r>
      <w:r w:rsidRPr="00BA0AFD">
        <w:rPr>
          <w:rFonts w:hint="eastAsia"/>
        </w:rPr>
        <w:t>π</w:t>
      </w:r>
      <w:r w:rsidRPr="00BA0AFD">
        <w:t xml:space="preserve">) where r denotes the real return, i denotes the nominal return and </w:t>
      </w:r>
      <w:r w:rsidRPr="00BA0AFD">
        <w:rPr>
          <w:rFonts w:hint="eastAsia"/>
        </w:rPr>
        <w:t>π</w:t>
      </w:r>
      <w:r w:rsidRPr="00BA0AFD">
        <w:t xml:space="preserve"> denotes the inflation rate</w:t>
      </w:r>
      <w:r>
        <w:t>.</w:t>
      </w:r>
    </w:p>
    <w:p w:rsidR="00A71C54" w:rsidRDefault="00A71C54" w:rsidP="00A71C54">
      <w:r>
        <w:t>We estimate a return on equity under the Wright CAPM</w:t>
      </w:r>
      <w:r>
        <w:rPr>
          <w:rStyle w:val="FootnoteReference"/>
        </w:rPr>
        <w:footnoteReference w:id="378"/>
      </w:r>
      <w:r>
        <w:t xml:space="preserve"> by combining the historical nominal market return with our prevailing risk free rate estimate and equity beta estimates.</w:t>
      </w:r>
      <w:r>
        <w:rPr>
          <w:rStyle w:val="FootnoteReference"/>
        </w:rPr>
        <w:footnoteReference w:id="379"/>
      </w:r>
      <w:r>
        <w:t xml:space="preserve"> As shown in </w:t>
      </w:r>
      <w:r>
        <w:fldChar w:fldCharType="begin"/>
      </w:r>
      <w:r>
        <w:instrText xml:space="preserve"> REF _Ref443916669 \h </w:instrText>
      </w:r>
      <w:r>
        <w:fldChar w:fldCharType="separate"/>
      </w:r>
      <w:r w:rsidR="00691B4D">
        <w:t xml:space="preserve">Table </w:t>
      </w:r>
      <w:r w:rsidR="00691B4D">
        <w:rPr>
          <w:noProof/>
        </w:rPr>
        <w:t>3</w:t>
      </w:r>
      <w:r w:rsidR="00691B4D">
        <w:noBreakHyphen/>
      </w:r>
      <w:r w:rsidR="00691B4D">
        <w:rPr>
          <w:noProof/>
        </w:rPr>
        <w:t>18</w:t>
      </w:r>
      <w:r>
        <w:fldChar w:fldCharType="end"/>
      </w:r>
      <w:r>
        <w:t>, our estimated range for equity beta and market return results in Wright CAPM return on equity estimates ranging from 5.</w:t>
      </w:r>
      <w:r w:rsidR="001A3CFD">
        <w:t>1</w:t>
      </w:r>
      <w:r>
        <w:t xml:space="preserve"> to 9.</w:t>
      </w:r>
      <w:r w:rsidR="001A3CFD">
        <w:t>3</w:t>
      </w:r>
      <w:r>
        <w:t>.</w:t>
      </w:r>
    </w:p>
    <w:p w:rsidR="00A71C54" w:rsidRPr="00276FAF" w:rsidRDefault="00A71C54" w:rsidP="00A71C54">
      <w:pPr>
        <w:pStyle w:val="Caption"/>
        <w:rPr>
          <w:rStyle w:val="Strong"/>
        </w:rPr>
      </w:pPr>
      <w:bookmarkStart w:id="141" w:name="_Ref443916669"/>
      <w:r>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18</w:t>
      </w:r>
      <w:r w:rsidR="00AB6D99">
        <w:rPr>
          <w:noProof/>
        </w:rPr>
        <w:fldChar w:fldCharType="end"/>
      </w:r>
      <w:bookmarkEnd w:id="141"/>
      <w:r>
        <w:tab/>
        <w:t>Wright CAPM return on equity</w:t>
      </w:r>
      <w:r w:rsidRPr="005F2D3F">
        <w:t xml:space="preserve"> </w:t>
      </w:r>
      <w:r>
        <w:t>(per cent)</w:t>
      </w:r>
    </w:p>
    <w:tbl>
      <w:tblPr>
        <w:tblStyle w:val="AERtable-numbers"/>
        <w:tblW w:w="8755" w:type="dxa"/>
        <w:tblLook w:val="04A0" w:firstRow="1" w:lastRow="0" w:firstColumn="1" w:lastColumn="0" w:noHBand="0" w:noVBand="1"/>
      </w:tblPr>
      <w:tblGrid>
        <w:gridCol w:w="1909"/>
        <w:gridCol w:w="3423"/>
        <w:gridCol w:w="3423"/>
      </w:tblGrid>
      <w:tr w:rsidR="00A71C54" w:rsidRPr="00B9584E" w:rsidTr="00A71C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AER equity beta estimate</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t>Wright CAP</w:t>
            </w:r>
            <w:r w:rsidR="001A3CFD">
              <w:t>M return on equity based on 9.9</w:t>
            </w:r>
            <w:r>
              <w:t xml:space="preserve"> market return</w:t>
            </w:r>
          </w:p>
        </w:tc>
        <w:tc>
          <w:tcPr>
            <w:tcW w:w="3423" w:type="dxa"/>
          </w:tcPr>
          <w:p w:rsidR="00A71C54" w:rsidRPr="00A71C54" w:rsidRDefault="00A71C54" w:rsidP="00A71C54">
            <w:pPr>
              <w:cnfStyle w:val="100000000000" w:firstRow="1" w:lastRow="0" w:firstColumn="0" w:lastColumn="0" w:oddVBand="0" w:evenVBand="0" w:oddHBand="0" w:evenHBand="0" w:firstRowFirstColumn="0" w:firstRowLastColumn="0" w:lastRowFirstColumn="0" w:lastRowLastColumn="0"/>
            </w:pPr>
            <w:r>
              <w:t>Wright CAP</w:t>
            </w:r>
            <w:r w:rsidR="001A3CFD">
              <w:t>M return on equity based on 12.5</w:t>
            </w:r>
            <w:r>
              <w:t xml:space="preserve"> market return</w:t>
            </w:r>
          </w:p>
        </w:tc>
      </w:tr>
      <w:tr w:rsidR="00A71C54" w:rsidRPr="00B9584E" w:rsidTr="00A71C54">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lastRenderedPageBreak/>
              <w:t>0.4</w:t>
            </w:r>
          </w:p>
        </w:tc>
        <w:tc>
          <w:tcPr>
            <w:tcW w:w="3423" w:type="dxa"/>
          </w:tcPr>
          <w:p w:rsidR="00A71C54" w:rsidRPr="00A71C54" w:rsidRDefault="00A71C54" w:rsidP="00A118D9">
            <w:pPr>
              <w:cnfStyle w:val="000000000000" w:firstRow="0" w:lastRow="0" w:firstColumn="0" w:lastColumn="0" w:oddVBand="0" w:evenVBand="0" w:oddHBand="0" w:evenHBand="0" w:firstRowFirstColumn="0" w:firstRowLastColumn="0" w:lastRowFirstColumn="0" w:lastRowLastColumn="0"/>
            </w:pPr>
            <w:r>
              <w:t>5.</w:t>
            </w:r>
            <w:r w:rsidR="00814A46">
              <w:t>1</w:t>
            </w:r>
            <w:r w:rsidR="00A118D9">
              <w:t>5</w:t>
            </w:r>
          </w:p>
        </w:tc>
        <w:tc>
          <w:tcPr>
            <w:tcW w:w="3423" w:type="dxa"/>
          </w:tcPr>
          <w:p w:rsidR="00A71C54" w:rsidRPr="00A71C54" w:rsidRDefault="00A71C54" w:rsidP="00A118D9">
            <w:pPr>
              <w:cnfStyle w:val="000000000000" w:firstRow="0" w:lastRow="0" w:firstColumn="0" w:lastColumn="0" w:oddVBand="0" w:evenVBand="0" w:oddHBand="0" w:evenHBand="0" w:firstRowFirstColumn="0" w:firstRowLastColumn="0" w:lastRowFirstColumn="0" w:lastRowLastColumn="0"/>
            </w:pPr>
            <w:r>
              <w:t>6.</w:t>
            </w:r>
            <w:r w:rsidR="001A3CFD">
              <w:t>1</w:t>
            </w:r>
            <w:r w:rsidR="00A118D9">
              <w:t>5</w:t>
            </w:r>
          </w:p>
        </w:tc>
      </w:tr>
      <w:tr w:rsidR="00A71C54" w:rsidRPr="00B9584E" w:rsidTr="00A71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A71C54" w:rsidRPr="00A71C54" w:rsidRDefault="00A71C54" w:rsidP="00A71C54">
            <w:r>
              <w:t>0.7</w:t>
            </w:r>
          </w:p>
        </w:tc>
        <w:tc>
          <w:tcPr>
            <w:tcW w:w="3423" w:type="dxa"/>
          </w:tcPr>
          <w:p w:rsidR="00A71C54" w:rsidRPr="00A71C54" w:rsidRDefault="00A71C54" w:rsidP="00A118D9">
            <w:pPr>
              <w:cnfStyle w:val="000000010000" w:firstRow="0" w:lastRow="0" w:firstColumn="0" w:lastColumn="0" w:oddVBand="0" w:evenVBand="0" w:oddHBand="0" w:evenHBand="1" w:firstRowFirstColumn="0" w:firstRowLastColumn="0" w:lastRowFirstColumn="0" w:lastRowLastColumn="0"/>
            </w:pPr>
            <w:r>
              <w:t>7.</w:t>
            </w:r>
            <w:r w:rsidR="00814A46">
              <w:t>5</w:t>
            </w:r>
            <w:r w:rsidR="00A118D9">
              <w:t>5</w:t>
            </w:r>
          </w:p>
        </w:tc>
        <w:tc>
          <w:tcPr>
            <w:tcW w:w="3423" w:type="dxa"/>
          </w:tcPr>
          <w:p w:rsidR="00A71C54" w:rsidRPr="00A71C54" w:rsidRDefault="00A71C54" w:rsidP="00A118D9">
            <w:pPr>
              <w:cnfStyle w:val="000000010000" w:firstRow="0" w:lastRow="0" w:firstColumn="0" w:lastColumn="0" w:oddVBand="0" w:evenVBand="0" w:oddHBand="0" w:evenHBand="1" w:firstRowFirstColumn="0" w:firstRowLastColumn="0" w:lastRowFirstColumn="0" w:lastRowLastColumn="0"/>
            </w:pPr>
            <w:r>
              <w:t>9.</w:t>
            </w:r>
            <w:r w:rsidR="001A3CFD">
              <w:t>3</w:t>
            </w:r>
            <w:r w:rsidR="00A118D9">
              <w:t>1</w:t>
            </w:r>
          </w:p>
        </w:tc>
      </w:tr>
    </w:tbl>
    <w:p w:rsidR="00A71C54" w:rsidRPr="00BA0AFD" w:rsidRDefault="00A71C54" w:rsidP="00A71C54">
      <w:pPr>
        <w:pStyle w:val="AERtablesource"/>
      </w:pPr>
      <w:bookmarkStart w:id="142" w:name="_Toc443923200"/>
      <w:bookmarkStart w:id="143" w:name="_Ref448320174"/>
      <w:bookmarkStart w:id="144" w:name="_Toc451938979"/>
      <w:r w:rsidRPr="00823B7B">
        <w:t>Source:</w:t>
      </w:r>
      <w:r w:rsidRPr="00823B7B">
        <w:tab/>
      </w:r>
      <w:r>
        <w:t>AER analysis</w:t>
      </w:r>
      <w:r w:rsidRPr="00BA0AFD">
        <w:t>.</w:t>
      </w:r>
    </w:p>
    <w:p w:rsidR="00A71C54" w:rsidRPr="00BA0AFD" w:rsidRDefault="00A71C54" w:rsidP="00A71C54">
      <w:pPr>
        <w:pStyle w:val="AERtablesource"/>
      </w:pPr>
      <w:r>
        <w:t>Notes</w:t>
      </w:r>
      <w:r w:rsidRPr="00823B7B">
        <w:t>:</w:t>
      </w:r>
      <w:r w:rsidRPr="00823B7B">
        <w:tab/>
      </w:r>
      <w:r>
        <w:t xml:space="preserve">Based on a </w:t>
      </w:r>
      <w:r w:rsidR="00651424">
        <w:t xml:space="preserve">placeholder </w:t>
      </w:r>
      <w:r>
        <w:t xml:space="preserve">risk free rate estimate of </w:t>
      </w:r>
      <w:r w:rsidR="00814A46">
        <w:t>1.95</w:t>
      </w:r>
      <w:r>
        <w:t xml:space="preserve"> per cent.</w:t>
      </w:r>
    </w:p>
    <w:p w:rsidR="00B360AF" w:rsidRPr="00B360AF" w:rsidRDefault="00B360AF" w:rsidP="00B360AF">
      <w:pPr>
        <w:pStyle w:val="Heading8"/>
      </w:pPr>
      <w:bookmarkStart w:id="145" w:name="_Ref456978683"/>
      <w:bookmarkStart w:id="146" w:name="_Toc457911193"/>
      <w:bookmarkStart w:id="147" w:name="_Toc461803730"/>
      <w:bookmarkStart w:id="148" w:name="_Toc462754640"/>
      <w:bookmarkEnd w:id="142"/>
      <w:bookmarkEnd w:id="143"/>
      <w:bookmarkEnd w:id="144"/>
      <w:r>
        <w:t>AER's dividend growth model</w:t>
      </w:r>
      <w:bookmarkEnd w:id="145"/>
      <w:bookmarkEnd w:id="146"/>
      <w:bookmarkEnd w:id="147"/>
      <w:bookmarkEnd w:id="148"/>
    </w:p>
    <w:p w:rsidR="00A71C54" w:rsidRPr="00B4711B" w:rsidRDefault="00A71C54" w:rsidP="00A71C54">
      <w:pPr>
        <w:numPr>
          <w:ilvl w:val="0"/>
          <w:numId w:val="25"/>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380"/>
      </w:r>
      <w:r w:rsidRPr="00B4711B">
        <w:t xml:space="preserve"> </w:t>
      </w:r>
    </w:p>
    <w:p w:rsidR="00B360AF" w:rsidRPr="00B4711B" w:rsidRDefault="00B360AF" w:rsidP="00B360AF">
      <w:pPr>
        <w:pStyle w:val="Heading9"/>
      </w:pPr>
      <w:bookmarkStart w:id="149" w:name="_Toc457911194"/>
      <w:bookmarkStart w:id="150" w:name="_Toc461803731"/>
      <w:bookmarkStart w:id="151" w:name="_Toc462754641"/>
      <w:r>
        <w:t>Prevailing estimates</w:t>
      </w:r>
      <w:bookmarkEnd w:id="149"/>
      <w:bookmarkEnd w:id="150"/>
      <w:bookmarkEnd w:id="151"/>
    </w:p>
    <w:p w:rsidR="00A71C54" w:rsidRPr="00B4711B" w:rsidRDefault="00A71C54" w:rsidP="00A71C54">
      <w:r w:rsidRPr="00B4711B">
        <w:t xml:space="preserve">Results in </w:t>
      </w:r>
      <w:r>
        <w:fldChar w:fldCharType="begin"/>
      </w:r>
      <w:r>
        <w:instrText xml:space="preserve"> REF _Ref445384078 \h </w:instrText>
      </w:r>
      <w:r>
        <w:fldChar w:fldCharType="separate"/>
      </w:r>
      <w:r w:rsidR="00691B4D" w:rsidRPr="00C2709F">
        <w:t xml:space="preserve">Table </w:t>
      </w:r>
      <w:r w:rsidR="00691B4D">
        <w:rPr>
          <w:noProof/>
        </w:rPr>
        <w:t>3</w:t>
      </w:r>
      <w:r w:rsidR="00691B4D">
        <w:noBreakHyphen/>
      </w:r>
      <w:r w:rsidR="00691B4D">
        <w:rPr>
          <w:noProof/>
        </w:rPr>
        <w:t>19</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rsidR="005F7296">
        <w:t>July</w:t>
      </w:r>
      <w:r w:rsidR="008262CF" w:rsidRPr="00B4711B">
        <w:t xml:space="preserve"> </w:t>
      </w:r>
      <w:r w:rsidRPr="00B4711B">
        <w:t>201</w:t>
      </w:r>
      <w:r w:rsidR="008262CF">
        <w:t>6</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006C3A08">
        <w:rPr>
          <w:rStyle w:val="AERbody"/>
        </w:rPr>
        <w:t>7.54 to 8.86</w:t>
      </w:r>
      <w:r w:rsidRPr="00B4711B">
        <w:rPr>
          <w:rStyle w:val="AERbody"/>
        </w:rPr>
        <w:t xml:space="preserve"> per </w:t>
      </w:r>
      <w:r w:rsidRPr="00B4711B">
        <w:t>cent.</w:t>
      </w:r>
      <w:r w:rsidRPr="00890846">
        <w:t xml:space="preserve"> </w:t>
      </w:r>
    </w:p>
    <w:p w:rsidR="00A71C54" w:rsidRDefault="00A71C54" w:rsidP="00A71C54">
      <w:pPr>
        <w:pStyle w:val="Caption"/>
      </w:pPr>
      <w:bookmarkStart w:id="152" w:name="_Ref445384078"/>
      <w:bookmarkStart w:id="153" w:name="_Ref443651296"/>
      <w:r w:rsidRPr="00C2709F">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19</w:t>
      </w:r>
      <w:r w:rsidR="00AB6D99">
        <w:rPr>
          <w:noProof/>
        </w:rPr>
        <w:fldChar w:fldCharType="end"/>
      </w:r>
      <w:bookmarkEnd w:id="152"/>
      <w:r w:rsidRPr="00C2709F">
        <w:t xml:space="preserve"> </w:t>
      </w:r>
      <w:r w:rsidRPr="00C2709F">
        <w:tab/>
      </w:r>
      <w:r>
        <w:t>Market risk premium estimates under dividend growth models</w:t>
      </w:r>
      <w:r w:rsidRPr="00C2709F">
        <w:t xml:space="preserve"> (per cent)</w:t>
      </w:r>
      <w:r w:rsidRPr="00C2709F" w:rsidDel="00184676">
        <w:t xml:space="preserve"> </w:t>
      </w:r>
      <w:bookmarkEnd w:id="153"/>
    </w:p>
    <w:tbl>
      <w:tblPr>
        <w:tblStyle w:val="AERtable-text0"/>
        <w:tblW w:w="0" w:type="auto"/>
        <w:tblLook w:val="04A0" w:firstRow="1" w:lastRow="0" w:firstColumn="1" w:lastColumn="0" w:noHBand="0" w:noVBand="1"/>
      </w:tblPr>
      <w:tblGrid>
        <w:gridCol w:w="2897"/>
        <w:gridCol w:w="2898"/>
        <w:gridCol w:w="2898"/>
      </w:tblGrid>
      <w:tr w:rsidR="00A71C54" w:rsidTr="00A71C54">
        <w:trPr>
          <w:cnfStyle w:val="100000000000" w:firstRow="1" w:lastRow="0" w:firstColumn="0" w:lastColumn="0" w:oddVBand="0" w:evenVBand="0" w:oddHBand="0" w:evenHBand="0" w:firstRowFirstColumn="0" w:firstRowLastColumn="0" w:lastRowFirstColumn="0" w:lastRowLastColumn="0"/>
        </w:trPr>
        <w:tc>
          <w:tcPr>
            <w:tcW w:w="2897" w:type="dxa"/>
          </w:tcPr>
          <w:p w:rsidR="00A71C54" w:rsidRPr="00A71C54" w:rsidRDefault="00A71C54" w:rsidP="00A71C54">
            <w:r w:rsidRPr="00B4711B">
              <w:t xml:space="preserve">Growth rate </w:t>
            </w:r>
          </w:p>
        </w:tc>
        <w:tc>
          <w:tcPr>
            <w:tcW w:w="2898" w:type="dxa"/>
          </w:tcPr>
          <w:p w:rsidR="00A71C54" w:rsidRPr="00A71C54" w:rsidRDefault="00A71C54" w:rsidP="00A71C54">
            <w:r w:rsidRPr="00B4711B">
              <w:t>Two stage model</w:t>
            </w:r>
          </w:p>
        </w:tc>
        <w:tc>
          <w:tcPr>
            <w:tcW w:w="2898" w:type="dxa"/>
          </w:tcPr>
          <w:p w:rsidR="00A71C54" w:rsidRPr="00A71C54" w:rsidRDefault="00A71C54" w:rsidP="00A71C54">
            <w:r w:rsidRPr="00B4711B">
              <w:t>Three stage model</w:t>
            </w:r>
          </w:p>
        </w:tc>
      </w:tr>
      <w:tr w:rsidR="00A71C54" w:rsidTr="00A71C54">
        <w:tc>
          <w:tcPr>
            <w:tcW w:w="2897" w:type="dxa"/>
          </w:tcPr>
          <w:p w:rsidR="00A71C54" w:rsidRPr="00A71C54" w:rsidRDefault="00A71C54" w:rsidP="00A71C54">
            <w:r w:rsidRPr="001F22B0">
              <w:t>3.8</w:t>
            </w:r>
          </w:p>
        </w:tc>
        <w:tc>
          <w:tcPr>
            <w:tcW w:w="2898" w:type="dxa"/>
          </w:tcPr>
          <w:p w:rsidR="00A71C54" w:rsidRPr="00A71C54" w:rsidRDefault="006C3A08" w:rsidP="00A71C54">
            <w:r>
              <w:t>7.54</w:t>
            </w:r>
          </w:p>
        </w:tc>
        <w:tc>
          <w:tcPr>
            <w:tcW w:w="2898" w:type="dxa"/>
          </w:tcPr>
          <w:p w:rsidR="00A71C54" w:rsidRPr="00A71C54" w:rsidRDefault="006C3A08" w:rsidP="00A71C54">
            <w:r>
              <w:t>7.82</w:t>
            </w:r>
          </w:p>
        </w:tc>
      </w:tr>
      <w:tr w:rsidR="00A71C54" w:rsidTr="00A71C54">
        <w:trPr>
          <w:cnfStyle w:val="000000010000" w:firstRow="0" w:lastRow="0" w:firstColumn="0" w:lastColumn="0" w:oddVBand="0" w:evenVBand="0" w:oddHBand="0" w:evenHBand="1" w:firstRowFirstColumn="0" w:firstRowLastColumn="0" w:lastRowFirstColumn="0" w:lastRowLastColumn="0"/>
        </w:trPr>
        <w:tc>
          <w:tcPr>
            <w:tcW w:w="2897" w:type="dxa"/>
          </w:tcPr>
          <w:p w:rsidR="00A71C54" w:rsidRPr="00A71C54" w:rsidRDefault="00A71C54" w:rsidP="00A71C54">
            <w:r w:rsidRPr="001F22B0">
              <w:t>4.6</w:t>
            </w:r>
          </w:p>
        </w:tc>
        <w:tc>
          <w:tcPr>
            <w:tcW w:w="2898" w:type="dxa"/>
          </w:tcPr>
          <w:p w:rsidR="00A71C54" w:rsidRPr="00A71C54" w:rsidRDefault="006C3A08" w:rsidP="00A71C54">
            <w:r>
              <w:t>8.32</w:t>
            </w:r>
          </w:p>
        </w:tc>
        <w:tc>
          <w:tcPr>
            <w:tcW w:w="2898" w:type="dxa"/>
          </w:tcPr>
          <w:p w:rsidR="00A71C54" w:rsidRPr="00A71C54" w:rsidRDefault="006C3A08" w:rsidP="00A71C54">
            <w:r>
              <w:t>8.46</w:t>
            </w:r>
          </w:p>
        </w:tc>
      </w:tr>
      <w:tr w:rsidR="00A71C54" w:rsidTr="00A71C54">
        <w:tc>
          <w:tcPr>
            <w:tcW w:w="2897" w:type="dxa"/>
          </w:tcPr>
          <w:p w:rsidR="00A71C54" w:rsidRPr="00A71C54" w:rsidRDefault="00A71C54" w:rsidP="00A71C54">
            <w:r w:rsidRPr="001F22B0">
              <w:t>5.1</w:t>
            </w:r>
          </w:p>
        </w:tc>
        <w:tc>
          <w:tcPr>
            <w:tcW w:w="2898" w:type="dxa"/>
          </w:tcPr>
          <w:p w:rsidR="00A71C54" w:rsidRPr="00A71C54" w:rsidRDefault="006C3A08" w:rsidP="00A71C54">
            <w:r>
              <w:t>8.79</w:t>
            </w:r>
          </w:p>
        </w:tc>
        <w:tc>
          <w:tcPr>
            <w:tcW w:w="2898" w:type="dxa"/>
          </w:tcPr>
          <w:p w:rsidR="00A71C54" w:rsidRPr="00A71C54" w:rsidRDefault="006C3A08" w:rsidP="00A71C54">
            <w:r>
              <w:t>8.86</w:t>
            </w:r>
          </w:p>
        </w:tc>
      </w:tr>
    </w:tbl>
    <w:p w:rsidR="00A71C54" w:rsidRPr="00B4711B" w:rsidRDefault="00A71C54" w:rsidP="00A71C54">
      <w:pPr>
        <w:pStyle w:val="AERtablesource"/>
      </w:pPr>
      <w:r w:rsidRPr="00B4711B">
        <w:t xml:space="preserve">Source: </w:t>
      </w:r>
      <w:r w:rsidRPr="00B4711B">
        <w:tab/>
        <w:t>Bloomberg, AER analysis.</w:t>
      </w:r>
      <w:r w:rsidRPr="00B4711B">
        <w:tab/>
      </w:r>
    </w:p>
    <w:p w:rsidR="00A71C54" w:rsidRPr="00B4711B" w:rsidRDefault="00A71C54" w:rsidP="00A71C54">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w:t>
      </w:r>
      <w:r w:rsidR="008262CF">
        <w:t xml:space="preserve">preliminary </w:t>
      </w:r>
      <w:r>
        <w:t xml:space="preserve">decision for </w:t>
      </w:r>
      <w:r w:rsidR="008262CF">
        <w:t>AusNet Services' 2016-20 distribution determination</w:t>
      </w:r>
      <w:r w:rsidRPr="00B4711B">
        <w:t>. Market risk premium estimates are based on an assumed theta of 0.6, and a 2 month average (</w:t>
      </w:r>
      <w:r w:rsidR="005F7296">
        <w:t>Jun</w:t>
      </w:r>
      <w:r w:rsidRPr="00B4711B">
        <w:t>-</w:t>
      </w:r>
      <w:r w:rsidR="005F7296">
        <w:t>Jul</w:t>
      </w:r>
      <w:r w:rsidRPr="00B4711B">
        <w:t xml:space="preserve"> 2016) of analysts' dividend forecasts.</w:t>
      </w:r>
    </w:p>
    <w:p w:rsidR="00B360AF" w:rsidRPr="00B4711B" w:rsidRDefault="00B360AF" w:rsidP="00B360AF">
      <w:pPr>
        <w:pStyle w:val="Heading9"/>
      </w:pPr>
      <w:bookmarkStart w:id="154" w:name="_Toc457911195"/>
      <w:bookmarkStart w:id="155" w:name="_Toc461803732"/>
      <w:bookmarkStart w:id="156" w:name="_Toc462754642"/>
      <w:r>
        <w:t>Sensitivity analysis</w:t>
      </w:r>
      <w:bookmarkEnd w:id="154"/>
      <w:bookmarkEnd w:id="155"/>
      <w:bookmarkEnd w:id="156"/>
    </w:p>
    <w:p w:rsidR="00A71C54" w:rsidRPr="00B4711B" w:rsidRDefault="00A71C54" w:rsidP="00A71C54">
      <w:pPr>
        <w:numPr>
          <w:ilvl w:val="0"/>
          <w:numId w:val="25"/>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sensitive to input assumptions such as</w:t>
      </w:r>
      <w:r>
        <w:t xml:space="preserve"> the</w:t>
      </w:r>
      <w:r w:rsidRPr="00B4711B">
        <w:t>:</w:t>
      </w:r>
    </w:p>
    <w:p w:rsidR="00A71C54" w:rsidRPr="00B4711B" w:rsidRDefault="00A71C54" w:rsidP="00A71C54">
      <w:pPr>
        <w:pStyle w:val="AERbulletlistfirststyle"/>
      </w:pPr>
      <w:r>
        <w:t>L</w:t>
      </w:r>
      <w:r w:rsidRPr="00B4711B">
        <w:t>ong term dividend growth rate</w:t>
      </w:r>
      <w:r>
        <w:t>.</w:t>
      </w:r>
      <w:r w:rsidRPr="00B4711B">
        <w:t xml:space="preserve"> </w:t>
      </w:r>
    </w:p>
    <w:p w:rsidR="00A71C54" w:rsidRPr="00B4711B" w:rsidRDefault="00A71C54" w:rsidP="00A71C54">
      <w:pPr>
        <w:pStyle w:val="AERbulletlistfirststyle"/>
      </w:pPr>
      <w:r>
        <w:lastRenderedPageBreak/>
        <w:t>P</w:t>
      </w:r>
      <w:r w:rsidRPr="00B4711B">
        <w:t>eriod estimates are averaged over</w:t>
      </w:r>
      <w:r>
        <w:t>.</w:t>
      </w:r>
    </w:p>
    <w:p w:rsidR="00A71C54" w:rsidRPr="00B4711B" w:rsidRDefault="00A71C54" w:rsidP="00A71C54">
      <w:pPr>
        <w:pStyle w:val="AERbulletlistfirststyle"/>
      </w:pPr>
      <w:r>
        <w:t>U</w:t>
      </w:r>
      <w:r w:rsidRPr="00B4711B">
        <w:t>se of analyst forecasts, which are likely to be biased.</w:t>
      </w:r>
    </w:p>
    <w:p w:rsidR="00A71C54" w:rsidRPr="00B4711B" w:rsidRDefault="00974C5F" w:rsidP="00A71C54">
      <w:r>
        <w:fldChar w:fldCharType="begin"/>
      </w:r>
      <w:r>
        <w:instrText xml:space="preserve"> REF _Ref445384013 \h </w:instrText>
      </w:r>
      <w:r>
        <w:fldChar w:fldCharType="separate"/>
      </w:r>
      <w:r w:rsidR="00691B4D" w:rsidRPr="00C2709F">
        <w:t xml:space="preserve">Table </w:t>
      </w:r>
      <w:r w:rsidR="00691B4D">
        <w:rPr>
          <w:noProof/>
        </w:rPr>
        <w:t>3</w:t>
      </w:r>
      <w:r w:rsidR="00691B4D">
        <w:noBreakHyphen/>
      </w:r>
      <w:r w:rsidR="00691B4D">
        <w:rPr>
          <w:noProof/>
        </w:rPr>
        <w:t>20</w:t>
      </w:r>
      <w:r>
        <w:fldChar w:fldCharType="end"/>
      </w:r>
      <w:r w:rsidR="00A71C54" w:rsidRPr="00B4711B">
        <w:t xml:space="preserve"> show</w:t>
      </w:r>
      <w:r>
        <w:t>s</w:t>
      </w:r>
      <w:r w:rsidR="00A71C54" w:rsidRPr="00B4711B">
        <w:t xml:space="preserve"> </w:t>
      </w:r>
      <w:r w:rsidR="00A71C54">
        <w:t>how sensitive</w:t>
      </w:r>
      <w:r w:rsidR="00A71C54" w:rsidRPr="00B4711B">
        <w:t xml:space="preserve"> our </w:t>
      </w:r>
      <w:r w:rsidR="00A71C54">
        <w:t>dividend growth model</w:t>
      </w:r>
      <w:r>
        <w:t>s are</w:t>
      </w:r>
      <w:r w:rsidR="00A71C54" w:rsidRPr="00B4711B">
        <w:t xml:space="preserve"> to these factors</w:t>
      </w:r>
      <w:r w:rsidR="00A71C54">
        <w:t xml:space="preserve">. </w:t>
      </w:r>
    </w:p>
    <w:p w:rsidR="00A71C54" w:rsidRPr="00DB0499" w:rsidRDefault="00A71C54" w:rsidP="00A71C54">
      <w:pPr>
        <w:pStyle w:val="Caption"/>
      </w:pPr>
      <w:bookmarkStart w:id="157" w:name="_Ref445384013"/>
      <w:bookmarkStart w:id="158" w:name="_Ref443651335"/>
      <w:r w:rsidRPr="00C2709F">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20</w:t>
      </w:r>
      <w:r w:rsidR="00AB6D99">
        <w:rPr>
          <w:noProof/>
        </w:rPr>
        <w:fldChar w:fldCharType="end"/>
      </w:r>
      <w:bookmarkEnd w:id="157"/>
      <w:r w:rsidRPr="00C2709F">
        <w:t xml:space="preserve"> </w:t>
      </w:r>
      <w:r w:rsidRPr="00C2709F">
        <w:tab/>
      </w:r>
      <w:r>
        <w:t>Sensitivities in the dividend growth model</w:t>
      </w:r>
      <w:r w:rsidRPr="00C2709F">
        <w:t xml:space="preserve"> (per cent)</w:t>
      </w:r>
      <w:r w:rsidRPr="00C2709F" w:rsidDel="00184676">
        <w:t xml:space="preserve"> </w:t>
      </w:r>
      <w:bookmarkEnd w:id="158"/>
    </w:p>
    <w:tbl>
      <w:tblPr>
        <w:tblStyle w:val="AERtable-numbers"/>
        <w:tblW w:w="5000" w:type="pct"/>
        <w:tblLook w:val="04A0" w:firstRow="1" w:lastRow="0" w:firstColumn="1" w:lastColumn="0" w:noHBand="0" w:noVBand="1"/>
      </w:tblPr>
      <w:tblGrid>
        <w:gridCol w:w="1953"/>
        <w:gridCol w:w="2976"/>
        <w:gridCol w:w="1843"/>
        <w:gridCol w:w="1921"/>
      </w:tblGrid>
      <w:tr w:rsidR="000F49F2" w:rsidTr="007A4DA1">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123" w:type="pct"/>
            <w:tcBorders>
              <w:top w:val="nil"/>
              <w:left w:val="nil"/>
              <w:bottom w:val="nil"/>
              <w:right w:val="nil"/>
            </w:tcBorders>
          </w:tcPr>
          <w:p w:rsidR="003C4082" w:rsidRPr="00B4711B" w:rsidRDefault="00B21982" w:rsidP="00A71C54">
            <w:r>
              <w:t>Sensitivity</w:t>
            </w:r>
          </w:p>
        </w:tc>
        <w:tc>
          <w:tcPr>
            <w:tcW w:w="1712" w:type="pct"/>
            <w:tcBorders>
              <w:top w:val="nil"/>
              <w:left w:val="nil"/>
              <w:bottom w:val="nil"/>
              <w:right w:val="nil"/>
            </w:tcBorders>
            <w:hideMark/>
          </w:tcPr>
          <w:p w:rsidR="003C4082" w:rsidRPr="00A71C54" w:rsidRDefault="00B21982" w:rsidP="00A71C54">
            <w:pPr>
              <w:cnfStyle w:val="100000000000" w:firstRow="1" w:lastRow="0" w:firstColumn="0" w:lastColumn="0" w:oddVBand="0" w:evenVBand="0" w:oddHBand="0" w:evenHBand="0" w:firstRowFirstColumn="0" w:firstRowLastColumn="0" w:lastRowFirstColumn="0" w:lastRowLastColumn="0"/>
            </w:pPr>
            <w:r>
              <w:t>Description</w:t>
            </w:r>
          </w:p>
        </w:tc>
        <w:tc>
          <w:tcPr>
            <w:tcW w:w="1060" w:type="pct"/>
            <w:tcBorders>
              <w:top w:val="nil"/>
              <w:left w:val="nil"/>
              <w:bottom w:val="nil"/>
              <w:right w:val="nil"/>
            </w:tcBorders>
            <w:hideMark/>
          </w:tcPr>
          <w:p w:rsidR="003C4082" w:rsidRPr="00A71C54" w:rsidRDefault="003C4082" w:rsidP="00A71C54">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105" w:type="pct"/>
            <w:tcBorders>
              <w:top w:val="nil"/>
              <w:left w:val="nil"/>
              <w:bottom w:val="nil"/>
              <w:right w:val="nil"/>
            </w:tcBorders>
            <w:hideMark/>
          </w:tcPr>
          <w:p w:rsidR="003C4082" w:rsidRPr="00A71C54" w:rsidRDefault="003C4082" w:rsidP="00A71C54">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0F49F2" w:rsidTr="007A4DA1">
        <w:trPr>
          <w:trHeight w:val="1418"/>
        </w:trPr>
        <w:tc>
          <w:tcPr>
            <w:cnfStyle w:val="001000000000" w:firstRow="0" w:lastRow="0" w:firstColumn="1" w:lastColumn="0" w:oddVBand="0" w:evenVBand="0" w:oddHBand="0" w:evenHBand="0" w:firstRowFirstColumn="0" w:firstRowLastColumn="0" w:lastRowFirstColumn="0" w:lastRowLastColumn="0"/>
            <w:tcW w:w="1123" w:type="pct"/>
            <w:tcBorders>
              <w:top w:val="nil"/>
              <w:left w:val="nil"/>
              <w:bottom w:val="single" w:sz="4" w:space="0" w:color="365F91"/>
              <w:right w:val="nil"/>
            </w:tcBorders>
          </w:tcPr>
          <w:p w:rsidR="003C4082" w:rsidRPr="00B4711B" w:rsidDel="003C4082" w:rsidRDefault="003C4082" w:rsidP="00A71C54">
            <w:r>
              <w:t>Baseline</w:t>
            </w:r>
          </w:p>
        </w:tc>
        <w:tc>
          <w:tcPr>
            <w:tcW w:w="1712" w:type="pct"/>
            <w:tcBorders>
              <w:top w:val="nil"/>
              <w:left w:val="nil"/>
              <w:bottom w:val="single" w:sz="4" w:space="0" w:color="365F91"/>
              <w:right w:val="nil"/>
            </w:tcBorders>
          </w:tcPr>
          <w:p w:rsidR="003C4082" w:rsidRPr="007A4DA1" w:rsidRDefault="003C4082" w:rsidP="007A4DA1">
            <w:pPr>
              <w:cnfStyle w:val="000000000000" w:firstRow="0" w:lastRow="0" w:firstColumn="0" w:lastColumn="0" w:oddVBand="0" w:evenVBand="0" w:oddHBand="0" w:evenHBand="0" w:firstRowFirstColumn="0" w:firstRowLastColumn="0" w:lastRowFirstColumn="0" w:lastRowLastColumn="0"/>
            </w:pPr>
            <w:r w:rsidRPr="007A4DA1">
              <w:tab/>
              <w:t xml:space="preserve">4.6% long-term growth rate </w:t>
            </w:r>
          </w:p>
          <w:p w:rsidR="003C4082" w:rsidRPr="007A4DA1" w:rsidRDefault="003C4082">
            <w:pPr>
              <w:cnfStyle w:val="000000000000" w:firstRow="0" w:lastRow="0" w:firstColumn="0" w:lastColumn="0" w:oddVBand="0" w:evenVBand="0" w:oddHBand="0" w:evenHBand="0" w:firstRowFirstColumn="0" w:firstRowLastColumn="0" w:lastRowFirstColumn="0" w:lastRowLastColumn="0"/>
            </w:pPr>
            <w:r w:rsidRPr="007A4DA1">
              <w:tab/>
              <w:t>2 month average to end July 2016</w:t>
            </w:r>
          </w:p>
          <w:p w:rsidR="003C4082" w:rsidRPr="007A4DA1" w:rsidRDefault="003C4082">
            <w:pPr>
              <w:cnfStyle w:val="000000000000" w:firstRow="0" w:lastRow="0" w:firstColumn="0" w:lastColumn="0" w:oddVBand="0" w:evenVBand="0" w:oddHBand="0" w:evenHBand="0" w:firstRowFirstColumn="0" w:firstRowLastColumn="0" w:lastRowFirstColumn="0" w:lastRowLastColumn="0"/>
            </w:pPr>
            <w:r w:rsidRPr="007A4DA1">
              <w:tab/>
              <w:t>unadjusted analysts' forecasts</w:t>
            </w:r>
          </w:p>
        </w:tc>
        <w:tc>
          <w:tcPr>
            <w:tcW w:w="1060" w:type="pct"/>
            <w:tcBorders>
              <w:top w:val="nil"/>
              <w:left w:val="nil"/>
              <w:bottom w:val="single" w:sz="4" w:space="0" w:color="365F91"/>
              <w:right w:val="nil"/>
            </w:tcBorders>
          </w:tcPr>
          <w:p w:rsidR="003C4082" w:rsidRPr="00A71C54" w:rsidRDefault="003C4082" w:rsidP="00A71C54">
            <w:pPr>
              <w:cnfStyle w:val="000000000000" w:firstRow="0" w:lastRow="0" w:firstColumn="0" w:lastColumn="0" w:oddVBand="0" w:evenVBand="0" w:oddHBand="0" w:evenHBand="0" w:firstRowFirstColumn="0" w:firstRowLastColumn="0" w:lastRowFirstColumn="0" w:lastRowLastColumn="0"/>
            </w:pPr>
            <w:r>
              <w:t>8.32</w:t>
            </w:r>
          </w:p>
        </w:tc>
        <w:tc>
          <w:tcPr>
            <w:tcW w:w="1105" w:type="pct"/>
            <w:tcBorders>
              <w:top w:val="nil"/>
              <w:left w:val="nil"/>
              <w:bottom w:val="single" w:sz="4" w:space="0" w:color="365F91"/>
              <w:right w:val="nil"/>
            </w:tcBorders>
          </w:tcPr>
          <w:p w:rsidR="003C4082" w:rsidRPr="00A71C54" w:rsidRDefault="003C4082" w:rsidP="00A71C54">
            <w:pPr>
              <w:cnfStyle w:val="000000000000" w:firstRow="0" w:lastRow="0" w:firstColumn="0" w:lastColumn="0" w:oddVBand="0" w:evenVBand="0" w:oddHBand="0" w:evenHBand="0" w:firstRowFirstColumn="0" w:firstRowLastColumn="0" w:lastRowFirstColumn="0" w:lastRowLastColumn="0"/>
            </w:pPr>
            <w:r>
              <w:t>8.46</w:t>
            </w:r>
          </w:p>
        </w:tc>
      </w:tr>
      <w:tr w:rsidR="003C4082" w:rsidTr="006C5D58">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123" w:type="pct"/>
            <w:tcBorders>
              <w:top w:val="nil"/>
              <w:left w:val="nil"/>
              <w:right w:val="nil"/>
            </w:tcBorders>
          </w:tcPr>
          <w:p w:rsidR="003C4082" w:rsidRPr="00B4711B" w:rsidRDefault="003C4082" w:rsidP="00A71C54">
            <w:r>
              <w:t>Baseline with different long-term growth rates</w:t>
            </w:r>
          </w:p>
        </w:tc>
        <w:tc>
          <w:tcPr>
            <w:tcW w:w="1712" w:type="pct"/>
            <w:tcBorders>
              <w:top w:val="nil"/>
              <w:left w:val="nil"/>
              <w:right w:val="nil"/>
            </w:tcBorders>
          </w:tcPr>
          <w:p w:rsidR="003C4082" w:rsidRPr="007A4DA1" w:rsidRDefault="003C4082" w:rsidP="007A4DA1">
            <w:pPr>
              <w:cnfStyle w:val="000000010000" w:firstRow="0" w:lastRow="0" w:firstColumn="0" w:lastColumn="0" w:oddVBand="0" w:evenVBand="0" w:oddHBand="0" w:evenHBand="1" w:firstRowFirstColumn="0" w:firstRowLastColumn="0" w:lastRowFirstColumn="0" w:lastRowLastColumn="0"/>
            </w:pPr>
            <w:r w:rsidRPr="007A4DA1">
              <w:t>5.1% long-term growth rate</w:t>
            </w:r>
          </w:p>
          <w:p w:rsidR="003C4082" w:rsidRPr="007A4DA1" w:rsidRDefault="003C4082" w:rsidP="007A4DA1">
            <w:pPr>
              <w:cnfStyle w:val="000000010000" w:firstRow="0" w:lastRow="0" w:firstColumn="0" w:lastColumn="0" w:oddVBand="0" w:evenVBand="0" w:oddHBand="0" w:evenHBand="1" w:firstRowFirstColumn="0" w:firstRowLastColumn="0" w:lastRowFirstColumn="0" w:lastRowLastColumn="0"/>
            </w:pPr>
            <w:r w:rsidRPr="007A4DA1">
              <w:t>3.78% long-term growth rate</w:t>
            </w:r>
          </w:p>
        </w:tc>
        <w:tc>
          <w:tcPr>
            <w:tcW w:w="1060" w:type="pct"/>
            <w:tcBorders>
              <w:top w:val="nil"/>
              <w:left w:val="nil"/>
              <w:right w:val="nil"/>
            </w:tcBorders>
          </w:tcPr>
          <w:p w:rsidR="003C4082" w:rsidRPr="00A71C54" w:rsidRDefault="003C4082" w:rsidP="00A71C54">
            <w:pPr>
              <w:cnfStyle w:val="000000010000" w:firstRow="0" w:lastRow="0" w:firstColumn="0" w:lastColumn="0" w:oddVBand="0" w:evenVBand="0" w:oddHBand="0" w:evenHBand="1" w:firstRowFirstColumn="0" w:firstRowLastColumn="0" w:lastRowFirstColumn="0" w:lastRowLastColumn="0"/>
            </w:pPr>
            <w:r>
              <w:t>8.79</w:t>
            </w:r>
          </w:p>
          <w:p w:rsidR="003C4082" w:rsidRPr="00A71C54" w:rsidRDefault="003C4082" w:rsidP="00A71C54">
            <w:pPr>
              <w:cnfStyle w:val="000000010000" w:firstRow="0" w:lastRow="0" w:firstColumn="0" w:lastColumn="0" w:oddVBand="0" w:evenVBand="0" w:oddHBand="0" w:evenHBand="1" w:firstRowFirstColumn="0" w:firstRowLastColumn="0" w:lastRowFirstColumn="0" w:lastRowLastColumn="0"/>
            </w:pPr>
            <w:r>
              <w:t>7.54</w:t>
            </w:r>
          </w:p>
        </w:tc>
        <w:tc>
          <w:tcPr>
            <w:tcW w:w="1105" w:type="pct"/>
            <w:tcBorders>
              <w:top w:val="nil"/>
              <w:left w:val="nil"/>
              <w:right w:val="nil"/>
            </w:tcBorders>
          </w:tcPr>
          <w:p w:rsidR="003C4082" w:rsidRPr="00A71C54" w:rsidRDefault="003C4082" w:rsidP="00A71C54">
            <w:pPr>
              <w:cnfStyle w:val="000000010000" w:firstRow="0" w:lastRow="0" w:firstColumn="0" w:lastColumn="0" w:oddVBand="0" w:evenVBand="0" w:oddHBand="0" w:evenHBand="1" w:firstRowFirstColumn="0" w:firstRowLastColumn="0" w:lastRowFirstColumn="0" w:lastRowLastColumn="0"/>
            </w:pPr>
            <w:r>
              <w:t>8.86</w:t>
            </w:r>
          </w:p>
          <w:p w:rsidR="003C4082" w:rsidRPr="00A71C54" w:rsidRDefault="003C4082" w:rsidP="00A71C54">
            <w:pPr>
              <w:cnfStyle w:val="000000010000" w:firstRow="0" w:lastRow="0" w:firstColumn="0" w:lastColumn="0" w:oddVBand="0" w:evenVBand="0" w:oddHBand="0" w:evenHBand="1" w:firstRowFirstColumn="0" w:firstRowLastColumn="0" w:lastRowFirstColumn="0" w:lastRowLastColumn="0"/>
            </w:pPr>
            <w:r>
              <w:t>7.82</w:t>
            </w:r>
          </w:p>
        </w:tc>
      </w:tr>
      <w:tr w:rsidR="003C4082" w:rsidTr="006C5D58">
        <w:trPr>
          <w:trHeight w:val="834"/>
        </w:trPr>
        <w:tc>
          <w:tcPr>
            <w:cnfStyle w:val="001000000000" w:firstRow="0" w:lastRow="0" w:firstColumn="1" w:lastColumn="0" w:oddVBand="0" w:evenVBand="0" w:oddHBand="0" w:evenHBand="0" w:firstRowFirstColumn="0" w:firstRowLastColumn="0" w:lastRowFirstColumn="0" w:lastRowLastColumn="0"/>
            <w:tcW w:w="1123" w:type="pct"/>
          </w:tcPr>
          <w:p w:rsidR="003C4082" w:rsidRPr="00B4711B" w:rsidRDefault="003C4082" w:rsidP="005F7296">
            <w:r>
              <w:t xml:space="preserve">Baseline with different </w:t>
            </w:r>
            <w:r w:rsidR="000F49F2">
              <w:t>averaging periods</w:t>
            </w:r>
          </w:p>
        </w:tc>
        <w:tc>
          <w:tcPr>
            <w:tcW w:w="1712" w:type="pct"/>
          </w:tcPr>
          <w:p w:rsidR="003C4082" w:rsidRPr="007A4DA1" w:rsidRDefault="003C4082" w:rsidP="007A4DA1">
            <w:pPr>
              <w:cnfStyle w:val="000000000000" w:firstRow="0" w:lastRow="0" w:firstColumn="0" w:lastColumn="0" w:oddVBand="0" w:evenVBand="0" w:oddHBand="0" w:evenHBand="0" w:firstRowFirstColumn="0" w:firstRowLastColumn="0" w:lastRowFirstColumn="0" w:lastRowLastColumn="0"/>
            </w:pPr>
            <w:r w:rsidRPr="007A4DA1">
              <w:t>6 months to end July 2016</w:t>
            </w:r>
          </w:p>
          <w:p w:rsidR="003C4082" w:rsidRPr="007A4DA1" w:rsidRDefault="003C4082" w:rsidP="007A4DA1">
            <w:pPr>
              <w:cnfStyle w:val="000000000000" w:firstRow="0" w:lastRow="0" w:firstColumn="0" w:lastColumn="0" w:oddVBand="0" w:evenVBand="0" w:oddHBand="0" w:evenHBand="0" w:firstRowFirstColumn="0" w:firstRowLastColumn="0" w:lastRowFirstColumn="0" w:lastRowLastColumn="0"/>
            </w:pPr>
            <w:r w:rsidRPr="007A4DA1">
              <w:t>12 months to end July 2016</w:t>
            </w:r>
          </w:p>
        </w:tc>
        <w:tc>
          <w:tcPr>
            <w:tcW w:w="1060" w:type="pct"/>
          </w:tcPr>
          <w:p w:rsidR="003C4082" w:rsidRPr="00A71C54" w:rsidRDefault="000F49F2" w:rsidP="00A71C54">
            <w:pPr>
              <w:cnfStyle w:val="000000000000" w:firstRow="0" w:lastRow="0" w:firstColumn="0" w:lastColumn="0" w:oddVBand="0" w:evenVBand="0" w:oddHBand="0" w:evenHBand="0" w:firstRowFirstColumn="0" w:firstRowLastColumn="0" w:lastRowFirstColumn="0" w:lastRowLastColumn="0"/>
            </w:pPr>
            <w:r>
              <w:t>8.18</w:t>
            </w:r>
          </w:p>
          <w:p w:rsidR="003C4082" w:rsidRPr="00A71C54" w:rsidRDefault="000F49F2" w:rsidP="00A71C54">
            <w:pPr>
              <w:cnfStyle w:val="000000000000" w:firstRow="0" w:lastRow="0" w:firstColumn="0" w:lastColumn="0" w:oddVBand="0" w:evenVBand="0" w:oddHBand="0" w:evenHBand="0" w:firstRowFirstColumn="0" w:firstRowLastColumn="0" w:lastRowFirstColumn="0" w:lastRowLastColumn="0"/>
            </w:pPr>
            <w:r>
              <w:t>8.32</w:t>
            </w:r>
          </w:p>
        </w:tc>
        <w:tc>
          <w:tcPr>
            <w:tcW w:w="1105" w:type="pct"/>
          </w:tcPr>
          <w:p w:rsidR="003C4082" w:rsidRPr="00A71C54" w:rsidRDefault="000F49F2" w:rsidP="00A71C54">
            <w:pPr>
              <w:cnfStyle w:val="000000000000" w:firstRow="0" w:lastRow="0" w:firstColumn="0" w:lastColumn="0" w:oddVBand="0" w:evenVBand="0" w:oddHBand="0" w:evenHBand="0" w:firstRowFirstColumn="0" w:firstRowLastColumn="0" w:lastRowFirstColumn="0" w:lastRowLastColumn="0"/>
            </w:pPr>
            <w:r>
              <w:t>8.35</w:t>
            </w:r>
          </w:p>
          <w:p w:rsidR="003C4082" w:rsidRPr="00A71C54" w:rsidRDefault="000F49F2" w:rsidP="00A71C54">
            <w:pPr>
              <w:cnfStyle w:val="000000000000" w:firstRow="0" w:lastRow="0" w:firstColumn="0" w:lastColumn="0" w:oddVBand="0" w:evenVBand="0" w:oddHBand="0" w:evenHBand="0" w:firstRowFirstColumn="0" w:firstRowLastColumn="0" w:lastRowFirstColumn="0" w:lastRowLastColumn="0"/>
            </w:pPr>
            <w:r>
              <w:t>8.45</w:t>
            </w:r>
          </w:p>
        </w:tc>
      </w:tr>
      <w:tr w:rsidR="000F49F2" w:rsidTr="00BC0472">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123" w:type="pct"/>
          </w:tcPr>
          <w:p w:rsidR="000F49F2" w:rsidRPr="00B4711B" w:rsidRDefault="000F49F2" w:rsidP="00A71C54">
            <w:r>
              <w:t>Baseline with adjusted analyst forecasts</w:t>
            </w:r>
          </w:p>
        </w:tc>
        <w:tc>
          <w:tcPr>
            <w:tcW w:w="1712" w:type="pct"/>
            <w:hideMark/>
          </w:tcPr>
          <w:p w:rsidR="000F49F2" w:rsidRPr="007A4DA1" w:rsidRDefault="000F49F2" w:rsidP="007A4DA1">
            <w:pPr>
              <w:cnfStyle w:val="000000010000" w:firstRow="0" w:lastRow="0" w:firstColumn="0" w:lastColumn="0" w:oddVBand="0" w:evenVBand="0" w:oddHBand="0" w:evenHBand="1" w:firstRowFirstColumn="0" w:firstRowLastColumn="0" w:lastRowFirstColumn="0" w:lastRowLastColumn="0"/>
            </w:pPr>
            <w:r w:rsidRPr="007A4DA1">
              <w:t>Analysts' forecast  + 10%</w:t>
            </w:r>
          </w:p>
          <w:p w:rsidR="000F49F2" w:rsidRPr="007A4DA1" w:rsidRDefault="000F49F2" w:rsidP="007A4DA1">
            <w:pPr>
              <w:cnfStyle w:val="000000010000" w:firstRow="0" w:lastRow="0" w:firstColumn="0" w:lastColumn="0" w:oddVBand="0" w:evenVBand="0" w:oddHBand="0" w:evenHBand="1" w:firstRowFirstColumn="0" w:firstRowLastColumn="0" w:lastRowFirstColumn="0" w:lastRowLastColumn="0"/>
            </w:pPr>
            <w:r w:rsidRPr="007A4DA1">
              <w:t>Analysts' forecast  - 10%</w:t>
            </w:r>
          </w:p>
        </w:tc>
        <w:tc>
          <w:tcPr>
            <w:tcW w:w="1060" w:type="pct"/>
          </w:tcPr>
          <w:p w:rsidR="000F49F2" w:rsidRPr="00A71C54" w:rsidRDefault="000F49F2" w:rsidP="00A71C54">
            <w:pPr>
              <w:cnfStyle w:val="000000010000" w:firstRow="0" w:lastRow="0" w:firstColumn="0" w:lastColumn="0" w:oddVBand="0" w:evenVBand="0" w:oddHBand="0" w:evenHBand="1" w:firstRowFirstColumn="0" w:firstRowLastColumn="0" w:lastRowFirstColumn="0" w:lastRowLastColumn="0"/>
            </w:pPr>
            <w:r>
              <w:t>8.91</w:t>
            </w:r>
          </w:p>
          <w:p w:rsidR="000F49F2" w:rsidRPr="00A71C54" w:rsidRDefault="000F49F2" w:rsidP="00A71C54">
            <w:pPr>
              <w:cnfStyle w:val="000000010000" w:firstRow="0" w:lastRow="0" w:firstColumn="0" w:lastColumn="0" w:oddVBand="0" w:evenVBand="0" w:oddHBand="0" w:evenHBand="1" w:firstRowFirstColumn="0" w:firstRowLastColumn="0" w:lastRowFirstColumn="0" w:lastRowLastColumn="0"/>
            </w:pPr>
            <w:r>
              <w:t>7.73</w:t>
            </w:r>
          </w:p>
        </w:tc>
        <w:tc>
          <w:tcPr>
            <w:tcW w:w="1105" w:type="pct"/>
          </w:tcPr>
          <w:p w:rsidR="000F49F2" w:rsidRPr="00A71C54" w:rsidRDefault="000F49F2" w:rsidP="00A71C54">
            <w:pPr>
              <w:cnfStyle w:val="000000010000" w:firstRow="0" w:lastRow="0" w:firstColumn="0" w:lastColumn="0" w:oddVBand="0" w:evenVBand="0" w:oddHBand="0" w:evenHBand="1" w:firstRowFirstColumn="0" w:firstRowLastColumn="0" w:lastRowFirstColumn="0" w:lastRowLastColumn="0"/>
            </w:pPr>
            <w:r>
              <w:t>9.06</w:t>
            </w:r>
          </w:p>
          <w:p w:rsidR="000F49F2" w:rsidRPr="00A71C54" w:rsidRDefault="000F49F2" w:rsidP="00A71C54">
            <w:pPr>
              <w:cnfStyle w:val="000000010000" w:firstRow="0" w:lastRow="0" w:firstColumn="0" w:lastColumn="0" w:oddVBand="0" w:evenVBand="0" w:oddHBand="0" w:evenHBand="1" w:firstRowFirstColumn="0" w:firstRowLastColumn="0" w:lastRowFirstColumn="0" w:lastRowLastColumn="0"/>
            </w:pPr>
            <w:r>
              <w:t>7.86</w:t>
            </w:r>
          </w:p>
        </w:tc>
      </w:tr>
      <w:tr w:rsidR="003C4082" w:rsidTr="006C5D58">
        <w:trPr>
          <w:trHeight w:val="407"/>
        </w:trPr>
        <w:tc>
          <w:tcPr>
            <w:cnfStyle w:val="001000000000" w:firstRow="0" w:lastRow="0" w:firstColumn="1" w:lastColumn="0" w:oddVBand="0" w:evenVBand="0" w:oddHBand="0" w:evenHBand="0" w:firstRowFirstColumn="0" w:firstRowLastColumn="0" w:lastRowFirstColumn="0" w:lastRowLastColumn="0"/>
            <w:tcW w:w="1123" w:type="pct"/>
          </w:tcPr>
          <w:p w:rsidR="003C4082" w:rsidRPr="00B4711B" w:rsidRDefault="00F102C2" w:rsidP="00A71C54">
            <w:r w:rsidRPr="007A4DA1">
              <w:t>Combined - low</w:t>
            </w:r>
          </w:p>
        </w:tc>
        <w:tc>
          <w:tcPr>
            <w:tcW w:w="1712" w:type="pct"/>
            <w:hideMark/>
          </w:tcPr>
          <w:p w:rsidR="003C4082" w:rsidRPr="007A4DA1" w:rsidRDefault="00F102C2" w:rsidP="007A4DA1">
            <w:pPr>
              <w:cnfStyle w:val="000000000000" w:firstRow="0" w:lastRow="0" w:firstColumn="0" w:lastColumn="0" w:oddVBand="0" w:evenVBand="0" w:oddHBand="0" w:evenHBand="0" w:firstRowFirstColumn="0" w:firstRowLastColumn="0" w:lastRowFirstColumn="0" w:lastRowLastColumn="0"/>
            </w:pPr>
            <w:r w:rsidRPr="00B4711B">
              <w:t xml:space="preserve">3.78% growth, </w:t>
            </w:r>
            <w:r w:rsidRPr="00F102C2">
              <w:t>6 month averaging and analysts' forecasts - 10%.</w:t>
            </w:r>
          </w:p>
        </w:tc>
        <w:tc>
          <w:tcPr>
            <w:tcW w:w="1060" w:type="pct"/>
          </w:tcPr>
          <w:p w:rsidR="003C4082" w:rsidRPr="00A71C54" w:rsidRDefault="007A4DA1" w:rsidP="007A4DA1">
            <w:pPr>
              <w:cnfStyle w:val="000000000000" w:firstRow="0" w:lastRow="0" w:firstColumn="0" w:lastColumn="0" w:oddVBand="0" w:evenVBand="0" w:oddHBand="0" w:evenHBand="0" w:firstRowFirstColumn="0" w:firstRowLastColumn="0" w:lastRowFirstColumn="0" w:lastRowLastColumn="0"/>
            </w:pPr>
            <w:r>
              <w:t>6.80</w:t>
            </w:r>
          </w:p>
        </w:tc>
        <w:tc>
          <w:tcPr>
            <w:tcW w:w="1105" w:type="pct"/>
          </w:tcPr>
          <w:p w:rsidR="003C4082" w:rsidRPr="00A71C54" w:rsidRDefault="007A4DA1" w:rsidP="007A4DA1">
            <w:pPr>
              <w:cnfStyle w:val="000000000000" w:firstRow="0" w:lastRow="0" w:firstColumn="0" w:lastColumn="0" w:oddVBand="0" w:evenVBand="0" w:oddHBand="0" w:evenHBand="0" w:firstRowFirstColumn="0" w:firstRowLastColumn="0" w:lastRowFirstColumn="0" w:lastRowLastColumn="0"/>
            </w:pPr>
            <w:r>
              <w:t>7.09</w:t>
            </w:r>
          </w:p>
        </w:tc>
      </w:tr>
      <w:tr w:rsidR="003C4082" w:rsidTr="006C5D58">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23" w:type="pct"/>
          </w:tcPr>
          <w:p w:rsidR="003C4082" w:rsidRPr="00B4711B" w:rsidRDefault="00F102C2" w:rsidP="00A71C54">
            <w:r w:rsidRPr="007A4DA1">
              <w:t>Combined - high</w:t>
            </w:r>
          </w:p>
        </w:tc>
        <w:tc>
          <w:tcPr>
            <w:tcW w:w="1712" w:type="pct"/>
            <w:hideMark/>
          </w:tcPr>
          <w:p w:rsidR="003C4082" w:rsidRPr="007A4DA1" w:rsidRDefault="00F102C2" w:rsidP="007A4DA1">
            <w:pPr>
              <w:cnfStyle w:val="000000010000" w:firstRow="0" w:lastRow="0" w:firstColumn="0" w:lastColumn="0" w:oddVBand="0" w:evenVBand="0" w:oddHBand="0" w:evenHBand="1" w:firstRowFirstColumn="0" w:firstRowLastColumn="0" w:lastRowFirstColumn="0" w:lastRowLastColumn="0"/>
            </w:pPr>
            <w:r w:rsidRPr="00B4711B">
              <w:t xml:space="preserve">5.1% growth, </w:t>
            </w:r>
            <w:r w:rsidRPr="00F102C2">
              <w:t>12 month averaging and analysts' forecasts + 10%</w:t>
            </w:r>
          </w:p>
        </w:tc>
        <w:tc>
          <w:tcPr>
            <w:tcW w:w="1060" w:type="pct"/>
          </w:tcPr>
          <w:p w:rsidR="003C4082" w:rsidRPr="00A71C54" w:rsidRDefault="007A4DA1" w:rsidP="00A71C54">
            <w:pPr>
              <w:cnfStyle w:val="000000010000" w:firstRow="0" w:lastRow="0" w:firstColumn="0" w:lastColumn="0" w:oddVBand="0" w:evenVBand="0" w:oddHBand="0" w:evenHBand="1" w:firstRowFirstColumn="0" w:firstRowLastColumn="0" w:lastRowFirstColumn="0" w:lastRowLastColumn="0"/>
            </w:pPr>
            <w:r>
              <w:t>9.43</w:t>
            </w:r>
          </w:p>
        </w:tc>
        <w:tc>
          <w:tcPr>
            <w:tcW w:w="1105" w:type="pct"/>
          </w:tcPr>
          <w:p w:rsidR="003C4082" w:rsidRPr="00A71C54" w:rsidRDefault="007A4DA1" w:rsidP="00A71C54">
            <w:pPr>
              <w:cnfStyle w:val="000000010000" w:firstRow="0" w:lastRow="0" w:firstColumn="0" w:lastColumn="0" w:oddVBand="0" w:evenVBand="0" w:oddHBand="0" w:evenHBand="1" w:firstRowFirstColumn="0" w:firstRowLastColumn="0" w:lastRowFirstColumn="0" w:lastRowLastColumn="0"/>
            </w:pPr>
            <w:r>
              <w:t>9.48</w:t>
            </w:r>
          </w:p>
        </w:tc>
      </w:tr>
    </w:tbl>
    <w:p w:rsidR="00A71C54" w:rsidRPr="00B4711B" w:rsidRDefault="00A71C54" w:rsidP="00A71C54">
      <w:pPr>
        <w:pStyle w:val="AERtablesource"/>
      </w:pPr>
      <w:r w:rsidRPr="00B4711B">
        <w:t xml:space="preserve">Source: </w:t>
      </w:r>
      <w:r w:rsidRPr="00B4711B">
        <w:tab/>
        <w:t>Bloomberg, AER analysis.</w:t>
      </w:r>
    </w:p>
    <w:p w:rsidR="00A71C54" w:rsidRPr="00B4711B" w:rsidRDefault="00A71C54" w:rsidP="00A71C54">
      <w:pPr>
        <w:pStyle w:val="AERtablesource"/>
      </w:pPr>
      <w:r w:rsidRPr="00B4711B">
        <w:t>Notes:</w:t>
      </w:r>
      <w:r w:rsidRPr="00B4711B">
        <w:tab/>
        <w:t>All market risk premium estimates are based on an assumed theta of 0.6.</w:t>
      </w:r>
    </w:p>
    <w:p w:rsidR="00B360AF" w:rsidRPr="00B4711B" w:rsidRDefault="00B360AF" w:rsidP="00B360AF">
      <w:pPr>
        <w:pStyle w:val="Heading9"/>
      </w:pPr>
      <w:bookmarkStart w:id="159" w:name="_Toc461803733"/>
      <w:bookmarkStart w:id="160" w:name="_Toc462754643"/>
      <w:r>
        <w:t>Preferred construction of the model</w:t>
      </w:r>
      <w:bookmarkStart w:id="161" w:name="_Toc457911196"/>
      <w:bookmarkEnd w:id="161"/>
      <w:bookmarkEnd w:id="159"/>
      <w:bookmarkEnd w:id="160"/>
    </w:p>
    <w:p w:rsidR="00A71C54" w:rsidRPr="00B4711B" w:rsidRDefault="00A71C54" w:rsidP="00A71C54">
      <w:r w:rsidRPr="00B4711B">
        <w:t xml:space="preserve">Our preferred construction of the </w:t>
      </w:r>
      <w:r>
        <w:t>dividend growth model</w:t>
      </w:r>
      <w:r w:rsidRPr="00B4711B">
        <w:t xml:space="preserve"> is consistent with that set out in </w:t>
      </w:r>
      <w:r w:rsidR="00D16C08">
        <w:t>our rate of return</w:t>
      </w:r>
      <w:r w:rsidR="00D16C08" w:rsidRPr="00B4711B">
        <w:t xml:space="preserve"> </w:t>
      </w:r>
      <w:r w:rsidR="00D16C08">
        <w:t>g</w:t>
      </w:r>
      <w:r w:rsidRPr="00B4711B">
        <w:t>uideline.</w:t>
      </w:r>
      <w:r w:rsidRPr="00B4711B">
        <w:rPr>
          <w:rStyle w:val="FootnoteReference"/>
        </w:rPr>
        <w:footnoteReference w:id="381"/>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bookmarkStart w:id="162" w:name="_Toc457911197"/>
      <w:bookmarkEnd w:id="162"/>
    </w:p>
    <w:p w:rsidR="00A71C54" w:rsidRPr="00B4711B" w:rsidRDefault="00AB6D99" w:rsidP="00A71C54">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bookmarkStart w:id="163" w:name="_Toc457911198"/>
      <w:bookmarkEnd w:id="163"/>
    </w:p>
    <w:p w:rsidR="00A71C54" w:rsidRPr="00B4711B" w:rsidRDefault="00A71C54" w:rsidP="00A71C54">
      <w:pPr>
        <w:pStyle w:val="AERtablesource"/>
      </w:pPr>
      <w:r w:rsidRPr="00B4711B">
        <w:t>Where:</w:t>
      </w:r>
      <w:r w:rsidRPr="00B4711B">
        <w:tab/>
        <w:t>Pc is the current price of equity, for which we use the S&amp;P/ASX 200 index as the proxy</w:t>
      </w:r>
      <w:bookmarkStart w:id="164" w:name="_Toc457911199"/>
      <w:bookmarkEnd w:id="164"/>
    </w:p>
    <w:p w:rsidR="00A71C54" w:rsidRPr="00B4711B" w:rsidRDefault="00A71C54" w:rsidP="00A71C54">
      <w:pPr>
        <w:pStyle w:val="AERtablesource"/>
      </w:pPr>
      <w:r w:rsidRPr="00B4711B">
        <w:lastRenderedPageBreak/>
        <w:tab/>
        <w:t>E(Dc) is expected dividends per share for the current financial year</w:t>
      </w:r>
      <w:r w:rsidRPr="00B4711B">
        <w:rPr>
          <w:rStyle w:val="FootnoteReference"/>
        </w:rPr>
        <w:footnoteReference w:id="382"/>
      </w:r>
      <w:bookmarkStart w:id="165" w:name="_Toc457911200"/>
      <w:bookmarkEnd w:id="165"/>
    </w:p>
    <w:p w:rsidR="00A71C54" w:rsidRPr="00B4711B" w:rsidRDefault="00A71C54" w:rsidP="00A71C54">
      <w:pPr>
        <w:pStyle w:val="AERtablesource"/>
      </w:pPr>
      <w:r w:rsidRPr="00B4711B">
        <w:tab/>
        <w:t>E(Dt) is expected dividends per share for the financial year t years after the current financial year</w:t>
      </w:r>
      <w:bookmarkStart w:id="166" w:name="_Toc457911201"/>
      <w:bookmarkEnd w:id="166"/>
    </w:p>
    <w:p w:rsidR="00A71C54" w:rsidRPr="00B4711B" w:rsidRDefault="00A71C54" w:rsidP="00A71C54">
      <w:pPr>
        <w:pStyle w:val="AERtablesource"/>
      </w:pPr>
      <w:r w:rsidRPr="00B4711B">
        <w:tab/>
        <w:t>m is the fraction of the current financial year remaining, expressed as a decimal point</w:t>
      </w:r>
      <w:bookmarkStart w:id="167" w:name="_Toc457911202"/>
      <w:bookmarkEnd w:id="167"/>
    </w:p>
    <w:p w:rsidR="00A71C54" w:rsidRPr="00B4711B" w:rsidRDefault="00A71C54" w:rsidP="00A71C54">
      <w:pPr>
        <w:pStyle w:val="AERtablesource"/>
      </w:pPr>
      <w:r w:rsidRPr="00B4711B">
        <w:tab/>
        <w:t>N is the time period after which dividend growth reverts to its long-term rate (for the two stage model, N = 2, for the three stage model N = 9)</w:t>
      </w:r>
      <w:bookmarkStart w:id="168" w:name="_Toc457911203"/>
      <w:bookmarkEnd w:id="168"/>
    </w:p>
    <w:p w:rsidR="00A71C54" w:rsidRPr="00B4711B" w:rsidRDefault="00A71C54" w:rsidP="00A71C54">
      <w:pPr>
        <w:pStyle w:val="AERtablesource"/>
      </w:pPr>
      <w:r w:rsidRPr="00B4711B">
        <w:tab/>
        <w:t xml:space="preserve">g is the expected long term growth rate in nominal dividends per share. For this parameter, we use a range of 4.0 to 5.1 per cent, with a point estimate of 4.6 per cent. </w:t>
      </w:r>
      <w:bookmarkStart w:id="169" w:name="_Toc457911204"/>
      <w:bookmarkEnd w:id="169"/>
    </w:p>
    <w:p w:rsidR="00A71C54" w:rsidRPr="00B4711B" w:rsidRDefault="00A71C54" w:rsidP="00A71C54">
      <w:pPr>
        <w:numPr>
          <w:ilvl w:val="0"/>
          <w:numId w:val="25"/>
        </w:numPr>
      </w:pPr>
      <w:r w:rsidRPr="00B4711B">
        <w:t xml:space="preserve">We adopt two versions of a simple standard </w:t>
      </w:r>
      <w:r>
        <w:t>dividend growth model</w:t>
      </w:r>
      <w:r w:rsidRPr="00B4711B">
        <w:t>:</w:t>
      </w:r>
      <w:bookmarkStart w:id="170" w:name="_Toc457911205"/>
      <w:bookmarkEnd w:id="170"/>
    </w:p>
    <w:p w:rsidR="00A71C54" w:rsidRPr="00B4711B" w:rsidRDefault="00A71C54" w:rsidP="00A71C54">
      <w:pPr>
        <w:pStyle w:val="AERbulletlistfirststyle"/>
      </w:pPr>
      <w:r w:rsidRPr="00B4711B">
        <w:t xml:space="preserve">A two stage </w:t>
      </w:r>
      <w:r>
        <w:t>model</w:t>
      </w:r>
      <w:r w:rsidRPr="00B4711B">
        <w:t>, which assumes that dividends grow at the long term growth rate following the dividend forecast period.</w:t>
      </w:r>
      <w:bookmarkStart w:id="171" w:name="_Toc457911206"/>
      <w:bookmarkEnd w:id="171"/>
    </w:p>
    <w:p w:rsidR="00A71C54" w:rsidRPr="00B4711B" w:rsidRDefault="00A71C54" w:rsidP="00A71C54">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bookmarkStart w:id="172" w:name="_Toc457911207"/>
      <w:bookmarkEnd w:id="172"/>
    </w:p>
    <w:p w:rsidR="00A71C54" w:rsidRPr="00B4711B" w:rsidRDefault="00A71C54" w:rsidP="00A71C54">
      <w:r w:rsidRPr="00B4711B">
        <w:t xml:space="preserve">Our </w:t>
      </w:r>
      <w:r>
        <w:t>dividend growth models</w:t>
      </w:r>
      <w:r w:rsidRPr="00B4711B">
        <w:t xml:space="preserve"> also display the following characteristics:</w:t>
      </w:r>
      <w:bookmarkStart w:id="173" w:name="_Toc457911208"/>
      <w:bookmarkEnd w:id="173"/>
    </w:p>
    <w:p w:rsidR="00A71C54" w:rsidRPr="00B4711B" w:rsidRDefault="00A71C54" w:rsidP="00A71C54">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w:t>
      </w:r>
      <w:r w:rsidR="00D16C08">
        <w:t>s</w:t>
      </w:r>
      <w:r>
        <w:t xml:space="preserve">' dividend forecasts are for the current and following two financial years. </w:t>
      </w:r>
      <w:r w:rsidRPr="00BC2FED">
        <w:t xml:space="preserve">We </w:t>
      </w:r>
      <w:r>
        <w:t>take monthly averages</w:t>
      </w:r>
      <w:r w:rsidR="008262CF">
        <w:t xml:space="preserve"> of</w:t>
      </w:r>
      <w:r>
        <w:t xml:space="preserve"> the daily data.</w:t>
      </w:r>
      <w:bookmarkStart w:id="174" w:name="_Toc457911209"/>
      <w:bookmarkEnd w:id="174"/>
    </w:p>
    <w:p w:rsidR="00A71C54" w:rsidRPr="00B4711B" w:rsidRDefault="00A71C54" w:rsidP="00A71C54">
      <w:pPr>
        <w:pStyle w:val="AERbulletlistfirststyle"/>
      </w:pPr>
      <w:r w:rsidRPr="00B4711B">
        <w:t xml:space="preserve">They </w:t>
      </w:r>
      <w:r>
        <w:t>use market prices for the ASX 200</w:t>
      </w:r>
      <w:r>
        <w:rPr>
          <w:rStyle w:val="FootnoteReference"/>
        </w:rPr>
        <w:footnoteReference w:id="383"/>
      </w:r>
      <w:r w:rsidRPr="00B4711B">
        <w:t>.</w:t>
      </w:r>
      <w:bookmarkStart w:id="175" w:name="_Toc457911210"/>
      <w:bookmarkEnd w:id="175"/>
    </w:p>
    <w:p w:rsidR="00A71C54" w:rsidRPr="00B4711B" w:rsidRDefault="00A71C54" w:rsidP="00A71C54">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384"/>
      </w:r>
      <w:bookmarkStart w:id="176" w:name="_Toc457911211"/>
      <w:bookmarkEnd w:id="176"/>
    </w:p>
    <w:p w:rsidR="00A71C54" w:rsidRPr="00B4711B" w:rsidRDefault="00A71C54" w:rsidP="00A71C54">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w:t>
      </w:r>
      <w:r w:rsidR="00D16C08">
        <w:t>our rate of return g</w:t>
      </w:r>
      <w:r w:rsidRPr="00B4711B">
        <w:t>uideline.</w:t>
      </w:r>
      <w:r w:rsidRPr="00B4711B">
        <w:rPr>
          <w:rStyle w:val="FootnoteReference"/>
        </w:rPr>
        <w:footnoteReference w:id="385"/>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386"/>
      </w:r>
      <w:r w:rsidRPr="00B4711B">
        <w:t xml:space="preserve"> which have not persuaded us to depart.</w:t>
      </w:r>
      <w:r w:rsidRPr="00B4711B">
        <w:rPr>
          <w:rStyle w:val="FootnoteReference"/>
        </w:rPr>
        <w:footnoteReference w:id="387"/>
      </w:r>
      <w:r w:rsidRPr="00B4711B">
        <w:t xml:space="preserve"> Further, experts have critically reviewed</w:t>
      </w:r>
      <w:r w:rsidRPr="00B4711B">
        <w:rPr>
          <w:rStyle w:val="FootnoteReference"/>
        </w:rPr>
        <w:footnoteReference w:id="388"/>
      </w:r>
      <w:r>
        <w:t xml:space="preserve"> </w:t>
      </w:r>
      <w:r w:rsidRPr="00B4711B">
        <w:t xml:space="preserve">our construction of the </w:t>
      </w:r>
      <w:r>
        <w:t>dividend growth model</w:t>
      </w:r>
      <w:r w:rsidRPr="00B4711B">
        <w:t xml:space="preserve"> </w:t>
      </w:r>
      <w:r>
        <w:t xml:space="preserve">and </w:t>
      </w:r>
      <w:r w:rsidR="000666A4">
        <w:t xml:space="preserve">we </w:t>
      </w:r>
      <w:r w:rsidRPr="00B4711B">
        <w:t xml:space="preserve">consider </w:t>
      </w:r>
      <w:r>
        <w:t>that</w:t>
      </w:r>
      <w:r w:rsidR="000666A4">
        <w:t>—</w:t>
      </w:r>
      <w:r>
        <w:t>overall</w:t>
      </w:r>
      <w:r w:rsidR="000666A4">
        <w:t>—their</w:t>
      </w:r>
      <w:r w:rsidR="000666A4" w:rsidRPr="00B4711B">
        <w:t xml:space="preserve"> </w:t>
      </w:r>
      <w:r w:rsidRPr="00B4711B">
        <w:t xml:space="preserve">advice suggests our </w:t>
      </w:r>
      <w:r>
        <w:lastRenderedPageBreak/>
        <w:t xml:space="preserve">model </w:t>
      </w:r>
      <w:r w:rsidRPr="00B4711B">
        <w:t>construction is reasonable.</w:t>
      </w:r>
      <w:r w:rsidRPr="00B4711B">
        <w:rPr>
          <w:rStyle w:val="FootnoteReference"/>
        </w:rPr>
        <w:footnoteReference w:id="389"/>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w:t>
      </w:r>
      <w:r w:rsidR="00B20C82">
        <w:t xml:space="preserve">our preliminary decision on </w:t>
      </w:r>
      <w:r>
        <w:t>AusNet Services'</w:t>
      </w:r>
      <w:r w:rsidR="00B20C82">
        <w:t xml:space="preserve"> 2016-20 distribution determination</w:t>
      </w:r>
      <w:r>
        <w:t>.</w:t>
      </w:r>
      <w:bookmarkStart w:id="177" w:name="_Toc457911212"/>
      <w:bookmarkEnd w:id="177"/>
    </w:p>
    <w:p w:rsidR="00B360AF" w:rsidRPr="00B360AF" w:rsidRDefault="00B360AF" w:rsidP="00B360AF">
      <w:pPr>
        <w:pStyle w:val="Heading8"/>
      </w:pPr>
      <w:bookmarkStart w:id="178" w:name="_Ref456978735"/>
      <w:bookmarkStart w:id="179" w:name="_Toc457911213"/>
      <w:bookmarkStart w:id="180" w:name="_Toc461803734"/>
      <w:bookmarkStart w:id="181" w:name="_Toc462754644"/>
      <w:r>
        <w:t>Conditioning variables</w:t>
      </w:r>
      <w:bookmarkEnd w:id="178"/>
      <w:bookmarkEnd w:id="179"/>
      <w:bookmarkEnd w:id="180"/>
      <w:bookmarkEnd w:id="181"/>
    </w:p>
    <w:p w:rsidR="00D13FAF" w:rsidRPr="00D7763D" w:rsidRDefault="00A71C54" w:rsidP="00D13FAF">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390"/>
      </w:r>
      <w:r w:rsidRPr="00D7763D">
        <w:t xml:space="preserve"> However, this information is relevant and may be useful for indicating changes in </w:t>
      </w:r>
      <w:r>
        <w:t>prevailing</w:t>
      </w:r>
      <w:r w:rsidRPr="00D7763D">
        <w:t xml:space="preserve"> market conditions. </w:t>
      </w:r>
      <w:r w:rsidR="00D13FAF">
        <w:t>We note that c</w:t>
      </w:r>
      <w:r w:rsidR="00D13FAF" w:rsidRPr="00D7763D">
        <w:t xml:space="preserve">onditioning variables </w:t>
      </w:r>
      <w:r w:rsidR="00D13FAF">
        <w:t xml:space="preserve">should be considered </w:t>
      </w:r>
      <w:r w:rsidR="00D13FAF" w:rsidRPr="00D7763D">
        <w:t xml:space="preserve">symmetrically through time </w:t>
      </w:r>
      <w:r w:rsidR="00D13FAF">
        <w:t>to</w:t>
      </w:r>
      <w:r w:rsidR="00D13FAF" w:rsidRPr="00D7763D">
        <w:t xml:space="preserve"> avoid bias. </w:t>
      </w:r>
    </w:p>
    <w:p w:rsidR="00A71C54" w:rsidRPr="00C4668D" w:rsidRDefault="00A71C54" w:rsidP="00A71C54">
      <w:pPr>
        <w:pStyle w:val="ListParagraph"/>
        <w:numPr>
          <w:ilvl w:val="0"/>
          <w:numId w:val="25"/>
        </w:numPr>
      </w:pPr>
      <w:r w:rsidRPr="00C4668D">
        <w:t xml:space="preserve">In </w:t>
      </w:r>
      <w:r w:rsidR="000666A4">
        <w:t>our rate of return g</w:t>
      </w:r>
      <w:r w:rsidRPr="00C4668D">
        <w:t>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w:t>
      </w:r>
      <w:r>
        <w:t xml:space="preserve">In the </w:t>
      </w:r>
      <w:r w:rsidR="000666A4">
        <w:t>g</w:t>
      </w:r>
      <w:r>
        <w:t>uideline we also stated that we would use yield spreads to inform our overall return on equity estimate.</w:t>
      </w:r>
    </w:p>
    <w:p w:rsidR="00A71C54" w:rsidRDefault="00A71C54" w:rsidP="00A71C54">
      <w:r w:rsidRPr="00D7763D">
        <w:t xml:space="preserve">For the reasons set out below, we consider that, overall, the conditioning variables </w:t>
      </w:r>
      <w:r>
        <w:t xml:space="preserve">appear to have experienced moderate short term movement. Consideration of the implied volatility approach, dividend yields and corporate bond spreads show slight </w:t>
      </w:r>
      <w:r w:rsidR="00C34946">
        <w:t>decreases</w:t>
      </w:r>
      <w:r>
        <w:t>.</w:t>
      </w:r>
      <w:r>
        <w:rPr>
          <w:rStyle w:val="FootnoteReference"/>
        </w:rPr>
        <w:footnoteReference w:id="391"/>
      </w:r>
      <w:r>
        <w:t xml:space="preserve"> T</w:t>
      </w:r>
      <w:r w:rsidRPr="00866A7A">
        <w:t>he</w:t>
      </w:r>
      <w:r>
        <w:t xml:space="preserve"> state government bond spreads and the comparison between equity and debt premiums provide no clear indication that there have been any changes to conditioning variables.</w:t>
      </w:r>
      <w:r>
        <w:rPr>
          <w:rStyle w:val="FootnoteReference"/>
        </w:rPr>
        <w:footnoteReference w:id="392"/>
      </w:r>
      <w:r>
        <w:t xml:space="preserve"> </w:t>
      </w:r>
    </w:p>
    <w:p w:rsidR="00A71C54" w:rsidRPr="00D7763D" w:rsidRDefault="00A71C54" w:rsidP="00A71C54">
      <w:r>
        <w:t xml:space="preserve">Moreover, it appears that </w:t>
      </w:r>
      <w:r w:rsidRPr="00D7763D">
        <w:t xml:space="preserve">conditioning variables </w:t>
      </w:r>
      <w:r>
        <w:t xml:space="preserve">are </w:t>
      </w:r>
      <w:r w:rsidR="002F370B">
        <w:t xml:space="preserve">currently </w:t>
      </w:r>
      <w:r w:rsidRPr="00D7763D">
        <w:t>close to their long term averages. This is particularly apparent when compared with the sharp increases in these variables seen between 2008</w:t>
      </w:r>
      <w:r w:rsidRPr="00D7763D">
        <w:softHyphen/>
        <w:t xml:space="preserve">–13, which were likely associated with the height of the Global Financial Crisis and European debt crisis. </w:t>
      </w:r>
      <w:r w:rsidR="00366D31">
        <w:t xml:space="preserve">We consider that </w:t>
      </w:r>
      <w:r w:rsidR="002F370B">
        <w:t xml:space="preserve">there is currently little </w:t>
      </w:r>
      <w:r w:rsidR="00366D31">
        <w:t xml:space="preserve">evidence </w:t>
      </w:r>
      <w:r w:rsidR="002F370B">
        <w:t>of</w:t>
      </w:r>
      <w:r w:rsidR="00366D31">
        <w:t xml:space="preserve"> a</w:t>
      </w:r>
      <w:r w:rsidR="002F370B">
        <w:t xml:space="preserve"> sustained</w:t>
      </w:r>
      <w:r w:rsidR="00366D31">
        <w:t xml:space="preserve"> </w:t>
      </w:r>
      <w:r w:rsidRPr="00D7763D">
        <w:t xml:space="preserve">trend </w:t>
      </w:r>
      <w:r w:rsidR="002F370B">
        <w:t>away from</w:t>
      </w:r>
      <w:r w:rsidRPr="00D7763D">
        <w:t xml:space="preserve"> long term averages. </w:t>
      </w:r>
      <w:r w:rsidR="002F370B" w:rsidRPr="002F370B">
        <w:t xml:space="preserve"> </w:t>
      </w:r>
      <w:r w:rsidR="002F370B">
        <w:t xml:space="preserve">Taken together, we see no significant trend to </w:t>
      </w:r>
      <w:r w:rsidR="002F370B" w:rsidRPr="00D51EE9">
        <w:t>support any further change</w:t>
      </w:r>
      <w:r w:rsidR="002F370B">
        <w:t>s to our approach.</w:t>
      </w:r>
    </w:p>
    <w:p w:rsidR="00A71C54" w:rsidRPr="00D7763D" w:rsidRDefault="00A71C54" w:rsidP="00A71C54">
      <w:r w:rsidRPr="00D7763D">
        <w:t>It is important to n</w:t>
      </w:r>
      <w:r>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B360AF" w:rsidRPr="00B4711B" w:rsidRDefault="00B360AF" w:rsidP="00B360AF">
      <w:pPr>
        <w:pStyle w:val="Heading9"/>
      </w:pPr>
      <w:bookmarkStart w:id="182" w:name="_Toc457911214"/>
      <w:bookmarkStart w:id="183" w:name="_Toc461803735"/>
      <w:bookmarkStart w:id="184" w:name="_Toc462754645"/>
      <w:bookmarkStart w:id="185" w:name="_Ref433023909"/>
      <w:r>
        <w:lastRenderedPageBreak/>
        <w:t>Implied volatility</w:t>
      </w:r>
      <w:bookmarkEnd w:id="182"/>
      <w:bookmarkEnd w:id="183"/>
      <w:bookmarkEnd w:id="184"/>
    </w:p>
    <w:p w:rsidR="00A71C54" w:rsidRPr="00866A7A" w:rsidRDefault="00A71C54" w:rsidP="00A71C54">
      <w:pPr>
        <w:numPr>
          <w:ilvl w:val="0"/>
          <w:numId w:val="25"/>
        </w:numPr>
      </w:pPr>
      <w:r w:rsidRPr="00866A7A">
        <w:t xml:space="preserve">The implied volatility approach </w:t>
      </w:r>
      <w:r w:rsidR="00367881">
        <w:t>assumes</w:t>
      </w:r>
      <w:r w:rsidRPr="00866A7A">
        <w:t xml:space="preserve"> that the </w:t>
      </w:r>
      <w:r>
        <w:t>market risk premium</w:t>
      </w:r>
      <w:r w:rsidRPr="00866A7A">
        <w:t xml:space="preserve"> is the price of risk multiplied by the volume of risk (volatility).</w:t>
      </w:r>
      <w:r w:rsidRPr="00866A7A">
        <w:rPr>
          <w:rStyle w:val="FootnoteReference"/>
        </w:rPr>
        <w:footnoteReference w:id="393"/>
      </w:r>
      <w:r w:rsidRPr="00866A7A">
        <w:t xml:space="preserve"> </w:t>
      </w:r>
      <w:r w:rsidR="008E0796">
        <w:fldChar w:fldCharType="begin"/>
      </w:r>
      <w:r w:rsidR="008E0796">
        <w:instrText xml:space="preserve"> REF _Ref458411289 \h </w:instrText>
      </w:r>
      <w:r w:rsidR="008E0796">
        <w:fldChar w:fldCharType="separate"/>
      </w:r>
      <w:r w:rsidR="00691B4D" w:rsidRPr="00866A7A">
        <w:t xml:space="preserve">Figure </w:t>
      </w:r>
      <w:r w:rsidR="00691B4D">
        <w:rPr>
          <w:noProof/>
        </w:rPr>
        <w:t>3</w:t>
      </w:r>
      <w:r w:rsidR="00691B4D">
        <w:noBreakHyphen/>
      </w:r>
      <w:r w:rsidR="00691B4D">
        <w:rPr>
          <w:noProof/>
        </w:rPr>
        <w:t>6</w:t>
      </w:r>
      <w:r w:rsidR="00691B4D" w:rsidRPr="00866A7A">
        <w:tab/>
        <w:t>Implied volatility (VIX) over time</w:t>
      </w:r>
      <w:r w:rsidR="008E0796">
        <w:fldChar w:fldCharType="end"/>
      </w:r>
      <w:r w:rsidR="008E0796">
        <w:t xml:space="preserve"> </w:t>
      </w:r>
      <w:r>
        <w:t>shows volume of risk in the market portfolio estimated using the implied volatility index.</w:t>
      </w:r>
    </w:p>
    <w:p w:rsidR="00A71C54" w:rsidRDefault="00A71C54" w:rsidP="00A71C54">
      <w:r w:rsidRPr="00866A7A">
        <w:t xml:space="preserve">Implied volatility was high during the global financial crisis and the height of the European debt crisis. However, recent implied volatility levels have </w:t>
      </w:r>
      <w:r>
        <w:t xml:space="preserve">generally </w:t>
      </w:r>
      <w:r w:rsidRPr="00866A7A">
        <w:t>been below</w:t>
      </w:r>
      <w:r>
        <w:t xml:space="preserve"> or close to</w:t>
      </w:r>
      <w:r w:rsidRPr="00866A7A">
        <w:t xml:space="preserve"> the long run average of </w:t>
      </w:r>
      <w:r w:rsidR="008E0796">
        <w:t xml:space="preserve">18.2 </w:t>
      </w:r>
      <w:r w:rsidRPr="00866A7A">
        <w:t>per cent (measured from the start of the data series in 1997).</w:t>
      </w:r>
      <w:r>
        <w:t xml:space="preserve"> </w:t>
      </w:r>
    </w:p>
    <w:p w:rsidR="00A71C54" w:rsidRPr="00866A7A" w:rsidRDefault="008E0796" w:rsidP="00A71C54">
      <w:r>
        <w:fldChar w:fldCharType="begin"/>
      </w:r>
      <w:r>
        <w:instrText xml:space="preserve"> REF _Ref458411289 \h </w:instrText>
      </w:r>
      <w:r>
        <w:fldChar w:fldCharType="separate"/>
      </w:r>
      <w:r w:rsidR="00691B4D" w:rsidRPr="00866A7A">
        <w:t xml:space="preserve">Figure </w:t>
      </w:r>
      <w:r w:rsidR="00691B4D">
        <w:rPr>
          <w:noProof/>
        </w:rPr>
        <w:t>3</w:t>
      </w:r>
      <w:r w:rsidR="00691B4D">
        <w:noBreakHyphen/>
      </w:r>
      <w:r w:rsidR="00691B4D">
        <w:rPr>
          <w:noProof/>
        </w:rPr>
        <w:t>6</w:t>
      </w:r>
      <w:r w:rsidR="00691B4D" w:rsidRPr="00866A7A">
        <w:tab/>
        <w:t>Implied volatility (VIX) over time</w:t>
      </w:r>
      <w:r>
        <w:fldChar w:fldCharType="end"/>
      </w:r>
      <w:r>
        <w:t xml:space="preserve"> </w:t>
      </w:r>
      <w:r w:rsidR="00A71C54" w:rsidRPr="00866A7A">
        <w:t>shows the value of this measure of implied volatility relative to its long run average level since the start of the data series in 1997</w:t>
      </w:r>
      <w:r w:rsidR="00A71C54">
        <w:t xml:space="preserve"> to </w:t>
      </w:r>
      <w:r w:rsidR="00D270E6">
        <w:t>29 July</w:t>
      </w:r>
      <w:r w:rsidR="00A71C54">
        <w:t xml:space="preserve"> 2016</w:t>
      </w:r>
      <w:r w:rsidR="00A71C54" w:rsidRPr="00866A7A">
        <w:rPr>
          <w:rStyle w:val="AERbody"/>
        </w:rPr>
        <w:t>.</w:t>
      </w:r>
      <w:r w:rsidR="00A71C54">
        <w:rPr>
          <w:rStyle w:val="AERbody"/>
        </w:rPr>
        <w:t xml:space="preserve"> </w:t>
      </w:r>
      <w:r w:rsidR="00A71C54" w:rsidRPr="00866A7A">
        <w:t xml:space="preserve">On </w:t>
      </w:r>
      <w:r w:rsidR="00D270E6">
        <w:t>29 July 2016</w:t>
      </w:r>
      <w:r w:rsidR="00A71C54" w:rsidRPr="00866A7A">
        <w:t xml:space="preserve">, the ASX200 implied volatility index was </w:t>
      </w:r>
      <w:r w:rsidR="00D270E6">
        <w:t xml:space="preserve">14.2 </w:t>
      </w:r>
      <w:r w:rsidR="00A71C54" w:rsidRPr="00866A7A">
        <w:t xml:space="preserve">per cent. Using the same averaging period as the risk free rate, the </w:t>
      </w:r>
      <w:r w:rsidR="00A71C54">
        <w:t>volatility index</w:t>
      </w:r>
      <w:r w:rsidR="00A71C54" w:rsidRPr="00866A7A">
        <w:t xml:space="preserve"> was</w:t>
      </w:r>
      <w:r w:rsidR="00A71C54">
        <w:t xml:space="preserve"> </w:t>
      </w:r>
      <w:r w:rsidR="00672499">
        <w:t>16.2</w:t>
      </w:r>
      <w:r w:rsidR="00A71C54" w:rsidRPr="00866A7A">
        <w:t xml:space="preserve"> per cent.</w:t>
      </w:r>
      <w:r w:rsidR="00A71C54" w:rsidRPr="00866A7A">
        <w:rPr>
          <w:rStyle w:val="FootnoteReference"/>
        </w:rPr>
        <w:footnoteReference w:id="394"/>
      </w:r>
      <w:r w:rsidR="00A71C54" w:rsidRPr="00866A7A">
        <w:t xml:space="preserve"> Over the year ending </w:t>
      </w:r>
      <w:r w:rsidR="00BC4EC8">
        <w:t>29 July 2016</w:t>
      </w:r>
      <w:r w:rsidR="00A71C54" w:rsidRPr="00866A7A">
        <w:t xml:space="preserve">, the </w:t>
      </w:r>
      <w:r w:rsidR="00A71C54">
        <w:t>volatility index</w:t>
      </w:r>
      <w:r w:rsidR="00A71C54" w:rsidRPr="00866A7A">
        <w:t xml:space="preserve"> was </w:t>
      </w:r>
      <w:r w:rsidR="00BC4EC8">
        <w:t>19.6</w:t>
      </w:r>
      <w:r w:rsidR="00A71C54" w:rsidRPr="00866A7A">
        <w:t xml:space="preserve"> per cent.</w:t>
      </w:r>
      <w:r w:rsidR="00A71C54">
        <w:t xml:space="preserve"> </w:t>
      </w:r>
      <w:r w:rsidR="00A71C54">
        <w:rPr>
          <w:rStyle w:val="AERbody"/>
        </w:rPr>
        <w:t xml:space="preserve">Overall, we consider that </w:t>
      </w:r>
      <w:r>
        <w:fldChar w:fldCharType="begin"/>
      </w:r>
      <w:r>
        <w:instrText xml:space="preserve"> REF _Ref458411289 \h </w:instrText>
      </w:r>
      <w:r>
        <w:fldChar w:fldCharType="separate"/>
      </w:r>
      <w:r w:rsidR="00691B4D" w:rsidRPr="00866A7A">
        <w:t xml:space="preserve">Figure </w:t>
      </w:r>
      <w:r w:rsidR="00691B4D">
        <w:rPr>
          <w:noProof/>
        </w:rPr>
        <w:t>3</w:t>
      </w:r>
      <w:r w:rsidR="00691B4D">
        <w:noBreakHyphen/>
      </w:r>
      <w:r w:rsidR="00691B4D">
        <w:rPr>
          <w:noProof/>
        </w:rPr>
        <w:t>6</w:t>
      </w:r>
      <w:r w:rsidR="00691B4D" w:rsidRPr="00866A7A">
        <w:tab/>
        <w:t>Implied volatility (VIX) over time</w:t>
      </w:r>
      <w:r>
        <w:fldChar w:fldCharType="end"/>
      </w:r>
      <w:r>
        <w:t xml:space="preserve"> </w:t>
      </w:r>
      <w:r w:rsidR="00A71C54">
        <w:t xml:space="preserve">shows implied volatility is </w:t>
      </w:r>
      <w:r w:rsidR="00BC4EC8">
        <w:t xml:space="preserve">close to its </w:t>
      </w:r>
      <w:r w:rsidR="00A71C54">
        <w:t>long run average.</w:t>
      </w:r>
      <w:r w:rsidR="00A71C54" w:rsidDel="00C41D65">
        <w:rPr>
          <w:rStyle w:val="AERbody"/>
        </w:rPr>
        <w:t xml:space="preserve"> </w:t>
      </w:r>
    </w:p>
    <w:p w:rsidR="00A71C54" w:rsidRPr="00866A7A" w:rsidRDefault="00A71C54" w:rsidP="00A71C54">
      <w:pPr>
        <w:pStyle w:val="Caption"/>
      </w:pPr>
      <w:bookmarkStart w:id="186" w:name="_Ref458411289"/>
      <w:r w:rsidRPr="00866A7A">
        <w:t xml:space="preserve">Figure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Figure \* ARABIC \s 1 </w:instrText>
      </w:r>
      <w:r w:rsidR="00AB6D99">
        <w:fldChar w:fldCharType="separate"/>
      </w:r>
      <w:r w:rsidR="00691B4D">
        <w:rPr>
          <w:noProof/>
        </w:rPr>
        <w:t>6</w:t>
      </w:r>
      <w:r w:rsidR="00AB6D99">
        <w:rPr>
          <w:noProof/>
        </w:rPr>
        <w:fldChar w:fldCharType="end"/>
      </w:r>
      <w:bookmarkEnd w:id="185"/>
      <w:r w:rsidRPr="00866A7A">
        <w:tab/>
        <w:t>Implied volatility (VIX) over time</w:t>
      </w:r>
      <w:bookmarkEnd w:id="186"/>
    </w:p>
    <w:p w:rsidR="00A71C54" w:rsidRPr="00866A7A" w:rsidRDefault="00AD24FC" w:rsidP="00A71C54">
      <w:pPr>
        <w:numPr>
          <w:ilvl w:val="0"/>
          <w:numId w:val="25"/>
        </w:numPr>
      </w:pPr>
      <w:r>
        <w:rPr>
          <w:noProof/>
          <w:lang w:eastAsia="en-AU"/>
        </w:rPr>
        <w:drawing>
          <wp:inline distT="0" distB="0" distL="0" distR="0" wp14:anchorId="5D449307" wp14:editId="2AC96702">
            <wp:extent cx="5616582" cy="32575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6582" cy="3257550"/>
                    </a:xfrm>
                    <a:prstGeom prst="rect">
                      <a:avLst/>
                    </a:prstGeom>
                    <a:noFill/>
                  </pic:spPr>
                </pic:pic>
              </a:graphicData>
            </a:graphic>
          </wp:inline>
        </w:drawing>
      </w:r>
    </w:p>
    <w:p w:rsidR="00A71C54" w:rsidRDefault="00A71C54" w:rsidP="00A71C54">
      <w:pPr>
        <w:pStyle w:val="AERtablesource"/>
      </w:pPr>
      <w:r w:rsidRPr="00866A7A">
        <w:t xml:space="preserve">Source: </w:t>
      </w:r>
      <w:r w:rsidRPr="00866A7A">
        <w:tab/>
        <w:t xml:space="preserve">ASX200 VIX volatility </w:t>
      </w:r>
      <w:r w:rsidR="00231BB7" w:rsidRPr="00866A7A">
        <w:t>index</w:t>
      </w:r>
      <w:r w:rsidRPr="00866A7A">
        <w:t xml:space="preserve"> sourced</w:t>
      </w:r>
      <w:r w:rsidR="00617C03">
        <w:t xml:space="preserve"> from</w:t>
      </w:r>
      <w:r w:rsidRPr="00866A7A">
        <w:t xml:space="preserve"> Bloomberg </w:t>
      </w:r>
      <w:r w:rsidR="00617C03" w:rsidRPr="00866A7A">
        <w:t xml:space="preserve">via </w:t>
      </w:r>
      <w:r w:rsidRPr="00866A7A">
        <w:t>co</w:t>
      </w:r>
      <w:r>
        <w:t>de</w:t>
      </w:r>
      <w:r w:rsidRPr="00866A7A">
        <w:t xml:space="preserve"> AS51VIX from 2/1/2008 and </w:t>
      </w:r>
      <w:r>
        <w:t xml:space="preserve">code </w:t>
      </w:r>
      <w:r w:rsidRPr="00866A7A">
        <w:t>CITJAVIX prior to 2/1/2008.</w:t>
      </w:r>
      <w:r>
        <w:t xml:space="preserve"> </w:t>
      </w:r>
    </w:p>
    <w:p w:rsidR="00B360AF" w:rsidRPr="00B4711B" w:rsidRDefault="00B360AF" w:rsidP="00B360AF">
      <w:pPr>
        <w:pStyle w:val="Heading9"/>
      </w:pPr>
      <w:bookmarkStart w:id="187" w:name="_Toc457911215"/>
      <w:bookmarkStart w:id="188" w:name="_Toc461803736"/>
      <w:bookmarkStart w:id="189" w:name="_Toc462754646"/>
      <w:bookmarkStart w:id="190" w:name="_Ref400009547"/>
      <w:bookmarkStart w:id="191" w:name="_Ref417224600"/>
      <w:bookmarkStart w:id="192" w:name="_Ref433023708"/>
      <w:r>
        <w:lastRenderedPageBreak/>
        <w:t>Dividend yields</w:t>
      </w:r>
      <w:bookmarkEnd w:id="187"/>
      <w:bookmarkEnd w:id="188"/>
      <w:bookmarkEnd w:id="189"/>
    </w:p>
    <w:p w:rsidR="00A71C54" w:rsidRPr="00866A7A" w:rsidRDefault="00A71C54" w:rsidP="00A71C54">
      <w:pPr>
        <w:numPr>
          <w:ilvl w:val="0"/>
          <w:numId w:val="25"/>
        </w:numPr>
      </w:pPr>
      <w:r w:rsidRPr="00866A7A">
        <w:t xml:space="preserve">We use dividend yields as a directional indicator of the </w:t>
      </w:r>
      <w:r>
        <w:t>market risk premium</w:t>
      </w:r>
      <w:r w:rsidRPr="00866A7A">
        <w:t>.</w:t>
      </w:r>
      <w:r w:rsidRPr="00866A7A">
        <w:rPr>
          <w:rStyle w:val="FootnoteReference"/>
        </w:rPr>
        <w:footnoteReference w:id="395"/>
      </w:r>
      <w:r w:rsidRPr="00866A7A">
        <w:t xml:space="preserve"> We consider this information by comparing current dividend yields with the average dividend yield through time.</w:t>
      </w:r>
      <w:r w:rsidRPr="00866A7A">
        <w:rPr>
          <w:rStyle w:val="FootnoteReference"/>
        </w:rPr>
        <w:footnoteReference w:id="396"/>
      </w:r>
      <w:r w:rsidRPr="00866A7A">
        <w:t xml:space="preserve"> </w:t>
      </w:r>
      <w:r w:rsidR="009F5A64">
        <w:fldChar w:fldCharType="begin"/>
      </w:r>
      <w:r w:rsidR="009F5A64">
        <w:instrText xml:space="preserve"> REF _Ref458409247 \h </w:instrText>
      </w:r>
      <w:r w:rsidR="009F5A64">
        <w:fldChar w:fldCharType="separate"/>
      </w:r>
      <w:r w:rsidR="00691B4D" w:rsidRPr="00866A7A">
        <w:t xml:space="preserve">Figure </w:t>
      </w:r>
      <w:r w:rsidR="00691B4D">
        <w:rPr>
          <w:noProof/>
        </w:rPr>
        <w:t>3</w:t>
      </w:r>
      <w:r w:rsidR="00691B4D">
        <w:noBreakHyphen/>
      </w:r>
      <w:r w:rsidR="00691B4D">
        <w:rPr>
          <w:noProof/>
        </w:rPr>
        <w:t>7</w:t>
      </w:r>
      <w:r w:rsidR="00691B4D" w:rsidRPr="00866A7A">
        <w:tab/>
        <w:t>Dividend yields</w:t>
      </w:r>
      <w:r w:rsidR="009F5A64">
        <w:fldChar w:fldCharType="end"/>
      </w:r>
      <w:r w:rsidR="009F5A64">
        <w:t xml:space="preserve"> </w:t>
      </w:r>
      <w:r w:rsidRPr="00866A7A">
        <w:t>shows dividend yields against their historical average</w:t>
      </w:r>
      <w:r>
        <w:t xml:space="preserve"> up to </w:t>
      </w:r>
      <w:r w:rsidR="00F44ED2">
        <w:t>29 July</w:t>
      </w:r>
      <w:r>
        <w:t xml:space="preserve"> 2016.</w:t>
      </w:r>
    </w:p>
    <w:p w:rsidR="00A71C54" w:rsidRPr="00866A7A" w:rsidRDefault="009F5A64" w:rsidP="00A71C54">
      <w:r>
        <w:fldChar w:fldCharType="begin"/>
      </w:r>
      <w:r>
        <w:instrText xml:space="preserve"> REF _Ref458409247 \h </w:instrText>
      </w:r>
      <w:r>
        <w:fldChar w:fldCharType="separate"/>
      </w:r>
      <w:r w:rsidR="00691B4D" w:rsidRPr="00866A7A">
        <w:t xml:space="preserve">Figure </w:t>
      </w:r>
      <w:r w:rsidR="00691B4D">
        <w:rPr>
          <w:noProof/>
        </w:rPr>
        <w:t>3</w:t>
      </w:r>
      <w:r w:rsidR="00691B4D">
        <w:noBreakHyphen/>
      </w:r>
      <w:r w:rsidR="00691B4D">
        <w:rPr>
          <w:noProof/>
        </w:rPr>
        <w:t>7</w:t>
      </w:r>
      <w:r w:rsidR="00691B4D" w:rsidRPr="00866A7A">
        <w:tab/>
        <w:t>Dividend yields</w:t>
      </w:r>
      <w:r>
        <w:fldChar w:fldCharType="end"/>
      </w:r>
      <w:r>
        <w:t xml:space="preserve"> </w:t>
      </w:r>
      <w:r w:rsidR="00A71C54" w:rsidRPr="00866A7A">
        <w:t xml:space="preserve">shows dividend yields are </w:t>
      </w:r>
      <w:r w:rsidR="00A71C54">
        <w:t>higher than</w:t>
      </w:r>
      <w:r w:rsidR="00A71C54" w:rsidRPr="00866A7A">
        <w:t xml:space="preserve"> their long term average. </w:t>
      </w:r>
      <w:r w:rsidR="00A71C54">
        <w:t>However, prior to this increase, dividend yields were close to their long term average and have been</w:t>
      </w:r>
      <w:r w:rsidR="00A71C54" w:rsidRPr="00866A7A">
        <w:t xml:space="preserve"> relatively steady over the last </w:t>
      </w:r>
      <w:r w:rsidR="00A71C54">
        <w:t>two years (approximately)</w:t>
      </w:r>
      <w:r w:rsidR="00A71C54" w:rsidRPr="00866A7A">
        <w:t>.</w:t>
      </w:r>
      <w:r w:rsidR="00A71C54">
        <w:t xml:space="preserve"> </w:t>
      </w:r>
      <w:r w:rsidR="009D7D53">
        <w:t>Recently, d</w:t>
      </w:r>
      <w:r w:rsidR="00231BB7">
        <w:t>ividend yields appear to be falling</w:t>
      </w:r>
      <w:r w:rsidR="009D7D53">
        <w:t>,</w:t>
      </w:r>
      <w:r w:rsidR="00231BB7">
        <w:t xml:space="preserve"> particularly in July 2016</w:t>
      </w:r>
      <w:r w:rsidR="009D7D53">
        <w:t>,</w:t>
      </w:r>
      <w:r w:rsidR="00231BB7">
        <w:t xml:space="preserve"> moving closer to their long term average. </w:t>
      </w:r>
    </w:p>
    <w:p w:rsidR="00A71C54" w:rsidRPr="00866A7A" w:rsidRDefault="00A71C54" w:rsidP="00A71C54">
      <w:pPr>
        <w:pStyle w:val="Caption"/>
      </w:pPr>
      <w:bookmarkStart w:id="193" w:name="_Ref458409247"/>
      <w:bookmarkEnd w:id="190"/>
      <w:bookmarkEnd w:id="191"/>
      <w:r w:rsidRPr="00866A7A">
        <w:t xml:space="preserve">Figure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Figure \* ARABIC \s 1 </w:instrText>
      </w:r>
      <w:r w:rsidR="00AB6D99">
        <w:fldChar w:fldCharType="separate"/>
      </w:r>
      <w:r w:rsidR="00691B4D">
        <w:rPr>
          <w:noProof/>
        </w:rPr>
        <w:t>7</w:t>
      </w:r>
      <w:r w:rsidR="00AB6D99">
        <w:rPr>
          <w:noProof/>
        </w:rPr>
        <w:fldChar w:fldCharType="end"/>
      </w:r>
      <w:bookmarkEnd w:id="192"/>
      <w:r w:rsidRPr="00866A7A">
        <w:tab/>
        <w:t>Dividend yields</w:t>
      </w:r>
      <w:bookmarkEnd w:id="193"/>
    </w:p>
    <w:p w:rsidR="00A71C54" w:rsidRPr="00866A7A" w:rsidRDefault="009F5A64" w:rsidP="00A71C54">
      <w:pPr>
        <w:numPr>
          <w:ilvl w:val="0"/>
          <w:numId w:val="25"/>
        </w:numPr>
      </w:pPr>
      <w:r>
        <w:rPr>
          <w:noProof/>
          <w:lang w:eastAsia="en-AU"/>
        </w:rPr>
        <w:drawing>
          <wp:inline distT="0" distB="0" distL="0" distR="0" wp14:anchorId="0B818E0C" wp14:editId="04331F6E">
            <wp:extent cx="5490929" cy="3286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0929" cy="3286125"/>
                    </a:xfrm>
                    <a:prstGeom prst="rect">
                      <a:avLst/>
                    </a:prstGeom>
                    <a:noFill/>
                  </pic:spPr>
                </pic:pic>
              </a:graphicData>
            </a:graphic>
          </wp:inline>
        </w:drawing>
      </w:r>
    </w:p>
    <w:p w:rsidR="00A71C54" w:rsidRDefault="00A71C54" w:rsidP="00A71C54">
      <w:pPr>
        <w:pStyle w:val="AERtablesource"/>
      </w:pPr>
      <w:r w:rsidRPr="00866A7A">
        <w:t>Source:</w:t>
      </w:r>
      <w:r w:rsidRPr="00866A7A">
        <w:tab/>
        <w:t>Bloomberg</w:t>
      </w:r>
      <w:r>
        <w:t xml:space="preserve"> AS51 Index</w:t>
      </w:r>
      <w:r w:rsidRPr="00866A7A">
        <w:t>, AER analysis.</w:t>
      </w:r>
    </w:p>
    <w:p w:rsidR="00B360AF" w:rsidRPr="00B4711B" w:rsidRDefault="00B360AF" w:rsidP="00B360AF">
      <w:pPr>
        <w:pStyle w:val="Heading9"/>
      </w:pPr>
      <w:bookmarkStart w:id="194" w:name="_Toc457911216"/>
      <w:bookmarkStart w:id="195" w:name="_Toc461803737"/>
      <w:bookmarkStart w:id="196" w:name="_Toc462754647"/>
      <w:bookmarkStart w:id="197" w:name="_Ref433023841"/>
      <w:r>
        <w:t>Yield spreads</w:t>
      </w:r>
      <w:bookmarkEnd w:id="194"/>
      <w:bookmarkEnd w:id="195"/>
      <w:bookmarkEnd w:id="196"/>
    </w:p>
    <w:p w:rsidR="00A71C54" w:rsidRPr="00033144" w:rsidRDefault="00A71C54" w:rsidP="00A71C54">
      <w:pPr>
        <w:numPr>
          <w:ilvl w:val="0"/>
          <w:numId w:val="25"/>
        </w:numPr>
      </w:pPr>
      <w:r w:rsidRPr="00033144">
        <w:t>Yield spreads are the difference between the yields on different assets, typically debt instruments. We examine two categories of yield spreads:</w:t>
      </w:r>
    </w:p>
    <w:p w:rsidR="00A71C54" w:rsidRPr="00A71C54" w:rsidRDefault="00A71C54" w:rsidP="00A71C54">
      <w:pPr>
        <w:pStyle w:val="AERbulletlistfirststyle"/>
      </w:pPr>
      <w:r w:rsidRPr="00033144">
        <w:t>Credit spreads, used to inform our market risk premium estimate.</w:t>
      </w:r>
    </w:p>
    <w:p w:rsidR="00A71C54" w:rsidRPr="00A71C54" w:rsidRDefault="00A71C54" w:rsidP="00A71C54">
      <w:pPr>
        <w:pStyle w:val="AERbulletlistfirststyle"/>
      </w:pPr>
      <w:r w:rsidRPr="00033144">
        <w:lastRenderedPageBreak/>
        <w:t>The spread between our equity risk premium and debt risk premium, used to inform our overall return on equity estimate.</w:t>
      </w:r>
    </w:p>
    <w:p w:rsidR="00A71C54" w:rsidRPr="00033144" w:rsidRDefault="00A71C54" w:rsidP="00A71C54">
      <w:pPr>
        <w:numPr>
          <w:ilvl w:val="0"/>
          <w:numId w:val="25"/>
        </w:numPr>
      </w:pPr>
      <w:r w:rsidRPr="00033144">
        <w:t>Credit spreads are the spreads between the risk free rate (the yield on Australian government securities) and the return on debt for different debt instruments. We use credit spreads as a directional indicator of the market risk premium.</w:t>
      </w:r>
      <w:r w:rsidRPr="00033144">
        <w:rPr>
          <w:rStyle w:val="FootnoteReference"/>
        </w:rPr>
        <w:footnoteReference w:id="397"/>
      </w:r>
      <w:r w:rsidRPr="00033144">
        <w:t xml:space="preserve"> We consider this information can be used to indicate changes in market conditions. That is, to indicate whether spreads are widening, stabilising or narrowing.</w:t>
      </w:r>
    </w:p>
    <w:p w:rsidR="00A71C54" w:rsidRPr="00033144" w:rsidRDefault="00A71C54" w:rsidP="00A71C54">
      <w:pPr>
        <w:numPr>
          <w:ilvl w:val="0"/>
          <w:numId w:val="25"/>
        </w:numPr>
      </w:pPr>
      <w:r w:rsidRPr="00033144">
        <w:fldChar w:fldCharType="begin"/>
      </w:r>
      <w:r w:rsidRPr="00033144">
        <w:instrText xml:space="preserve"> REF _Ref433023804 \h </w:instrText>
      </w:r>
      <w:r w:rsidRPr="00033144">
        <w:fldChar w:fldCharType="separate"/>
      </w:r>
      <w:r w:rsidR="00691B4D" w:rsidRPr="00033144">
        <w:t xml:space="preserve">Figure </w:t>
      </w:r>
      <w:r w:rsidR="00691B4D">
        <w:rPr>
          <w:noProof/>
        </w:rPr>
        <w:t>3</w:t>
      </w:r>
      <w:r w:rsidR="00691B4D">
        <w:noBreakHyphen/>
      </w:r>
      <w:r w:rsidR="00691B4D">
        <w:rPr>
          <w:noProof/>
        </w:rPr>
        <w:t>8</w:t>
      </w:r>
      <w:r w:rsidRPr="00033144">
        <w:fldChar w:fldCharType="end"/>
      </w:r>
      <w:r w:rsidRPr="00033144">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A71C54" w:rsidRPr="00033144" w:rsidRDefault="00A71C54" w:rsidP="00A71C54">
      <w:pPr>
        <w:numPr>
          <w:ilvl w:val="0"/>
          <w:numId w:val="25"/>
        </w:numPr>
      </w:pPr>
      <w:r w:rsidRPr="00033144">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A71C54" w:rsidRPr="00033144" w:rsidRDefault="00A71C54" w:rsidP="00A71C54">
      <w:pPr>
        <w:pStyle w:val="Caption"/>
        <w:rPr>
          <w:rStyle w:val="Strong"/>
        </w:rPr>
      </w:pPr>
      <w:bookmarkStart w:id="198" w:name="_Ref433023804"/>
      <w:bookmarkStart w:id="199" w:name="_Ref458414397"/>
      <w:r w:rsidRPr="00033144">
        <w:t xml:space="preserve">Figure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Figure \* ARABIC \s 1 </w:instrText>
      </w:r>
      <w:r w:rsidR="00AB6D99">
        <w:fldChar w:fldCharType="separate"/>
      </w:r>
      <w:r w:rsidR="00691B4D">
        <w:rPr>
          <w:noProof/>
        </w:rPr>
        <w:t>8</w:t>
      </w:r>
      <w:r w:rsidR="00AB6D99">
        <w:rPr>
          <w:noProof/>
        </w:rPr>
        <w:fldChar w:fldCharType="end"/>
      </w:r>
      <w:bookmarkEnd w:id="198"/>
      <w:r w:rsidRPr="00033144">
        <w:tab/>
        <w:t>Australian bond spreads over government yields</w:t>
      </w:r>
      <w:bookmarkEnd w:id="199"/>
    </w:p>
    <w:p w:rsidR="00A71C54" w:rsidRPr="00033144" w:rsidRDefault="00280539" w:rsidP="00A71C54">
      <w:pPr>
        <w:numPr>
          <w:ilvl w:val="0"/>
          <w:numId w:val="25"/>
        </w:numPr>
      </w:pPr>
      <w:r w:rsidRPr="00280539">
        <w:rPr>
          <w:noProof/>
          <w:lang w:eastAsia="en-AU"/>
        </w:rPr>
        <w:drawing>
          <wp:inline distT="0" distB="0" distL="0" distR="0" wp14:anchorId="384973DC" wp14:editId="74EEA1E6">
            <wp:extent cx="3648075" cy="342426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47620" cy="3423840"/>
                    </a:xfrm>
                    <a:prstGeom prst="rect">
                      <a:avLst/>
                    </a:prstGeom>
                  </pic:spPr>
                </pic:pic>
              </a:graphicData>
            </a:graphic>
          </wp:inline>
        </w:drawing>
      </w:r>
    </w:p>
    <w:p w:rsidR="00A71C54" w:rsidRPr="00033144" w:rsidRDefault="00A71C54" w:rsidP="00A71C54">
      <w:pPr>
        <w:pStyle w:val="AERtablesource"/>
        <w:rPr>
          <w:rStyle w:val="AERtexthighlight"/>
        </w:rPr>
      </w:pPr>
      <w:r w:rsidRPr="00033144">
        <w:t xml:space="preserve">Source: </w:t>
      </w:r>
      <w:r w:rsidRPr="00033144">
        <w:tab/>
      </w:r>
      <w:r>
        <w:t xml:space="preserve">RBA, Chart Pack, </w:t>
      </w:r>
      <w:r w:rsidR="00280539">
        <w:t xml:space="preserve">August </w:t>
      </w:r>
      <w:r>
        <w:t>2016</w:t>
      </w:r>
      <w:r w:rsidRPr="00033144">
        <w:t xml:space="preserve">. </w:t>
      </w:r>
    </w:p>
    <w:p w:rsidR="00A71C54" w:rsidRPr="00033144" w:rsidRDefault="00A71C54" w:rsidP="00A71C54">
      <w:pPr>
        <w:pStyle w:val="AERtablesource"/>
      </w:pPr>
      <w:r w:rsidRPr="00033144">
        <w:t>Note:</w:t>
      </w:r>
      <w:r w:rsidRPr="00033144">
        <w:tab/>
        <w:t>Swap spreads are for a 3 year maturity. Corporate bonds are a weighted average of senior bonds with remaining maturities of 1 to 5 years and include financial and non-financial corpora</w:t>
      </w:r>
      <w:r w:rsidR="0094348C">
        <w:t>tions</w:t>
      </w:r>
      <w:r w:rsidRPr="00033144">
        <w:t>.</w:t>
      </w:r>
    </w:p>
    <w:p w:rsidR="00A71C54" w:rsidRPr="00033144" w:rsidRDefault="002F370B" w:rsidP="00A71C54">
      <w:r>
        <w:lastRenderedPageBreak/>
        <w:fldChar w:fldCharType="begin"/>
      </w:r>
      <w:r>
        <w:instrText xml:space="preserve"> REF _Ref458460398 \h </w:instrText>
      </w:r>
      <w:r>
        <w:fldChar w:fldCharType="separate"/>
      </w:r>
      <w:r w:rsidR="00691B4D" w:rsidRPr="00FA1E95">
        <w:t xml:space="preserve">Figure </w:t>
      </w:r>
      <w:r w:rsidR="00691B4D">
        <w:rPr>
          <w:noProof/>
        </w:rPr>
        <w:t>3</w:t>
      </w:r>
      <w:r w:rsidR="00691B4D">
        <w:noBreakHyphen/>
      </w:r>
      <w:r w:rsidR="00691B4D">
        <w:rPr>
          <w:noProof/>
        </w:rPr>
        <w:t>9</w:t>
      </w:r>
      <w:r>
        <w:fldChar w:fldCharType="end"/>
      </w:r>
      <w:r>
        <w:t xml:space="preserve"> </w:t>
      </w:r>
      <w:r w:rsidR="00A71C54" w:rsidRPr="00033144">
        <w:t xml:space="preserve">shows the spread between state government debt and Australian government debt up to </w:t>
      </w:r>
      <w:r w:rsidR="00A272A5">
        <w:t>29 July 2016</w:t>
      </w:r>
      <w:r w:rsidR="00A71C54" w:rsidRPr="00033144">
        <w:t>.</w:t>
      </w:r>
      <w:r w:rsidR="001D3767">
        <w:rPr>
          <w:rStyle w:val="FootnoteReference"/>
        </w:rPr>
        <w:footnoteReference w:id="398"/>
      </w:r>
      <w:r w:rsidR="00A71C54" w:rsidRPr="00033144">
        <w:t xml:space="preserve"> </w:t>
      </w:r>
      <w:r>
        <w:fldChar w:fldCharType="begin"/>
      </w:r>
      <w:r>
        <w:instrText xml:space="preserve"> REF _Ref458460398 \h </w:instrText>
      </w:r>
      <w:r>
        <w:fldChar w:fldCharType="separate"/>
      </w:r>
      <w:r w:rsidR="00691B4D" w:rsidRPr="00FA1E95">
        <w:t xml:space="preserve">Figure </w:t>
      </w:r>
      <w:r w:rsidR="00691B4D">
        <w:rPr>
          <w:noProof/>
        </w:rPr>
        <w:t>3</w:t>
      </w:r>
      <w:r w:rsidR="00691B4D">
        <w:noBreakHyphen/>
      </w:r>
      <w:r w:rsidR="00691B4D">
        <w:rPr>
          <w:noProof/>
        </w:rPr>
        <w:t>9</w:t>
      </w:r>
      <w:r>
        <w:fldChar w:fldCharType="end"/>
      </w:r>
      <w:r>
        <w:t xml:space="preserve"> </w:t>
      </w:r>
      <w:r w:rsidR="00A71C54" w:rsidRPr="00033144">
        <w:t xml:space="preserve">shows that credit spreads were falling since late 2012, and are now around their pre-2007 levels with no discernible trend. </w:t>
      </w:r>
    </w:p>
    <w:p w:rsidR="00A71C54" w:rsidRPr="00FA1E95" w:rsidRDefault="00A71C54" w:rsidP="00A71C54">
      <w:pPr>
        <w:pStyle w:val="Caption"/>
      </w:pPr>
      <w:bookmarkStart w:id="200" w:name="_Ref458460398"/>
      <w:bookmarkStart w:id="201" w:name="_Ref458415511"/>
      <w:r w:rsidRPr="00FA1E95">
        <w:t xml:space="preserve">Figure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Figure \* ARABIC \s 1 </w:instrText>
      </w:r>
      <w:r w:rsidR="00AB6D99">
        <w:fldChar w:fldCharType="separate"/>
      </w:r>
      <w:r w:rsidR="00691B4D">
        <w:rPr>
          <w:noProof/>
        </w:rPr>
        <w:t>9</w:t>
      </w:r>
      <w:r w:rsidR="00AB6D99">
        <w:rPr>
          <w:noProof/>
        </w:rPr>
        <w:fldChar w:fldCharType="end"/>
      </w:r>
      <w:bookmarkEnd w:id="197"/>
      <w:bookmarkEnd w:id="200"/>
      <w:r w:rsidRPr="00FA1E95">
        <w:tab/>
        <w:t>State government bond spreads over government yields</w:t>
      </w:r>
      <w:bookmarkEnd w:id="201"/>
    </w:p>
    <w:p w:rsidR="00A71C54" w:rsidRPr="00FA1E95" w:rsidRDefault="00567F9C" w:rsidP="00A71C54">
      <w:pPr>
        <w:numPr>
          <w:ilvl w:val="0"/>
          <w:numId w:val="25"/>
        </w:numPr>
      </w:pPr>
      <w:r>
        <w:rPr>
          <w:noProof/>
          <w:lang w:eastAsia="en-AU"/>
        </w:rPr>
        <w:drawing>
          <wp:inline distT="0" distB="0" distL="0" distR="0" wp14:anchorId="01C5F2BD" wp14:editId="21FDEBA4">
            <wp:extent cx="5772150" cy="359419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860" cy="3595264"/>
                    </a:xfrm>
                    <a:prstGeom prst="rect">
                      <a:avLst/>
                    </a:prstGeom>
                    <a:noFill/>
                  </pic:spPr>
                </pic:pic>
              </a:graphicData>
            </a:graphic>
          </wp:inline>
        </w:drawing>
      </w:r>
    </w:p>
    <w:p w:rsidR="00A71C54" w:rsidRPr="00FA1E95" w:rsidRDefault="00A71C54" w:rsidP="00A71C54">
      <w:pPr>
        <w:pStyle w:val="AERtablesource"/>
      </w:pPr>
      <w:r w:rsidRPr="00FA1E95">
        <w:t xml:space="preserve">Source: </w:t>
      </w:r>
      <w:r w:rsidRPr="00FA1E95">
        <w:tab/>
        <w:t xml:space="preserve">AER analysis, RBA F.2 interest rate statistics. </w:t>
      </w:r>
    </w:p>
    <w:p w:rsidR="00A71C54" w:rsidRPr="00A71C54" w:rsidRDefault="00A71C54" w:rsidP="00D13FAF">
      <w:bookmarkStart w:id="202" w:name="_Ref417589908"/>
      <w:r w:rsidRPr="00033144">
        <w:rPr>
          <w:rStyle w:val="AERbody"/>
        </w:rPr>
        <w:t>On the comparison between the return on equity and return on debt, we consider that prevailing debt market conditions provide support for the view that</w:t>
      </w:r>
      <w:r w:rsidR="00D13FAF">
        <w:rPr>
          <w:rStyle w:val="AERbody"/>
        </w:rPr>
        <w:t xml:space="preserve"> </w:t>
      </w:r>
      <w:r w:rsidRPr="00033144">
        <w:t>our estimated return on equity is not below efficient financing costs</w:t>
      </w:r>
      <w:r w:rsidR="00D13FAF">
        <w:t>.</w:t>
      </w:r>
      <w:r w:rsidRPr="00A71C54">
        <w:rPr>
          <w:rStyle w:val="FootnoteReference"/>
        </w:rPr>
        <w:footnoteReference w:id="399"/>
      </w:r>
    </w:p>
    <w:p w:rsidR="00A71C54" w:rsidRPr="00033144" w:rsidRDefault="00A71C54" w:rsidP="00A71C54">
      <w:pPr>
        <w:numPr>
          <w:ilvl w:val="0"/>
          <w:numId w:val="25"/>
        </w:numPr>
      </w:pPr>
      <w:r w:rsidRPr="00033144">
        <w:t xml:space="preserve">The current debt market is indicating a premium over the risk free rate of about </w:t>
      </w:r>
      <w:r>
        <w:t>2.</w:t>
      </w:r>
      <w:r w:rsidR="003C7DE9">
        <w:t>64</w:t>
      </w:r>
      <w:r w:rsidRPr="00033144">
        <w:t xml:space="preserve"> per cent.</w:t>
      </w:r>
      <w:r w:rsidRPr="00033144">
        <w:rPr>
          <w:rStyle w:val="FootnoteReference"/>
        </w:rPr>
        <w:footnoteReference w:id="400"/>
      </w:r>
      <w:r w:rsidRPr="00033144">
        <w:t xml:space="preserve"> This compares to our foundation model equity premium over the risk free rate of 4.55 per cent (given a market risk premium of 6.5 per cent and a beta of 0.7). </w:t>
      </w:r>
      <w:r w:rsidR="002F370B">
        <w:fldChar w:fldCharType="begin"/>
      </w:r>
      <w:r w:rsidR="002F370B">
        <w:instrText xml:space="preserve"> REF _Ref458460465 \h </w:instrText>
      </w:r>
      <w:r w:rsidR="002F370B">
        <w:fldChar w:fldCharType="separate"/>
      </w:r>
      <w:r w:rsidR="00691B4D" w:rsidRPr="00033144">
        <w:t xml:space="preserve">Figure </w:t>
      </w:r>
      <w:r w:rsidR="00691B4D">
        <w:rPr>
          <w:noProof/>
        </w:rPr>
        <w:t>3</w:t>
      </w:r>
      <w:r w:rsidR="00691B4D">
        <w:noBreakHyphen/>
      </w:r>
      <w:r w:rsidR="00691B4D">
        <w:rPr>
          <w:noProof/>
        </w:rPr>
        <w:t>10</w:t>
      </w:r>
      <w:r w:rsidR="002F370B">
        <w:fldChar w:fldCharType="end"/>
      </w:r>
      <w:r w:rsidR="002F370B">
        <w:t xml:space="preserve"> </w:t>
      </w:r>
      <w:r w:rsidRPr="00033144">
        <w:t>shows the current and historical debt risk premium and our foundation model equity risk premium.</w:t>
      </w:r>
    </w:p>
    <w:p w:rsidR="00A71C54" w:rsidRDefault="00A71C54" w:rsidP="00A71C54">
      <w:pPr>
        <w:pStyle w:val="Caption"/>
      </w:pPr>
      <w:bookmarkStart w:id="203" w:name="_Ref458460465"/>
      <w:bookmarkEnd w:id="202"/>
      <w:r w:rsidRPr="00033144">
        <w:lastRenderedPageBreak/>
        <w:t xml:space="preserve">Figure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Figure \* ARABIC \s 1 </w:instrText>
      </w:r>
      <w:r w:rsidR="00AB6D99">
        <w:fldChar w:fldCharType="separate"/>
      </w:r>
      <w:r w:rsidR="00691B4D">
        <w:rPr>
          <w:noProof/>
        </w:rPr>
        <w:t>10</w:t>
      </w:r>
      <w:r w:rsidR="00AB6D99">
        <w:rPr>
          <w:noProof/>
        </w:rPr>
        <w:fldChar w:fldCharType="end"/>
      </w:r>
      <w:bookmarkEnd w:id="203"/>
      <w:r w:rsidRPr="00033144">
        <w:tab/>
        <w:t>Comparison of equity risk premium and indicative debt risk premiums</w:t>
      </w:r>
    </w:p>
    <w:p w:rsidR="00CD1752" w:rsidRPr="00CD1752" w:rsidRDefault="003C7DE9" w:rsidP="002F370B">
      <w:r w:rsidRPr="003C7DE9">
        <w:rPr>
          <w:noProof/>
          <w:lang w:eastAsia="en-AU"/>
        </w:rPr>
        <w:drawing>
          <wp:inline distT="0" distB="0" distL="0" distR="0" wp14:anchorId="2545C827" wp14:editId="011C34EC">
            <wp:extent cx="5382895" cy="4170313"/>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4170313"/>
                    </a:xfrm>
                    <a:prstGeom prst="rect">
                      <a:avLst/>
                    </a:prstGeom>
                    <a:noFill/>
                    <a:ln>
                      <a:noFill/>
                    </a:ln>
                  </pic:spPr>
                </pic:pic>
              </a:graphicData>
            </a:graphic>
          </wp:inline>
        </w:drawing>
      </w:r>
    </w:p>
    <w:p w:rsidR="00A71C54" w:rsidRPr="00033144" w:rsidRDefault="00A71C54" w:rsidP="00A71C54">
      <w:pPr>
        <w:pStyle w:val="AERtablesource"/>
      </w:pPr>
      <w:r w:rsidRPr="00033144">
        <w:t>Source:</w:t>
      </w:r>
      <w:r w:rsidRPr="00033144">
        <w:tab/>
        <w:t>AER analysis, RBA interest rates statistics, Bloomberg data.</w:t>
      </w:r>
    </w:p>
    <w:p w:rsidR="0068171D" w:rsidRPr="0068171D" w:rsidRDefault="0068171D" w:rsidP="002F370B">
      <w:r w:rsidRPr="0068171D">
        <w:t xml:space="preserve">We note that the overall directional evidence shows that debt risk premiums </w:t>
      </w:r>
      <w:r w:rsidR="00004CE3">
        <w:t xml:space="preserve">generally </w:t>
      </w:r>
      <w:r w:rsidRPr="0068171D">
        <w:t xml:space="preserve">increased </w:t>
      </w:r>
      <w:r w:rsidR="00004CE3">
        <w:t>from</w:t>
      </w:r>
      <w:r w:rsidRPr="0068171D">
        <w:t xml:space="preserve"> around 2015</w:t>
      </w:r>
      <w:r w:rsidR="00004CE3">
        <w:t xml:space="preserve"> to </w:t>
      </w:r>
      <w:r w:rsidR="00FF102C">
        <w:t>February 2016</w:t>
      </w:r>
      <w:r w:rsidRPr="0068171D">
        <w:t xml:space="preserve">, </w:t>
      </w:r>
      <w:r w:rsidR="00004CE3">
        <w:t>before decreasing to July 2016. Debt risk premiums have</w:t>
      </w:r>
      <w:r w:rsidRPr="0068171D">
        <w:t xml:space="preserve"> </w:t>
      </w:r>
      <w:r w:rsidR="00004CE3">
        <w:t xml:space="preserve">persistently </w:t>
      </w:r>
      <w:r w:rsidRPr="0068171D">
        <w:t>remain</w:t>
      </w:r>
      <w:r w:rsidR="00004CE3">
        <w:t>ed</w:t>
      </w:r>
      <w:r w:rsidRPr="0068171D">
        <w:t xml:space="preserve"> below the </w:t>
      </w:r>
      <w:r w:rsidR="00004CE3" w:rsidRPr="0068171D">
        <w:t xml:space="preserve">December 2013 </w:t>
      </w:r>
      <w:r w:rsidR="00004CE3">
        <w:t xml:space="preserve">levels, </w:t>
      </w:r>
      <w:r w:rsidRPr="0068171D">
        <w:t>when our Rate of</w:t>
      </w:r>
      <w:r w:rsidR="00004CE3">
        <w:t xml:space="preserve"> Return Guideline was published</w:t>
      </w:r>
      <w:r w:rsidRPr="0068171D">
        <w:t>, as shown in</w:t>
      </w:r>
      <w:r w:rsidR="002F370B">
        <w:t xml:space="preserve"> </w:t>
      </w:r>
      <w:r w:rsidR="00004CE3">
        <w:fldChar w:fldCharType="begin"/>
      </w:r>
      <w:r w:rsidR="00004CE3">
        <w:instrText xml:space="preserve"> REF _Ref458460465 \h </w:instrText>
      </w:r>
      <w:r w:rsidR="00004CE3">
        <w:fldChar w:fldCharType="separate"/>
      </w:r>
      <w:r w:rsidR="00691B4D" w:rsidRPr="00033144">
        <w:t xml:space="preserve">Figure </w:t>
      </w:r>
      <w:r w:rsidR="00691B4D">
        <w:rPr>
          <w:noProof/>
        </w:rPr>
        <w:t>3</w:t>
      </w:r>
      <w:r w:rsidR="00691B4D">
        <w:noBreakHyphen/>
      </w:r>
      <w:r w:rsidR="00691B4D">
        <w:rPr>
          <w:noProof/>
        </w:rPr>
        <w:t>10</w:t>
      </w:r>
      <w:r w:rsidR="00004CE3">
        <w:fldChar w:fldCharType="end"/>
      </w:r>
      <w:r w:rsidRPr="0068171D">
        <w:t xml:space="preserve">. </w:t>
      </w:r>
    </w:p>
    <w:p w:rsidR="00A71C54" w:rsidRPr="00033144" w:rsidRDefault="00A71C54" w:rsidP="00A71C54">
      <w:pPr>
        <w:numPr>
          <w:ilvl w:val="0"/>
          <w:numId w:val="25"/>
        </w:numPr>
      </w:pPr>
      <w:r w:rsidRPr="00033144">
        <w:t xml:space="preserve">We do not consider that the current </w:t>
      </w:r>
      <w:r w:rsidR="003C7DE9">
        <w:t>191</w:t>
      </w:r>
      <w:r w:rsidR="003C7DE9" w:rsidRPr="00033144">
        <w:t xml:space="preserve"> </w:t>
      </w:r>
      <w:r w:rsidRPr="00033144">
        <w:t>basis points difference between the equity risk premium allowed in this decision and debt risk premiums</w:t>
      </w:r>
      <w:r w:rsidRPr="00033144">
        <w:rPr>
          <w:rStyle w:val="FootnoteReference"/>
        </w:rPr>
        <w:footnoteReference w:id="401"/>
      </w:r>
      <w:r w:rsidRPr="00033144">
        <w:t xml:space="preserve"> to be too low, on the basis of:</w:t>
      </w:r>
    </w:p>
    <w:p w:rsidR="00A71C54" w:rsidRPr="00A71C54" w:rsidRDefault="00A71C54" w:rsidP="00A71C54">
      <w:pPr>
        <w:pStyle w:val="AERbulletlistfirststyle"/>
      </w:pPr>
      <w:r w:rsidRPr="00033144">
        <w:t>the low risk nature of a benchmark efficient entity as outlined above</w:t>
      </w:r>
    </w:p>
    <w:p w:rsidR="00A71C54" w:rsidRPr="00A71C54" w:rsidRDefault="00A71C54" w:rsidP="00A71C54">
      <w:pPr>
        <w:pStyle w:val="AERbulletlistfirststyle"/>
      </w:pPr>
      <w:r w:rsidRPr="00033144">
        <w:t>the gap between the equity risk premium and debt risk premium is likely to be wider than stated above, since it compares a promised, pre-tax return on debt to an expected, post-tax return on equity.</w:t>
      </w:r>
      <w:r w:rsidRPr="00A71C54">
        <w:rPr>
          <w:rStyle w:val="FootnoteReference"/>
        </w:rPr>
        <w:footnoteReference w:id="402"/>
      </w:r>
    </w:p>
    <w:p w:rsidR="00D13FAF" w:rsidRPr="00B360AF" w:rsidRDefault="00D13FAF" w:rsidP="00D13FAF">
      <w:pPr>
        <w:pStyle w:val="Heading8"/>
      </w:pPr>
      <w:bookmarkStart w:id="204" w:name="_Toc457911217"/>
      <w:bookmarkStart w:id="205" w:name="_Toc457911218"/>
      <w:bookmarkStart w:id="206" w:name="_Ref461488791"/>
      <w:bookmarkStart w:id="207" w:name="_Toc461803738"/>
      <w:bookmarkStart w:id="208" w:name="_Toc462754648"/>
      <w:bookmarkEnd w:id="204"/>
      <w:r>
        <w:lastRenderedPageBreak/>
        <w:t>Other practitioner's return on equity estimates</w:t>
      </w:r>
      <w:bookmarkEnd w:id="205"/>
      <w:bookmarkEnd w:id="206"/>
      <w:bookmarkEnd w:id="207"/>
      <w:bookmarkEnd w:id="208"/>
    </w:p>
    <w:p w:rsidR="006C49DC" w:rsidRPr="008F4F73" w:rsidRDefault="006C49DC" w:rsidP="006C49DC">
      <w:pPr>
        <w:numPr>
          <w:ilvl w:val="0"/>
          <w:numId w:val="25"/>
        </w:numPr>
      </w:pPr>
      <w:r w:rsidRPr="008F4F73">
        <w:t xml:space="preserve">Other market practitioners may, in the course of their operations, produce return on equity estimates for entities with a similar degree of risk as </w:t>
      </w:r>
      <w:r w:rsidR="007A11AE">
        <w:t>TasNetworks</w:t>
      </w:r>
      <w:r w:rsidRPr="008F4F73">
        <w:t xml:space="preserve">. Other practitioners may also produce estimates of input parameters required in the Sharpe-Lintner CAPM (our foundation model). These estimates may be relevant material that can inform our return on equity estimation. </w:t>
      </w:r>
    </w:p>
    <w:p w:rsidR="006C49DC" w:rsidRPr="008F4F73" w:rsidRDefault="006C49DC" w:rsidP="006C49DC">
      <w:pPr>
        <w:numPr>
          <w:ilvl w:val="0"/>
          <w:numId w:val="25"/>
        </w:numPr>
      </w:pPr>
      <w:r w:rsidRPr="008F4F73">
        <w:t>Relevant estimates of other market practitioners are typically sourced from surveys, broker reports, valuation reports, and other regulators' decisions. Such estimates are discussed further in the subsections below.</w:t>
      </w:r>
    </w:p>
    <w:p w:rsidR="006C49DC" w:rsidRPr="008F4F73" w:rsidRDefault="006C49DC" w:rsidP="006C49DC">
      <w:r w:rsidRPr="008F4F73">
        <w:t xml:space="preserve">We have focused on return on equity estimates for companies with a similar degree of risk as </w:t>
      </w:r>
      <w:r w:rsidR="007A11AE">
        <w:t>TasNetworks</w:t>
      </w:r>
      <w:r w:rsidR="007A11AE" w:rsidRPr="008F4F73">
        <w:t xml:space="preserve"> </w:t>
      </w:r>
      <w:r w:rsidRPr="008F4F73">
        <w:t xml:space="preserve">in providing regulated services. This means that greater reliance is placed on electricity and gas network service providers over other types of businesses. Greater reliance is also placed on businesses with revenues that are substantially regulated over businesses with less regulated revenue. We take this approach as it better reflects the degree of risk of </w:t>
      </w:r>
      <w:r w:rsidR="007A11AE">
        <w:t>TasNetworks</w:t>
      </w:r>
      <w:r w:rsidR="007A11AE" w:rsidRPr="00D33284" w:rsidDel="003203B3">
        <w:t xml:space="preserve"> </w:t>
      </w:r>
      <w:r w:rsidRPr="008F4F73">
        <w:t>in relation to the provision of regulated services.</w:t>
      </w:r>
    </w:p>
    <w:p w:rsidR="006C49DC" w:rsidRDefault="006C49DC" w:rsidP="006C49DC">
      <w:pPr>
        <w:rPr>
          <w:rStyle w:val="AERtextblue"/>
        </w:rPr>
      </w:pPr>
      <w:r w:rsidRPr="008F4F73">
        <w:t>We have also focused on the equity risk premium rather than the overall return on equity to isolate the business-specific risk premium from movements in the risk free rate</w:t>
      </w:r>
      <w:r w:rsidRPr="008F4F73">
        <w:rPr>
          <w:rStyle w:val="AERtextblue"/>
        </w:rPr>
        <w:t>.</w:t>
      </w:r>
      <w:r w:rsidRPr="008F4F73">
        <w:rPr>
          <w:rStyle w:val="FootnoteReference"/>
        </w:rPr>
        <w:footnoteReference w:id="403"/>
      </w:r>
    </w:p>
    <w:p w:rsidR="006C49DC" w:rsidRDefault="006C49DC" w:rsidP="006C49DC">
      <w:r>
        <w:t>S</w:t>
      </w:r>
      <w:r w:rsidR="00772CD8">
        <w:t>ome s</w:t>
      </w:r>
      <w:r>
        <w:t>ervice providers</w:t>
      </w:r>
      <w:r w:rsidRPr="008F4F73">
        <w:t xml:space="preserve"> 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Pr="008F4F73">
        <w:rPr>
          <w:rStyle w:val="FootnoteReference"/>
        </w:rPr>
        <w:footnoteReference w:id="404"/>
      </w:r>
      <w:r w:rsidRPr="008F4F73">
        <w:t xml:space="preserve"> We note that some </w:t>
      </w:r>
      <w:r w:rsidRPr="008F4F73">
        <w:lastRenderedPageBreak/>
        <w:t>estimates from other market practitioners—including from survey respondents, brokers and valuers—may be affected to some extent by 'herding' behaviour.</w:t>
      </w:r>
      <w:r w:rsidRPr="008F4F73">
        <w:rPr>
          <w:rStyle w:val="FootnoteReference"/>
        </w:rPr>
        <w:footnoteReference w:id="405"/>
      </w:r>
      <w:r w:rsidRPr="008F4F73">
        <w:t xml:space="preserve"> We continue to consider that it is relevant for us to have some regard to these estimates, as long as we remain aware of their limitations.</w:t>
      </w:r>
    </w:p>
    <w:p w:rsidR="00D13FAF" w:rsidRPr="00B4711B" w:rsidRDefault="00D13FAF" w:rsidP="00D13FAF">
      <w:pPr>
        <w:pStyle w:val="Heading9"/>
      </w:pPr>
      <w:bookmarkStart w:id="209" w:name="_Ref456978707"/>
      <w:bookmarkStart w:id="210" w:name="_Toc457911219"/>
      <w:bookmarkStart w:id="211" w:name="_Toc461803739"/>
      <w:bookmarkStart w:id="212" w:name="_Toc462754649"/>
      <w:r>
        <w:t>Prevailing estimates: surveys</w:t>
      </w:r>
      <w:bookmarkEnd w:id="209"/>
      <w:bookmarkEnd w:id="210"/>
      <w:bookmarkEnd w:id="211"/>
      <w:bookmarkEnd w:id="212"/>
    </w:p>
    <w:p w:rsidR="006C49DC" w:rsidRPr="00954DE4" w:rsidRDefault="006C49DC" w:rsidP="006C49DC">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6C49DC" w:rsidRPr="00954DE4" w:rsidRDefault="006C49DC" w:rsidP="006C49DC">
      <w:r>
        <w:fldChar w:fldCharType="begin"/>
      </w:r>
      <w:r>
        <w:instrText xml:space="preserve"> REF _Ref432620068 \h </w:instrText>
      </w:r>
      <w:r>
        <w:fldChar w:fldCharType="separate"/>
      </w:r>
      <w:r w:rsidR="00691B4D">
        <w:t xml:space="preserve">Table </w:t>
      </w:r>
      <w:r w:rsidR="00691B4D">
        <w:rPr>
          <w:noProof/>
        </w:rPr>
        <w:t>3</w:t>
      </w:r>
      <w:r w:rsidR="00691B4D">
        <w:noBreakHyphen/>
      </w:r>
      <w:r w:rsidR="00691B4D">
        <w:rPr>
          <w:noProof/>
        </w:rPr>
        <w:t>21</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w:t>
      </w:r>
      <w:r w:rsidR="006C1401">
        <w:t>6</w:t>
      </w:r>
      <w:r>
        <w:t xml:space="preserve"> survey estimates are generally equal to or lower than their 2013 and 2014 counterparts. This provides some evidence to suggest that investor expectations of the market risk premium have not increased, and may have eased.</w:t>
      </w:r>
    </w:p>
    <w:p w:rsidR="006C49DC" w:rsidRPr="006F371E" w:rsidRDefault="006C49DC" w:rsidP="006C49DC">
      <w:pPr>
        <w:pStyle w:val="Caption"/>
      </w:pPr>
      <w:bookmarkStart w:id="213" w:name="_Ref432620068"/>
      <w:r>
        <w:t xml:space="preserve">Table </w:t>
      </w:r>
      <w:r w:rsidRPr="009C3D39">
        <w:fldChar w:fldCharType="begin"/>
      </w:r>
      <w:r>
        <w:instrText xml:space="preserve"> STYLEREF 1 \s </w:instrText>
      </w:r>
      <w:r w:rsidRPr="009C3D39">
        <w:fldChar w:fldCharType="separate"/>
      </w:r>
      <w:r w:rsidR="00691B4D">
        <w:rPr>
          <w:noProof/>
        </w:rPr>
        <w:t>3</w:t>
      </w:r>
      <w:r w:rsidRPr="009C3D39">
        <w:fldChar w:fldCharType="end"/>
      </w:r>
      <w:r>
        <w:noBreakHyphen/>
      </w:r>
      <w:r w:rsidRPr="009C3D39">
        <w:fldChar w:fldCharType="begin"/>
      </w:r>
      <w:r>
        <w:instrText xml:space="preserve"> SEQ Table \* ARABIC \s 1 </w:instrText>
      </w:r>
      <w:r w:rsidRPr="009C3D39">
        <w:fldChar w:fldCharType="separate"/>
      </w:r>
      <w:r w:rsidR="00691B4D">
        <w:rPr>
          <w:noProof/>
        </w:rPr>
        <w:t>21</w:t>
      </w:r>
      <w:r w:rsidRPr="009C3D39">
        <w:fldChar w:fldCharType="end"/>
      </w:r>
      <w:bookmarkEnd w:id="213"/>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5353"/>
        <w:gridCol w:w="1134"/>
        <w:gridCol w:w="709"/>
        <w:gridCol w:w="850"/>
        <w:gridCol w:w="647"/>
      </w:tblGrid>
      <w:tr w:rsidR="006C49DC" w:rsidRPr="00EF7FC8" w:rsidTr="00EE6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6C49DC" w:rsidP="006C49DC">
            <w:r>
              <w:t>Survey</w:t>
            </w:r>
          </w:p>
        </w:tc>
        <w:tc>
          <w:tcPr>
            <w:tcW w:w="1134"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709"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Mean</w:t>
            </w:r>
            <w:r w:rsidRPr="006C49DC">
              <w:t xml:space="preserve"> (%)</w:t>
            </w:r>
          </w:p>
        </w:tc>
        <w:tc>
          <w:tcPr>
            <w:tcW w:w="850"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Median</w:t>
            </w:r>
            <w:r w:rsidRPr="006C49DC">
              <w:t xml:space="preserve"> (%)</w:t>
            </w:r>
          </w:p>
        </w:tc>
        <w:tc>
          <w:tcPr>
            <w:tcW w:w="647" w:type="dxa"/>
          </w:tcPr>
          <w:p w:rsidR="006C49DC" w:rsidRPr="006C49DC" w:rsidRDefault="006C49DC" w:rsidP="006C49DC">
            <w:pPr>
              <w:cnfStyle w:val="100000000000" w:firstRow="1" w:lastRow="0" w:firstColumn="0" w:lastColumn="0" w:oddVBand="0" w:evenVBand="0" w:oddHBand="0" w:evenHBand="0" w:firstRowFirstColumn="0" w:firstRowLastColumn="0" w:lastRowFirstColumn="0" w:lastRowLastColumn="0"/>
            </w:pPr>
            <w:r w:rsidRPr="00EF7FC8">
              <w:t>Mode</w:t>
            </w:r>
            <w:r w:rsidRPr="006C49DC">
              <w:t xml:space="preserve"> (%)</w:t>
            </w:r>
          </w:p>
        </w:tc>
      </w:tr>
      <w:tr w:rsidR="006C49DC"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Fernandez, Arguirreamalloa and Corres, </w:t>
            </w:r>
            <w:r w:rsidRPr="00EE60FC">
              <w:rPr>
                <w:rStyle w:val="AERtextitalic"/>
              </w:rPr>
              <w:t>Market Risk Premium used in 82 Countries in 2012</w:t>
            </w:r>
            <w:r w:rsidRPr="00EE60FC">
              <w:t>, IESE Business School, January 2013</w:t>
            </w:r>
          </w:p>
        </w:tc>
        <w:tc>
          <w:tcPr>
            <w:tcW w:w="1134"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73</w:t>
            </w:r>
          </w:p>
        </w:tc>
        <w:tc>
          <w:tcPr>
            <w:tcW w:w="709"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5.9</w:t>
            </w:r>
          </w:p>
        </w:tc>
        <w:tc>
          <w:tcPr>
            <w:tcW w:w="85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6.0</w:t>
            </w:r>
          </w:p>
        </w:tc>
        <w:tc>
          <w:tcPr>
            <w:tcW w:w="64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N/A</w:t>
            </w:r>
          </w:p>
        </w:tc>
      </w:tr>
      <w:tr w:rsidR="006C49DC" w:rsidRPr="00EF7FC8" w:rsidTr="00EE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KPMG, </w:t>
            </w:r>
            <w:r w:rsidRPr="00EE60FC">
              <w:rPr>
                <w:rStyle w:val="AERtextitalic"/>
              </w:rPr>
              <w:t>Valuation Practices Survey 2013</w:t>
            </w:r>
            <w:r w:rsidRPr="00EE60FC">
              <w:t>, February 2013</w:t>
            </w:r>
            <w:r>
              <w:t xml:space="preserve"> </w:t>
            </w:r>
            <w:r w:rsidR="006C49DC" w:rsidRPr="006C49DC">
              <w:rPr>
                <w:rStyle w:val="AERsuperscript"/>
              </w:rPr>
              <w:t>a</w:t>
            </w:r>
          </w:p>
        </w:tc>
        <w:tc>
          <w:tcPr>
            <w:tcW w:w="1134"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19</w:t>
            </w:r>
          </w:p>
        </w:tc>
        <w:tc>
          <w:tcPr>
            <w:tcW w:w="709"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EF7FC8">
              <w:t>N/A</w:t>
            </w:r>
          </w:p>
        </w:tc>
        <w:tc>
          <w:tcPr>
            <w:tcW w:w="85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rsidRPr="00EF7FC8">
              <w:t>6.0</w:t>
            </w:r>
          </w:p>
        </w:tc>
        <w:tc>
          <w:tcPr>
            <w:tcW w:w="64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6C49DC"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Fernandez, Arguirreamalloa and Linares, </w:t>
            </w:r>
            <w:r w:rsidRPr="00EE60FC">
              <w:rPr>
                <w:rStyle w:val="AERtextitalic"/>
              </w:rPr>
              <w:t>Market Risk Premium and Risk Free Rate used for 51 countries in 2013</w:t>
            </w:r>
            <w:r w:rsidRPr="00EE60FC">
              <w:t>, IESE Business School, June 2013</w:t>
            </w:r>
          </w:p>
        </w:tc>
        <w:tc>
          <w:tcPr>
            <w:tcW w:w="1134"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17</w:t>
            </w:r>
          </w:p>
        </w:tc>
        <w:tc>
          <w:tcPr>
            <w:tcW w:w="709"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6.8</w:t>
            </w:r>
          </w:p>
        </w:tc>
        <w:tc>
          <w:tcPr>
            <w:tcW w:w="85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5.8</w:t>
            </w:r>
          </w:p>
        </w:tc>
        <w:tc>
          <w:tcPr>
            <w:tcW w:w="64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rsidRPr="00EF7FC8">
              <w:t>N/A</w:t>
            </w:r>
          </w:p>
        </w:tc>
      </w:tr>
      <w:tr w:rsidR="006C49DC" w:rsidRPr="00EF7FC8" w:rsidTr="00EE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Asher and Hickling, </w:t>
            </w:r>
            <w:r w:rsidRPr="00EE60FC">
              <w:rPr>
                <w:rStyle w:val="AERtextitalic"/>
              </w:rPr>
              <w:t>Equity Risk Premium Survey</w:t>
            </w:r>
            <w:r w:rsidRPr="00EE60FC">
              <w:t>, Actuary Australia, December 2013</w:t>
            </w:r>
          </w:p>
        </w:tc>
        <w:tc>
          <w:tcPr>
            <w:tcW w:w="1134"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46</w:t>
            </w:r>
          </w:p>
        </w:tc>
        <w:tc>
          <w:tcPr>
            <w:tcW w:w="709"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4.8</w:t>
            </w:r>
          </w:p>
        </w:tc>
        <w:tc>
          <w:tcPr>
            <w:tcW w:w="85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5.0</w:t>
            </w:r>
          </w:p>
        </w:tc>
        <w:tc>
          <w:tcPr>
            <w:tcW w:w="64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6C49DC"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EE60FC" w:rsidP="006C49DC">
            <w:r w:rsidRPr="00EE60FC">
              <w:t xml:space="preserve">Fernandez, Linares, Acín, </w:t>
            </w:r>
            <w:r w:rsidRPr="00EE60FC">
              <w:rPr>
                <w:rStyle w:val="AERtextitalic"/>
              </w:rPr>
              <w:t>Market Risk Premium used in 88 countries in 2014</w:t>
            </w:r>
            <w:r w:rsidRPr="00EE60FC">
              <w:t>, IESE Business School, June 2014</w:t>
            </w:r>
            <w:r w:rsidR="006C49DC" w:rsidRPr="006C49DC">
              <w:rPr>
                <w:rStyle w:val="AERsuperscript"/>
              </w:rPr>
              <w:t xml:space="preserve"> b</w:t>
            </w:r>
          </w:p>
        </w:tc>
        <w:tc>
          <w:tcPr>
            <w:tcW w:w="1134"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93</w:t>
            </w:r>
          </w:p>
        </w:tc>
        <w:tc>
          <w:tcPr>
            <w:tcW w:w="709"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5.9</w:t>
            </w:r>
          </w:p>
        </w:tc>
        <w:tc>
          <w:tcPr>
            <w:tcW w:w="85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6.0</w:t>
            </w:r>
          </w:p>
        </w:tc>
        <w:tc>
          <w:tcPr>
            <w:tcW w:w="64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N/A</w:t>
            </w:r>
          </w:p>
        </w:tc>
      </w:tr>
      <w:tr w:rsidR="006C49DC" w:rsidRPr="00EF7FC8" w:rsidTr="00EE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772CD8" w:rsidP="006C49DC">
            <w:r w:rsidRPr="00772CD8">
              <w:t xml:space="preserve">Asher and Hickling, </w:t>
            </w:r>
            <w:r w:rsidRPr="00772CD8">
              <w:rPr>
                <w:rStyle w:val="AERtextitalic"/>
              </w:rPr>
              <w:t>Equity Risk Premium Survey 2014</w:t>
            </w:r>
            <w:r w:rsidRPr="00772CD8">
              <w:t>, Actuaries Institute, April 2015</w:t>
            </w:r>
            <w:r w:rsidR="006C49DC" w:rsidRPr="006C49DC">
              <w:rPr>
                <w:rStyle w:val="AERsuperscript"/>
              </w:rPr>
              <w:t xml:space="preserve"> c</w:t>
            </w:r>
          </w:p>
        </w:tc>
        <w:tc>
          <w:tcPr>
            <w:tcW w:w="1134"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27</w:t>
            </w:r>
          </w:p>
        </w:tc>
        <w:tc>
          <w:tcPr>
            <w:tcW w:w="709"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4.4</w:t>
            </w:r>
          </w:p>
        </w:tc>
        <w:tc>
          <w:tcPr>
            <w:tcW w:w="85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4.6</w:t>
            </w:r>
          </w:p>
        </w:tc>
        <w:tc>
          <w:tcPr>
            <w:tcW w:w="64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6C49DC"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772CD8" w:rsidP="00772CD8">
            <w:r w:rsidRPr="00772CD8">
              <w:t xml:space="preserve">Fernandez, Ortiz, Acín, </w:t>
            </w:r>
            <w:r w:rsidRPr="00772CD8">
              <w:rPr>
                <w:rStyle w:val="AERtextitalic"/>
              </w:rPr>
              <w:t>Discount rate (risk-free rate and market risk premium) used for 41 countries in 2015: a survey</w:t>
            </w:r>
            <w:r w:rsidRPr="00772CD8">
              <w:t>, April 2015</w:t>
            </w:r>
          </w:p>
        </w:tc>
        <w:tc>
          <w:tcPr>
            <w:tcW w:w="1134"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40</w:t>
            </w:r>
          </w:p>
        </w:tc>
        <w:tc>
          <w:tcPr>
            <w:tcW w:w="709"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6.0</w:t>
            </w:r>
          </w:p>
        </w:tc>
        <w:tc>
          <w:tcPr>
            <w:tcW w:w="850"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5.1</w:t>
            </w:r>
          </w:p>
        </w:tc>
        <w:tc>
          <w:tcPr>
            <w:tcW w:w="647" w:type="dxa"/>
          </w:tcPr>
          <w:p w:rsidR="006C49DC" w:rsidRPr="006C49DC" w:rsidRDefault="006C49DC" w:rsidP="006C49DC">
            <w:pPr>
              <w:cnfStyle w:val="000000000000" w:firstRow="0" w:lastRow="0" w:firstColumn="0" w:lastColumn="0" w:oddVBand="0" w:evenVBand="0" w:oddHBand="0" w:evenHBand="0" w:firstRowFirstColumn="0" w:firstRowLastColumn="0" w:lastRowFirstColumn="0" w:lastRowLastColumn="0"/>
            </w:pPr>
            <w:r>
              <w:t>N/A</w:t>
            </w:r>
          </w:p>
        </w:tc>
      </w:tr>
      <w:tr w:rsidR="006C49DC" w:rsidRPr="00EF7FC8" w:rsidTr="00EE6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rsidR="006C49DC" w:rsidRPr="006C49DC" w:rsidRDefault="00772CD8" w:rsidP="00772CD8">
            <w:r w:rsidRPr="00772CD8">
              <w:t xml:space="preserve">KPMG, </w:t>
            </w:r>
            <w:r w:rsidRPr="00772CD8">
              <w:rPr>
                <w:rStyle w:val="AERtextitalic"/>
              </w:rPr>
              <w:t>Australian valuation practices survey 2015</w:t>
            </w:r>
            <w:r w:rsidRPr="00772CD8">
              <w:t>, May 2015</w:t>
            </w:r>
            <w:r>
              <w:t xml:space="preserve"> </w:t>
            </w:r>
            <w:r w:rsidR="006C49DC" w:rsidRPr="006C49DC">
              <w:rPr>
                <w:rStyle w:val="AERsuperscript"/>
              </w:rPr>
              <w:t>d</w:t>
            </w:r>
          </w:p>
        </w:tc>
        <w:tc>
          <w:tcPr>
            <w:tcW w:w="1134"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~27</w:t>
            </w:r>
          </w:p>
        </w:tc>
        <w:tc>
          <w:tcPr>
            <w:tcW w:w="709"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N/A</w:t>
            </w:r>
          </w:p>
        </w:tc>
        <w:tc>
          <w:tcPr>
            <w:tcW w:w="850"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c>
          <w:tcPr>
            <w:tcW w:w="647" w:type="dxa"/>
          </w:tcPr>
          <w:p w:rsidR="006C49DC" w:rsidRPr="006C49DC" w:rsidRDefault="006C49DC" w:rsidP="006C49DC">
            <w:pPr>
              <w:cnfStyle w:val="000000010000" w:firstRow="0" w:lastRow="0" w:firstColumn="0" w:lastColumn="0" w:oddVBand="0" w:evenVBand="0" w:oddHBand="0" w:evenHBand="1" w:firstRowFirstColumn="0" w:firstRowLastColumn="0" w:lastRowFirstColumn="0" w:lastRowLastColumn="0"/>
            </w:pPr>
            <w:r>
              <w:t>6.0</w:t>
            </w:r>
          </w:p>
        </w:tc>
      </w:tr>
      <w:tr w:rsidR="00244248" w:rsidRPr="00EF7FC8" w:rsidTr="00EE60FC">
        <w:tc>
          <w:tcPr>
            <w:cnfStyle w:val="001000000000" w:firstRow="0" w:lastRow="0" w:firstColumn="1" w:lastColumn="0" w:oddVBand="0" w:evenVBand="0" w:oddHBand="0" w:evenHBand="0" w:firstRowFirstColumn="0" w:firstRowLastColumn="0" w:lastRowFirstColumn="0" w:lastRowLastColumn="0"/>
            <w:tcW w:w="5353" w:type="dxa"/>
          </w:tcPr>
          <w:p w:rsidR="00244248" w:rsidRPr="00772CD8" w:rsidRDefault="00244248" w:rsidP="00244248">
            <w:r w:rsidRPr="00772CD8">
              <w:t xml:space="preserve">Fernandez, Ortiz, Acín, </w:t>
            </w:r>
            <w:r w:rsidRPr="00244248">
              <w:rPr>
                <w:rStyle w:val="AERtextitalic"/>
              </w:rPr>
              <w:t>Market Risk Premium used in 71 countries in 2016:</w:t>
            </w:r>
            <w:r>
              <w:rPr>
                <w:rStyle w:val="AERtextitalic"/>
              </w:rPr>
              <w:t xml:space="preserve"> </w:t>
            </w:r>
            <w:r w:rsidRPr="00244248">
              <w:rPr>
                <w:rStyle w:val="AERtextitalic"/>
              </w:rPr>
              <w:t>a survey with 6,932 answers</w:t>
            </w:r>
            <w:r w:rsidRPr="00244248">
              <w:t xml:space="preserve">, </w:t>
            </w:r>
            <w:r>
              <w:t>May</w:t>
            </w:r>
            <w:r w:rsidRPr="00244248">
              <w:t xml:space="preserve"> 201</w:t>
            </w:r>
            <w:r>
              <w:t>6</w:t>
            </w:r>
          </w:p>
        </w:tc>
        <w:tc>
          <w:tcPr>
            <w:tcW w:w="1134" w:type="dxa"/>
          </w:tcPr>
          <w:p w:rsidR="00244248" w:rsidRDefault="00244248" w:rsidP="006C49DC">
            <w:pPr>
              <w:cnfStyle w:val="000000000000" w:firstRow="0" w:lastRow="0" w:firstColumn="0" w:lastColumn="0" w:oddVBand="0" w:evenVBand="0" w:oddHBand="0" w:evenHBand="0" w:firstRowFirstColumn="0" w:firstRowLastColumn="0" w:lastRowFirstColumn="0" w:lastRowLastColumn="0"/>
            </w:pPr>
            <w:r>
              <w:t>87</w:t>
            </w:r>
          </w:p>
        </w:tc>
        <w:tc>
          <w:tcPr>
            <w:tcW w:w="709" w:type="dxa"/>
          </w:tcPr>
          <w:p w:rsidR="00244248" w:rsidRDefault="00244248" w:rsidP="006C49DC">
            <w:pPr>
              <w:cnfStyle w:val="000000000000" w:firstRow="0" w:lastRow="0" w:firstColumn="0" w:lastColumn="0" w:oddVBand="0" w:evenVBand="0" w:oddHBand="0" w:evenHBand="0" w:firstRowFirstColumn="0" w:firstRowLastColumn="0" w:lastRowFirstColumn="0" w:lastRowLastColumn="0"/>
            </w:pPr>
            <w:r>
              <w:t>6.0</w:t>
            </w:r>
          </w:p>
        </w:tc>
        <w:tc>
          <w:tcPr>
            <w:tcW w:w="850" w:type="dxa"/>
          </w:tcPr>
          <w:p w:rsidR="00244248" w:rsidRDefault="00244248" w:rsidP="006C49DC">
            <w:pPr>
              <w:cnfStyle w:val="000000000000" w:firstRow="0" w:lastRow="0" w:firstColumn="0" w:lastColumn="0" w:oddVBand="0" w:evenVBand="0" w:oddHBand="0" w:evenHBand="0" w:firstRowFirstColumn="0" w:firstRowLastColumn="0" w:lastRowFirstColumn="0" w:lastRowLastColumn="0"/>
            </w:pPr>
            <w:r>
              <w:t>6.0</w:t>
            </w:r>
          </w:p>
        </w:tc>
        <w:tc>
          <w:tcPr>
            <w:tcW w:w="647" w:type="dxa"/>
          </w:tcPr>
          <w:p w:rsidR="00244248" w:rsidRDefault="00244248" w:rsidP="006C49DC">
            <w:pPr>
              <w:cnfStyle w:val="000000000000" w:firstRow="0" w:lastRow="0" w:firstColumn="0" w:lastColumn="0" w:oddVBand="0" w:evenVBand="0" w:oddHBand="0" w:evenHBand="0" w:firstRowFirstColumn="0" w:firstRowLastColumn="0" w:lastRowFirstColumn="0" w:lastRowLastColumn="0"/>
            </w:pPr>
            <w:r>
              <w:t>N/A</w:t>
            </w:r>
          </w:p>
        </w:tc>
      </w:tr>
    </w:tbl>
    <w:p w:rsidR="006C49DC" w:rsidRDefault="006C49DC" w:rsidP="006C49DC">
      <w:pPr>
        <w:pStyle w:val="AERtablesource"/>
      </w:pPr>
      <w:r w:rsidRPr="003723C8">
        <w:t xml:space="preserve">Notes: </w:t>
      </w:r>
      <w:r w:rsidRPr="003723C8">
        <w:tab/>
      </w:r>
      <w:r>
        <w:t>a) While this survey had 23 market participants, 19 specified what market risk premium they used.</w:t>
      </w:r>
    </w:p>
    <w:p w:rsidR="006C49DC" w:rsidRDefault="006C49DC" w:rsidP="006C49DC">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6C49DC" w:rsidRDefault="006C49DC" w:rsidP="006C49DC">
      <w:pPr>
        <w:pStyle w:val="AERtablesource"/>
      </w:pPr>
      <w:r>
        <w:lastRenderedPageBreak/>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6C49DC" w:rsidRPr="00B74249" w:rsidRDefault="006C49DC" w:rsidP="006C49DC">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6C49DC" w:rsidRDefault="006C49DC" w:rsidP="006C49DC">
      <w:pPr>
        <w:rPr>
          <w:rStyle w:val="AERbody"/>
        </w:rPr>
      </w:pPr>
      <w:r>
        <w:rPr>
          <w:rStyle w:val="AERbody"/>
        </w:rPr>
        <w:t>Several factors should be considered when examining survey evidence:</w:t>
      </w:r>
      <w:r>
        <w:rPr>
          <w:rStyle w:val="FootnoteReference"/>
        </w:rPr>
        <w:footnoteReference w:id="406"/>
      </w:r>
    </w:p>
    <w:p w:rsidR="006C49DC" w:rsidRPr="006C49DC" w:rsidRDefault="006C49DC" w:rsidP="006C49DC">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sidRPr="006C49DC">
        <w:rPr>
          <w:rStyle w:val="FootnoteReference"/>
        </w:rPr>
        <w:footnoteReference w:id="407"/>
      </w:r>
      <w:r w:rsidRPr="006C49DC">
        <w:t xml:space="preserve">  </w:t>
      </w:r>
    </w:p>
    <w:p w:rsidR="006C49DC" w:rsidRPr="006C49DC" w:rsidRDefault="006C49DC" w:rsidP="006C49DC">
      <w:pPr>
        <w:pStyle w:val="AERbulletlistfirststyle"/>
      </w:pPr>
      <w:r>
        <w:t>Sample of respondents—f</w:t>
      </w:r>
      <w:r w:rsidRPr="006C49DC">
        <w:t>inancial managers and analysts, expert valuers, actuaries, finance academics, investment banks, professional services firms and infrastructure funds were among the target respondents of surveys. These professionals apply the market risk premium, so we consider the surveys' target populations can make informed judgments about the market risk premium. Each survey also sets out the selection of the sample surveyed (or respondents).</w:t>
      </w:r>
      <w:r w:rsidRPr="006C49DC">
        <w:rPr>
          <w:rStyle w:val="FootnoteReference"/>
        </w:rPr>
        <w:footnoteReference w:id="408"/>
      </w:r>
    </w:p>
    <w:p w:rsidR="006C49DC" w:rsidRPr="006C49DC" w:rsidRDefault="006C49DC" w:rsidP="006C49DC">
      <w:pPr>
        <w:pStyle w:val="AERbulletlistfirststyle"/>
      </w:pPr>
      <w:r>
        <w:t xml:space="preserve">Wording of survey questionnaires—we consider the </w:t>
      </w:r>
      <w:r w:rsidRPr="006C49DC">
        <w:t xml:space="preserve">adequacy of survey wording can be subjective to judge and often relies on the quality of the authors. However, we also consider confidence in this area can be enhanced when the work is published in a refereed academic journal, or when the survey is repeated. In our sample, only the KPMG survey has not been </w:t>
      </w:r>
      <w:r w:rsidR="00244248">
        <w:t>conducted</w:t>
      </w:r>
      <w:r w:rsidRPr="006C49DC">
        <w:t xml:space="preserve"> at least three times.</w:t>
      </w:r>
    </w:p>
    <w:p w:rsidR="006C49DC" w:rsidRPr="006C49DC" w:rsidRDefault="006C49DC" w:rsidP="006C49DC">
      <w:pPr>
        <w:pStyle w:val="AERbulletlistfirststyle"/>
      </w:pPr>
      <w:r>
        <w:t>Survey response rate and non-response bias—</w:t>
      </w:r>
      <w:r w:rsidRPr="006C49DC">
        <w:t>McKenzie and Partington suggested a sample size of more than 30 is sufficiently large statistically so a representative sample of 30 respondents is expected to be adequate.</w:t>
      </w:r>
      <w:r w:rsidRPr="006C49DC">
        <w:rPr>
          <w:rStyle w:val="FootnoteReference"/>
        </w:rPr>
        <w:footnoteReference w:id="409"/>
      </w:r>
      <w:r w:rsidRPr="006C49DC">
        <w:t xml:space="preserve"> </w:t>
      </w:r>
    </w:p>
    <w:p w:rsidR="006C49DC" w:rsidRDefault="006C49DC" w:rsidP="006C49DC">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691B4D">
        <w:t xml:space="preserve">Table </w:t>
      </w:r>
      <w:r w:rsidR="00691B4D">
        <w:rPr>
          <w:noProof/>
        </w:rPr>
        <w:t>3</w:t>
      </w:r>
      <w:r w:rsidR="00691B4D">
        <w:noBreakHyphen/>
      </w:r>
      <w:r w:rsidR="00691B4D">
        <w:rPr>
          <w:noProof/>
        </w:rPr>
        <w:t>21</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410"/>
      </w:r>
      <w:r>
        <w:t xml:space="preserve"> </w:t>
      </w:r>
    </w:p>
    <w:p w:rsidR="00D13FAF" w:rsidRPr="00B4711B" w:rsidRDefault="00D13FAF" w:rsidP="00D13FAF">
      <w:pPr>
        <w:pStyle w:val="Heading9"/>
      </w:pPr>
      <w:bookmarkStart w:id="214" w:name="_Toc457911220"/>
      <w:bookmarkStart w:id="215" w:name="_Toc461803740"/>
      <w:bookmarkStart w:id="216" w:name="_Toc462754650"/>
      <w:r>
        <w:lastRenderedPageBreak/>
        <w:t>Prevailing estimates: broker reports</w:t>
      </w:r>
      <w:bookmarkEnd w:id="214"/>
      <w:bookmarkEnd w:id="215"/>
      <w:bookmarkEnd w:id="216"/>
    </w:p>
    <w:p w:rsidR="006C49DC" w:rsidRPr="008F4F73" w:rsidRDefault="006C49DC" w:rsidP="006C49DC">
      <w:r w:rsidRPr="008F4F73">
        <w:t xml:space="preserve">The equity risk premium from the AER's foundation model of 4.55 per cent is within the range of premiums recently estimated by brokers, </w:t>
      </w:r>
      <w:r w:rsidR="0068171D" w:rsidRPr="008F4F73">
        <w:t xml:space="preserve">as shown in </w:t>
      </w:r>
      <w:r w:rsidR="0068171D" w:rsidRPr="008F4F73">
        <w:fldChar w:fldCharType="begin"/>
      </w:r>
      <w:r w:rsidR="0068171D" w:rsidRPr="008F4F73">
        <w:instrText xml:space="preserve"> REF _Ref444708458 \h </w:instrText>
      </w:r>
      <w:r w:rsidR="0068171D" w:rsidRPr="008F4F73">
        <w:fldChar w:fldCharType="separate"/>
      </w:r>
      <w:r w:rsidR="00691B4D" w:rsidRPr="008F4F73">
        <w:t xml:space="preserve">Figure </w:t>
      </w:r>
      <w:r w:rsidR="00691B4D">
        <w:rPr>
          <w:noProof/>
        </w:rPr>
        <w:t>3</w:t>
      </w:r>
      <w:r w:rsidR="00691B4D">
        <w:noBreakHyphen/>
      </w:r>
      <w:r w:rsidR="00691B4D">
        <w:rPr>
          <w:noProof/>
        </w:rPr>
        <w:t>11</w:t>
      </w:r>
      <w:r w:rsidR="0068171D" w:rsidRPr="008F4F73">
        <w:fldChar w:fldCharType="end"/>
      </w:r>
      <w:r w:rsidR="0068171D">
        <w:t>.</w:t>
      </w:r>
    </w:p>
    <w:p w:rsidR="006C49DC" w:rsidRPr="008F4F73" w:rsidRDefault="006C49DC" w:rsidP="006C49DC">
      <w:r w:rsidRPr="008F4F73">
        <w:t xml:space="preserve">Directionally, </w:t>
      </w:r>
      <w:r w:rsidR="00CB6202">
        <w:t>the range</w:t>
      </w:r>
      <w:r w:rsidRPr="008F4F73">
        <w:t xml:space="preserve"> of equity risk premium estimates from broker reports </w:t>
      </w:r>
      <w:r w:rsidR="00CB6202">
        <w:t>appears fairly stable</w:t>
      </w:r>
      <w:r w:rsidRPr="008F4F73">
        <w:t>. 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6C49DC" w:rsidRDefault="006C49DC" w:rsidP="006C49DC">
      <w:pPr>
        <w:pStyle w:val="Caption"/>
        <w:numPr>
          <w:ilvl w:val="0"/>
          <w:numId w:val="25"/>
        </w:numPr>
      </w:pPr>
      <w:bookmarkStart w:id="217" w:name="_Ref444708458"/>
      <w:r w:rsidRPr="008F4F73">
        <w:t xml:space="preserve">Figure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Figure \* ARABIC \s 1 </w:instrText>
      </w:r>
      <w:r w:rsidR="00AB6D99">
        <w:fldChar w:fldCharType="separate"/>
      </w:r>
      <w:r w:rsidR="00691B4D">
        <w:rPr>
          <w:noProof/>
        </w:rPr>
        <w:t>11</w:t>
      </w:r>
      <w:r w:rsidR="00AB6D99">
        <w:rPr>
          <w:noProof/>
        </w:rPr>
        <w:fldChar w:fldCharType="end"/>
      </w:r>
      <w:bookmarkEnd w:id="217"/>
      <w:r w:rsidRPr="008F4F73">
        <w:tab/>
        <w:t>Equity risk premium estimates from broker reports</w:t>
      </w:r>
    </w:p>
    <w:p w:rsidR="00CB63BD" w:rsidRPr="00B647B7" w:rsidRDefault="00626E14" w:rsidP="006C49DC">
      <w:pPr>
        <w:rPr>
          <w:rStyle w:val="AERtextblue"/>
          <w:color w:val="auto"/>
        </w:rPr>
      </w:pPr>
      <w:r w:rsidRPr="00D71C55">
        <w:rPr>
          <w:noProof/>
          <w:lang w:eastAsia="en-AU"/>
        </w:rPr>
        <w:drawing>
          <wp:inline distT="0" distB="0" distL="0" distR="0" wp14:anchorId="3226F06A" wp14:editId="1AE1F292">
            <wp:extent cx="5382895" cy="3496310"/>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496310"/>
                    </a:xfrm>
                    <a:prstGeom prst="rect">
                      <a:avLst/>
                    </a:prstGeom>
                    <a:noFill/>
                    <a:ln>
                      <a:noFill/>
                    </a:ln>
                  </pic:spPr>
                </pic:pic>
              </a:graphicData>
            </a:graphic>
          </wp:inline>
        </w:drawing>
      </w:r>
    </w:p>
    <w:p w:rsidR="006C49DC" w:rsidRPr="008F4F73" w:rsidRDefault="006C49DC" w:rsidP="006C49DC">
      <w:pPr>
        <w:pStyle w:val="AERtablesource"/>
      </w:pPr>
      <w:r w:rsidRPr="008F4F73">
        <w:t>Source:</w:t>
      </w:r>
      <w:r w:rsidRPr="008F4F73">
        <w:tab/>
        <w:t>AER analysis of broker reports by Credit Suisse, JP Morgan, Morgan Stanley, and Macquarie Bank that include a valuation for AusNet Services, Spark Infrastructure, APA Group, and/or DUET Group.</w:t>
      </w:r>
    </w:p>
    <w:p w:rsidR="006C49DC" w:rsidRPr="008F4F73" w:rsidRDefault="006C49DC" w:rsidP="006C49DC">
      <w:pPr>
        <w:pStyle w:val="AERtablesource"/>
      </w:pPr>
      <w:bookmarkStart w:id="218" w:name="_Ref445926689"/>
      <w:r w:rsidRPr="008F4F73">
        <w:t>Notes:</w:t>
      </w:r>
      <w:r w:rsidRPr="008F4F73">
        <w:tab/>
        <w:t xml:space="preserve">Average broker </w:t>
      </w:r>
      <w:r w:rsidR="00EE3CBB">
        <w:t>equity risk premium</w:t>
      </w:r>
      <w:r w:rsidRPr="008F4F73">
        <w:t xml:space="preserve"> is the mean of </w:t>
      </w:r>
      <w:r w:rsidR="00A93DEC">
        <w:t xml:space="preserve">equity risk premium </w:t>
      </w:r>
      <w:r w:rsidRPr="008F4F73">
        <w:t>estimates from all brokers and for all busin</w:t>
      </w:r>
      <w:r>
        <w:t>esses available at the time.</w:t>
      </w:r>
      <w:r w:rsidR="00FF102C">
        <w:t xml:space="preserve"> </w:t>
      </w:r>
      <w:r w:rsidR="00A93DEC">
        <w:t>We treat a broker's</w:t>
      </w:r>
      <w:r w:rsidR="00083E80">
        <w:t xml:space="preserve"> estimate </w:t>
      </w:r>
      <w:r w:rsidR="00A93DEC">
        <w:t>for each business as remaining</w:t>
      </w:r>
      <w:r w:rsidR="003B678A">
        <w:t xml:space="preserve"> </w:t>
      </w:r>
      <w:r w:rsidR="00083E80">
        <w:t>relevant until</w:t>
      </w:r>
      <w:r w:rsidR="003B678A">
        <w:t xml:space="preserve"> </w:t>
      </w:r>
      <w:r w:rsidR="00083E80">
        <w:t>a new estimate is published</w:t>
      </w:r>
      <w:r w:rsidR="00A93DEC">
        <w:t>.</w:t>
      </w:r>
    </w:p>
    <w:p w:rsidR="00D13FAF" w:rsidRPr="00B4711B" w:rsidRDefault="00D13FAF" w:rsidP="00D13FAF">
      <w:pPr>
        <w:pStyle w:val="Heading9"/>
      </w:pPr>
      <w:bookmarkStart w:id="219" w:name="_Toc457911221"/>
      <w:bookmarkStart w:id="220" w:name="_Toc461803741"/>
      <w:bookmarkStart w:id="221" w:name="_Toc462754651"/>
      <w:bookmarkEnd w:id="218"/>
      <w:r>
        <w:t>Prevailing estimates: valuation reports</w:t>
      </w:r>
      <w:bookmarkEnd w:id="219"/>
      <w:bookmarkEnd w:id="220"/>
      <w:bookmarkEnd w:id="221"/>
    </w:p>
    <w:p w:rsidR="006C49DC" w:rsidRPr="008F4F73" w:rsidRDefault="006C49DC" w:rsidP="006C49DC">
      <w:pPr>
        <w:numPr>
          <w:ilvl w:val="0"/>
          <w:numId w:val="25"/>
        </w:numPr>
      </w:pPr>
      <w:r w:rsidRPr="008F4F73">
        <w:rPr>
          <w:rStyle w:val="AERtextblue"/>
        </w:rPr>
        <w:fldChar w:fldCharType="begin"/>
      </w:r>
      <w:r w:rsidRPr="008F4F73">
        <w:rPr>
          <w:rStyle w:val="AERtextblue"/>
        </w:rPr>
        <w:instrText xml:space="preserve"> REF _Ref448176907 \h </w:instrText>
      </w:r>
      <w:r w:rsidRPr="008F4F73">
        <w:rPr>
          <w:rStyle w:val="AERtextblue"/>
        </w:rPr>
      </w:r>
      <w:r w:rsidRPr="008F4F73">
        <w:rPr>
          <w:rStyle w:val="AERtextblue"/>
        </w:rPr>
        <w:fldChar w:fldCharType="separate"/>
      </w:r>
      <w:r w:rsidR="00691B4D" w:rsidRPr="008F4F73">
        <w:t xml:space="preserve">Figure </w:t>
      </w:r>
      <w:r w:rsidR="00691B4D">
        <w:rPr>
          <w:noProof/>
        </w:rPr>
        <w:t>3</w:t>
      </w:r>
      <w:r w:rsidR="00691B4D">
        <w:noBreakHyphen/>
      </w:r>
      <w:r w:rsidR="00691B4D">
        <w:rPr>
          <w:noProof/>
        </w:rPr>
        <w:t>12</w:t>
      </w:r>
      <w:r w:rsidRPr="008F4F73">
        <w:rPr>
          <w:rStyle w:val="AERtextblue"/>
        </w:rPr>
        <w:fldChar w:fldCharType="end"/>
      </w:r>
      <w:r w:rsidRPr="008F4F73">
        <w:rPr>
          <w:rStyle w:val="AERtextblue"/>
        </w:rPr>
        <w:t xml:space="preserve"> </w:t>
      </w:r>
      <w:r w:rsidRPr="008F4F73">
        <w:t xml:space="preserve">outlines the range of return on equity and equity risk premium estimates from relevant independent valuation reports. </w:t>
      </w:r>
      <w:bookmarkStart w:id="222" w:name="_Ref417589947"/>
      <w:r w:rsidRPr="008F4F73">
        <w:t xml:space="preserve">We consider that the number of reports is </w:t>
      </w:r>
      <w:r w:rsidRPr="008F4F73">
        <w:lastRenderedPageBreak/>
        <w:t>too low and the concentration of reports among only a few valuers is too high to be able to place significant reliance on the evidence from valuation reports.</w:t>
      </w:r>
      <w:r w:rsidRPr="008F4F73">
        <w:rPr>
          <w:rStyle w:val="FootnoteReference"/>
        </w:rPr>
        <w:footnoteReference w:id="411"/>
      </w:r>
    </w:p>
    <w:p w:rsidR="006C49DC" w:rsidRDefault="006C49DC" w:rsidP="006C49DC">
      <w:pPr>
        <w:pStyle w:val="Caption"/>
      </w:pPr>
      <w:bookmarkStart w:id="223" w:name="_Ref448176907"/>
      <w:r w:rsidRPr="008F4F73">
        <w:t xml:space="preserve">Figure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Figure \* ARABIC \s 1 </w:instrText>
      </w:r>
      <w:r w:rsidR="00AB6D99">
        <w:fldChar w:fldCharType="separate"/>
      </w:r>
      <w:r w:rsidR="00691B4D">
        <w:rPr>
          <w:noProof/>
        </w:rPr>
        <w:t>12</w:t>
      </w:r>
      <w:r w:rsidR="00AB6D99">
        <w:rPr>
          <w:noProof/>
        </w:rPr>
        <w:fldChar w:fldCharType="end"/>
      </w:r>
      <w:bookmarkEnd w:id="222"/>
      <w:bookmarkEnd w:id="223"/>
      <w:r w:rsidRPr="008F4F73">
        <w:tab/>
        <w:t xml:space="preserve">Equity risk premium from relevant </w:t>
      </w:r>
      <w:r>
        <w:t>valuation</w:t>
      </w:r>
      <w:r w:rsidRPr="008F4F73">
        <w:t xml:space="preserve"> reports over time</w:t>
      </w:r>
    </w:p>
    <w:p w:rsidR="00FA703A" w:rsidRPr="00FA703A" w:rsidRDefault="00FA703A" w:rsidP="00FA703A">
      <w:r>
        <w:rPr>
          <w:noProof/>
          <w:lang w:eastAsia="en-AU"/>
        </w:rPr>
        <w:drawing>
          <wp:inline distT="0" distB="0" distL="0" distR="0" wp14:anchorId="692384C5" wp14:editId="12A964D4">
            <wp:extent cx="5296205" cy="34697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7875" cy="3477391"/>
                    </a:xfrm>
                    <a:prstGeom prst="rect">
                      <a:avLst/>
                    </a:prstGeom>
                    <a:noFill/>
                  </pic:spPr>
                </pic:pic>
              </a:graphicData>
            </a:graphic>
          </wp:inline>
        </w:drawing>
      </w:r>
    </w:p>
    <w:p w:rsidR="006C49DC" w:rsidRPr="008F4F73" w:rsidRDefault="006C49DC" w:rsidP="006C49DC">
      <w:pPr>
        <w:pStyle w:val="AERtablesource"/>
      </w:pPr>
    </w:p>
    <w:p w:rsidR="006C49DC" w:rsidRPr="008F4F73" w:rsidRDefault="006C49DC" w:rsidP="006C49DC">
      <w:pPr>
        <w:pStyle w:val="AERtablesource"/>
      </w:pPr>
      <w:r w:rsidRPr="008F4F73">
        <w:t>Source:</w:t>
      </w:r>
      <w:r w:rsidRPr="008F4F73">
        <w:tab/>
        <w:t xml:space="preserve">AER analysis of reports from the Thomson Reuters Connect4 database </w:t>
      </w:r>
    </w:p>
    <w:p w:rsidR="006C49DC" w:rsidRPr="008F4F73" w:rsidRDefault="006C49DC" w:rsidP="006C49DC">
      <w:pPr>
        <w:pStyle w:val="AERtablesource"/>
      </w:pPr>
      <w:r w:rsidRPr="008F4F73">
        <w:t>Notes:</w:t>
      </w:r>
      <w:r w:rsidRPr="008F4F73">
        <w:tab/>
        <w:t xml:space="preserve">We have shown the equity risk premium based on a nominal vanilla </w:t>
      </w:r>
      <w:r w:rsidR="00AA0964">
        <w:t>weighted average cost of capital</w:t>
      </w:r>
      <w:r w:rsidRPr="008F4F73">
        <w:t xml:space="preserve">, expert reports using a different </w:t>
      </w:r>
      <w:r w:rsidR="00AA0964">
        <w:t>cost of capital</w:t>
      </w:r>
      <w:r w:rsidRPr="008F4F73">
        <w:t xml:space="preserve"> form have been adjusted accordingly. This equity risk premium ('Valuers estimate-high') also reflects the impact of any discretionary uplifts applied by the independent valuer.</w:t>
      </w:r>
    </w:p>
    <w:p w:rsidR="006C49DC" w:rsidRPr="008F4F73" w:rsidRDefault="006C49DC" w:rsidP="006C49DC">
      <w:pPr>
        <w:pStyle w:val="ListParagraph"/>
        <w:numPr>
          <w:ilvl w:val="0"/>
          <w:numId w:val="25"/>
        </w:numPr>
      </w:pPr>
      <w:r w:rsidRPr="008F4F73">
        <w:t>There have been only 1</w:t>
      </w:r>
      <w:r w:rsidR="001106FF">
        <w:t>9</w:t>
      </w:r>
      <w:r w:rsidRPr="008F4F73">
        <w:t xml:space="preserve"> relevant independent valuation reports spanning a period going back to 1991.</w:t>
      </w:r>
      <w:r w:rsidRPr="008F4F73">
        <w:rPr>
          <w:rStyle w:val="AERsuperscript"/>
        </w:rPr>
        <w:footnoteReference w:id="412"/>
      </w:r>
      <w:r w:rsidRPr="008F4F73">
        <w:t xml:space="preserve"> Only 1</w:t>
      </w:r>
      <w:r w:rsidR="001106FF">
        <w:t>3</w:t>
      </w:r>
      <w:r w:rsidRPr="008F4F73">
        <w:t xml:space="preserve"> reports included a discounted cash flow analysis with information on a return on equity estimate. These 1</w:t>
      </w:r>
      <w:r w:rsidR="001106FF">
        <w:t>3</w:t>
      </w:r>
      <w:r w:rsidRPr="008F4F73">
        <w:t xml:space="preserve"> reports were provided by only </w:t>
      </w:r>
      <w:r w:rsidR="001106FF">
        <w:t>3</w:t>
      </w:r>
      <w:r w:rsidRPr="008F4F73">
        <w:t xml:space="preserve"> independent valuation firms, with 9 of the 1</w:t>
      </w:r>
      <w:r w:rsidR="00121E3A">
        <w:t>3</w:t>
      </w:r>
      <w:r w:rsidRPr="008F4F73">
        <w:t xml:space="preserve"> reports being provided by Grant Samuel &amp; Associates.</w:t>
      </w:r>
    </w:p>
    <w:p w:rsidR="006C49DC" w:rsidRDefault="006C49DC" w:rsidP="006C49DC">
      <w:pPr>
        <w:numPr>
          <w:ilvl w:val="0"/>
          <w:numId w:val="25"/>
        </w:numPr>
      </w:pPr>
      <w:r w:rsidRPr="008F4F73">
        <w:lastRenderedPageBreak/>
        <w:t xml:space="preserve">We note that the ranges for return on equity and equity risk premium estimates contained in </w:t>
      </w:r>
      <w:r>
        <w:fldChar w:fldCharType="begin"/>
      </w:r>
      <w:r>
        <w:instrText xml:space="preserve"> REF _Ref448176907 \h </w:instrText>
      </w:r>
      <w:r>
        <w:fldChar w:fldCharType="separate"/>
      </w:r>
      <w:r w:rsidR="00691B4D" w:rsidRPr="008F4F73">
        <w:t xml:space="preserve">Figure </w:t>
      </w:r>
      <w:r w:rsidR="00691B4D">
        <w:rPr>
          <w:noProof/>
        </w:rPr>
        <w:t>3</w:t>
      </w:r>
      <w:r w:rsidR="00691B4D">
        <w:noBreakHyphen/>
      </w:r>
      <w:r w:rsidR="00691B4D">
        <w:rPr>
          <w:noProof/>
        </w:rPr>
        <w:t>12</w:t>
      </w:r>
      <w:r>
        <w:fldChar w:fldCharType="end"/>
      </w:r>
      <w:r w:rsidRPr="008F4F73">
        <w:t xml:space="preserve"> include the final values used in the independent valuation reports and reflect any uplifts applied. However, we have concerns about the applicability of these uplifts to the allowed rate of return objective.</w:t>
      </w:r>
      <w:r w:rsidRPr="008F4F73">
        <w:rPr>
          <w:rStyle w:val="FootnoteReference"/>
        </w:rPr>
        <w:footnoteReference w:id="413"/>
      </w:r>
      <w:r w:rsidRPr="008F4F73">
        <w:t xml:space="preserve"> We also have concerns that the adjustment for dividend imputation may not be appropriate.</w:t>
      </w:r>
      <w:r w:rsidR="00CB6202">
        <w:rPr>
          <w:rStyle w:val="FootnoteReference"/>
        </w:rPr>
        <w:footnoteReference w:id="414"/>
      </w:r>
      <w:r w:rsidRPr="008F4F73">
        <w:t xml:space="preserve"> The risk premium appropriately reflecting dividend imputation is likely somewhere between the adjusted and unadjusted premiums, but we are unable to distil a precise estimate due to </w:t>
      </w:r>
      <w:r w:rsidR="005467C5">
        <w:t>the limited</w:t>
      </w:r>
      <w:r w:rsidRPr="008F4F73">
        <w:t xml:space="preserve"> of transparency </w:t>
      </w:r>
      <w:r w:rsidR="005467C5">
        <w:t>of</w:t>
      </w:r>
      <w:r w:rsidRPr="008F4F73">
        <w:t xml:space="preserve"> valuation reports.</w:t>
      </w:r>
    </w:p>
    <w:p w:rsidR="001106FF" w:rsidRDefault="001106FF" w:rsidP="006C49DC">
      <w:pPr>
        <w:numPr>
          <w:ilvl w:val="0"/>
          <w:numId w:val="25"/>
        </w:numPr>
      </w:pPr>
      <w:r>
        <w:t xml:space="preserve">The most recent report </w:t>
      </w:r>
      <w:r w:rsidRPr="001106FF">
        <w:t>for a regulated energy network business</w:t>
      </w:r>
      <w:r>
        <w:t xml:space="preserve"> is</w:t>
      </w:r>
      <w:r w:rsidR="00D77240">
        <w:t xml:space="preserve"> Lonergan Edwards' report for Ethane Pipeline Income Fund on 31 March 2016.</w:t>
      </w:r>
      <w:r w:rsidR="00D77240" w:rsidRPr="00D77240">
        <w:t xml:space="preserve"> We find that this evidence does not support a move away from our foundation model estimate of 4.55 per cent. We note that:</w:t>
      </w:r>
    </w:p>
    <w:p w:rsidR="00D77240" w:rsidRDefault="00D77240" w:rsidP="00D77240">
      <w:pPr>
        <w:pStyle w:val="AERbulletlistfirststyle"/>
      </w:pPr>
      <w:r>
        <w:t xml:space="preserve">The Moomba-to-Sydney </w:t>
      </w:r>
      <w:r w:rsidR="00F9339A">
        <w:t xml:space="preserve">ethane </w:t>
      </w:r>
      <w:r>
        <w:t xml:space="preserve">pipeline </w:t>
      </w:r>
      <w:r w:rsidR="005467C5">
        <w:t>is</w:t>
      </w:r>
      <w:r>
        <w:t xml:space="preserve"> the </w:t>
      </w:r>
      <w:r w:rsidR="00EA0D6C">
        <w:t>sole</w:t>
      </w:r>
      <w:r>
        <w:t xml:space="preserve"> asset</w:t>
      </w:r>
      <w:r w:rsidR="00F9339A">
        <w:t xml:space="preserve"> of Ethane Pipeline Income Fund</w:t>
      </w:r>
      <w:r>
        <w:t>.</w:t>
      </w:r>
      <w:r w:rsidR="00EF6F09">
        <w:t xml:space="preserve"> Currently, none of the revenues from the pipeline are subject to revenue cap regulation of the type applied to </w:t>
      </w:r>
      <w:r w:rsidR="00626E14">
        <w:t>TasNetworks</w:t>
      </w:r>
      <w:r w:rsidR="00EF6F09">
        <w:t>.</w:t>
      </w:r>
      <w:r w:rsidR="005C5889">
        <w:t xml:space="preserve"> We consider that the regulatory regime contains a number of mechanisms that shield</w:t>
      </w:r>
      <w:r w:rsidR="005C5889" w:rsidRPr="005C5889">
        <w:t xml:space="preserve"> </w:t>
      </w:r>
      <w:r w:rsidR="00626E14">
        <w:t>TasNetworks</w:t>
      </w:r>
      <w:r w:rsidR="00626E14" w:rsidRPr="005C5889">
        <w:t xml:space="preserve"> </w:t>
      </w:r>
      <w:r w:rsidR="005C5889" w:rsidRPr="005C5889">
        <w:t>from systematic risk</w:t>
      </w:r>
      <w:r w:rsidR="005467C5">
        <w:t>.</w:t>
      </w:r>
      <w:r w:rsidR="005467C5">
        <w:rPr>
          <w:rStyle w:val="FootnoteReference"/>
        </w:rPr>
        <w:footnoteReference w:id="415"/>
      </w:r>
      <w:r w:rsidR="005C5889">
        <w:t xml:space="preserve"> </w:t>
      </w:r>
      <w:r w:rsidR="005467C5">
        <w:t xml:space="preserve">The regulatory regime </w:t>
      </w:r>
      <w:r w:rsidR="00F84516">
        <w:t>is</w:t>
      </w:r>
      <w:r w:rsidR="005C5889">
        <w:t xml:space="preserve"> therefore </w:t>
      </w:r>
      <w:r w:rsidR="00F84516">
        <w:t xml:space="preserve">likely to </w:t>
      </w:r>
      <w:r w:rsidR="005467C5">
        <w:t>result in an</w:t>
      </w:r>
      <w:r w:rsidR="005C5889">
        <w:t xml:space="preserve"> equity beta </w:t>
      </w:r>
      <w:r w:rsidR="005467C5">
        <w:t xml:space="preserve">for </w:t>
      </w:r>
      <w:r w:rsidR="00626E14">
        <w:t xml:space="preserve">TasNetworks </w:t>
      </w:r>
      <w:r w:rsidR="005467C5">
        <w:t>that is</w:t>
      </w:r>
      <w:r w:rsidR="005C5889">
        <w:t xml:space="preserve"> lower than it may otherwise be</w:t>
      </w:r>
      <w:r w:rsidR="005467C5">
        <w:t xml:space="preserve"> (and lower than the 0.8 to 0.9 equity beta range for Ethane Pipeline Income Fund</w:t>
      </w:r>
      <w:r w:rsidR="005467C5" w:rsidRPr="005467C5">
        <w:t xml:space="preserve"> estimated by Lonergan Edwards</w:t>
      </w:r>
      <w:r w:rsidR="005467C5">
        <w:t>)</w:t>
      </w:r>
      <w:r w:rsidR="005C5889" w:rsidRPr="005C5889">
        <w:t>.</w:t>
      </w:r>
      <w:r w:rsidR="005467C5" w:rsidRPr="005467C5">
        <w:rPr>
          <w:rStyle w:val="FootnoteReference"/>
        </w:rPr>
        <w:footnoteReference w:id="416"/>
      </w:r>
      <w:r w:rsidR="005C5889" w:rsidRPr="005C5889">
        <w:t xml:space="preserve"> </w:t>
      </w:r>
    </w:p>
    <w:p w:rsidR="00EF6F09" w:rsidRDefault="00EF6F09" w:rsidP="00EA0D6C">
      <w:pPr>
        <w:pStyle w:val="AERbulletlistfirststyle"/>
      </w:pPr>
      <w:r>
        <w:t xml:space="preserve">Ethane Pipeline Income Fund </w:t>
      </w:r>
      <w:r w:rsidR="005467C5">
        <w:t>has</w:t>
      </w:r>
      <w:r>
        <w:t xml:space="preserve"> </w:t>
      </w:r>
      <w:r w:rsidR="00EA0D6C">
        <w:t xml:space="preserve">limited diversification, having only </w:t>
      </w:r>
      <w:r>
        <w:t>one customer.</w:t>
      </w:r>
      <w:r w:rsidR="00EA0D6C">
        <w:t xml:space="preserve"> Lonergan Edwards noted this as a consideration in its estimation of equity beta</w:t>
      </w:r>
      <w:r w:rsidR="00EA0D6C" w:rsidRPr="00EA0D6C">
        <w:t>.</w:t>
      </w:r>
      <w:r w:rsidR="00EA0D6C">
        <w:rPr>
          <w:rStyle w:val="FootnoteReference"/>
        </w:rPr>
        <w:footnoteReference w:id="417"/>
      </w:r>
      <w:r w:rsidR="00EA0D6C">
        <w:t xml:space="preserve"> </w:t>
      </w:r>
      <w:r w:rsidR="005467C5">
        <w:t xml:space="preserve">We consider the greater diversification of </w:t>
      </w:r>
      <w:r w:rsidR="00626E14">
        <w:t xml:space="preserve">TasNetworks' </w:t>
      </w:r>
      <w:r w:rsidR="005467C5">
        <w:t xml:space="preserve">regulated services </w:t>
      </w:r>
      <w:r w:rsidR="00F84516">
        <w:t xml:space="preserve">customer base </w:t>
      </w:r>
      <w:r w:rsidR="005467C5">
        <w:t>may indicate a lower equity beta than the range of 0.8 to 0.9 for Ethane Pipeline Income Fund estimated by Lonergan Edwards</w:t>
      </w:r>
      <w:r w:rsidR="000A3720">
        <w:t>.</w:t>
      </w:r>
    </w:p>
    <w:p w:rsidR="006C49DC" w:rsidRPr="008F4F73" w:rsidRDefault="006C49DC" w:rsidP="006C49DC">
      <w:pPr>
        <w:numPr>
          <w:ilvl w:val="0"/>
          <w:numId w:val="25"/>
        </w:numPr>
      </w:pPr>
      <w:r w:rsidRPr="008F4F73">
        <w:t xml:space="preserve">The </w:t>
      </w:r>
      <w:r w:rsidR="001106FF">
        <w:t xml:space="preserve">second </w:t>
      </w:r>
      <w:r w:rsidRPr="008F4F73">
        <w:t>most recent</w:t>
      </w:r>
      <w:r w:rsidR="001106FF">
        <w:t xml:space="preserve"> relevant</w:t>
      </w:r>
      <w:r w:rsidRPr="008F4F73">
        <w:t xml:space="preserve"> report is Grant Samuel’s report for Envestra on 4 March 2014. We find that this evidence does not support a move away from our foundation model estimate of 4.55 per cent. We note that:</w:t>
      </w:r>
    </w:p>
    <w:p w:rsidR="006C49DC" w:rsidRPr="006C49DC" w:rsidRDefault="006C49DC" w:rsidP="006C49DC">
      <w:pPr>
        <w:pStyle w:val="AERbulletlistfirststyle"/>
      </w:pPr>
      <w:r w:rsidRPr="008F4F73">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6C49DC" w:rsidRPr="006C49DC" w:rsidRDefault="006C49DC" w:rsidP="006C49DC">
      <w:pPr>
        <w:pStyle w:val="AERbulletlistfirststyle"/>
      </w:pPr>
      <w:r w:rsidRPr="008F4F73">
        <w:lastRenderedPageBreak/>
        <w:t>Grant Samuel outlined four separate uplift scenarios that supported its discretionary uplift to its rate of return above the initial Sharpe-Lintner CAPM-based estimate.</w:t>
      </w:r>
      <w:r w:rsidRPr="006C49DC">
        <w:rPr>
          <w:rStyle w:val="FootnoteReference"/>
        </w:rPr>
        <w:footnoteReference w:id="418"/>
      </w:r>
      <w:r w:rsidRPr="006C49DC">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6C49DC">
        <w:rPr>
          <w:rStyle w:val="FootnoteReference"/>
        </w:rPr>
        <w:footnoteReference w:id="419"/>
      </w:r>
    </w:p>
    <w:p w:rsidR="00D13FAF" w:rsidRPr="00B4711B" w:rsidRDefault="00D13FAF" w:rsidP="00D13FAF">
      <w:pPr>
        <w:pStyle w:val="Heading9"/>
      </w:pPr>
      <w:bookmarkStart w:id="224" w:name="_Ref456978726"/>
      <w:bookmarkStart w:id="225" w:name="_Toc457911222"/>
      <w:bookmarkStart w:id="226" w:name="_Toc461803742"/>
      <w:bookmarkStart w:id="227" w:name="_Toc462754652"/>
      <w:bookmarkStart w:id="228" w:name="_Toc443923234"/>
      <w:r>
        <w:t>Prevailing estimates: other regulators</w:t>
      </w:r>
      <w:bookmarkEnd w:id="224"/>
      <w:bookmarkEnd w:id="225"/>
      <w:bookmarkEnd w:id="226"/>
      <w:bookmarkEnd w:id="227"/>
    </w:p>
    <w:p w:rsidR="006C49DC" w:rsidRPr="008F4F73" w:rsidRDefault="006C49DC" w:rsidP="006C49DC">
      <w:pPr>
        <w:numPr>
          <w:ilvl w:val="0"/>
          <w:numId w:val="25"/>
        </w:numPr>
      </w:pPr>
      <w:r w:rsidRPr="008F4F73">
        <w:t>The equity risk premium from our foundation model of 4.55 per cent is within the range of premiums recently estimated by o</w:t>
      </w:r>
      <w:r w:rsidR="00121E3A">
        <w:t>ther regulators. Directionally,</w:t>
      </w:r>
      <w:r w:rsidR="00121E3A" w:rsidRPr="008F4F73">
        <w:t xml:space="preserve"> as shown in </w:t>
      </w:r>
      <w:r w:rsidR="00121E3A" w:rsidRPr="008F4F73">
        <w:fldChar w:fldCharType="begin"/>
      </w:r>
      <w:r w:rsidR="00121E3A" w:rsidRPr="008F4F73">
        <w:instrText xml:space="preserve"> REF _Ref444707385 \h </w:instrText>
      </w:r>
      <w:r w:rsidR="00121E3A" w:rsidRPr="008F4F73">
        <w:fldChar w:fldCharType="separate"/>
      </w:r>
      <w:r w:rsidR="00691B4D" w:rsidRPr="008F4F73">
        <w:t xml:space="preserve">Figure </w:t>
      </w:r>
      <w:r w:rsidR="00691B4D">
        <w:rPr>
          <w:noProof/>
        </w:rPr>
        <w:t>3</w:t>
      </w:r>
      <w:r w:rsidR="00691B4D">
        <w:noBreakHyphen/>
      </w:r>
      <w:r w:rsidR="00691B4D">
        <w:rPr>
          <w:noProof/>
        </w:rPr>
        <w:t>13</w:t>
      </w:r>
      <w:r w:rsidR="00121E3A" w:rsidRPr="008F4F73">
        <w:fldChar w:fldCharType="end"/>
      </w:r>
      <w:r w:rsidR="00121E3A">
        <w:t xml:space="preserve">, </w:t>
      </w:r>
      <w:r w:rsidRPr="008F4F73">
        <w:t xml:space="preserve">the range of equity risk premium estimates </w:t>
      </w:r>
      <w:r w:rsidR="00121E3A">
        <w:t>does not appear to be changing materially and is relatively constant at about 4 per cent to 6.5 per cent</w:t>
      </w:r>
      <w:r w:rsidRPr="008F4F73">
        <w:t>.</w:t>
      </w:r>
      <w:r w:rsidRPr="008F4F73">
        <w:rPr>
          <w:rStyle w:val="FootnoteReference"/>
        </w:rPr>
        <w:footnoteReference w:id="420"/>
      </w:r>
      <w:r w:rsidRPr="008F4F73">
        <w:t xml:space="preserve"> </w:t>
      </w:r>
    </w:p>
    <w:p w:rsidR="00836CDB" w:rsidRDefault="006C49DC" w:rsidP="00836CDB">
      <w:pPr>
        <w:pStyle w:val="Caption"/>
        <w:numPr>
          <w:ilvl w:val="0"/>
          <w:numId w:val="25"/>
        </w:numPr>
      </w:pPr>
      <w:bookmarkStart w:id="229" w:name="_Ref444707385"/>
      <w:r w:rsidRPr="008F4F73">
        <w:lastRenderedPageBreak/>
        <w:t xml:space="preserve">Figure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Figure \* ARABIC \s 1 </w:instrText>
      </w:r>
      <w:r w:rsidR="00AB6D99">
        <w:fldChar w:fldCharType="separate"/>
      </w:r>
      <w:r w:rsidR="00691B4D">
        <w:rPr>
          <w:noProof/>
        </w:rPr>
        <w:t>13</w:t>
      </w:r>
      <w:r w:rsidR="00AB6D99">
        <w:rPr>
          <w:noProof/>
        </w:rPr>
        <w:fldChar w:fldCharType="end"/>
      </w:r>
      <w:bookmarkEnd w:id="229"/>
      <w:r w:rsidRPr="008F4F73">
        <w:tab/>
        <w:t>Equity risk premium estimates from other regulators' decisions</w:t>
      </w:r>
    </w:p>
    <w:p w:rsidR="00836CDB" w:rsidRDefault="006D6248" w:rsidP="00704D98">
      <w:r w:rsidRPr="006D6248">
        <w:rPr>
          <w:noProof/>
          <w:lang w:eastAsia="en-AU"/>
        </w:rPr>
        <w:drawing>
          <wp:inline distT="0" distB="0" distL="0" distR="0" wp14:anchorId="078DE06D" wp14:editId="68E76D0B">
            <wp:extent cx="5382895" cy="3401172"/>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895" cy="3401172"/>
                    </a:xfrm>
                    <a:prstGeom prst="rect">
                      <a:avLst/>
                    </a:prstGeom>
                    <a:noFill/>
                    <a:ln>
                      <a:noFill/>
                    </a:ln>
                  </pic:spPr>
                </pic:pic>
              </a:graphicData>
            </a:graphic>
          </wp:inline>
        </w:drawing>
      </w:r>
    </w:p>
    <w:p w:rsidR="006C49DC" w:rsidRPr="008F4F73" w:rsidRDefault="00121E3A" w:rsidP="00121E3A">
      <w:pPr>
        <w:pStyle w:val="AERtablesource"/>
      </w:pPr>
      <w:r>
        <w:t xml:space="preserve">Source: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 xml:space="preserve">ESCOSA, </w:t>
      </w:r>
      <w:r w:rsidRPr="00DA4F44">
        <w:rPr>
          <w:rStyle w:val="Emphasis"/>
        </w:rPr>
        <w:t>SA Water Regulatory Determination 2016 - Draft Determination: Statement of Reasons</w:t>
      </w:r>
      <w:r w:rsidRPr="00904748">
        <w:t>, February 2016</w:t>
      </w:r>
      <w:r>
        <w:t xml:space="preserve">; </w:t>
      </w:r>
      <w:r w:rsidRPr="00904748">
        <w:t xml:space="preserve">Essential Services Commission of Victoria, </w:t>
      </w:r>
      <w:r w:rsidRPr="00DA4F44">
        <w:rPr>
          <w:rStyle w:val="Emphasis"/>
        </w:rPr>
        <w:t>Goulburn-Murray Water Price Review 2016: Draft decisio</w:t>
      </w:r>
      <w:r w:rsidRPr="00904748">
        <w:t>n, February 2016</w:t>
      </w:r>
      <w:r>
        <w:t xml:space="preserve">; </w:t>
      </w:r>
      <w:r w:rsidRPr="008B7569">
        <w:t xml:space="preserve">Essential Services Commission of Victoria, </w:t>
      </w:r>
      <w:r w:rsidRPr="00DA4F44">
        <w:rPr>
          <w:rStyle w:val="Emphasis"/>
        </w:rPr>
        <w:t>Melbourne Water Price Review 2016: Draft Decision</w:t>
      </w:r>
      <w:r w:rsidRPr="008B7569">
        <w:t>, March 2016</w:t>
      </w:r>
      <w:r>
        <w:t xml:space="preserve">; </w:t>
      </w:r>
      <w:r w:rsidRPr="008B7569">
        <w:t xml:space="preserve">Independent Pricing and Regulatory Tribunal, </w:t>
      </w:r>
      <w:r w:rsidRPr="00DA4F44">
        <w:rPr>
          <w:rStyle w:val="Emphasis"/>
        </w:rPr>
        <w:t>Review of prices for Sydney Water Corporation from 1 July 2016 to 30 June 2020 - Draft report</w:t>
      </w:r>
      <w:r w:rsidRPr="008B7569">
        <w:t>, March 2016</w:t>
      </w:r>
      <w:r>
        <w:t xml:space="preserve">; </w:t>
      </w:r>
      <w:r w:rsidRPr="008B7569">
        <w:t xml:space="preserve">Independent Pricing and Regulatory Tribunal, </w:t>
      </w:r>
      <w:r w:rsidRPr="00DA4F44">
        <w:rPr>
          <w:rStyle w:val="Emphasis"/>
        </w:rPr>
        <w:t>Review of prices for Hunter Water Corporation from 1 July 2016 to 30 June 2020 - Draft report</w:t>
      </w:r>
      <w:r w:rsidRPr="008B7569">
        <w:t>, March 2016</w:t>
      </w:r>
      <w:r>
        <w:t xml:space="preserve">; </w:t>
      </w:r>
      <w:r w:rsidRPr="008B7569">
        <w:t xml:space="preserve">Independent Pricing and Regulatory Tribunal, </w:t>
      </w:r>
      <w:r w:rsidRPr="00DA4F44">
        <w:rPr>
          <w:rStyle w:val="Emphasis"/>
        </w:rPr>
        <w:t>Review of prices for WaterNSW from 1 July 2016 to 30 June 2020 - Draft report</w:t>
      </w:r>
      <w:r w:rsidRPr="008B7569">
        <w:t>, March 2016</w:t>
      </w:r>
      <w:r>
        <w:t xml:space="preserve">; </w:t>
      </w:r>
      <w:r w:rsidRPr="00F37B33">
        <w:t>Australian Competition and Consumer Commission, WaterNSW: Annual review of regulated charges 2016-17 - Draft decision, April 2016</w:t>
      </w:r>
      <w:r>
        <w:t xml:space="preserve">; </w:t>
      </w:r>
      <w:r w:rsidRPr="00F37B33">
        <w:t>Queensland competition authority, Draft decision DBCT Management's 2015 draft access underta</w:t>
      </w:r>
      <w:r>
        <w:t xml:space="preserve">king, 19 April 2016; </w:t>
      </w:r>
      <w:r w:rsidRPr="00F37B33">
        <w:t>Queensland competition authority, Final decision Aurizon Network 2014 Access Undertaking-Volume IV-Maximum a</w:t>
      </w:r>
      <w:r>
        <w:t xml:space="preserve">llowable revenue, 28 April 2016; </w:t>
      </w:r>
      <w:r w:rsidRPr="00F37B33">
        <w:t>IPART, Weighted average cost of capital (WACC) Final report - information paper 10, 10 May 2016</w:t>
      </w:r>
      <w:r>
        <w:t xml:space="preserve">; </w:t>
      </w:r>
      <w:r w:rsidRPr="00F37B33">
        <w:t>Australian Competition and Consumer Commission, WaterNSW: Annual review of regulated charges 2016-17 -Final decision, May 2016</w:t>
      </w:r>
      <w:r>
        <w:t xml:space="preserve">; </w:t>
      </w:r>
      <w:r w:rsidRPr="00F37B33">
        <w:t xml:space="preserve">QCA, Regulated retail electricity prices for 2016-17, </w:t>
      </w:r>
      <w:r w:rsidRPr="00F37B33">
        <w:lastRenderedPageBreak/>
        <w:t>Final determination, 31 May 2016</w:t>
      </w:r>
      <w:r>
        <w:t xml:space="preserve">; </w:t>
      </w:r>
      <w:r w:rsidRPr="00F37B33">
        <w:t>ESCOSA, SA Water Regulatory Determination 2016 Final Decision, June 2016</w:t>
      </w:r>
      <w:r>
        <w:t xml:space="preserve">; </w:t>
      </w:r>
      <w:r w:rsidRPr="00F37B33">
        <w:t>IPART, Review of prices for the Water Administration Ministerial Corporation, 7 June 2016</w:t>
      </w:r>
      <w:r>
        <w:t xml:space="preserve">; </w:t>
      </w:r>
      <w:r w:rsidRPr="00F37B33">
        <w:t>IPART, Review of prices for Sydney Water Corporation, Final Report, 14 June 2016</w:t>
      </w:r>
      <w:r>
        <w:t xml:space="preserve">; </w:t>
      </w:r>
      <w:r w:rsidRPr="00F37B33">
        <w:t>IPART, Review of prices for Hunter Water Corporation, Final Report, 14 June 2016</w:t>
      </w:r>
      <w:r>
        <w:t xml:space="preserve">; </w:t>
      </w:r>
      <w:r w:rsidRPr="00F37B33">
        <w:t>IPART, Review of prices for WaterNSW, Final Report, 14 June 2016</w:t>
      </w:r>
      <w:r>
        <w:t xml:space="preserve">; </w:t>
      </w:r>
      <w:r w:rsidRPr="00F37B33">
        <w:t>ESCV, Goulbourn-Murray Water Price Review 2016, 16 June 2016</w:t>
      </w:r>
      <w:r>
        <w:t xml:space="preserve">; </w:t>
      </w:r>
      <w:r w:rsidRPr="00F37B33">
        <w:t>ESCV, Melbourne Water Price Review 2016 final decision, 16 June 2016</w:t>
      </w:r>
      <w:r>
        <w:t xml:space="preserve">; </w:t>
      </w:r>
      <w:r w:rsidRPr="00F37B33">
        <w:t>QCA, Queensland Rail's Draft Access Undertaking, Decision, 17 June 2016</w:t>
      </w:r>
      <w:r>
        <w:t xml:space="preserve">; </w:t>
      </w:r>
      <w:r w:rsidRPr="00F37B33">
        <w:t>ACCC, Australian Rail Track Corporation's application to vary the 2011 Hunter Valley Access Undertaking - extension of term, 22 June 2016</w:t>
      </w:r>
      <w:r>
        <w:t xml:space="preserve">; </w:t>
      </w:r>
      <w:r w:rsidRPr="00F37B33">
        <w:t>ERA, Final Decision on Proposed Revisions to the Access Arrangement for the Dampier to Bunbury Natural Gas Pipeline 2016 – 2020, Appendix 4 Rate of Return, 30 June 2016</w:t>
      </w:r>
      <w:r>
        <w:t xml:space="preserve">; </w:t>
      </w:r>
      <w:r w:rsidRPr="00F37B33">
        <w:t>ERA, Final Decision on Proposed Revisions to the Access Arrangement for the Goldfields Gas Pipeline, 30 June 2016</w:t>
      </w:r>
      <w:r>
        <w:t xml:space="preserve">; </w:t>
      </w:r>
      <w:r w:rsidRPr="00F37B33">
        <w:t>IPART, Maximum fees and charges for cruise ships in Sydney Harbour Draft decision, 26 July 2016</w:t>
      </w:r>
      <w:r>
        <w:t>.</w:t>
      </w:r>
    </w:p>
    <w:p w:rsidR="006C49DC" w:rsidRPr="008F4F73" w:rsidRDefault="006C49DC" w:rsidP="006C49DC">
      <w:r w:rsidRPr="008F4F73">
        <w:fldChar w:fldCharType="begin"/>
      </w:r>
      <w:r w:rsidRPr="008F4F73">
        <w:instrText xml:space="preserve"> REF _Ref449019545 \h </w:instrText>
      </w:r>
      <w:r w:rsidRPr="008F4F73">
        <w:fldChar w:fldCharType="separate"/>
      </w:r>
      <w:r w:rsidR="00691B4D" w:rsidRPr="008F4F73">
        <w:t xml:space="preserve">Figure </w:t>
      </w:r>
      <w:r w:rsidR="00691B4D">
        <w:rPr>
          <w:noProof/>
        </w:rPr>
        <w:t>3</w:t>
      </w:r>
      <w:r w:rsidR="00691B4D">
        <w:noBreakHyphen/>
      </w:r>
      <w:r w:rsidR="00691B4D">
        <w:rPr>
          <w:noProof/>
        </w:rPr>
        <w:t>14</w:t>
      </w:r>
      <w:r w:rsidRPr="008F4F73">
        <w:fldChar w:fldCharType="end"/>
      </w:r>
      <w:r w:rsidRPr="008F4F73">
        <w:t xml:space="preserve"> shows that our estimate (6.5 per cent) of the market risk premium is consistent with the range of estimates from other regulators over time.</w:t>
      </w:r>
      <w:r w:rsidR="00121E3A">
        <w:t xml:space="preserve"> Directionally, the range of market risk premium estimates from other regulators' decisions appears relatively constant between 6 per cent and 8 per cent.</w:t>
      </w:r>
    </w:p>
    <w:p w:rsidR="006C49DC" w:rsidRDefault="006C49DC" w:rsidP="006C49DC">
      <w:pPr>
        <w:pStyle w:val="Caption"/>
        <w:numPr>
          <w:ilvl w:val="0"/>
          <w:numId w:val="25"/>
        </w:numPr>
      </w:pPr>
      <w:bookmarkStart w:id="230" w:name="_Ref449019545"/>
      <w:r w:rsidRPr="008F4F73">
        <w:t xml:space="preserve">Figure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Figure \* ARABIC \s 1 </w:instrText>
      </w:r>
      <w:r w:rsidR="00AB6D99">
        <w:fldChar w:fldCharType="separate"/>
      </w:r>
      <w:r w:rsidR="00691B4D">
        <w:rPr>
          <w:noProof/>
        </w:rPr>
        <w:t>14</w:t>
      </w:r>
      <w:r w:rsidR="00AB6D99">
        <w:rPr>
          <w:noProof/>
        </w:rPr>
        <w:fldChar w:fldCharType="end"/>
      </w:r>
      <w:bookmarkEnd w:id="230"/>
      <w:r w:rsidRPr="008F4F73">
        <w:tab/>
        <w:t>Market risk premium estimates from other regulators' decisions</w:t>
      </w:r>
    </w:p>
    <w:p w:rsidR="00561AF4" w:rsidRPr="00561AF4" w:rsidRDefault="00DB3C7C" w:rsidP="006C5D58">
      <w:r w:rsidRPr="00DB3C7C">
        <w:rPr>
          <w:noProof/>
          <w:lang w:eastAsia="en-AU"/>
        </w:rPr>
        <w:drawing>
          <wp:inline distT="0" distB="0" distL="0" distR="0" wp14:anchorId="114F28B9" wp14:editId="24DA0000">
            <wp:extent cx="5382895" cy="34017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895" cy="3401793"/>
                    </a:xfrm>
                    <a:prstGeom prst="rect">
                      <a:avLst/>
                    </a:prstGeom>
                    <a:noFill/>
                    <a:ln>
                      <a:noFill/>
                    </a:ln>
                  </pic:spPr>
                </pic:pic>
              </a:graphicData>
            </a:graphic>
          </wp:inline>
        </w:drawing>
      </w:r>
    </w:p>
    <w:p w:rsidR="006C49DC" w:rsidRPr="008F4F73" w:rsidRDefault="00121E3A" w:rsidP="00121E3A">
      <w:pPr>
        <w:pStyle w:val="AERtablesource"/>
      </w:pPr>
      <w:r>
        <w:t>Source:</w:t>
      </w:r>
      <w:r>
        <w:tab/>
        <w:t xml:space="preserve">As per </w:t>
      </w:r>
      <w:r>
        <w:fldChar w:fldCharType="begin"/>
      </w:r>
      <w:r>
        <w:instrText xml:space="preserve"> REF _Ref444707385 \h </w:instrText>
      </w:r>
      <w:r>
        <w:fldChar w:fldCharType="separate"/>
      </w:r>
      <w:r w:rsidR="00691B4D" w:rsidRPr="008F4F73">
        <w:t xml:space="preserve">Figure </w:t>
      </w:r>
      <w:r w:rsidR="00691B4D">
        <w:rPr>
          <w:noProof/>
        </w:rPr>
        <w:t>3</w:t>
      </w:r>
      <w:r w:rsidR="00691B4D">
        <w:noBreakHyphen/>
      </w:r>
      <w:r w:rsidR="00691B4D">
        <w:rPr>
          <w:noProof/>
        </w:rPr>
        <w:t>13</w:t>
      </w:r>
      <w:r>
        <w:fldChar w:fldCharType="end"/>
      </w:r>
      <w:r>
        <w:t>.</w:t>
      </w:r>
    </w:p>
    <w:p w:rsidR="00C16310" w:rsidRPr="00345FC0" w:rsidRDefault="00C16310" w:rsidP="00C16310">
      <w:pPr>
        <w:pStyle w:val="Heading8"/>
      </w:pPr>
      <w:bookmarkStart w:id="231" w:name="_Toc451943814"/>
      <w:bookmarkStart w:id="232" w:name="_Toc457911223"/>
      <w:bookmarkStart w:id="233" w:name="_Ref457920011"/>
      <w:bookmarkStart w:id="234" w:name="_Ref458105194"/>
      <w:bookmarkStart w:id="235" w:name="_Toc461803743"/>
      <w:bookmarkStart w:id="236" w:name="_Toc462754653"/>
      <w:bookmarkEnd w:id="228"/>
      <w:r>
        <w:t>E</w:t>
      </w:r>
      <w:r w:rsidRPr="00345FC0">
        <w:t>mpirical estimates</w:t>
      </w:r>
      <w:bookmarkEnd w:id="231"/>
      <w:r>
        <w:t xml:space="preserve"> of equity beta</w:t>
      </w:r>
      <w:bookmarkEnd w:id="232"/>
      <w:bookmarkEnd w:id="233"/>
      <w:bookmarkEnd w:id="234"/>
      <w:bookmarkEnd w:id="235"/>
      <w:bookmarkEnd w:id="236"/>
    </w:p>
    <w:p w:rsidR="00784B0F" w:rsidRDefault="00784B0F">
      <w:pPr>
        <w:numPr>
          <w:ilvl w:val="0"/>
          <w:numId w:val="25"/>
        </w:numPr>
      </w:pPr>
      <w:r w:rsidRPr="00D42DD7">
        <w:t>Empirical estimates of equity beta are based on regressions that relate the returns on a set of comparator firms to the return on the market.</w:t>
      </w:r>
    </w:p>
    <w:p w:rsidR="00784B0F" w:rsidRDefault="00784B0F" w:rsidP="00784B0F">
      <w:pPr>
        <w:numPr>
          <w:ilvl w:val="0"/>
          <w:numId w:val="25"/>
        </w:numPr>
      </w:pPr>
      <w:r>
        <w:lastRenderedPageBreak/>
        <w:t xml:space="preserve">As discussed in section 3.4.1, empirical estimates using a comparator set of listed Australian energy network firms from Henry's 2014 report are the main determinants of our equity beta estimate. Henry's 2014 report is one of a number of Australian empirical studies. We </w:t>
      </w:r>
      <w:r w:rsidR="00CB37E0">
        <w:t xml:space="preserve">also </w:t>
      </w:r>
      <w:r>
        <w:t xml:space="preserve">have regard to these other Australian empirical studies. </w:t>
      </w:r>
    </w:p>
    <w:p w:rsidR="00CB37E0" w:rsidRPr="00784B0F" w:rsidRDefault="00784B0F" w:rsidP="00CB37E0">
      <w:pPr>
        <w:numPr>
          <w:ilvl w:val="0"/>
          <w:numId w:val="25"/>
        </w:numPr>
        <w:rPr>
          <w:rStyle w:val="AERbody"/>
        </w:rPr>
      </w:pPr>
      <w:r>
        <w:t>We also have regard to empirical estimates</w:t>
      </w:r>
      <w:r w:rsidRPr="00345FC0">
        <w:t xml:space="preserve"> </w:t>
      </w:r>
      <w:r>
        <w:t xml:space="preserve">of equity beta for international energy firms. However, we place only limited reliance on this evidence as we do not consider the international firms are sufficiently comparable to a benchmark efficient entity with a similar degree of risk as </w:t>
      </w:r>
      <w:r w:rsidR="00E54FDB">
        <w:t xml:space="preserve">TasNetworks </w:t>
      </w:r>
      <w:r>
        <w:t xml:space="preserve">in providing regulated services. </w:t>
      </w:r>
    </w:p>
    <w:p w:rsidR="00C16310" w:rsidRPr="00B4711B" w:rsidRDefault="00C16310" w:rsidP="00C16310">
      <w:pPr>
        <w:pStyle w:val="Heading9"/>
      </w:pPr>
      <w:bookmarkStart w:id="237" w:name="_Toc457911224"/>
      <w:bookmarkStart w:id="238" w:name="_Toc461803744"/>
      <w:bookmarkStart w:id="239" w:name="_Toc462754654"/>
      <w:r>
        <w:t>Australian empirical estimates from Henry's 2014 report</w:t>
      </w:r>
      <w:bookmarkEnd w:id="237"/>
      <w:bookmarkEnd w:id="238"/>
      <w:bookmarkEnd w:id="239"/>
    </w:p>
    <w:p w:rsidR="00784B0F" w:rsidRDefault="00784B0F" w:rsidP="00784B0F">
      <w:pPr>
        <w:numPr>
          <w:ilvl w:val="0"/>
          <w:numId w:val="25"/>
        </w:numPr>
      </w:pPr>
      <w:r>
        <w:t>For our Australian empirical analysis we commissioned an expert re</w:t>
      </w:r>
      <w:r w:rsidR="00386139">
        <w:t>port from Professor Olan Henry</w:t>
      </w:r>
      <w:r>
        <w:t>, which provided an update on his 2009 econometric analysis of equity beta.</w:t>
      </w:r>
      <w:r>
        <w:rPr>
          <w:rStyle w:val="FootnoteReference"/>
        </w:rPr>
        <w:footnoteReference w:id="421"/>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422"/>
      </w:r>
    </w:p>
    <w:p w:rsidR="00784B0F" w:rsidRPr="00C01E61" w:rsidRDefault="00784B0F" w:rsidP="00784B0F">
      <w:pPr>
        <w:numPr>
          <w:ilvl w:val="0"/>
          <w:numId w:val="25"/>
        </w:numPr>
      </w:pPr>
      <w:r>
        <w:t xml:space="preserve">Henry's 2014 report presented </w:t>
      </w:r>
      <w:r w:rsidRPr="00C01E61">
        <w:t xml:space="preserve">empirical </w:t>
      </w:r>
      <w:r>
        <w:t>estimates of</w:t>
      </w:r>
      <w:r w:rsidRPr="00C01E61">
        <w:t xml:space="preserve"> equity beta for our comparator set of nine Australian energy network firms,</w:t>
      </w:r>
      <w:r w:rsidR="00386139">
        <w:rPr>
          <w:rStyle w:val="FootnoteReference"/>
        </w:rPr>
        <w:footnoteReference w:id="423"/>
      </w:r>
      <w:r w:rsidRPr="00C01E61">
        <w:t xml:space="preserve"> using </w:t>
      </w:r>
      <w:r>
        <w:t xml:space="preserve">available </w:t>
      </w:r>
      <w:r w:rsidRPr="00C01E61">
        <w:t>data from 29 May 1992 to 28 June 2013.</w:t>
      </w:r>
      <w:r>
        <w:rPr>
          <w:rStyle w:val="FootnoteReference"/>
        </w:rPr>
        <w:footnoteReference w:id="424"/>
      </w:r>
      <w:r w:rsidRPr="00C01E61">
        <w:t xml:space="preserve"> </w:t>
      </w:r>
      <w:r>
        <w:t>Based on our detailed discussion of methodological choices in recent decisions,</w:t>
      </w:r>
      <w:r>
        <w:rPr>
          <w:rStyle w:val="FootnoteReference"/>
        </w:rPr>
        <w:footnoteReference w:id="425"/>
      </w:r>
      <w:r>
        <w:t xml:space="preserve"> w</w:t>
      </w:r>
      <w:r w:rsidRPr="00C01E61">
        <w:t>e consider the most useful empirical estimates:</w:t>
      </w:r>
    </w:p>
    <w:p w:rsidR="00784B0F" w:rsidRPr="00784B0F" w:rsidRDefault="00784B0F" w:rsidP="00784B0F">
      <w:pPr>
        <w:pStyle w:val="AERbulletlistfirststyle"/>
      </w:pPr>
      <w:r>
        <w:t>use the Ordinary Least Squares (OLS)</w:t>
      </w:r>
      <w:r w:rsidRPr="00784B0F">
        <w:t xml:space="preserve"> estimator (with the Least Absolute Deviation (LAD) estimator used as a robustness check for outliers in the underlying data)</w:t>
      </w:r>
    </w:p>
    <w:p w:rsidR="00784B0F" w:rsidRPr="00784B0F" w:rsidRDefault="00784B0F" w:rsidP="00784B0F">
      <w:pPr>
        <w:pStyle w:val="AERbulletlistfirststyle"/>
      </w:pPr>
      <w:r w:rsidRPr="00517D1B">
        <w:t>are measured over multiple estimation periods</w:t>
      </w:r>
      <w:r w:rsidRPr="00784B0F">
        <w:t xml:space="preserve"> </w:t>
      </w:r>
    </w:p>
    <w:p w:rsidR="00784B0F" w:rsidRPr="00784B0F" w:rsidRDefault="00784B0F" w:rsidP="00784B0F">
      <w:pPr>
        <w:pStyle w:val="AERbulletlistfirststyle"/>
      </w:pPr>
      <w:r w:rsidRPr="00517D1B">
        <w:t>use weekly return intervals (with monthly returns used as a robustness check)</w:t>
      </w:r>
    </w:p>
    <w:p w:rsidR="00784B0F" w:rsidRPr="00784B0F" w:rsidRDefault="00784B0F" w:rsidP="00784B0F">
      <w:pPr>
        <w:pStyle w:val="AERbulletlistfirststyle"/>
      </w:pPr>
      <w:r>
        <w:t>use the Brealey–Myers formula</w:t>
      </w:r>
      <w:r w:rsidRPr="00784B0F">
        <w:t xml:space="preserve"> to de- and re-lever raw</w:t>
      </w:r>
      <w:r w:rsidRPr="00784B0F">
        <w:rPr>
          <w:rStyle w:val="FootnoteReference"/>
        </w:rPr>
        <w:footnoteReference w:id="426"/>
      </w:r>
      <w:r w:rsidRPr="00784B0F">
        <w:t xml:space="preserve"> estimates to a benchmark gearing of 60 per cent, although we consider both raw and re-levered estimates </w:t>
      </w:r>
    </w:p>
    <w:p w:rsidR="00784B0F" w:rsidRPr="00784B0F" w:rsidRDefault="00784B0F" w:rsidP="00784B0F">
      <w:pPr>
        <w:pStyle w:val="AERbulletlistfirststyle"/>
      </w:pPr>
      <w:r w:rsidRPr="00517D1B">
        <w:t>are based on averages of individual firm estimates and fixed weight portfolios (equal weighting and value weighting)</w:t>
      </w:r>
    </w:p>
    <w:p w:rsidR="00784B0F" w:rsidRPr="00784B0F" w:rsidRDefault="00784B0F" w:rsidP="00784B0F">
      <w:pPr>
        <w:pStyle w:val="AERbulletlistfirststyle"/>
      </w:pPr>
      <w:r w:rsidRPr="00517D1B">
        <w:t>do not apply a Blume or Vasicek adjustment</w:t>
      </w:r>
      <w:r w:rsidRPr="00784B0F">
        <w:t>.</w:t>
      </w:r>
      <w:r w:rsidRPr="00784B0F">
        <w:rPr>
          <w:rStyle w:val="FootnoteReference"/>
        </w:rPr>
        <w:footnoteReference w:id="427"/>
      </w:r>
    </w:p>
    <w:p w:rsidR="00784B0F" w:rsidRPr="00D70AB3" w:rsidRDefault="00784B0F" w:rsidP="00784B0F">
      <w:pPr>
        <w:numPr>
          <w:ilvl w:val="0"/>
          <w:numId w:val="25"/>
        </w:numPr>
      </w:pPr>
      <w:r>
        <w:lastRenderedPageBreak/>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691B4D">
        <w:t xml:space="preserve">Table </w:t>
      </w:r>
      <w:r w:rsidR="00691B4D">
        <w:rPr>
          <w:noProof/>
        </w:rPr>
        <w:t>3</w:t>
      </w:r>
      <w:r w:rsidR="00691B4D">
        <w:noBreakHyphen/>
      </w:r>
      <w:r w:rsidR="00691B4D">
        <w:rPr>
          <w:noProof/>
        </w:rPr>
        <w:t>22</w:t>
      </w:r>
      <w:r>
        <w:fldChar w:fldCharType="end"/>
      </w:r>
      <w:r>
        <w:t xml:space="preserve"> and </w:t>
      </w:r>
      <w:r>
        <w:fldChar w:fldCharType="begin"/>
      </w:r>
      <w:r>
        <w:instrText xml:space="preserve"> REF  _Ref446197176 \* Lower \h </w:instrText>
      </w:r>
      <w:r>
        <w:fldChar w:fldCharType="separate"/>
      </w:r>
      <w:r w:rsidR="00691B4D">
        <w:t xml:space="preserve">table </w:t>
      </w:r>
      <w:r w:rsidR="00691B4D">
        <w:rPr>
          <w:noProof/>
        </w:rPr>
        <w:t>3</w:t>
      </w:r>
      <w:r w:rsidR="00691B4D">
        <w:noBreakHyphen/>
      </w:r>
      <w:r w:rsidR="00691B4D">
        <w:rPr>
          <w:noProof/>
        </w:rPr>
        <w:t>23</w:t>
      </w:r>
      <w:r>
        <w:fldChar w:fldCharType="end"/>
      </w:r>
      <w:r>
        <w:t xml:space="preserve"> set out </w:t>
      </w:r>
      <w:r w:rsidRPr="00D70AB3">
        <w:t>Henry's re-levered OLS equity beta estimates for the individual comparator firms (averaged across firms) and fixed weight portfolios respectively. The results show that:</w:t>
      </w:r>
    </w:p>
    <w:p w:rsidR="00784B0F" w:rsidRPr="00784B0F" w:rsidRDefault="00784B0F" w:rsidP="00784B0F">
      <w:pPr>
        <w:pStyle w:val="AERbulletlistfirststyle"/>
      </w:pPr>
      <w:r>
        <w:t>The re-levered individual firm estimates (averaged across firms) range from 0.46 to 0.56. The corresponding raw (that is, observed market gearing level) estimates range from 0.48 to 0.50.</w:t>
      </w:r>
      <w:r w:rsidRPr="00784B0F">
        <w:rPr>
          <w:rStyle w:val="FootnoteReference"/>
        </w:rPr>
        <w:footnoteReference w:id="428"/>
      </w:r>
      <w:r w:rsidRPr="00784B0F">
        <w:t xml:space="preserve"> </w:t>
      </w:r>
    </w:p>
    <w:p w:rsidR="00784B0F" w:rsidRPr="00784B0F" w:rsidRDefault="00784B0F" w:rsidP="00784B0F">
      <w:pPr>
        <w:pStyle w:val="AERbulletlistfirststyle"/>
      </w:pPr>
      <w:r>
        <w:t>The re-levered fixed weight portfolio estimates range from 0.39 to 0.70.</w:t>
      </w:r>
      <w:r w:rsidRPr="00784B0F">
        <w:t xml:space="preserve"> The corresponding raw estimates range from 0.42 to 0.58.</w:t>
      </w:r>
      <w:r w:rsidRPr="00784B0F">
        <w:rPr>
          <w:rStyle w:val="FootnoteReference"/>
        </w:rPr>
        <w:footnoteReference w:id="429"/>
      </w:r>
    </w:p>
    <w:p w:rsidR="00784B0F" w:rsidRDefault="00784B0F" w:rsidP="00784B0F">
      <w:pPr>
        <w:pStyle w:val="Caption"/>
      </w:pPr>
      <w:bookmarkStart w:id="240" w:name="_Ref446197185"/>
      <w:r>
        <w:t xml:space="preserve">Table </w:t>
      </w:r>
      <w:r w:rsidRPr="00AC3F76">
        <w:fldChar w:fldCharType="begin"/>
      </w:r>
      <w:r>
        <w:instrText xml:space="preserve"> STYLEREF 1 \s </w:instrText>
      </w:r>
      <w:r w:rsidRPr="00AC3F76">
        <w:fldChar w:fldCharType="separate"/>
      </w:r>
      <w:r w:rsidR="00691B4D">
        <w:rPr>
          <w:noProof/>
        </w:rPr>
        <w:t>3</w:t>
      </w:r>
      <w:r w:rsidRPr="00AC3F76">
        <w:fldChar w:fldCharType="end"/>
      </w:r>
      <w:r>
        <w:noBreakHyphen/>
      </w:r>
      <w:r w:rsidRPr="00AC3F76">
        <w:fldChar w:fldCharType="begin"/>
      </w:r>
      <w:r>
        <w:instrText xml:space="preserve"> SEQ Table \* ARABIC \s 1 </w:instrText>
      </w:r>
      <w:r w:rsidRPr="00AC3F76">
        <w:fldChar w:fldCharType="separate"/>
      </w:r>
      <w:r w:rsidR="00691B4D">
        <w:rPr>
          <w:noProof/>
        </w:rPr>
        <w:t>22</w:t>
      </w:r>
      <w:r w:rsidRPr="00AC3F76">
        <w:fldChar w:fldCharType="end"/>
      </w:r>
      <w:bookmarkEnd w:id="240"/>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784B0F" w:rsidTr="0042654C">
        <w:trPr>
          <w:cnfStyle w:val="100000000000" w:firstRow="1" w:lastRow="0" w:firstColumn="0" w:lastColumn="0" w:oddVBand="0" w:evenVBand="0" w:oddHBand="0" w:evenHBand="0" w:firstRowFirstColumn="0" w:firstRowLastColumn="0" w:lastRowFirstColumn="0" w:lastRowLastColumn="0"/>
        </w:trPr>
        <w:tc>
          <w:tcPr>
            <w:tcW w:w="2093" w:type="dxa"/>
          </w:tcPr>
          <w:p w:rsidR="00784B0F" w:rsidRPr="00784B0F" w:rsidRDefault="00784B0F" w:rsidP="00784B0F">
            <w:r>
              <w:t>Issue</w:t>
            </w:r>
          </w:p>
        </w:tc>
        <w:tc>
          <w:tcPr>
            <w:tcW w:w="2360" w:type="dxa"/>
          </w:tcPr>
          <w:p w:rsidR="00784B0F" w:rsidRPr="00784B0F" w:rsidRDefault="00784B0F" w:rsidP="00C65DA1">
            <w:r>
              <w:t>Longest available period</w:t>
            </w:r>
          </w:p>
        </w:tc>
        <w:tc>
          <w:tcPr>
            <w:tcW w:w="2459" w:type="dxa"/>
          </w:tcPr>
          <w:p w:rsidR="00784B0F" w:rsidRPr="00784B0F" w:rsidRDefault="00784B0F" w:rsidP="00C42CB5">
            <w:r>
              <w:t>2002 to 2013 (excluding GFC)</w:t>
            </w:r>
          </w:p>
        </w:tc>
        <w:tc>
          <w:tcPr>
            <w:tcW w:w="1781" w:type="dxa"/>
          </w:tcPr>
          <w:p w:rsidR="00784B0F" w:rsidRPr="00784B0F" w:rsidRDefault="00784B0F">
            <w:r>
              <w:t xml:space="preserve">Last five years </w:t>
            </w:r>
            <w:r w:rsidRPr="00784B0F">
              <w:rPr>
                <w:rStyle w:val="FootnoteReference"/>
              </w:rPr>
              <w:t>(a)</w:t>
            </w:r>
          </w:p>
        </w:tc>
      </w:tr>
      <w:tr w:rsidR="00784B0F" w:rsidTr="0042654C">
        <w:tc>
          <w:tcPr>
            <w:tcW w:w="2093" w:type="dxa"/>
          </w:tcPr>
          <w:p w:rsidR="00784B0F" w:rsidRPr="00784B0F" w:rsidRDefault="00784B0F" w:rsidP="00784B0F">
            <w:r>
              <w:t>Re-levered OLS estimates</w:t>
            </w:r>
          </w:p>
        </w:tc>
        <w:tc>
          <w:tcPr>
            <w:tcW w:w="2360" w:type="dxa"/>
          </w:tcPr>
          <w:p w:rsidR="00784B0F" w:rsidRPr="00784B0F" w:rsidRDefault="00784B0F" w:rsidP="00C65DA1">
            <w:r>
              <w:t>0.52</w:t>
            </w:r>
          </w:p>
        </w:tc>
        <w:tc>
          <w:tcPr>
            <w:tcW w:w="2459" w:type="dxa"/>
          </w:tcPr>
          <w:p w:rsidR="00784B0F" w:rsidRPr="00784B0F" w:rsidRDefault="00784B0F" w:rsidP="00C42CB5">
            <w:r>
              <w:t>0.56</w:t>
            </w:r>
          </w:p>
        </w:tc>
        <w:tc>
          <w:tcPr>
            <w:tcW w:w="1781" w:type="dxa"/>
          </w:tcPr>
          <w:p w:rsidR="00784B0F" w:rsidRPr="00784B0F" w:rsidRDefault="00784B0F">
            <w:r>
              <w:t>0.46</w:t>
            </w:r>
          </w:p>
        </w:tc>
      </w:tr>
    </w:tbl>
    <w:p w:rsidR="00784B0F" w:rsidRPr="00784B0F" w:rsidRDefault="00784B0F" w:rsidP="00784B0F">
      <w:pPr>
        <w:pStyle w:val="AERtablesource"/>
      </w:pPr>
      <w:r w:rsidRPr="00C01E61">
        <w:t>Source:</w:t>
      </w:r>
      <w:r w:rsidRPr="00C01E61">
        <w:tab/>
      </w:r>
      <w:r w:rsidRPr="00784B0F">
        <w:t xml:space="preserve">AER analysis; Henry, </w:t>
      </w:r>
      <w:r w:rsidRPr="00784B0F">
        <w:rPr>
          <w:rStyle w:val="AERtextitalic"/>
        </w:rPr>
        <w:t>Estimating β: An update</w:t>
      </w:r>
      <w:r w:rsidRPr="00784B0F">
        <w:t>, April 2014.</w:t>
      </w:r>
    </w:p>
    <w:p w:rsidR="00784B0F" w:rsidRPr="00784B0F" w:rsidRDefault="00784B0F" w:rsidP="00784B0F">
      <w:pPr>
        <w:pStyle w:val="AERtablesource"/>
      </w:pPr>
      <w:r w:rsidRPr="00C01E61">
        <w:t>(</w:t>
      </w:r>
      <w:r w:rsidRPr="00784B0F">
        <w:t>a)</w:t>
      </w:r>
      <w:r w:rsidRPr="00784B0F">
        <w:tab/>
        <w:t xml:space="preserve">AAN, AGL and GAS were not used for this estimation period because Henry only uses data up to 2006 or 2007 for these firms. See: Henry, </w:t>
      </w:r>
      <w:r w:rsidRPr="00784B0F">
        <w:rPr>
          <w:rStyle w:val="AERtextitalic"/>
        </w:rPr>
        <w:t>Estimating β: An update</w:t>
      </w:r>
      <w:r w:rsidRPr="00784B0F">
        <w:t>, April 2014, p. 17.</w:t>
      </w:r>
    </w:p>
    <w:p w:rsidR="00784B0F" w:rsidRDefault="00784B0F" w:rsidP="00784B0F">
      <w:pPr>
        <w:pStyle w:val="Caption"/>
      </w:pPr>
      <w:bookmarkStart w:id="241" w:name="_Ref446197176"/>
      <w:r>
        <w:t xml:space="preserve">Table </w:t>
      </w:r>
      <w:r w:rsidRPr="00AC3F76">
        <w:fldChar w:fldCharType="begin"/>
      </w:r>
      <w:r>
        <w:instrText xml:space="preserve"> STYLEREF 1 \s </w:instrText>
      </w:r>
      <w:r w:rsidRPr="00AC3F76">
        <w:fldChar w:fldCharType="separate"/>
      </w:r>
      <w:r w:rsidR="00691B4D">
        <w:rPr>
          <w:noProof/>
        </w:rPr>
        <w:t>3</w:t>
      </w:r>
      <w:r w:rsidRPr="00AC3F76">
        <w:fldChar w:fldCharType="end"/>
      </w:r>
      <w:r>
        <w:noBreakHyphen/>
      </w:r>
      <w:r w:rsidRPr="00AC3F76">
        <w:fldChar w:fldCharType="begin"/>
      </w:r>
      <w:r>
        <w:instrText xml:space="preserve"> SEQ Table \* ARABIC \s 1 </w:instrText>
      </w:r>
      <w:r w:rsidRPr="00AC3F76">
        <w:fldChar w:fldCharType="separate"/>
      </w:r>
      <w:r w:rsidR="00691B4D">
        <w:rPr>
          <w:noProof/>
        </w:rPr>
        <w:t>23</w:t>
      </w:r>
      <w:r w:rsidRPr="00AC3F76">
        <w:fldChar w:fldCharType="end"/>
      </w:r>
      <w:bookmarkEnd w:id="241"/>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784B0F" w:rsidTr="004265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9279A1" w:rsidRDefault="00784B0F" w:rsidP="00784B0F"/>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784B0F" w:rsidRPr="00784B0F" w:rsidRDefault="00784B0F" w:rsidP="00784B0F">
            <w:pPr>
              <w:cnfStyle w:val="100000000000" w:firstRow="1" w:lastRow="0" w:firstColumn="0" w:lastColumn="0" w:oddVBand="0" w:evenVBand="0" w:oddHBand="0" w:evenHBand="0" w:firstRowFirstColumn="0" w:firstRowLastColumn="0" w:lastRowFirstColumn="0" w:lastRowLastColumn="0"/>
            </w:pPr>
            <w:r>
              <w:t>P5</w:t>
            </w: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t>Firms</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784B0F" w:rsidRPr="00784B0F" w:rsidRDefault="00784B0F" w:rsidP="00386139">
            <w:pPr>
              <w:cnfStyle w:val="000000000000" w:firstRow="0" w:lastRow="0" w:firstColumn="0" w:lastColumn="0" w:oddVBand="0" w:evenVBand="0" w:oddHBand="0" w:evenHBand="0" w:firstRowFirstColumn="0" w:firstRowLastColumn="0" w:lastRowFirstColumn="0" w:lastRowLastColumn="0"/>
            </w:pPr>
            <w:r>
              <w:t>AAN, AG</w:t>
            </w:r>
            <w:r w:rsidR="00386139">
              <w:t>K</w:t>
            </w:r>
            <w:r>
              <w:t>, APA, ENV, GAS</w:t>
            </w:r>
          </w:p>
        </w:tc>
        <w:tc>
          <w:tcPr>
            <w:tcW w:w="1320" w:type="dxa"/>
          </w:tcPr>
          <w:p w:rsidR="00784B0F" w:rsidRPr="00784B0F" w:rsidRDefault="00784B0F" w:rsidP="00386139">
            <w:pPr>
              <w:cnfStyle w:val="000000000000" w:firstRow="0" w:lastRow="0" w:firstColumn="0" w:lastColumn="0" w:oddVBand="0" w:evenVBand="0" w:oddHBand="0" w:evenHBand="0" w:firstRowFirstColumn="0" w:firstRowLastColumn="0" w:lastRowFirstColumn="0" w:lastRowLastColumn="0"/>
            </w:pPr>
            <w:r>
              <w:t xml:space="preserve">APA, DUE, ENV, HDF, </w:t>
            </w:r>
            <w:r w:rsidR="00386139">
              <w:t>AST</w:t>
            </w:r>
          </w:p>
        </w:tc>
        <w:tc>
          <w:tcPr>
            <w:tcW w:w="1320" w:type="dxa"/>
          </w:tcPr>
          <w:p w:rsidR="00784B0F" w:rsidRPr="00784B0F" w:rsidRDefault="00784B0F" w:rsidP="00386139">
            <w:pPr>
              <w:cnfStyle w:val="000000000000" w:firstRow="0" w:lastRow="0" w:firstColumn="0" w:lastColumn="0" w:oddVBand="0" w:evenVBand="0" w:oddHBand="0" w:evenHBand="0" w:firstRowFirstColumn="0" w:firstRowLastColumn="0" w:lastRowFirstColumn="0" w:lastRowLastColumn="0"/>
            </w:pPr>
            <w:r>
              <w:t xml:space="preserve">APA, DUE, ENV, HDF, SKI, </w:t>
            </w:r>
            <w:r w:rsidR="00386139">
              <w:t>AST</w:t>
            </w:r>
          </w:p>
        </w:tc>
        <w:tc>
          <w:tcPr>
            <w:tcW w:w="1320" w:type="dxa"/>
          </w:tcPr>
          <w:p w:rsidR="00784B0F" w:rsidRPr="00784B0F" w:rsidRDefault="00784B0F" w:rsidP="00386139">
            <w:pPr>
              <w:cnfStyle w:val="000000000000" w:firstRow="0" w:lastRow="0" w:firstColumn="0" w:lastColumn="0" w:oddVBand="0" w:evenVBand="0" w:oddHBand="0" w:evenHBand="0" w:firstRowFirstColumn="0" w:firstRowLastColumn="0" w:lastRowFirstColumn="0" w:lastRowLastColumn="0"/>
            </w:pPr>
            <w:r>
              <w:t xml:space="preserve">APA, DUE, ENV, SKI, </w:t>
            </w:r>
            <w:r w:rsidR="00386139">
              <w:t>AST</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pPr>
              <w:rPr>
                <w:rStyle w:val="AERtextitalic"/>
              </w:rPr>
            </w:pPr>
            <w:r w:rsidRPr="00514842">
              <w:rPr>
                <w:rStyle w:val="AERtextitalic"/>
              </w:rPr>
              <w:t>Equal weighted</w:t>
            </w: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c>
          <w:tcPr>
            <w:tcW w:w="1320" w:type="dxa"/>
          </w:tcPr>
          <w:p w:rsidR="00784B0F" w:rsidRPr="009279A1" w:rsidRDefault="00784B0F" w:rsidP="00784B0F">
            <w:pPr>
              <w:cnfStyle w:val="000000010000" w:firstRow="0" w:lastRow="0" w:firstColumn="0" w:lastColumn="0" w:oddVBand="0" w:evenVBand="0" w:oddHBand="0" w:evenHBand="1" w:firstRowFirstColumn="0" w:firstRowLastColumn="0" w:lastRowFirstColumn="0" w:lastRowLastColumn="0"/>
            </w:pP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rsidRPr="00D20501">
              <w:t xml:space="preserve">Longest available </w:t>
            </w:r>
            <w:r w:rsidRPr="00784B0F">
              <w:t>period</w:t>
            </w:r>
            <w:r w:rsidRPr="00784B0F">
              <w:rPr>
                <w:rStyle w:val="AERsuperscript"/>
              </w:rPr>
              <w:t>(a)</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0.39</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t>Longest peri</w:t>
            </w:r>
            <w:r w:rsidRPr="00784B0F">
              <w:t>od available (excl. tech boom &amp; GFC)</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0.45</w:t>
            </w: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pPr>
              <w:rPr>
                <w:rStyle w:val="AERtextitalic"/>
              </w:rPr>
            </w:pPr>
            <w:r w:rsidRPr="00514842">
              <w:rPr>
                <w:rStyle w:val="AERtextitalic"/>
              </w:rPr>
              <w:t>Value weighted</w:t>
            </w: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c>
          <w:tcPr>
            <w:tcW w:w="1320" w:type="dxa"/>
          </w:tcPr>
          <w:p w:rsidR="00784B0F" w:rsidRPr="009279A1" w:rsidRDefault="00784B0F" w:rsidP="00784B0F">
            <w:pPr>
              <w:cnfStyle w:val="000000000000" w:firstRow="0" w:lastRow="0" w:firstColumn="0" w:lastColumn="0" w:oddVBand="0" w:evenVBand="0" w:oddHBand="0" w:evenHBand="0" w:firstRowFirstColumn="0" w:firstRowLastColumn="0" w:lastRowFirstColumn="0" w:lastRowLastColumn="0"/>
            </w:pPr>
          </w:p>
        </w:tc>
      </w:tr>
      <w:tr w:rsidR="00784B0F" w:rsidTr="004265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rsidRPr="00D20501">
              <w:t>Longest available period</w:t>
            </w:r>
            <w:r w:rsidRPr="00784B0F">
              <w:rPr>
                <w:rStyle w:val="AERsuperscript"/>
              </w:rPr>
              <w:t>(a)</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784B0F" w:rsidRPr="00784B0F" w:rsidRDefault="00784B0F" w:rsidP="00784B0F">
            <w:pPr>
              <w:cnfStyle w:val="000000010000" w:firstRow="0" w:lastRow="0" w:firstColumn="0" w:lastColumn="0" w:oddVBand="0" w:evenVBand="0" w:oddHBand="0" w:evenHBand="1" w:firstRowFirstColumn="0" w:firstRowLastColumn="0" w:lastRowFirstColumn="0" w:lastRowLastColumn="0"/>
            </w:pPr>
            <w:r>
              <w:t>0.39</w:t>
            </w:r>
          </w:p>
        </w:tc>
      </w:tr>
      <w:tr w:rsidR="00784B0F" w:rsidTr="0042654C">
        <w:tc>
          <w:tcPr>
            <w:cnfStyle w:val="001000000000" w:firstRow="0" w:lastRow="0" w:firstColumn="1" w:lastColumn="0" w:oddVBand="0" w:evenVBand="0" w:oddHBand="0" w:evenHBand="0" w:firstRowFirstColumn="0" w:firstRowLastColumn="0" w:lastRowFirstColumn="0" w:lastRowLastColumn="0"/>
            <w:tcW w:w="2093" w:type="dxa"/>
          </w:tcPr>
          <w:p w:rsidR="00784B0F" w:rsidRPr="00784B0F" w:rsidRDefault="00784B0F" w:rsidP="00784B0F">
            <w:r>
              <w:t>Longest peri</w:t>
            </w:r>
            <w:r w:rsidRPr="00784B0F">
              <w:t>od available (excl. tech boom &amp; GFC)</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784B0F" w:rsidRPr="00784B0F" w:rsidRDefault="00784B0F" w:rsidP="00784B0F">
            <w:pPr>
              <w:cnfStyle w:val="000000000000" w:firstRow="0" w:lastRow="0" w:firstColumn="0" w:lastColumn="0" w:oddVBand="0" w:evenVBand="0" w:oddHBand="0" w:evenHBand="0" w:firstRowFirstColumn="0" w:firstRowLastColumn="0" w:lastRowFirstColumn="0" w:lastRowLastColumn="0"/>
            </w:pPr>
            <w:r>
              <w:t>0.48</w:t>
            </w:r>
          </w:p>
        </w:tc>
      </w:tr>
    </w:tbl>
    <w:p w:rsidR="00784B0F" w:rsidRPr="00C01E61" w:rsidRDefault="00784B0F" w:rsidP="00784B0F">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784B0F" w:rsidRPr="006460A6" w:rsidRDefault="00784B0F" w:rsidP="00784B0F">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w:t>
      </w:r>
      <w:r w:rsidRPr="006460A6">
        <w:lastRenderedPageBreak/>
        <w:t xml:space="preserve">estimates for reasons discussed </w:t>
      </w:r>
      <w:r>
        <w:t>in</w:t>
      </w:r>
      <w:r w:rsidRPr="006460A6">
        <w:t xml:space="preserve"> section</w:t>
      </w:r>
      <w:r>
        <w:t xml:space="preserve"> D.2.2 of Attachment 3 to our draft and final decisions in October and November 2015</w:t>
      </w:r>
      <w:r w:rsidRPr="006460A6">
        <w:t>.</w:t>
      </w:r>
    </w:p>
    <w:p w:rsidR="00784B0F" w:rsidRPr="006460A6" w:rsidRDefault="00784B0F" w:rsidP="00784B0F">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784B0F" w:rsidRDefault="00784B0F" w:rsidP="00784B0F">
      <w:pPr>
        <w:numPr>
          <w:ilvl w:val="0"/>
          <w:numId w:val="25"/>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430"/>
      </w:r>
      <w:r>
        <w:t xml:space="preserve"> The results are as follows:</w:t>
      </w:r>
      <w:r>
        <w:rPr>
          <w:rStyle w:val="FootnoteReference"/>
        </w:rPr>
        <w:footnoteReference w:id="431"/>
      </w:r>
    </w:p>
    <w:p w:rsidR="00784B0F" w:rsidRPr="00784B0F" w:rsidRDefault="00784B0F" w:rsidP="00784B0F">
      <w:pPr>
        <w:pStyle w:val="AERbulletlistfirststyle"/>
      </w:pPr>
      <w:r w:rsidRPr="00CA72A5">
        <w:t>the re-levered LAD estimates range from 0.38 to 0.58 and the raw LAD estimates range from 0.31 to 0.60.</w:t>
      </w:r>
      <w:r w:rsidRPr="00784B0F">
        <w:rPr>
          <w:rStyle w:val="FootnoteReference"/>
        </w:rPr>
        <w:footnoteReference w:id="432"/>
      </w:r>
    </w:p>
    <w:p w:rsidR="00784B0F" w:rsidRPr="00784B0F" w:rsidRDefault="00784B0F" w:rsidP="00784B0F">
      <w:pPr>
        <w:pStyle w:val="AERbulletlistfirststyle"/>
      </w:pPr>
      <w:r w:rsidRPr="00CA72A5">
        <w:t>the OLS estimates using monthly return intervals range from 0.37 to 0.58.</w:t>
      </w:r>
      <w:r w:rsidRPr="00784B0F">
        <w:rPr>
          <w:rStyle w:val="FootnoteReference"/>
        </w:rPr>
        <w:footnoteReference w:id="433"/>
      </w:r>
      <w:r w:rsidRPr="00784B0F">
        <w:t xml:space="preserve"> </w:t>
      </w:r>
    </w:p>
    <w:p w:rsidR="00784B0F" w:rsidRDefault="00784B0F" w:rsidP="00784B0F">
      <w:pPr>
        <w:numPr>
          <w:ilvl w:val="0"/>
          <w:numId w:val="25"/>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434"/>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435"/>
      </w:r>
    </w:p>
    <w:p w:rsidR="00784B0F" w:rsidRDefault="00784B0F" w:rsidP="00784B0F">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784B0F" w:rsidRDefault="00784B0F" w:rsidP="00784B0F">
      <w:pPr>
        <w:numPr>
          <w:ilvl w:val="0"/>
          <w:numId w:val="25"/>
        </w:numPr>
      </w:pPr>
      <w:r>
        <w:lastRenderedPageBreak/>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691B4D">
        <w:t xml:space="preserve">figure </w:t>
      </w:r>
      <w:r w:rsidR="00691B4D">
        <w:rPr>
          <w:noProof/>
        </w:rPr>
        <w:t>3</w:t>
      </w:r>
      <w:r w:rsidR="00691B4D">
        <w:noBreakHyphen/>
      </w:r>
      <w:r w:rsidR="00691B4D">
        <w:rPr>
          <w:noProof/>
        </w:rPr>
        <w:t>15</w:t>
      </w:r>
      <w:r>
        <w:fldChar w:fldCharType="end"/>
      </w:r>
      <w:r>
        <w:t>.</w:t>
      </w:r>
    </w:p>
    <w:p w:rsidR="00784B0F" w:rsidRDefault="00784B0F" w:rsidP="00784B0F">
      <w:pPr>
        <w:pStyle w:val="Caption"/>
      </w:pPr>
      <w:bookmarkStart w:id="242" w:name="_Ref446243940"/>
      <w:r>
        <w:t xml:space="preserve">Figure </w:t>
      </w:r>
      <w:r w:rsidRPr="00784B0F">
        <w:fldChar w:fldCharType="begin"/>
      </w:r>
      <w:r>
        <w:instrText xml:space="preserve"> STYLEREF 1 \s </w:instrText>
      </w:r>
      <w:r w:rsidRPr="00784B0F">
        <w:fldChar w:fldCharType="separate"/>
      </w:r>
      <w:r w:rsidR="00691B4D">
        <w:rPr>
          <w:noProof/>
        </w:rPr>
        <w:t>3</w:t>
      </w:r>
      <w:r w:rsidRPr="00784B0F">
        <w:fldChar w:fldCharType="end"/>
      </w:r>
      <w:r>
        <w:noBreakHyphen/>
      </w:r>
      <w:r w:rsidRPr="00784B0F">
        <w:fldChar w:fldCharType="begin"/>
      </w:r>
      <w:r>
        <w:instrText xml:space="preserve"> SEQ Figure \* ARABIC \s 1 </w:instrText>
      </w:r>
      <w:r w:rsidRPr="00784B0F">
        <w:fldChar w:fldCharType="separate"/>
      </w:r>
      <w:r w:rsidR="00691B4D">
        <w:rPr>
          <w:noProof/>
        </w:rPr>
        <w:t>15</w:t>
      </w:r>
      <w:r w:rsidRPr="00784B0F">
        <w:fldChar w:fldCharType="end"/>
      </w:r>
      <w:bookmarkEnd w:id="242"/>
      <w:r>
        <w:tab/>
        <w:t>Equity beta estimates from Henry's 2014 report (average of individual firm estimates and fixed weight portfolio estimates)</w:t>
      </w:r>
    </w:p>
    <w:p w:rsidR="00784B0F" w:rsidRDefault="00A174B8" w:rsidP="00784B0F">
      <w:pPr>
        <w:numPr>
          <w:ilvl w:val="0"/>
          <w:numId w:val="25"/>
        </w:numPr>
      </w:pPr>
      <w:r>
        <w:rPr>
          <w:noProof/>
          <w:lang w:eastAsia="en-AU"/>
        </w:rPr>
        <w:drawing>
          <wp:inline distT="0" distB="0" distL="0" distR="0" wp14:anchorId="5A3EBBB7" wp14:editId="33B452C4">
            <wp:extent cx="5473700" cy="3289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3700" cy="3289300"/>
                    </a:xfrm>
                    <a:prstGeom prst="rect">
                      <a:avLst/>
                    </a:prstGeom>
                    <a:noFill/>
                    <a:ln>
                      <a:noFill/>
                    </a:ln>
                  </pic:spPr>
                </pic:pic>
              </a:graphicData>
            </a:graphic>
          </wp:inline>
        </w:drawing>
      </w:r>
    </w:p>
    <w:p w:rsidR="00784B0F" w:rsidRPr="00812C81" w:rsidRDefault="00784B0F" w:rsidP="00784B0F">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784B0F" w:rsidRDefault="00784B0F" w:rsidP="00784B0F">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16310" w:rsidRPr="00B4711B" w:rsidRDefault="00C16310" w:rsidP="00C16310">
      <w:pPr>
        <w:pStyle w:val="Heading9"/>
      </w:pPr>
      <w:bookmarkStart w:id="243" w:name="_Toc457911225"/>
      <w:bookmarkStart w:id="244" w:name="_Toc461803745"/>
      <w:bookmarkStart w:id="245" w:name="_Toc462754655"/>
      <w:r>
        <w:t>Australian empirical estimates from other studies</w:t>
      </w:r>
      <w:bookmarkEnd w:id="243"/>
      <w:bookmarkEnd w:id="244"/>
      <w:bookmarkEnd w:id="245"/>
    </w:p>
    <w:p w:rsidR="00784B0F" w:rsidRDefault="00784B0F" w:rsidP="00784B0F">
      <w:pPr>
        <w:numPr>
          <w:ilvl w:val="0"/>
          <w:numId w:val="25"/>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691B4D">
        <w:t xml:space="preserve">table </w:t>
      </w:r>
      <w:r w:rsidR="00691B4D">
        <w:rPr>
          <w:noProof/>
        </w:rPr>
        <w:t>3</w:t>
      </w:r>
      <w:r w:rsidR="00691B4D">
        <w:noBreakHyphen/>
      </w:r>
      <w:r w:rsidR="00691B4D">
        <w:rPr>
          <w:noProof/>
        </w:rPr>
        <w:t>24</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436"/>
      </w:r>
      <w:r>
        <w:t xml:space="preserve"> Nonetheless, the empirical </w:t>
      </w:r>
      <w:r>
        <w:lastRenderedPageBreak/>
        <w:t>estimates presented give us confidence that there is an extensive pattern of support for an empirical equity beta within a range of 0.4 to 0.7.</w:t>
      </w:r>
    </w:p>
    <w:p w:rsidR="00784B0F" w:rsidRDefault="00784B0F" w:rsidP="00784B0F">
      <w:pPr>
        <w:pStyle w:val="Caption"/>
      </w:pPr>
      <w:bookmarkStart w:id="246" w:name="_Ref446197667"/>
      <w:r>
        <w:t xml:space="preserve">Table </w:t>
      </w:r>
      <w:r w:rsidRPr="00AC3F76">
        <w:fldChar w:fldCharType="begin"/>
      </w:r>
      <w:r>
        <w:instrText xml:space="preserve"> STYLEREF 1 \s </w:instrText>
      </w:r>
      <w:r w:rsidRPr="00AC3F76">
        <w:fldChar w:fldCharType="separate"/>
      </w:r>
      <w:r w:rsidR="00691B4D">
        <w:rPr>
          <w:noProof/>
        </w:rPr>
        <w:t>3</w:t>
      </w:r>
      <w:r w:rsidRPr="00AC3F76">
        <w:fldChar w:fldCharType="end"/>
      </w:r>
      <w:r>
        <w:noBreakHyphen/>
      </w:r>
      <w:r w:rsidRPr="00AC3F76">
        <w:fldChar w:fldCharType="begin"/>
      </w:r>
      <w:r>
        <w:instrText xml:space="preserve"> SEQ Table \* ARABIC \s 1 </w:instrText>
      </w:r>
      <w:r w:rsidRPr="00AC3F76">
        <w:fldChar w:fldCharType="separate"/>
      </w:r>
      <w:r w:rsidR="00691B4D">
        <w:rPr>
          <w:noProof/>
        </w:rPr>
        <w:t>24</w:t>
      </w:r>
      <w:r w:rsidRPr="00AC3F76">
        <w:fldChar w:fldCharType="end"/>
      </w:r>
      <w:bookmarkEnd w:id="246"/>
      <w:r>
        <w:tab/>
        <w:t>Equity beta estimates for Australian energy network firms</w:t>
      </w:r>
    </w:p>
    <w:tbl>
      <w:tblPr>
        <w:tblStyle w:val="AERtable-text0"/>
        <w:tblW w:w="0" w:type="auto"/>
        <w:tblLook w:val="04A0" w:firstRow="1" w:lastRow="0" w:firstColumn="1" w:lastColumn="0" w:noHBand="0" w:noVBand="1"/>
      </w:tblPr>
      <w:tblGrid>
        <w:gridCol w:w="1101"/>
        <w:gridCol w:w="850"/>
        <w:gridCol w:w="992"/>
        <w:gridCol w:w="993"/>
        <w:gridCol w:w="992"/>
        <w:gridCol w:w="3765"/>
      </w:tblGrid>
      <w:tr w:rsidR="00784B0F" w:rsidTr="0042654C">
        <w:trPr>
          <w:cnfStyle w:val="100000000000" w:firstRow="1" w:lastRow="0" w:firstColumn="0" w:lastColumn="0" w:oddVBand="0" w:evenVBand="0" w:oddHBand="0" w:evenHBand="0" w:firstRowFirstColumn="0" w:firstRowLastColumn="0" w:lastRowFirstColumn="0" w:lastRowLastColumn="0"/>
        </w:trPr>
        <w:tc>
          <w:tcPr>
            <w:tcW w:w="1101" w:type="dxa"/>
          </w:tcPr>
          <w:p w:rsidR="00784B0F" w:rsidRPr="00784B0F" w:rsidRDefault="00784B0F" w:rsidP="00784B0F">
            <w:r>
              <w:t>Source</w:t>
            </w:r>
          </w:p>
        </w:tc>
        <w:tc>
          <w:tcPr>
            <w:tcW w:w="850" w:type="dxa"/>
          </w:tcPr>
          <w:p w:rsidR="00784B0F" w:rsidRPr="00784B0F" w:rsidRDefault="00784B0F" w:rsidP="00784B0F">
            <w:r>
              <w:t xml:space="preserve">Time </w:t>
            </w:r>
            <w:r w:rsidRPr="00784B0F">
              <w:t>period</w:t>
            </w:r>
          </w:p>
        </w:tc>
        <w:tc>
          <w:tcPr>
            <w:tcW w:w="992" w:type="dxa"/>
          </w:tcPr>
          <w:p w:rsidR="00784B0F" w:rsidRPr="00784B0F" w:rsidRDefault="00784B0F" w:rsidP="00784B0F">
            <w:r>
              <w:t>Individual firm averages</w:t>
            </w:r>
          </w:p>
        </w:tc>
        <w:tc>
          <w:tcPr>
            <w:tcW w:w="993" w:type="dxa"/>
          </w:tcPr>
          <w:p w:rsidR="00784B0F" w:rsidRPr="00784B0F" w:rsidRDefault="00784B0F" w:rsidP="00784B0F">
            <w:r>
              <w:t>Fixed portfolios</w:t>
            </w:r>
          </w:p>
        </w:tc>
        <w:tc>
          <w:tcPr>
            <w:tcW w:w="992" w:type="dxa"/>
          </w:tcPr>
          <w:p w:rsidR="00784B0F" w:rsidRPr="00784B0F" w:rsidRDefault="00784B0F" w:rsidP="00784B0F">
            <w:r>
              <w:t>Varying portfolios</w:t>
            </w:r>
          </w:p>
        </w:tc>
        <w:tc>
          <w:tcPr>
            <w:tcW w:w="3765" w:type="dxa"/>
          </w:tcPr>
          <w:p w:rsidR="00784B0F" w:rsidRPr="00784B0F" w:rsidRDefault="00784B0F" w:rsidP="00784B0F">
            <w:r>
              <w:t>Summary of regression permutations</w:t>
            </w:r>
          </w:p>
        </w:tc>
      </w:tr>
      <w:tr w:rsidR="00784B0F" w:rsidTr="0042654C">
        <w:tc>
          <w:tcPr>
            <w:tcW w:w="1101" w:type="dxa"/>
          </w:tcPr>
          <w:p w:rsidR="00784B0F" w:rsidRPr="00784B0F" w:rsidRDefault="00784B0F" w:rsidP="00784B0F">
            <w:r>
              <w:t>Henry 2014</w:t>
            </w:r>
          </w:p>
        </w:tc>
        <w:tc>
          <w:tcPr>
            <w:tcW w:w="850" w:type="dxa"/>
          </w:tcPr>
          <w:p w:rsidR="00784B0F" w:rsidRPr="00784B0F" w:rsidRDefault="00784B0F" w:rsidP="00784B0F">
            <w:r>
              <w:t>1992–2013</w:t>
            </w:r>
          </w:p>
        </w:tc>
        <w:tc>
          <w:tcPr>
            <w:tcW w:w="992" w:type="dxa"/>
          </w:tcPr>
          <w:p w:rsidR="00784B0F" w:rsidRPr="00784B0F" w:rsidRDefault="00784B0F" w:rsidP="00784B0F">
            <w:r>
              <w:t>0.37–0.56</w:t>
            </w:r>
          </w:p>
        </w:tc>
        <w:tc>
          <w:tcPr>
            <w:tcW w:w="993" w:type="dxa"/>
          </w:tcPr>
          <w:p w:rsidR="00784B0F" w:rsidRPr="00784B0F" w:rsidRDefault="00784B0F" w:rsidP="00784B0F">
            <w:r>
              <w:t>0.31–0.70</w:t>
            </w:r>
            <w:r w:rsidRPr="00784B0F">
              <w:rPr>
                <w:rStyle w:val="AERsuperscript"/>
              </w:rPr>
              <w:t>(b)</w:t>
            </w:r>
          </w:p>
        </w:tc>
        <w:tc>
          <w:tcPr>
            <w:tcW w:w="992" w:type="dxa"/>
          </w:tcPr>
          <w:p w:rsidR="00784B0F" w:rsidRPr="00784B0F" w:rsidRDefault="00784B0F" w:rsidP="00784B0F">
            <w:r>
              <w:t>0.39–0.53</w:t>
            </w:r>
          </w:p>
        </w:tc>
        <w:tc>
          <w:tcPr>
            <w:tcW w:w="3765" w:type="dxa"/>
          </w:tcPr>
          <w:p w:rsidR="00784B0F" w:rsidRPr="00784B0F" w:rsidRDefault="00784B0F" w:rsidP="00784B0F">
            <w:r w:rsidRPr="001F00F1">
              <w:t xml:space="preserve">weekly/monthly return intervals, multiple estimation periods, OLS/LAD regressions, value/equal weight fixed portfolios, average/median varying portfolios, </w:t>
            </w:r>
            <w:r w:rsidRPr="00784B0F">
              <w:t>raw/re-levered estimates, 9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Grant Samuel 2014</w:t>
            </w:r>
          </w:p>
        </w:tc>
        <w:tc>
          <w:tcPr>
            <w:tcW w:w="850" w:type="dxa"/>
          </w:tcPr>
          <w:p w:rsidR="00784B0F" w:rsidRPr="00784B0F" w:rsidRDefault="00784B0F" w:rsidP="00784B0F">
            <w:r>
              <w:t>2009–2014</w:t>
            </w:r>
            <w:r w:rsidRPr="00784B0F">
              <w:rPr>
                <w:rStyle w:val="AERsuperscript"/>
              </w:rPr>
              <w:t>(c)</w:t>
            </w:r>
          </w:p>
        </w:tc>
        <w:tc>
          <w:tcPr>
            <w:tcW w:w="992" w:type="dxa"/>
          </w:tcPr>
          <w:p w:rsidR="00784B0F" w:rsidRPr="00784B0F" w:rsidRDefault="00784B0F" w:rsidP="00784B0F">
            <w:r>
              <w:t>0.42–0.64</w:t>
            </w:r>
          </w:p>
        </w:tc>
        <w:tc>
          <w:tcPr>
            <w:tcW w:w="993" w:type="dxa"/>
          </w:tcPr>
          <w:p w:rsidR="00784B0F" w:rsidRPr="00784B0F" w:rsidRDefault="00784B0F" w:rsidP="00784B0F">
            <w:r>
              <w:t>n/a</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weekly/monthly </w:t>
            </w:r>
            <w:r w:rsidRPr="00784B0F">
              <w:t>return intervals, multiple estimation periods, OLS regressions, Bloomberg adjusted betas, raw estimates, 5 comparators</w:t>
            </w:r>
          </w:p>
        </w:tc>
      </w:tr>
      <w:tr w:rsidR="00784B0F" w:rsidTr="0042654C">
        <w:tc>
          <w:tcPr>
            <w:tcW w:w="1101" w:type="dxa"/>
          </w:tcPr>
          <w:p w:rsidR="00784B0F" w:rsidRPr="00784B0F" w:rsidRDefault="00784B0F" w:rsidP="00784B0F">
            <w:r>
              <w:t>ERA 2013</w:t>
            </w:r>
          </w:p>
        </w:tc>
        <w:tc>
          <w:tcPr>
            <w:tcW w:w="850" w:type="dxa"/>
          </w:tcPr>
          <w:p w:rsidR="00784B0F" w:rsidRPr="00784B0F" w:rsidRDefault="00784B0F" w:rsidP="00784B0F">
            <w:r>
              <w:t>2002–2013</w:t>
            </w:r>
          </w:p>
        </w:tc>
        <w:tc>
          <w:tcPr>
            <w:tcW w:w="992" w:type="dxa"/>
          </w:tcPr>
          <w:p w:rsidR="00784B0F" w:rsidRPr="00784B0F" w:rsidRDefault="00784B0F" w:rsidP="00784B0F">
            <w:r>
              <w:t>0.48–0.52</w:t>
            </w:r>
          </w:p>
        </w:tc>
        <w:tc>
          <w:tcPr>
            <w:tcW w:w="993" w:type="dxa"/>
          </w:tcPr>
          <w:p w:rsidR="00784B0F" w:rsidRPr="00784B0F" w:rsidRDefault="00784B0F" w:rsidP="00784B0F">
            <w:r>
              <w:t>0.39–0.59</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weekly return intervals, OLS/LAD/MM/TS regressions, value/equal weight fixed portfolios, </w:t>
            </w:r>
            <w:r w:rsidRPr="00784B0F">
              <w:t>multiple estimation periods, re-levered estimates, 6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SFG 2013</w:t>
            </w:r>
          </w:p>
        </w:tc>
        <w:tc>
          <w:tcPr>
            <w:tcW w:w="850" w:type="dxa"/>
          </w:tcPr>
          <w:p w:rsidR="00784B0F" w:rsidRPr="00784B0F" w:rsidRDefault="00784B0F" w:rsidP="00784B0F">
            <w:r>
              <w:t>2002–2013</w:t>
            </w:r>
          </w:p>
        </w:tc>
        <w:tc>
          <w:tcPr>
            <w:tcW w:w="992" w:type="dxa"/>
          </w:tcPr>
          <w:p w:rsidR="00784B0F" w:rsidRPr="00784B0F" w:rsidRDefault="00784B0F" w:rsidP="00784B0F">
            <w:r>
              <w:t>0.60</w:t>
            </w:r>
          </w:p>
        </w:tc>
        <w:tc>
          <w:tcPr>
            <w:tcW w:w="993" w:type="dxa"/>
          </w:tcPr>
          <w:p w:rsidR="00784B0F" w:rsidRPr="00784B0F" w:rsidRDefault="00784B0F" w:rsidP="00784B0F">
            <w:r>
              <w:t>n/a</w:t>
            </w:r>
          </w:p>
        </w:tc>
        <w:tc>
          <w:tcPr>
            <w:tcW w:w="992" w:type="dxa"/>
          </w:tcPr>
          <w:p w:rsidR="00784B0F" w:rsidRPr="00784B0F" w:rsidRDefault="00784B0F" w:rsidP="00784B0F">
            <w:r>
              <w:t>0.55</w:t>
            </w:r>
          </w:p>
        </w:tc>
        <w:tc>
          <w:tcPr>
            <w:tcW w:w="3765" w:type="dxa"/>
          </w:tcPr>
          <w:p w:rsidR="00784B0F" w:rsidRPr="00784B0F" w:rsidRDefault="00784B0F" w:rsidP="00784B0F">
            <w:r w:rsidRPr="001F00F1">
              <w:t>OLS regressions, four weekly repeat sampling, Vasicek</w:t>
            </w:r>
            <w:r w:rsidRPr="00784B0F">
              <w:t xml:space="preserve"> adjustment, re-levered estimates, 9 comparators</w:t>
            </w:r>
          </w:p>
        </w:tc>
      </w:tr>
      <w:tr w:rsidR="00784B0F" w:rsidTr="0042654C">
        <w:tc>
          <w:tcPr>
            <w:tcW w:w="1101" w:type="dxa"/>
          </w:tcPr>
          <w:p w:rsidR="00784B0F" w:rsidRPr="00784B0F" w:rsidRDefault="00784B0F" w:rsidP="00784B0F">
            <w:r>
              <w:t>ERA 2012</w:t>
            </w:r>
          </w:p>
        </w:tc>
        <w:tc>
          <w:tcPr>
            <w:tcW w:w="850" w:type="dxa"/>
          </w:tcPr>
          <w:p w:rsidR="00784B0F" w:rsidRPr="00784B0F" w:rsidRDefault="00784B0F" w:rsidP="00784B0F">
            <w:r>
              <w:t>2002–2011</w:t>
            </w:r>
          </w:p>
        </w:tc>
        <w:tc>
          <w:tcPr>
            <w:tcW w:w="992" w:type="dxa"/>
          </w:tcPr>
          <w:p w:rsidR="00784B0F" w:rsidRPr="00784B0F" w:rsidRDefault="00784B0F" w:rsidP="00784B0F">
            <w:r>
              <w:t>0.44–0.60</w:t>
            </w:r>
          </w:p>
        </w:tc>
        <w:tc>
          <w:tcPr>
            <w:tcW w:w="993" w:type="dxa"/>
          </w:tcPr>
          <w:p w:rsidR="00784B0F" w:rsidRPr="00784B0F" w:rsidRDefault="00784B0F" w:rsidP="00784B0F">
            <w:r>
              <w:t>n/a</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weekly/monthly </w:t>
            </w:r>
            <w:r w:rsidRPr="00784B0F">
              <w:t>return intervals, OLS/LAD regressions, re-levered estimates, 9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Henry 2009</w:t>
            </w:r>
          </w:p>
        </w:tc>
        <w:tc>
          <w:tcPr>
            <w:tcW w:w="850" w:type="dxa"/>
          </w:tcPr>
          <w:p w:rsidR="00784B0F" w:rsidRPr="00784B0F" w:rsidRDefault="00784B0F" w:rsidP="00784B0F">
            <w:r>
              <w:t>2002–2008</w:t>
            </w:r>
          </w:p>
        </w:tc>
        <w:tc>
          <w:tcPr>
            <w:tcW w:w="992" w:type="dxa"/>
          </w:tcPr>
          <w:p w:rsidR="00784B0F" w:rsidRPr="00784B0F" w:rsidRDefault="00784B0F" w:rsidP="00784B0F">
            <w:r>
              <w:t>0.45–0.71</w:t>
            </w:r>
          </w:p>
        </w:tc>
        <w:tc>
          <w:tcPr>
            <w:tcW w:w="993" w:type="dxa"/>
          </w:tcPr>
          <w:p w:rsidR="00784B0F" w:rsidRPr="00784B0F" w:rsidRDefault="00784B0F" w:rsidP="00784B0F">
            <w:r>
              <w:t>0.35–0.94</w:t>
            </w:r>
            <w:r w:rsidRPr="00784B0F">
              <w:rPr>
                <w:rStyle w:val="AERsuperscript"/>
              </w:rPr>
              <w:t>(d)</w:t>
            </w:r>
          </w:p>
        </w:tc>
        <w:tc>
          <w:tcPr>
            <w:tcW w:w="992" w:type="dxa"/>
          </w:tcPr>
          <w:p w:rsidR="00784B0F" w:rsidRPr="00784B0F" w:rsidRDefault="00784B0F" w:rsidP="00784B0F">
            <w:r>
              <w:t>0.41</w:t>
            </w:r>
            <w:r>
              <w:softHyphen/>
              <w:t>–0.78</w:t>
            </w:r>
          </w:p>
        </w:tc>
        <w:tc>
          <w:tcPr>
            <w:tcW w:w="3765" w:type="dxa"/>
          </w:tcPr>
          <w:p w:rsidR="00784B0F" w:rsidRPr="00784B0F" w:rsidRDefault="00784B0F" w:rsidP="00784B0F">
            <w:r w:rsidRPr="001F00F1">
              <w:t xml:space="preserve">weekly/monthly return </w:t>
            </w:r>
            <w:r w:rsidRPr="00784B0F">
              <w:t>intervals, various estimation periods, OLS/LAD regressions, value/equal weight fixed portfolios, average/median varying portfolios, re-levered estimates, 9 comparators</w:t>
            </w:r>
          </w:p>
        </w:tc>
      </w:tr>
      <w:tr w:rsidR="00784B0F" w:rsidTr="0042654C">
        <w:tc>
          <w:tcPr>
            <w:tcW w:w="1101" w:type="dxa"/>
          </w:tcPr>
          <w:p w:rsidR="00784B0F" w:rsidRPr="00784B0F" w:rsidRDefault="00784B0F" w:rsidP="00784B0F">
            <w:r>
              <w:t>ACG 2009</w:t>
            </w:r>
          </w:p>
        </w:tc>
        <w:tc>
          <w:tcPr>
            <w:tcW w:w="850" w:type="dxa"/>
          </w:tcPr>
          <w:p w:rsidR="00784B0F" w:rsidRPr="00784B0F" w:rsidRDefault="00784B0F" w:rsidP="00784B0F">
            <w:r>
              <w:t>1990–2008</w:t>
            </w:r>
          </w:p>
        </w:tc>
        <w:tc>
          <w:tcPr>
            <w:tcW w:w="992" w:type="dxa"/>
          </w:tcPr>
          <w:p w:rsidR="00784B0F" w:rsidRPr="00784B0F" w:rsidRDefault="00784B0F" w:rsidP="00784B0F">
            <w:r>
              <w:t>0.50–0.58</w:t>
            </w:r>
          </w:p>
        </w:tc>
        <w:tc>
          <w:tcPr>
            <w:tcW w:w="993" w:type="dxa"/>
          </w:tcPr>
          <w:p w:rsidR="00784B0F" w:rsidRPr="00784B0F" w:rsidRDefault="00784B0F" w:rsidP="00784B0F">
            <w:r>
              <w:t>n/a</w:t>
            </w:r>
          </w:p>
        </w:tc>
        <w:tc>
          <w:tcPr>
            <w:tcW w:w="992" w:type="dxa"/>
          </w:tcPr>
          <w:p w:rsidR="00784B0F" w:rsidRPr="00784B0F" w:rsidRDefault="00784B0F" w:rsidP="00784B0F">
            <w:r>
              <w:t>0.69–0.91</w:t>
            </w:r>
          </w:p>
        </w:tc>
        <w:tc>
          <w:tcPr>
            <w:tcW w:w="3765" w:type="dxa"/>
          </w:tcPr>
          <w:p w:rsidR="00784B0F" w:rsidRPr="00784B0F" w:rsidRDefault="00784B0F" w:rsidP="00784B0F">
            <w:r w:rsidRPr="001F00F1">
              <w:t>monthly return intervals, OLS/LAD regressions, multiple</w:t>
            </w:r>
            <w:r w:rsidRPr="00784B0F">
              <w:t xml:space="preserve"> estimation periods, raw/re-levered estimates, average/median varying portfolios, 9 comparators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101" w:type="dxa"/>
          </w:tcPr>
          <w:p w:rsidR="00784B0F" w:rsidRPr="00784B0F" w:rsidRDefault="00784B0F" w:rsidP="00784B0F">
            <w:r>
              <w:t>Henry 2008</w:t>
            </w:r>
          </w:p>
        </w:tc>
        <w:tc>
          <w:tcPr>
            <w:tcW w:w="850" w:type="dxa"/>
          </w:tcPr>
          <w:p w:rsidR="00784B0F" w:rsidRPr="00784B0F" w:rsidRDefault="00784B0F" w:rsidP="00784B0F">
            <w:r>
              <w:t>2002–2008</w:t>
            </w:r>
          </w:p>
        </w:tc>
        <w:tc>
          <w:tcPr>
            <w:tcW w:w="992" w:type="dxa"/>
          </w:tcPr>
          <w:p w:rsidR="00784B0F" w:rsidRPr="00784B0F" w:rsidRDefault="00784B0F" w:rsidP="00784B0F">
            <w:r>
              <w:t>0.35–0.67</w:t>
            </w:r>
          </w:p>
        </w:tc>
        <w:tc>
          <w:tcPr>
            <w:tcW w:w="993" w:type="dxa"/>
          </w:tcPr>
          <w:p w:rsidR="00784B0F" w:rsidRPr="00784B0F" w:rsidRDefault="00784B0F" w:rsidP="00784B0F">
            <w:r>
              <w:t>0.31–0.77</w:t>
            </w:r>
            <w:r w:rsidRPr="00784B0F">
              <w:rPr>
                <w:rStyle w:val="AERsuperscript"/>
              </w:rPr>
              <w:t>(e)</w:t>
            </w:r>
          </w:p>
        </w:tc>
        <w:tc>
          <w:tcPr>
            <w:tcW w:w="992" w:type="dxa"/>
          </w:tcPr>
          <w:p w:rsidR="00784B0F" w:rsidRPr="00784B0F" w:rsidRDefault="00784B0F" w:rsidP="00784B0F">
            <w:r>
              <w:t>n/a</w:t>
            </w:r>
          </w:p>
        </w:tc>
        <w:tc>
          <w:tcPr>
            <w:tcW w:w="3765" w:type="dxa"/>
          </w:tcPr>
          <w:p w:rsidR="00784B0F" w:rsidRPr="00784B0F" w:rsidRDefault="00784B0F" w:rsidP="00784B0F">
            <w:r w:rsidRPr="001F00F1">
              <w:t xml:space="preserve">daily/weekly/monthly return intervals, discrete/continuous returns, various estimation periods, OLS/LAD regressions, value/equal weight portfolios, raw/re-levered estimates, no adjustment/Vasicek/Blume, 10 comparators </w:t>
            </w:r>
          </w:p>
        </w:tc>
      </w:tr>
    </w:tbl>
    <w:p w:rsidR="00784B0F" w:rsidRPr="00EB6387" w:rsidRDefault="00784B0F" w:rsidP="00784B0F">
      <w:pPr>
        <w:pStyle w:val="AERtablesource"/>
      </w:pPr>
      <w:r w:rsidRPr="00660C1E">
        <w:t>Source:</w:t>
      </w:r>
      <w:r w:rsidRPr="00660C1E">
        <w:tab/>
        <w:t>AER analysis</w:t>
      </w:r>
      <w:r w:rsidRPr="00EB6387">
        <w:t>.</w:t>
      </w:r>
      <w:r w:rsidRPr="00EB6387">
        <w:rPr>
          <w:rStyle w:val="FootnoteReference"/>
        </w:rPr>
        <w:footnoteReference w:id="437"/>
      </w:r>
    </w:p>
    <w:p w:rsidR="00784B0F" w:rsidRPr="00EB6387" w:rsidRDefault="00784B0F" w:rsidP="00784B0F">
      <w:pPr>
        <w:pStyle w:val="AERtablesource"/>
      </w:pPr>
      <w:r w:rsidRPr="00660C1E">
        <w:lastRenderedPageBreak/>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784B0F" w:rsidRPr="00660C1E" w:rsidRDefault="00784B0F" w:rsidP="00784B0F">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784B0F" w:rsidRPr="00660C1E" w:rsidRDefault="00784B0F" w:rsidP="00784B0F">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784B0F" w:rsidRPr="00660C1E" w:rsidRDefault="00784B0F" w:rsidP="00784B0F">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784B0F" w:rsidRPr="00660C1E" w:rsidRDefault="00784B0F" w:rsidP="00784B0F">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784B0F" w:rsidRDefault="00784B0F" w:rsidP="00784B0F">
      <w:pPr>
        <w:pStyle w:val="AERtablesource"/>
        <w:rPr>
          <w:rStyle w:val="AERbody"/>
        </w:rPr>
      </w:pPr>
      <w:r w:rsidRPr="00660C1E">
        <w:t>(f)</w:t>
      </w:r>
      <w:r w:rsidRPr="00660C1E">
        <w:tab/>
        <w:t>ACG did not make it clear what time period its data covered. However, it noted that equity beta estimates were only used where there were more than 20 observations.</w:t>
      </w:r>
    </w:p>
    <w:p w:rsidR="00C16310" w:rsidRPr="00B4711B" w:rsidRDefault="00C16310" w:rsidP="00C16310">
      <w:pPr>
        <w:pStyle w:val="Heading9"/>
      </w:pPr>
      <w:bookmarkStart w:id="247" w:name="_Toc457911226"/>
      <w:bookmarkStart w:id="248" w:name="_Toc461803746"/>
      <w:bookmarkStart w:id="249" w:name="_Toc462754656"/>
      <w:r>
        <w:t>International empirical estimates</w:t>
      </w:r>
      <w:bookmarkEnd w:id="247"/>
      <w:bookmarkEnd w:id="248"/>
      <w:bookmarkEnd w:id="249"/>
    </w:p>
    <w:p w:rsidR="00784B0F" w:rsidRDefault="00784B0F" w:rsidP="00784B0F">
      <w:r>
        <w:t xml:space="preserve">The international empirical estimates we consider in this decision are set out in </w:t>
      </w:r>
      <w:r>
        <w:fldChar w:fldCharType="begin"/>
      </w:r>
      <w:r>
        <w:instrText xml:space="preserve"> REF  _Ref446238074 \* Lower \h </w:instrText>
      </w:r>
      <w:r>
        <w:fldChar w:fldCharType="separate"/>
      </w:r>
      <w:r w:rsidR="00691B4D">
        <w:t xml:space="preserve">table </w:t>
      </w:r>
      <w:r w:rsidR="00691B4D">
        <w:rPr>
          <w:noProof/>
        </w:rPr>
        <w:t>3</w:t>
      </w:r>
      <w:r w:rsidR="00691B4D">
        <w:noBreakHyphen/>
      </w:r>
      <w:r w:rsidR="00691B4D">
        <w:rPr>
          <w:noProof/>
        </w:rPr>
        <w:t>25</w:t>
      </w:r>
      <w:r>
        <w:fldChar w:fldCharType="end"/>
      </w:r>
      <w:r>
        <w:t xml:space="preserve"> and range from 0.3 to 1.0.</w:t>
      </w:r>
      <w:r>
        <w:rPr>
          <w:rStyle w:val="FootnoteReference"/>
        </w:rPr>
        <w:footnoteReference w:id="438"/>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w:t>
      </w:r>
      <w:r w:rsidR="00DB3C7C">
        <w:t xml:space="preserve">TasNetworks </w:t>
      </w:r>
      <w:r>
        <w:t>in providing regulated services.</w:t>
      </w:r>
    </w:p>
    <w:p w:rsidR="00784B0F" w:rsidRDefault="00784B0F" w:rsidP="00784B0F">
      <w:pPr>
        <w:pStyle w:val="Caption"/>
      </w:pPr>
      <w:bookmarkStart w:id="250" w:name="_Ref446238074"/>
      <w:r>
        <w:t xml:space="preserve">Table </w:t>
      </w:r>
      <w:r w:rsidRPr="00245C96">
        <w:fldChar w:fldCharType="begin"/>
      </w:r>
      <w:r>
        <w:instrText xml:space="preserve"> STYLEREF 1 \s </w:instrText>
      </w:r>
      <w:r w:rsidRPr="00245C96">
        <w:fldChar w:fldCharType="separate"/>
      </w:r>
      <w:r w:rsidR="00691B4D">
        <w:rPr>
          <w:noProof/>
        </w:rPr>
        <w:t>3</w:t>
      </w:r>
      <w:r w:rsidRPr="00245C96">
        <w:fldChar w:fldCharType="end"/>
      </w:r>
      <w:r>
        <w:noBreakHyphen/>
      </w:r>
      <w:r w:rsidRPr="00245C96">
        <w:fldChar w:fldCharType="begin"/>
      </w:r>
      <w:r>
        <w:instrText xml:space="preserve"> SEQ Table \* ARABIC \s 1 </w:instrText>
      </w:r>
      <w:r w:rsidRPr="00245C96">
        <w:fldChar w:fldCharType="separate"/>
      </w:r>
      <w:r w:rsidR="00691B4D">
        <w:rPr>
          <w:noProof/>
        </w:rPr>
        <w:t>25</w:t>
      </w:r>
      <w:r w:rsidRPr="00245C96">
        <w:fldChar w:fldCharType="end"/>
      </w:r>
      <w:bookmarkEnd w:id="250"/>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784B0F" w:rsidTr="003957BF">
        <w:trPr>
          <w:cnfStyle w:val="100000000000" w:firstRow="1" w:lastRow="0" w:firstColumn="0" w:lastColumn="0" w:oddVBand="0" w:evenVBand="0" w:oddHBand="0" w:evenHBand="0" w:firstRowFirstColumn="0" w:firstRowLastColumn="0" w:lastRowFirstColumn="0" w:lastRowLastColumn="0"/>
          <w:tblHeader/>
        </w:trPr>
        <w:tc>
          <w:tcPr>
            <w:tcW w:w="1809" w:type="dxa"/>
          </w:tcPr>
          <w:p w:rsidR="00784B0F" w:rsidRPr="00784B0F" w:rsidRDefault="00784B0F" w:rsidP="00784B0F">
            <w:r>
              <w:t>Report</w:t>
            </w:r>
          </w:p>
        </w:tc>
        <w:tc>
          <w:tcPr>
            <w:tcW w:w="3969" w:type="dxa"/>
          </w:tcPr>
          <w:p w:rsidR="00784B0F" w:rsidRPr="00784B0F" w:rsidRDefault="00784B0F" w:rsidP="00784B0F">
            <w:r>
              <w:t>Details</w:t>
            </w:r>
          </w:p>
        </w:tc>
        <w:tc>
          <w:tcPr>
            <w:tcW w:w="1418" w:type="dxa"/>
          </w:tcPr>
          <w:p w:rsidR="00784B0F" w:rsidRPr="00784B0F" w:rsidRDefault="00784B0F" w:rsidP="00784B0F">
            <w:r>
              <w:t>Raw estimate</w:t>
            </w:r>
          </w:p>
        </w:tc>
        <w:tc>
          <w:tcPr>
            <w:tcW w:w="1497" w:type="dxa"/>
          </w:tcPr>
          <w:p w:rsidR="00784B0F" w:rsidRPr="00784B0F" w:rsidRDefault="00784B0F" w:rsidP="00784B0F">
            <w:r>
              <w:t xml:space="preserve">Re-levered estimate (to 60 per </w:t>
            </w:r>
            <w:r w:rsidRPr="00784B0F">
              <w:t>cent gearing)</w:t>
            </w:r>
          </w:p>
        </w:tc>
      </w:tr>
      <w:tr w:rsidR="00784B0F" w:rsidTr="0042654C">
        <w:tc>
          <w:tcPr>
            <w:tcW w:w="1809" w:type="dxa"/>
          </w:tcPr>
          <w:p w:rsidR="00784B0F" w:rsidRPr="00784B0F" w:rsidRDefault="00784B0F" w:rsidP="00784B0F">
            <w:r>
              <w:t xml:space="preserve">SFG, </w:t>
            </w:r>
            <w:r w:rsidRPr="00784B0F">
              <w:rPr>
                <w:rStyle w:val="AERtextitalic"/>
              </w:rPr>
              <w:t>Regression-based estimates of risk parameters</w:t>
            </w:r>
            <w:r w:rsidRPr="00784B0F">
              <w:t>, June 2013, pp. 15, 19</w:t>
            </w:r>
          </w:p>
          <w:p w:rsidR="00784B0F" w:rsidRPr="00784B0F" w:rsidRDefault="00784B0F" w:rsidP="00784B0F">
            <w:pPr>
              <w:rPr>
                <w:rStyle w:val="AERtextsize8"/>
              </w:rPr>
            </w:pPr>
            <w:r w:rsidRPr="00707ABA">
              <w:t xml:space="preserve">CEG, </w:t>
            </w:r>
            <w:r w:rsidRPr="00784B0F">
              <w:rPr>
                <w:rStyle w:val="AERtextitalic"/>
              </w:rPr>
              <w:t xml:space="preserve">Information on equity beta from US </w:t>
            </w:r>
            <w:r w:rsidRPr="00784B0F">
              <w:rPr>
                <w:rStyle w:val="AERtextitalic"/>
              </w:rPr>
              <w:lastRenderedPageBreak/>
              <w:t>companies</w:t>
            </w:r>
            <w:r w:rsidRPr="00784B0F">
              <w:t>, June 2013</w:t>
            </w:r>
          </w:p>
        </w:tc>
        <w:tc>
          <w:tcPr>
            <w:tcW w:w="3969" w:type="dxa"/>
          </w:tcPr>
          <w:p w:rsidR="00784B0F" w:rsidRPr="00784B0F" w:rsidRDefault="00784B0F" w:rsidP="00784B0F">
            <w:pPr>
              <w:rPr>
                <w:rStyle w:val="AERtextsize8"/>
              </w:rPr>
            </w:pPr>
            <w:r w:rsidRPr="00707ABA">
              <w:lastRenderedPageBreak/>
              <w:t xml:space="preserve">The CEG report prepared as a part of the ENA submission to </w:t>
            </w:r>
            <w:r w:rsidRPr="00784B0F">
              <w:t xml:space="preserve">the Guideline process suggested a sample of 56 US–listed energy network companies to be included in our comparator set of Australian–listed energy network firms. Based on the comparator sample provided by CEG, SFG computed OLS equity beta estimates over an 11 </w:t>
            </w:r>
            <w:r w:rsidRPr="00784B0F">
              <w:lastRenderedPageBreak/>
              <w:t>year period from 2 January 2002 to 19 November 2012. SFG's results incorporate a Vasicek adjustment to its OLS equity beta estimates.</w:t>
            </w:r>
          </w:p>
        </w:tc>
        <w:tc>
          <w:tcPr>
            <w:tcW w:w="1418" w:type="dxa"/>
          </w:tcPr>
          <w:p w:rsidR="00784B0F" w:rsidRPr="00784B0F" w:rsidRDefault="00784B0F" w:rsidP="00784B0F">
            <w:r>
              <w:lastRenderedPageBreak/>
              <w:t>0.68</w:t>
            </w:r>
            <w:r w:rsidRPr="00784B0F">
              <w:t>—average of individual firm estimates (0.67 without a Vasicek adjustment)</w:t>
            </w:r>
          </w:p>
        </w:tc>
        <w:tc>
          <w:tcPr>
            <w:tcW w:w="1497" w:type="dxa"/>
          </w:tcPr>
          <w:p w:rsidR="00784B0F" w:rsidRPr="00784B0F" w:rsidRDefault="00784B0F" w:rsidP="00784B0F">
            <w:r>
              <w:t>0.88</w:t>
            </w:r>
            <w:r w:rsidRPr="00784B0F">
              <w:t>—average of individual firm estimates</w:t>
            </w:r>
          </w:p>
          <w:p w:rsidR="00784B0F" w:rsidRPr="00784B0F" w:rsidRDefault="00784B0F" w:rsidP="00784B0F">
            <w:r>
              <w:t>0.91</w:t>
            </w:r>
            <w:r w:rsidRPr="00784B0F">
              <w:t xml:space="preserve">—average equity beta of an equal–weighted </w:t>
            </w:r>
            <w:r w:rsidRPr="00784B0F">
              <w:lastRenderedPageBreak/>
              <w:t>index of firm returns</w:t>
            </w:r>
            <w:r w:rsidRPr="00784B0F">
              <w:rPr>
                <w:rStyle w:val="FootnoteReference"/>
              </w:rPr>
              <w:footnoteReference w:id="439"/>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809" w:type="dxa"/>
          </w:tcPr>
          <w:p w:rsidR="00784B0F" w:rsidRPr="00784B0F" w:rsidRDefault="00784B0F" w:rsidP="00784B0F">
            <w:pPr>
              <w:rPr>
                <w:rStyle w:val="AERtextsize8"/>
              </w:rPr>
            </w:pPr>
            <w:r w:rsidRPr="00E518CC">
              <w:lastRenderedPageBreak/>
              <w:t>Damodaran,</w:t>
            </w:r>
            <w:r w:rsidRPr="00784B0F">
              <w:t xml:space="preserve"> </w:t>
            </w:r>
            <w:r w:rsidRPr="00784B0F">
              <w:rPr>
                <w:rStyle w:val="AERtextitalic"/>
              </w:rPr>
              <w:t>Updated data: The Data page</w:t>
            </w:r>
            <w:r w:rsidRPr="00784B0F">
              <w:t xml:space="preserve">, </w:t>
            </w:r>
            <w:r w:rsidRPr="00784B0F">
              <w:rPr>
                <w:rStyle w:val="AERtextitalic"/>
              </w:rPr>
              <w:t>Levered and Unlevered Betas by Industry: Download detail</w:t>
            </w:r>
            <w:r w:rsidRPr="00784B0F">
              <w:t>, Stern school of Business New York University, last updated 5 January 2016, viewed 18 March 2016</w:t>
            </w:r>
          </w:p>
        </w:tc>
        <w:tc>
          <w:tcPr>
            <w:tcW w:w="3969" w:type="dxa"/>
          </w:tcPr>
          <w:p w:rsidR="00784B0F" w:rsidRPr="00784B0F" w:rsidRDefault="00784B0F" w:rsidP="00784B0F">
            <w:pPr>
              <w:rPr>
                <w:rStyle w:val="AERtextsize8"/>
              </w:rPr>
            </w:pPr>
            <w:r w:rsidRPr="00900624">
              <w:rPr>
                <w:rStyle w:val="AERtextsize8"/>
              </w:rPr>
              <w:t xml:space="preserve">The Damodaran equity beta estimates </w:t>
            </w:r>
            <w:r w:rsidRPr="00784B0F">
              <w:rPr>
                <w:rStyle w:val="AERtextsize8"/>
              </w:rPr>
              <w:t>for US industry groups have been updated for 2015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784B0F" w:rsidRPr="00784B0F" w:rsidRDefault="00784B0F" w:rsidP="00784B0F">
            <w:pPr>
              <w:rPr>
                <w:rStyle w:val="AERtextsize8"/>
              </w:rPr>
            </w:pPr>
            <w:r>
              <w:rPr>
                <w:rStyle w:val="AERtextsize8"/>
              </w:rPr>
              <w:t>0.55</w:t>
            </w:r>
          </w:p>
        </w:tc>
        <w:tc>
          <w:tcPr>
            <w:tcW w:w="1497" w:type="dxa"/>
          </w:tcPr>
          <w:p w:rsidR="00784B0F" w:rsidRPr="00784B0F" w:rsidRDefault="00784B0F" w:rsidP="00784B0F">
            <w:pPr>
              <w:rPr>
                <w:rStyle w:val="AERtextsize8"/>
              </w:rPr>
            </w:pPr>
            <w:r>
              <w:rPr>
                <w:rStyle w:val="AERtextsize8"/>
              </w:rPr>
              <w:t>0.81</w:t>
            </w:r>
            <w:r w:rsidRPr="00784B0F">
              <w:rPr>
                <w:rStyle w:val="AERtextsize8"/>
              </w:rPr>
              <w:t>*</w:t>
            </w:r>
          </w:p>
        </w:tc>
      </w:tr>
      <w:tr w:rsidR="00784B0F" w:rsidTr="0042654C">
        <w:tc>
          <w:tcPr>
            <w:tcW w:w="1809" w:type="dxa"/>
          </w:tcPr>
          <w:p w:rsidR="00784B0F" w:rsidRPr="00784B0F" w:rsidRDefault="00784B0F" w:rsidP="00784B0F">
            <w:pPr>
              <w:rPr>
                <w:rStyle w:val="AERtextsize8"/>
              </w:rPr>
            </w:pPr>
            <w:r>
              <w:t xml:space="preserve">FTI Consulting, </w:t>
            </w:r>
            <w:r w:rsidRPr="00784B0F">
              <w:rPr>
                <w:rStyle w:val="AERtextitalic"/>
              </w:rPr>
              <w:t>Cost of capital study for the RIIO-T1 and GD1 price controls</w:t>
            </w:r>
            <w:r w:rsidRPr="00784B0F">
              <w:t>, July 2012, p. 42</w:t>
            </w:r>
          </w:p>
        </w:tc>
        <w:tc>
          <w:tcPr>
            <w:tcW w:w="3969" w:type="dxa"/>
          </w:tcPr>
          <w:p w:rsidR="00784B0F" w:rsidRPr="00784B0F" w:rsidRDefault="00784B0F" w:rsidP="00784B0F">
            <w:pPr>
              <w:rPr>
                <w:rStyle w:val="AERtextsize8"/>
              </w:rPr>
            </w:pPr>
            <w:r>
              <w:t xml:space="preserve">This </w:t>
            </w:r>
            <w:r w:rsidRPr="00784B0F">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784B0F" w:rsidRPr="00784B0F" w:rsidRDefault="00784B0F" w:rsidP="00784B0F">
            <w:r>
              <w:t>0.45—over 10 May 2011 to 9 May 2012</w:t>
            </w:r>
          </w:p>
          <w:p w:rsidR="00784B0F" w:rsidRPr="00784B0F" w:rsidRDefault="00784B0F" w:rsidP="00784B0F">
            <w:pPr>
              <w:rPr>
                <w:rStyle w:val="AERtextsize8"/>
              </w:rPr>
            </w:pPr>
            <w:r>
              <w:t>0.48—</w:t>
            </w:r>
            <w:r w:rsidRPr="00784B0F">
              <w:t>over 10 May 2010 to 9 May 2012</w:t>
            </w:r>
          </w:p>
        </w:tc>
        <w:tc>
          <w:tcPr>
            <w:tcW w:w="1497" w:type="dxa"/>
          </w:tcPr>
          <w:p w:rsidR="00784B0F" w:rsidRPr="00784B0F" w:rsidRDefault="00784B0F" w:rsidP="00784B0F">
            <w:pPr>
              <w:rPr>
                <w:rStyle w:val="AERtextsize8"/>
              </w:rPr>
            </w:pPr>
            <w:r>
              <w:t xml:space="preserve">We are not able to provide re-levered equity beta estimates because the report does </w:t>
            </w:r>
            <w:r w:rsidRPr="00784B0F">
              <w:t>not provide the appropriate gearing data.</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809" w:type="dxa"/>
          </w:tcPr>
          <w:p w:rsidR="00784B0F" w:rsidRPr="00784B0F" w:rsidRDefault="00784B0F" w:rsidP="00784B0F">
            <w:pPr>
              <w:rPr>
                <w:rStyle w:val="AERtextsize8"/>
              </w:rPr>
            </w:pPr>
            <w:r>
              <w:t xml:space="preserve">Alberta Utilities Commission, </w:t>
            </w:r>
            <w:r w:rsidRPr="00784B0F">
              <w:rPr>
                <w:rStyle w:val="AERtextitalic"/>
              </w:rPr>
              <w:t>2013 Generic Cost of Capital</w:t>
            </w:r>
            <w:r w:rsidRPr="00784B0F">
              <w:t>, 23 March 2015, pp. 1, 24–26</w:t>
            </w:r>
          </w:p>
        </w:tc>
        <w:tc>
          <w:tcPr>
            <w:tcW w:w="3969" w:type="dxa"/>
          </w:tcPr>
          <w:p w:rsidR="00784B0F" w:rsidRPr="00784B0F" w:rsidRDefault="00784B0F" w:rsidP="00784B0F">
            <w:r>
              <w:t xml:space="preserve">This </w:t>
            </w:r>
            <w:r w:rsidRPr="00784B0F">
              <w:t>2013 Generic Cost of Capital report sets out the AUC's approved return on equity for several utilities for the years 2013, 2014, and 2015. The AUC considered advice from the following experts on the equity beta based on estimates of Canadian utilities:</w:t>
            </w:r>
          </w:p>
          <w:p w:rsidR="00784B0F" w:rsidRPr="00784B0F" w:rsidRDefault="00784B0F" w:rsidP="00784B0F">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784B0F" w:rsidRPr="00784B0F" w:rsidRDefault="00784B0F" w:rsidP="00784B0F">
            <w:pPr>
              <w:pStyle w:val="AERbulletlistfirststyle"/>
            </w:pPr>
            <w:r w:rsidRPr="00FF0D9F">
              <w:t xml:space="preserve">Dr Laurence Booth of the University of Toronto recommended an equity beta range of 0.45 to 0.55 for Canadian stand-alone utilities based on long run beta estimates. </w:t>
            </w:r>
          </w:p>
          <w:p w:rsidR="00784B0F" w:rsidRPr="00784B0F" w:rsidRDefault="00784B0F" w:rsidP="00784B0F">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784B0F" w:rsidRPr="00784B0F" w:rsidRDefault="00784B0F" w:rsidP="00784B0F">
            <w:pPr>
              <w:rPr>
                <w:rStyle w:val="AERtextsize8"/>
              </w:rPr>
            </w:pPr>
            <w:r>
              <w:rPr>
                <w:rStyle w:val="AERtextsize8"/>
              </w:rPr>
              <w:t>0.3</w:t>
            </w:r>
            <w:r w:rsidRPr="00784B0F">
              <w:rPr>
                <w:rStyle w:val="AERtextsize8"/>
              </w:rPr>
              <w:t>–0.7</w:t>
            </w:r>
          </w:p>
        </w:tc>
        <w:tc>
          <w:tcPr>
            <w:tcW w:w="1497" w:type="dxa"/>
          </w:tcPr>
          <w:p w:rsidR="00784B0F" w:rsidRPr="00784B0F" w:rsidRDefault="00784B0F" w:rsidP="00784B0F">
            <w:pPr>
              <w:rPr>
                <w:rStyle w:val="AERtextsize8"/>
              </w:rPr>
            </w:pPr>
            <w:r>
              <w:t>This report did not specify whether the equity betas were raw or re-levered to a benchmark gearing.</w:t>
            </w:r>
          </w:p>
        </w:tc>
      </w:tr>
      <w:tr w:rsidR="00784B0F" w:rsidTr="0042654C">
        <w:tc>
          <w:tcPr>
            <w:tcW w:w="1809" w:type="dxa"/>
          </w:tcPr>
          <w:p w:rsidR="00784B0F" w:rsidRPr="00784B0F" w:rsidRDefault="00784B0F" w:rsidP="00784B0F">
            <w:pPr>
              <w:rPr>
                <w:rStyle w:val="AERtextsize8"/>
              </w:rPr>
            </w:pPr>
            <w:r>
              <w:lastRenderedPageBreak/>
              <w:t xml:space="preserve">PwC, </w:t>
            </w:r>
            <w:r w:rsidRPr="00784B0F">
              <w:rPr>
                <w:rStyle w:val="AERtextitalic"/>
              </w:rPr>
              <w:t>Appreciating Value New Zealand, Edition six</w:t>
            </w:r>
            <w:r w:rsidRPr="00784B0F">
              <w:t>, March 2015, p. 20 (See also: http://www.pwc.co.nz/appreciating-value/pwc-wacc-formula)</w:t>
            </w:r>
            <w:r w:rsidRPr="00784B0F">
              <w:rPr>
                <w:rStyle w:val="AERtextsize8"/>
              </w:rPr>
              <w:t xml:space="preserve"> </w:t>
            </w:r>
          </w:p>
        </w:tc>
        <w:tc>
          <w:tcPr>
            <w:tcW w:w="3969" w:type="dxa"/>
          </w:tcPr>
          <w:p w:rsidR="00784B0F" w:rsidRPr="00784B0F" w:rsidRDefault="00784B0F" w:rsidP="00784B0F">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784B0F">
              <w:t xml:space="preserve"> for two comparable firms (Horizon Energy Distribution Limited and Vector Limited). PwC's March 2015 report presents estimates as at 31 December 2014.</w:t>
            </w:r>
          </w:p>
        </w:tc>
        <w:tc>
          <w:tcPr>
            <w:tcW w:w="1418" w:type="dxa"/>
          </w:tcPr>
          <w:p w:rsidR="00784B0F" w:rsidRPr="00784B0F" w:rsidRDefault="00784B0F" w:rsidP="00784B0F">
            <w:pPr>
              <w:rPr>
                <w:rStyle w:val="AERtextsize8"/>
              </w:rPr>
            </w:pPr>
            <w:r w:rsidRPr="00217E7D">
              <w:t>0.6</w:t>
            </w:r>
            <w:r w:rsidRPr="00784B0F">
              <w:t>—average of individual form estimates</w:t>
            </w:r>
          </w:p>
        </w:tc>
        <w:tc>
          <w:tcPr>
            <w:tcW w:w="1497" w:type="dxa"/>
          </w:tcPr>
          <w:p w:rsidR="00784B0F" w:rsidRPr="00784B0F" w:rsidRDefault="00784B0F" w:rsidP="00784B0F">
            <w:pPr>
              <w:rPr>
                <w:rStyle w:val="AERtextsize8"/>
              </w:rPr>
            </w:pPr>
            <w:r>
              <w:t>0.8</w:t>
            </w:r>
            <w:r w:rsidRPr="00784B0F">
              <w:t>8—average of individual firm estimates*</w:t>
            </w:r>
          </w:p>
        </w:tc>
      </w:tr>
      <w:tr w:rsidR="00784B0F" w:rsidTr="0042654C">
        <w:trPr>
          <w:cnfStyle w:val="000000010000" w:firstRow="0" w:lastRow="0" w:firstColumn="0" w:lastColumn="0" w:oddVBand="0" w:evenVBand="0" w:oddHBand="0" w:evenHBand="1" w:firstRowFirstColumn="0" w:firstRowLastColumn="0" w:lastRowFirstColumn="0" w:lastRowLastColumn="0"/>
        </w:trPr>
        <w:tc>
          <w:tcPr>
            <w:tcW w:w="1809" w:type="dxa"/>
          </w:tcPr>
          <w:p w:rsidR="00784B0F" w:rsidRPr="00784B0F" w:rsidRDefault="00784B0F" w:rsidP="00784B0F">
            <w:pPr>
              <w:rPr>
                <w:rStyle w:val="AERtextsize8"/>
              </w:rPr>
            </w:pPr>
            <w:r>
              <w:t xml:space="preserve">The Brattle Group, </w:t>
            </w:r>
            <w:r w:rsidRPr="00784B0F">
              <w:rPr>
                <w:rStyle w:val="AERtextitalic"/>
              </w:rPr>
              <w:t>The WACC for the Dutch TSOs, DSOs, water companies and the Dutch pilotage organisation</w:t>
            </w:r>
            <w:r w:rsidRPr="00784B0F">
              <w:t>, March 2013, pp. 16–18</w:t>
            </w:r>
          </w:p>
        </w:tc>
        <w:tc>
          <w:tcPr>
            <w:tcW w:w="3969" w:type="dxa"/>
          </w:tcPr>
          <w:p w:rsidR="00784B0F" w:rsidRPr="00784B0F" w:rsidRDefault="00784B0F" w:rsidP="00784B0F">
            <w:pPr>
              <w:rPr>
                <w:rStyle w:val="AERtextsize8"/>
              </w:rPr>
            </w:pPr>
            <w:r>
              <w:t xml:space="preserve">This </w:t>
            </w:r>
            <w:r w:rsidRPr="00784B0F">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784B0F">
              <w:rPr>
                <w:rStyle w:val="FootnoteReference"/>
              </w:rPr>
              <w:footnoteReference w:id="440"/>
            </w:r>
          </w:p>
        </w:tc>
        <w:tc>
          <w:tcPr>
            <w:tcW w:w="1418" w:type="dxa"/>
          </w:tcPr>
          <w:p w:rsidR="00784B0F" w:rsidRPr="00784B0F" w:rsidRDefault="00784B0F" w:rsidP="00784B0F">
            <w:r>
              <w:t>0.58</w:t>
            </w:r>
            <w:r w:rsidRPr="00784B0F">
              <w:t>—average of European individual firm estimates</w:t>
            </w:r>
          </w:p>
          <w:p w:rsidR="00784B0F" w:rsidRPr="00784B0F" w:rsidRDefault="00784B0F" w:rsidP="00784B0F">
            <w:r>
              <w:t>0.60</w:t>
            </w:r>
            <w:r w:rsidRPr="00784B0F">
              <w:t>—average of US individual firm estimates</w:t>
            </w:r>
          </w:p>
          <w:p w:rsidR="00784B0F" w:rsidRPr="00784B0F" w:rsidRDefault="00784B0F" w:rsidP="00784B0F">
            <w:pPr>
              <w:rPr>
                <w:rStyle w:val="AERtextsize8"/>
              </w:rPr>
            </w:pPr>
            <w:r>
              <w:t>0.5</w:t>
            </w:r>
            <w:r w:rsidRPr="00784B0F">
              <w:t>8—average of European and US individual firm estimates</w:t>
            </w:r>
          </w:p>
        </w:tc>
        <w:tc>
          <w:tcPr>
            <w:tcW w:w="1497" w:type="dxa"/>
          </w:tcPr>
          <w:p w:rsidR="00784B0F" w:rsidRPr="00784B0F" w:rsidRDefault="00784B0F" w:rsidP="00784B0F">
            <w:r>
              <w:t>0.71</w:t>
            </w:r>
            <w:r w:rsidRPr="00784B0F">
              <w:t>—average of European individual firm estimates*</w:t>
            </w:r>
          </w:p>
          <w:p w:rsidR="00784B0F" w:rsidRPr="00784B0F" w:rsidRDefault="00784B0F" w:rsidP="00784B0F">
            <w:r>
              <w:t>1.01</w:t>
            </w:r>
            <w:r w:rsidRPr="00784B0F">
              <w:t>—average of US individual firm estimates*</w:t>
            </w:r>
          </w:p>
          <w:p w:rsidR="00784B0F" w:rsidRPr="00784B0F" w:rsidRDefault="00784B0F" w:rsidP="00784B0F">
            <w:pPr>
              <w:rPr>
                <w:rStyle w:val="AERtextsize8"/>
              </w:rPr>
            </w:pPr>
            <w:r>
              <w:t>0.80</w:t>
            </w:r>
            <w:r w:rsidRPr="00784B0F">
              <w:t>—average of European and US individual firm estimates*</w:t>
            </w:r>
          </w:p>
        </w:tc>
      </w:tr>
      <w:tr w:rsidR="00784B0F" w:rsidTr="0042654C">
        <w:tc>
          <w:tcPr>
            <w:tcW w:w="1809" w:type="dxa"/>
          </w:tcPr>
          <w:p w:rsidR="00784B0F" w:rsidRPr="00900624" w:rsidRDefault="00784B0F" w:rsidP="00784B0F">
            <w:pPr>
              <w:rPr>
                <w:rStyle w:val="AERtextsize8"/>
              </w:rPr>
            </w:pPr>
          </w:p>
        </w:tc>
        <w:tc>
          <w:tcPr>
            <w:tcW w:w="3969" w:type="dxa"/>
          </w:tcPr>
          <w:p w:rsidR="00784B0F" w:rsidRDefault="00784B0F" w:rsidP="00784B0F">
            <w:pPr>
              <w:rPr>
                <w:rStyle w:val="AERtextsize8"/>
              </w:rPr>
            </w:pPr>
          </w:p>
        </w:tc>
        <w:tc>
          <w:tcPr>
            <w:tcW w:w="1418" w:type="dxa"/>
          </w:tcPr>
          <w:p w:rsidR="00784B0F" w:rsidRDefault="00784B0F" w:rsidP="00784B0F">
            <w:pPr>
              <w:rPr>
                <w:rStyle w:val="AERtextsize8"/>
              </w:rPr>
            </w:pPr>
          </w:p>
        </w:tc>
        <w:tc>
          <w:tcPr>
            <w:tcW w:w="1497" w:type="dxa"/>
          </w:tcPr>
          <w:p w:rsidR="00784B0F" w:rsidRDefault="00784B0F" w:rsidP="00784B0F">
            <w:pPr>
              <w:rPr>
                <w:rStyle w:val="AERtextsize8"/>
              </w:rPr>
            </w:pPr>
          </w:p>
        </w:tc>
      </w:tr>
    </w:tbl>
    <w:p w:rsidR="00784B0F" w:rsidRPr="0078508E" w:rsidRDefault="00784B0F" w:rsidP="00784B0F">
      <w:pPr>
        <w:pStyle w:val="AERtablesource"/>
        <w:numPr>
          <w:ilvl w:val="0"/>
          <w:numId w:val="25"/>
        </w:numPr>
      </w:pPr>
      <w:r>
        <w:t>Notes:</w:t>
      </w:r>
      <w:r>
        <w:tab/>
        <w:t>*</w:t>
      </w:r>
      <w:r>
        <w:tab/>
      </w:r>
      <w:r w:rsidRPr="0078508E">
        <w:t>We have de-levered and re-levered the</w:t>
      </w:r>
      <w:r>
        <w:t>se</w:t>
      </w:r>
      <w:r w:rsidRPr="0078508E">
        <w:t xml:space="preserve"> raw equity beta estimates</w:t>
      </w:r>
      <w:r>
        <w:t>.</w:t>
      </w:r>
    </w:p>
    <w:p w:rsidR="00312F8A" w:rsidRDefault="00312F8A" w:rsidP="00312F8A">
      <w:pPr>
        <w:pStyle w:val="Heading7"/>
      </w:pPr>
      <w:bookmarkStart w:id="251" w:name="_Ref461492241"/>
      <w:bookmarkStart w:id="252" w:name="_Ref461492439"/>
      <w:bookmarkStart w:id="253" w:name="_Ref461492665"/>
      <w:bookmarkStart w:id="254" w:name="_Ref461492748"/>
      <w:bookmarkStart w:id="255" w:name="_Toc462754657"/>
      <w:r>
        <w:lastRenderedPageBreak/>
        <w:t>Return on debt approach</w:t>
      </w:r>
      <w:bookmarkEnd w:id="107"/>
      <w:bookmarkEnd w:id="108"/>
      <w:bookmarkEnd w:id="109"/>
      <w:bookmarkEnd w:id="110"/>
      <w:bookmarkEnd w:id="111"/>
      <w:bookmarkEnd w:id="112"/>
      <w:bookmarkEnd w:id="113"/>
      <w:bookmarkEnd w:id="114"/>
      <w:bookmarkEnd w:id="115"/>
      <w:bookmarkEnd w:id="116"/>
      <w:bookmarkEnd w:id="117"/>
      <w:bookmarkEnd w:id="251"/>
      <w:bookmarkEnd w:id="252"/>
      <w:bookmarkEnd w:id="253"/>
      <w:bookmarkEnd w:id="254"/>
      <w:bookmarkEnd w:id="255"/>
    </w:p>
    <w:p w:rsidR="00312F8A" w:rsidRDefault="00312F8A" w:rsidP="00312F8A">
      <w:r>
        <w:t xml:space="preserve">We transition </w:t>
      </w:r>
      <w:r w:rsidR="004C086A">
        <w:t>the</w:t>
      </w:r>
      <w:r>
        <w:t xml:space="preserve"> return on debt</w:t>
      </w:r>
      <w:r>
        <w:rPr>
          <w:rStyle w:val="FootnoteReference"/>
        </w:rPr>
        <w:footnoteReference w:id="441"/>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w:t>
      </w:r>
    </w:p>
    <w:p w:rsidR="00312F8A" w:rsidRDefault="00312F8A" w:rsidP="00312F8A">
      <w:r>
        <w:t>In setting out our reasons for this view, this appendix is structured as follows:</w:t>
      </w:r>
    </w:p>
    <w:p w:rsidR="00312F8A" w:rsidRPr="00D9597E" w:rsidRDefault="00312F8A" w:rsidP="00312F8A">
      <w:pPr>
        <w:pStyle w:val="AERbulletlistfirststyle"/>
      </w:pPr>
      <w:r>
        <w:t xml:space="preserve">Section </w:t>
      </w:r>
      <w:r w:rsidRPr="00D9597E">
        <w:fldChar w:fldCharType="begin"/>
      </w:r>
      <w:r w:rsidRPr="00D9597E">
        <w:instrText xml:space="preserve"> REF _Ref447803792 \r \h </w:instrText>
      </w:r>
      <w:r w:rsidRPr="00D9597E">
        <w:fldChar w:fldCharType="separate"/>
      </w:r>
      <w:r w:rsidR="00691B4D">
        <w:t>B.1</w:t>
      </w:r>
      <w:r w:rsidRPr="00D9597E">
        <w:fldChar w:fldCharType="end"/>
      </w:r>
      <w:r w:rsidRPr="00D9597E">
        <w:t xml:space="preserve"> establishes how we interpret the ARORO. This is with a particular focus on defining efficient financing costs (section </w:t>
      </w:r>
      <w:r w:rsidRPr="00D9597E">
        <w:fldChar w:fldCharType="begin"/>
      </w:r>
      <w:r w:rsidRPr="00D9597E">
        <w:instrText xml:space="preserve"> REF _Ref446405872 \r \h </w:instrText>
      </w:r>
      <w:r w:rsidRPr="00D9597E">
        <w:fldChar w:fldCharType="separate"/>
      </w:r>
      <w:r w:rsidR="00691B4D">
        <w:t>B.1.1</w:t>
      </w:r>
      <w:r w:rsidRPr="00D9597E">
        <w:fldChar w:fldCharType="end"/>
      </w:r>
      <w:r w:rsidRPr="00D9597E">
        <w:t xml:space="preserve">) and how the concept of a benchmark efficient entity interacts with the ARORO (section </w:t>
      </w:r>
      <w:r w:rsidRPr="00D9597E">
        <w:fldChar w:fldCharType="begin"/>
      </w:r>
      <w:r w:rsidRPr="00D9597E">
        <w:instrText xml:space="preserve"> REF _Ref447803806 \r \h </w:instrText>
      </w:r>
      <w:r w:rsidRPr="00D9597E">
        <w:fldChar w:fldCharType="separate"/>
      </w:r>
      <w:r w:rsidR="00691B4D">
        <w:t>B.1.2</w:t>
      </w:r>
      <w:r w:rsidRPr="00D9597E">
        <w:fldChar w:fldCharType="end"/>
      </w:r>
      <w:r w:rsidRPr="00D9597E">
        <w:t>).</w:t>
      </w:r>
    </w:p>
    <w:p w:rsidR="00312F8A" w:rsidRPr="00D9597E" w:rsidRDefault="00312F8A" w:rsidP="00312F8A">
      <w:pPr>
        <w:pStyle w:val="AERbulletlistfirststyle"/>
      </w:pPr>
      <w:r>
        <w:t>S</w:t>
      </w:r>
      <w:r w:rsidRPr="00D9597E">
        <w:t xml:space="preserve">ection </w:t>
      </w:r>
      <w:r w:rsidRPr="00D9597E">
        <w:fldChar w:fldCharType="begin"/>
      </w:r>
      <w:r w:rsidRPr="00D9597E">
        <w:instrText xml:space="preserve"> REF _Ref444778432 \r \h </w:instrText>
      </w:r>
      <w:r w:rsidRPr="00D9597E">
        <w:fldChar w:fldCharType="separate"/>
      </w:r>
      <w:r w:rsidR="00691B4D">
        <w:t>B.2</w:t>
      </w:r>
      <w:r w:rsidRPr="00D9597E">
        <w:fldChar w:fldCharType="end"/>
      </w:r>
      <w:r w:rsidRPr="00D9597E">
        <w:t xml:space="preserve"> sets out what is required for us to form an allowed return on debt that contributes to the achievement of the ARORO. This includes: </w:t>
      </w:r>
    </w:p>
    <w:p w:rsidR="00312F8A" w:rsidRDefault="00312F8A" w:rsidP="00312F8A">
      <w:pPr>
        <w:pStyle w:val="AERbulletlistsecondstyle"/>
      </w:pPr>
      <w:r>
        <w:t xml:space="preserve">section </w:t>
      </w:r>
      <w:r>
        <w:fldChar w:fldCharType="begin"/>
      </w:r>
      <w:r>
        <w:instrText xml:space="preserve"> REF _Ref446603900 \r \h  \* MERGEFORMAT </w:instrText>
      </w:r>
      <w:r>
        <w:fldChar w:fldCharType="separate"/>
      </w:r>
      <w:r w:rsidR="00691B4D">
        <w:t>B.2.1</w:t>
      </w:r>
      <w:r>
        <w:fldChar w:fldCharType="end"/>
      </w:r>
      <w:r>
        <w:t>—the need to provide ex-ante compensation for efficient financing costs (ex-ante efficient compensation) as opposed to providing compensation for historically incurred costs</w:t>
      </w:r>
    </w:p>
    <w:p w:rsidR="00312F8A" w:rsidRDefault="00312F8A" w:rsidP="00312F8A">
      <w:pPr>
        <w:pStyle w:val="AERbulletlistsecondstyle"/>
      </w:pPr>
      <w:r>
        <w:t xml:space="preserve">section </w:t>
      </w:r>
      <w:r>
        <w:fldChar w:fldCharType="begin"/>
      </w:r>
      <w:r>
        <w:instrText xml:space="preserve"> REF _Ref447803918 \r \h </w:instrText>
      </w:r>
      <w:r>
        <w:fldChar w:fldCharType="separate"/>
      </w:r>
      <w:r w:rsidR="00691B4D">
        <w:t>B.2.2</w:t>
      </w:r>
      <w:r>
        <w:fldChar w:fldCharType="end"/>
      </w:r>
      <w:r>
        <w:t xml:space="preserve">—why we consider our approach is consistent with the </w:t>
      </w:r>
      <w:r w:rsidRPr="000E6F19">
        <w:t>National Electricity Law /</w:t>
      </w:r>
      <w:r w:rsidR="008414A2">
        <w:t xml:space="preserve"> </w:t>
      </w:r>
      <w:r w:rsidRPr="000E6F19">
        <w:t>National Gas Law</w:t>
      </w:r>
      <w:r>
        <w:t xml:space="preserve"> (NEL/NGL) </w:t>
      </w:r>
    </w:p>
    <w:p w:rsidR="00312F8A" w:rsidRDefault="00312F8A" w:rsidP="00312F8A">
      <w:pPr>
        <w:pStyle w:val="AERbulletlistsecondstyle"/>
      </w:pPr>
      <w:r>
        <w:t xml:space="preserve">section </w:t>
      </w:r>
      <w:r>
        <w:fldChar w:fldCharType="begin"/>
      </w:r>
      <w:r>
        <w:instrText xml:space="preserve"> REF _Ref447803924 \r \h </w:instrText>
      </w:r>
      <w:r>
        <w:fldChar w:fldCharType="separate"/>
      </w:r>
      <w:r w:rsidR="00691B4D">
        <w:t>B.2.3</w:t>
      </w:r>
      <w:r>
        <w:fldChar w:fldCharType="end"/>
      </w:r>
      <w:r>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312F8A" w:rsidRPr="00D9597E" w:rsidRDefault="00312F8A" w:rsidP="00312F8A">
      <w:pPr>
        <w:pStyle w:val="AERbulletlistfirststyle"/>
      </w:pPr>
      <w:r>
        <w:t xml:space="preserve">Section </w:t>
      </w:r>
      <w:r w:rsidRPr="00D9597E">
        <w:fldChar w:fldCharType="begin"/>
      </w:r>
      <w:r w:rsidRPr="00D9597E">
        <w:instrText xml:space="preserve"> REF _Ref444767739 \r \h </w:instrText>
      </w:r>
      <w:r w:rsidRPr="00D9597E">
        <w:fldChar w:fldCharType="separate"/>
      </w:r>
      <w:r w:rsidR="00691B4D">
        <w:t>B.3</w:t>
      </w:r>
      <w:r w:rsidRPr="00D9597E">
        <w:fldChar w:fldCharType="end"/>
      </w:r>
      <w:r w:rsidRPr="00D9597E">
        <w:t xml:space="preserve"> analyses the on-the-day and trailing average approaches to establish the extent these approaches can contribute to the achievement of the ARORO.</w:t>
      </w:r>
    </w:p>
    <w:p w:rsidR="00312F8A" w:rsidRPr="00D9597E" w:rsidRDefault="00312F8A" w:rsidP="00312F8A">
      <w:pPr>
        <w:pStyle w:val="AERbulletlistfirststyle"/>
      </w:pPr>
      <w:r>
        <w:t xml:space="preserve">Section </w:t>
      </w:r>
      <w:r w:rsidRPr="00D9597E">
        <w:fldChar w:fldCharType="begin"/>
      </w:r>
      <w:r w:rsidRPr="00D9597E">
        <w:instrText xml:space="preserve"> REF _Ref447538284 \r \h </w:instrText>
      </w:r>
      <w:r w:rsidRPr="00D9597E">
        <w:fldChar w:fldCharType="separate"/>
      </w:r>
      <w:r w:rsidR="00691B4D">
        <w:t>B.4</w:t>
      </w:r>
      <w:r w:rsidRPr="00D9597E">
        <w:fldChar w:fldCharType="end"/>
      </w:r>
      <w:r w:rsidRPr="00D9597E">
        <w:t xml:space="preserve"> establishes why a full transition can contribute to the achievement of the ARORO when moving from an on-the-day to a trailing average approach.</w:t>
      </w:r>
    </w:p>
    <w:p w:rsidR="00312F8A" w:rsidRDefault="00312F8A" w:rsidP="004C086A">
      <w:pPr>
        <w:pStyle w:val="AERbulletlistfirststyle"/>
      </w:pPr>
      <w:r>
        <w:t xml:space="preserve">Section </w:t>
      </w:r>
      <w:r w:rsidRPr="00D9597E">
        <w:fldChar w:fldCharType="begin"/>
      </w:r>
      <w:r w:rsidRPr="00D9597E">
        <w:instrText xml:space="preserve"> REF _Ref447266532 \r \h </w:instrText>
      </w:r>
      <w:r w:rsidRPr="00D9597E">
        <w:fldChar w:fldCharType="separate"/>
      </w:r>
      <w:r w:rsidR="00691B4D">
        <w:t>B.5</w:t>
      </w:r>
      <w:r w:rsidRPr="00D9597E">
        <w:fldChar w:fldCharType="end"/>
      </w:r>
      <w:r w:rsidRPr="00D9597E">
        <w:t xml:space="preserve"> explains why an immediate (or hybrid) transition will not achieve the ARORO given current interest rates relative to historical interest rates. </w:t>
      </w:r>
      <w:r>
        <w:t>This section also explains why, to achieve the ARORO, the on-the-day approach continue</w:t>
      </w:r>
      <w:r w:rsidR="004C086A">
        <w:t>s</w:t>
      </w:r>
      <w:r>
        <w:t xml:space="preserve"> if there is no revenue-neutral transition from the current on</w:t>
      </w:r>
      <w:r w:rsidR="004C086A">
        <w:t>-</w:t>
      </w:r>
      <w:r>
        <w:t>the</w:t>
      </w:r>
      <w:r w:rsidR="004C086A">
        <w:t>-</w:t>
      </w:r>
      <w:r>
        <w:t xml:space="preserve">day approach. </w:t>
      </w:r>
    </w:p>
    <w:p w:rsidR="00312F8A" w:rsidRDefault="00312F8A" w:rsidP="00A93DEC">
      <w:pPr>
        <w:pStyle w:val="Heading8"/>
        <w:numPr>
          <w:ilvl w:val="1"/>
          <w:numId w:val="68"/>
        </w:numPr>
      </w:pPr>
      <w:bookmarkStart w:id="256" w:name="_Ref447803792"/>
      <w:bookmarkStart w:id="257" w:name="_Toc452629091"/>
      <w:bookmarkStart w:id="258" w:name="_Toc457911228"/>
      <w:bookmarkStart w:id="259" w:name="_Toc461803748"/>
      <w:bookmarkStart w:id="260" w:name="_Toc462754658"/>
      <w:r>
        <w:t>Interpretation of the ARORO</w:t>
      </w:r>
      <w:bookmarkEnd w:id="256"/>
      <w:bookmarkEnd w:id="257"/>
      <w:bookmarkEnd w:id="258"/>
      <w:bookmarkEnd w:id="259"/>
      <w:bookmarkEnd w:id="260"/>
    </w:p>
    <w:p w:rsidR="00312F8A" w:rsidRDefault="00312F8A" w:rsidP="004C086A">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w:t>
      </w:r>
      <w:r w:rsidRPr="00580692">
        <w:lastRenderedPageBreak/>
        <w:t>provision of standard control</w:t>
      </w:r>
      <w:r>
        <w:t>, prescribed transmission or reference</w:t>
      </w:r>
      <w:r w:rsidRPr="00580692">
        <w:t xml:space="preserve"> services</w:t>
      </w:r>
      <w:r>
        <w:t xml:space="preserve"> (regulated services).</w:t>
      </w:r>
      <w:r>
        <w:rPr>
          <w:rStyle w:val="FootnoteReference"/>
        </w:rPr>
        <w:footnoteReference w:id="442"/>
      </w:r>
      <w:r>
        <w:t xml:space="preserve"> Given this, applying the ARORO requires an understanding of:</w:t>
      </w:r>
    </w:p>
    <w:p w:rsidR="00312F8A" w:rsidRDefault="00312F8A" w:rsidP="00A93DEC">
      <w:pPr>
        <w:pStyle w:val="AERbulletlistfirststyle"/>
      </w:pPr>
      <w:r>
        <w:t>efficient financing costs</w:t>
      </w:r>
    </w:p>
    <w:p w:rsidR="00312F8A" w:rsidRPr="00D9597E" w:rsidRDefault="00312F8A" w:rsidP="00A93DEC">
      <w:pPr>
        <w:pStyle w:val="AERbulletlistfirststyle"/>
      </w:pPr>
      <w:r>
        <w:t>the</w:t>
      </w:r>
      <w:r w:rsidRPr="00D9597E">
        <w:t xml:space="preserve"> degree of risk that applies to a benchmark efficient service provider in respect of the provision of regulated services.</w:t>
      </w:r>
    </w:p>
    <w:p w:rsidR="00312F8A" w:rsidRDefault="00312F8A" w:rsidP="00312F8A">
      <w:r>
        <w:t>We elaborate on these components of the ARORO in the following sections.</w:t>
      </w:r>
    </w:p>
    <w:p w:rsidR="00312F8A" w:rsidRDefault="00312F8A" w:rsidP="00312F8A">
      <w:pPr>
        <w:pStyle w:val="Heading9"/>
      </w:pPr>
      <w:bookmarkStart w:id="261" w:name="_Ref446405872"/>
      <w:bookmarkStart w:id="262" w:name="_Toc452629092"/>
      <w:bookmarkStart w:id="263" w:name="_Toc457911229"/>
      <w:bookmarkStart w:id="264" w:name="_Toc461803749"/>
      <w:bookmarkStart w:id="265" w:name="_Toc462754659"/>
      <w:r>
        <w:t>Efficient financing costs</w:t>
      </w:r>
      <w:bookmarkEnd w:id="261"/>
      <w:bookmarkEnd w:id="262"/>
      <w:bookmarkEnd w:id="263"/>
      <w:bookmarkEnd w:id="264"/>
      <w:bookmarkEnd w:id="265"/>
      <w:r>
        <w:t xml:space="preserve"> </w:t>
      </w:r>
    </w:p>
    <w:p w:rsidR="00312F8A" w:rsidRPr="006757DF" w:rsidRDefault="00312F8A" w:rsidP="00312F8A">
      <w:pPr>
        <w:numPr>
          <w:ilvl w:val="0"/>
          <w:numId w:val="25"/>
        </w:numPr>
      </w:pPr>
      <w:r w:rsidRPr="00362018">
        <w:t xml:space="preserve">The ARORO </w:t>
      </w:r>
      <w:r>
        <w:t>provides for</w:t>
      </w:r>
      <w:r w:rsidRPr="00362018">
        <w:t xml:space="preserve"> a rate of return commensurate with the efficient financing costs of a benchmark efficient entity with a similar degree of risk as that which applies to the service provider in respect of the provision </w:t>
      </w:r>
      <w:r>
        <w:t xml:space="preserve">of </w:t>
      </w:r>
      <w:r w:rsidRPr="00362018">
        <w:t xml:space="preserve">regulated services. </w:t>
      </w:r>
      <w:r>
        <w:t>Given this, it is important to understand efficient financing costs.</w:t>
      </w:r>
      <w:r w:rsidRPr="00C35758">
        <w:rPr>
          <w:rStyle w:val="FootnoteReference"/>
        </w:rPr>
        <w:t xml:space="preserve"> </w:t>
      </w:r>
    </w:p>
    <w:p w:rsidR="00312F8A" w:rsidRDefault="00312F8A" w:rsidP="00312F8A">
      <w:pPr>
        <w:numPr>
          <w:ilvl w:val="0"/>
          <w:numId w:val="25"/>
        </w:numPr>
      </w:pPr>
      <w:r>
        <w:t xml:space="preserve">Economists typically think of efficiency in three dimensions: productive, allocative and dynamic. </w:t>
      </w:r>
      <w:r>
        <w:fldChar w:fldCharType="begin"/>
      </w:r>
      <w:r>
        <w:instrText xml:space="preserve"> REF _Ref447803361 \h </w:instrText>
      </w:r>
      <w:r>
        <w:fldChar w:fldCharType="separate"/>
      </w:r>
      <w:r w:rsidR="00691B4D">
        <w:t xml:space="preserve">Table </w:t>
      </w:r>
      <w:r w:rsidR="00691B4D">
        <w:rPr>
          <w:noProof/>
        </w:rPr>
        <w:t>3</w:t>
      </w:r>
      <w:r w:rsidR="00691B4D">
        <w:noBreakHyphen/>
      </w:r>
      <w:r w:rsidR="00691B4D">
        <w:rPr>
          <w:noProof/>
        </w:rPr>
        <w:t>26</w:t>
      </w:r>
      <w:r>
        <w:fldChar w:fldCharType="end"/>
      </w:r>
      <w:r>
        <w:t xml:space="preserve"> sets out how this applies in the context of debt financing.</w:t>
      </w:r>
    </w:p>
    <w:p w:rsidR="00312F8A" w:rsidRDefault="00312F8A" w:rsidP="00312F8A">
      <w:pPr>
        <w:pStyle w:val="Caption"/>
      </w:pPr>
      <w:bookmarkStart w:id="266" w:name="_Ref447803361"/>
      <w:r>
        <w:t xml:space="preserve">Table </w:t>
      </w:r>
      <w:r w:rsidR="00AB6D99">
        <w:fldChar w:fldCharType="begin"/>
      </w:r>
      <w:r w:rsidR="00AB6D99">
        <w:instrText xml:space="preserve"> STYLEREF 1 \s </w:instrText>
      </w:r>
      <w:r w:rsidR="00AB6D99">
        <w:fldChar w:fldCharType="separate"/>
      </w:r>
      <w:r w:rsidR="00691B4D">
        <w:rPr>
          <w:noProof/>
        </w:rPr>
        <w:t>3</w:t>
      </w:r>
      <w:r w:rsidR="00AB6D99">
        <w:rPr>
          <w:noProof/>
        </w:rPr>
        <w:fldChar w:fldCharType="end"/>
      </w:r>
      <w:r>
        <w:noBreakHyphen/>
      </w:r>
      <w:r w:rsidR="00AB6D99">
        <w:fldChar w:fldCharType="begin"/>
      </w:r>
      <w:r w:rsidR="00AB6D99">
        <w:instrText xml:space="preserve"> SEQ Table \* ARABIC \s 1 </w:instrText>
      </w:r>
      <w:r w:rsidR="00AB6D99">
        <w:fldChar w:fldCharType="separate"/>
      </w:r>
      <w:r w:rsidR="00691B4D">
        <w:rPr>
          <w:noProof/>
        </w:rPr>
        <w:t>26</w:t>
      </w:r>
      <w:r w:rsidR="00AB6D99">
        <w:rPr>
          <w:noProof/>
        </w:rPr>
        <w:fldChar w:fldCharType="end"/>
      </w:r>
      <w:bookmarkEnd w:id="266"/>
      <w:r>
        <w:tab/>
        <w:t>Application of economic efficiency to debt financing</w:t>
      </w:r>
    </w:p>
    <w:tbl>
      <w:tblPr>
        <w:tblStyle w:val="AERtable-text0"/>
        <w:tblW w:w="5000" w:type="pct"/>
        <w:tblLook w:val="04A0" w:firstRow="1" w:lastRow="0" w:firstColumn="1" w:lastColumn="0" w:noHBand="0" w:noVBand="1"/>
      </w:tblPr>
      <w:tblGrid>
        <w:gridCol w:w="1640"/>
        <w:gridCol w:w="3430"/>
        <w:gridCol w:w="3623"/>
      </w:tblGrid>
      <w:tr w:rsidR="00312F8A" w:rsidRPr="00B814E2" w:rsidTr="00A93DEC">
        <w:trPr>
          <w:cnfStyle w:val="100000000000" w:firstRow="1" w:lastRow="0" w:firstColumn="0" w:lastColumn="0" w:oddVBand="0" w:evenVBand="0" w:oddHBand="0" w:evenHBand="0" w:firstRowFirstColumn="0" w:firstRowLastColumn="0" w:lastRowFirstColumn="0" w:lastRowLastColumn="0"/>
        </w:trPr>
        <w:tc>
          <w:tcPr>
            <w:tcW w:w="943" w:type="pct"/>
          </w:tcPr>
          <w:p w:rsidR="00312F8A" w:rsidRPr="00312F8A" w:rsidRDefault="00312F8A" w:rsidP="00312F8A">
            <w:r w:rsidRPr="00B814E2">
              <w:t>Dimension of efficiency</w:t>
            </w:r>
          </w:p>
        </w:tc>
        <w:tc>
          <w:tcPr>
            <w:tcW w:w="1973" w:type="pct"/>
          </w:tcPr>
          <w:p w:rsidR="00312F8A" w:rsidRPr="00312F8A" w:rsidRDefault="00312F8A" w:rsidP="00312F8A">
            <w:r w:rsidRPr="00B814E2">
              <w:t>Economic meaning</w:t>
            </w:r>
            <w:r w:rsidRPr="00312F8A">
              <w:rPr>
                <w:rStyle w:val="AERsuperscript"/>
              </w:rPr>
              <w:footnoteReference w:id="443"/>
            </w:r>
          </w:p>
        </w:tc>
        <w:tc>
          <w:tcPr>
            <w:tcW w:w="2084" w:type="pct"/>
          </w:tcPr>
          <w:p w:rsidR="00312F8A" w:rsidRPr="00312F8A" w:rsidRDefault="00312F8A" w:rsidP="00312F8A">
            <w:r w:rsidRPr="00B814E2">
              <w:t>Application to debt financing</w:t>
            </w:r>
            <w:r w:rsidRPr="00312F8A">
              <w:rPr>
                <w:rStyle w:val="AERsuperscript"/>
              </w:rPr>
              <w:footnoteReference w:id="444"/>
            </w:r>
          </w:p>
        </w:tc>
      </w:tr>
      <w:tr w:rsidR="004C086A" w:rsidRPr="00B814E2" w:rsidTr="00A93DEC">
        <w:tc>
          <w:tcPr>
            <w:tcW w:w="943" w:type="pct"/>
          </w:tcPr>
          <w:p w:rsidR="004C086A" w:rsidRPr="004C086A" w:rsidRDefault="004C086A" w:rsidP="004C086A">
            <w:r w:rsidRPr="00D9597E">
              <w:t>Productive efficiency</w:t>
            </w:r>
          </w:p>
        </w:tc>
        <w:tc>
          <w:tcPr>
            <w:tcW w:w="1973" w:type="pct"/>
          </w:tcPr>
          <w:p w:rsidR="004C086A" w:rsidRPr="004C086A" w:rsidRDefault="004C086A" w:rsidP="004C086A">
            <w:r>
              <w:t>Achieved when output production is at</w:t>
            </w:r>
            <w:r w:rsidRPr="004C086A">
              <w:t xml:space="preserve"> minimum cost. This occurs when no more output can be produced, given available resources. The economy is on its production possibility frontier. Productive efficiency incorporates technically efficiency. This refers to the extent that it is technically feasible to reduce input without decreasing the output or increasing any other input. </w:t>
            </w:r>
          </w:p>
        </w:tc>
        <w:tc>
          <w:tcPr>
            <w:tcW w:w="2084" w:type="pct"/>
          </w:tcPr>
          <w:p w:rsidR="004C086A" w:rsidRPr="004C086A" w:rsidRDefault="004C086A" w:rsidP="004C086A">
            <w:r w:rsidRPr="00D9597E">
              <w:t>Refers to least cost financing (that is, the lowest required return on debt) subject to any constraints, such as risk</w:t>
            </w:r>
            <w:r w:rsidRPr="004C086A">
              <w:t>. For our determinations to be productively efficient we need to incentivise service providers to seek the lowest cost financing (all else being equal).</w:t>
            </w:r>
          </w:p>
        </w:tc>
      </w:tr>
      <w:tr w:rsidR="004C086A" w:rsidRPr="00B814E2" w:rsidTr="00A93DEC">
        <w:trPr>
          <w:cnfStyle w:val="000000010000" w:firstRow="0" w:lastRow="0" w:firstColumn="0" w:lastColumn="0" w:oddVBand="0" w:evenVBand="0" w:oddHBand="0" w:evenHBand="1" w:firstRowFirstColumn="0" w:firstRowLastColumn="0" w:lastRowFirstColumn="0" w:lastRowLastColumn="0"/>
        </w:trPr>
        <w:tc>
          <w:tcPr>
            <w:tcW w:w="943" w:type="pct"/>
          </w:tcPr>
          <w:p w:rsidR="004C086A" w:rsidRPr="004C086A" w:rsidRDefault="004C086A" w:rsidP="004C086A">
            <w:r w:rsidRPr="00D9597E">
              <w:t>Allocative efficiency</w:t>
            </w:r>
          </w:p>
        </w:tc>
        <w:tc>
          <w:tcPr>
            <w:tcW w:w="1973" w:type="pct"/>
          </w:tcPr>
          <w:p w:rsidR="004C086A" w:rsidRPr="004C086A" w:rsidRDefault="004C086A" w:rsidP="004C086A">
            <w:r w:rsidRPr="00D9597E">
              <w:t>Achieved when the community gets the greatest return (or utility) from its scarce resources.</w:t>
            </w:r>
          </w:p>
        </w:tc>
        <w:tc>
          <w:tcPr>
            <w:tcW w:w="2084" w:type="pct"/>
          </w:tcPr>
          <w:p w:rsidR="004C086A" w:rsidRPr="004C086A" w:rsidRDefault="004C086A" w:rsidP="004C086A">
            <w:r>
              <w:t xml:space="preserve">Allocative </w:t>
            </w:r>
            <w:r w:rsidRPr="004C086A">
              <w:t>efficiency can be achieved by setting an allowed return consistent with the expected return in the competitive capital market (determined by demand and supply) for an investment of similar degree of risk as a service provider supplying regulated services.</w:t>
            </w:r>
          </w:p>
        </w:tc>
      </w:tr>
      <w:tr w:rsidR="004C086A" w:rsidRPr="00B814E2" w:rsidTr="00A93DEC">
        <w:tc>
          <w:tcPr>
            <w:tcW w:w="943" w:type="pct"/>
          </w:tcPr>
          <w:p w:rsidR="004C086A" w:rsidRPr="004C086A" w:rsidRDefault="004C086A" w:rsidP="004C086A">
            <w:r w:rsidRPr="00D9597E">
              <w:t>Dynamic efficiency</w:t>
            </w:r>
          </w:p>
        </w:tc>
        <w:tc>
          <w:tcPr>
            <w:tcW w:w="1973" w:type="pct"/>
          </w:tcPr>
          <w:p w:rsidR="004C086A" w:rsidRPr="004C086A" w:rsidRDefault="004C086A" w:rsidP="004C086A">
            <w:r w:rsidRPr="00D9597E">
              <w:t xml:space="preserve">Refers to the allocation of resources over time, including allocations designed to improve economic efficiency and to generate more resources. </w:t>
            </w:r>
            <w:r w:rsidRPr="004C086A">
              <w:t>This can mean finding better products and better ways of producing goods and services.</w:t>
            </w:r>
          </w:p>
        </w:tc>
        <w:tc>
          <w:tcPr>
            <w:tcW w:w="2084" w:type="pct"/>
          </w:tcPr>
          <w:p w:rsidR="004C086A" w:rsidRPr="004C086A" w:rsidRDefault="004C086A" w:rsidP="004C086A">
            <w:r w:rsidRPr="00D9597E">
              <w:t>Refers to the existence of appropriate investment incentives</w:t>
            </w:r>
            <w:r w:rsidRPr="004C086A">
              <w:t xml:space="preserve">. 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312F8A" w:rsidRDefault="00312F8A" w:rsidP="00312F8A">
      <w:pPr>
        <w:pStyle w:val="AERtablesource"/>
      </w:pPr>
      <w:r>
        <w:lastRenderedPageBreak/>
        <w:t>Source:</w:t>
      </w:r>
      <w:r>
        <w:tab/>
        <w:t xml:space="preserve">AER analysis; Productivity Commission, </w:t>
      </w:r>
      <w:r w:rsidRPr="00B814E2">
        <w:rPr>
          <w:rStyle w:val="AERtextitalic"/>
        </w:rPr>
        <w:t>On efficiency and effectiveness: Some definitions</w:t>
      </w:r>
      <w:r>
        <w:t xml:space="preserve">, May 2013; AER, </w:t>
      </w:r>
      <w:r w:rsidRPr="006757DF">
        <w:rPr>
          <w:rStyle w:val="AERtextitalic"/>
        </w:rPr>
        <w:t>Better regulation: Rate of return guidelines consultation paper</w:t>
      </w:r>
      <w:r>
        <w:t>, May 2013.</w:t>
      </w:r>
    </w:p>
    <w:p w:rsidR="00312F8A" w:rsidRDefault="00312F8A" w:rsidP="00312F8A">
      <w:pPr>
        <w:numPr>
          <w:ilvl w:val="0"/>
          <w:numId w:val="25"/>
        </w:numPr>
      </w:pPr>
      <w:r>
        <w:t xml:space="preserve">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debt financing costs are reflected in the prevailing cost of debt observed in capital markets</w:t>
      </w:r>
      <w:r w:rsidRPr="00EE36F1">
        <w:t xml:space="preserve"> </w:t>
      </w:r>
      <w:r>
        <w:t>for an investment with a similar degree of risk as that which applies to a service provider in respect of the provision of regulated services.</w:t>
      </w:r>
      <w:r>
        <w:rPr>
          <w:rStyle w:val="FootnoteReference"/>
        </w:rPr>
        <w:footnoteReference w:id="445"/>
      </w:r>
      <w:r>
        <w:t xml:space="preserve"> </w:t>
      </w:r>
      <w:r w:rsidRPr="00EE36F1">
        <w:t>As Alfred Kahn stated:</w:t>
      </w:r>
      <w:r>
        <w:rPr>
          <w:rStyle w:val="FootnoteReference"/>
        </w:rPr>
        <w:footnoteReference w:id="446"/>
      </w:r>
    </w:p>
    <w:p w:rsidR="00312F8A" w:rsidRDefault="00312F8A" w:rsidP="00312F8A">
      <w:pPr>
        <w:pStyle w:val="AERquote"/>
      </w:pPr>
      <w:r w:rsidRPr="00EE36F1">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312F8A" w:rsidRDefault="00312F8A" w:rsidP="00312F8A">
      <w:pPr>
        <w:numPr>
          <w:ilvl w:val="0"/>
          <w:numId w:val="25"/>
        </w:numPr>
      </w:pPr>
      <w:r>
        <w:t>Similarly, Associate Professor Graham Partington and Professor Stephen Satchell (Partington and Satchell) interpret efficient financing costs as the opportunity cost of capital, which is a market rate of return for assets with a given level of risk.</w:t>
      </w:r>
      <w:r>
        <w:rPr>
          <w:rStyle w:val="FootnoteReference"/>
        </w:rPr>
        <w:footnoteReference w:id="447"/>
      </w:r>
      <w:r>
        <w:t xml:space="preserve"> They advise the opportunity cost of debt is generally measured using the (appropriately benchmarked) yield to maturity.</w:t>
      </w:r>
      <w:r>
        <w:rPr>
          <w:rStyle w:val="FootnoteReference"/>
        </w:rPr>
        <w:footnoteReference w:id="448"/>
      </w:r>
      <w:r>
        <w:t xml:space="preserve"> They also consider our use of a benchmark BBB+ credit rating and ten year term is appropriate.</w:t>
      </w:r>
      <w:r>
        <w:rPr>
          <w:rStyle w:val="FootnoteReference"/>
        </w:rPr>
        <w:footnoteReference w:id="449"/>
      </w:r>
    </w:p>
    <w:p w:rsidR="00312F8A" w:rsidRDefault="00312F8A" w:rsidP="00312F8A">
      <w:pPr>
        <w:numPr>
          <w:ilvl w:val="0"/>
          <w:numId w:val="25"/>
        </w:numPr>
      </w:pPr>
      <w:r>
        <w:t xml:space="preserve">We consider that productive, allocative and dynamic efficiency are advanced by employing a return on debt that reflects prevailing rates in the market for funds. This will also promote the long term interests of consumers in line with the </w:t>
      </w:r>
      <w:r w:rsidRPr="00C917D3">
        <w:t xml:space="preserve">National Electricity Objective / National Gas Objective </w:t>
      </w:r>
      <w:r>
        <w:t>(NEO/NGO).</w:t>
      </w:r>
      <w:r w:rsidRPr="00E64F99">
        <w:rPr>
          <w:rStyle w:val="FootnoteReference"/>
        </w:rPr>
        <w:footnoteReference w:id="450"/>
      </w:r>
      <w:r>
        <w:t xml:space="preserve"> </w:t>
      </w:r>
    </w:p>
    <w:p w:rsidR="00312F8A" w:rsidRDefault="00312F8A" w:rsidP="00312F8A">
      <w:pPr>
        <w:pStyle w:val="Heading9"/>
      </w:pPr>
      <w:bookmarkStart w:id="267" w:name="_Ref447803806"/>
      <w:bookmarkStart w:id="268" w:name="_Toc452629093"/>
      <w:bookmarkStart w:id="269" w:name="_Toc457911230"/>
      <w:bookmarkStart w:id="270" w:name="_Toc461803750"/>
      <w:bookmarkStart w:id="271" w:name="_Toc462754660"/>
      <w:r>
        <w:t>Benchmark efficient entity</w:t>
      </w:r>
      <w:bookmarkEnd w:id="267"/>
      <w:bookmarkEnd w:id="268"/>
      <w:bookmarkEnd w:id="269"/>
      <w:bookmarkEnd w:id="270"/>
      <w:bookmarkEnd w:id="271"/>
    </w:p>
    <w:p w:rsidR="00312F8A" w:rsidRDefault="00312F8A" w:rsidP="00312F8A">
      <w:r w:rsidRPr="004B76DC">
        <w:lastRenderedPageBreak/>
        <w:t xml:space="preserve">We consider a benchmark efficient entity would be 'a pure play, regulated energy network business operating within Australia'. This </w:t>
      </w:r>
      <w:r>
        <w:t>has been adopted in:</w:t>
      </w:r>
    </w:p>
    <w:p w:rsidR="00312F8A" w:rsidRPr="00D9597E" w:rsidRDefault="00312F8A" w:rsidP="00312F8A">
      <w:pPr>
        <w:pStyle w:val="AERbulletlistfirststyle"/>
      </w:pPr>
      <w:r>
        <w:t xml:space="preserve">The </w:t>
      </w:r>
      <w:r w:rsidRPr="00D9597E">
        <w:t>rate of return guidelines published in December 2013 (the Guideline).</w:t>
      </w:r>
      <w:r w:rsidRPr="00D9597E">
        <w:rPr>
          <w:rStyle w:val="FootnoteReference"/>
        </w:rPr>
        <w:footnoteReference w:id="451"/>
      </w:r>
      <w:r w:rsidRPr="00D9597E">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000E5C93" w:rsidRPr="000E5C93">
        <w:rPr>
          <w:rStyle w:val="FootnoteReference"/>
        </w:rPr>
        <w:t xml:space="preserve"> </w:t>
      </w:r>
      <w:r w:rsidR="000E5C93" w:rsidRPr="00D9597E">
        <w:rPr>
          <w:rStyle w:val="FootnoteReference"/>
        </w:rPr>
        <w:footnoteReference w:id="452"/>
      </w:r>
      <w:r w:rsidRPr="00D9597E">
        <w:t xml:space="preserve"> To the contrary, stakeholders recognised that price and revenue caps had particular roles in mitigating risk as well as other features of the regulatory framework such as maintenance of the regulatory asset base.</w:t>
      </w:r>
      <w:r w:rsidR="000E5C93" w:rsidRPr="000E5C93">
        <w:rPr>
          <w:rStyle w:val="FootnoteReference"/>
        </w:rPr>
        <w:t xml:space="preserve"> </w:t>
      </w:r>
      <w:r w:rsidR="000E5C93" w:rsidRPr="00D9597E">
        <w:rPr>
          <w:rStyle w:val="FootnoteReference"/>
        </w:rPr>
        <w:footnoteReference w:id="453"/>
      </w:r>
    </w:p>
    <w:p w:rsidR="00312F8A" w:rsidRPr="00D9597E" w:rsidRDefault="00312F8A" w:rsidP="00312F8A">
      <w:pPr>
        <w:pStyle w:val="AERbulletlistfirststyle"/>
      </w:pPr>
      <w:r>
        <w:t xml:space="preserve">Our previous 2009 </w:t>
      </w:r>
      <w:r w:rsidRPr="00D9597E">
        <w:t>we</w:t>
      </w:r>
      <w:r w:rsidR="002B2D25">
        <w:t>ighted average cost of capital</w:t>
      </w:r>
      <w:r w:rsidRPr="00D9597E">
        <w:t xml:space="preserve"> review.</w:t>
      </w:r>
      <w:r w:rsidRPr="00D9597E">
        <w:rPr>
          <w:rStyle w:val="FootnoteReference"/>
        </w:rPr>
        <w:footnoteReference w:id="454"/>
      </w:r>
      <w:r w:rsidRPr="00D9597E">
        <w:t xml:space="preserve"> </w:t>
      </w:r>
    </w:p>
    <w:p w:rsidR="00312F8A" w:rsidRPr="00D9597E" w:rsidRDefault="00312F8A" w:rsidP="00312F8A">
      <w:pPr>
        <w:pStyle w:val="AERbulletlistfirststyle"/>
      </w:pPr>
      <w:r>
        <w:t>Our rate of return decisions following the publication of the Guideline.</w:t>
      </w:r>
      <w:r w:rsidRPr="00D9597E">
        <w:rPr>
          <w:rStyle w:val="FootnoteReference"/>
        </w:rPr>
        <w:footnoteReference w:id="455"/>
      </w:r>
    </w:p>
    <w:p w:rsidR="00312F8A" w:rsidRPr="00D9597E" w:rsidRDefault="00312F8A" w:rsidP="00312F8A">
      <w:r w:rsidRPr="009D1BB8">
        <w:t xml:space="preserve">We have devoted considerable time to </w:t>
      </w:r>
      <w:r w:rsidRPr="00D9597E">
        <w:t xml:space="preserve">considering the characteristics of a benchmark efficient entity in </w:t>
      </w:r>
      <w:r>
        <w:t>the Guideline and this decision.</w:t>
      </w:r>
      <w:r w:rsidRPr="00D9597E">
        <w:t xml:space="preserve"> We consider a 'benchmark' is a reference point or standard against which performance of achievements can be assessed.</w:t>
      </w:r>
      <w:r w:rsidRPr="00D9597E">
        <w:rPr>
          <w:rStyle w:val="FootnoteReference"/>
        </w:rPr>
        <w:footnoteReference w:id="456"/>
      </w:r>
      <w:r w:rsidRPr="00D9597E">
        <w:t xml:space="preserve"> For a benchmark to be useful, it must 'fairly and accurately represent the key attributes of the market segment or financial instrument in question’.</w:t>
      </w:r>
      <w:r w:rsidRPr="00D9597E">
        <w:rPr>
          <w:rStyle w:val="FootnoteReference"/>
        </w:rPr>
        <w:footnoteReference w:id="457"/>
      </w:r>
      <w:r w:rsidRPr="00D9597E">
        <w:t xml:space="preserve"> As the AEMC recognised (underline added for emphasis):</w:t>
      </w:r>
      <w:r w:rsidRPr="00D9597E">
        <w:rPr>
          <w:rStyle w:val="FootnoteReference"/>
        </w:rPr>
        <w:footnoteReference w:id="458"/>
      </w:r>
    </w:p>
    <w:p w:rsidR="00312F8A" w:rsidRDefault="00312F8A" w:rsidP="00312F8A">
      <w:pPr>
        <w:pStyle w:val="AERquote"/>
      </w:pPr>
      <w:r w:rsidRPr="009D1BB8">
        <w:t xml:space="preserve">In order to meet the NEO and the NGO, this [allowed rate of return] objective reflected the need for the rate of return to "correspond to" the efficient financing costs of a benchmark efficient entity, this entity being one </w:t>
      </w:r>
      <w:r w:rsidRPr="009D1BB8">
        <w:rPr>
          <w:rStyle w:val="AERtextunderline"/>
        </w:rPr>
        <w:t>with similar circumstances and degree of risk to the service provider</w:t>
      </w:r>
      <w:r>
        <w:t>.</w:t>
      </w:r>
    </w:p>
    <w:p w:rsidR="00312F8A" w:rsidRDefault="00152BC8" w:rsidP="00312F8A">
      <w:r>
        <w:t xml:space="preserve">Since the submission of proposals in the matters under consideration, </w:t>
      </w:r>
      <w:r w:rsidR="00312F8A">
        <w:t>a debate has arisen</w:t>
      </w:r>
      <w:r>
        <w:t xml:space="preserve"> </w:t>
      </w:r>
      <w:r w:rsidR="00312F8A">
        <w:t xml:space="preserve">as to whether </w:t>
      </w:r>
      <w:r w:rsidR="00312F8A" w:rsidRPr="00E64F99">
        <w:t>a benchmark efficient entity would</w:t>
      </w:r>
      <w:r w:rsidR="00312F8A">
        <w:t xml:space="preserve"> necessarily</w:t>
      </w:r>
      <w:r w:rsidR="00312F8A" w:rsidRPr="00E64F99">
        <w:t xml:space="preserve"> be unregulated</w:t>
      </w:r>
      <w:r w:rsidR="00312F8A">
        <w:t>. In their recent revised proposals, service providers submitted that</w:t>
      </w:r>
      <w:r w:rsidR="00312F8A" w:rsidRPr="004B76DC">
        <w:t xml:space="preserve"> a benchmark efficient entity with a similar degree of risk in respect of the provision of regulated services must be an unregulated business.</w:t>
      </w:r>
      <w:r w:rsidR="00312F8A" w:rsidRPr="004B76DC">
        <w:rPr>
          <w:rStyle w:val="FootnoteReference"/>
        </w:rPr>
        <w:footnoteReference w:id="459"/>
      </w:r>
      <w:r w:rsidR="00312F8A" w:rsidRPr="004B76DC">
        <w:t xml:space="preserve"> </w:t>
      </w:r>
      <w:r w:rsidR="00312F8A">
        <w:t xml:space="preserve">This followed the Tribunal hearing in an application for </w:t>
      </w:r>
      <w:r w:rsidR="00312F8A">
        <w:lastRenderedPageBreak/>
        <w:t>review of revenue determinations by Networks NSW, and ActewAGL which resulted in the Tribunal recently forming the view that a benchmark efficient entity referred to in the ARORO is likely not a regulated entity.</w:t>
      </w:r>
      <w:r w:rsidR="00312F8A">
        <w:rPr>
          <w:rStyle w:val="FootnoteReference"/>
        </w:rPr>
        <w:footnoteReference w:id="460"/>
      </w:r>
      <w:r w:rsidR="00312F8A" w:rsidRPr="00A157BA">
        <w:t xml:space="preserve"> </w:t>
      </w:r>
    </w:p>
    <w:p w:rsidR="00312F8A" w:rsidRDefault="00312F8A" w:rsidP="00312F8A">
      <w:r>
        <w:t>We did not consider this issue prior to the Tribunal's decision because it had not been raised substantively by any service provider.</w:t>
      </w:r>
      <w:r>
        <w:rPr>
          <w:rStyle w:val="FootnoteReference"/>
        </w:rPr>
        <w:footnoteReference w:id="461"/>
      </w:r>
      <w:r>
        <w:t xml:space="preserve"> Consequently, the Tribunal did not have our fully formed view and reasoning before it when it considered this issue. We consider </w:t>
      </w:r>
      <w:r w:rsidRPr="00A157BA">
        <w:t xml:space="preserve">the </w:t>
      </w:r>
      <w:r>
        <w:t xml:space="preserve">Tribunal may have come to its position because </w:t>
      </w:r>
      <w:r w:rsidRPr="00A157BA">
        <w:t xml:space="preserve">it did not have </w:t>
      </w:r>
      <w:r>
        <w:t>our</w:t>
      </w:r>
      <w:r w:rsidRPr="00A157BA">
        <w:t xml:space="preserve"> fully formed argument</w:t>
      </w:r>
      <w:r>
        <w:t>s</w:t>
      </w:r>
      <w:r w:rsidRPr="00A157BA">
        <w:t xml:space="preserve"> before it. </w:t>
      </w:r>
      <w:r>
        <w:t xml:space="preserve">We intend to reconsider this issue fully when we undertake the remittal of the ACT and NSW </w:t>
      </w:r>
      <w:r w:rsidR="008D6134">
        <w:t>electricity distribution service providers</w:t>
      </w:r>
      <w:r>
        <w:t xml:space="preserve"> and JGN decisions. We base our analysis in this decision on the brief material submitted by ActewAGL and other service providers with coincident decisions.</w:t>
      </w:r>
    </w:p>
    <w:p w:rsidR="00312F8A" w:rsidRDefault="00312F8A" w:rsidP="00312F8A">
      <w:r>
        <w:t>After considering the material submitted in recent revised proposals, we maintain our view that the characteristic 'regulated' should be retained</w:t>
      </w:r>
      <w:r w:rsidRPr="004B76DC">
        <w:t xml:space="preserve"> for a benchmark efficient entity when carrying out our analyses.</w:t>
      </w:r>
      <w:r>
        <w:rPr>
          <w:rStyle w:val="FootnoteReference"/>
        </w:rPr>
        <w:footnoteReference w:id="462"/>
      </w:r>
      <w:r>
        <w:t xml:space="preserve"> For our analysis, see 'elements of the ARORO' under section 3.3.3 of attachment three. </w:t>
      </w:r>
    </w:p>
    <w:p w:rsidR="00312F8A" w:rsidRDefault="00312F8A" w:rsidP="00312F8A">
      <w:r>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Pr>
          <w:rStyle w:val="FootnoteReference"/>
        </w:rPr>
        <w:footnoteReference w:id="463"/>
      </w:r>
    </w:p>
    <w:p w:rsidR="00312F8A" w:rsidRDefault="00312F8A" w:rsidP="00312F8A">
      <w:r>
        <w:t xml:space="preserve">Nevertheless, even if a benchmark efficient entity was necessarily unregulated, we do not consider this would affect our conclusions. Our approach to the cost of debt would be applicable to an unregulated firm </w:t>
      </w:r>
      <w:r w:rsidRPr="007C426B">
        <w:t>if it had a similar degree of risk to the service provider in providing regulated services</w:t>
      </w:r>
      <w:r>
        <w:t xml:space="preserve">. Further, irrespective of whether a firm is regulated or not, efficient financing costs reflect the current (or prevailing) forward looking costs observed in capital markets. </w:t>
      </w:r>
    </w:p>
    <w:p w:rsidR="00312F8A" w:rsidRDefault="00312F8A" w:rsidP="00312F8A">
      <w:pPr>
        <w:pStyle w:val="Heading8"/>
      </w:pPr>
      <w:bookmarkStart w:id="272" w:name="_Ref444778432"/>
      <w:bookmarkStart w:id="273" w:name="_Toc452629094"/>
      <w:bookmarkStart w:id="274" w:name="_Toc457911231"/>
      <w:bookmarkStart w:id="275" w:name="_Toc461803751"/>
      <w:bookmarkStart w:id="276" w:name="_Toc462754661"/>
      <w:r>
        <w:t>Requirements under the ARORO</w:t>
      </w:r>
      <w:bookmarkEnd w:id="272"/>
      <w:bookmarkEnd w:id="273"/>
      <w:bookmarkEnd w:id="274"/>
      <w:bookmarkEnd w:id="275"/>
      <w:bookmarkEnd w:id="276"/>
    </w:p>
    <w:p w:rsidR="00896680" w:rsidRDefault="00312F8A" w:rsidP="00312F8A">
      <w:r>
        <w:lastRenderedPageBreak/>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provision of </w:t>
      </w:r>
      <w:r>
        <w:t>regulated services.</w:t>
      </w:r>
      <w:r>
        <w:rPr>
          <w:rStyle w:val="FootnoteReference"/>
        </w:rPr>
        <w:footnoteReference w:id="464"/>
      </w:r>
      <w:r>
        <w:t xml:space="preserve"> We consider this </w:t>
      </w:r>
      <w:r w:rsidRPr="00F21B32">
        <w:t>require</w:t>
      </w:r>
      <w:r>
        <w:t>s</w:t>
      </w:r>
      <w:r w:rsidRPr="00F21B32">
        <w:t xml:space="preserve"> </w:t>
      </w:r>
      <w:r>
        <w:t>us</w:t>
      </w:r>
      <w:r w:rsidRPr="00F21B32">
        <w:t xml:space="preserve"> to set an allowed rate of return that </w:t>
      </w:r>
      <w:r>
        <w:t>appropriately</w:t>
      </w:r>
      <w:r w:rsidRPr="00F21B32">
        <w:t xml:space="preserve"> compensates investors on their capital investments (in an ex-ante sense) and aims to minimise the long run cost of capital (all else </w:t>
      </w:r>
      <w:r>
        <w:t xml:space="preserve">being </w:t>
      </w:r>
      <w:r w:rsidRPr="00F21B32">
        <w:t>equal).</w:t>
      </w:r>
      <w:r w:rsidRPr="00F21B32">
        <w:rPr>
          <w:rStyle w:val="FootnoteReference"/>
        </w:rPr>
        <w:footnoteReference w:id="465"/>
      </w:r>
      <w:r w:rsidRPr="00F21B32">
        <w:t xml:space="preserve"> By </w:t>
      </w:r>
      <w:r>
        <w:t xml:space="preserve">appropriate </w:t>
      </w:r>
      <w:r w:rsidRPr="00F21B32">
        <w:t xml:space="preserve">compensation we mean that the ex-ante return should be commensurate with the </w:t>
      </w:r>
      <w:r w:rsidRPr="00C917D3">
        <w:rPr>
          <w:rStyle w:val="AERtextunderline"/>
        </w:rPr>
        <w:t>expected</w:t>
      </w:r>
      <w:r w:rsidRPr="00F21B32">
        <w:t xml:space="preserve">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rsidRPr="00F21B32">
        <w:rPr>
          <w:rStyle w:val="FootnoteReference"/>
        </w:rPr>
        <w:footnoteReference w:id="466"/>
      </w:r>
      <w:r w:rsidRPr="00F21B32">
        <w:t xml:space="preserve"> We consider </w:t>
      </w:r>
      <w:r>
        <w:t>this</w:t>
      </w:r>
      <w:r w:rsidRPr="00F21B32">
        <w:t xml:space="preserve"> is the efficient return </w:t>
      </w:r>
      <w:r>
        <w:t>expected</w:t>
      </w:r>
      <w:r w:rsidRPr="00F21B32">
        <w:t xml:space="preserve"> in a competitive capital market</w:t>
      </w:r>
      <w:r>
        <w:t>, consistent with models underpinning financial theory on efficient markets</w:t>
      </w:r>
      <w:r w:rsidRPr="00F21B32">
        <w:t>.</w:t>
      </w:r>
      <w:r w:rsidRPr="00F21B32">
        <w:rPr>
          <w:rStyle w:val="FootnoteReference"/>
        </w:rPr>
        <w:footnoteReference w:id="467"/>
      </w:r>
    </w:p>
    <w:p w:rsidR="00312F8A" w:rsidRDefault="00312F8A" w:rsidP="00312F8A">
      <w:r>
        <w:t>We elaborate on this in the following sections by setting out why and how a rate of return that meets the ARORO must:</w:t>
      </w:r>
    </w:p>
    <w:p w:rsidR="00312F8A" w:rsidRPr="00D9597E" w:rsidRDefault="00312F8A" w:rsidP="00312F8A">
      <w:pPr>
        <w:pStyle w:val="AERbulletlistfirststyle"/>
      </w:pPr>
      <w:r>
        <w:t>p</w:t>
      </w:r>
      <w:r w:rsidRPr="00D9597E">
        <w:t xml:space="preserve">rovide for ex-ante efficient compensation </w:t>
      </w:r>
    </w:p>
    <w:p w:rsidR="00312F8A" w:rsidRPr="00D9597E" w:rsidRDefault="00312F8A" w:rsidP="00312F8A">
      <w:pPr>
        <w:pStyle w:val="AERbulletlistfirststyle"/>
      </w:pPr>
      <w:r>
        <w:t xml:space="preserve">be </w:t>
      </w:r>
      <w:r w:rsidRPr="00D9597E">
        <w:t>consistent with the NEL/NGL</w:t>
      </w:r>
    </w:p>
    <w:p w:rsidR="00312F8A" w:rsidRPr="00D9597E" w:rsidRDefault="00312F8A" w:rsidP="00312F8A">
      <w:pPr>
        <w:pStyle w:val="AERbulletlistfirststyle"/>
      </w:pPr>
      <w:r>
        <w:t xml:space="preserve">require </w:t>
      </w:r>
      <w:r w:rsidRPr="00D9597E">
        <w:t>a revenue-neutral transition if there is a change in the methodology used to estimate the allowed return on debt (assuming that both methodologies can meet the ARORO but produce different estimates across time).</w:t>
      </w:r>
    </w:p>
    <w:p w:rsidR="00312F8A" w:rsidRPr="00F21B32" w:rsidRDefault="00312F8A" w:rsidP="00312F8A">
      <w:pPr>
        <w:pStyle w:val="Heading9"/>
      </w:pPr>
      <w:bookmarkStart w:id="277" w:name="_Ref446603900"/>
      <w:bookmarkStart w:id="278" w:name="_Toc452629095"/>
      <w:bookmarkStart w:id="279" w:name="_Toc457911232"/>
      <w:bookmarkStart w:id="280" w:name="_Toc461803752"/>
      <w:bookmarkStart w:id="281" w:name="_Toc462754662"/>
      <w:r>
        <w:t xml:space="preserve">Ex-ante </w:t>
      </w:r>
      <w:r w:rsidRPr="00D25CF7">
        <w:t>efficient</w:t>
      </w:r>
      <w:r>
        <w:t xml:space="preserve"> compensation</w:t>
      </w:r>
      <w:bookmarkEnd w:id="277"/>
      <w:bookmarkEnd w:id="278"/>
      <w:bookmarkEnd w:id="279"/>
      <w:bookmarkEnd w:id="280"/>
      <w:bookmarkEnd w:id="281"/>
    </w:p>
    <w:p w:rsidR="00312F8A" w:rsidRDefault="00312F8A" w:rsidP="00312F8A">
      <w:r>
        <w:t>We consider a rate of return that meets the ARORO provide</w:t>
      </w:r>
      <w:r w:rsidR="00152BC8">
        <w:t>s</w:t>
      </w:r>
      <w:r>
        <w:t xml:space="preserve"> ex-ante compensation for efficient financing costs (we refer to this as ex-ante efficient compensation). </w:t>
      </w:r>
    </w:p>
    <w:p w:rsidR="00312F8A" w:rsidRDefault="00312F8A" w:rsidP="00312F8A">
      <w:r>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w:t>
      </w:r>
      <w:r w:rsidRPr="00E2186B">
        <w:t xml:space="preserve"> rate of return for </w:t>
      </w:r>
      <w:r>
        <w:t>a</w:t>
      </w:r>
      <w:r w:rsidRPr="00E2186B">
        <w:t xml:space="preserve"> benchmark efficient </w:t>
      </w:r>
      <w:r w:rsidRPr="00E2186B">
        <w:lastRenderedPageBreak/>
        <w:t>entity such that the return on its investment</w:t>
      </w:r>
      <w:r>
        <w:t xml:space="preserve"> (in its RAB) equals its efficient cost.</w:t>
      </w:r>
      <w:r>
        <w:rPr>
          <w:rStyle w:val="FootnoteReference"/>
        </w:rPr>
        <w:footnoteReference w:id="468"/>
      </w:r>
      <w:r>
        <w:t xml:space="preserve"> This is a zero net present value (NPV) investment condition,</w:t>
      </w:r>
      <w:r>
        <w:rPr>
          <w:rStyle w:val="FootnoteReference"/>
        </w:rPr>
        <w:footnoteReference w:id="469"/>
      </w:r>
      <w:r>
        <w:t xml:space="preserve"> which is a forward looking concept that shows a benchmark efficient entity</w:t>
      </w:r>
      <w:r w:rsidRPr="00CF4DC4">
        <w:t xml:space="preserve"> </w:t>
      </w:r>
      <w:r>
        <w:t>is provided with a reasonable opportunity to recover at least efficient financing costs over the life of its investment (in its RAB). Partington and Satchell described it as follows:</w:t>
      </w:r>
      <w:r>
        <w:rPr>
          <w:rStyle w:val="FootnoteReference"/>
        </w:rPr>
        <w:footnoteReference w:id="470"/>
      </w:r>
      <w:r>
        <w:t xml:space="preserve"> </w:t>
      </w:r>
    </w:p>
    <w:p w:rsidR="00312F8A" w:rsidRDefault="00312F8A" w:rsidP="00312F8A">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312F8A" w:rsidRDefault="00312F8A" w:rsidP="00312F8A">
      <w:r>
        <w:t xml:space="preserve">As discussed in section </w:t>
      </w:r>
      <w:r>
        <w:fldChar w:fldCharType="begin"/>
      </w:r>
      <w:r>
        <w:instrText xml:space="preserve"> REF _Ref451729815 \r \h </w:instrText>
      </w:r>
      <w:r>
        <w:fldChar w:fldCharType="separate"/>
      </w:r>
      <w:r w:rsidR="00691B4D">
        <w:t>3.3.3</w:t>
      </w:r>
      <w:r>
        <w:fldChar w:fldCharType="end"/>
      </w:r>
      <w:r>
        <w:t xml:space="preserve"> and </w:t>
      </w:r>
      <w:r>
        <w:fldChar w:fldCharType="begin"/>
      </w:r>
      <w:r>
        <w:instrText xml:space="preserve"> REF _Ref446405872 \r \h </w:instrText>
      </w:r>
      <w:r>
        <w:fldChar w:fldCharType="separate"/>
      </w:r>
      <w:r w:rsidR="00691B4D">
        <w:t>B.1.1</w:t>
      </w:r>
      <w:r>
        <w:fldChar w:fldCharType="end"/>
      </w:r>
      <w:r>
        <w:t xml:space="preserve">, we consider efficient financing costs, for debt and equity, should be based on (appropriately benchmarked) prevailing market rates. This reflects the current opportunity cost of capital for investments of similar risk to </w:t>
      </w:r>
      <w:r w:rsidRPr="00F21B32">
        <w:t xml:space="preserve">a benchmark efficient entity in the position of </w:t>
      </w:r>
      <w:r>
        <w:t>a</w:t>
      </w:r>
      <w:r w:rsidRPr="00F21B32">
        <w:t xml:space="preserve"> </w:t>
      </w:r>
      <w:r>
        <w:t>service provider</w:t>
      </w:r>
      <w:r w:rsidRPr="00F21B32">
        <w:t xml:space="preserve"> supplying </w:t>
      </w:r>
      <w:r>
        <w:t>regulated</w:t>
      </w:r>
      <w:r w:rsidRPr="00F21B32">
        <w:t xml:space="preserve"> services</w:t>
      </w:r>
      <w:r>
        <w:t>.</w:t>
      </w:r>
      <w:r>
        <w:rPr>
          <w:rStyle w:val="FootnoteReference"/>
        </w:rPr>
        <w:footnoteReference w:id="471"/>
      </w:r>
      <w:r>
        <w:t xml:space="preserve"> The opportunity cost of capital is the rate used to discount firms' expected future cash flows in NPV calculations.</w:t>
      </w:r>
      <w:r>
        <w:rPr>
          <w:rStyle w:val="FootnoteReference"/>
        </w:rPr>
        <w:footnoteReference w:id="472"/>
      </w:r>
    </w:p>
    <w:p w:rsidR="00312F8A" w:rsidRDefault="00312F8A" w:rsidP="00312F8A">
      <w:r>
        <w:t>Under the ex-ante regulatory regime, we reset the allowed rate of return (through the returns on debt and equity) at the commencement of each regulatory period (or annually for the allowed return on debt if we use a trailing average).</w:t>
      </w:r>
      <w:r w:rsidRPr="007627B2">
        <w:t xml:space="preserve"> </w:t>
      </w:r>
      <w:r>
        <w:t>If the allowed rate of return is reset to reflect the prevailing market cost of capital, it provides ex-ante efficient compensation over each reset period.</w:t>
      </w:r>
      <w:r>
        <w:rPr>
          <w:rStyle w:val="FootnoteReference"/>
        </w:rPr>
        <w:footnoteReference w:id="473"/>
      </w:r>
      <w:r>
        <w:t xml:space="preserve"> </w:t>
      </w:r>
    </w:p>
    <w:p w:rsidR="00312F8A" w:rsidRDefault="00312F8A" w:rsidP="00312F8A">
      <w:r>
        <w:t xml:space="preserve">As shown in section </w:t>
      </w:r>
      <w:r>
        <w:fldChar w:fldCharType="begin"/>
      </w:r>
      <w:r>
        <w:instrText xml:space="preserve"> REF _Ref444767739 \r \h </w:instrText>
      </w:r>
      <w:r>
        <w:fldChar w:fldCharType="separate"/>
      </w:r>
      <w:r w:rsidR="00691B4D">
        <w:t>B.3</w:t>
      </w:r>
      <w:r>
        <w:fldChar w:fldCharType="end"/>
      </w:r>
      <w:r>
        <w:t xml:space="preserve">,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w:t>
      </w:r>
      <w:r>
        <w:lastRenderedPageBreak/>
        <w:t>RAB).</w:t>
      </w:r>
      <w:r>
        <w:rPr>
          <w:rStyle w:val="FootnoteReference"/>
        </w:rPr>
        <w:footnoteReference w:id="474"/>
      </w:r>
      <w:r>
        <w:t xml:space="preserve"> 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Pr>
          <w:rStyle w:val="FootnoteReference"/>
        </w:rPr>
        <w:footnoteReference w:id="475"/>
      </w:r>
    </w:p>
    <w:p w:rsidR="00312F8A" w:rsidRDefault="00312F8A" w:rsidP="00312F8A">
      <w:r>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t xml:space="preserve"> is as follows:</w:t>
      </w:r>
      <w:r>
        <w:rPr>
          <w:rStyle w:val="FootnoteReference"/>
        </w:rPr>
        <w:footnoteReference w:id="476"/>
      </w:r>
    </w:p>
    <w:p w:rsidR="00312F8A" w:rsidRDefault="00AB6D99" w:rsidP="00312F8A">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312F8A" w:rsidRDefault="00312F8A" w:rsidP="00312F8A">
      <w:pPr>
        <w:pStyle w:val="AERbodytextnospace"/>
      </w:pPr>
    </w:p>
    <w:p w:rsidR="00312F8A" w:rsidRDefault="00312F8A" w:rsidP="00312F8A">
      <w:pPr>
        <w:pStyle w:val="AERbodytextnospace"/>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the price of the bond at time 0 </w:t>
      </w:r>
    </w:p>
    <w:p w:rsidR="00312F8A" w:rsidRDefault="00312F8A" w:rsidP="00312F8A">
      <w:pPr>
        <w:pStyle w:val="AERbodytextnospace"/>
      </w:pPr>
      <w:r>
        <w:tab/>
      </w:r>
      <w:r>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675B9E">
        <w:t xml:space="preserve"> is the coupon </w:t>
      </w:r>
      <w:r>
        <w:t>(or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312F8A" w:rsidRPr="00675B9E" w:rsidRDefault="00312F8A" w:rsidP="00312F8A">
      <w:pPr>
        <w:pStyle w:val="AERbodytextnospace"/>
      </w:pPr>
      <w:r>
        <w:tab/>
      </w:r>
      <w:r>
        <w:tab/>
      </w:r>
      <m:oMath>
        <m:r>
          <w:rPr>
            <w:rFonts w:ascii="Cambria Math" w:hAnsi="Cambria Math"/>
          </w:rPr>
          <m:t>c</m:t>
        </m:r>
      </m:oMath>
      <w:r>
        <w:t xml:space="preserve"> is the coupon rate </w:t>
      </w:r>
    </w:p>
    <w:p w:rsidR="00312F8A" w:rsidRPr="00675B9E" w:rsidRDefault="00312F8A" w:rsidP="00312F8A">
      <w:pPr>
        <w:pStyle w:val="AERbodytextnospace"/>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675B9E">
        <w:t xml:space="preserve"> is the required rate of return</w:t>
      </w:r>
      <w:r>
        <w:t xml:space="preserve"> or cost of capital</w:t>
      </w:r>
      <w:r w:rsidRPr="00675B9E">
        <w:t xml:space="preserve"> (based on market rates)</w:t>
      </w:r>
      <w:r>
        <w:t xml:space="preserve"> at time 0</w:t>
      </w:r>
      <w:r w:rsidRPr="00675B9E">
        <w:t xml:space="preserve"> </w:t>
      </w:r>
    </w:p>
    <w:p w:rsidR="00312F8A" w:rsidRPr="00675B9E" w:rsidRDefault="00312F8A" w:rsidP="00312F8A">
      <w:pPr>
        <w:pStyle w:val="AERbodytextnospace"/>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675B9E">
        <w:t xml:space="preserve"> is the face </w:t>
      </w:r>
      <w:r>
        <w:t xml:space="preserve">(or par) </w:t>
      </w:r>
      <w:r w:rsidRPr="00675B9E">
        <w:t>value of the bond (or principal repayment) at maturity.</w:t>
      </w:r>
    </w:p>
    <w:p w:rsidR="00312F8A" w:rsidRDefault="00312F8A" w:rsidP="00312F8A">
      <w:r>
        <w:t xml:space="preserve">The above formula shows that </w:t>
      </w:r>
      <w:r w:rsidRPr="00A104B1">
        <w:t xml:space="preserve">for </w:t>
      </w:r>
      <w:r>
        <w:t>a</w:t>
      </w:r>
      <w:r w:rsidRPr="00A104B1">
        <w:t xml:space="preserve"> bond</w:t>
      </w:r>
      <w:r>
        <w:t>'s price</w:t>
      </w:r>
      <w:r w:rsidRPr="00A104B1">
        <w:t xml:space="preserve"> to equal its face (or par) value</w:t>
      </w:r>
      <w:r>
        <w:t>,</w:t>
      </w:r>
      <w:r w:rsidRPr="00A104B1">
        <w:t xml:space="preserve"> </w:t>
      </w:r>
      <w:r>
        <w:t>at any time 0, the coupon rate (which is akin to the allowed rate of return) must be set (or reset) to equal the prevailing cost of capital.</w:t>
      </w:r>
      <w:r>
        <w:rPr>
          <w:rStyle w:val="FootnoteReference"/>
        </w:rPr>
        <w:footnoteReference w:id="477"/>
      </w:r>
      <w:r>
        <w:t xml:space="preserve"> If the coupon rate is set (or reset) to a value above (below)</w:t>
      </w:r>
      <w:r w:rsidRPr="00407A1E">
        <w:t xml:space="preserve"> </w:t>
      </w:r>
      <w:r>
        <w:t>the prevailing cost of capital, the price of the bond would trade above (below) its face value. This means the investor that paid the face value would be ex-ante over (under) compensated relative to other investments of similar risk.</w:t>
      </w:r>
    </w:p>
    <w:p w:rsidR="00312F8A" w:rsidRPr="00F243E1" w:rsidRDefault="00312F8A" w:rsidP="00312F8A">
      <w:pPr>
        <w:pStyle w:val="HeadingBoldBlue"/>
      </w:pPr>
      <w:r w:rsidRPr="00F243E1">
        <w:t>Compensation for historically incurred costs</w:t>
      </w:r>
    </w:p>
    <w:p w:rsidR="00312F8A" w:rsidRDefault="00312F8A" w:rsidP="00312F8A">
      <w:r w:rsidRPr="00F21B32">
        <w:lastRenderedPageBreak/>
        <w:t xml:space="preserve">We do not interpret the ARORO to require </w:t>
      </w:r>
      <w:r>
        <w:t>us</w:t>
      </w:r>
      <w:r w:rsidRPr="00F21B32">
        <w:t xml:space="preserve"> to compensate </w:t>
      </w:r>
      <w:r>
        <w:t>a benchmark efficient entity</w:t>
      </w:r>
      <w:r w:rsidRPr="00F21B32">
        <w:t xml:space="preserve"> for historically incurred </w:t>
      </w:r>
      <w:r>
        <w:t xml:space="preserve">financing </w:t>
      </w:r>
      <w:r w:rsidRPr="00F21B32">
        <w:t>costs where this will lead to compensation</w:t>
      </w:r>
      <w:r w:rsidRPr="007E79D1">
        <w:t xml:space="preserve"> </w:t>
      </w:r>
      <w:r>
        <w:t>that would not be ex-ante</w:t>
      </w:r>
      <w:r w:rsidRPr="007E79D1">
        <w:t xml:space="preserve"> </w:t>
      </w:r>
      <w:r>
        <w:t>efficient</w:t>
      </w:r>
      <w:r w:rsidRPr="00F21B32">
        <w:t>.</w:t>
      </w:r>
    </w:p>
    <w:p w:rsidR="00312F8A" w:rsidRDefault="00312F8A" w:rsidP="00312F8A">
      <w:r w:rsidRPr="007E018E">
        <w:t xml:space="preserve">We consider </w:t>
      </w:r>
      <w:r>
        <w:t xml:space="preserve">setting an allowed rate of return that provides </w:t>
      </w:r>
      <w:r w:rsidRPr="007E018E">
        <w:t xml:space="preserve">ex-ante efficient compensation gives </w:t>
      </w:r>
      <w:r>
        <w:t>a benchmark eff</w:t>
      </w:r>
      <w:r w:rsidRPr="007E018E">
        <w:t xml:space="preserve">icient entity a reasonable opportunity to recover </w:t>
      </w:r>
      <w:r>
        <w:t>at least</w:t>
      </w:r>
      <w:r w:rsidRPr="007E018E">
        <w:t xml:space="preserve"> efficient </w:t>
      </w:r>
      <w:r>
        <w:t xml:space="preserve">financing </w:t>
      </w:r>
      <w:r w:rsidRPr="00F243E1">
        <w:t>costs.</w:t>
      </w:r>
      <w:r>
        <w:t xml:space="preserve"> This sets a </w:t>
      </w:r>
      <w:r w:rsidRPr="008D38BD">
        <w:rPr>
          <w:rStyle w:val="AERtextunderline"/>
        </w:rPr>
        <w:t>forward looking</w:t>
      </w:r>
      <w:r>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Pr>
          <w:rStyle w:val="FootnoteReference"/>
        </w:rPr>
        <w:footnoteReference w:id="478"/>
      </w:r>
      <w:r w:rsidRPr="00B73697">
        <w:t xml:space="preserve"> </w:t>
      </w:r>
      <w:r>
        <w:t>Partington and Satchell agree with this view.</w:t>
      </w:r>
      <w:r>
        <w:rPr>
          <w:rStyle w:val="FootnoteReference"/>
        </w:rPr>
        <w:footnoteReference w:id="479"/>
      </w:r>
      <w:r>
        <w:t xml:space="preserve"> The timeline below shows how we consider ex-post movements in interest rates (and historical costs) relate to ex-ante efficient compensation.</w:t>
      </w:r>
    </w:p>
    <w:p w:rsidR="00312F8A" w:rsidRDefault="00312F8A" w:rsidP="00312F8A">
      <w:r w:rsidRPr="00312F8A">
        <w:rPr>
          <w:noProof/>
          <w:lang w:eastAsia="en-AU"/>
        </w:rPr>
        <mc:AlternateContent>
          <mc:Choice Requires="wpg">
            <w:drawing>
              <wp:inline distT="0" distB="0" distL="0" distR="0" wp14:anchorId="27D809A3" wp14:editId="25F6834A">
                <wp:extent cx="5086350" cy="2524125"/>
                <wp:effectExtent l="38100" t="0" r="0" b="0"/>
                <wp:docPr id="20" name="Group 20"/>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288" name="Group 288"/>
                        <wpg:cNvGrpSpPr/>
                        <wpg:grpSpPr>
                          <a:xfrm>
                            <a:off x="0" y="0"/>
                            <a:ext cx="4411384" cy="2203376"/>
                            <a:chOff x="0" y="0"/>
                            <a:chExt cx="4411384" cy="2203376"/>
                          </a:xfrm>
                        </wpg:grpSpPr>
                        <wpg:grpSp>
                          <wpg:cNvPr id="289" name="Group 289"/>
                          <wpg:cNvGrpSpPr/>
                          <wpg:grpSpPr>
                            <a:xfrm>
                              <a:off x="0" y="0"/>
                              <a:ext cx="4411384" cy="2203376"/>
                              <a:chOff x="0" y="1"/>
                              <a:chExt cx="4411384" cy="2203376"/>
                            </a:xfrm>
                          </wpg:grpSpPr>
                          <wps:wsp>
                            <wps:cNvPr id="294" name="Text Box 294"/>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1A" w:rsidRDefault="0007291A" w:rsidP="00312F8A">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1" name="Group 301"/>
                            <wpg:cNvGrpSpPr/>
                            <wpg:grpSpPr>
                              <a:xfrm>
                                <a:off x="0" y="257175"/>
                                <a:ext cx="4019550" cy="492442"/>
                                <a:chOff x="0" y="0"/>
                                <a:chExt cx="4019550" cy="492442"/>
                              </a:xfrm>
                            </wpg:grpSpPr>
                            <wps:wsp>
                              <wps:cNvPr id="303" name="Straight Arrow Connector 303"/>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04" name="Oval 304"/>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ight Brace 305"/>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ight Brace 306"/>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1A" w:rsidRDefault="0007291A" w:rsidP="00312F8A">
                                  <w:pPr>
                                    <w:pStyle w:val="AERbodytextnospaceleftalign"/>
                                  </w:pPr>
                                  <w:r>
                                    <w:t>Historically incurred costs:</w:t>
                                  </w:r>
                                </w:p>
                                <w:p w:rsidR="0007291A" w:rsidRDefault="0007291A" w:rsidP="00312F8A">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1A" w:rsidRDefault="0007291A" w:rsidP="00312F8A">
                                  <w:pPr>
                                    <w:pStyle w:val="AERbodytextnospaceleftalign"/>
                                  </w:pPr>
                                  <w:r>
                                    <w:t>Ex-post movement in interest rates:</w:t>
                                  </w:r>
                                </w:p>
                                <w:p w:rsidR="0007291A" w:rsidRDefault="0007291A" w:rsidP="00312F8A">
                                  <w:pPr>
                                    <w:pStyle w:val="AERbodytextnospaceleftalign"/>
                                  </w:pPr>
                                  <w:r>
                                    <w:t>—unknown at date x, but the associated risks are priced into the forward looking rate of return at date x</w:t>
                                  </w:r>
                                </w:p>
                                <w:p w:rsidR="0007291A" w:rsidRDefault="0007291A" w:rsidP="00312F8A">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Text Box 309"/>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1A" w:rsidRDefault="0007291A" w:rsidP="00312F8A">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0" name="Oval 310"/>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0"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">
                <v:group id="Group 288"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289"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type id="_x0000_t202" coordsize="21600,21600" o:spt="202" path="m,l,21600r21600,l21600,xe">
                      <v:stroke joinstyle="miter"/>
                      <v:path gradientshapeok="t" o:connecttype="rect"/>
                    </v:shapetype>
                    <v:shape id="Text Box 294"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07291A" w:rsidRDefault="0007291A" w:rsidP="00312F8A">
                            <w:pPr>
                              <w:pStyle w:val="AERbodytextnospaceleftalign"/>
                            </w:pPr>
                            <w:r>
                              <w:t>reset date x</w:t>
                            </w:r>
                          </w:p>
                        </w:txbxContent>
                      </v:textbox>
                    </v:shape>
                    <v:group id="Group 301"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03"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0MMAAADcAAAADwAAAGRycy9kb3ducmV2LnhtbESPzarCMBSE9xd8h3AEN6JpFS5SjSKC&#10;PyvlqguXh+bYFpuT0qS2vr0RhLscZuYbZrHqTCmeVLvCsoJ4HIEgTq0uOFNwvWxHMxDOI2ssLZOC&#10;FzlYLXs/C0y0bfmPnmefiQBhl6CC3PsqkdKlORl0Y1sRB+9ua4M+yDqTusY2wE0pJ1H0Kw0WHBZy&#10;rGiTU/o4N0aBk/G1bePT7pANj5fG74d0vDVKDfrdeg7CU+f/w9/2QSuYRlP4nA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6FNDDAAAA3AAAAA8AAAAAAAAAAAAA&#10;AAAAoQIAAGRycy9kb3ducmV2LnhtbFBLBQYAAAAABAAEAPkAAACRAwAAAAA=&#10;" strokecolor="#06648a [3040]">
                        <v:stroke startarrow="open" endarrow="open"/>
                      </v:shape>
                      <v:oval id="Oval 304"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7UsUA&#10;AADcAAAADwAAAGRycy9kb3ducmV2LnhtbESPQWvCQBSE70L/w/IKvelGK7WJriJCoS1ekhS8PrPP&#10;JJp9G7JbE/99Vyh4HGbmG2a1GUwjrtS52rKC6SQCQVxYXXOp4Cf/GL+DcB5ZY2OZFNzIwWb9NFph&#10;om3PKV0zX4oAYZeggsr7NpHSFRUZdBPbEgfvZDuDPsiulLrDPsBNI2dR9CYN1hwWKmxpV1FxyX6N&#10;gjK9uO8ZxsX5GC+yr6bO9/EhV+rledguQXga/CP83/7UCl6jO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rtSxQAAANwAAAAPAAAAAAAAAAAAAAAAAJgCAABkcnMv&#10;ZG93bnJldi54bWxQSwUGAAAAAAQABAD1AAAAigM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05"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cvccA&#10;AADcAAAADwAAAGRycy9kb3ducmV2LnhtbESPQWvCQBSE74X+h+UVvNWNbRWJrtKWVhTxEJOLt0f2&#10;mUSzb0N2jbG/visUehxm5htmvuxNLTpqXWVZwWgYgSDOra64UJCl389TEM4ja6wtk4IbOVguHh/m&#10;GGt75YS6vS9EgLCLUUHpfRNL6fKSDLqhbYiDd7StQR9kW0jd4jXATS1fomgiDVYcFkps6LOk/Ly/&#10;GAXd2+q8O33V6e0jWR9Wmf7ZjjcnpQZP/fsMhKfe/4f/2mut4DUaw/1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nL3HAAAA3AAAAA8AAAAAAAAAAAAAAAAAmAIAAGRy&#10;cy9kb3ducmV2LnhtbFBLBQYAAAAABAAEAPUAAACMAwAAAAA=&#10;" adj="269" strokecolor="#06648a [3040]"/>
                      <v:shape id="Right Brace 306"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CyscA&#10;AADcAAAADwAAAGRycy9kb3ducmV2LnhtbESPT2vCQBTE70K/w/IK3nRjqyLRVdpSRSke/HPx9sg+&#10;k2j2bciuMfrpXUHocZiZ3zCTWWMKUVPlcssKet0IBHFidc6pgv1u3hmBcB5ZY2GZFNzIwWz61ppg&#10;rO2VN1RvfSoChF2MCjLvy1hKl2Rk0HVtSRy8o60M+iCrVOoKrwFuCvkRRUNpMOewkGFJPxkl5+3F&#10;KKj7i/P69Fvsbt+b5WGx1/e/weqkVPu9+RqD8NT4//CrvdQKPqMhPM+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AsrHAAAA3AAAAA8AAAAAAAAAAAAAAAAAmAIAAGRy&#10;cy9kb3ducmV2LnhtbFBLBQYAAAAABAAEAPUAAACMAwAAAAA=&#10;" adj="269" strokecolor="#06648a [3040]"/>
                    </v:group>
                    <v:shape id="Text Box 307"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w:txbxContent>
                          <w:p w:rsidR="0007291A" w:rsidRDefault="0007291A" w:rsidP="00312F8A">
                            <w:pPr>
                              <w:pStyle w:val="AERbodytextnospaceleftalign"/>
                            </w:pPr>
                            <w:r>
                              <w:t>Historically incurred costs:</w:t>
                            </w:r>
                          </w:p>
                          <w:p w:rsidR="0007291A" w:rsidRDefault="0007291A" w:rsidP="00312F8A">
                            <w:pPr>
                              <w:pStyle w:val="AERbodytextnospaceleftalign"/>
                            </w:pPr>
                            <w:r>
                              <w:t>—incorporating these into the rate of return at date x does not lead to ex-ante efficient compensation for the reset period (x to x+1)</w:t>
                            </w:r>
                          </w:p>
                        </w:txbxContent>
                      </v:textbox>
                    </v:shape>
                    <v:shape id="Text Box 308"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07291A" w:rsidRDefault="0007291A" w:rsidP="00312F8A">
                            <w:pPr>
                              <w:pStyle w:val="AERbodytextnospaceleftalign"/>
                            </w:pPr>
                            <w:r>
                              <w:t>Ex-post movement in interest rates:</w:t>
                            </w:r>
                          </w:p>
                          <w:p w:rsidR="0007291A" w:rsidRDefault="0007291A" w:rsidP="00312F8A">
                            <w:pPr>
                              <w:pStyle w:val="AERbodytextnospaceleftalign"/>
                            </w:pPr>
                            <w:r>
                              <w:t>—unknown at date x, but the associated risks are priced into the forward looking rate of return at date x</w:t>
                            </w:r>
                          </w:p>
                          <w:p w:rsidR="0007291A" w:rsidRDefault="0007291A" w:rsidP="00312F8A">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309"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07291A" w:rsidRDefault="0007291A" w:rsidP="00312F8A">
                          <w:pPr>
                            <w:pStyle w:val="AERbodytextnospaceleftalign"/>
                          </w:pPr>
                          <w:r>
                            <w:t>reset date x+1</w:t>
                          </w:r>
                        </w:p>
                      </w:txbxContent>
                    </v:textbox>
                  </v:shape>
                </v:group>
                <v:oval id="Oval 310"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rjMIA&#10;AADcAAAADwAAAGRycy9kb3ducmV2LnhtbERPTWvCQBC9F/oflil4qxstWJNmIyIIVXoxEbxOs9Mk&#10;NTsbsmsS/717KPT4eN/pZjKtGKh3jWUFi3kEgri0uuFKwbnYv65BOI+ssbVMCu7kYJM9P6WYaDvy&#10;iYbcVyKEsEtQQe19l0jpypoMurntiAP3Y3uDPsC+krrHMYSbVi6jaCUNNhwaauxoV1N5zW9GQXW6&#10;uuMS4/L3O37PD21TfMWXQqnZy7T9AOFp8v/iP/enVvC2CPP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CuMwgAAANwAAAAPAAAAAAAAAAAAAAAAAJgCAABkcnMvZG93&#10;bnJldi54bWxQSwUGAAAAAAQABAD1AAAAhwMAAAAA&#10;" fillcolor="white [3201]" strokecolor="#076a92 [3200]" strokeweight="2pt"/>
                <w10:anchorlock/>
              </v:group>
            </w:pict>
          </mc:Fallback>
        </mc:AlternateContent>
      </w:r>
    </w:p>
    <w:p w:rsidR="00312F8A" w:rsidRDefault="00312F8A" w:rsidP="00312F8A">
      <w:r>
        <w:t>If, at reset date x+1, we set an allowed rate of return that provides compensation for a service provider's actual (historical) cost outcomes from the previous period, we would</w:t>
      </w:r>
      <w:r w:rsidRPr="00F82FB2">
        <w:t xml:space="preserve"> </w:t>
      </w:r>
      <w:r>
        <w:t xml:space="preserve">effectively remove realised gains or losses from risk it had previously borne. </w:t>
      </w:r>
      <w:r w:rsidRPr="00F21B32">
        <w:t>The regulatory regime is an ex-ante regime that is not intended to remove all</w:t>
      </w:r>
      <w:r>
        <w:t xml:space="preserve"> </w:t>
      </w:r>
      <w:r w:rsidRPr="00F21B32">
        <w:t xml:space="preserve">risk from </w:t>
      </w:r>
      <w:r>
        <w:t>service providers and their capital investors</w:t>
      </w:r>
      <w:r w:rsidRPr="00F21B32">
        <w:t xml:space="preserve">. </w:t>
      </w:r>
      <w:r>
        <w:t xml:space="preserve">We set a </w:t>
      </w:r>
      <w:r w:rsidRPr="008D38BD">
        <w:t>forward looking</w:t>
      </w:r>
      <w:r>
        <w:t xml:space="preserve"> allowed rate of return that compensates investors with a risk premium over the risk free rate for the compensable risk of their investment. The risk premiums we set (on both debt and equity) are based on appropriate benchmark returns from capital markets. If we </w:t>
      </w:r>
      <w:r>
        <w:lastRenderedPageBreak/>
        <w:t xml:space="preserve">removed all risks facing capital investors then the appropriate return would theoretically be the risk free rate. </w:t>
      </w:r>
    </w:p>
    <w:p w:rsidR="00312F8A" w:rsidRDefault="00312F8A" w:rsidP="00312F8A">
      <w:r>
        <w:t>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w:t>
      </w:r>
      <w:r w:rsidR="00E42A91">
        <w:t xml:space="preserve">ent when it was made at date x. </w:t>
      </w:r>
      <w:r>
        <w:t xml:space="preserve">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312F8A" w:rsidRDefault="00312F8A" w:rsidP="00312F8A">
      <w:r>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Pr>
          <w:rStyle w:val="FootnoteReference"/>
        </w:rPr>
        <w:footnoteReference w:id="480"/>
      </w:r>
      <w:r>
        <w:t xml:space="preserve"> </w:t>
      </w:r>
    </w:p>
    <w:p w:rsidR="00312F8A" w:rsidRDefault="00312F8A" w:rsidP="00312F8A">
      <w:pPr>
        <w:pStyle w:val="HeadingBoldItalic"/>
      </w:pPr>
      <w:r>
        <w:t>Desirability of minimising mismatch</w:t>
      </w:r>
    </w:p>
    <w:p w:rsidR="00312F8A" w:rsidRDefault="00312F8A" w:rsidP="00312F8A">
      <w:r w:rsidRPr="00F21B32">
        <w:t>In determi</w:t>
      </w:r>
      <w:r>
        <w:t xml:space="preserve">ning the allowed return on debt, we are required to </w:t>
      </w:r>
      <w:r w:rsidRPr="00F21B32">
        <w:t>have regard to the</w:t>
      </w:r>
      <w:r>
        <w:t xml:space="preserve"> '</w:t>
      </w:r>
      <w:r w:rsidRPr="00F21B32">
        <w:t>mismatch</w:t>
      </w:r>
      <w:r>
        <w:t>'</w:t>
      </w:r>
      <w:r w:rsidRPr="00F21B32">
        <w:t xml:space="preserve"> between </w:t>
      </w:r>
      <w:r>
        <w:t>a benchmark eff</w:t>
      </w:r>
      <w:r w:rsidRPr="00F21B32">
        <w:t xml:space="preserve">icient </w:t>
      </w:r>
      <w:r>
        <w:t>entity's</w:t>
      </w:r>
      <w:r w:rsidRPr="00F21B32">
        <w:t xml:space="preserve"> actual debt cost</w:t>
      </w:r>
      <w:r>
        <w:t xml:space="preserve"> outcomes (or cash outflows)</w:t>
      </w:r>
      <w:r w:rsidRPr="00F21B32">
        <w:t xml:space="preserve"> and the </w:t>
      </w:r>
      <w:r>
        <w:t xml:space="preserve">return on </w:t>
      </w:r>
      <w:r w:rsidRPr="00F21B32">
        <w:t>debt allowance</w:t>
      </w:r>
      <w:r>
        <w:t>.</w:t>
      </w:r>
      <w:r>
        <w:rPr>
          <w:rStyle w:val="FootnoteReference"/>
        </w:rPr>
        <w:footnoteReference w:id="481"/>
      </w:r>
      <w:r>
        <w:t xml:space="preserve"> However, we do not consider that this </w:t>
      </w:r>
      <w:r w:rsidRPr="00F21B32">
        <w:t>permit</w:t>
      </w:r>
      <w:r>
        <w:t>s</w:t>
      </w:r>
      <w:r w:rsidRPr="00F21B32">
        <w:t xml:space="preserve"> </w:t>
      </w:r>
      <w:r>
        <w:t>us</w:t>
      </w:r>
      <w:r w:rsidRPr="00F21B32">
        <w:t xml:space="preserve"> to set a rate of return that will not meet the ARORO or will not achieve the NEO/NGO.</w:t>
      </w:r>
    </w:p>
    <w:p w:rsidR="00312F8A" w:rsidRDefault="00312F8A" w:rsidP="00312F8A">
      <w:r>
        <w:t xml:space="preserve">Rather, some mismatch between the </w:t>
      </w:r>
      <w:r w:rsidRPr="00F21B32">
        <w:t>actual (cash) debt costs and the regulated debt allowance</w:t>
      </w:r>
      <w:r>
        <w:t xml:space="preserve"> is an intrinsic part of incentive regulation</w:t>
      </w:r>
      <w:r w:rsidRPr="00BB7CBA">
        <w:t>―</w:t>
      </w:r>
      <w:r>
        <w:t>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Pr>
          <w:rStyle w:val="FootnoteReference"/>
        </w:rPr>
        <w:footnoteReference w:id="482"/>
      </w:r>
      <w:r>
        <w:t xml:space="preserve"> SFG recognised this in its report for the </w:t>
      </w:r>
      <w:r>
        <w:lastRenderedPageBreak/>
        <w:t>Australian Energy Market Commission (AEMC). Here, SFG</w:t>
      </w:r>
      <w:r w:rsidRPr="00F21B32">
        <w:t xml:space="preserve"> </w:t>
      </w:r>
      <w:r>
        <w:t>considered a mismatch between</w:t>
      </w:r>
      <w:r w:rsidRPr="00F21B32">
        <w:t xml:space="preserve"> a firm</w:t>
      </w:r>
      <w:r>
        <w:t>'</w:t>
      </w:r>
      <w:r w:rsidRPr="00F21B32">
        <w:t xml:space="preserve">s debt service payments </w:t>
      </w:r>
      <w:r>
        <w:t>and</w:t>
      </w:r>
      <w:r w:rsidRPr="00F21B32">
        <w:t xml:space="preserve"> the regulatory allowance</w:t>
      </w:r>
      <w:r>
        <w:t xml:space="preserve"> could arise for a number of reasons, including:</w:t>
      </w:r>
      <w:r w:rsidRPr="000666D4">
        <w:rPr>
          <w:rStyle w:val="FootnoteReference"/>
        </w:rPr>
        <w:footnoteReference w:id="483"/>
      </w:r>
    </w:p>
    <w:p w:rsidR="00312F8A" w:rsidRPr="00D9597E" w:rsidRDefault="00312F8A" w:rsidP="00312F8A">
      <w:pPr>
        <w:pStyle w:val="AERbulletlistfirststyle"/>
      </w:pPr>
      <w:r w:rsidRPr="00F21B32">
        <w:t>‘because the cost of capital is, in fact, variable over time’</w:t>
      </w:r>
      <w:r w:rsidRPr="00D9597E">
        <w:t xml:space="preserve"> rather than because there is problem with the measurement</w:t>
      </w:r>
    </w:p>
    <w:p w:rsidR="00312F8A" w:rsidRPr="00D9597E" w:rsidRDefault="00312F8A" w:rsidP="00312F8A">
      <w:pPr>
        <w:pStyle w:val="AERbulletlistfirststyle"/>
      </w:pPr>
      <w:r>
        <w:t xml:space="preserve">because </w:t>
      </w:r>
      <w:r w:rsidRPr="00D9597E">
        <w:t>'there may be a difference between the rate at which the business can borrow and the regulatory benchmark'.</w:t>
      </w:r>
    </w:p>
    <w:p w:rsidR="00312F8A" w:rsidRDefault="00312F8A" w:rsidP="00312F8A">
      <w:r>
        <w:t>We consider</w:t>
      </w:r>
      <w:r w:rsidRPr="00F21B32">
        <w:t xml:space="preserve"> a</w:t>
      </w:r>
      <w:r>
        <w:t xml:space="preserve"> service provider's ex-post</w:t>
      </w:r>
      <w:r w:rsidRPr="00F21B32">
        <w:t xml:space="preserve"> mismatch does not (of itself) i</w:t>
      </w:r>
      <w:r>
        <w:t xml:space="preserve">mply the regulator is setting a </w:t>
      </w:r>
      <w:r w:rsidRPr="00F21B32">
        <w:t xml:space="preserve">rate of return that will not </w:t>
      </w:r>
      <w:r>
        <w:t xml:space="preserve">appropriately </w:t>
      </w:r>
      <w:r w:rsidRPr="00F21B32">
        <w:t xml:space="preserve">compensate a </w:t>
      </w:r>
      <w:r>
        <w:t>benchmark efficient entity</w:t>
      </w:r>
      <w:r w:rsidRPr="00F21B32">
        <w:t xml:space="preserve"> for its efficient cost of debt finance. </w:t>
      </w:r>
      <w:r>
        <w:t>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w:t>
      </w:r>
    </w:p>
    <w:p w:rsidR="00312F8A" w:rsidRDefault="00312F8A" w:rsidP="00312F8A">
      <w:r>
        <w:t xml:space="preserve">In section </w:t>
      </w:r>
      <w:r>
        <w:fldChar w:fldCharType="begin"/>
      </w:r>
      <w:r>
        <w:instrText xml:space="preserve"> REF _Ref444773920 \r \h </w:instrText>
      </w:r>
      <w:r>
        <w:fldChar w:fldCharType="separate"/>
      </w:r>
      <w:r w:rsidR="00691B4D">
        <w:t>B.3.3</w:t>
      </w:r>
      <w:r>
        <w:fldChar w:fldCharType="end"/>
      </w:r>
      <w:r>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312F8A" w:rsidRDefault="00312F8A" w:rsidP="00312F8A">
      <w:r>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Pr>
          <w:rStyle w:val="FootnoteReference"/>
        </w:rPr>
        <w:footnoteReference w:id="484"/>
      </w:r>
      <w:r>
        <w:t xml:space="preserve"> on observed data from service providers comparable to a benchmark efficient entity operating under an on-the-day approach (where the risk of mismatch is likely more material).</w:t>
      </w:r>
      <w:r>
        <w:rPr>
          <w:rStyle w:val="FootnoteReference"/>
        </w:rPr>
        <w:footnoteReference w:id="485"/>
      </w:r>
      <w:r>
        <w:t xml:space="preserve"> Therefore, the allowed rate of return should be commensurate with the efficient financing costs of a benchmark efficient entity with a similar degree of risk as a regulated service provider operating under this approach.</w:t>
      </w:r>
      <w:r w:rsidRPr="00FB1598">
        <w:t xml:space="preserve"> </w:t>
      </w:r>
      <w:r>
        <w:t xml:space="preserve">To the extent a benchmark efficient entity's investors </w:t>
      </w:r>
      <w:r>
        <w:lastRenderedPageBreak/>
        <w:t>expect that moving to a  trailing average approach would reduce the  risk they require compensation for, our allowed return on debt will likely be generous to service providers.</w:t>
      </w:r>
      <w:r>
        <w:rPr>
          <w:rStyle w:val="FootnoteReference"/>
        </w:rPr>
        <w:footnoteReference w:id="486"/>
      </w:r>
      <w:r>
        <w:t xml:space="preserve"> In particular, our estimate of systematic risk (beta) includes historical data, which will capture the systematic risk that a benchmark efficient entity would have been exposed to under the on-the-day approach.</w:t>
      </w:r>
    </w:p>
    <w:p w:rsidR="00312F8A" w:rsidRDefault="00312F8A" w:rsidP="00312F8A">
      <w:r>
        <w:t xml:space="preserve">We also note that Partington and Satchell consider mismatch between a service provider's </w:t>
      </w:r>
      <w:r w:rsidRPr="00F21B32">
        <w:t xml:space="preserve">actual </w:t>
      </w:r>
      <w:r>
        <w:t>incurred cost of debt and allowed return on debt is a consequence of its particular debt financing choices. They do not consider this affects a benchmark efficient entity's opportunity to earn the efficient return on its RAB.</w:t>
      </w:r>
      <w:r>
        <w:rPr>
          <w:rStyle w:val="FootnoteReference"/>
        </w:rPr>
        <w:footnoteReference w:id="487"/>
      </w:r>
      <w:r>
        <w:t xml:space="preserve"> </w:t>
      </w:r>
    </w:p>
    <w:p w:rsidR="00312F8A" w:rsidRDefault="00312F8A" w:rsidP="00312F8A">
      <w:r>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Pr>
          <w:rStyle w:val="FootnoteReference"/>
        </w:rPr>
        <w:footnoteReference w:id="488"/>
      </w:r>
      <w:r w:rsidRPr="008C3695">
        <w:t xml:space="preserve"> </w:t>
      </w:r>
      <w:r>
        <w:t xml:space="preserve">To the extent that this type of mismatch results in compensation that is not ex-ante efficient, we consider this would not meet the ARORO. </w:t>
      </w:r>
    </w:p>
    <w:p w:rsidR="00312F8A" w:rsidRDefault="00312F8A" w:rsidP="00312F8A">
      <w:r>
        <w:t xml:space="preserve">While a trailing average approach is expected to reduce the former type of mismatch relative to an on-the-day approach, an on-the-day approach is expected to reduce the latter type of mismatch relative to a trailing average approach. </w:t>
      </w:r>
    </w:p>
    <w:p w:rsidR="00312F8A" w:rsidRPr="00F21B32" w:rsidRDefault="00312F8A" w:rsidP="00312F8A">
      <w:pPr>
        <w:pStyle w:val="Heading9"/>
      </w:pPr>
      <w:bookmarkStart w:id="282" w:name="_Ref447803918"/>
      <w:bookmarkStart w:id="283" w:name="_Toc452629096"/>
      <w:bookmarkStart w:id="284" w:name="_Toc457911233"/>
      <w:bookmarkStart w:id="285" w:name="_Toc461803753"/>
      <w:bookmarkStart w:id="286" w:name="_Toc462754663"/>
      <w:r>
        <w:t>Consistency with the NEL/NGL</w:t>
      </w:r>
      <w:bookmarkEnd w:id="282"/>
      <w:bookmarkEnd w:id="283"/>
      <w:bookmarkEnd w:id="284"/>
      <w:bookmarkEnd w:id="285"/>
      <w:bookmarkEnd w:id="286"/>
    </w:p>
    <w:p w:rsidR="00312F8A" w:rsidRPr="00F21B32" w:rsidRDefault="00312F8A" w:rsidP="00312F8A">
      <w:r w:rsidRPr="00F21B32">
        <w:t xml:space="preserve">We consider </w:t>
      </w:r>
      <w:r>
        <w:t>an allowed rate of</w:t>
      </w:r>
      <w:r w:rsidRPr="00F21B32">
        <w:t xml:space="preserve"> return that </w:t>
      </w:r>
      <w:r>
        <w:t xml:space="preserve">meets the ARORO </w:t>
      </w:r>
      <w:r w:rsidRPr="00F21B32">
        <w:t>should</w:t>
      </w:r>
      <w:r>
        <w:t xml:space="preserve"> </w:t>
      </w:r>
      <w:r w:rsidRPr="00F21B32">
        <w:t>lead to economically efficient investment</w:t>
      </w:r>
      <w:r>
        <w:t>, provision of</w:t>
      </w:r>
      <w:r w:rsidRPr="00F21B32">
        <w:t xml:space="preserve"> and use of infrastructure</w:t>
      </w:r>
      <w:r>
        <w:t>, consistent with the</w:t>
      </w:r>
      <w:r w:rsidRPr="00494BE4">
        <w:t xml:space="preserve"> </w:t>
      </w:r>
      <w:r>
        <w:t>NEL/NGL</w:t>
      </w:r>
      <w:r w:rsidRPr="00F21B32">
        <w:t>.</w:t>
      </w:r>
      <w:r>
        <w:rPr>
          <w:rStyle w:val="FootnoteReference"/>
        </w:rPr>
        <w:footnoteReference w:id="489"/>
      </w:r>
      <w:r w:rsidRPr="00F21B32">
        <w:t xml:space="preserve"> </w:t>
      </w:r>
      <w:r>
        <w:t>This allowed rate of return should also provide</w:t>
      </w:r>
      <w:r w:rsidRPr="00F21B32">
        <w:t xml:space="preserve"> </w:t>
      </w:r>
      <w:r>
        <w:t>service providers</w:t>
      </w:r>
      <w:r w:rsidRPr="00F21B32">
        <w:t xml:space="preserve"> with a </w:t>
      </w:r>
      <w:r w:rsidRPr="00E26732">
        <w:rPr>
          <w:rStyle w:val="AERtextunderline"/>
        </w:rPr>
        <w:t>reasonable opportunity</w:t>
      </w:r>
      <w:r w:rsidRPr="00F21B32">
        <w:t xml:space="preserve"> to recover</w:t>
      </w:r>
      <w:r>
        <w:t xml:space="preserve"> their</w:t>
      </w:r>
      <w:r w:rsidRPr="00F21B32">
        <w:t xml:space="preserve"> efficient costs. We consider </w:t>
      </w:r>
      <w:r>
        <w:t>our</w:t>
      </w:r>
      <w:r w:rsidRPr="00F21B32">
        <w:t xml:space="preserve"> interpretation of the ARORO is consistent with the wording in the</w:t>
      </w:r>
      <w:r>
        <w:t xml:space="preserve"> NEO/NGO in the</w:t>
      </w:r>
      <w:r w:rsidRPr="00F21B32">
        <w:t xml:space="preserve"> NE</w:t>
      </w:r>
      <w:r>
        <w:t>L</w:t>
      </w:r>
      <w:r w:rsidRPr="00F21B32">
        <w:t xml:space="preserve">/NGL. Our view appears consistent with the views of the AEMC </w:t>
      </w:r>
      <w:r>
        <w:t>when</w:t>
      </w:r>
      <w:r w:rsidRPr="00F21B32">
        <w:t xml:space="preserve"> </w:t>
      </w:r>
      <w:r>
        <w:t>it</w:t>
      </w:r>
      <w:r w:rsidRPr="00F21B32">
        <w:t xml:space="preserve"> stated:</w:t>
      </w:r>
      <w:r w:rsidRPr="00BE4F1A">
        <w:rPr>
          <w:rStyle w:val="FootnoteReference"/>
        </w:rPr>
        <w:footnoteReference w:id="490"/>
      </w:r>
    </w:p>
    <w:p w:rsidR="00312F8A" w:rsidRPr="00F21B32" w:rsidRDefault="00312F8A" w:rsidP="00312F8A">
      <w:pPr>
        <w:pStyle w:val="AERquote"/>
      </w:pPr>
      <w:r w:rsidRPr="00F21B32">
        <w:lastRenderedPageBreak/>
        <w:t>If the rate of return estimate is set to the efficient required return, there will be no incentive for under- or over- investment. Such incentives for inefficient investment become more pronounced when the rate of return estimate differs from the efficien</w:t>
      </w:r>
      <w:r>
        <w:t>t required return.</w:t>
      </w:r>
    </w:p>
    <w:p w:rsidR="00312F8A" w:rsidRDefault="00312F8A" w:rsidP="00312F8A">
      <w:r w:rsidRPr="00F21B32">
        <w:t xml:space="preserve">The concept that </w:t>
      </w:r>
      <w:r>
        <w:t xml:space="preserve">a reasonable </w:t>
      </w:r>
      <w:r w:rsidRPr="00F21B32">
        <w:t>return</w:t>
      </w:r>
      <w:r>
        <w:t xml:space="preserve"> to investment</w:t>
      </w:r>
      <w:r w:rsidRPr="00F21B32">
        <w:t xml:space="preserve"> is important to achieving efficient </w:t>
      </w:r>
      <w:r>
        <w:t xml:space="preserve">regulatory </w:t>
      </w:r>
      <w:r w:rsidRPr="00F21B32">
        <w:t>investment appears common sense. Setting too high (or low) an expected return relative to the expected return on alternate equivalent risk investments would be expected to lead to distorted over (</w:t>
      </w:r>
      <w:r>
        <w:t xml:space="preserve">or </w:t>
      </w:r>
      <w:r w:rsidRPr="00F21B32">
        <w:t xml:space="preserve">under) investment </w:t>
      </w:r>
      <w:r>
        <w:t>in regulated assets</w:t>
      </w:r>
      <w:r w:rsidRPr="00F21B32">
        <w:t xml:space="preserve"> (all else </w:t>
      </w:r>
      <w:r>
        <w:t xml:space="preserve">being </w:t>
      </w:r>
      <w:r w:rsidRPr="00F21B32">
        <w:t>equal). The aim of setting a</w:t>
      </w:r>
      <w:r>
        <w:t xml:space="preserve">n </w:t>
      </w:r>
      <w:r w:rsidRPr="00F21B32">
        <w:t>expected return to achieve efficient investment also appears broadly accepted in regulatory literature.</w:t>
      </w:r>
      <w:r w:rsidRPr="00F21B32">
        <w:rPr>
          <w:rStyle w:val="FootnoteReference"/>
        </w:rPr>
        <w:footnoteReference w:id="491"/>
      </w:r>
      <w:r>
        <w:t xml:space="preserve"> This is also consistent with advice from </w:t>
      </w:r>
      <w:r w:rsidR="00092524">
        <w:t xml:space="preserve">several </w:t>
      </w:r>
      <w:r>
        <w:t>CCP</w:t>
      </w:r>
      <w:r w:rsidR="00092524">
        <w:t xml:space="preserve"> members </w:t>
      </w:r>
      <w:r>
        <w:t>that stated:</w:t>
      </w:r>
      <w:r>
        <w:rPr>
          <w:rStyle w:val="FootnoteReference"/>
        </w:rPr>
        <w:footnoteReference w:id="492"/>
      </w:r>
    </w:p>
    <w:p w:rsidR="00312F8A" w:rsidRDefault="00312F8A" w:rsidP="00312F8A">
      <w:pPr>
        <w:pStyle w:val="AERquote"/>
      </w:pPr>
      <w:r w:rsidRPr="00E905B1">
        <w:t>The AER must have regard to the impact of their RoR decision on capex incentives. Given that the DNSPs’ revised proposal is significan</w:t>
      </w:r>
      <w:r w:rsidRPr="001A2620">
        <w:t xml:space="preserve">tly above current costs of capital for BBB/BBB+ rated companies, there will be perverse incentives to overinvest in the network. </w:t>
      </w:r>
    </w:p>
    <w:p w:rsidR="00312F8A" w:rsidRDefault="00312F8A" w:rsidP="00312F8A">
      <w:r>
        <w:t>Similarly, Partington and Satchell consider the rule requirements are consistent with the zero NPV investment condition, stating:</w:t>
      </w:r>
      <w:r>
        <w:rPr>
          <w:rStyle w:val="FootnoteReference"/>
        </w:rPr>
        <w:footnoteReference w:id="493"/>
      </w:r>
    </w:p>
    <w:p w:rsidR="00312F8A" w:rsidRPr="001A2620" w:rsidRDefault="00312F8A" w:rsidP="00312F8A">
      <w:pPr>
        <w:pStyle w:val="AERquote"/>
      </w:pPr>
      <w:r w:rsidRPr="00770BC0">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w:t>
      </w:r>
      <w:r>
        <w:t>ts and risks of overinvestment.</w:t>
      </w:r>
      <w:r w:rsidRPr="00770BC0">
        <w:t xml:space="preserve"> There is very clear criterion that can be applied to meet these requirements. That criterion is that investment in regulated assets should be a zero NPV activity.</w:t>
      </w:r>
      <w:r w:rsidRPr="00770BC0" w:rsidDel="00770BC0">
        <w:t xml:space="preserve"> </w:t>
      </w:r>
    </w:p>
    <w:p w:rsidR="00312F8A" w:rsidRDefault="00312F8A" w:rsidP="00312F8A">
      <w:pPr>
        <w:pStyle w:val="Heading9"/>
      </w:pPr>
      <w:bookmarkStart w:id="287" w:name="_Ref447803924"/>
      <w:bookmarkStart w:id="288" w:name="_Toc452629097"/>
      <w:bookmarkStart w:id="289" w:name="_Toc457911234"/>
      <w:bookmarkStart w:id="290" w:name="_Toc461803754"/>
      <w:bookmarkStart w:id="291" w:name="_Toc462754664"/>
      <w:r>
        <w:t>Requirement for a revenue-neutral transition if there is a regime change</w:t>
      </w:r>
      <w:bookmarkEnd w:id="287"/>
      <w:bookmarkEnd w:id="288"/>
      <w:bookmarkEnd w:id="289"/>
      <w:bookmarkEnd w:id="290"/>
      <w:bookmarkEnd w:id="291"/>
    </w:p>
    <w:p w:rsidR="00312F8A" w:rsidRPr="00F21B32" w:rsidRDefault="00312F8A" w:rsidP="00312F8A">
      <w:r w:rsidRPr="00F21B32">
        <w:lastRenderedPageBreak/>
        <w:t xml:space="preserve">We consider that both an on-the-day </w:t>
      </w:r>
      <w:r>
        <w:t>methodology</w:t>
      </w:r>
      <w:r w:rsidRPr="00F21B32">
        <w:t xml:space="preserve"> to setting the cost of debt and a trailing average </w:t>
      </w:r>
      <w:r>
        <w:t xml:space="preserve">methodology </w:t>
      </w:r>
      <w:r w:rsidRPr="00F21B32">
        <w:t>can meet the ARORO</w:t>
      </w:r>
      <w:r>
        <w:t xml:space="preserve">. However, </w:t>
      </w:r>
      <w:r w:rsidRPr="00F21B32">
        <w:t>in moving between different approaches</w:t>
      </w:r>
      <w:r>
        <w:t>,</w:t>
      </w:r>
      <w:r w:rsidRPr="00F21B32">
        <w:t xml:space="preserve"> a transition that </w:t>
      </w:r>
      <w:r>
        <w:t>is revenue-neutral in a present value sense</w:t>
      </w:r>
      <w:r w:rsidRPr="00F21B32">
        <w:t xml:space="preserve"> will meet the ARORO. Section</w:t>
      </w:r>
      <w:r>
        <w:t xml:space="preserve"> </w:t>
      </w:r>
      <w:r>
        <w:fldChar w:fldCharType="begin"/>
      </w:r>
      <w:r>
        <w:instrText xml:space="preserve"> REF _Ref444767739 \r \h </w:instrText>
      </w:r>
      <w:r>
        <w:fldChar w:fldCharType="separate"/>
      </w:r>
      <w:r w:rsidR="00691B4D">
        <w:t>B.3</w:t>
      </w:r>
      <w:r>
        <w:fldChar w:fldCharType="end"/>
      </w:r>
      <w:r>
        <w:t xml:space="preserve"> further discusses t</w:t>
      </w:r>
      <w:r w:rsidRPr="00F21B32">
        <w:t xml:space="preserve">he position that either approach can result in </w:t>
      </w:r>
      <w:r>
        <w:t xml:space="preserve">a reasonable </w:t>
      </w:r>
      <w:r w:rsidRPr="00F21B32">
        <w:t xml:space="preserve">return </w:t>
      </w:r>
      <w:r>
        <w:t xml:space="preserve">on capital </w:t>
      </w:r>
      <w:r w:rsidRPr="00F21B32">
        <w:t>(and therefore could meet the ARORO)</w:t>
      </w:r>
      <w:r>
        <w:t xml:space="preserve">. This position also </w:t>
      </w:r>
      <w:r w:rsidRPr="00F21B32">
        <w:t>appears consistent with SFG</w:t>
      </w:r>
      <w:r>
        <w:t xml:space="preserve">'s </w:t>
      </w:r>
      <w:r w:rsidRPr="00F21B32">
        <w:t xml:space="preserve">view </w:t>
      </w:r>
      <w:r>
        <w:t xml:space="preserve">that </w:t>
      </w:r>
      <w:r w:rsidRPr="00F21B32">
        <w:t>the AEMC</w:t>
      </w:r>
      <w:r>
        <w:t xml:space="preserve"> noted</w:t>
      </w:r>
      <w:r w:rsidRPr="00F21B32">
        <w:t xml:space="preserve"> in its final rule determination where </w:t>
      </w:r>
      <w:r>
        <w:t xml:space="preserve">it </w:t>
      </w:r>
      <w:r w:rsidRPr="00F21B32">
        <w:t>stated:</w:t>
      </w:r>
      <w:r w:rsidRPr="00F21B32">
        <w:rPr>
          <w:rStyle w:val="FootnoteReference"/>
        </w:rPr>
        <w:footnoteReference w:id="494"/>
      </w:r>
    </w:p>
    <w:p w:rsidR="00312F8A" w:rsidRPr="00F21B32" w:rsidRDefault="00312F8A" w:rsidP="00312F8A">
      <w:pPr>
        <w:pStyle w:val="AERquote"/>
      </w:pPr>
      <w:r w:rsidRPr="00F21B32">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w:t>
      </w:r>
      <w:r>
        <w:t xml:space="preserve"> approaches will by definition</w:t>
      </w:r>
      <w:r w:rsidRPr="00F21B32">
        <w:t xml:space="preserve"> result in smoother estimates of the return on debt over time.</w:t>
      </w:r>
    </w:p>
    <w:p w:rsidR="00312F8A" w:rsidRPr="00F21B32" w:rsidRDefault="00312F8A" w:rsidP="00312F8A">
      <w:r w:rsidRPr="00F21B32">
        <w:t>We note that when undertaking the rule change in 2012 the AEMC added in clause 6</w:t>
      </w:r>
      <w:r>
        <w:t>A</w:t>
      </w:r>
      <w:r w:rsidRPr="00F21B32">
        <w:t>.</w:t>
      </w:r>
      <w:r>
        <w:t>6</w:t>
      </w:r>
      <w:r w:rsidRPr="00F21B32">
        <w:t>.</w:t>
      </w:r>
      <w:r>
        <w:t>2</w:t>
      </w:r>
      <w:r w:rsidRPr="00F21B32">
        <w:t>(k)(4) that states</w:t>
      </w:r>
      <w:r>
        <w:t xml:space="preserve"> (emphasis added)</w:t>
      </w:r>
      <w:r w:rsidRPr="00F21B32">
        <w:t>:</w:t>
      </w:r>
    </w:p>
    <w:p w:rsidR="00312F8A" w:rsidRPr="00F21B32" w:rsidRDefault="00312F8A" w:rsidP="00312F8A">
      <w:pPr>
        <w:pStyle w:val="AERquote"/>
      </w:pPr>
      <w:r w:rsidRPr="00F21B32">
        <w:t xml:space="preserve">(k) In estimating the return on debt under paragraph (h), regard must </w:t>
      </w:r>
      <w:r>
        <w:t>be had to the following factors…</w:t>
      </w:r>
    </w:p>
    <w:p w:rsidR="00312F8A" w:rsidRPr="00F21B32" w:rsidRDefault="00312F8A" w:rsidP="00312F8A">
      <w:pPr>
        <w:pStyle w:val="AERquote"/>
      </w:pPr>
      <w:r w:rsidRPr="00F21B32">
        <w:t xml:space="preserve">(4)  any impacts (including in relation to the costs of servicing debt across </w:t>
      </w:r>
      <w:r w:rsidRPr="00312F8A">
        <w:t>regulatory control periods</w:t>
      </w:r>
      <w:r w:rsidRPr="00F21B32">
        <w:t xml:space="preserve">) on a benchmark efficient entity referred to in the </w:t>
      </w:r>
      <w:r w:rsidRPr="00312F8A">
        <w:t>allowed rate of return objective</w:t>
      </w:r>
      <w:r w:rsidRPr="00F21B32">
        <w:t xml:space="preserve"> that could arise </w:t>
      </w:r>
      <w:r w:rsidRPr="00E26732">
        <w:rPr>
          <w:rStyle w:val="AERtextboldunderline"/>
        </w:rPr>
        <w:t>as a result of changing the methodology</w:t>
      </w:r>
      <w:r w:rsidRPr="00F21B32">
        <w:t xml:space="preserve"> that is used to estimate the return on debt from one </w:t>
      </w:r>
      <w:r w:rsidRPr="00312F8A">
        <w:t>regulatory control period</w:t>
      </w:r>
      <w:r w:rsidRPr="00F21B32">
        <w:t xml:space="preserve"> to the next.</w:t>
      </w:r>
    </w:p>
    <w:p w:rsidR="00312F8A" w:rsidRPr="00F21B32" w:rsidRDefault="00312F8A" w:rsidP="00312F8A">
      <w:r w:rsidRPr="00F21B32">
        <w:t xml:space="preserve">This clause is explicit in requiring </w:t>
      </w:r>
      <w:r>
        <w:t>us</w:t>
      </w:r>
      <w:r w:rsidRPr="00F21B32">
        <w:t xml:space="preserve"> to have regard to any impacts</w:t>
      </w:r>
      <w:r w:rsidRPr="00793E5F">
        <w:t xml:space="preserve"> </w:t>
      </w:r>
      <w:r>
        <w:t>on a benchmark efficient entity</w:t>
      </w:r>
      <w:r w:rsidRPr="00F21B32">
        <w:t xml:space="preserve"> </w:t>
      </w:r>
      <w:r>
        <w:t xml:space="preserve">that could arise </w:t>
      </w:r>
      <w:r w:rsidRPr="00F21B32">
        <w:t xml:space="preserve">as a result of a change of methodology. This would include having regard to any material </w:t>
      </w:r>
      <w:r>
        <w:t>changes in</w:t>
      </w:r>
      <w:r w:rsidRPr="00E817C9">
        <w:t xml:space="preserve"> the present value of a benchmark efficient entity's </w:t>
      </w:r>
      <w:r>
        <w:t>regulated revenue</w:t>
      </w:r>
      <w:r w:rsidRPr="00E817C9">
        <w:t xml:space="preserve"> purely due to changing the debt estimation methodology</w:t>
      </w:r>
      <w:r w:rsidRPr="00F21B32">
        <w:t xml:space="preserve">. </w:t>
      </w:r>
      <w:r>
        <w:t xml:space="preserve">If such changes increased a </w:t>
      </w:r>
      <w:r w:rsidRPr="00E817C9">
        <w:t xml:space="preserve">benchmark efficient entity's </w:t>
      </w:r>
      <w:r>
        <w:t>value, then this would benefit its equity holders at the expense of consumers. Conversely, if such changes de</w:t>
      </w:r>
      <w:r w:rsidRPr="00E817C9">
        <w:t xml:space="preserve">creased a benchmark efficient entity's value, then this </w:t>
      </w:r>
      <w:r>
        <w:t xml:space="preserve">would cost its equity holders but provide a short term financial benefit to consumers (which may not be a long-term benefit to the extent this results in underinvestment).  As such, this methodological change </w:t>
      </w:r>
      <w:r w:rsidRPr="00F21B32">
        <w:t>may also have a material negative impact on the confidence in the predictability of the regulatory regime.</w:t>
      </w:r>
      <w:r>
        <w:rPr>
          <w:rStyle w:val="FootnoteReference"/>
        </w:rPr>
        <w:footnoteReference w:id="495"/>
      </w:r>
      <w:r>
        <w:t xml:space="preserve"> </w:t>
      </w:r>
      <w:r w:rsidRPr="00F21B32">
        <w:t>We consider the AEMC</w:t>
      </w:r>
      <w:r>
        <w:t>'s</w:t>
      </w:r>
      <w:r w:rsidRPr="00F21B32">
        <w:t xml:space="preserve"> guidance on the intent of this clause is consistent with our approach</w:t>
      </w:r>
      <w:r>
        <w:t xml:space="preserve"> (emphasis added)</w:t>
      </w:r>
      <w:r w:rsidRPr="00F21B32">
        <w:t>:</w:t>
      </w:r>
      <w:r w:rsidRPr="00F21B32">
        <w:rPr>
          <w:rStyle w:val="FootnoteReference"/>
        </w:rPr>
        <w:footnoteReference w:id="496"/>
      </w:r>
    </w:p>
    <w:p w:rsidR="00312F8A" w:rsidRPr="00F21B32" w:rsidRDefault="00312F8A" w:rsidP="00312F8A">
      <w:pPr>
        <w:pStyle w:val="AERquote"/>
      </w:pPr>
      <w:r w:rsidRPr="00F21B32">
        <w:lastRenderedPageBreak/>
        <w:t xml:space="preserve">The purpose of the fourth factor is for the regulator to have regard to </w:t>
      </w:r>
      <w:r w:rsidRPr="00E26732">
        <w:rPr>
          <w:rStyle w:val="AERtextboldunderline"/>
        </w:rPr>
        <w:t>impacts of changes in the methodology</w:t>
      </w:r>
      <w:r w:rsidRPr="00F21B32">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312F8A" w:rsidRDefault="00312F8A" w:rsidP="00312F8A">
      <w:r>
        <w:t>W</w:t>
      </w:r>
      <w:r w:rsidRPr="00F21B32">
        <w:t xml:space="preserve">e have taken this factor into account and consider our transitional approach </w:t>
      </w:r>
      <w:r>
        <w:t xml:space="preserve">is </w:t>
      </w:r>
      <w:r w:rsidRPr="00F21B32">
        <w:t>consistent</w:t>
      </w:r>
      <w:r>
        <w:t xml:space="preserve"> with the intent of this factor. Nevertheless,</w:t>
      </w:r>
      <w:r w:rsidRPr="00F21B32">
        <w:t xml:space="preserve"> we consider that irrespective of this factor</w:t>
      </w:r>
      <w:r>
        <w:t>,</w:t>
      </w:r>
      <w:r w:rsidRPr="00F21B32">
        <w:t xml:space="preserve"> our tran</w:t>
      </w:r>
      <w:r>
        <w:t>sition approach meets the r</w:t>
      </w:r>
      <w:r w:rsidRPr="00F21B32">
        <w:t xml:space="preserve">equirements of the </w:t>
      </w:r>
      <w:r>
        <w:t>ARORO, NEO/NGO</w:t>
      </w:r>
      <w:r w:rsidRPr="00F21B32">
        <w:t xml:space="preserve"> and </w:t>
      </w:r>
      <w:r>
        <w:t xml:space="preserve">RPPs. Partington and Satchell and </w:t>
      </w:r>
      <w:r w:rsidR="00092524">
        <w:t xml:space="preserve">members of </w:t>
      </w:r>
      <w:r>
        <w:t>the CCP formed a similar view that the full transition to a trailing average in the Guideline would better satisfy the ARORO than the service providers' revised proposals.</w:t>
      </w:r>
      <w:r>
        <w:rPr>
          <w:rStyle w:val="FootnoteReference"/>
        </w:rPr>
        <w:footnoteReference w:id="497"/>
      </w:r>
      <w:r>
        <w:t xml:space="preserve"> </w:t>
      </w:r>
      <w:r w:rsidRPr="00F21B32">
        <w:t>We also consider that an immediate</w:t>
      </w:r>
      <w:r>
        <w:t xml:space="preserve"> (or hybrid)</w:t>
      </w:r>
      <w:r w:rsidRPr="00F21B32">
        <w:t xml:space="preserve"> </w:t>
      </w:r>
      <w:r>
        <w:t>transition</w:t>
      </w:r>
      <w:r w:rsidRPr="00F21B32">
        <w:t xml:space="preserve"> to a trailing average would </w:t>
      </w:r>
      <w:r>
        <w:t>result in a</w:t>
      </w:r>
      <w:r w:rsidRPr="00F21B32">
        <w:t xml:space="preserve"> material and unexpected change</w:t>
      </w:r>
      <w:r>
        <w:t xml:space="preserve"> in the present value of a benchmark efficient entity</w:t>
      </w:r>
      <w:r w:rsidRPr="00F21B32">
        <w:t xml:space="preserve"> relative to </w:t>
      </w:r>
      <w:r>
        <w:t xml:space="preserve">a value consistent with </w:t>
      </w:r>
      <w:r w:rsidRPr="00F21B32">
        <w:t xml:space="preserve">investor expectations formed under the on-the-day </w:t>
      </w:r>
      <w:r>
        <w:t>regime</w:t>
      </w:r>
      <w:r w:rsidRPr="00F21B32">
        <w:t>. If this occurred it would likely increase expected regulatory</w:t>
      </w:r>
      <w:r>
        <w:t xml:space="preserve"> uncertainty</w:t>
      </w:r>
      <w:r w:rsidRPr="00F21B32">
        <w:t xml:space="preserve"> going forward. We consider this may both undermine confidence in the predictability of the regulatory arrangements and not minimise efficient financing costs (all else</w:t>
      </w:r>
      <w:r>
        <w:t xml:space="preserve"> being</w:t>
      </w:r>
      <w:r w:rsidRPr="00F21B32">
        <w:t xml:space="preserve"> equal).</w:t>
      </w:r>
      <w:r>
        <w:rPr>
          <w:rStyle w:val="FootnoteReference"/>
        </w:rPr>
        <w:footnoteReference w:id="498"/>
      </w:r>
      <w:r w:rsidRPr="00F21B32">
        <w:t xml:space="preserve"> For these reasons, </w:t>
      </w:r>
      <w:r>
        <w:t>we</w:t>
      </w:r>
      <w:r w:rsidRPr="00F21B32">
        <w:t xml:space="preserve"> consider a lack of transition to limit </w:t>
      </w:r>
      <w:r>
        <w:t xml:space="preserve">uncertainty of regulatory changes affecting the value of the benchmark efficient entity </w:t>
      </w:r>
      <w:r w:rsidRPr="00F21B32">
        <w:t>is unlikely to be consistent with achieving the NEO/NGO and the RPP</w:t>
      </w:r>
      <w:r>
        <w:t>s</w:t>
      </w:r>
      <w:r w:rsidRPr="00F21B32">
        <w:t>.</w:t>
      </w:r>
    </w:p>
    <w:p w:rsidR="00312F8A" w:rsidRPr="00F21B32" w:rsidRDefault="00312F8A" w:rsidP="00312F8A">
      <w:r>
        <w:t xml:space="preserve">Similarly, </w:t>
      </w:r>
      <w:r w:rsidRPr="00F21B32">
        <w:t xml:space="preserve">SFG </w:t>
      </w:r>
      <w:r>
        <w:t>advised the AEMC that</w:t>
      </w:r>
      <w:r w:rsidRPr="00F21B32">
        <w:t xml:space="preserve"> a transition may be </w:t>
      </w:r>
      <w:r>
        <w:t>required</w:t>
      </w:r>
      <w:r w:rsidRPr="00F21B32">
        <w:t xml:space="preserve"> to limit </w:t>
      </w:r>
      <w:r>
        <w:t>'</w:t>
      </w:r>
      <w:r w:rsidRPr="00F21B32">
        <w:t>regulatory risk</w:t>
      </w:r>
      <w:r>
        <w:t>' and to avoid being in</w:t>
      </w:r>
      <w:r w:rsidRPr="00F21B32">
        <w:t>consistent with the NEO and RPP</w:t>
      </w:r>
      <w:r>
        <w:t>s.</w:t>
      </w:r>
      <w:r w:rsidRPr="00F21B32">
        <w:rPr>
          <w:rStyle w:val="FootnoteReference"/>
        </w:rPr>
        <w:footnoteReference w:id="499"/>
      </w:r>
      <w:r>
        <w:t xml:space="preserve"> </w:t>
      </w:r>
      <w:r w:rsidRPr="00F21B32">
        <w:t xml:space="preserve">SFG also </w:t>
      </w:r>
      <w:r>
        <w:t>considered</w:t>
      </w:r>
      <w:r w:rsidRPr="00F21B32">
        <w:t xml:space="preserve"> that</w:t>
      </w:r>
      <w:r>
        <w:t xml:space="preserve"> </w:t>
      </w:r>
      <w:r w:rsidRPr="00F21B32">
        <w:t>the</w:t>
      </w:r>
      <w:r>
        <w:t xml:space="preserve"> transition</w:t>
      </w:r>
      <w:r w:rsidRPr="00F21B32">
        <w:t xml:space="preserve"> </w:t>
      </w:r>
      <w:r>
        <w:t>we</w:t>
      </w:r>
      <w:r w:rsidRPr="00F21B32">
        <w:t xml:space="preserve"> proposed (the QTC method) would be an appropriate means of transitioning from the</w:t>
      </w:r>
      <w:r>
        <w:t xml:space="preserve"> current rules (that used an on-the-</w:t>
      </w:r>
      <w:r w:rsidRPr="00F21B32">
        <w:t>day methodology) to the use of a historical average cost of debt approach.</w:t>
      </w:r>
      <w:r w:rsidRPr="00F21B32">
        <w:rPr>
          <w:rStyle w:val="FootnoteReference"/>
        </w:rPr>
        <w:footnoteReference w:id="500"/>
      </w:r>
      <w:r w:rsidRPr="00F21B32">
        <w:t xml:space="preserve"> The desirability for predictability was also commented on by an Expert Panel on Energy Access pricing for the Ministerial Council on Energy in 2006 who noted [emphasis added]:</w:t>
      </w:r>
      <w:r w:rsidRPr="00F21B32">
        <w:rPr>
          <w:rStyle w:val="FootnoteReference"/>
        </w:rPr>
        <w:footnoteReference w:id="501"/>
      </w:r>
    </w:p>
    <w:p w:rsidR="00312F8A" w:rsidRPr="00F21B32" w:rsidRDefault="00312F8A" w:rsidP="00312F8A">
      <w:pPr>
        <w:pStyle w:val="AERquote"/>
      </w:pPr>
      <w:r w:rsidRPr="00F21B32">
        <w:t xml:space="preserve">Regulatory (and hence investor and user) risk can greatly be reduced if decisions are made in a timely and predictable manner. Timeliness in access decisions (including any merits and judicial review process) is important for </w:t>
      </w:r>
      <w:r w:rsidRPr="00F21B32">
        <w:lastRenderedPageBreak/>
        <w:t xml:space="preserve">both reducing the costs of the regime and minimising uncertainty associated </w:t>
      </w:r>
      <w:r>
        <w:t>with the outcome of the review</w:t>
      </w:r>
      <w:r w:rsidRPr="00F21B32">
        <w:t>…</w:t>
      </w:r>
    </w:p>
    <w:p w:rsidR="00312F8A" w:rsidRPr="00F21B32" w:rsidRDefault="00312F8A" w:rsidP="00312F8A">
      <w:pPr>
        <w:pStyle w:val="AERquote"/>
      </w:pPr>
      <w:r w:rsidRPr="00AA5640">
        <w:rPr>
          <w:rStyle w:val="Strong"/>
        </w:rPr>
        <w:t>Equally important is the predictability of those decisions</w:t>
      </w:r>
      <w:r w:rsidRPr="00F21B32">
        <w:t xml:space="preserve"> – that is the development of an approach that gives energy users and investors in transmission and distribution infrastructure confidence that access and pricing outcomes will be guided by known principles that are </w:t>
      </w:r>
      <w:r>
        <w:t>applied in a consistent manner.</w:t>
      </w:r>
    </w:p>
    <w:p w:rsidR="00312F8A" w:rsidRDefault="00312F8A" w:rsidP="00312F8A">
      <w:r w:rsidRPr="00F21B32">
        <w:t>We consider our approach is consistent with the desire for predictability in regulatory decisions by using a transition to avoid</w:t>
      </w:r>
      <w:r>
        <w:t xml:space="preserve"> material wealth</w:t>
      </w:r>
      <w:r w:rsidRPr="00F21B32">
        <w:t xml:space="preserve"> impacts from the change in methodology.</w:t>
      </w:r>
      <w:r>
        <w:t xml:space="preserve"> HoustonKemp also provided support for a transition when it advised the Essential Services Commission of SA (ESCOSA):</w:t>
      </w:r>
      <w:r>
        <w:rPr>
          <w:rStyle w:val="FootnoteReference"/>
        </w:rPr>
        <w:footnoteReference w:id="502"/>
      </w:r>
    </w:p>
    <w:p w:rsidR="00312F8A" w:rsidRPr="00F21B32" w:rsidRDefault="00312F8A" w:rsidP="00312F8A">
      <w:pPr>
        <w:pStyle w:val="AERquote"/>
      </w:pPr>
      <w:r w:rsidRPr="0097594A">
        <w:t>Consistent with regulatory best practice, a regulatory authority should seek to avoid imposing windfall gains</w:t>
      </w:r>
      <w:r>
        <w:t xml:space="preserve"> </w:t>
      </w:r>
      <w:r w:rsidRPr="0097594A">
        <w:t>or losses as a result of regulatory changes. A regulatory change that imposes windfall gains or losses will be</w:t>
      </w:r>
      <w:r>
        <w:t xml:space="preserve"> </w:t>
      </w:r>
      <w:r w:rsidRPr="0097594A">
        <w:t>to the detriment of regulatory certainty and will likely increase the perceived level of regulatory risk, and so</w:t>
      </w:r>
      <w:r>
        <w:t xml:space="preserve"> </w:t>
      </w:r>
      <w:r w:rsidRPr="0097594A">
        <w:t>the cost of capital.</w:t>
      </w:r>
    </w:p>
    <w:p w:rsidR="00312F8A" w:rsidRPr="00F21B32" w:rsidRDefault="00312F8A" w:rsidP="00312F8A">
      <w:r w:rsidRPr="00F21B32">
        <w:t xml:space="preserve">A transition </w:t>
      </w:r>
      <w:r>
        <w:t xml:space="preserve">is </w:t>
      </w:r>
      <w:r w:rsidRPr="00F21B32">
        <w:t xml:space="preserve">also </w:t>
      </w:r>
      <w:r>
        <w:t>likely to</w:t>
      </w:r>
      <w:r w:rsidRPr="00F21B32">
        <w:t xml:space="preserve"> be important </w:t>
      </w:r>
      <w:r>
        <w:t>for</w:t>
      </w:r>
      <w:r w:rsidRPr="00F21B32">
        <w:t xml:space="preserve"> maintaining the incentives on </w:t>
      </w:r>
      <w:r>
        <w:t>service providers</w:t>
      </w:r>
      <w:r w:rsidRPr="00F21B32">
        <w:t xml:space="preserve"> to adopt efficient financing practices under the regulatory regime</w:t>
      </w:r>
      <w:r>
        <w:t xml:space="preserve">. We consider this </w:t>
      </w:r>
      <w:r w:rsidRPr="00F21B32">
        <w:t xml:space="preserve">is consistent with the </w:t>
      </w:r>
      <w:r>
        <w:t>RPPs,</w:t>
      </w:r>
      <w:r w:rsidRPr="00F21B32">
        <w:t xml:space="preserve"> which </w:t>
      </w:r>
      <w:r>
        <w:t>indicate</w:t>
      </w:r>
      <w:r w:rsidRPr="00F21B32">
        <w:t xml:space="preserve"> regulated firms </w:t>
      </w:r>
      <w:r>
        <w:t>should</w:t>
      </w:r>
      <w:r w:rsidRPr="00F21B32">
        <w:t xml:space="preserve"> be provided with a range of incentives including incentives that should promote the efficient provision of electricity network</w:t>
      </w:r>
      <w:r>
        <w:t>/pipeline</w:t>
      </w:r>
      <w:r w:rsidRPr="00F21B32">
        <w:t xml:space="preserve"> services.</w:t>
      </w:r>
      <w:r w:rsidRPr="00F21B32">
        <w:rPr>
          <w:rStyle w:val="FootnoteReference"/>
        </w:rPr>
        <w:footnoteReference w:id="503"/>
      </w:r>
      <w:r w:rsidRPr="00F21B32">
        <w:t xml:space="preserve"> </w:t>
      </w:r>
      <w:r>
        <w:t xml:space="preserve">These principles show our regime is intended to be an incentive base regime as opposed to a cost of service regime. </w:t>
      </w:r>
      <w:r w:rsidRPr="00F21B32">
        <w:t>To promote efficiency incentives</w:t>
      </w:r>
      <w:r>
        <w:t>,</w:t>
      </w:r>
      <w:r w:rsidRPr="00F21B32">
        <w:t xml:space="preserve"> we consider regulated firms should be required to </w:t>
      </w:r>
      <w:r>
        <w:t>bear the consequences of their chosen financing approach</w:t>
      </w:r>
      <w:r w:rsidRPr="00F21B32">
        <w:t xml:space="preserve"> from the prior re</w:t>
      </w:r>
      <w:r>
        <w:t>gulatory period where returns w</w:t>
      </w:r>
      <w:r w:rsidRPr="00F21B32">
        <w:t xml:space="preserve">ere set under the on-the-day methodology and any financing decisions they made over this period were made in the expectation this methodology would continue. </w:t>
      </w:r>
      <w:r>
        <w:t xml:space="preserve">It </w:t>
      </w:r>
      <w:r w:rsidRPr="00F21B32">
        <w:t xml:space="preserve">could significantly undermine </w:t>
      </w:r>
      <w:r>
        <w:t>service providers'</w:t>
      </w:r>
      <w:r w:rsidRPr="00F21B32">
        <w:t xml:space="preserve"> incentives to manage financial risk</w:t>
      </w:r>
      <w:r>
        <w:t xml:space="preserve"> efficiently </w:t>
      </w:r>
      <w:r w:rsidRPr="00F21B32">
        <w:t>if</w:t>
      </w:r>
      <w:r>
        <w:t xml:space="preserve"> we provide an allowed return on debt in this decision that results in regulated firms not bearing the consequences of their chosen financing practices. This is because service providers were </w:t>
      </w:r>
      <w:r w:rsidRPr="00F21B32">
        <w:t xml:space="preserve">required to bear and manage </w:t>
      </w:r>
      <w:r>
        <w:t xml:space="preserve">this </w:t>
      </w:r>
      <w:r w:rsidRPr="00F21B32">
        <w:t>risk.</w:t>
      </w:r>
      <w:r>
        <w:rPr>
          <w:rStyle w:val="FootnoteReference"/>
        </w:rPr>
        <w:footnoteReference w:id="504"/>
      </w:r>
    </w:p>
    <w:p w:rsidR="00312F8A" w:rsidRDefault="00312F8A" w:rsidP="00312F8A">
      <w:pPr>
        <w:pStyle w:val="Heading8"/>
      </w:pPr>
      <w:bookmarkStart w:id="292" w:name="_Ref444767739"/>
      <w:bookmarkStart w:id="293" w:name="_Toc452629098"/>
      <w:bookmarkStart w:id="294" w:name="_Toc457911235"/>
      <w:bookmarkStart w:id="295" w:name="_Toc461803755"/>
      <w:bookmarkStart w:id="296" w:name="_Toc462754665"/>
      <w:r>
        <w:t>On-the-day and trailing average approaches</w:t>
      </w:r>
      <w:bookmarkEnd w:id="292"/>
      <w:bookmarkEnd w:id="293"/>
      <w:bookmarkEnd w:id="294"/>
      <w:bookmarkEnd w:id="295"/>
      <w:bookmarkEnd w:id="296"/>
    </w:p>
    <w:p w:rsidR="00312F8A" w:rsidRPr="00D9597E" w:rsidRDefault="00312F8A" w:rsidP="00312F8A">
      <w:r>
        <w:t xml:space="preserve">In this section, we analyse the on-the-day and trailing average approaches to establish </w:t>
      </w:r>
      <w:r w:rsidRPr="00D9597E">
        <w:t>whether these approaches can contribute to the achievement of the ARORO. We also explain that, while we consider both approaches would be open to us; we would expect either approach to produce different estimates at given points in time.</w:t>
      </w:r>
    </w:p>
    <w:p w:rsidR="00312F8A" w:rsidRPr="00D9597E" w:rsidRDefault="00312F8A" w:rsidP="00312F8A">
      <w:r>
        <w:lastRenderedPageBreak/>
        <w:t xml:space="preserve">From establishing this, we </w:t>
      </w:r>
      <w:r w:rsidRPr="00D9597E">
        <w:t>can demonstrate that in changing approaches from the on-the-day to the trailing average approach (or vice versa); a revenue neutral transition (in present value terms) is required to contribute to the achievement of the ARORO.</w:t>
      </w:r>
    </w:p>
    <w:p w:rsidR="00312F8A" w:rsidRPr="00501A2B" w:rsidRDefault="00312F8A" w:rsidP="00312F8A">
      <w:pPr>
        <w:pStyle w:val="Heading9"/>
      </w:pPr>
      <w:bookmarkStart w:id="297" w:name="_Ref445131744"/>
      <w:bookmarkStart w:id="298" w:name="_Toc452629099"/>
      <w:bookmarkStart w:id="299" w:name="_Toc457911236"/>
      <w:bookmarkStart w:id="300" w:name="_Toc461803756"/>
      <w:bookmarkStart w:id="301" w:name="_Toc462754666"/>
      <w:r>
        <w:t>On-the-day approach</w:t>
      </w:r>
      <w:bookmarkEnd w:id="297"/>
      <w:bookmarkEnd w:id="298"/>
      <w:bookmarkEnd w:id="299"/>
      <w:bookmarkEnd w:id="300"/>
      <w:bookmarkEnd w:id="301"/>
    </w:p>
    <w:p w:rsidR="00312F8A" w:rsidRDefault="00312F8A" w:rsidP="00312F8A">
      <w:r>
        <w:t xml:space="preserve">The </w:t>
      </w:r>
      <w:r w:rsidRPr="00E2186B">
        <w:t>o</w:t>
      </w:r>
      <w:r>
        <w:t>n-the-</w:t>
      </w:r>
      <w:r w:rsidRPr="00E2186B">
        <w:t xml:space="preserve">day approach estimates the </w:t>
      </w:r>
      <w:r>
        <w:t xml:space="preserve">allowed </w:t>
      </w:r>
      <w:r w:rsidRPr="00E2186B">
        <w:t xml:space="preserve">return on debt </w:t>
      </w:r>
      <w:r>
        <w:t>for</w:t>
      </w:r>
      <w:r w:rsidRPr="00E2186B">
        <w:t xml:space="preserve"> a service provider as the prevailing </w:t>
      </w:r>
      <w:r>
        <w:t>cost of</w:t>
      </w:r>
      <w:r w:rsidRPr="00E2186B">
        <w:t xml:space="preserve"> debt as close as possible to the start of the regulatory period.</w:t>
      </w:r>
      <w:r>
        <w:rPr>
          <w:rStyle w:val="FootnoteReference"/>
        </w:rPr>
        <w:footnoteReference w:id="505"/>
      </w:r>
      <w:r w:rsidRPr="00E2186B">
        <w:t xml:space="preserve"> The on-the-day approach is the longstanding return on debt approach adopted by us and </w:t>
      </w:r>
      <w:r>
        <w:t xml:space="preserve">generally by </w:t>
      </w:r>
      <w:r w:rsidRPr="00E2186B">
        <w:t>other regulators in Australia.</w:t>
      </w:r>
      <w:r>
        <w:rPr>
          <w:rStyle w:val="FootnoteReference"/>
        </w:rPr>
        <w:footnoteReference w:id="506"/>
      </w:r>
      <w:r w:rsidRPr="00E2186B">
        <w:t xml:space="preserve"> While the </w:t>
      </w:r>
      <w:r>
        <w:t>NER/NGR</w:t>
      </w:r>
      <w:r w:rsidRPr="00E2186B">
        <w:t xml:space="preserve"> no longer mandate </w:t>
      </w:r>
      <w:r>
        <w:t>that we adopt this approach, they still make it</w:t>
      </w:r>
      <w:r w:rsidRPr="00E2186B">
        <w:t xml:space="preserve"> available to us.</w:t>
      </w:r>
      <w:r>
        <w:rPr>
          <w:rStyle w:val="FootnoteReference"/>
        </w:rPr>
        <w:footnoteReference w:id="507"/>
      </w:r>
      <w:r>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Pr>
          <w:rStyle w:val="FootnoteReference"/>
        </w:rPr>
        <w:footnoteReference w:id="508"/>
      </w:r>
    </w:p>
    <w:p w:rsidR="00312F8A" w:rsidRPr="00D9597E" w:rsidRDefault="00312F8A" w:rsidP="00312F8A">
      <w:r>
        <w:t xml:space="preserve">We consider </w:t>
      </w:r>
      <w:r w:rsidRPr="00D9597E">
        <w:t xml:space="preserve">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D9597E">
        <w:rPr>
          <w:rStyle w:val="AERtextunderline"/>
        </w:rPr>
        <w:t>and</w:t>
      </w:r>
      <w:r w:rsidRPr="00D9597E">
        <w:t xml:space="preserve"> over each regulatory period (see section </w:t>
      </w:r>
      <w:r w:rsidRPr="00D9597E">
        <w:fldChar w:fldCharType="begin"/>
      </w:r>
      <w:r w:rsidRPr="00D9597E">
        <w:instrText xml:space="preserve"> REF _Ref444773920 \r \h </w:instrText>
      </w:r>
      <w:r w:rsidRPr="00D9597E">
        <w:fldChar w:fldCharType="separate"/>
      </w:r>
      <w:r w:rsidR="00691B4D">
        <w:t>B.3.3</w:t>
      </w:r>
      <w:r w:rsidRPr="00D9597E">
        <w:fldChar w:fldCharType="end"/>
      </w:r>
      <w:r w:rsidRPr="00D9597E">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D9597E">
        <w:rPr>
          <w:rStyle w:val="FootnoteReference"/>
        </w:rPr>
        <w:footnoteReference w:id="509"/>
      </w:r>
    </w:p>
    <w:p w:rsidR="00312F8A" w:rsidRDefault="00312F8A" w:rsidP="00312F8A">
      <w:r>
        <w:lastRenderedPageBreak/>
        <w:t xml:space="preserve">While we have chosen to move towards a trailing average approach (section </w:t>
      </w:r>
      <w:r>
        <w:fldChar w:fldCharType="begin"/>
      </w:r>
      <w:r>
        <w:instrText xml:space="preserve"> REF _Ref444774464 \r \h </w:instrText>
      </w:r>
      <w:r>
        <w:fldChar w:fldCharType="separate"/>
      </w:r>
      <w:r w:rsidR="00691B4D">
        <w:t>B.3.2</w:t>
      </w:r>
      <w:r>
        <w:fldChar w:fldCharType="end"/>
      </w:r>
      <w:r>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312F8A" w:rsidRPr="00D9597E" w:rsidRDefault="00312F8A" w:rsidP="00312F8A">
      <w:pPr>
        <w:pStyle w:val="AERbulletlistfirststyle"/>
      </w:pPr>
      <w:r>
        <w:t>It is consistent with the prevailing</w:t>
      </w:r>
      <w:r w:rsidRPr="00D9597E">
        <w:t xml:space="preserve">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312F8A" w:rsidRPr="00D9597E" w:rsidRDefault="00312F8A" w:rsidP="00312F8A">
      <w:pPr>
        <w:pStyle w:val="AERbulletlistfirststyle"/>
      </w:pPr>
      <w:r>
        <w:t xml:space="preserve">It leads to an estimate that </w:t>
      </w:r>
      <w:r w:rsidRPr="00D9597E">
        <w:t>is likely to more closely imitate the outcomes of a competitive market near the start of the regulatory period than a trailing average approach.</w:t>
      </w:r>
    </w:p>
    <w:p w:rsidR="00312F8A" w:rsidRPr="002527B0" w:rsidRDefault="00312F8A" w:rsidP="00312F8A">
      <w:pPr>
        <w:pStyle w:val="HeadingBoldBlue"/>
      </w:pPr>
      <w:bookmarkStart w:id="302" w:name="_Ref445121562"/>
      <w:r>
        <w:t>C</w:t>
      </w:r>
      <w:r w:rsidRPr="002527B0">
        <w:t xml:space="preserve">onsistent with prevailing </w:t>
      </w:r>
      <w:r>
        <w:t xml:space="preserve">market </w:t>
      </w:r>
      <w:r w:rsidRPr="002527B0">
        <w:t>cost of debt</w:t>
      </w:r>
      <w:bookmarkEnd w:id="302"/>
    </w:p>
    <w:p w:rsidR="00312F8A" w:rsidRDefault="00312F8A" w:rsidP="00312F8A">
      <w:r>
        <w:t xml:space="preserve">As discussed in section </w:t>
      </w:r>
      <w:r>
        <w:fldChar w:fldCharType="begin"/>
      </w:r>
      <w:r>
        <w:instrText xml:space="preserve"> REF _Ref446405872 \r \h </w:instrText>
      </w:r>
      <w:r>
        <w:fldChar w:fldCharType="separate"/>
      </w:r>
      <w:r w:rsidR="00691B4D">
        <w:t>B.1.1</w:t>
      </w:r>
      <w:r>
        <w:fldChar w:fldCharType="end"/>
      </w:r>
      <w:r>
        <w:t xml:space="preserve"> and </w:t>
      </w:r>
      <w:r>
        <w:fldChar w:fldCharType="begin"/>
      </w:r>
      <w:r>
        <w:instrText xml:space="preserve"> REF _Ref446603900 \r \h </w:instrText>
      </w:r>
      <w:r>
        <w:fldChar w:fldCharType="separate"/>
      </w:r>
      <w:r w:rsidR="00691B4D">
        <w:t>B.2.1</w:t>
      </w:r>
      <w:r>
        <w:fldChar w:fldCharType="end"/>
      </w:r>
      <w:r>
        <w:t>, we consider efficient financing costs, for debt and equity, should be based on (appropriately benchmarked) prevailing market rates.</w:t>
      </w:r>
      <w:r w:rsidRPr="005D54D1">
        <w:t xml:space="preserve"> </w:t>
      </w:r>
      <w:r>
        <w:t xml:space="preserve">As shown mathematically in section </w:t>
      </w:r>
      <w:r>
        <w:fldChar w:fldCharType="begin"/>
      </w:r>
      <w:r>
        <w:instrText xml:space="preserve"> REF _Ref444767739 \r \h </w:instrText>
      </w:r>
      <w:r>
        <w:fldChar w:fldCharType="separate"/>
      </w:r>
      <w:r w:rsidR="00691B4D">
        <w:t>B.3</w:t>
      </w:r>
      <w:r>
        <w:fldChar w:fldCharType="end"/>
      </w:r>
      <w:r>
        <w:t>, the on-the-day approach resets the entire allowed rate of return (which includes the return on debt) to reflect, as closely as possible, the prevailing market cost of capital (which includes the cost of debt) at the commencement of each regulatory period.</w:t>
      </w:r>
    </w:p>
    <w:p w:rsidR="00312F8A" w:rsidRDefault="00312F8A" w:rsidP="00312F8A">
      <w:r>
        <w:t xml:space="preserve">We consider an allowed return on debt that reflects the prevailing market cost of debt promotes efficient investment decisions. </w:t>
      </w:r>
      <w:r w:rsidRPr="00E2186B">
        <w:t>When firms make investment decisions, they estimate the cost of capital based on prevailing market rates. This is important because the cost of capital is based on investors’ expectations of future returns.</w:t>
      </w:r>
      <w:r>
        <w:rPr>
          <w:rStyle w:val="FootnoteReference"/>
        </w:rPr>
        <w:footnoteReference w:id="510"/>
      </w:r>
      <w:r>
        <w:t xml:space="preserve"> </w:t>
      </w:r>
      <w:r w:rsidRPr="00E2186B">
        <w:t>Firms then use this estimate to set a discount rate at which they discount the expected future cash flows of the proposed investment in order to determine its viability (that is</w:t>
      </w:r>
      <w:r>
        <w:t>,</w:t>
      </w:r>
      <w:r w:rsidRPr="00E2186B">
        <w:t xml:space="preserve"> whether the NPV of the expected cash flows is greater than or equal to zero).</w:t>
      </w:r>
    </w:p>
    <w:p w:rsidR="00312F8A" w:rsidRDefault="00312F8A" w:rsidP="00312F8A">
      <w:r>
        <w:t xml:space="preserve">As discussed in section </w:t>
      </w:r>
      <w:r>
        <w:fldChar w:fldCharType="begin"/>
      </w:r>
      <w:r>
        <w:instrText xml:space="preserve"> REF _Ref446603900 \r \h </w:instrText>
      </w:r>
      <w:r>
        <w:fldChar w:fldCharType="separate"/>
      </w:r>
      <w:r w:rsidR="00691B4D">
        <w:t>B.2.1</w:t>
      </w:r>
      <w:r>
        <w:fldChar w:fldCharType="end"/>
      </w:r>
      <w:r>
        <w:t xml:space="preserve">, we consider the ARORO requires us </w:t>
      </w:r>
      <w:r w:rsidRPr="00E2186B">
        <w:t>to set a</w:t>
      </w:r>
      <w:r>
        <w:t>n allowed</w:t>
      </w:r>
      <w:r w:rsidRPr="00E2186B">
        <w:t xml:space="preserve"> rate of return for </w:t>
      </w:r>
      <w:r>
        <w:t>a</w:t>
      </w:r>
      <w:r w:rsidRPr="00E2186B">
        <w:t xml:space="preserve"> benchmark efficient entity such that the return on its investment</w:t>
      </w:r>
      <w:r>
        <w:t xml:space="preserve"> in its RAB</w:t>
      </w:r>
      <w:r w:rsidRPr="00E2186B">
        <w:t xml:space="preserve"> equals its </w:t>
      </w:r>
      <w:r>
        <w:t xml:space="preserve">efficient </w:t>
      </w:r>
      <w:r w:rsidRPr="00E2186B">
        <w:t xml:space="preserve">cost (that is, </w:t>
      </w:r>
      <w:r>
        <w:t>the zero NPV investment condition</w:t>
      </w:r>
      <w:r w:rsidRPr="00E2186B">
        <w:t xml:space="preserve">). The </w:t>
      </w:r>
      <w:r>
        <w:t xml:space="preserve">prevailing market </w:t>
      </w:r>
      <w:r w:rsidRPr="00E2186B">
        <w:t xml:space="preserve">cost of capital is the only discount rate that sets the present value of expected future cash flows equal to the </w:t>
      </w:r>
      <w:r>
        <w:t>RAB</w:t>
      </w:r>
      <w:r w:rsidRPr="00E2186B">
        <w:t>. In its 2012 report to the AEMC, SFG summarised this point by stating:</w:t>
      </w:r>
      <w:r>
        <w:rPr>
          <w:rStyle w:val="FootnoteReference"/>
        </w:rPr>
        <w:footnoteReference w:id="511"/>
      </w:r>
    </w:p>
    <w:p w:rsidR="00312F8A" w:rsidRDefault="00312F8A" w:rsidP="00312F8A">
      <w:pPr>
        <w:pStyle w:val="AERquote"/>
      </w:pPr>
      <w:r w:rsidRPr="00E2186B">
        <w:t xml:space="preserve">The principle which underpins the regulatory framework in Australia is to estimate a price which equates the present value of expected cash flows to the regulated asset base. If the regulated rate of return is set at a rate other than </w:t>
      </w:r>
      <w:r w:rsidRPr="00E2186B">
        <w:lastRenderedPageBreak/>
        <w:t>the cost of capital this will no longer hold. Investment decisions will be distorted.</w:t>
      </w:r>
    </w:p>
    <w:p w:rsidR="00312F8A" w:rsidRDefault="00312F8A" w:rsidP="00312F8A">
      <w:pPr>
        <w:numPr>
          <w:ilvl w:val="0"/>
          <w:numId w:val="25"/>
        </w:numPr>
      </w:pPr>
      <w:r>
        <w:t>Similarly, Partington and Satchell (who recommend the on-the-day approach) stated:</w:t>
      </w:r>
      <w:r>
        <w:rPr>
          <w:rStyle w:val="FootnoteReference"/>
        </w:rPr>
        <w:footnoteReference w:id="512"/>
      </w:r>
    </w:p>
    <w:p w:rsidR="00312F8A" w:rsidRDefault="00312F8A" w:rsidP="00312F8A">
      <w:pPr>
        <w:pStyle w:val="AERquote"/>
      </w:pPr>
      <w:r w:rsidRPr="007624AA">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312F8A" w:rsidRDefault="00312F8A" w:rsidP="00312F8A">
      <w:pPr>
        <w:numPr>
          <w:ilvl w:val="0"/>
          <w:numId w:val="25"/>
        </w:numPr>
      </w:pPr>
      <w:r>
        <w:t xml:space="preserve">Therefore, we consider the on-the-day approach </w:t>
      </w:r>
      <w:r w:rsidRPr="00E2186B">
        <w:t>provides an appropriate signal for investment</w:t>
      </w:r>
      <w:r>
        <w:t xml:space="preserve"> decisions made near the commencement of the regulatory period. We consider this would promote </w:t>
      </w:r>
      <w:r w:rsidRPr="000C116C">
        <w:t>efficient investment decisions</w:t>
      </w:r>
      <w:r>
        <w:t xml:space="preserve"> that increase</w:t>
      </w:r>
      <w:r w:rsidRPr="000C116C">
        <w:t xml:space="preserve"> </w:t>
      </w:r>
      <w:r>
        <w:t>dynamic efficiency. This aligns with the AEMC's view that:</w:t>
      </w:r>
      <w:r>
        <w:rPr>
          <w:rStyle w:val="FootnoteReference"/>
        </w:rPr>
        <w:footnoteReference w:id="513"/>
      </w:r>
    </w:p>
    <w:p w:rsidR="00312F8A" w:rsidRDefault="00312F8A" w:rsidP="00312F8A">
      <w:pPr>
        <w:pStyle w:val="AERquote"/>
      </w:pPr>
      <w:r>
        <w:t xml:space="preserve">[the return on debt framework] </w:t>
      </w:r>
      <w:r w:rsidRPr="001A712C">
        <w:t>should try to create an incentive for service providers to adopt efficient financing practices and minimise the risk of creating distortions in the servic</w:t>
      </w:r>
      <w:r>
        <w:t>e provider's investment decisions</w:t>
      </w:r>
      <w:r w:rsidRPr="001A712C">
        <w:t>.</w:t>
      </w:r>
    </w:p>
    <w:p w:rsidR="00312F8A" w:rsidRDefault="00312F8A" w:rsidP="00312F8A">
      <w:r w:rsidRPr="00E2186B">
        <w:t xml:space="preserve">If we were to set the allowed </w:t>
      </w:r>
      <w:r>
        <w:t>return on debt</w:t>
      </w:r>
      <w:r w:rsidRPr="00E2186B">
        <w:t xml:space="preserve"> in a different way</w:t>
      </w:r>
      <w:r>
        <w:t>,</w:t>
      </w:r>
      <w:r w:rsidRPr="00E2186B">
        <w:t xml:space="preserve"> it would no longer be an estimate of the cost of </w:t>
      </w:r>
      <w:r>
        <w:t>debt (and thus the cost of capital)</w:t>
      </w:r>
      <w:r w:rsidRPr="00E2186B">
        <w:t xml:space="preserve"> at</w:t>
      </w:r>
      <w:r>
        <w:t xml:space="preserve"> the time of the determination or</w:t>
      </w:r>
      <w:r w:rsidRPr="00E2186B">
        <w:t xml:space="preserve"> access arrangement. For example, under a trailing average approach, the</w:t>
      </w:r>
      <w:r>
        <w:t xml:space="preserve"> overall allowed</w:t>
      </w:r>
      <w:r w:rsidRPr="00E2186B">
        <w:t xml:space="preserve"> return on debt</w:t>
      </w:r>
      <w:r>
        <w:t xml:space="preserve"> predominately</w:t>
      </w:r>
      <w:r w:rsidRPr="00E2186B">
        <w:t xml:space="preserve"> </w:t>
      </w:r>
      <w:r>
        <w:t>compensates</w:t>
      </w:r>
      <w:r w:rsidRPr="00E2186B">
        <w:t xml:space="preserve"> for</w:t>
      </w:r>
      <w:r>
        <w:t xml:space="preserve"> historical</w:t>
      </w:r>
      <w:r w:rsidRPr="00E2186B">
        <w:t xml:space="preserve"> interest rates, rather than for the risk of providing debt finance in the future.</w:t>
      </w:r>
      <w:r>
        <w:rPr>
          <w:rStyle w:val="FootnoteReference"/>
        </w:rPr>
        <w:footnoteReference w:id="514"/>
      </w:r>
      <w:r>
        <w:t xml:space="preserve">  Only 10 per cent of the allowed return on debt will compensate for</w:t>
      </w:r>
      <w:r w:rsidRPr="00800A09">
        <w:t xml:space="preserve"> </w:t>
      </w:r>
      <w:r w:rsidRPr="00E2186B">
        <w:t>the risk of providing debt finance in the future</w:t>
      </w:r>
      <w:r>
        <w:t xml:space="preserve"> because 10 per cent of the return on debt is updated annually </w:t>
      </w:r>
      <w:r w:rsidRPr="007D2546">
        <w:t xml:space="preserve">to reflect prevailing interest </w:t>
      </w:r>
      <w:r>
        <w:t>rates</w:t>
      </w:r>
      <w:r w:rsidRPr="007D2546">
        <w:t>.</w:t>
      </w:r>
      <w:r>
        <w:t xml:space="preserve"> As discussed in section </w:t>
      </w:r>
      <w:r>
        <w:fldChar w:fldCharType="begin"/>
      </w:r>
      <w:r>
        <w:instrText xml:space="preserve"> REF _Ref446603900 \r \h </w:instrText>
      </w:r>
      <w:r>
        <w:fldChar w:fldCharType="separate"/>
      </w:r>
      <w:r w:rsidR="00691B4D">
        <w:t>B.2.1</w:t>
      </w:r>
      <w:r>
        <w:fldChar w:fldCharType="end"/>
      </w:r>
      <w:r>
        <w:t>, this results in a mismatch between the allowed return on debt and the prevailing cost of debt for a benchmark efficient entity at the time of the determination or access arrangement.</w:t>
      </w:r>
    </w:p>
    <w:p w:rsidR="00312F8A" w:rsidRDefault="00312F8A" w:rsidP="00312F8A">
      <w:r>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Pr>
          <w:rStyle w:val="FootnoteReference"/>
        </w:rPr>
        <w:footnoteReference w:id="515"/>
      </w:r>
      <w:r>
        <w:t xml:space="preserve"> </w:t>
      </w:r>
    </w:p>
    <w:p w:rsidR="00312F8A" w:rsidRPr="002527B0" w:rsidRDefault="00312F8A" w:rsidP="00312F8A">
      <w:pPr>
        <w:pStyle w:val="HeadingBoldBlue"/>
      </w:pPr>
      <w:r>
        <w:lastRenderedPageBreak/>
        <w:t>Imitates the outcomes of a competitive market</w:t>
      </w:r>
    </w:p>
    <w:p w:rsidR="00312F8A" w:rsidRPr="004F070F" w:rsidRDefault="00312F8A" w:rsidP="00312F8A">
      <w:r>
        <w:t xml:space="preserve">We consider </w:t>
      </w:r>
      <w:r w:rsidRPr="004F070F">
        <w:t>an allowed return on debt that reflects the prevailing market cost of debt at the time of the determination or access arrangement (that is, an on-the-day approach) is likely to promote economic efficiency because:</w:t>
      </w:r>
    </w:p>
    <w:p w:rsidR="00312F8A" w:rsidRPr="00D9597E" w:rsidRDefault="00312F8A" w:rsidP="00312F8A">
      <w:pPr>
        <w:pStyle w:val="AERbulletlistfirststyle"/>
      </w:pPr>
      <w:r w:rsidRPr="004F070F">
        <w:t xml:space="preserve">Productive efficiency refers to least cost financing (that is, the lowest required return on debt). An allowed return on debt that reflects the </w:t>
      </w:r>
      <w:r w:rsidRPr="00D9597E">
        <w:t>(appropriately benchmarked) prevailing market cost of debt will likely promote productive efficiency. This is because a benchmark efficient entity faces competitive prices in the market for funds.</w:t>
      </w:r>
    </w:p>
    <w:p w:rsidR="00312F8A" w:rsidRPr="00D9597E" w:rsidRDefault="00312F8A" w:rsidP="00312F8A">
      <w:pPr>
        <w:pStyle w:val="AERbulletlistfirststyle"/>
      </w:pPr>
      <w:r w:rsidRPr="004F070F">
        <w:t xml:space="preserve">Allocative efficiency refers to the allowed return on debt reflecting investors' opportunity cost of debt for investments of similar risk. </w:t>
      </w:r>
      <w:r w:rsidRPr="00D9597E">
        <w:t>The prevailing market cost of debt at any given time is likely to reflect investors' opportunity cost. This is because the market for capital finance is competitive with many buyers and sellers.</w:t>
      </w:r>
    </w:p>
    <w:p w:rsidR="00312F8A" w:rsidRPr="00D9597E" w:rsidRDefault="00312F8A" w:rsidP="00312F8A">
      <w:pPr>
        <w:pStyle w:val="AERbulletlistfirststyle"/>
      </w:pPr>
      <w:r w:rsidRPr="004F070F">
        <w:t xml:space="preserve">Dynamic efficiency refers to the existence of appropriate investment incentives. As discussed above, a return on debt that reflects </w:t>
      </w:r>
      <w:r w:rsidRPr="00D9597E">
        <w:t xml:space="preserve">the prevailing market cost of debt provides an appropriate signal for new investment and promotes efficient investment decisions. </w:t>
      </w:r>
    </w:p>
    <w:p w:rsidR="00312F8A" w:rsidRDefault="00312F8A" w:rsidP="00312F8A">
      <w:r>
        <w:t>Moreover, a return on debt that better reflects the prevailing market cost of debt</w:t>
      </w:r>
      <w:r w:rsidRPr="00E64F99">
        <w:t xml:space="preserve"> more closely imitates the outcomes of a competitive market</w:t>
      </w:r>
      <w:r>
        <w:t>. This is because the current market cost of debt reflects investors' opportunity cost of debt for investments of similar risk.</w:t>
      </w:r>
      <w:r w:rsidDel="004F070F">
        <w:t xml:space="preserve"> </w:t>
      </w:r>
    </w:p>
    <w:p w:rsidR="00312F8A" w:rsidRPr="00E64F99" w:rsidRDefault="00312F8A" w:rsidP="00312F8A">
      <w:r>
        <w:t>The current market cost of debt</w:t>
      </w:r>
      <w:r w:rsidRPr="00E64F99">
        <w:t xml:space="preserve"> </w:t>
      </w:r>
      <w:r>
        <w:t>represents the costs that other service providers will face to enter the market. The on-the-day approach</w:t>
      </w:r>
      <w:r w:rsidRPr="00EE36F1">
        <w:t xml:space="preserve"> is</w:t>
      </w:r>
      <w:r>
        <w:t xml:space="preserve"> more</w:t>
      </w:r>
      <w:r w:rsidRPr="00EE36F1">
        <w:t xml:space="preserve"> consistent</w:t>
      </w:r>
      <w:r>
        <w:t xml:space="preserve"> than the trailing average approach</w:t>
      </w:r>
      <w:r w:rsidRPr="00EE36F1">
        <w:t xml:space="preserve"> with the theory that</w:t>
      </w:r>
      <w:r>
        <w:t xml:space="preserve"> </w:t>
      </w:r>
      <w:r w:rsidRPr="00EE36F1">
        <w:t xml:space="preserve">prices in a competitive market would be constrained by the entry, or threat of entry, of new providers. </w:t>
      </w:r>
      <w:r>
        <w:t>This is because</w:t>
      </w:r>
      <w:r w:rsidRPr="00163EC0">
        <w:t xml:space="preserve"> </w:t>
      </w:r>
      <w:r w:rsidRPr="00E64F99">
        <w:t>in a competitive market</w:t>
      </w:r>
      <w:r>
        <w:t xml:space="preserve">, </w:t>
      </w:r>
      <w:r w:rsidRPr="00E64F99">
        <w:t xml:space="preserve">prices are </w:t>
      </w:r>
      <w:r>
        <w:t>th</w:t>
      </w:r>
      <w:r w:rsidRPr="00E64F99">
        <w:t>eoretically constrained by entry or the threat of entry.</w:t>
      </w:r>
      <w:r w:rsidRPr="00E64F99">
        <w:rPr>
          <w:rStyle w:val="FootnoteReference"/>
        </w:rPr>
        <w:footnoteReference w:id="516"/>
      </w:r>
      <w:r w:rsidRPr="00E64F99">
        <w:t xml:space="preserve"> As observed by HoustonKemp:</w:t>
      </w:r>
      <w:r w:rsidRPr="00E64F99">
        <w:rPr>
          <w:rStyle w:val="FootnoteReference"/>
        </w:rPr>
        <w:footnoteReference w:id="517"/>
      </w:r>
    </w:p>
    <w:p w:rsidR="00312F8A" w:rsidRPr="00656C8A" w:rsidRDefault="00312F8A" w:rsidP="00312F8A">
      <w:pPr>
        <w:pStyle w:val="AERquote"/>
      </w:pPr>
      <w:r w:rsidRPr="002D1BB2">
        <w:t>when</w:t>
      </w:r>
      <w:r w:rsidRPr="00656C8A">
        <w:t xml:space="preserve">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312F8A" w:rsidRDefault="00312F8A" w:rsidP="00312F8A">
      <w:r>
        <w:t xml:space="preserve">Similarly, </w:t>
      </w:r>
      <w:r w:rsidRPr="009E7AA9">
        <w:t xml:space="preserve">Chairmont </w:t>
      </w:r>
      <w:r>
        <w:t>captured this concept when it advised:</w:t>
      </w:r>
      <w:r>
        <w:rPr>
          <w:rStyle w:val="FootnoteReference"/>
        </w:rPr>
        <w:footnoteReference w:id="518"/>
      </w:r>
    </w:p>
    <w:p w:rsidR="00312F8A" w:rsidRDefault="00312F8A" w:rsidP="00312F8A">
      <w:pPr>
        <w:pStyle w:val="AERquote"/>
      </w:pPr>
      <w:r w:rsidRPr="009E7AA9">
        <w:t xml:space="preserve">The solution should take current market rates and use those to project forward, rather than taking trailing averages as an indicator of future financing costs. </w:t>
      </w:r>
      <w:r w:rsidRPr="009E7AA9">
        <w:lastRenderedPageBreak/>
        <w:t>The look forward approach is consistent with measuring the opportunity cost of capital and for the typical pressures, including from new entrants, faced by participants in an efficient competitive market.</w:t>
      </w:r>
    </w:p>
    <w:p w:rsidR="00312F8A" w:rsidRDefault="00312F8A" w:rsidP="00312F8A">
      <w:r>
        <w:t>We also note that Partington and Satchell considered the on-the-day approach is consistent with competitive market outcomes, stating:</w:t>
      </w:r>
      <w:r>
        <w:rPr>
          <w:rStyle w:val="FootnoteReference"/>
        </w:rPr>
        <w:footnoteReference w:id="519"/>
      </w:r>
    </w:p>
    <w:p w:rsidR="00312F8A" w:rsidRPr="009A713A" w:rsidRDefault="00312F8A" w:rsidP="00312F8A">
      <w:pPr>
        <w:pStyle w:val="AERquote"/>
      </w:pPr>
      <w:r w:rsidRPr="00833C4C">
        <w:t>The equilibrium in a competitive market is that investments in assets are zero NPV. This implies that firms can expect to recover the current cost of capital, which in the form of the WACC includes the current cost of debt.</w:t>
      </w:r>
    </w:p>
    <w:p w:rsidR="00312F8A" w:rsidRDefault="00312F8A" w:rsidP="00312F8A">
      <w:pPr>
        <w:pStyle w:val="Heading9"/>
      </w:pPr>
      <w:bookmarkStart w:id="303" w:name="_Ref444774464"/>
      <w:bookmarkStart w:id="304" w:name="_Toc452629100"/>
      <w:bookmarkStart w:id="305" w:name="_Toc457911237"/>
      <w:bookmarkStart w:id="306" w:name="_Toc461803757"/>
      <w:bookmarkStart w:id="307" w:name="_Toc462754667"/>
      <w:r>
        <w:t>Trailing average approach</w:t>
      </w:r>
      <w:bookmarkEnd w:id="303"/>
      <w:bookmarkEnd w:id="304"/>
      <w:bookmarkEnd w:id="305"/>
      <w:bookmarkEnd w:id="306"/>
      <w:bookmarkEnd w:id="307"/>
    </w:p>
    <w:p w:rsidR="00312F8A" w:rsidRDefault="00312F8A" w:rsidP="00312F8A">
      <w:pPr>
        <w:numPr>
          <w:ilvl w:val="0"/>
          <w:numId w:val="25"/>
        </w:numPr>
      </w:pPr>
      <w:r>
        <w:t>The trailing average</w:t>
      </w:r>
      <w:r w:rsidRPr="00E2186B">
        <w:t xml:space="preserve"> approach estimates the </w:t>
      </w:r>
      <w:r>
        <w:t xml:space="preserve">allowed </w:t>
      </w:r>
      <w:r w:rsidRPr="00E2186B">
        <w:t xml:space="preserve">return on debt </w:t>
      </w:r>
      <w:r>
        <w:t>for</w:t>
      </w:r>
      <w:r w:rsidRPr="00E2186B">
        <w:t xml:space="preserve"> a service provider </w:t>
      </w:r>
      <w:r>
        <w:t>as an average of the cost of debt over 10 years (which is annually updated)</w:t>
      </w:r>
      <w:r w:rsidRPr="00E2186B">
        <w:t xml:space="preserve">. </w:t>
      </w:r>
      <w:r>
        <w:t>This approach is available to us under the</w:t>
      </w:r>
      <w:r w:rsidRPr="00E2186B">
        <w:t xml:space="preserve"> </w:t>
      </w:r>
      <w:r>
        <w:t>NER/NGR</w:t>
      </w:r>
      <w:r w:rsidRPr="00E2186B">
        <w:t>.</w:t>
      </w:r>
      <w:r>
        <w:rPr>
          <w:rStyle w:val="FootnoteReference"/>
        </w:rPr>
        <w:footnoteReference w:id="520"/>
      </w:r>
    </w:p>
    <w:p w:rsidR="00312F8A" w:rsidRDefault="00312F8A" w:rsidP="00312F8A">
      <w:pPr>
        <w:numPr>
          <w:ilvl w:val="0"/>
          <w:numId w:val="25"/>
        </w:numPr>
      </w:pPr>
      <w:r>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fldChar w:fldCharType="begin"/>
      </w:r>
      <w:r>
        <w:instrText xml:space="preserve"> REF _Ref444773920 \r \h </w:instrText>
      </w:r>
      <w:r>
        <w:fldChar w:fldCharType="separate"/>
      </w:r>
      <w:r w:rsidR="00691B4D">
        <w:t>B.3.3</w:t>
      </w:r>
      <w:r>
        <w:fldChar w:fldCharType="end"/>
      </w:r>
      <w:r>
        <w:t>.</w:t>
      </w:r>
    </w:p>
    <w:p w:rsidR="00312F8A" w:rsidRDefault="00312F8A" w:rsidP="00312F8A">
      <w:r>
        <w:t>Further, the trailing average approach</w:t>
      </w:r>
      <w:r w:rsidRPr="00E64F99">
        <w:t xml:space="preserve"> may have particular benefits that an on</w:t>
      </w:r>
      <w:r>
        <w:t>-the-day approach</w:t>
      </w:r>
      <w:r w:rsidRPr="00800A09">
        <w:t xml:space="preserve"> </w:t>
      </w:r>
      <w:r>
        <w:t xml:space="preserve">cannot </w:t>
      </w:r>
      <w:r w:rsidRPr="00E64F99">
        <w:t>achieve</w:t>
      </w:r>
      <w:r>
        <w:t>. For instance, when</w:t>
      </w:r>
      <w:r w:rsidRPr="00E64F99">
        <w:t xml:space="preserve"> it advised the AEMC, SFG stated that 'if it can be demonstrated that the benefits of a regulated rate of return which is less variable over time outweigh the costs associated with investment distortions, then a trailing average should be considered'.</w:t>
      </w:r>
      <w:r w:rsidRPr="00E64F99">
        <w:rPr>
          <w:rStyle w:val="FootnoteReference"/>
        </w:rPr>
        <w:footnoteReference w:id="521"/>
      </w:r>
      <w:r w:rsidRPr="00E64F99">
        <w:t xml:space="preserve"> </w:t>
      </w:r>
      <w:r>
        <w:t>The potential benefits mainly relate to smoother prices and a potentially reduced mismatch betwee</w:t>
      </w:r>
      <w:r w:rsidRPr="00E64F99">
        <w:t xml:space="preserve">n </w:t>
      </w:r>
      <w:r>
        <w:t xml:space="preserve">a benchmark efficient entity's actual debt cost outcomes (or cash outflows) and the allowed return on </w:t>
      </w:r>
      <w:r w:rsidRPr="00E64F99">
        <w:t xml:space="preserve">debt </w:t>
      </w:r>
      <w:r>
        <w:t xml:space="preserve">(see section </w:t>
      </w:r>
      <w:r>
        <w:fldChar w:fldCharType="begin"/>
      </w:r>
      <w:r>
        <w:instrText xml:space="preserve"> REF _Ref446603900 \r \h </w:instrText>
      </w:r>
      <w:r>
        <w:fldChar w:fldCharType="separate"/>
      </w:r>
      <w:r w:rsidR="00691B4D">
        <w:t>B.2.1</w:t>
      </w:r>
      <w:r>
        <w:fldChar w:fldCharType="end"/>
      </w:r>
      <w:r>
        <w:t>), which we discuss further below.</w:t>
      </w:r>
    </w:p>
    <w:p w:rsidR="00312F8A" w:rsidRDefault="00312F8A" w:rsidP="00312F8A">
      <w:r>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312F8A" w:rsidRDefault="00312F8A" w:rsidP="00312F8A">
      <w:pPr>
        <w:pStyle w:val="HeadingBoldBlue"/>
      </w:pPr>
      <w:r>
        <w:lastRenderedPageBreak/>
        <w:t>Reduced mismatch</w:t>
      </w:r>
    </w:p>
    <w:p w:rsidR="00312F8A" w:rsidRDefault="00312F8A" w:rsidP="00312F8A">
      <w:r>
        <w:t xml:space="preserve">In section </w:t>
      </w:r>
      <w:r>
        <w:fldChar w:fldCharType="begin"/>
      </w:r>
      <w:r>
        <w:instrText xml:space="preserve"> REF _Ref446603900 \r \h </w:instrText>
      </w:r>
      <w:r>
        <w:fldChar w:fldCharType="separate"/>
      </w:r>
      <w:r w:rsidR="00691B4D">
        <w:t>B.2.1</w:t>
      </w:r>
      <w:r>
        <w:fldChar w:fldCharType="end"/>
      </w:r>
      <w:r>
        <w:t>, we introduce and discuss the concept of an ex-post</w:t>
      </w:r>
      <w:r w:rsidRPr="001933FF">
        <w:t xml:space="preserve"> </w:t>
      </w:r>
      <w:r>
        <w:t>'mismatch'</w:t>
      </w:r>
      <w:r w:rsidRPr="00E07D0D">
        <w:t xml:space="preserve"> between </w:t>
      </w:r>
      <w:r>
        <w:t>a benchmark eff</w:t>
      </w:r>
      <w:r w:rsidRPr="00E07D0D">
        <w:t xml:space="preserve">icient entity's actual </w:t>
      </w:r>
      <w:r>
        <w:t>debt cost outcomes (or cash outflows) and the regulatory</w:t>
      </w:r>
      <w:r w:rsidRPr="00E07D0D">
        <w:t xml:space="preserve"> return on debt allowance in determining the allowed return on debt.</w:t>
      </w:r>
      <w:r>
        <w:t xml:space="preserve"> We consider an ex-post mismatch can occur for a number of reasons, including</w:t>
      </w:r>
      <w:r w:rsidRPr="001933FF">
        <w:t xml:space="preserve"> because </w:t>
      </w:r>
      <w:r>
        <w:t>a benchmark eff</w:t>
      </w:r>
      <w:r w:rsidRPr="001933FF">
        <w:t>icient entity does not (or cannot) engage in debt financing practices that result in debt cash outflows that match the regulatory return on debt allowance.</w:t>
      </w:r>
      <w:r>
        <w:t xml:space="preserve"> We explain this below in the context of comparing the trailing average with the on-the-day approach to estimating the return on debt.</w:t>
      </w:r>
    </w:p>
    <w:p w:rsidR="00312F8A" w:rsidRPr="002527B0" w:rsidRDefault="00312F8A" w:rsidP="00312F8A">
      <w:r>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Pr>
          <w:rStyle w:val="FootnoteReference"/>
        </w:rPr>
        <w:footnoteReference w:id="522"/>
      </w:r>
      <w:r>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312F8A" w:rsidRDefault="00312F8A" w:rsidP="00312F8A">
      <w:r>
        <w:t>In contrast to the on-the-day approach,</w:t>
      </w:r>
      <w:r w:rsidRPr="00A97CE8">
        <w:t xml:space="preserve"> </w:t>
      </w:r>
      <w:r>
        <w:t>a trailing average approach is expected to better account for a benchmark efficient entity's actual (cash) debt costs within a</w:t>
      </w:r>
      <w:r w:rsidRPr="00A97CE8">
        <w:t xml:space="preserve"> </w:t>
      </w:r>
      <w:r>
        <w:t xml:space="preserve">regulatory period because it provides </w:t>
      </w:r>
      <w:r w:rsidRPr="00E64F99">
        <w:t xml:space="preserve">service providers with a </w:t>
      </w:r>
      <w:r>
        <w:t>return on debt allowance</w:t>
      </w:r>
      <w:r w:rsidRPr="00E64F99">
        <w:t xml:space="preserve"> that they can more readily match each regulatory period.</w:t>
      </w:r>
      <w:r w:rsidRPr="00E64F99">
        <w:rPr>
          <w:rStyle w:val="FootnoteReference"/>
        </w:rPr>
        <w:footnoteReference w:id="523"/>
      </w:r>
      <w:r>
        <w:t xml:space="preserve"> As such, this will likely reduce the mismatch between actual debt interest costs of regulated firms and the regulated return on debt allowance.</w:t>
      </w:r>
      <w:r w:rsidRPr="00E64F99">
        <w:rPr>
          <w:rStyle w:val="FootnoteReference"/>
        </w:rPr>
        <w:footnoteReference w:id="524"/>
      </w:r>
      <w:r w:rsidRPr="00056E9B">
        <w:t xml:space="preserve"> </w:t>
      </w:r>
      <w:r>
        <w:t xml:space="preserve">Given that a trailing average approach reduces the risk of cash flow mismatch (a form of interest rate risk), it </w:t>
      </w:r>
      <w:r w:rsidRPr="00E64F99">
        <w:t>might better lead to productive efficiency</w:t>
      </w:r>
      <w:r>
        <w:t>. All else being equal, this reduced risk and the reduced need to enter hedging arrangements might lower</w:t>
      </w:r>
      <w:r w:rsidRPr="00E64F99">
        <w:t xml:space="preserve"> the cost of financing.</w:t>
      </w:r>
      <w:r>
        <w:rPr>
          <w:rStyle w:val="FootnoteReference"/>
        </w:rPr>
        <w:footnoteReference w:id="525"/>
      </w:r>
      <w:r>
        <w:t xml:space="preserve"> </w:t>
      </w:r>
    </w:p>
    <w:p w:rsidR="00312F8A" w:rsidRDefault="00312F8A" w:rsidP="00312F8A">
      <w:r>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fldChar w:fldCharType="begin"/>
      </w:r>
      <w:r>
        <w:instrText xml:space="preserve"> REF _Ref446603900 \r \h </w:instrText>
      </w:r>
      <w:r>
        <w:fldChar w:fldCharType="separate"/>
      </w:r>
      <w:r w:rsidR="00691B4D">
        <w:t>B.2.1</w:t>
      </w:r>
      <w:r>
        <w:fldChar w:fldCharType="end"/>
      </w:r>
      <w:r>
        <w:t xml:space="preserve"> and </w:t>
      </w:r>
      <w:r>
        <w:fldChar w:fldCharType="begin"/>
      </w:r>
      <w:r>
        <w:instrText xml:space="preserve"> REF _Ref444773920 \r \h </w:instrText>
      </w:r>
      <w:r>
        <w:fldChar w:fldCharType="separate"/>
      </w:r>
      <w:r w:rsidR="00691B4D">
        <w:t>B.3.3</w:t>
      </w:r>
      <w:r>
        <w:fldChar w:fldCharType="end"/>
      </w:r>
      <w:r>
        <w:t xml:space="preserve">). </w:t>
      </w:r>
    </w:p>
    <w:p w:rsidR="00312F8A" w:rsidRPr="00054482" w:rsidRDefault="00312F8A" w:rsidP="00312F8A">
      <w:pPr>
        <w:pStyle w:val="Heading9"/>
      </w:pPr>
      <w:bookmarkStart w:id="308" w:name="_Ref444773920"/>
      <w:bookmarkStart w:id="309" w:name="_Ref448326736"/>
      <w:bookmarkStart w:id="310" w:name="_Toc452629101"/>
      <w:bookmarkStart w:id="311" w:name="_Toc457911238"/>
      <w:bookmarkStart w:id="312" w:name="_Toc461803758"/>
      <w:bookmarkStart w:id="313" w:name="_Toc462754668"/>
      <w:r>
        <w:t>Mathematical explanation</w:t>
      </w:r>
      <w:bookmarkEnd w:id="308"/>
      <w:bookmarkEnd w:id="309"/>
      <w:bookmarkEnd w:id="310"/>
      <w:bookmarkEnd w:id="311"/>
      <w:bookmarkEnd w:id="312"/>
      <w:bookmarkEnd w:id="313"/>
    </w:p>
    <w:p w:rsidR="00312F8A" w:rsidRDefault="00312F8A" w:rsidP="00312F8A">
      <w:r>
        <w:lastRenderedPageBreak/>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312F8A" w:rsidRPr="00D9597E" w:rsidRDefault="00312F8A" w:rsidP="00312F8A">
      <w:pPr>
        <w:pStyle w:val="AERbulletlistfirststyle"/>
      </w:pPr>
      <w:r>
        <w:t xml:space="preserve">The on-the-day approach provides service providers with the reasonable opportunity to recover at least efficient costs over </w:t>
      </w:r>
      <w:r w:rsidRPr="00D9597E">
        <w:t>each regulatory period and over the term of the RAB.</w:t>
      </w:r>
      <w:r w:rsidRPr="00D9597E">
        <w:rPr>
          <w:rStyle w:val="FootnoteReference"/>
        </w:rPr>
        <w:footnoteReference w:id="526"/>
      </w:r>
    </w:p>
    <w:p w:rsidR="00312F8A" w:rsidRPr="00D9597E" w:rsidRDefault="00312F8A" w:rsidP="00312F8A">
      <w:pPr>
        <w:pStyle w:val="AERbulletlistfirststyle"/>
      </w:pPr>
      <w:r>
        <w:t xml:space="preserve">The trailing average approach provides service providers with the reasonable opportunity to recover at least efficient costs over the </w:t>
      </w:r>
      <w:r w:rsidRPr="00D9597E">
        <w:t>term of the RAB.</w:t>
      </w:r>
    </w:p>
    <w:p w:rsidR="00312F8A" w:rsidRDefault="00312F8A" w:rsidP="00312F8A">
      <w:r>
        <w:t>If switching between regimes, a full transition provides service providers with the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312F8A" w:rsidRPr="006C533F" w:rsidRDefault="00312F8A" w:rsidP="00312F8A">
      <w:r>
        <w:t>We use the following notation:</w:t>
      </w:r>
    </w:p>
    <w:p w:rsidR="00312F8A" w:rsidRPr="00D9597E" w:rsidRDefault="00AB6D99" w:rsidP="00312F8A">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312F8A" w:rsidRPr="00D9597E">
        <w:t xml:space="preserve"> denotes net operating cash flows for year </w:t>
      </w:r>
      <m:oMath>
        <m:r>
          <w:rPr>
            <w:rFonts w:ascii="Cambria Math" w:hAnsi="Cambria Math"/>
          </w:rPr>
          <m:t>t</m:t>
        </m:r>
        <m:r>
          <w:rPr>
            <w:rStyle w:val="FootnoteReference"/>
            <w:rFonts w:ascii="Cambria Math" w:hAnsi="Cambria Math"/>
            <w:i/>
          </w:rPr>
          <w:footnoteReference w:id="527"/>
        </m:r>
      </m:oMath>
      <w:r w:rsidR="00312F8A" w:rsidRPr="00D9597E">
        <w:t>―that is, revenue less operating  expenditure (opex).</w:t>
      </w:r>
      <w:r w:rsidR="00312F8A" w:rsidRPr="00D9597E">
        <w:rPr>
          <w:rStyle w:val="FootnoteReference"/>
        </w:rPr>
        <w:footnoteReference w:id="528"/>
      </w:r>
      <w:r w:rsidR="00312F8A" w:rsidRPr="00D9597E">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312F8A" w:rsidRPr="00D9597E">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312F8A" w:rsidRPr="00D9597E">
        <w:t xml:space="preserve">is the return on capital cash flow. </w:t>
      </w:r>
    </w:p>
    <w:p w:rsidR="00312F8A" w:rsidRPr="00D9597E" w:rsidRDefault="00AB6D99" w:rsidP="00312F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312F8A" w:rsidRPr="00D9597E">
        <w:t xml:space="preserve"> is the allowed rate of return (which is reset periodically).</w:t>
      </w:r>
      <w:r w:rsidR="00312F8A" w:rsidRPr="00D9597E">
        <w:rPr>
          <w:rStyle w:val="FootnoteReference"/>
        </w:rPr>
        <w:footnoteReference w:id="529"/>
      </w:r>
    </w:p>
    <w:p w:rsidR="00312F8A" w:rsidRPr="00D9597E" w:rsidRDefault="00AB6D99" w:rsidP="00312F8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312F8A" w:rsidRPr="00D9597E">
        <w:t xml:space="preserve"> is the closing RAB at the end of year </w:t>
      </w:r>
      <m:oMath>
        <m:r>
          <w:rPr>
            <w:rFonts w:ascii="Cambria Math" w:hAnsi="Cambria Math"/>
          </w:rPr>
          <m:t>t</m:t>
        </m:r>
      </m:oMath>
      <w:r w:rsidR="00312F8A" w:rsidRPr="00D9597E">
        <w:t xml:space="preserve"> (which equals the opening RAB at the beginning of year </w:t>
      </w:r>
      <m:oMath>
        <m:r>
          <w:rPr>
            <w:rFonts w:ascii="Cambria Math" w:hAnsi="Cambria Math"/>
          </w:rPr>
          <m:t>t+1</m:t>
        </m:r>
      </m:oMath>
      <w:r w:rsidR="00312F8A" w:rsidRPr="00D9597E">
        <w:t>).</w:t>
      </w:r>
    </w:p>
    <w:p w:rsidR="00312F8A" w:rsidRPr="00D9597E" w:rsidRDefault="00AB6D99" w:rsidP="00312F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312F8A" w:rsidRPr="00D9597E">
        <w:t xml:space="preserve">is the ex-ante cost of capital prevailing in the market for the investment at time </w:t>
      </w:r>
      <m:oMath>
        <m:r>
          <w:rPr>
            <w:rFonts w:ascii="Cambria Math" w:hAnsi="Cambria Math"/>
          </w:rPr>
          <m:t>i</m:t>
        </m:r>
      </m:oMath>
      <w:r w:rsidR="00312F8A" w:rsidRPr="00D9597E">
        <w:t>,</w:t>
      </w:r>
      <w:r w:rsidR="00312F8A" w:rsidRPr="00D9597E">
        <w:rPr>
          <w:rStyle w:val="FootnoteReference"/>
        </w:rPr>
        <w:footnoteReference w:id="530"/>
      </w:r>
      <w:r w:rsidR="00312F8A" w:rsidRPr="00D9597E">
        <w:t xml:space="preserve"> with a term of </w:t>
      </w:r>
      <m:oMath>
        <m:r>
          <w:rPr>
            <w:rFonts w:ascii="Cambria Math" w:hAnsi="Cambria Math"/>
          </w:rPr>
          <m:t>j</m:t>
        </m:r>
      </m:oMath>
      <w:r w:rsidR="00312F8A" w:rsidRPr="00D9597E">
        <w:t xml:space="preserve"> years—used to discount the expected cash flows.</w:t>
      </w:r>
    </w:p>
    <w:p w:rsidR="00312F8A" w:rsidRPr="00D9597E" w:rsidRDefault="00312F8A" w:rsidP="00312F8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D9597E">
        <w:t xml:space="preserve"> denotes expected value.</w:t>
      </w:r>
    </w:p>
    <w:p w:rsidR="00312F8A" w:rsidRPr="00D9597E" w:rsidRDefault="00AB6D99" w:rsidP="00312F8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312F8A" w:rsidRPr="00D9597E">
        <w:t xml:space="preserve"> denotes present value, at year t (can also be referred to as market value). </w:t>
      </w:r>
    </w:p>
    <w:p w:rsidR="00312F8A" w:rsidRDefault="00312F8A" w:rsidP="00312F8A">
      <w:r>
        <w:lastRenderedPageBreak/>
        <w:t>For simplicity, we assume within-period investment equals depreciation in all periods prior to the end of the term of the RAB (year</w:t>
      </w:r>
      <m:oMath>
        <m:r>
          <w:rPr>
            <w:rFonts w:ascii="Cambria Math" w:hAnsi="Cambria Math"/>
          </w:rPr>
          <m:t xml:space="preserve"> t=T</m:t>
        </m:r>
      </m:oMath>
      <w:r>
        <w:t>),</w:t>
      </w:r>
      <w:r>
        <w:rPr>
          <w:rStyle w:val="FootnoteReference"/>
        </w:rPr>
        <w:footnoteReference w:id="531"/>
      </w:r>
      <w:r>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t>).</w:t>
      </w:r>
      <w:r>
        <w:rPr>
          <w:rStyle w:val="FootnoteReference"/>
        </w:rPr>
        <w:footnoteReference w:id="532"/>
      </w:r>
      <w:r>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17460">
        <w:t xml:space="preserve"> </w:t>
      </w:r>
      <w:r>
        <w:t>is</w:t>
      </w:r>
      <w:r w:rsidRPr="00617460">
        <w:t xml:space="preserve"> depreciation (or return of capital) </w:t>
      </w:r>
      <w:r>
        <w:t>for year</w:t>
      </w:r>
      <w:r w:rsidRPr="00617460">
        <w:t xml:space="preserve"> </w:t>
      </w:r>
      <m:oMath>
        <m:r>
          <w:rPr>
            <w:rFonts w:ascii="Cambria Math" w:hAnsi="Cambria Math"/>
          </w:rPr>
          <m:t>t</m:t>
        </m:r>
      </m:oMath>
      <w:r>
        <w:t xml:space="preserve">. </w:t>
      </w:r>
    </w:p>
    <w:p w:rsidR="00312F8A" w:rsidRPr="001C5C3A" w:rsidRDefault="00312F8A" w:rsidP="00312F8A">
      <w:r>
        <w:t>We note the mathemat</w:t>
      </w:r>
      <w:r w:rsidRPr="001C5C3A">
        <w:t>ical explanation</w:t>
      </w:r>
      <w:r>
        <w:t xml:space="preserve"> in this section</w:t>
      </w:r>
      <w:r w:rsidRPr="001C5C3A">
        <w:t xml:space="preserve"> is a simplification of reality. We use it to </w:t>
      </w:r>
      <w:r>
        <w:t>demonstrate the principle</w:t>
      </w:r>
      <w:r w:rsidRPr="001C5C3A">
        <w:t xml:space="preserve"> that the allowed rate of return should be set (</w:t>
      </w:r>
      <w:r>
        <w:t>and periodically</w:t>
      </w:r>
      <w:r w:rsidRPr="001C5C3A">
        <w:t xml:space="preserve"> reset) such that the ex-ante allowed return on (and of) capital cash flows </w:t>
      </w:r>
      <w:r>
        <w:t>equals the ex-ante cost of a benchmark efficient entity's investment in its RAB (in present value terms)</w:t>
      </w:r>
      <w:r w:rsidRPr="001C5C3A">
        <w:t xml:space="preserve">. This gives service providers a reasonable opportunity to recover at least efficient financing costs over the </w:t>
      </w:r>
      <w:r>
        <w:t>term of the RAB</w:t>
      </w:r>
      <w:r w:rsidRPr="001C5C3A">
        <w:t>. As Brennan (1991) stated:</w:t>
      </w:r>
      <w:r w:rsidRPr="001C5C3A">
        <w:rPr>
          <w:rStyle w:val="FootnoteReference"/>
        </w:rPr>
        <w:footnoteReference w:id="533"/>
      </w:r>
    </w:p>
    <w:p w:rsidR="00312F8A" w:rsidRDefault="00312F8A" w:rsidP="00312F8A">
      <w:pPr>
        <w:pStyle w:val="AERquote"/>
      </w:pPr>
      <w:r w:rsidRPr="00B72C08">
        <w:t>With regard to investor compensation, the basic goal of regulation is to give investors an income stream just sufficient to cover the costs of their assets, and no more</w:t>
      </w:r>
    </w:p>
    <w:p w:rsidR="00312F8A" w:rsidRDefault="00312F8A" w:rsidP="00312F8A">
      <w:pPr>
        <w:pStyle w:val="HeadingBoldBlue"/>
      </w:pPr>
      <w:r>
        <w:t>On-the-day approach</w:t>
      </w:r>
    </w:p>
    <w:p w:rsidR="00312F8A" w:rsidRDefault="00312F8A" w:rsidP="00312F8A">
      <w:r>
        <w:t>For simplicity, assume the term of the risk free rate matches the regulatory period (five years) under the on-the-day approach.</w:t>
      </w:r>
      <w:r>
        <w:rPr>
          <w:rStyle w:val="FootnoteReference"/>
        </w:rPr>
        <w:footnoteReference w:id="534"/>
      </w:r>
      <w:r>
        <w:t xml:space="preserve">  If we provide service providers with a reasonable opportunity to recover at least efficient costs over a regulatory period commencing year </w:t>
      </w:r>
      <m:oMath>
        <m:r>
          <w:rPr>
            <w:rFonts w:ascii="Cambria Math" w:hAnsi="Cambria Math"/>
          </w:rPr>
          <m:t>t</m:t>
        </m:r>
      </m:oMath>
      <w:r>
        <w:t xml:space="preserve">, then the present value of expected net operating cash flows over this period plus the closing RAB (at </w:t>
      </w:r>
      <m:oMath>
        <m:r>
          <w:rPr>
            <w:rFonts w:ascii="Cambria Math" w:hAnsi="Cambria Math"/>
          </w:rPr>
          <m:t>t+5</m:t>
        </m:r>
      </m:oMath>
      <w:r>
        <w:t xml:space="preserve">) should equal the opening RAB (at </w:t>
      </w:r>
      <m:oMath>
        <m:r>
          <w:rPr>
            <w:rFonts w:ascii="Cambria Math" w:hAnsi="Cambria Math"/>
          </w:rPr>
          <m:t>t</m:t>
        </m:r>
      </m:oMath>
      <w:r>
        <w:t xml:space="preserve">). Under our depreciation assumptions, the opening RAB (at </w:t>
      </w:r>
      <m:oMath>
        <m:r>
          <w:rPr>
            <w:rFonts w:ascii="Cambria Math" w:hAnsi="Cambria Math"/>
          </w:rPr>
          <m:t>t</m:t>
        </m:r>
      </m:oMath>
      <w:r>
        <w:t xml:space="preserve">) will equal its initial value (at </w:t>
      </w:r>
      <m:oMath>
        <m:r>
          <w:rPr>
            <w:rFonts w:ascii="Cambria Math" w:hAnsi="Cambria Math"/>
          </w:rPr>
          <m:t>t=0</m:t>
        </m:r>
      </m:oMath>
      <w:r>
        <w:t>).</w:t>
      </w:r>
    </w:p>
    <w:p w:rsidR="00312F8A" w:rsidRDefault="00312F8A" w:rsidP="00312F8A">
      <w:r>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535"/>
      </w:r>
      <w:r>
        <w:t xml:space="preserve"> at the commencement of each regulatory period. We show this below: </w:t>
      </w:r>
    </w:p>
    <w:p w:rsidR="00312F8A" w:rsidRDefault="00AB6D99" w:rsidP="00312F8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312F8A" w:rsidRDefault="00312F8A" w:rsidP="00312F8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536"/>
          </m:r>
        </m:oMath>
      </m:oMathPara>
    </w:p>
    <w:p w:rsidR="00312F8A" w:rsidRDefault="00312F8A" w:rsidP="00312F8A">
      <w:r>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t>,</w:t>
      </w:r>
      <w:r>
        <w:rPr>
          <w:rStyle w:val="FootnoteReference"/>
        </w:rPr>
        <w:footnoteReference w:id="537"/>
      </w:r>
      <w:r>
        <w:t xml:space="preserve"> and the present value (at time </w:t>
      </w:r>
      <m:oMath>
        <m:r>
          <w:rPr>
            <w:rFonts w:ascii="Cambria Math" w:hAnsi="Cambria Math"/>
          </w:rPr>
          <m:t>t+5</m:t>
        </m:r>
      </m:oMath>
      <w:r>
        <w:t xml:space="preserve">) of expected future cash flows over the remaining term of the RAB equals the closing RAB at the end of year </w:t>
      </w:r>
      <m:oMath>
        <m:r>
          <w:rPr>
            <w:rFonts w:ascii="Cambria Math" w:hAnsi="Cambria Math"/>
          </w:rPr>
          <m:t>t+5</m:t>
        </m:r>
      </m:oMath>
      <w:r>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w:t>
      </w:r>
    </w:p>
    <w:p w:rsidR="00312F8A" w:rsidRDefault="00312F8A" w:rsidP="00312F8A">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 and:</w:t>
      </w:r>
      <w:r>
        <w:rPr>
          <w:rStyle w:val="FootnoteReference"/>
        </w:rPr>
        <w:footnoteReference w:id="538"/>
      </w:r>
    </w:p>
    <w:p w:rsidR="00312F8A" w:rsidRPr="00312F8A" w:rsidRDefault="00AB6D99" w:rsidP="00312F8A">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312F8A" w:rsidRDefault="00312F8A" w:rsidP="00312F8A">
      <w:pPr>
        <w:pStyle w:val="ListContinue"/>
      </w:pPr>
      <w: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312F8A" w:rsidRPr="00312F8A" w:rsidRDefault="00AB6D99" w:rsidP="00312F8A">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312F8A" w:rsidRDefault="00312F8A" w:rsidP="00312F8A">
      <w:r>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t>:</w:t>
      </w:r>
      <w:r>
        <w:rPr>
          <w:rStyle w:val="FootnoteReference"/>
        </w:rPr>
        <w:footnoteReference w:id="539"/>
      </w:r>
    </w:p>
    <w:p w:rsidR="00312F8A" w:rsidRDefault="00AB6D99" w:rsidP="00312F8A">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312F8A" w:rsidRDefault="00AB6D99" w:rsidP="00312F8A">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312F8A" w:rsidRDefault="00312F8A" w:rsidP="00312F8A">
      <m:oMathPara>
        <m:oMath>
          <m:r>
            <w:rPr>
              <w:rFonts w:ascii="Cambria Math" w:hAnsi="Cambria Math"/>
            </w:rPr>
            <m:t>…</m:t>
          </m:r>
        </m:oMath>
      </m:oMathPara>
    </w:p>
    <w:p w:rsidR="00312F8A" w:rsidRPr="008948E5" w:rsidRDefault="00AB6D99" w:rsidP="00312F8A">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312F8A" w:rsidRDefault="00312F8A" w:rsidP="00312F8A">
      <w:r>
        <w:t>The above present value principle should hold</w:t>
      </w:r>
      <w:r w:rsidRPr="008948E5">
        <w:t xml:space="preserve"> under any regulatory period under the on-the-day approach, and therefore should hold over the </w:t>
      </w:r>
      <w:r>
        <w:t>term of the RAB, which would comprise of multiple regulatory periods</w:t>
      </w:r>
      <w:r w:rsidRPr="008948E5">
        <w:t>.</w:t>
      </w:r>
      <w:r>
        <w:rPr>
          <w:rStyle w:val="FootnoteReference"/>
        </w:rPr>
        <w:footnoteReference w:id="540"/>
      </w:r>
      <w:r w:rsidRPr="008948E5">
        <w:t xml:space="preserve"> </w:t>
      </w:r>
      <w:r>
        <w:t>T</w:t>
      </w:r>
      <w:r w:rsidRPr="008948E5">
        <w:t>he allowed rate of return is reset to</w:t>
      </w:r>
      <w:r>
        <w:t xml:space="preserve"> reflect</w:t>
      </w:r>
      <w:r w:rsidRPr="008948E5">
        <w:t xml:space="preserve"> </w:t>
      </w:r>
      <w:r w:rsidRPr="008948E5">
        <w:lastRenderedPageBreak/>
        <w:t xml:space="preserve">the (appropriately benchmarked) prevailing market cost of capital </w:t>
      </w:r>
      <w:r>
        <w:t>at</w:t>
      </w:r>
      <w:r w:rsidRPr="008948E5">
        <w:t xml:space="preserve"> the commencement of each regulatory period</w:t>
      </w:r>
      <w:r>
        <w:t>. Therefore,</w:t>
      </w:r>
      <w:r w:rsidRPr="008948E5">
        <w:t xml:space="preserve"> the </w:t>
      </w:r>
      <w:r>
        <w:t xml:space="preserve">present (or market) </w:t>
      </w:r>
      <w:r w:rsidRPr="008948E5">
        <w:t>value of the RAB is reset to its</w:t>
      </w:r>
      <w:r>
        <w:t xml:space="preserve"> statutory value</w:t>
      </w:r>
      <w:r w:rsidRPr="008948E5">
        <w:t xml:space="preserve"> </w:t>
      </w:r>
      <w:r>
        <w:t xml:space="preserve">(or, under our assumptions, its </w:t>
      </w:r>
      <w:r w:rsidRPr="008948E5">
        <w:t>initial</w:t>
      </w:r>
      <w:r>
        <w:t xml:space="preserve"> </w:t>
      </w:r>
      <w:r w:rsidRPr="008948E5">
        <w:t>value</w:t>
      </w:r>
      <w:r>
        <w:t xml:space="preserve"> </w:t>
      </w:r>
      <m:oMath>
        <m:sSub>
          <m:sSubPr>
            <m:ctrlPr>
              <w:rPr>
                <w:rFonts w:ascii="Cambria Math" w:hAnsi="Cambria Math"/>
              </w:rPr>
            </m:ctrlPr>
          </m:sSubPr>
          <m:e>
            <m:r>
              <w:rPr>
                <w:rFonts w:ascii="Cambria Math" w:hAnsi="Cambria Math"/>
              </w:rPr>
              <m:t>K</m:t>
            </m:r>
          </m:e>
          <m:sub>
            <m:r>
              <w:rPr>
                <w:rFonts w:ascii="Cambria Math" w:hAnsi="Cambria Math"/>
              </w:rPr>
              <m:t>0</m:t>
            </m:r>
          </m:sub>
        </m:sSub>
      </m:oMath>
      <w:r>
        <w:t>) at</w:t>
      </w:r>
      <w:r w:rsidRPr="008948E5">
        <w:t xml:space="preserve"> the commencement of each regulatory period. </w:t>
      </w:r>
      <w:r>
        <w:t>This is supported by Partington and Satchell.</w:t>
      </w:r>
      <w:r>
        <w:rPr>
          <w:rStyle w:val="FootnoteReference"/>
        </w:rPr>
        <w:footnoteReference w:id="541"/>
      </w:r>
      <w:r>
        <w:t xml:space="preserve"> </w:t>
      </w:r>
      <w:r w:rsidRPr="008948E5">
        <w:t xml:space="preserve">To this extent, the regulatory regime under an on-the-day approach can be likened to a </w:t>
      </w:r>
      <w:r>
        <w:t>long term floating rate security</w:t>
      </w:r>
      <w:r w:rsidRPr="008948E5">
        <w:t xml:space="preserve"> where the allowed rate of return is the coupon rate, reset at the start of each regulatory period such that the </w:t>
      </w:r>
      <w:r>
        <w:t xml:space="preserve">present (or market) </w:t>
      </w:r>
      <w:r w:rsidRPr="008948E5">
        <w:t xml:space="preserve">value of the bond equals </w:t>
      </w:r>
      <w:r>
        <w:t xml:space="preserve">its </w:t>
      </w:r>
      <w:r w:rsidRPr="008948E5">
        <w:t>par</w:t>
      </w:r>
      <w:r>
        <w:t xml:space="preserve"> (or face)</w:t>
      </w:r>
      <w:r w:rsidRPr="008948E5">
        <w:t xml:space="preserve"> value</w:t>
      </w:r>
      <w:r>
        <w:t>.</w:t>
      </w:r>
      <w:r>
        <w:rPr>
          <w:rStyle w:val="FootnoteReference"/>
        </w:rPr>
        <w:footnoteReference w:id="542"/>
      </w:r>
    </w:p>
    <w:p w:rsidR="00312F8A" w:rsidRDefault="00312F8A" w:rsidP="00312F8A">
      <w:r>
        <w:t xml:space="preserve">We consider this section shows the </w:t>
      </w:r>
      <w:r w:rsidRPr="008948E5">
        <w:t>on-the-day approach provides service providers with a reasonable opportunity to recover at least efficient costs.</w:t>
      </w:r>
      <w:r>
        <w:rPr>
          <w:rStyle w:val="FootnoteReference"/>
        </w:rPr>
        <w:footnoteReference w:id="543"/>
      </w:r>
      <w:r w:rsidRPr="008948E5">
        <w:t xml:space="preserve"> </w:t>
      </w:r>
      <w:r>
        <w:t>That is, at the commencement of each regulatory period, the present value of expected future cash flows will equal the RAB</w:t>
      </w:r>
      <w:r w:rsidRPr="00A156E7">
        <w:t xml:space="preserve">. </w:t>
      </w:r>
      <w:r w:rsidRPr="008948E5">
        <w:t xml:space="preserve">We note that given the ARORO is standalone, the ARORO will be achieved if the present value of expected </w:t>
      </w:r>
      <w:r>
        <w:t xml:space="preserve">return on (and of) capital </w:t>
      </w:r>
      <w:r w:rsidRPr="008948E5">
        <w:t xml:space="preserve">cash flows equal the </w:t>
      </w:r>
      <w:r>
        <w:t xml:space="preserve">start-of-period </w:t>
      </w:r>
      <w:r w:rsidRPr="008948E5">
        <w:t>opening RAB</w:t>
      </w:r>
      <w:r>
        <w:t>.</w:t>
      </w:r>
    </w:p>
    <w:p w:rsidR="00312F8A" w:rsidRDefault="00312F8A" w:rsidP="00312F8A">
      <w:pPr>
        <w:pStyle w:val="HeadingBoldBlue"/>
      </w:pPr>
      <w:r>
        <w:t>Trailing average approach</w:t>
      </w:r>
    </w:p>
    <w:p w:rsidR="00312F8A" w:rsidRDefault="00312F8A" w:rsidP="00312F8A">
      <w:r>
        <w:t>Under the trailing average approach, the service provider would not necessarily have a reasonable opportunity to recover at least efficient costs over a regulatory period. However, the service provider would still have a reasonable opportunity to recover at least efficient costs over the term of the RAB.</w:t>
      </w:r>
    </w:p>
    <w:p w:rsidR="00312F8A" w:rsidRPr="00A156E7" w:rsidRDefault="00312F8A" w:rsidP="00312F8A">
      <w:r w:rsidRPr="00A156E7">
        <w:t xml:space="preserve">Assume we set the allowed rate of return based on a trailing average return on debt for a particular regulatory period (commencing year </w:t>
      </w:r>
      <m:oMath>
        <m:r>
          <w:rPr>
            <w:rFonts w:ascii="Cambria Math" w:hAnsi="Cambria Math"/>
          </w:rPr>
          <m:t>t</m:t>
        </m:r>
      </m:oMath>
      <w:r w:rsidRPr="00A156E7">
        <w:t xml:space="preserve">). </w:t>
      </w:r>
      <w:r>
        <w:t>As set out above, f</w:t>
      </w:r>
      <w:r w:rsidRPr="00A156E7">
        <w:t xml:space="preserve">or the </w:t>
      </w:r>
      <w:r>
        <w:t>present value</w:t>
      </w:r>
      <w:r w:rsidRPr="00A156E7">
        <w:t xml:space="preserve"> principle to hold over the regulatory period commencing year </w:t>
      </w:r>
      <m:oMath>
        <m:r>
          <w:rPr>
            <w:rFonts w:ascii="Cambria Math" w:hAnsi="Cambria Math"/>
          </w:rPr>
          <m:t>t</m:t>
        </m:r>
      </m:oMath>
      <w:r w:rsidRPr="00A156E7">
        <w:t xml:space="preserve">, the present value of </w:t>
      </w:r>
      <w:r>
        <w:t xml:space="preserve">expected </w:t>
      </w:r>
      <w:r w:rsidRPr="00A156E7">
        <w:t xml:space="preserve">net operating cash flows over this period </w:t>
      </w:r>
      <w:r>
        <w:t>plus the</w:t>
      </w:r>
      <w:r w:rsidRPr="00A156E7">
        <w:t xml:space="preserve"> closing RAB </w:t>
      </w:r>
      <w:r>
        <w:t xml:space="preserve">(at </w:t>
      </w:r>
      <m:oMath>
        <m:r>
          <w:rPr>
            <w:rFonts w:ascii="Cambria Math" w:hAnsi="Cambria Math"/>
          </w:rPr>
          <m:t>t+5</m:t>
        </m:r>
      </m:oMath>
      <w:r>
        <w:t xml:space="preserve">) </w:t>
      </w:r>
      <w:r w:rsidRPr="00A156E7">
        <w:t xml:space="preserve">should equate to the opening RAB </w:t>
      </w:r>
      <w:r>
        <w:t>(</w:t>
      </w:r>
      <w:r w:rsidRPr="00A156E7">
        <w:t xml:space="preserve">at </w:t>
      </w:r>
      <m:oMath>
        <m:r>
          <w:rPr>
            <w:rFonts w:ascii="Cambria Math" w:hAnsi="Cambria Math"/>
          </w:rPr>
          <m:t>t</m:t>
        </m:r>
      </m:oMath>
      <w:r>
        <w:t>)</w:t>
      </w:r>
      <w:r w:rsidRPr="00A156E7">
        <w:t xml:space="preserve">. </w:t>
      </w:r>
      <w:r>
        <w:t>Under our depreciation assumptions</w:t>
      </w:r>
      <w:r w:rsidRPr="00A156E7">
        <w:t xml:space="preserve">, this should result in the opening RAB (at </w:t>
      </w:r>
      <m:oMath>
        <m:r>
          <w:rPr>
            <w:rFonts w:ascii="Cambria Math" w:hAnsi="Cambria Math"/>
          </w:rPr>
          <m:t>t</m:t>
        </m:r>
      </m:oMath>
      <w:r w:rsidRPr="00A156E7">
        <w:t xml:space="preserve">) </w:t>
      </w:r>
      <w:r>
        <w:t xml:space="preserve">being </w:t>
      </w:r>
      <w:r w:rsidRPr="00A156E7">
        <w:t>equal</w:t>
      </w:r>
      <w:r>
        <w:t xml:space="preserve"> to</w:t>
      </w:r>
      <w:r w:rsidRPr="00A156E7">
        <w:t xml:space="preserve"> its initial value (at </w:t>
      </w:r>
      <m:oMath>
        <m:r>
          <w:rPr>
            <w:rFonts w:ascii="Cambria Math" w:hAnsi="Cambria Math"/>
          </w:rPr>
          <m:t>t=0</m:t>
        </m:r>
      </m:oMath>
      <w:r w:rsidRPr="00A156E7">
        <w:t xml:space="preserve">). </w:t>
      </w:r>
      <w:r>
        <w:t>That is, f</w:t>
      </w:r>
      <w:r w:rsidRPr="00A156E7">
        <w:t xml:space="preserve">or the </w:t>
      </w:r>
      <w:r>
        <w:t>present value</w:t>
      </w:r>
      <w:r w:rsidRPr="00A156E7">
        <w:t xml:space="preserve"> principle to hold over </w:t>
      </w:r>
      <w:r>
        <w:t>a</w:t>
      </w:r>
      <w:r w:rsidRPr="00A156E7">
        <w:t xml:space="preserve"> regulatory period commencing year </w:t>
      </w:r>
      <m:oMath>
        <m:r>
          <w:rPr>
            <w:rFonts w:ascii="Cambria Math" w:hAnsi="Cambria Math"/>
          </w:rPr>
          <m:t>t</m:t>
        </m:r>
      </m:oMath>
      <w:r w:rsidRPr="00A156E7">
        <w:t>, the following equality must hold:</w:t>
      </w:r>
    </w:p>
    <w:p w:rsidR="00312F8A" w:rsidRDefault="00AB6D99" w:rsidP="00312F8A">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312F8A" w:rsidRDefault="00312F8A" w:rsidP="00312F8A">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312F8A" w:rsidRDefault="00312F8A" w:rsidP="00312F8A">
      <w:r>
        <w:lastRenderedPageBreak/>
        <w:t>where, under an immediate trailing average approach (under our assumptions):</w:t>
      </w:r>
      <w:r>
        <w:rPr>
          <w:rStyle w:val="FootnoteReference"/>
        </w:rPr>
        <w:footnoteReference w:id="544"/>
      </w:r>
    </w:p>
    <w:p w:rsidR="00312F8A" w:rsidRPr="00312F8A" w:rsidRDefault="00AB6D99" w:rsidP="00312F8A">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312F8A" w:rsidRPr="005C23EC" w:rsidRDefault="00312F8A" w:rsidP="00312F8A">
      <w:r w:rsidRPr="005C23EC">
        <w:tab/>
      </w:r>
      <w:r w:rsidRPr="00A156E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312F8A" w:rsidRDefault="00312F8A" w:rsidP="00312F8A">
      <w:r>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545"/>
      </w:r>
      <w:r>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under our assumptions).</w:t>
      </w:r>
      <w:r w:rsidRPr="00DE6C15">
        <w:rPr>
          <w:rStyle w:val="FootnoteReference"/>
        </w:rPr>
        <w:t xml:space="preserve"> </w:t>
      </w:r>
    </w:p>
    <w:p w:rsidR="00312F8A" w:rsidRDefault="00312F8A" w:rsidP="00312F8A">
      <w:r>
        <w:t>Despite this, we can show the service provider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312F8A" w:rsidRDefault="00312F8A" w:rsidP="00312F8A">
      <w:r>
        <w:t>There are three different components to the trailing average approach: the transition in, the full staggered portfolio, and the transition out at the end of the investment horizon (or end of the term of the RAB).</w:t>
      </w:r>
      <w:r w:rsidRPr="00185A5F">
        <w:t xml:space="preserve"> </w:t>
      </w:r>
      <w:r>
        <w:t>We show these below.</w:t>
      </w:r>
    </w:p>
    <w:p w:rsidR="00312F8A" w:rsidRDefault="00312F8A" w:rsidP="00312F8A">
      <w:r>
        <w:t>T</w:t>
      </w:r>
      <w:r w:rsidRPr="00185A5F">
        <w:t>he allowed return on equity continues to be reset to reflect the prevailing market cost of equity at the commencement of each regulatory period</w:t>
      </w:r>
      <w:r>
        <w:t>. Therefore,</w:t>
      </w:r>
      <w:r w:rsidRPr="00185A5F">
        <w:t xml:space="preserve"> we can </w:t>
      </w:r>
      <w:r>
        <w:t>reasonably assume</w:t>
      </w:r>
      <w:r w:rsidRPr="00185A5F">
        <w:t xml:space="preserve"> the present value of </w:t>
      </w:r>
      <w:r>
        <w:t xml:space="preserve">expected </w:t>
      </w:r>
      <w:r w:rsidRPr="00185A5F">
        <w:t xml:space="preserve">return on equity cash flows equals the </w:t>
      </w:r>
      <w:r>
        <w:t xml:space="preserve">equity financed component of the </w:t>
      </w:r>
      <w:r w:rsidRPr="00185A5F">
        <w:t>RAB each regulatory period</w:t>
      </w:r>
      <w:r>
        <w:t>, although Partington and Satchell note there are likely to be complications associated with leverage</w:t>
      </w:r>
      <w:r w:rsidRPr="00185A5F">
        <w:t>.</w:t>
      </w:r>
      <w:r>
        <w:rPr>
          <w:rStyle w:val="FootnoteReference"/>
        </w:rPr>
        <w:footnoteReference w:id="546"/>
      </w:r>
      <w:r w:rsidRPr="00185A5F">
        <w:t xml:space="preserve"> </w:t>
      </w:r>
      <w:r>
        <w:t>Because of this</w:t>
      </w:r>
      <w:r w:rsidRPr="00185A5F">
        <w:t>, in the following sections we focus on the return on debt cash flows and assume, for simplicity, the RAB is 100</w:t>
      </w:r>
      <w:r>
        <w:t xml:space="preserve"> per cent</w:t>
      </w:r>
      <w:r w:rsidRPr="00185A5F">
        <w:t xml:space="preserve"> debt financed.</w:t>
      </w:r>
    </w:p>
    <w:p w:rsidR="00312F8A" w:rsidRDefault="00312F8A" w:rsidP="00312F8A">
      <w:pPr>
        <w:pStyle w:val="HeadingBoldItalic"/>
      </w:pPr>
      <w:r>
        <w:t>Transition into the staggered portfolio</w:t>
      </w:r>
    </w:p>
    <w:p w:rsidR="00312F8A" w:rsidRDefault="00312F8A" w:rsidP="00312F8A">
      <w:pPr>
        <w:rPr>
          <w:rStyle w:val="AERbody"/>
        </w:rPr>
      </w:pPr>
      <w:r>
        <w:rPr>
          <w:rStyle w:val="AERbody"/>
        </w:rPr>
        <w:t>On the first year of a trailing average, a business would either:</w:t>
      </w:r>
    </w:p>
    <w:p w:rsidR="00312F8A" w:rsidRDefault="00312F8A" w:rsidP="00312F8A">
      <w:pPr>
        <w:pStyle w:val="AERbulletlistfirststyle"/>
        <w:rPr>
          <w:rStyle w:val="AERbody"/>
        </w:rPr>
      </w:pPr>
      <w:r>
        <w:rPr>
          <w:rStyle w:val="AERbody"/>
        </w:rPr>
        <w:t>Raise an equal-weighted portfolio of 1, 2, 3 ... 9, 10 year debt. Each year 10 per cent of this would expire and the business would replace this with 10 year debt.</w:t>
      </w:r>
    </w:p>
    <w:p w:rsidR="00312F8A" w:rsidRDefault="00312F8A" w:rsidP="00312F8A">
      <w:pPr>
        <w:pStyle w:val="AERbulletlistfirststyle"/>
        <w:rPr>
          <w:rStyle w:val="AERbody"/>
        </w:rPr>
      </w:pPr>
      <w:r>
        <w:rPr>
          <w:rStyle w:val="AERbody"/>
        </w:rPr>
        <w:lastRenderedPageBreak/>
        <w:t>Raise 10 year debt. Each year it would refinance 10 per cent of this and replace this with more 10 year debt.</w:t>
      </w:r>
    </w:p>
    <w:p w:rsidR="00312F8A" w:rsidRPr="006C533F" w:rsidRDefault="00312F8A" w:rsidP="00312F8A">
      <w:pPr>
        <w:rPr>
          <w:rStyle w:val="AERbody"/>
        </w:rPr>
      </w:pPr>
      <w:r>
        <w:rPr>
          <w:rStyle w:val="AERbody"/>
        </w:rPr>
        <w:t xml:space="preserve">We have calculated the return on debt allowance assuming </w:t>
      </w:r>
      <w:r w:rsidRPr="006C533F">
        <w:rPr>
          <w:rStyle w:val="AERbody"/>
        </w:rPr>
        <w:t xml:space="preserve">the latter option. Since we </w:t>
      </w:r>
      <w:r>
        <w:rPr>
          <w:rStyle w:val="AERbody"/>
        </w:rPr>
        <w:t xml:space="preserve">expect this would be the higher </w:t>
      </w:r>
      <w:r w:rsidRPr="006C533F">
        <w:rPr>
          <w:rStyle w:val="AERbody"/>
        </w:rPr>
        <w:t>cost option</w:t>
      </w:r>
      <w:r>
        <w:rPr>
          <w:rStyle w:val="AERbody"/>
        </w:rPr>
        <w:t xml:space="preserve"> given </w:t>
      </w:r>
      <w:r w:rsidRPr="00185A5F">
        <w:rPr>
          <w:rStyle w:val="AERbody"/>
        </w:rPr>
        <w:t>interest rates on longer-term debt securities are often higher than those on shorter-term debt securities</w:t>
      </w:r>
      <w:r w:rsidRPr="006C533F">
        <w:rPr>
          <w:rStyle w:val="AERbody"/>
        </w:rPr>
        <w:t>, our debt allowance should be conservative in</w:t>
      </w:r>
      <w:r>
        <w:rPr>
          <w:rStyle w:val="AERbody"/>
        </w:rPr>
        <w:t xml:space="preserve"> the service providers' favour.</w:t>
      </w:r>
    </w:p>
    <w:p w:rsidR="00312F8A" w:rsidRPr="006C533F" w:rsidRDefault="00312F8A" w:rsidP="00312F8A">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 xml:space="preserve">a reasonable opportunity to recover at least efficient costs for its initial investment at </w:t>
      </w:r>
      <m:oMath>
        <m:r>
          <w:rPr>
            <w:rFonts w:ascii="Cambria Math" w:hAnsi="Cambria Math"/>
          </w:rPr>
          <m:t>t=0</m:t>
        </m:r>
      </m:oMath>
      <w:r w:rsidRPr="006C533F">
        <w:t xml:space="preserve"> as this would allow the following equality to hold:</w:t>
      </w:r>
      <w:r>
        <w:rPr>
          <w:rStyle w:val="FootnoteReference"/>
        </w:rPr>
        <w:footnoteReference w:id="547"/>
      </w:r>
    </w:p>
    <w:p w:rsidR="00312F8A" w:rsidRDefault="00AB6D99" w:rsidP="00312F8A">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548"/>
        </m:r>
      </m:oMath>
      <w:r w:rsidR="00312F8A">
        <w:t xml:space="preserve"> </w:t>
      </w:r>
    </w:p>
    <w:p w:rsidR="00312F8A" w:rsidRDefault="00312F8A" w:rsidP="00312F8A">
      <w:r>
        <w:t>where, under our assumptions:</w:t>
      </w:r>
      <w:r>
        <w:rPr>
          <w:rStyle w:val="FootnoteReference"/>
        </w:rPr>
        <w:footnoteReference w:id="549"/>
      </w:r>
    </w:p>
    <w:p w:rsidR="00312F8A" w:rsidRPr="00312F8A" w:rsidRDefault="00AB6D99" w:rsidP="00312F8A">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312F8A" w:rsidRDefault="00312F8A" w:rsidP="00312F8A">
      <w:pPr>
        <w:pStyle w:val="ListContinue2"/>
      </w:pPr>
      <w:r w:rsidRPr="00185A5F">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312F8A" w:rsidRPr="00166E6F" w:rsidRDefault="00312F8A" w:rsidP="00312F8A">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312F8A" w:rsidRDefault="00312F8A" w:rsidP="00312F8A">
      <w:r>
        <w:t>As demonstrated under 'On-the-day approach', this equality holds because, for each one-tenth portion of the RAB:</w:t>
      </w:r>
    </w:p>
    <w:p w:rsidR="00312F8A" w:rsidRPr="00D9597E" w:rsidRDefault="00312F8A" w:rsidP="00312F8A">
      <w:pPr>
        <w:pStyle w:val="AERbulletlistfirststyle"/>
      </w:pPr>
      <w:r>
        <w:t>the expected net operating cash flows</w:t>
      </w:r>
      <w:r w:rsidRPr="00D9597E">
        <w:t xml:space="preserve"> are, effectively, based on an allowed rate of return that reflects prevailing market rates at year </w:t>
      </w:r>
      <m:oMath>
        <m:r>
          <w:rPr>
            <w:rFonts w:ascii="Cambria Math" w:hAnsi="Cambria Math"/>
          </w:rPr>
          <m:t>t=0</m:t>
        </m:r>
      </m:oMath>
      <w:r w:rsidRPr="00D9597E">
        <w:t>, with the expectation that the allowed rate of return will be periodically reset to prevailing market rates</w:t>
      </w:r>
    </w:p>
    <w:p w:rsidR="00312F8A" w:rsidRPr="00D9597E" w:rsidRDefault="00312F8A" w:rsidP="00312F8A">
      <w:pPr>
        <w:pStyle w:val="AERbulletlistfirststyle"/>
      </w:pPr>
      <w:r>
        <w:t>the present</w:t>
      </w:r>
      <w:r w:rsidRPr="00D9597E">
        <w:t xml:space="preserve"> (or market) value of the closing RAB (portion) at the end of each 'reset period' equals its statutory value.</w:t>
      </w:r>
    </w:p>
    <w:p w:rsidR="00312F8A" w:rsidRDefault="00312F8A" w:rsidP="00312F8A">
      <w:r>
        <w:t xml:space="preserve">For example, at </w:t>
      </w:r>
      <m:oMath>
        <m:r>
          <w:rPr>
            <w:rFonts w:ascii="Cambria Math" w:hAnsi="Cambria Math"/>
          </w:rPr>
          <m:t>t=0</m:t>
        </m:r>
      </m:oMath>
      <w:r>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t>, should equal portion one of the opening RAB at</w:t>
      </w:r>
      <w:r w:rsidRPr="00864ABE">
        <w:t xml:space="preserve"> </w:t>
      </w:r>
      <m:oMath>
        <m:r>
          <w:rPr>
            <w:rFonts w:ascii="Cambria Math" w:hAnsi="Cambria Math"/>
          </w:rPr>
          <m:t>t=0</m:t>
        </m:r>
      </m:oMath>
      <w:r>
        <w:t xml:space="preserve">. This is because it is expected that, at </w:t>
      </w:r>
      <m:oMath>
        <m:r>
          <w:rPr>
            <w:rFonts w:ascii="Cambria Math" w:hAnsi="Cambria Math"/>
          </w:rPr>
          <m:t>t=1</m:t>
        </m:r>
      </m:oMath>
      <w:r>
        <w:t>, we reset the allowed rate of return on portion one of the RAB to reflect the prevailing market cost of capital, and continue resetting every ten years (see equalities under 'The staggered portfolio'</w:t>
      </w:r>
      <w:r w:rsidRPr="00CF688D">
        <w:t xml:space="preserve"> and </w:t>
      </w:r>
      <w:r>
        <w:t xml:space="preserve">'End of the term of the RAB' </w:t>
      </w:r>
      <w:r w:rsidRPr="00CF688D">
        <w:t>below)</w:t>
      </w:r>
      <w:r>
        <w:t xml:space="preserve">. </w:t>
      </w:r>
    </w:p>
    <w:p w:rsidR="00312F8A" w:rsidRDefault="00312F8A" w:rsidP="00312F8A">
      <w:r>
        <w:lastRenderedPageBreak/>
        <w:t xml:space="preserve">Similarly, at </w:t>
      </w:r>
      <m:oMath>
        <m:r>
          <w:rPr>
            <w:rFonts w:ascii="Cambria Math" w:hAnsi="Cambria Math"/>
          </w:rPr>
          <m:t>t=0</m:t>
        </m:r>
      </m:oMath>
      <w:r w:rsidRPr="00864ABE">
        <w:t xml:space="preserve">, portion </w:t>
      </w:r>
      <w:r>
        <w:t>two</w:t>
      </w:r>
      <w:r w:rsidRPr="00864ABE">
        <w:t xml:space="preserve"> of the initial RAB is financed through debt with a term of </w:t>
      </w:r>
      <w:r>
        <w:t>two</w:t>
      </w:r>
      <w:r w:rsidRPr="00864ABE">
        <w:t xml:space="preserve"> year</w:t>
      </w:r>
      <w:r>
        <w:t>s, and the present value relationship holds for portion two over the two year period. The same logic applies to portions three to ten.</w:t>
      </w:r>
    </w:p>
    <w:p w:rsidR="00312F8A" w:rsidRDefault="00312F8A" w:rsidP="00312F8A">
      <w:r>
        <w:t>What this shows, is that at the beginning of the transition into a trailing average approach, the present value of expected future cash flows should equal the RAB (all else equal)</w:t>
      </w:r>
      <w:r w:rsidRPr="00CF688D">
        <w:t>.</w:t>
      </w:r>
    </w:p>
    <w:p w:rsidR="00312F8A" w:rsidRDefault="00312F8A" w:rsidP="00312F8A">
      <w:pPr>
        <w:pStyle w:val="HeadingBoldItalic"/>
      </w:pPr>
      <w:r>
        <w:t>The staggered portfolio</w:t>
      </w:r>
    </w:p>
    <w:p w:rsidR="00312F8A" w:rsidRDefault="00312F8A" w:rsidP="00312F8A">
      <w:r>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Pr>
          <w:rStyle w:val="FootnoteReference"/>
        </w:rPr>
        <w:footnoteReference w:id="550"/>
      </w:r>
      <w:r>
        <w:t xml:space="preserve"> as </w:t>
      </w:r>
      <m:oMath>
        <m:r>
          <w:rPr>
            <w:rFonts w:ascii="Cambria Math" w:hAnsi="Cambria Math"/>
          </w:rPr>
          <m:t>p1</m:t>
        </m:r>
      </m:oMath>
      <w:r>
        <w:t xml:space="preserve"> to </w:t>
      </w:r>
      <m:oMath>
        <m:r>
          <w:rPr>
            <w:rFonts w:ascii="Cambria Math" w:hAnsi="Cambria Math"/>
          </w:rPr>
          <m:t>p10</m:t>
        </m:r>
      </m:oMath>
      <w:r>
        <w:t xml:space="preserve">. From </w:t>
      </w:r>
      <m:oMath>
        <m:r>
          <w:rPr>
            <w:rFonts w:ascii="Cambria Math" w:hAnsi="Cambria Math"/>
          </w:rPr>
          <m:t>t=1</m:t>
        </m:r>
      </m:oMath>
      <w:r>
        <w:t xml:space="preserve"> to </w:t>
      </w:r>
      <m:oMath>
        <m:r>
          <w:rPr>
            <w:rFonts w:ascii="Cambria Math" w:hAnsi="Cambria Math"/>
          </w:rPr>
          <m:t>t=10</m:t>
        </m:r>
      </m:oMath>
      <w:r>
        <w:t>, the present value relationships can be presented as:</w:t>
      </w:r>
    </w:p>
    <w:p w:rsidR="00312F8A" w:rsidRPr="00B818B4" w:rsidRDefault="00AB6D99" w:rsidP="00312F8A">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551"/>
        </m:r>
      </m:oMath>
      <w:r w:rsidR="00312F8A">
        <w:t xml:space="preserve"> </w:t>
      </w:r>
    </w:p>
    <w:p w:rsidR="00312F8A" w:rsidRPr="00B818B4" w:rsidRDefault="00AB6D99" w:rsidP="00312F8A">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312F8A">
        <w:t xml:space="preserve"> </w:t>
      </w:r>
    </w:p>
    <w:p w:rsidR="00312F8A" w:rsidRDefault="00312F8A" w:rsidP="00312F8A">
      <w:r w:rsidRPr="00FC64E0">
        <w:t>…</w:t>
      </w:r>
    </w:p>
    <w:p w:rsidR="00312F8A" w:rsidRPr="00C726C9" w:rsidRDefault="00AB6D99" w:rsidP="00312F8A">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312F8A" w:rsidRPr="00C726C9">
        <w:rPr>
          <w:rStyle w:val="AERtextsize10"/>
        </w:rPr>
        <w:t xml:space="preserve"> </w:t>
      </w:r>
    </w:p>
    <w:p w:rsidR="00312F8A" w:rsidRDefault="00312F8A" w:rsidP="00312F8A">
      <w:r>
        <w:t>where the expected net operating cash flow generated each year from portions 1 to 10 of the RAB is based on the portion of the allowed rate of return that reflects the prevailing market cost of capital at time 1 to 10 respectively;</w:t>
      </w:r>
      <w:r>
        <w:rPr>
          <w:rStyle w:val="FootnoteReference"/>
        </w:rPr>
        <w:footnoteReference w:id="552"/>
      </w:r>
      <w:r>
        <w:t xml:space="preserve"> that is:</w:t>
      </w:r>
      <w:r>
        <w:rPr>
          <w:rStyle w:val="FootnoteReference"/>
        </w:rPr>
        <w:footnoteReference w:id="553"/>
      </w:r>
      <w:r>
        <w:t xml:space="preserve">  </w:t>
      </w:r>
    </w:p>
    <w:p w:rsidR="00312F8A" w:rsidRDefault="00312F8A" w:rsidP="00312F8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t xml:space="preserve"> </w:t>
      </w:r>
    </w:p>
    <w:p w:rsidR="00312F8A" w:rsidRDefault="00312F8A" w:rsidP="00312F8A">
      <w:r>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w:t>
      </w:r>
    </w:p>
    <w:p w:rsidR="00312F8A" w:rsidRDefault="00312F8A" w:rsidP="00312F8A">
      <w:r>
        <w:t>As demonstrated under 'On-the-day approach', the above equalities hold because, for each portion of the RAB:</w:t>
      </w:r>
    </w:p>
    <w:p w:rsidR="00312F8A" w:rsidRPr="00D9597E" w:rsidRDefault="00312F8A" w:rsidP="00312F8A">
      <w:pPr>
        <w:pStyle w:val="AERbulletlistfirststyle"/>
      </w:pPr>
      <w:r>
        <w:t>the expected net operating cash flows</w:t>
      </w:r>
      <w:r w:rsidRPr="00D9597E">
        <w:t xml:space="preserve"> are, effectively, based on an allowed rate of return that reflects prevailing market rates at year </w:t>
      </w:r>
      <m:oMath>
        <m:r>
          <w:rPr>
            <w:rFonts w:ascii="Cambria Math" w:hAnsi="Cambria Math"/>
          </w:rPr>
          <m:t>t=1…10</m:t>
        </m:r>
      </m:oMath>
      <w:r w:rsidRPr="00D9597E">
        <w:t xml:space="preserve"> respectively, with the </w:t>
      </w:r>
      <w:r w:rsidRPr="00D9597E">
        <w:lastRenderedPageBreak/>
        <w:t>expectation that the allowed rate of return will be reset to prevailing market rates every ten years</w:t>
      </w:r>
    </w:p>
    <w:p w:rsidR="00312F8A" w:rsidRPr="00D9597E" w:rsidRDefault="00312F8A" w:rsidP="00312F8A">
      <w:pPr>
        <w:pStyle w:val="AERbulletlistfirststyle"/>
      </w:pPr>
      <w:r>
        <w:t>the present (or market) value of the closing RAB (portion) at the end of each 'reset period' e</w:t>
      </w:r>
      <w:r w:rsidRPr="00D9597E">
        <w:t>quals its statutory value.</w:t>
      </w:r>
    </w:p>
    <w:p w:rsidR="00312F8A" w:rsidRDefault="00312F8A" w:rsidP="00312F8A">
      <w:r>
        <w:t>In this way, the staggered portfolio can be seen as ten on-the-day approaches on ten portions of the RAB. Therefore, for each portion of the RAB, the present value of expected net operating cash flows over the ten year 'reset period' plus the closing RAB (portion) at</w:t>
      </w:r>
      <w:r w:rsidRPr="00864ABE">
        <w:t xml:space="preserve"> </w:t>
      </w:r>
      <m:oMath>
        <m:r>
          <w:rPr>
            <w:rFonts w:ascii="Cambria Math" w:hAnsi="Cambria Math"/>
          </w:rPr>
          <m:t>t+10</m:t>
        </m:r>
      </m:oMath>
      <w:r>
        <w:t xml:space="preserve"> should equal the opening RAB (portion) at</w:t>
      </w:r>
      <w:r w:rsidRPr="00864ABE">
        <w:t xml:space="preserve"> </w:t>
      </w:r>
      <m:oMath>
        <m:r>
          <w:rPr>
            <w:rFonts w:ascii="Cambria Math" w:hAnsi="Cambria Math"/>
          </w:rPr>
          <m:t>t</m:t>
        </m:r>
      </m:oMath>
      <w:r>
        <w:t>.</w:t>
      </w:r>
    </w:p>
    <w:p w:rsidR="00312F8A" w:rsidRDefault="00312F8A" w:rsidP="00312F8A">
      <w:r>
        <w:t>We also note that while Partington and Satchell recommend the on-the-day approach, they acknowledge '</w:t>
      </w:r>
      <w:r w:rsidRPr="000C25A3">
        <w:t>since the trailing average approach resets one tenth of the cost of debt to the market rate each year, the compensation is correctly set for one tenth of the debt each year</w:t>
      </w:r>
      <w:r>
        <w:t>'</w:t>
      </w:r>
      <w:r w:rsidRPr="000C25A3">
        <w:t>.</w:t>
      </w:r>
      <w:r>
        <w:rPr>
          <w:rStyle w:val="FootnoteReference"/>
        </w:rPr>
        <w:footnoteReference w:id="554"/>
      </w:r>
    </w:p>
    <w:p w:rsidR="00312F8A" w:rsidRDefault="00312F8A" w:rsidP="00312F8A">
      <w:pPr>
        <w:pStyle w:val="HeadingBoldItalic"/>
      </w:pPr>
      <w:r>
        <w:t>End of the term of the RAB</w:t>
      </w:r>
    </w:p>
    <w:p w:rsidR="00312F8A" w:rsidRDefault="00312F8A" w:rsidP="00312F8A">
      <w:r>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t>, the business could either:</w:t>
      </w:r>
      <w:r>
        <w:rPr>
          <w:rStyle w:val="FootnoteReference"/>
        </w:rPr>
        <w:footnoteReference w:id="555"/>
      </w:r>
    </w:p>
    <w:p w:rsidR="00312F8A" w:rsidRPr="00D9597E" w:rsidRDefault="00312F8A" w:rsidP="00312F8A">
      <w:pPr>
        <w:pStyle w:val="AERbulletlistfirststyle"/>
        <w:rPr>
          <w:rStyle w:val="AERbody"/>
        </w:rPr>
      </w:pPr>
      <w:r>
        <w:rPr>
          <w:rStyle w:val="AERbody"/>
        </w:rPr>
        <w:t xml:space="preserve">Raise 9, 8 … 2, 1 year debt on a staggered basis. All its debt would thus expire in year T and it would repay the entire </w:t>
      </w:r>
      <w:r w:rsidRPr="00D9597E">
        <w:rPr>
          <w:rStyle w:val="AERbody"/>
        </w:rPr>
        <w:t>initial value of the RAB back to its investors.</w:t>
      </w:r>
    </w:p>
    <w:p w:rsidR="00312F8A" w:rsidRPr="00D9597E" w:rsidRDefault="00312F8A" w:rsidP="00312F8A">
      <w:pPr>
        <w:pStyle w:val="AERbulletlistfirststyle"/>
        <w:rPr>
          <w:rStyle w:val="AERbody"/>
        </w:rPr>
      </w:pPr>
      <w:r>
        <w:rPr>
          <w:rStyle w:val="AERbody"/>
        </w:rPr>
        <w:t>Allow its staggered portfolio to gradually e</w:t>
      </w:r>
      <w:r w:rsidRPr="00D9597E">
        <w:rPr>
          <w:rStyle w:val="AERbody"/>
        </w:rPr>
        <w:t xml:space="preserve">xpire, repaying 10 per cent of the initial value of the RAB to investors each year. </w:t>
      </w:r>
    </w:p>
    <w:p w:rsidR="00312F8A" w:rsidRDefault="00312F8A" w:rsidP="00312F8A">
      <w:r>
        <w:t xml:space="preserve">This means our return on debt allowance would have to allow for a transition out of the staggered portfolio. </w:t>
      </w:r>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a reasonable opportunity to recover at least efficient costs as this wo</w:t>
      </w:r>
      <w:r>
        <w:t>uld allow the following equalities</w:t>
      </w:r>
      <w:r w:rsidRPr="006C533F">
        <w:t xml:space="preserve"> to hold</w:t>
      </w:r>
      <w:r>
        <w:t xml:space="preserve"> (from </w:t>
      </w:r>
      <m:oMath>
        <m:r>
          <w:rPr>
            <w:rFonts w:ascii="Cambria Math" w:hAnsi="Cambria Math"/>
          </w:rPr>
          <m:t>t=T-10</m:t>
        </m:r>
      </m:oMath>
      <w:r>
        <w:t xml:space="preserve"> to </w:t>
      </w:r>
      <m:oMath>
        <m:r>
          <w:rPr>
            <w:rFonts w:ascii="Cambria Math" w:hAnsi="Cambria Math"/>
          </w:rPr>
          <m:t>t=T-1</m:t>
        </m:r>
      </m:oMath>
      <w:r>
        <w:t>)</w:t>
      </w:r>
      <w:r w:rsidRPr="006C533F">
        <w:t>:</w:t>
      </w:r>
    </w:p>
    <w:p w:rsidR="00312F8A" w:rsidRPr="00275DE0" w:rsidRDefault="00AB6D99" w:rsidP="00312F8A">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556"/>
        </m:r>
      </m:oMath>
      <w:r w:rsidR="00312F8A" w:rsidRPr="007E3981">
        <w:rPr>
          <w:rStyle w:val="AERtextsize10"/>
        </w:rPr>
        <w:t xml:space="preserve"> </w:t>
      </w:r>
    </w:p>
    <w:p w:rsidR="00312F8A" w:rsidRPr="00FC64E0" w:rsidRDefault="00AB6D99" w:rsidP="00312F8A">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312F8A">
        <w:t xml:space="preserve"> </w:t>
      </w:r>
    </w:p>
    <w:p w:rsidR="00312F8A" w:rsidRDefault="00312F8A" w:rsidP="00312F8A">
      <w:r>
        <w:t>…</w:t>
      </w:r>
    </w:p>
    <w:p w:rsidR="00312F8A" w:rsidRPr="00FC64E0" w:rsidRDefault="00AB6D99" w:rsidP="00312F8A">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312F8A">
        <w:t xml:space="preserve"> </w:t>
      </w:r>
    </w:p>
    <w:p w:rsidR="00312F8A" w:rsidRDefault="00312F8A" w:rsidP="00312F8A">
      <w:r>
        <w:lastRenderedPageBreak/>
        <w:t>where the proportion of net operating cash flow generated from each portion of the RAB each year equals the interest payment on that tranche of debt; that is:</w:t>
      </w:r>
      <w:r>
        <w:rPr>
          <w:rStyle w:val="FootnoteReference"/>
        </w:rPr>
        <w:footnoteReference w:id="557"/>
      </w:r>
      <w:r>
        <w:t xml:space="preserve">  </w:t>
      </w:r>
    </w:p>
    <w:p w:rsidR="00312F8A" w:rsidRDefault="00312F8A" w:rsidP="00312F8A">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t xml:space="preserve">  </w:t>
      </w:r>
    </w:p>
    <w:p w:rsidR="00312F8A" w:rsidRDefault="00312F8A" w:rsidP="00312F8A">
      <w:r>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312F8A" w:rsidRDefault="00312F8A" w:rsidP="00312F8A">
      <w:r>
        <w:t>As shown in the above sections, the above equalities hold because, for each portion of the RAB:</w:t>
      </w:r>
    </w:p>
    <w:p w:rsidR="00312F8A" w:rsidRPr="00D9597E" w:rsidRDefault="00312F8A" w:rsidP="00312F8A">
      <w:pPr>
        <w:pStyle w:val="AERbulletlistfirststyle"/>
      </w:pPr>
      <w:r>
        <w:t>the expected net operating cash flows</w:t>
      </w:r>
      <w:r w:rsidRPr="00D9597E">
        <w:t xml:space="preserve"> are, effectively, based on an allowed rate of return that reflects prevailing market rates at year </w:t>
      </w:r>
      <m:oMath>
        <m:r>
          <w:rPr>
            <w:rFonts w:ascii="Cambria Math" w:hAnsi="Cambria Math"/>
          </w:rPr>
          <m:t>t=T-10…T-1</m:t>
        </m:r>
      </m:oMath>
      <w:r w:rsidRPr="00D9597E">
        <w:t xml:space="preserve"> respectively</w:t>
      </w:r>
    </w:p>
    <w:p w:rsidR="00312F8A" w:rsidRPr="00D9597E" w:rsidRDefault="00312F8A" w:rsidP="00312F8A">
      <w:pPr>
        <w:pStyle w:val="AERbulletlistfirststyle"/>
      </w:pPr>
      <w:r>
        <w:t xml:space="preserve">the present (or market) value of the closing RAB (portion) at the end of each period equals its </w:t>
      </w:r>
      <w:r w:rsidRPr="00D9597E">
        <w:t>statutory value.</w:t>
      </w:r>
    </w:p>
    <w:p w:rsidR="00312F8A" w:rsidRDefault="00312F8A" w:rsidP="00312F8A">
      <w:r>
        <w:t>Given these equalities hold, the service provider would expect to have a reasonable opportunity to recover at least efficient costs for each of its investment portions. Since this applies to all stages of the trailing average approach, the service provider would expect to have a reasonable opportunity to recover at least efficient costs</w:t>
      </w:r>
      <w:r w:rsidRPr="00306141">
        <w:t xml:space="preserve"> </w:t>
      </w:r>
      <w:r>
        <w:t>over the entire term of the RAB.</w:t>
      </w:r>
    </w:p>
    <w:p w:rsidR="00312F8A" w:rsidRDefault="00312F8A" w:rsidP="00312F8A">
      <w:r>
        <w:t>The sections above show that the key distinction between an on-the-day and a trailing average approach is:</w:t>
      </w:r>
    </w:p>
    <w:p w:rsidR="00312F8A" w:rsidRPr="00D9597E" w:rsidRDefault="00312F8A" w:rsidP="00312F8A">
      <w:pPr>
        <w:pStyle w:val="AERbulletlistfirststyle"/>
      </w:pPr>
      <w:r>
        <w:t>t</w:t>
      </w:r>
      <w:r w:rsidRPr="00D9597E">
        <w:t xml:space="preserve">he on-the-day approach results in the entire allowed rate of return being reset to reflect prevailing market (or efficient) rates near the commencement of the regulatory period </w:t>
      </w:r>
    </w:p>
    <w:p w:rsidR="00312F8A" w:rsidRPr="00D9597E" w:rsidRDefault="00312F8A" w:rsidP="00312F8A">
      <w:pPr>
        <w:pStyle w:val="AERbulletlistfirststyle"/>
      </w:pPr>
      <w:r>
        <w:t>t</w:t>
      </w:r>
      <w:r w:rsidRPr="00D9597E">
        <w:t xml:space="preserve">he trailing average approach results in one tenth of the allowed rate of return being reset to reflect prevailing market (or efficient) rates each year. </w:t>
      </w:r>
    </w:p>
    <w:p w:rsidR="00312F8A" w:rsidRPr="008A42CE" w:rsidRDefault="00312F8A" w:rsidP="00312F8A">
      <w:pPr>
        <w:rPr>
          <w:rStyle w:val="AERbody"/>
        </w:rPr>
      </w:pPr>
      <w:r w:rsidRPr="008A42CE">
        <w:rPr>
          <w:rStyle w:val="AERbody"/>
        </w:rPr>
        <w:t xml:space="preserve">However, both approaches </w:t>
      </w:r>
      <w:r>
        <w:rPr>
          <w:rStyle w:val="AERbody"/>
        </w:rPr>
        <w:t xml:space="preserve">to setting the allowed rate of return, </w:t>
      </w:r>
      <w:r w:rsidRPr="008A42CE">
        <w:rPr>
          <w:rStyle w:val="AERbody"/>
        </w:rPr>
        <w:t xml:space="preserve">if appropriately implemented </w:t>
      </w:r>
      <w:r>
        <w:rPr>
          <w:rStyle w:val="AERbody"/>
        </w:rPr>
        <w:t xml:space="preserve">(in a forward looking manner) should </w:t>
      </w:r>
      <w:r w:rsidRPr="001D0F47">
        <w:rPr>
          <w:rStyle w:val="AERbody"/>
        </w:rPr>
        <w:t xml:space="preserve">result in </w:t>
      </w:r>
      <w:r>
        <w:rPr>
          <w:rStyle w:val="AERbody"/>
        </w:rPr>
        <w:t>the same</w:t>
      </w:r>
      <w:r w:rsidRPr="008A42CE">
        <w:rPr>
          <w:rStyle w:val="AERbody"/>
        </w:rPr>
        <w:t xml:space="preserve"> </w:t>
      </w:r>
      <w:r>
        <w:t>ex-ante compensation for a benchmark efficient entity's ex-ante efficient financing costs over the term of the RAB</w:t>
      </w:r>
      <w:r>
        <w:rPr>
          <w:rStyle w:val="AERbody"/>
        </w:rPr>
        <w:t>.</w:t>
      </w:r>
    </w:p>
    <w:p w:rsidR="00312F8A" w:rsidRDefault="00312F8A" w:rsidP="00312F8A">
      <w:pPr>
        <w:pStyle w:val="Heading8"/>
      </w:pPr>
      <w:bookmarkStart w:id="314" w:name="_Ref447538284"/>
      <w:bookmarkStart w:id="315" w:name="_Toc452629102"/>
      <w:bookmarkStart w:id="316" w:name="_Toc457911239"/>
      <w:bookmarkStart w:id="317" w:name="_Toc461803759"/>
      <w:bookmarkStart w:id="318" w:name="_Toc462754669"/>
      <w:r>
        <w:t>A full transition satisfies the ARORO</w:t>
      </w:r>
      <w:bookmarkEnd w:id="314"/>
      <w:bookmarkEnd w:id="315"/>
      <w:bookmarkEnd w:id="316"/>
      <w:bookmarkEnd w:id="317"/>
      <w:bookmarkEnd w:id="318"/>
    </w:p>
    <w:p w:rsidR="00312F8A" w:rsidRPr="00D9597E" w:rsidRDefault="00312F8A" w:rsidP="00312F8A">
      <w:r>
        <w:t xml:space="preserve">If moving from </w:t>
      </w:r>
      <w:r w:rsidRPr="00D9597E">
        <w:t>the on-the-day to the trailing average approach, we consider a full transition is required to meet the ARORO and the objectives of the NEL/NGL. A full transition is revenue neutral in a present value sense.</w:t>
      </w:r>
      <w:r w:rsidRPr="00D9597E">
        <w:rPr>
          <w:rStyle w:val="FootnoteReference"/>
        </w:rPr>
        <w:footnoteReference w:id="558"/>
      </w:r>
      <w:r w:rsidRPr="00D9597E">
        <w:t xml:space="preserve"> Assuming the on-the-day or trailing average approach would contribute to the achievement of the ARORO, a revenue neutral transition will also contribute to the achievement of the ARORO.</w:t>
      </w:r>
    </w:p>
    <w:p w:rsidR="00312F8A" w:rsidRDefault="00312F8A" w:rsidP="00312F8A">
      <w:r>
        <w:lastRenderedPageBreak/>
        <w:t xml:space="preserve">As shown in section </w:t>
      </w:r>
      <w:r>
        <w:fldChar w:fldCharType="begin"/>
      </w:r>
      <w:r>
        <w:instrText xml:space="preserve"> REF _Ref444773920 \r \h </w:instrText>
      </w:r>
      <w:r>
        <w:fldChar w:fldCharType="separate"/>
      </w:r>
      <w:r w:rsidR="00691B4D">
        <w:t>B.3.3</w:t>
      </w:r>
      <w:r>
        <w:fldChar w:fldCharType="end"/>
      </w:r>
      <w:r>
        <w:t>, ex-ante efficient compensation can hold</w:t>
      </w:r>
      <w:r w:rsidRPr="0050083B">
        <w:t xml:space="preserve"> </w:t>
      </w:r>
      <w:r>
        <w:t>under either the on-the-day approach or the trailing average approach (if a transition is applied). As such, both approaches are capable of being approximately equivalent over the term of the RAB (which will be multiple regulatory periods).</w:t>
      </w:r>
    </w:p>
    <w:p w:rsidR="00312F8A" w:rsidRDefault="00312F8A" w:rsidP="00312F8A">
      <w:r>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w:t>
      </w:r>
    </w:p>
    <w:p w:rsidR="00312F8A" w:rsidRDefault="00312F8A" w:rsidP="00312F8A">
      <w:r>
        <w:t xml:space="preserve">We show in section </w:t>
      </w:r>
      <w:r>
        <w:fldChar w:fldCharType="begin"/>
      </w:r>
      <w:r>
        <w:instrText xml:space="preserve"> REF _Ref444773920 \r \h </w:instrText>
      </w:r>
      <w:r>
        <w:fldChar w:fldCharType="separate"/>
      </w:r>
      <w:r w:rsidR="00691B4D">
        <w:t>B.3.3</w:t>
      </w:r>
      <w:r>
        <w:fldChar w:fldCharType="end"/>
      </w:r>
      <w:r>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w:t>
      </w:r>
      <w:r w:rsidRPr="0050083B">
        <w:t>period</w:t>
      </w:r>
      <w:r>
        <w:t>, the present value</w:t>
      </w:r>
      <w:r w:rsidRPr="0050083B">
        <w:t xml:space="preserve"> of </w:t>
      </w:r>
      <w:r>
        <w:t xml:space="preserve">expected </w:t>
      </w:r>
      <w:r w:rsidRPr="0050083B">
        <w:t xml:space="preserve">future cash flows will unlikely equal the RAB because </w:t>
      </w:r>
      <w:r>
        <w:t xml:space="preserve">the </w:t>
      </w:r>
      <w:r w:rsidRPr="0050083B">
        <w:t xml:space="preserve">cash flows based on historical interest rates will either be </w:t>
      </w:r>
      <w:r>
        <w:t>higher</w:t>
      </w:r>
      <w:r w:rsidRPr="0050083B">
        <w:t xml:space="preserve"> or too low (relative to the </w:t>
      </w:r>
      <w:r>
        <w:t>prevailing cost of debt in the market). Given this, switching between regimes without a full transition would not satisfy the requirement to</w:t>
      </w:r>
      <w:r w:rsidRPr="00E2587B">
        <w:t xml:space="preserve"> </w:t>
      </w:r>
      <w:r>
        <w:t>provide service providers with a reasonable opportunity to recover at least efficient costs over either the regulatory period or over the term of the RAB.</w:t>
      </w:r>
    </w:p>
    <w:p w:rsidR="00312F8A" w:rsidRPr="00414466" w:rsidRDefault="00312F8A" w:rsidP="00312F8A">
      <w:pPr>
        <w:pStyle w:val="Heading8"/>
      </w:pPr>
      <w:bookmarkStart w:id="319" w:name="_Ref447266532"/>
      <w:bookmarkStart w:id="320" w:name="_Toc452629103"/>
      <w:bookmarkStart w:id="321" w:name="_Toc457911240"/>
      <w:bookmarkStart w:id="322" w:name="_Toc461803760"/>
      <w:bookmarkStart w:id="323" w:name="_Toc462754670"/>
      <w:r w:rsidRPr="00414466">
        <w:t>An immediate (or hybrid) transition will not satisfy the ARORO</w:t>
      </w:r>
      <w:bookmarkEnd w:id="319"/>
      <w:bookmarkEnd w:id="320"/>
      <w:bookmarkEnd w:id="321"/>
      <w:bookmarkEnd w:id="322"/>
      <w:bookmarkEnd w:id="323"/>
    </w:p>
    <w:p w:rsidR="00312F8A" w:rsidRDefault="00312F8A" w:rsidP="00312F8A">
      <w:r>
        <w:t>We consider a full transition to a trailing average will</w:t>
      </w:r>
      <w:r w:rsidRPr="00F21B32">
        <w:t xml:space="preserve"> result in an ex-ante </w:t>
      </w:r>
      <w:r>
        <w:t>reasonable</w:t>
      </w:r>
      <w:r w:rsidRPr="00F21B32">
        <w:t xml:space="preserve"> return </w:t>
      </w:r>
      <w:r>
        <w:t xml:space="preserve">and would contribute to the achievement of the ARORO (see section </w:t>
      </w:r>
      <w:r>
        <w:fldChar w:fldCharType="begin"/>
      </w:r>
      <w:r>
        <w:instrText xml:space="preserve"> REF _Ref447538284 \r \h </w:instrText>
      </w:r>
      <w:r>
        <w:fldChar w:fldCharType="separate"/>
      </w:r>
      <w:r w:rsidR="00691B4D">
        <w:t>B.4</w:t>
      </w:r>
      <w:r>
        <w:fldChar w:fldCharType="end"/>
      </w:r>
      <w:r>
        <w:t>).</w:t>
      </w:r>
      <w:r w:rsidRPr="00F21B32">
        <w:t xml:space="preserve"> </w:t>
      </w:r>
      <w:r>
        <w:t>Conversely, we do not consider that an immediate (or hybrid) transition to a trailing average will</w:t>
      </w:r>
      <w:r w:rsidRPr="00F21B32">
        <w:t xml:space="preserve"> result in an ex-ante </w:t>
      </w:r>
      <w:r>
        <w:t>reasonable</w:t>
      </w:r>
      <w:r w:rsidRPr="00F21B32">
        <w:t xml:space="preserve"> return </w:t>
      </w:r>
      <w:r>
        <w:t xml:space="preserve">and would contribute to the achievement of the ARORO. This is because these approaches are not revenue neutral (in a present value sense). Rather, because these approaches would not be revenue-neutral, these would result in ex-ante overcompensation if moving from a high to a low interest rate environment. Conversely, these would result in ex-ante undercompensation if moving from a low to a high interest rate environment. We show the difference between our approach and the service providers' proposed approach mathematically in section </w:t>
      </w:r>
      <w:r>
        <w:fldChar w:fldCharType="begin"/>
      </w:r>
      <w:r>
        <w:instrText xml:space="preserve"> REF _Ref447886159 \r \h </w:instrText>
      </w:r>
      <w:r>
        <w:fldChar w:fldCharType="separate"/>
      </w:r>
      <w:r w:rsidR="00691B4D">
        <w:t>B.5.1</w:t>
      </w:r>
      <w:r>
        <w:fldChar w:fldCharType="end"/>
      </w:r>
      <w:r>
        <w:t xml:space="preserve">. </w:t>
      </w:r>
    </w:p>
    <w:p w:rsidR="00312F8A" w:rsidRDefault="00312F8A" w:rsidP="00312F8A">
      <w:r>
        <w:t>It is also worth noting that while</w:t>
      </w:r>
      <w:r w:rsidRPr="00F21B32">
        <w:t xml:space="preserve"> </w:t>
      </w:r>
      <w:r>
        <w:t>stakeholders</w:t>
      </w:r>
      <w:r w:rsidRPr="00F21B32">
        <w:t xml:space="preserve"> </w:t>
      </w:r>
      <w:r>
        <w:t>generally supported</w:t>
      </w:r>
      <w:r w:rsidRPr="00F21B32">
        <w:t xml:space="preserve"> </w:t>
      </w:r>
      <w:r>
        <w:t xml:space="preserve">moving to a trailing average </w:t>
      </w:r>
      <w:r w:rsidRPr="00F21B32">
        <w:t xml:space="preserve">approach </w:t>
      </w:r>
      <w:r>
        <w:t xml:space="preserve">when we developed the Guideline, the </w:t>
      </w:r>
      <w:r w:rsidRPr="00F21B32">
        <w:t xml:space="preserve">trailing average cannot be </w:t>
      </w:r>
      <w:r w:rsidRPr="00F21B32">
        <w:lastRenderedPageBreak/>
        <w:t>consider</w:t>
      </w:r>
      <w:r>
        <w:t>ed</w:t>
      </w:r>
      <w:r w:rsidRPr="00F21B32">
        <w:t xml:space="preserve"> in isola</w:t>
      </w:r>
      <w:r>
        <w:t xml:space="preserve">tion of the </w:t>
      </w:r>
      <w:r w:rsidRPr="00F21B32">
        <w:t xml:space="preserve">transition </w:t>
      </w:r>
      <w:r>
        <w:t>set out in the</w:t>
      </w:r>
      <w:r w:rsidRPr="00F21B32">
        <w:t xml:space="preserve"> Guideline.</w:t>
      </w:r>
      <w:r>
        <w:rPr>
          <w:rStyle w:val="FootnoteReference"/>
        </w:rPr>
        <w:footnoteReference w:id="559"/>
      </w:r>
      <w:r>
        <w:t xml:space="preserve"> This is supported by CCP</w:t>
      </w:r>
      <w:r w:rsidR="00092524">
        <w:t xml:space="preserve"> members (David Headberry, Bev Hughson and David Prins)</w:t>
      </w:r>
      <w:r>
        <w:t xml:space="preserve"> in advising:</w:t>
      </w:r>
      <w:r>
        <w:rPr>
          <w:rStyle w:val="FootnoteReference"/>
        </w:rPr>
        <w:footnoteReference w:id="560"/>
      </w:r>
    </w:p>
    <w:p w:rsidR="00312F8A" w:rsidRPr="006C2193" w:rsidRDefault="00312F8A" w:rsidP="00312F8A">
      <w:pPr>
        <w:pStyle w:val="AERquote"/>
      </w:pPr>
      <w:r w:rsidRPr="00E70879">
        <w:t>consumer acceptance for the 10</w:t>
      </w:r>
      <w:r w:rsidRPr="00312F8A">
        <w:rPr>
          <w:rFonts w:ascii="Cambria Math" w:hAnsi="Cambria Math" w:cs="Cambria Math"/>
        </w:rPr>
        <w:t>‐</w:t>
      </w:r>
      <w:r w:rsidRPr="00E70879">
        <w:t xml:space="preserve">year trailing average cost of debt (rather than </w:t>
      </w:r>
      <w:r w:rsidRPr="003E0036">
        <w:t>continuation of the “on</w:t>
      </w:r>
      <w:r w:rsidRPr="00312F8A">
        <w:rPr>
          <w:rFonts w:ascii="Cambria Math" w:hAnsi="Cambria Math" w:cs="Cambria Math"/>
        </w:rPr>
        <w:t>‐</w:t>
      </w:r>
      <w:r w:rsidRPr="0019710C">
        <w:t>the</w:t>
      </w:r>
      <w:r w:rsidRPr="00312F8A">
        <w:rPr>
          <w:rFonts w:ascii="Cambria Math" w:hAnsi="Cambria Math" w:cs="Cambria Math"/>
        </w:rPr>
        <w:t>‐</w:t>
      </w:r>
      <w:r w:rsidRPr="0019710C">
        <w:t>day” or a 5</w:t>
      </w:r>
      <w:r w:rsidRPr="00312F8A">
        <w:rPr>
          <w:rFonts w:ascii="Cambria Math" w:hAnsi="Cambria Math" w:cs="Cambria Math"/>
        </w:rPr>
        <w:t>‐</w:t>
      </w:r>
      <w:r w:rsidRPr="0019710C">
        <w:t>year trailing average aligned with the regulatory</w:t>
      </w:r>
      <w:r w:rsidRPr="006C2193">
        <w:t xml:space="preserve">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312F8A">
        <w:rPr>
          <w:rFonts w:ascii="Cambria Math" w:hAnsi="Cambria Math" w:cs="Cambria Math"/>
        </w:rPr>
        <w:t>‐</w:t>
      </w:r>
      <w:r w:rsidRPr="006C2193">
        <w:t>year rolling average approach.</w:t>
      </w:r>
    </w:p>
    <w:p w:rsidR="00312F8A" w:rsidRDefault="00312F8A" w:rsidP="00312F8A">
      <w:r>
        <w:t>For this reason, the CCP</w:t>
      </w:r>
      <w:r w:rsidR="00092524">
        <w:t xml:space="preserve"> members</w:t>
      </w:r>
      <w:r>
        <w:t xml:space="preserve"> also advised that, '</w:t>
      </w:r>
      <w:r w:rsidRPr="00187AA5">
        <w:t>the significant impact on consumers of the DNSPs’ proposed</w:t>
      </w:r>
      <w:r>
        <w:t xml:space="preserve"> </w:t>
      </w:r>
      <w:r w:rsidRPr="00187AA5">
        <w:t>departure from the RoR Guideline risks a collapse in consumer confidence in the</w:t>
      </w:r>
      <w:r>
        <w:t xml:space="preserve"> </w:t>
      </w:r>
      <w:r w:rsidRPr="00187AA5">
        <w:t>regulatory process</w:t>
      </w:r>
      <w:r>
        <w:t>'</w:t>
      </w:r>
      <w:r w:rsidRPr="00187AA5">
        <w:t>.</w:t>
      </w:r>
      <w:r>
        <w:rPr>
          <w:rStyle w:val="FootnoteReference"/>
        </w:rPr>
        <w:footnoteReference w:id="561"/>
      </w:r>
      <w:r>
        <w:t xml:space="preserve"> </w:t>
      </w:r>
    </w:p>
    <w:p w:rsidR="00312F8A" w:rsidRDefault="00312F8A" w:rsidP="00312F8A">
      <w:r>
        <w:t>Moreover, Partington and Satchell advise that, given a move to the trailing average approach, our full transition is preferable to an immediate (or hybrid) transition.</w:t>
      </w:r>
      <w:r>
        <w:rPr>
          <w:rStyle w:val="FootnoteReference"/>
        </w:rPr>
        <w:footnoteReference w:id="562"/>
      </w:r>
      <w:r>
        <w:t xml:space="preserve"> They also state that:</w:t>
      </w:r>
      <w:r>
        <w:rPr>
          <w:rStyle w:val="FootnoteReference"/>
        </w:rPr>
        <w:footnoteReference w:id="563"/>
      </w:r>
    </w:p>
    <w:p w:rsidR="00312F8A" w:rsidRDefault="00312F8A" w:rsidP="00312F8A">
      <w:pPr>
        <w:pStyle w:val="AERquote"/>
      </w:pPr>
      <w:r>
        <w:t>…</w:t>
      </w:r>
      <w:r w:rsidRPr="001D4F64">
        <w:t>it is appropriate in the present case, of significant divergence between the trailing average and the current cost of debt, that a transition should be made to the trailing average rather than immediately moving to full implementation.</w:t>
      </w:r>
    </w:p>
    <w:p w:rsidR="00312F8A" w:rsidRDefault="00312F8A" w:rsidP="00312F8A">
      <w:r>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fldChar w:fldCharType="begin"/>
      </w:r>
      <w:r>
        <w:instrText xml:space="preserve"> REF _Ref448326736 \r \h </w:instrText>
      </w:r>
      <w:r>
        <w:fldChar w:fldCharType="separate"/>
      </w:r>
      <w:r w:rsidR="00691B4D">
        <w:t>B.3.3</w:t>
      </w:r>
      <w:r>
        <w:fldChar w:fldCharType="end"/>
      </w:r>
      <w:r>
        <w:t xml:space="preserve">, the on-the-day approach provides ex-ante efficient compensation for a benchmark efficient entity's efficient cost of financing over each regulatory period and over the term of the RAB. </w:t>
      </w:r>
    </w:p>
    <w:p w:rsidR="00312F8A" w:rsidRDefault="00312F8A" w:rsidP="00312F8A">
      <w:pPr>
        <w:pStyle w:val="Heading9"/>
      </w:pPr>
      <w:bookmarkStart w:id="324" w:name="_Ref447886159"/>
      <w:bookmarkStart w:id="325" w:name="_Ref451538254"/>
      <w:bookmarkStart w:id="326" w:name="_Toc452629104"/>
      <w:bookmarkStart w:id="327" w:name="_Toc457911241"/>
      <w:bookmarkStart w:id="328" w:name="_Toc461803761"/>
      <w:bookmarkStart w:id="329" w:name="_Toc462754671"/>
      <w:r>
        <w:t>Mathematical explanation</w:t>
      </w:r>
      <w:bookmarkEnd w:id="324"/>
      <w:bookmarkEnd w:id="325"/>
      <w:bookmarkEnd w:id="326"/>
      <w:bookmarkEnd w:id="327"/>
      <w:bookmarkEnd w:id="328"/>
      <w:bookmarkEnd w:id="329"/>
    </w:p>
    <w:p w:rsidR="00312F8A" w:rsidRPr="00275DE0" w:rsidRDefault="00312F8A" w:rsidP="00312F8A">
      <w:r w:rsidRPr="00275DE0">
        <w:t>This section demonstrates the difference (in present value terms) between our full transition and the immediate transition to the trailing average approach</w:t>
      </w:r>
      <w:r>
        <w:t xml:space="preserve"> that the majority of service providers have recently favoured</w:t>
      </w:r>
      <w:r w:rsidRPr="00275DE0">
        <w:t>.</w:t>
      </w:r>
      <w:r>
        <w:rPr>
          <w:rStyle w:val="FootnoteReference"/>
        </w:rPr>
        <w:footnoteReference w:id="564"/>
      </w:r>
      <w:r w:rsidRPr="00275DE0">
        <w:t xml:space="preserve"> We use the following notation:</w:t>
      </w:r>
    </w:p>
    <w:p w:rsidR="00312F8A" w:rsidRPr="00D9597E" w:rsidRDefault="00AB6D99" w:rsidP="00312F8A">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312F8A" w:rsidRPr="00D9597E">
        <w:t xml:space="preserve"> denotes present value, at year t </w:t>
      </w:r>
    </w:p>
    <w:p w:rsidR="00312F8A" w:rsidRPr="00D9597E" w:rsidRDefault="00312F8A" w:rsidP="00312F8A">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D9597E">
        <w:t xml:space="preserve"> denotes expected value</w:t>
      </w:r>
    </w:p>
    <w:p w:rsidR="00312F8A" w:rsidRPr="00D9597E" w:rsidRDefault="00AB6D99" w:rsidP="00312F8A">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312F8A" w:rsidRPr="00D9597E">
        <w:t xml:space="preserve"> is the closing RAB at the end of year </w:t>
      </w:r>
      <m:oMath>
        <m:r>
          <w:rPr>
            <w:rFonts w:ascii="Cambria Math" w:hAnsi="Cambria Math"/>
          </w:rPr>
          <m:t>t</m:t>
        </m:r>
      </m:oMath>
      <w:r w:rsidR="00312F8A" w:rsidRPr="00D9597E">
        <w:t xml:space="preserve"> (which equals the opening RAB at the beginning of year </w:t>
      </w:r>
      <m:oMath>
        <m:r>
          <w:rPr>
            <w:rFonts w:ascii="Cambria Math" w:hAnsi="Cambria Math"/>
          </w:rPr>
          <m:t>t+1</m:t>
        </m:r>
      </m:oMath>
      <w:r w:rsidR="00312F8A" w:rsidRPr="00D9597E">
        <w:t>).</w:t>
      </w:r>
    </w:p>
    <w:p w:rsidR="00312F8A" w:rsidRDefault="00312F8A" w:rsidP="00312F8A">
      <w:pPr>
        <w:pStyle w:val="AERbulletlistfirststyle"/>
      </w:pPr>
      <w:r>
        <w:t>0.6 is the proportion of the RAB that is debt financed</w:t>
      </w:r>
    </w:p>
    <w:p w:rsidR="00312F8A" w:rsidRPr="00D9597E" w:rsidRDefault="00AB6D99" w:rsidP="00312F8A">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312F8A" w:rsidRPr="00D9597E">
        <w:t xml:space="preserve"> </w:t>
      </w:r>
      <w:r w:rsidR="00312F8A">
        <w:t>are</w:t>
      </w:r>
      <w:r w:rsidR="00312F8A" w:rsidRPr="00D56F4E">
        <w:t xml:space="preserve"> </w:t>
      </w:r>
      <w:r w:rsidR="00312F8A">
        <w:t xml:space="preserve">the </w:t>
      </w:r>
      <w:r w:rsidR="00312F8A" w:rsidRPr="00D56F4E">
        <w:t>estimate</w:t>
      </w:r>
      <w:r w:rsidR="00312F8A">
        <w:t>s</w:t>
      </w:r>
      <w:r w:rsidR="00312F8A" w:rsidRPr="00D56F4E">
        <w:t xml:space="preserve"> of the </w:t>
      </w:r>
      <w:r w:rsidR="00312F8A">
        <w:t>return on</w:t>
      </w:r>
      <w:r w:rsidR="00312F8A" w:rsidRPr="00D56F4E">
        <w:t xml:space="preserve"> debt used to calculate the return on capital cash flow</w:t>
      </w:r>
      <w:r w:rsidR="00312F8A">
        <w:t>s</w:t>
      </w:r>
    </w:p>
    <w:p w:rsidR="00312F8A" w:rsidRPr="00D9597E" w:rsidRDefault="00AB6D99" w:rsidP="00312F8A">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312F8A" w:rsidRPr="00D9597E">
        <w:t xml:space="preserve"> is the (spot) discount rate at year </w:t>
      </w:r>
      <m:oMath>
        <m:r>
          <w:rPr>
            <w:rFonts w:ascii="Cambria Math" w:hAnsi="Cambria Math"/>
          </w:rPr>
          <m:t>t</m:t>
        </m:r>
      </m:oMath>
      <w:r w:rsidR="00312F8A" w:rsidRPr="00D9597E">
        <w:t xml:space="preserve"> for a term of </w:t>
      </w:r>
      <m:oMath>
        <m:r>
          <w:rPr>
            <w:rFonts w:ascii="Cambria Math" w:hAnsi="Cambria Math"/>
          </w:rPr>
          <m:t>j</m:t>
        </m:r>
      </m:oMath>
      <w:r w:rsidR="00312F8A" w:rsidRPr="00D9597E">
        <w:t xml:space="preserve"> years.</w:t>
      </w:r>
    </w:p>
    <w:p w:rsidR="00312F8A" w:rsidRPr="00622F41" w:rsidRDefault="00312F8A" w:rsidP="00312F8A">
      <w:r w:rsidRPr="00622F41">
        <w:t xml:space="preserve">The present value of </w:t>
      </w:r>
      <w:r>
        <w:t>our</w:t>
      </w:r>
      <w:r w:rsidRPr="00622F41">
        <w:t xml:space="preserve"> proposed return on debt allowance </w:t>
      </w:r>
      <w:r>
        <w:t xml:space="preserve">over the next ten years </w:t>
      </w:r>
      <w:r w:rsidRPr="00622F41">
        <w:t>(under a full transition)</w:t>
      </w:r>
      <w:r>
        <w:t xml:space="preserve"> at time </w:t>
      </w:r>
      <m:oMath>
        <m:r>
          <w:rPr>
            <w:rFonts w:ascii="Cambria Math" w:hAnsi="Cambria Math"/>
          </w:rPr>
          <m:t>t=0</m:t>
        </m:r>
      </m:oMath>
      <w:r w:rsidRPr="00622F41">
        <w:t xml:space="preserve"> is as follows:</w:t>
      </w:r>
      <w:r>
        <w:rPr>
          <w:rStyle w:val="FootnoteReference"/>
        </w:rPr>
        <w:footnoteReference w:id="565"/>
      </w:r>
    </w:p>
    <w:p w:rsidR="00312F8A" w:rsidRDefault="00AB6D99" w:rsidP="00312F8A">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312F8A" w:rsidRPr="00BB7CBA">
        <w:t xml:space="preserve"> </w:t>
      </w:r>
    </w:p>
    <w:p w:rsidR="00312F8A" w:rsidRDefault="00312F8A" w:rsidP="00312F8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312F8A" w:rsidRPr="00622F41" w:rsidRDefault="00312F8A" w:rsidP="00312F8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BB7CBA">
        <w:t xml:space="preserve"> </w:t>
      </w:r>
      <w:r w:rsidRPr="00BB7CBA">
        <w:br/>
      </w:r>
      <w:r w:rsidRPr="00622F41">
        <w:t xml:space="preserve">The present value of the return on debt allowance </w:t>
      </w:r>
      <w:r>
        <w:t xml:space="preserve">over the next ten years when immediately moving to the trailing averaging at time </w:t>
      </w:r>
      <m:oMath>
        <m:r>
          <w:rPr>
            <w:rFonts w:ascii="Cambria Math" w:hAnsi="Cambria Math"/>
          </w:rPr>
          <m:t>t=0</m:t>
        </m:r>
      </m:oMath>
      <w:r w:rsidRPr="00622F41">
        <w:t xml:space="preserve">  is as follows:</w:t>
      </w:r>
    </w:p>
    <w:p w:rsidR="00312F8A" w:rsidRDefault="00AB6D99" w:rsidP="00312F8A">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312F8A"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m:t>
                    </m:r>
                    <m:r>
                      <w:rPr>
                        <w:rFonts w:ascii="Cambria Math" w:hAnsi="Cambria Math"/>
                      </w:rPr>
                      <m:t>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t xml:space="preserve"> </w:t>
      </w:r>
    </w:p>
    <w:p w:rsidR="00312F8A" w:rsidRPr="00622F41" w:rsidRDefault="00312F8A" w:rsidP="00312F8A">
      <m:oMath>
        <m:r>
          <w:rPr>
            <w:rFonts w:ascii="Cambria Math" w:hAnsi="Cambria Math"/>
          </w:rPr>
          <m:t>+</m:t>
        </m:r>
        <m:r>
          <m:rPr>
            <m:sty m:val="p"/>
          </m:rPr>
          <w:rPr>
            <w:rFonts w:ascii="Cambria Math" w:hAnsi="Cambria Math"/>
          </w:rPr>
          <m:t>…</m:t>
        </m:r>
      </m:oMath>
      <w:r>
        <w:t xml:space="preserve"> </w:t>
      </w:r>
      <w:r w:rsidRPr="00622F41">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t xml:space="preserve"> </w:t>
      </w:r>
    </w:p>
    <w:p w:rsidR="00312F8A" w:rsidRDefault="00312F8A" w:rsidP="00312F8A">
      <w:r w:rsidRPr="00622F41">
        <w:t xml:space="preserve">Subtracting the present value of </w:t>
      </w:r>
      <w:r>
        <w:t>our</w:t>
      </w:r>
      <w:r w:rsidRPr="00622F41">
        <w:t xml:space="preserve"> return on debt allowance </w:t>
      </w:r>
      <w:r>
        <w:t xml:space="preserve">over the next ten years </w:t>
      </w:r>
      <w:r w:rsidRPr="00622F41">
        <w:t xml:space="preserve">from the present value of the return on debt allowance </w:t>
      </w:r>
      <w:r>
        <w:t xml:space="preserve">over the next ten years when </w:t>
      </w:r>
      <w:r>
        <w:lastRenderedPageBreak/>
        <w:t xml:space="preserve">immediately moving to a trailing average </w:t>
      </w:r>
      <w:r w:rsidRPr="00622F41">
        <w:t>gives the following difference in present value terms:</w:t>
      </w:r>
    </w:p>
    <w:p w:rsidR="00312F8A" w:rsidRPr="00622F41" w:rsidRDefault="00AB6D99" w:rsidP="00312F8A">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312F8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BB7CBA">
        <w:t xml:space="preserve"> </w:t>
      </w:r>
    </w:p>
    <w:p w:rsidR="00312F8A" w:rsidRPr="00622F41"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BB7CBA">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t xml:space="preserve"> </w:t>
      </w:r>
    </w:p>
    <w:p w:rsidR="00312F8A" w:rsidRDefault="00312F8A" w:rsidP="00312F8A">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BB7CBA">
        <w:t xml:space="preserve"> </w:t>
      </w:r>
    </w:p>
    <w:p w:rsidR="00312F8A" w:rsidRDefault="00312F8A" w:rsidP="00312F8A">
      <m:oMath>
        <m:r>
          <w:rPr>
            <w:rFonts w:ascii="Cambria Math" w:hAnsi="Cambria Math"/>
          </w:rPr>
          <m:t>+0</m:t>
        </m:r>
      </m:oMath>
      <w:r>
        <w:t xml:space="preserve"> </w:t>
      </w:r>
    </w:p>
    <w:p w:rsidR="00312F8A" w:rsidRPr="00374BCA" w:rsidRDefault="00312F8A" w:rsidP="00312F8A">
      <w:r>
        <w:t>We can conclude s</w:t>
      </w:r>
      <w:r w:rsidRPr="00374BCA">
        <w:t>everal things from the</w:t>
      </w:r>
      <w:r>
        <w:t xml:space="preserve"> above</w:t>
      </w:r>
      <w:r w:rsidRPr="00374BCA">
        <w:t xml:space="preserve"> calculation in relation to the expected </w:t>
      </w:r>
      <w:r>
        <w:t>return on debt</w:t>
      </w:r>
      <w:r w:rsidRPr="00374BCA">
        <w:t xml:space="preserve"> allowance:</w:t>
      </w:r>
    </w:p>
    <w:p w:rsidR="00312F8A" w:rsidRPr="00D9597E" w:rsidRDefault="00312F8A" w:rsidP="00312F8A">
      <w:pPr>
        <w:pStyle w:val="AERbulletlistfirststyle"/>
      </w:pPr>
      <w:r w:rsidRPr="00374BCA">
        <w:t>Assuming you use the same data series, term and</w:t>
      </w:r>
      <w:r w:rsidRPr="00D9597E">
        <w:t xml:space="preserve"> credit rating, the difference between </w:t>
      </w:r>
      <w:r>
        <w:t>the</w:t>
      </w:r>
      <w:r w:rsidRPr="00D9597E">
        <w:t xml:space="preserve"> return on debt allowance</w:t>
      </w:r>
      <w:r>
        <w:t xml:space="preserve"> under a full transition and </w:t>
      </w:r>
      <w:r w:rsidRPr="00D9597E">
        <w:t>return on debt allowance</w:t>
      </w:r>
      <w:r>
        <w:t xml:space="preserve"> under no transition </w:t>
      </w:r>
      <w:r w:rsidRPr="00D9597E">
        <w:t>is a fixed amount in each of the first nine years.</w:t>
      </w:r>
      <w:r w:rsidRPr="00D9597E">
        <w:rPr>
          <w:rStyle w:val="FootnoteReference"/>
        </w:rPr>
        <w:footnoteReference w:id="566"/>
      </w:r>
      <w:r>
        <w:t xml:space="preserve"> There is no difference between these respective allowances from year 10 onwards.</w:t>
      </w:r>
    </w:p>
    <w:p w:rsidR="00312F8A" w:rsidRPr="00D9597E" w:rsidRDefault="00312F8A" w:rsidP="00312F8A">
      <w:pPr>
        <w:pStyle w:val="AERbulletlistfirststyle"/>
      </w:pPr>
      <w:r w:rsidRPr="00374BCA">
        <w:t xml:space="preserve">The present value of the difference in </w:t>
      </w:r>
      <w:r>
        <w:t>the</w:t>
      </w:r>
      <w:r w:rsidRPr="00D9597E">
        <w:t xml:space="preserve"> debt</w:t>
      </w:r>
      <w:r>
        <w:t xml:space="preserve"> allowance under these transitional approaches </w:t>
      </w:r>
      <w:r w:rsidRPr="00D9597E">
        <w:t>can be calculated today.</w:t>
      </w:r>
      <w:r w:rsidRPr="00D9597E">
        <w:rPr>
          <w:rStyle w:val="FootnoteReference"/>
        </w:rPr>
        <w:footnoteReference w:id="567"/>
      </w:r>
      <w:r w:rsidRPr="00D9597E">
        <w:t xml:space="preserve"> This total present value is a sum of the difference in values for each of the next nine years (as shown above).</w:t>
      </w:r>
    </w:p>
    <w:p w:rsidR="00312F8A" w:rsidRPr="00D9597E" w:rsidRDefault="00312F8A" w:rsidP="00312F8A">
      <w:pPr>
        <w:pStyle w:val="AERbulletlistfirststyle"/>
      </w:pPr>
      <w:r w:rsidRPr="00374BCA">
        <w:lastRenderedPageBreak/>
        <w:t xml:space="preserve">Given that current interest rates are well below average historical rates over the last </w:t>
      </w:r>
      <w:r w:rsidRPr="00D9597E">
        <w:t xml:space="preserve">nine years, </w:t>
      </w:r>
      <w:r>
        <w:t xml:space="preserve">the allowance when immediately moving to a trailing average </w:t>
      </w:r>
      <w:r w:rsidRPr="00D9597E">
        <w:t>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312F8A" w:rsidRPr="00374BCA" w:rsidRDefault="00312F8A" w:rsidP="00312F8A">
      <w:r w:rsidRPr="00374BCA">
        <w:t xml:space="preserve">The above propositions also hold </w:t>
      </w:r>
      <w:r>
        <w:t>when comparing our transitional approach with a hybrid transitional approach. That is,</w:t>
      </w:r>
      <w:r w:rsidRPr="00374BCA">
        <w:t xml:space="preserve"> the difference </w:t>
      </w:r>
      <w:r>
        <w:t xml:space="preserve">between these allowances </w:t>
      </w:r>
      <w:r w:rsidRPr="00374BCA">
        <w:t>each year will be a fixed amount that can be quantified and valued</w:t>
      </w:r>
      <w:r>
        <w:t xml:space="preserve">. However, the magnitude of this difference </w:t>
      </w:r>
      <w:r w:rsidRPr="00374BCA">
        <w:t>will differ depending on the approach proposed.</w:t>
      </w:r>
    </w:p>
    <w:p w:rsidR="00312F8A" w:rsidRDefault="00312F8A" w:rsidP="00312F8A">
      <w:r>
        <w:t>I</w:t>
      </w:r>
      <w:r w:rsidRPr="00374BCA">
        <w:t xml:space="preserve">n relation to the </w:t>
      </w:r>
      <w:r>
        <w:t>risk associated with</w:t>
      </w:r>
      <w:r w:rsidRPr="00374BCA">
        <w:t xml:space="preserve"> </w:t>
      </w:r>
      <w:r>
        <w:t>different transitional approaches</w:t>
      </w:r>
      <w:r w:rsidRPr="00374BCA">
        <w:t xml:space="preserve">, </w:t>
      </w:r>
      <w:r>
        <w:t>the key interest rate risk associated with the allowed return on debt cash flow streams in each future year appears to come from rolling future interest rates into the trailing average. As all transitional approach</w:t>
      </w:r>
      <w:r w:rsidR="00860C28">
        <w:t>es</w:t>
      </w:r>
      <w:r>
        <w:t xml:space="preserve"> still result in rolling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Pr>
          <w:rStyle w:val="FootnoteReference"/>
        </w:rPr>
        <w:footnoteReference w:id="568"/>
      </w:r>
      <w:r>
        <w:t xml:space="preserve"> </w:t>
      </w:r>
    </w:p>
    <w:p w:rsidR="00312F8A" w:rsidRDefault="00312F8A" w:rsidP="00312F8A">
      <w:r>
        <w:t>This above analysis implies the key difference between our transitional approach and the other transitional approaches that service providers have recently proposed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Pr>
          <w:rStyle w:val="FootnoteReference"/>
        </w:rPr>
        <w:footnoteReference w:id="569"/>
      </w:r>
    </w:p>
    <w:p w:rsidR="00312F8A" w:rsidRDefault="00312F8A" w:rsidP="00312F8A">
      <w:pPr>
        <w:pStyle w:val="AERquote"/>
      </w:pPr>
      <w:r w:rsidRPr="004951FD">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p>
    <w:p w:rsidR="00312F8A" w:rsidRPr="00312F8A" w:rsidRDefault="00312F8A" w:rsidP="003B175D">
      <w:pPr>
        <w:pStyle w:val="AERbulletlistfirststyle"/>
        <w:numPr>
          <w:ilvl w:val="0"/>
          <w:numId w:val="0"/>
        </w:numPr>
        <w:ind w:left="357" w:hanging="357"/>
      </w:pPr>
      <w:bookmarkStart w:id="330" w:name="_Toc452629108"/>
      <w:bookmarkStart w:id="331" w:name="_Toc452629144"/>
      <w:bookmarkStart w:id="332" w:name="_Toc452629146"/>
      <w:bookmarkStart w:id="333" w:name="_Toc452629147"/>
      <w:bookmarkStart w:id="334" w:name="_Toc452629149"/>
      <w:bookmarkStart w:id="335" w:name="_Toc452629150"/>
      <w:bookmarkStart w:id="336" w:name="_Toc452629154"/>
      <w:bookmarkStart w:id="337" w:name="_Toc452629155"/>
      <w:bookmarkEnd w:id="330"/>
      <w:bookmarkEnd w:id="331"/>
      <w:bookmarkEnd w:id="332"/>
      <w:bookmarkEnd w:id="333"/>
      <w:bookmarkEnd w:id="334"/>
      <w:bookmarkEnd w:id="335"/>
      <w:bookmarkEnd w:id="336"/>
      <w:bookmarkEnd w:id="337"/>
    </w:p>
    <w:bookmarkEnd w:id="118"/>
    <w:bookmarkEnd w:id="119"/>
    <w:bookmarkEnd w:id="120"/>
    <w:p w:rsidR="00D82F39" w:rsidRDefault="00D82F39" w:rsidP="00E6234D"/>
    <w:p w:rsidR="00E6234D" w:rsidRDefault="00E6234D" w:rsidP="00E6234D">
      <w:pPr>
        <w:pStyle w:val="ListContinue"/>
      </w:pPr>
    </w:p>
    <w:p w:rsidR="00E6234D" w:rsidRDefault="00E6234D" w:rsidP="00E6234D"/>
    <w:p w:rsidR="00E6234D" w:rsidRPr="00E6234D" w:rsidRDefault="00E6234D" w:rsidP="003957BF"/>
    <w:p w:rsidR="00254561" w:rsidRDefault="00254561" w:rsidP="00254561">
      <w:pPr>
        <w:pStyle w:val="Heading7"/>
      </w:pPr>
      <w:bookmarkStart w:id="338" w:name="_Toc462754672"/>
      <w:bookmarkEnd w:id="121"/>
      <w:bookmarkEnd w:id="122"/>
      <w:bookmarkEnd w:id="123"/>
      <w:r>
        <w:lastRenderedPageBreak/>
        <w:t>Equity and debt raising costs</w:t>
      </w:r>
      <w:bookmarkEnd w:id="338"/>
    </w:p>
    <w:p w:rsidR="00254561" w:rsidRPr="00AA2065" w:rsidRDefault="00254561" w:rsidP="00254561">
      <w:r>
        <w:t>I</w:t>
      </w:r>
      <w:r w:rsidRPr="00AA2065">
        <w:t>n addition to compensating for the required rate of return on debt and equity</w:t>
      </w:r>
      <w:r>
        <w:t xml:space="preserve">, we provide an allowance for the transaction costs associated </w:t>
      </w:r>
      <w:r w:rsidRPr="00AA2065">
        <w:t>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254561" w:rsidRPr="001A2C20" w:rsidRDefault="00254561" w:rsidP="00254561">
      <w:r w:rsidRPr="00AA2065">
        <w:t xml:space="preserve">Our </w:t>
      </w:r>
      <w:r w:rsidR="007D2051">
        <w:t xml:space="preserve">draft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 xml:space="preserve">In this appendix, we set out our assessment approach and the reasons for </w:t>
      </w:r>
      <w:r>
        <w:t>those forecasts</w:t>
      </w:r>
      <w:r w:rsidRPr="00AA2065">
        <w:t>.</w:t>
      </w:r>
    </w:p>
    <w:p w:rsidR="00254561" w:rsidRPr="00254561" w:rsidRDefault="00254561" w:rsidP="00DC0445">
      <w:pPr>
        <w:pStyle w:val="Heading8"/>
        <w:numPr>
          <w:ilvl w:val="1"/>
          <w:numId w:val="65"/>
        </w:numPr>
      </w:pPr>
      <w:bookmarkStart w:id="339" w:name="_Toc451939040"/>
      <w:bookmarkStart w:id="340" w:name="_Toc457911243"/>
      <w:bookmarkStart w:id="341" w:name="_Toc461803763"/>
      <w:bookmarkStart w:id="342" w:name="_Toc462754673"/>
      <w:r>
        <w:t>Equity raising costs</w:t>
      </w:r>
      <w:bookmarkEnd w:id="339"/>
      <w:bookmarkEnd w:id="340"/>
      <w:bookmarkEnd w:id="341"/>
      <w:bookmarkEnd w:id="342"/>
      <w:r>
        <w:t xml:space="preserve"> </w:t>
      </w:r>
    </w:p>
    <w:p w:rsidR="00254561" w:rsidRDefault="00254561" w:rsidP="00254561">
      <w:r>
        <w:t xml:space="preserve">We </w:t>
      </w:r>
      <w:r w:rsidR="002D54AA">
        <w:t xml:space="preserve">have </w:t>
      </w:r>
      <w:r>
        <w:t>determine</w:t>
      </w:r>
      <w:r w:rsidR="002D54AA">
        <w:t>d TasNetworks'</w:t>
      </w:r>
      <w:r>
        <w:t xml:space="preserve"> equity raising costs for the 2017–</w:t>
      </w:r>
      <w:r w:rsidR="002D54AA">
        <w:t>19</w:t>
      </w:r>
      <w:r>
        <w:t xml:space="preserve"> period</w:t>
      </w:r>
      <w:r w:rsidR="002D54AA">
        <w:t xml:space="preserve"> to be $0.32 million ($2016–17)</w:t>
      </w:r>
      <w:r>
        <w:t xml:space="preserve">. </w:t>
      </w:r>
      <w:r w:rsidR="002D54AA">
        <w:t>We have determined this amount by applying the method we have established in recent determinations and that was proposed by TasNetworks</w:t>
      </w:r>
      <w:r>
        <w:t>.</w:t>
      </w:r>
      <w:r w:rsidR="00FF73C1">
        <w:rPr>
          <w:rStyle w:val="FootnoteReference"/>
        </w:rPr>
        <w:footnoteReference w:id="570"/>
      </w:r>
      <w:r>
        <w:t xml:space="preserve"> Therefore, we accept </w:t>
      </w:r>
      <w:r w:rsidR="002D54AA">
        <w:t xml:space="preserve">TasNetworks' </w:t>
      </w:r>
      <w:r>
        <w:t>propos</w:t>
      </w:r>
      <w:r w:rsidR="007474FD">
        <w:t>ed approach and have updated the analysis to reflect our draft decision input parameters</w:t>
      </w:r>
      <w:r>
        <w:t>.</w:t>
      </w:r>
    </w:p>
    <w:p w:rsidR="00254561" w:rsidRPr="00C024A8" w:rsidRDefault="00254561" w:rsidP="00254561">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 an allowance to recover</w:t>
      </w:r>
      <w:r w:rsidRPr="00C024A8">
        <w:t xml:space="preserve"> an efficient amount of </w:t>
      </w:r>
      <w:r>
        <w:t>equity raising</w:t>
      </w:r>
      <w:r w:rsidRPr="00C024A8">
        <w:t xml:space="preserve"> costs. This is where a service provider's capex forecast is large enough to require an external equity injection to maintain the benchmark gearing of 60 per cent.</w:t>
      </w:r>
    </w:p>
    <w:p w:rsidR="00254561" w:rsidRDefault="00254561" w:rsidP="00254561">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 We initially based our method for determining benchmark equity raising costs on </w:t>
      </w:r>
      <w:r>
        <w:t>the</w:t>
      </w:r>
      <w:r w:rsidRPr="00C024A8">
        <w:t xml:space="preserve"> 2007 advice from Allen Consulting Group (ACG).</w:t>
      </w:r>
      <w:r w:rsidRPr="00C024A8">
        <w:rPr>
          <w:rStyle w:val="FootnoteReference"/>
        </w:rPr>
        <w:footnoteReference w:id="571"/>
      </w:r>
      <w:r w:rsidRPr="00C024A8">
        <w:t xml:space="preserve"> We amended this method in our </w:t>
      </w:r>
      <w:r>
        <w:t xml:space="preserve">2009 </w:t>
      </w:r>
      <w:r w:rsidRPr="00C024A8">
        <w:t xml:space="preserve">decisions </w:t>
      </w:r>
      <w:r w:rsidRPr="00C024A8">
        <w:lastRenderedPageBreak/>
        <w:t>for the ACT, NSW and Tasmanian electricity service providers.</w:t>
      </w:r>
      <w:r w:rsidRPr="00C024A8">
        <w:rPr>
          <w:rStyle w:val="FootnoteReference"/>
        </w:rPr>
        <w:footnoteReference w:id="572"/>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573"/>
      </w:r>
    </w:p>
    <w:p w:rsidR="00254561" w:rsidRDefault="00254561" w:rsidP="00254561">
      <w:pPr>
        <w:pStyle w:val="Heading8"/>
      </w:pPr>
      <w:bookmarkStart w:id="343" w:name="_Toc457911244"/>
      <w:bookmarkStart w:id="344" w:name="_Toc461803764"/>
      <w:bookmarkStart w:id="345" w:name="_Toc462754674"/>
      <w:r>
        <w:t>Debt raising costs</w:t>
      </w:r>
      <w:bookmarkEnd w:id="343"/>
      <w:bookmarkEnd w:id="344"/>
      <w:bookmarkEnd w:id="345"/>
      <w:r>
        <w:t xml:space="preserve"> </w:t>
      </w:r>
    </w:p>
    <w:p w:rsidR="00125933" w:rsidRDefault="00254561" w:rsidP="00125933">
      <w:pPr>
        <w:numPr>
          <w:ilvl w:val="0"/>
          <w:numId w:val="25"/>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w:t>
      </w:r>
      <w:r>
        <w:t>cost</w:t>
      </w:r>
      <w:r w:rsidRPr="00C43648">
        <w:t xml:space="preserve"> of raising debt that would be incurred by a prudent service provider, and data exists such that we can estimate the</w:t>
      </w:r>
      <w:r>
        <w:t>m</w:t>
      </w:r>
      <w:r w:rsidRPr="00C43648">
        <w:t xml:space="preserve">. Accordingly, we provide an allowance to recover an efficient amount of </w:t>
      </w:r>
      <w:r>
        <w:t>debt raising</w:t>
      </w:r>
      <w:r w:rsidRPr="00C43648">
        <w:t xml:space="preserve"> costs.</w:t>
      </w:r>
    </w:p>
    <w:p w:rsidR="00125933" w:rsidRDefault="00125933" w:rsidP="00125933">
      <w:pPr>
        <w:pStyle w:val="Heading9"/>
      </w:pPr>
      <w:bookmarkStart w:id="346" w:name="_Toc461803765"/>
      <w:bookmarkStart w:id="347" w:name="_Toc462754675"/>
      <w:r>
        <w:t>Draft decision</w:t>
      </w:r>
      <w:bookmarkEnd w:id="346"/>
      <w:bookmarkEnd w:id="347"/>
    </w:p>
    <w:p w:rsidR="00125933" w:rsidRDefault="00125933" w:rsidP="00125933">
      <w:r w:rsidRPr="00C43648">
        <w:t xml:space="preserve">We </w:t>
      </w:r>
      <w:r>
        <w:t xml:space="preserve">accept </w:t>
      </w:r>
      <w:r w:rsidR="00EA4D63">
        <w:t xml:space="preserve">TasNetworks' </w:t>
      </w:r>
      <w:r>
        <w:t>proposed debt raising costs. We determine</w:t>
      </w:r>
      <w:r w:rsidRPr="00C43648">
        <w:t xml:space="preserve"> debt raising costs of $</w:t>
      </w:r>
      <w:r w:rsidR="009F59F9">
        <w:t xml:space="preserve">2.21 </w:t>
      </w:r>
      <w:r>
        <w:t>million ($ 2016–17) over the 2017</w:t>
      </w:r>
      <w:r w:rsidRPr="00413171">
        <w:t>–</w:t>
      </w:r>
      <w:r w:rsidR="00EA4D63">
        <w:t>19</w:t>
      </w:r>
      <w:r w:rsidRPr="00C43648">
        <w:t xml:space="preserve"> period, as set out in</w:t>
      </w:r>
      <w:r>
        <w:t xml:space="preserve"> </w:t>
      </w:r>
      <w:r>
        <w:fldChar w:fldCharType="begin"/>
      </w:r>
      <w:r>
        <w:instrText xml:space="preserve"> REF _Ref458072375 \h </w:instrText>
      </w:r>
      <w:r>
        <w:fldChar w:fldCharType="separate"/>
      </w:r>
      <w:r w:rsidR="00691B4D">
        <w:t xml:space="preserve">Table </w:t>
      </w:r>
      <w:r w:rsidR="00691B4D">
        <w:rPr>
          <w:noProof/>
        </w:rPr>
        <w:t>3</w:t>
      </w:r>
      <w:r w:rsidR="00691B4D">
        <w:noBreakHyphen/>
      </w:r>
      <w:r w:rsidR="00691B4D">
        <w:rPr>
          <w:noProof/>
        </w:rPr>
        <w:t>27</w:t>
      </w:r>
      <w:r>
        <w:fldChar w:fldCharType="end"/>
      </w:r>
      <w:r>
        <w:t xml:space="preserve">. </w:t>
      </w:r>
      <w:r w:rsidRPr="00C43648">
        <w:t>We are satisfied this estimate contributes towards a total opex forecast that reasonably reflects efficient, prudent and realistic costs.</w:t>
      </w:r>
    </w:p>
    <w:p w:rsidR="00125933" w:rsidRPr="003A2229" w:rsidRDefault="00EA4D63" w:rsidP="00125933">
      <w:r>
        <w:t xml:space="preserve">TasNetworks </w:t>
      </w:r>
      <w:r w:rsidR="00125933">
        <w:t>adopted our approach to estimat</w:t>
      </w:r>
      <w:r>
        <w:t>ing</w:t>
      </w:r>
      <w:r w:rsidR="00125933">
        <w:t xml:space="preserve"> debt raising costs</w:t>
      </w:r>
      <w:r>
        <w:t xml:space="preserve"> that we have established through past determinations</w:t>
      </w:r>
      <w:r w:rsidR="00125933">
        <w:t>.</w:t>
      </w:r>
      <w:r w:rsidR="00125933">
        <w:rPr>
          <w:rStyle w:val="FootnoteReference"/>
        </w:rPr>
        <w:footnoteReference w:id="574"/>
      </w:r>
      <w:r>
        <w:t xml:space="preserve"> This approach is set out in section </w:t>
      </w:r>
      <w:r>
        <w:fldChar w:fldCharType="begin"/>
      </w:r>
      <w:r>
        <w:instrText xml:space="preserve"> REF _Ref459023501 \r \h </w:instrText>
      </w:r>
      <w:r>
        <w:fldChar w:fldCharType="separate"/>
      </w:r>
      <w:r w:rsidR="00691B4D">
        <w:t>C.2.2</w:t>
      </w:r>
      <w:r>
        <w:fldChar w:fldCharType="end"/>
      </w:r>
      <w:r>
        <w:t>.</w:t>
      </w:r>
    </w:p>
    <w:p w:rsidR="00125933" w:rsidRPr="00413171" w:rsidRDefault="00125933" w:rsidP="00125933">
      <w:pPr>
        <w:pStyle w:val="Caption"/>
      </w:pPr>
      <w:bookmarkStart w:id="348" w:name="_Ref458072375"/>
      <w:bookmarkStart w:id="349" w:name="_Ref458072357"/>
      <w:r>
        <w:t xml:space="preserve">Table </w:t>
      </w:r>
      <w:r w:rsidRPr="00125933">
        <w:fldChar w:fldCharType="begin"/>
      </w:r>
      <w:r>
        <w:instrText xml:space="preserve"> STYLEREF 1 \s </w:instrText>
      </w:r>
      <w:r w:rsidRPr="00125933">
        <w:fldChar w:fldCharType="separate"/>
      </w:r>
      <w:r w:rsidR="00691B4D">
        <w:rPr>
          <w:noProof/>
        </w:rPr>
        <w:t>3</w:t>
      </w:r>
      <w:r w:rsidRPr="00125933">
        <w:fldChar w:fldCharType="end"/>
      </w:r>
      <w:r>
        <w:noBreakHyphen/>
      </w:r>
      <w:r w:rsidRPr="00125933">
        <w:fldChar w:fldCharType="begin"/>
      </w:r>
      <w:r>
        <w:instrText xml:space="preserve"> SEQ Table \* ARABIC \s 1 </w:instrText>
      </w:r>
      <w:r w:rsidRPr="00125933">
        <w:fldChar w:fldCharType="separate"/>
      </w:r>
      <w:r w:rsidR="00691B4D">
        <w:rPr>
          <w:noProof/>
        </w:rPr>
        <w:t>27</w:t>
      </w:r>
      <w:r w:rsidRPr="00125933">
        <w:fldChar w:fldCharType="end"/>
      </w:r>
      <w:bookmarkEnd w:id="348"/>
      <w:r>
        <w:tab/>
      </w:r>
      <w:r w:rsidRPr="00413171">
        <w:t xml:space="preserve">AER's </w:t>
      </w:r>
      <w:r>
        <w:t>draft</w:t>
      </w:r>
      <w:r w:rsidRPr="00413171">
        <w:t xml:space="preserve"> decision on debt raising costs (million, $ </w:t>
      </w:r>
      <w:r>
        <w:t>2016–17</w:t>
      </w:r>
      <w:r w:rsidRPr="00413171">
        <w:t>)</w:t>
      </w:r>
      <w:bookmarkEnd w:id="349"/>
    </w:p>
    <w:tbl>
      <w:tblPr>
        <w:tblStyle w:val="AERtable-text0"/>
        <w:tblW w:w="2857" w:type="pct"/>
        <w:tblLook w:val="04A0" w:firstRow="1" w:lastRow="0" w:firstColumn="1" w:lastColumn="0" w:noHBand="0" w:noVBand="1"/>
      </w:tblPr>
      <w:tblGrid>
        <w:gridCol w:w="1242"/>
        <w:gridCol w:w="1241"/>
        <w:gridCol w:w="1241"/>
        <w:gridCol w:w="1243"/>
      </w:tblGrid>
      <w:tr w:rsidR="00EA4D63" w:rsidRPr="00C43648" w:rsidTr="000E5C93">
        <w:trPr>
          <w:cnfStyle w:val="100000000000" w:firstRow="1" w:lastRow="0" w:firstColumn="0" w:lastColumn="0" w:oddVBand="0" w:evenVBand="0" w:oddHBand="0" w:evenHBand="0" w:firstRowFirstColumn="0" w:firstRowLastColumn="0" w:lastRowFirstColumn="0" w:lastRowLastColumn="0"/>
        </w:trPr>
        <w:tc>
          <w:tcPr>
            <w:tcW w:w="1250" w:type="pct"/>
          </w:tcPr>
          <w:p w:rsidR="00EA4D63" w:rsidRDefault="00EA4D63" w:rsidP="00125933"/>
        </w:tc>
        <w:tc>
          <w:tcPr>
            <w:tcW w:w="1249" w:type="pct"/>
          </w:tcPr>
          <w:p w:rsidR="00EA4D63" w:rsidRPr="00125933" w:rsidRDefault="00EA4D63" w:rsidP="00125933">
            <w:r>
              <w:t>2017</w:t>
            </w:r>
            <w:r w:rsidRPr="00125933">
              <w:t>-18</w:t>
            </w:r>
          </w:p>
        </w:tc>
        <w:tc>
          <w:tcPr>
            <w:tcW w:w="1249" w:type="pct"/>
          </w:tcPr>
          <w:p w:rsidR="00EA4D63" w:rsidRPr="00125933" w:rsidRDefault="00EA4D63" w:rsidP="00125933">
            <w:r w:rsidRPr="00C43648">
              <w:t>201</w:t>
            </w:r>
            <w:r w:rsidRPr="00125933">
              <w:t>8-19</w:t>
            </w:r>
          </w:p>
        </w:tc>
        <w:tc>
          <w:tcPr>
            <w:tcW w:w="1251" w:type="pct"/>
          </w:tcPr>
          <w:p w:rsidR="00EA4D63" w:rsidRPr="00125933" w:rsidRDefault="00EA4D63" w:rsidP="00125933">
            <w:r w:rsidRPr="00C43648">
              <w:t>Total</w:t>
            </w:r>
          </w:p>
        </w:tc>
      </w:tr>
      <w:tr w:rsidR="00EA4D63" w:rsidRPr="00C43648" w:rsidTr="000E5C93">
        <w:tc>
          <w:tcPr>
            <w:tcW w:w="1250" w:type="pct"/>
          </w:tcPr>
          <w:p w:rsidR="00EA4D63" w:rsidRPr="00125933" w:rsidRDefault="00EA4D63" w:rsidP="00125933">
            <w:r>
              <w:t>Distribution</w:t>
            </w:r>
          </w:p>
        </w:tc>
        <w:tc>
          <w:tcPr>
            <w:tcW w:w="1249" w:type="pct"/>
            <w:vAlign w:val="top"/>
          </w:tcPr>
          <w:p w:rsidR="00EA4D63" w:rsidRPr="00125933" w:rsidRDefault="00451E99" w:rsidP="00451E99">
            <w:r>
              <w:t>1.08</w:t>
            </w:r>
            <w:r w:rsidR="00EA4D63" w:rsidRPr="00125933">
              <w:t xml:space="preserve"> </w:t>
            </w:r>
          </w:p>
        </w:tc>
        <w:tc>
          <w:tcPr>
            <w:tcW w:w="1249" w:type="pct"/>
            <w:vAlign w:val="top"/>
          </w:tcPr>
          <w:p w:rsidR="00EA4D63" w:rsidRPr="00125933" w:rsidRDefault="00451E99" w:rsidP="00451E99">
            <w:r>
              <w:t>1.09</w:t>
            </w:r>
            <w:r w:rsidR="00EA4D63" w:rsidRPr="00125933">
              <w:t xml:space="preserve"> </w:t>
            </w:r>
          </w:p>
        </w:tc>
        <w:tc>
          <w:tcPr>
            <w:tcW w:w="1251" w:type="pct"/>
          </w:tcPr>
          <w:p w:rsidR="00EA4D63" w:rsidRPr="00125933" w:rsidRDefault="00451E99" w:rsidP="00451E99">
            <w:r>
              <w:t>2.17</w:t>
            </w:r>
          </w:p>
        </w:tc>
      </w:tr>
      <w:tr w:rsidR="00EA4D63" w:rsidRPr="00C43648" w:rsidTr="000E5C93">
        <w:trPr>
          <w:cnfStyle w:val="000000010000" w:firstRow="0" w:lastRow="0" w:firstColumn="0" w:lastColumn="0" w:oddVBand="0" w:evenVBand="0" w:oddHBand="0" w:evenHBand="1" w:firstRowFirstColumn="0" w:firstRowLastColumn="0" w:lastRowFirstColumn="0" w:lastRowLastColumn="0"/>
        </w:trPr>
        <w:tc>
          <w:tcPr>
            <w:tcW w:w="1250" w:type="pct"/>
          </w:tcPr>
          <w:p w:rsidR="00EA4D63" w:rsidRPr="00125933" w:rsidRDefault="00EA4D63" w:rsidP="00125933">
            <w:r>
              <w:t>Metering</w:t>
            </w:r>
          </w:p>
        </w:tc>
        <w:tc>
          <w:tcPr>
            <w:tcW w:w="1249" w:type="pct"/>
            <w:vAlign w:val="top"/>
          </w:tcPr>
          <w:p w:rsidR="00EA4D63" w:rsidRPr="00125933" w:rsidRDefault="003A1576" w:rsidP="00125933">
            <w:r>
              <w:t>0.02</w:t>
            </w:r>
          </w:p>
        </w:tc>
        <w:tc>
          <w:tcPr>
            <w:tcW w:w="1249" w:type="pct"/>
            <w:vAlign w:val="top"/>
          </w:tcPr>
          <w:p w:rsidR="00EA4D63" w:rsidRPr="00125933" w:rsidRDefault="003A1576" w:rsidP="00125933">
            <w:r>
              <w:t>0.02</w:t>
            </w:r>
          </w:p>
        </w:tc>
        <w:tc>
          <w:tcPr>
            <w:tcW w:w="1251" w:type="pct"/>
          </w:tcPr>
          <w:p w:rsidR="00EA4D63" w:rsidRPr="00125933" w:rsidRDefault="003A1576" w:rsidP="00125933">
            <w:r>
              <w:t>0.04</w:t>
            </w:r>
          </w:p>
        </w:tc>
      </w:tr>
      <w:tr w:rsidR="00EA4D63" w:rsidRPr="00C43648" w:rsidTr="000E5C93">
        <w:tc>
          <w:tcPr>
            <w:tcW w:w="1250" w:type="pct"/>
            <w:vAlign w:val="bottom"/>
          </w:tcPr>
          <w:p w:rsidR="00EA4D63" w:rsidRPr="00125933" w:rsidRDefault="00EA4D63" w:rsidP="00125933">
            <w:r>
              <w:t>Total</w:t>
            </w:r>
          </w:p>
        </w:tc>
        <w:tc>
          <w:tcPr>
            <w:tcW w:w="1249" w:type="pct"/>
            <w:vAlign w:val="bottom"/>
          </w:tcPr>
          <w:p w:rsidR="00EA4D63" w:rsidRPr="00125933" w:rsidRDefault="00451E99" w:rsidP="00125933">
            <w:r>
              <w:t>1.1</w:t>
            </w:r>
          </w:p>
        </w:tc>
        <w:tc>
          <w:tcPr>
            <w:tcW w:w="1249" w:type="pct"/>
            <w:vAlign w:val="bottom"/>
          </w:tcPr>
          <w:p w:rsidR="00EA4D63" w:rsidRPr="00125933" w:rsidRDefault="00451E99" w:rsidP="00125933">
            <w:r>
              <w:t>1.11</w:t>
            </w:r>
          </w:p>
        </w:tc>
        <w:tc>
          <w:tcPr>
            <w:tcW w:w="1251" w:type="pct"/>
            <w:vAlign w:val="bottom"/>
          </w:tcPr>
          <w:p w:rsidR="00EA4D63" w:rsidRPr="00125933" w:rsidRDefault="00451E99" w:rsidP="00125933">
            <w:r>
              <w:t>2.21</w:t>
            </w:r>
          </w:p>
        </w:tc>
      </w:tr>
    </w:tbl>
    <w:p w:rsidR="00125933" w:rsidRDefault="00125933" w:rsidP="00125933">
      <w:pPr>
        <w:pStyle w:val="AERtablesource"/>
      </w:pPr>
      <w:r w:rsidRPr="00C43648">
        <w:t xml:space="preserve">Source: </w:t>
      </w:r>
      <w:r>
        <w:tab/>
      </w:r>
      <w:r w:rsidRPr="00C43648">
        <w:t>AER analysis.</w:t>
      </w:r>
    </w:p>
    <w:p w:rsidR="00125933" w:rsidRDefault="00125933" w:rsidP="00125933">
      <w:pPr>
        <w:pStyle w:val="Heading9"/>
      </w:pPr>
      <w:bookmarkStart w:id="350" w:name="_Ref459023501"/>
      <w:bookmarkStart w:id="351" w:name="_Toc461803766"/>
      <w:bookmarkStart w:id="352" w:name="_Toc462754676"/>
      <w:r>
        <w:t>AER's assessment approach</w:t>
      </w:r>
      <w:bookmarkEnd w:id="350"/>
      <w:bookmarkEnd w:id="351"/>
      <w:bookmarkEnd w:id="352"/>
    </w:p>
    <w:p w:rsidR="00125933" w:rsidRPr="006C4B70" w:rsidRDefault="00125933" w:rsidP="00125933">
      <w:r w:rsidRPr="006C4B70">
        <w:t>Our standard approach to forecasting debt raising costs is based on the approach in a report from the Allen Consulting Group (ACG), commissioned by the ACCC in 2004.</w:t>
      </w:r>
      <w:r>
        <w:rPr>
          <w:rStyle w:val="FootnoteReference"/>
        </w:rPr>
        <w:footnoteReference w:id="575"/>
      </w:r>
      <w:r w:rsidRPr="006C4B70">
        <w:t xml:space="preserve"> However, we relied on updated market data from 2008–13, as submitted in a recent report by PricewaterhouseCoopers (PwC) during the rate of return guideline </w:t>
      </w:r>
      <w:r w:rsidRPr="006C4B70">
        <w:lastRenderedPageBreak/>
        <w:t>process.</w:t>
      </w:r>
      <w:r>
        <w:rPr>
          <w:rStyle w:val="FootnoteReference"/>
        </w:rPr>
        <w:footnoteReference w:id="576"/>
      </w:r>
      <w:r w:rsidRPr="006C4B70">
        <w:t xml:space="preserve"> The approach uses a five year window of up to date bond data to reflect current market conditions. Where PwC has updated the data or the method, we have compared it against our standard approach and we are broadly satisfied it is reasonable.</w:t>
      </w:r>
    </w:p>
    <w:p w:rsidR="00125933" w:rsidRDefault="00125933" w:rsidP="00125933">
      <w:r w:rsidRPr="006C4B70">
        <w:t xml:space="preserve">The ACG method involves calculating the benchmark bond size, and the number of bond issues required to rollover the benchmark debt share (60 per cent) of the </w:t>
      </w:r>
      <w:r w:rsidR="002B2D25">
        <w:t>regulatory asset base</w:t>
      </w:r>
      <w:r w:rsidRPr="006C4B70">
        <w:t xml:space="preserve">. Our standard approach is to amortise the upfront costs that are incurred using the relevant nominal vanilla </w:t>
      </w:r>
      <w:r w:rsidR="002B2D25">
        <w:t>rate of return</w:t>
      </w:r>
      <w:r w:rsidRPr="006C4B70">
        <w:t xml:space="preserve"> over a ten year amortisation period. This is then expressed in basis points per annum (bppa) as an input into the post-tax revenue model (PTRM). This rate is multiplied by the debt component of a service provider's projected </w:t>
      </w:r>
      <w:r w:rsidR="002B2D25">
        <w:t>regulatory asset base</w:t>
      </w:r>
      <w:r w:rsidRPr="006C4B70">
        <w:t xml:space="preserve"> to determine the debt raising cost allowance. The ACG approach recognises that credit rating costs can be spread across multiple bond issues, which lowers the benchmark allowance (as expressed in bppa) as the number of bond issues increases.</w:t>
      </w:r>
    </w:p>
    <w:p w:rsidR="00125933" w:rsidRPr="00F83415" w:rsidRDefault="00125933" w:rsidP="00125933"/>
    <w:p w:rsidR="002A032E" w:rsidRPr="00B121F3" w:rsidRDefault="002A032E" w:rsidP="002A032E"/>
    <w:p w:rsidR="00016AEC" w:rsidRDefault="00016AEC" w:rsidP="00016AEC">
      <w:pPr>
        <w:pStyle w:val="Heading7"/>
      </w:pPr>
      <w:bookmarkStart w:id="353" w:name="_Ref457823842"/>
      <w:bookmarkStart w:id="354" w:name="_Ref457824593"/>
      <w:bookmarkStart w:id="355" w:name="_Toc462754677"/>
      <w:bookmarkEnd w:id="124"/>
      <w:bookmarkEnd w:id="125"/>
      <w:bookmarkEnd w:id="126"/>
      <w:bookmarkEnd w:id="127"/>
      <w:r>
        <w:lastRenderedPageBreak/>
        <w:t>Averaging periods</w:t>
      </w:r>
      <w:bookmarkEnd w:id="353"/>
      <w:r>
        <w:t xml:space="preserve"> – confidential appendix</w:t>
      </w:r>
      <w:bookmarkEnd w:id="354"/>
      <w:bookmarkEnd w:id="355"/>
    </w:p>
    <w:p w:rsidR="00016AEC" w:rsidRPr="00AA2065" w:rsidRDefault="00016AEC" w:rsidP="00016AEC"/>
    <w:p w:rsidR="00254561" w:rsidRPr="00254561" w:rsidRDefault="00254561" w:rsidP="00254561"/>
    <w:sectPr w:rsidR="00254561" w:rsidRPr="00254561" w:rsidSect="00EE50D1">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91A" w:rsidRPr="00290C63" w:rsidRDefault="0007291A" w:rsidP="00290C63">
      <w:r>
        <w:separator/>
      </w:r>
    </w:p>
    <w:p w:rsidR="0007291A" w:rsidRDefault="0007291A"/>
  </w:endnote>
  <w:endnote w:type="continuationSeparator" w:id="0">
    <w:p w:rsidR="0007291A" w:rsidRPr="00290C63" w:rsidRDefault="0007291A" w:rsidP="00290C63">
      <w:r>
        <w:continuationSeparator/>
      </w:r>
    </w:p>
    <w:p w:rsidR="0007291A" w:rsidRDefault="000729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91A" w:rsidRPr="00290C63" w:rsidRDefault="0007291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00691B4D">
      <w:rPr>
        <w:rStyle w:val="PageNumber"/>
        <w:noProof/>
      </w:rPr>
      <w:t>3-171</w:t>
    </w:r>
    <w:r w:rsidRPr="00290C63">
      <w:rPr>
        <w:rStyle w:val="PageNumber"/>
      </w:rPr>
      <w:fldChar w:fldCharType="end"/>
    </w:r>
    <w:r w:rsidRPr="00290C63">
      <w:rPr>
        <w:rStyle w:val="PageNumber"/>
      </w:rPr>
      <w:tab/>
      <w:t>Xxx report—month/year</w:t>
    </w:r>
  </w:p>
  <w:p w:rsidR="0007291A" w:rsidRDefault="0007291A"/>
  <w:p w:rsidR="0007291A" w:rsidRDefault="0007291A"/>
  <w:p w:rsidR="0007291A" w:rsidRDefault="0007291A"/>
  <w:p w:rsidR="0007291A" w:rsidRDefault="0007291A"/>
  <w:p w:rsidR="0007291A" w:rsidRDefault="0007291A"/>
  <w:p w:rsidR="0007291A" w:rsidRDefault="0007291A"/>
  <w:p w:rsidR="0007291A" w:rsidRDefault="000729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368395"/>
      <w:docPartObj>
        <w:docPartGallery w:val="Page Numbers (Bottom of Page)"/>
        <w:docPartUnique/>
      </w:docPartObj>
    </w:sdtPr>
    <w:sdtEndPr>
      <w:rPr>
        <w:noProof/>
      </w:rPr>
    </w:sdtEndPr>
    <w:sdtContent>
      <w:p w:rsidR="0007291A" w:rsidRDefault="0007291A" w:rsidP="00647195">
        <w:pPr>
          <w:pStyle w:val="Footer"/>
        </w:pPr>
        <w:r>
          <w:fldChar w:fldCharType="begin"/>
        </w:r>
        <w:r>
          <w:instrText xml:space="preserve"> PAGE   \* MERGEFORMAT </w:instrText>
        </w:r>
        <w:r>
          <w:fldChar w:fldCharType="separate"/>
        </w:r>
        <w:r w:rsidR="00AB6D99">
          <w:rPr>
            <w:noProof/>
          </w:rPr>
          <w:t>3-2</w:t>
        </w:r>
        <w:r>
          <w:rPr>
            <w:noProof/>
          </w:rPr>
          <w:fldChar w:fldCharType="end"/>
        </w:r>
        <w:r>
          <w:rPr>
            <w:noProof/>
          </w:rPr>
          <w:t xml:space="preserve">          </w:t>
        </w:r>
        <w:r w:rsidRPr="00FD5E78">
          <w:rPr>
            <w:noProof/>
          </w:rPr>
          <w:t xml:space="preserve">Attachment </w:t>
        </w:r>
        <w:r>
          <w:rPr>
            <w:noProof/>
          </w:rPr>
          <w:t>3</w:t>
        </w:r>
        <w:r w:rsidRPr="00FD5E78">
          <w:rPr>
            <w:noProof/>
          </w:rPr>
          <w:t xml:space="preserve"> </w:t>
        </w:r>
        <w:r w:rsidRPr="00FD5E78">
          <w:rPr>
            <w:rFonts w:cs="Gautami"/>
            <w:noProof/>
          </w:rPr>
          <w:t xml:space="preserve">– </w:t>
        </w:r>
        <w:r>
          <w:t>Rate of return</w:t>
        </w:r>
        <w:r w:rsidRPr="00631982">
          <w:t xml:space="preserve"> </w:t>
        </w:r>
        <w:r w:rsidRPr="00FD5E78">
          <w:rPr>
            <w:rFonts w:cs="Gautami"/>
            <w:noProof/>
          </w:rPr>
          <w:t xml:space="preserve">| </w:t>
        </w:r>
        <w:r>
          <w:rPr>
            <w:rFonts w:cs="Gautami"/>
            <w:noProof/>
          </w:rPr>
          <w:t>Draft</w:t>
        </w:r>
        <w:r w:rsidRPr="00FD5E78">
          <w:rPr>
            <w:rFonts w:cs="Gautami"/>
            <w:noProof/>
          </w:rPr>
          <w:t xml:space="preserve"> </w:t>
        </w:r>
        <w:r w:rsidRPr="001A3CFD">
          <w:t xml:space="preserve">decision: </w:t>
        </w:r>
        <w:r>
          <w:t>TasNetworks distribution</w:t>
        </w:r>
        <w:r w:rsidRPr="001A3CFD">
          <w:t xml:space="preserve"> </w:t>
        </w:r>
        <w:r w:rsidRPr="00FD5E78">
          <w:rPr>
            <w:rFonts w:cs="Gautami"/>
            <w:noProof/>
          </w:rPr>
          <w:t>determination 201</w:t>
        </w:r>
        <w:r>
          <w:rPr>
            <w:rFonts w:cs="Gautami"/>
            <w:noProof/>
          </w:rPr>
          <w:t>7</w:t>
        </w:r>
        <w:r w:rsidRPr="00FD5E78">
          <w:rPr>
            <w:rFonts w:cs="Gautami"/>
            <w:noProof/>
          </w:rPr>
          <w:t>–</w:t>
        </w:r>
        <w:r>
          <w:t>19</w:t>
        </w:r>
      </w:p>
    </w:sdtContent>
  </w:sdt>
  <w:p w:rsidR="0007291A" w:rsidRDefault="000729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91A" w:rsidRPr="00290C63" w:rsidRDefault="0007291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00691B4D">
      <w:rPr>
        <w:noProof/>
      </w:rPr>
      <w:t>3-171</w:t>
    </w:r>
    <w:r w:rsidRPr="00290C63">
      <w:fldChar w:fldCharType="end"/>
    </w:r>
  </w:p>
  <w:p w:rsidR="0007291A" w:rsidRDefault="0007291A">
    <w:pPr>
      <w:pStyle w:val="Footer"/>
    </w:pPr>
  </w:p>
  <w:p w:rsidR="0007291A" w:rsidRDefault="0007291A"/>
  <w:p w:rsidR="0007291A" w:rsidRDefault="0007291A"/>
  <w:p w:rsidR="0007291A" w:rsidRDefault="0007291A"/>
  <w:p w:rsidR="0007291A" w:rsidRDefault="0007291A"/>
  <w:p w:rsidR="0007291A" w:rsidRDefault="0007291A"/>
  <w:p w:rsidR="0007291A" w:rsidRDefault="0007291A"/>
  <w:p w:rsidR="0007291A" w:rsidRDefault="0007291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91A" w:rsidRPr="00290C63" w:rsidRDefault="0007291A" w:rsidP="00290C63">
      <w:r>
        <w:separator/>
      </w:r>
    </w:p>
    <w:p w:rsidR="0007291A" w:rsidRDefault="0007291A"/>
  </w:footnote>
  <w:footnote w:type="continuationSeparator" w:id="0">
    <w:p w:rsidR="0007291A" w:rsidRPr="00290C63" w:rsidRDefault="0007291A" w:rsidP="00290C63">
      <w:r>
        <w:continuationSeparator/>
      </w:r>
    </w:p>
    <w:p w:rsidR="0007291A" w:rsidRDefault="0007291A"/>
  </w:footnote>
  <w:footnote w:id="1">
    <w:p w:rsidR="0007291A" w:rsidRDefault="0007291A" w:rsidP="00933E3E">
      <w:pPr>
        <w:pStyle w:val="FootnoteText"/>
      </w:pPr>
      <w:r>
        <w:rPr>
          <w:rStyle w:val="FootnoteReference"/>
        </w:rPr>
        <w:footnoteRef/>
      </w:r>
      <w:r>
        <w:t xml:space="preserve"> </w:t>
      </w:r>
      <w:r>
        <w:tab/>
        <w:t>The term service provider relates to network service providers that provide gas and electricity transmission and distribution services.</w:t>
      </w:r>
    </w:p>
  </w:footnote>
  <w:footnote w:id="2">
    <w:p w:rsidR="0007291A" w:rsidRDefault="0007291A" w:rsidP="00933E3E">
      <w:pPr>
        <w:pStyle w:val="FootnoteText"/>
      </w:pPr>
      <w:r>
        <w:rPr>
          <w:rStyle w:val="FootnoteReference"/>
        </w:rPr>
        <w:footnoteRef/>
      </w:r>
      <w:r>
        <w:t xml:space="preserve"> </w:t>
      </w:r>
      <w:r>
        <w:tab/>
        <w:t>NER, cl. 6.5.2(b); cl. 6A.6.2(b).</w:t>
      </w:r>
    </w:p>
  </w:footnote>
  <w:footnote w:id="3">
    <w:p w:rsidR="0007291A" w:rsidRDefault="0007291A" w:rsidP="00933E3E">
      <w:pPr>
        <w:pStyle w:val="FootnoteText"/>
      </w:pPr>
      <w:r>
        <w:rPr>
          <w:rStyle w:val="FootnoteReference"/>
        </w:rPr>
        <w:footnoteRef/>
      </w:r>
      <w:r>
        <w:t xml:space="preserve"> </w:t>
      </w:r>
      <w:r>
        <w:tab/>
        <w:t>NER, cl. 6.5.2(c); cl. 6A.6.2(c).</w:t>
      </w:r>
    </w:p>
  </w:footnote>
  <w:footnote w:id="4">
    <w:p w:rsidR="0007291A" w:rsidRDefault="0007291A" w:rsidP="00955A50">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pp. 114, 116.</w:t>
      </w:r>
    </w:p>
  </w:footnote>
  <w:footnote w:id="5">
    <w:p w:rsidR="0007291A" w:rsidRDefault="0007291A" w:rsidP="007756AC">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pp. 114, 116.</w:t>
      </w:r>
    </w:p>
  </w:footnote>
  <w:footnote w:id="6">
    <w:p w:rsidR="0007291A" w:rsidRDefault="0007291A">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717.</w:t>
      </w:r>
    </w:p>
  </w:footnote>
  <w:footnote w:id="7">
    <w:p w:rsidR="0007291A" w:rsidRDefault="0007291A">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pp. 114–117.</w:t>
      </w:r>
    </w:p>
  </w:footnote>
  <w:footnote w:id="8">
    <w:p w:rsidR="0007291A" w:rsidRDefault="0007291A" w:rsidP="00933E3E">
      <w:pPr>
        <w:pStyle w:val="FootnoteText"/>
      </w:pPr>
      <w:r>
        <w:rPr>
          <w:rStyle w:val="FootnoteReference"/>
        </w:rPr>
        <w:footnoteRef/>
      </w:r>
      <w:r>
        <w:t xml:space="preserve">     This draft decision determines the return on debt methodology for the 2017-19 regulatory period. This period covers the first two years of the 10 year transition period. This decision also sets out our intended return on debt methodology for the remaining eight years. However, we do not have the power to determine in this decision the return on debt methodology for those years. Under the NER, the return on debt methodology must be determined in future decisions that relate to that period.</w:t>
      </w:r>
    </w:p>
  </w:footnote>
  <w:footnote w:id="9">
    <w:p w:rsidR="0007291A" w:rsidRDefault="0007291A" w:rsidP="00933E3E">
      <w:pPr>
        <w:pStyle w:val="FootnoteText"/>
      </w:pPr>
      <w:r>
        <w:rPr>
          <w:rStyle w:val="FootnoteReference"/>
        </w:rPr>
        <w:footnoteRef/>
      </w:r>
      <w:r>
        <w:t xml:space="preserve"> </w:t>
      </w:r>
      <w:r>
        <w:tab/>
        <w:t xml:space="preserve">By entire return on debt, we mean 100% of the base rate and debt risk premium </w:t>
      </w:r>
      <w:r w:rsidRPr="006013BC">
        <w:t>components of the allowed return on debt</w:t>
      </w:r>
      <w:r>
        <w:t>.</w:t>
      </w:r>
    </w:p>
  </w:footnote>
  <w:footnote w:id="10">
    <w:p w:rsidR="0007291A" w:rsidRDefault="0007291A" w:rsidP="00095401">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23–24</w:t>
      </w:r>
      <w:r w:rsidRPr="002F39F8">
        <w:t>.</w:t>
      </w:r>
    </w:p>
  </w:footnote>
  <w:footnote w:id="11">
    <w:p w:rsidR="0007291A" w:rsidRDefault="0007291A" w:rsidP="00095401">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12">
    <w:p w:rsidR="0007291A" w:rsidRDefault="0007291A">
      <w:pPr>
        <w:pStyle w:val="FootnoteText"/>
      </w:pPr>
      <w:r>
        <w:rPr>
          <w:rStyle w:val="FootnoteReference"/>
        </w:rPr>
        <w:footnoteRef/>
      </w:r>
      <w:r>
        <w:t xml:space="preserve"> </w:t>
      </w:r>
      <w:r>
        <w:tab/>
        <w:t xml:space="preserve">For example, see AER, </w:t>
      </w:r>
      <w:r>
        <w:rPr>
          <w:rStyle w:val="AERtextitalic"/>
        </w:rPr>
        <w:t>Final decision: AusNet Services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May 2016.</w:t>
      </w:r>
    </w:p>
  </w:footnote>
  <w:footnote w:id="13">
    <w:p w:rsidR="0007291A" w:rsidRDefault="0007291A" w:rsidP="00933E3E">
      <w:pPr>
        <w:pStyle w:val="FootnoteText"/>
      </w:pPr>
      <w:r>
        <w:rPr>
          <w:rStyle w:val="FootnoteReference"/>
        </w:rPr>
        <w:footnoteRef/>
      </w:r>
      <w:r>
        <w:t xml:space="preserve"> </w:t>
      </w:r>
      <w:r>
        <w:tab/>
        <w:t>For the RBA curve, our draft decision is to interpolate the monthly data points to produce daily estimates, to extrapolate the curve to an effective term of 10 years, and to convert it to an effective annual rate. For the Bloomberg curve, our draft decision is to extrapolate it to 10 years using the spread between the extrapolated RBA seven and 10 year curves (where Bloomberg has not published a 10 year estimate), and to convert it to an effective annual rate.</w:t>
      </w:r>
      <w:r w:rsidRPr="00A9156E">
        <w:t xml:space="preserve"> </w:t>
      </w:r>
      <w:r>
        <w:t xml:space="preserve">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4">
    <w:p w:rsidR="0007291A" w:rsidRDefault="0007291A" w:rsidP="00933E3E">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5">
    <w:p w:rsidR="0007291A" w:rsidRDefault="0007291A" w:rsidP="00933E3E">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16">
    <w:p w:rsidR="0007291A" w:rsidRDefault="0007291A" w:rsidP="00933E3E">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17">
    <w:p w:rsidR="0007291A" w:rsidRDefault="0007291A" w:rsidP="00933E3E">
      <w:pPr>
        <w:pStyle w:val="FootnoteText"/>
      </w:pPr>
      <w:r>
        <w:rPr>
          <w:rStyle w:val="FootnoteReference"/>
        </w:rPr>
        <w:footnoteRef/>
      </w:r>
      <w:r>
        <w:t xml:space="preserve"> </w:t>
      </w:r>
      <w:r>
        <w:tab/>
        <w:t>For clarity, that is 100% of the base rate and debt risk premium components of the allowed return on debt.</w:t>
      </w:r>
    </w:p>
  </w:footnote>
  <w:footnote w:id="18">
    <w:p w:rsidR="0007291A" w:rsidRDefault="0007291A" w:rsidP="00933E3E">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19">
    <w:p w:rsidR="0007291A" w:rsidRDefault="0007291A" w:rsidP="00A06474">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 117.</w:t>
      </w:r>
    </w:p>
  </w:footnote>
  <w:footnote w:id="20">
    <w:p w:rsidR="0007291A" w:rsidRDefault="0007291A" w:rsidP="00B56106">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 117.</w:t>
      </w:r>
    </w:p>
  </w:footnote>
  <w:footnote w:id="21">
    <w:p w:rsidR="0007291A" w:rsidRDefault="0007291A" w:rsidP="00B56106">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 117.</w:t>
      </w:r>
    </w:p>
  </w:footnote>
  <w:footnote w:id="22">
    <w:p w:rsidR="0007291A" w:rsidRDefault="0007291A" w:rsidP="001E3847">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pp. 114, 116.</w:t>
      </w:r>
    </w:p>
  </w:footnote>
  <w:footnote w:id="23">
    <w:p w:rsidR="0007291A" w:rsidRDefault="0007291A" w:rsidP="008A6729">
      <w:pPr>
        <w:pStyle w:val="FootnoteText"/>
      </w:pPr>
      <w:r>
        <w:rPr>
          <w:rStyle w:val="FootnoteReference"/>
        </w:rPr>
        <w:footnoteRef/>
      </w:r>
      <w:r>
        <w:t xml:space="preserve"> </w:t>
      </w:r>
      <w:r>
        <w:tab/>
        <w:t>NEL, s. 16(1)(a), NGL, s. 23.</w:t>
      </w:r>
    </w:p>
  </w:footnote>
  <w:footnote w:id="24">
    <w:p w:rsidR="0007291A" w:rsidRDefault="0007291A" w:rsidP="008A6729">
      <w:pPr>
        <w:pStyle w:val="FootnoteText"/>
      </w:pPr>
      <w:r>
        <w:rPr>
          <w:rStyle w:val="FootnoteReference"/>
        </w:rPr>
        <w:footnoteRef/>
      </w:r>
      <w:r>
        <w:t xml:space="preserve"> </w:t>
      </w:r>
      <w:r>
        <w:tab/>
        <w:t>NEL, s. 16(2); NGL, s. 28(2)(a)(i).</w:t>
      </w:r>
    </w:p>
  </w:footnote>
  <w:footnote w:id="25">
    <w:p w:rsidR="0007291A" w:rsidRDefault="0007291A" w:rsidP="008A6729">
      <w:pPr>
        <w:pStyle w:val="FootnoteText"/>
      </w:pPr>
      <w:r>
        <w:rPr>
          <w:rStyle w:val="FootnoteReference"/>
        </w:rPr>
        <w:footnoteRef/>
      </w:r>
      <w:r>
        <w:t xml:space="preserve"> </w:t>
      </w:r>
      <w:r>
        <w:tab/>
        <w:t>NEL, s. 7A(2); NGL, s. 24(2)(a).</w:t>
      </w:r>
    </w:p>
  </w:footnote>
  <w:footnote w:id="26">
    <w:p w:rsidR="0007291A" w:rsidRDefault="0007291A" w:rsidP="008A6729">
      <w:pPr>
        <w:pStyle w:val="FootnoteText"/>
      </w:pPr>
      <w:r>
        <w:rPr>
          <w:rStyle w:val="FootnoteReference"/>
        </w:rPr>
        <w:footnoteRef/>
      </w:r>
      <w:r>
        <w:t xml:space="preserve"> </w:t>
      </w:r>
      <w:r>
        <w:tab/>
        <w:t>NEL, s. 7A(3);</w:t>
      </w:r>
      <w:r w:rsidRPr="0016130C">
        <w:t xml:space="preserve"> </w:t>
      </w:r>
      <w:r>
        <w:t>NGL, s. 24(3).</w:t>
      </w:r>
    </w:p>
  </w:footnote>
  <w:footnote w:id="27">
    <w:p w:rsidR="0007291A" w:rsidRDefault="0007291A" w:rsidP="008A6729">
      <w:pPr>
        <w:pStyle w:val="FootnoteText"/>
      </w:pPr>
      <w:r>
        <w:rPr>
          <w:rStyle w:val="FootnoteReference"/>
        </w:rPr>
        <w:footnoteRef/>
      </w:r>
      <w:r>
        <w:t xml:space="preserve"> </w:t>
      </w:r>
      <w:r>
        <w:tab/>
        <w:t>NEL, s. 7A(5); NGL, s. 24(5).</w:t>
      </w:r>
    </w:p>
  </w:footnote>
  <w:footnote w:id="28">
    <w:p w:rsidR="0007291A" w:rsidRDefault="0007291A" w:rsidP="008A6729">
      <w:pPr>
        <w:pStyle w:val="FootnoteText"/>
      </w:pPr>
      <w:r>
        <w:rPr>
          <w:rStyle w:val="FootnoteReference"/>
        </w:rPr>
        <w:footnoteRef/>
      </w:r>
      <w:r>
        <w:t xml:space="preserve"> </w:t>
      </w:r>
      <w:r>
        <w:tab/>
        <w:t>NEL, s. 7A(6); NGL, s. 24(6).</w:t>
      </w:r>
    </w:p>
  </w:footnote>
  <w:footnote w:id="29">
    <w:p w:rsidR="0007291A" w:rsidRDefault="0007291A" w:rsidP="008A6729">
      <w:pPr>
        <w:pStyle w:val="FootnoteText"/>
      </w:pPr>
      <w:r>
        <w:rPr>
          <w:rStyle w:val="FootnoteReference"/>
        </w:rPr>
        <w:footnoteRef/>
      </w:r>
      <w:r>
        <w:t xml:space="preserve"> </w:t>
      </w:r>
      <w:r>
        <w:tab/>
        <w:t>NEL, s. 7A(7); NGL, s. 24(7).</w:t>
      </w:r>
    </w:p>
  </w:footnote>
  <w:footnote w:id="30">
    <w:p w:rsidR="0007291A" w:rsidRPr="00D5405B" w:rsidRDefault="0007291A" w:rsidP="008A6729">
      <w:pPr>
        <w:pStyle w:val="FootnoteText"/>
        <w:rPr>
          <w:rStyle w:val="AERtexthighlight"/>
        </w:rPr>
      </w:pPr>
      <w:r>
        <w:rPr>
          <w:rStyle w:val="FootnoteReference"/>
        </w:rPr>
        <w:footnoteRef/>
      </w:r>
      <w:r>
        <w:t xml:space="preserve"> </w:t>
      </w:r>
      <w:r>
        <w:tab/>
        <w:t>NER, cl. 6.5.2(d); NER, cl. 6A.6.2(d); NGR, r, 87(4).</w:t>
      </w:r>
    </w:p>
  </w:footnote>
  <w:footnote w:id="31">
    <w:p w:rsidR="0007291A" w:rsidRDefault="0007291A" w:rsidP="008A6729">
      <w:pPr>
        <w:pStyle w:val="FootnoteText"/>
      </w:pPr>
      <w:r>
        <w:rPr>
          <w:rStyle w:val="FootnoteReference"/>
        </w:rPr>
        <w:footnoteRef/>
      </w:r>
      <w:r>
        <w:t xml:space="preserve"> </w:t>
      </w:r>
      <w:r>
        <w:tab/>
        <w:t>NER, cl. 6.5.2(e), NER cl, 6A.6.2(e); NGR, r. 87(5).</w:t>
      </w:r>
    </w:p>
  </w:footnote>
  <w:footnote w:id="32">
    <w:p w:rsidR="0007291A" w:rsidRDefault="0007291A" w:rsidP="008A6729">
      <w:pPr>
        <w:pStyle w:val="FootnoteText"/>
      </w:pPr>
      <w:r>
        <w:rPr>
          <w:rStyle w:val="FootnoteReference"/>
        </w:rPr>
        <w:footnoteRef/>
      </w:r>
      <w:r>
        <w:t xml:space="preserve"> </w:t>
      </w:r>
      <w:r>
        <w:tab/>
        <w:t>NER, cl  6.5.2</w:t>
      </w:r>
      <w:r w:rsidRPr="00A7067C">
        <w:t>(g)</w:t>
      </w:r>
      <w:r>
        <w:t xml:space="preserve">; NER, cl 6A.6.2(g); NGR, r. 87 (7). </w:t>
      </w:r>
    </w:p>
  </w:footnote>
  <w:footnote w:id="33">
    <w:p w:rsidR="0007291A" w:rsidRDefault="0007291A" w:rsidP="008A6729">
      <w:pPr>
        <w:pStyle w:val="FootnoteText"/>
      </w:pPr>
      <w:r>
        <w:rPr>
          <w:rStyle w:val="FootnoteReference"/>
        </w:rPr>
        <w:footnoteRef/>
      </w:r>
      <w:r>
        <w:t xml:space="preserve"> </w:t>
      </w:r>
      <w:r>
        <w:tab/>
        <w:t xml:space="preserve">NER, cl. 6.5.2 (h); NER, cl. 6A.6.2(h); NGR, cl. 87(8). </w:t>
      </w:r>
    </w:p>
  </w:footnote>
  <w:footnote w:id="34">
    <w:p w:rsidR="0007291A" w:rsidRDefault="0007291A" w:rsidP="008A6729">
      <w:pPr>
        <w:pStyle w:val="FootnoteText"/>
      </w:pPr>
      <w:r>
        <w:rPr>
          <w:rStyle w:val="FootnoteReference"/>
        </w:rPr>
        <w:footnoteRef/>
      </w:r>
      <w:r>
        <w:t xml:space="preserve"> </w:t>
      </w:r>
      <w:r>
        <w:tab/>
        <w:t>NER, cl. 6.5.2 (i); NER, cl. 6A.6.2(i)(2); NGR, cl. 87(9)(b).</w:t>
      </w:r>
    </w:p>
  </w:footnote>
  <w:footnote w:id="35">
    <w:p w:rsidR="0007291A" w:rsidRDefault="0007291A" w:rsidP="008A6729">
      <w:pPr>
        <w:pStyle w:val="FootnoteText"/>
      </w:pPr>
      <w:r>
        <w:rPr>
          <w:rStyle w:val="FootnoteReference"/>
        </w:rPr>
        <w:footnoteRef/>
      </w:r>
      <w:r>
        <w:t xml:space="preserve"> </w:t>
      </w:r>
      <w:r>
        <w:tab/>
        <w:t>NER, cl. 6.5.2 (k)(4); NER, cl. 6A.6.2(k)(4); NGR, cl. 87(11)(d).</w:t>
      </w:r>
    </w:p>
  </w:footnote>
  <w:footnote w:id="36">
    <w:p w:rsidR="0007291A" w:rsidRDefault="0007291A" w:rsidP="008A6729">
      <w:pPr>
        <w:pStyle w:val="FootnoteText"/>
      </w:pPr>
      <w:r>
        <w:rPr>
          <w:rStyle w:val="FootnoteReference"/>
        </w:rPr>
        <w:footnoteRef/>
      </w:r>
      <w:r>
        <w:t xml:space="preserve"> </w:t>
      </w:r>
      <w:r>
        <w:tab/>
        <w:t xml:space="preserve">NER, cl. 6.5.2(c); NER, cl. 6A.6.2(c); NGR r. 87(3). </w:t>
      </w:r>
    </w:p>
  </w:footnote>
  <w:footnote w:id="37">
    <w:p w:rsidR="0007291A" w:rsidRDefault="0007291A" w:rsidP="008A6729">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38">
    <w:p w:rsidR="0007291A" w:rsidRDefault="0007291A" w:rsidP="008A6729">
      <w:pPr>
        <w:pStyle w:val="FootnoteText"/>
      </w:pPr>
      <w:r>
        <w:rPr>
          <w:rStyle w:val="FootnoteReference"/>
        </w:rPr>
        <w:footnoteRef/>
      </w:r>
      <w:r>
        <w:t xml:space="preserve"> </w:t>
      </w:r>
      <w:r>
        <w:tab/>
        <w:t xml:space="preserve">See section  2.1 of appendix </w:t>
      </w:r>
      <w:r>
        <w:fldChar w:fldCharType="begin"/>
      </w:r>
      <w:r>
        <w:instrText xml:space="preserve"> REF _Ref451267984 \r \h </w:instrText>
      </w:r>
      <w:r>
        <w:fldChar w:fldCharType="separate"/>
      </w:r>
      <w:r w:rsidR="00691B4D">
        <w:t>A</w:t>
      </w:r>
      <w:r>
        <w:fldChar w:fldCharType="end"/>
      </w:r>
      <w:r>
        <w:t>.</w:t>
      </w:r>
    </w:p>
  </w:footnote>
  <w:footnote w:id="39">
    <w:p w:rsidR="0007291A" w:rsidRDefault="0007291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0">
    <w:p w:rsidR="0007291A" w:rsidRDefault="0007291A" w:rsidP="008A6729">
      <w:pPr>
        <w:pStyle w:val="FootnoteText"/>
      </w:pPr>
      <w:r>
        <w:rPr>
          <w:rStyle w:val="FootnoteReference"/>
        </w:rPr>
        <w:footnoteRef/>
      </w:r>
      <w:r>
        <w:t xml:space="preserve"> </w:t>
      </w:r>
      <w:r>
        <w:tab/>
        <w:t xml:space="preserve">This includes both new and existing investment. </w:t>
      </w:r>
    </w:p>
  </w:footnote>
  <w:footnote w:id="41">
    <w:p w:rsidR="0007291A" w:rsidRDefault="0007291A" w:rsidP="008A6729">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42">
    <w:p w:rsidR="0007291A" w:rsidRDefault="0007291A" w:rsidP="008A6729">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43">
    <w:p w:rsidR="0007291A" w:rsidRDefault="0007291A" w:rsidP="008A6729">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4">
    <w:p w:rsidR="0007291A" w:rsidRDefault="0007291A" w:rsidP="008A6729">
      <w:pPr>
        <w:pStyle w:val="FootnoteText"/>
      </w:pPr>
      <w:r>
        <w:rPr>
          <w:rStyle w:val="FootnoteReference"/>
        </w:rPr>
        <w:footnoteRef/>
      </w:r>
      <w:r>
        <w:t xml:space="preserve"> </w:t>
      </w:r>
      <w:r>
        <w:tab/>
        <w:t xml:space="preserve">See sections 1.1 and 2.1 of appendix </w:t>
      </w:r>
      <w:r>
        <w:fldChar w:fldCharType="begin"/>
      </w:r>
      <w:r>
        <w:instrText xml:space="preserve"> REF _Ref451268006 \r \h </w:instrText>
      </w:r>
      <w:r>
        <w:fldChar w:fldCharType="separate"/>
      </w:r>
      <w:r w:rsidR="00691B4D">
        <w:t>A</w:t>
      </w:r>
      <w:r>
        <w:fldChar w:fldCharType="end"/>
      </w:r>
      <w:r>
        <w:t>.</w:t>
      </w:r>
    </w:p>
  </w:footnote>
  <w:footnote w:id="45">
    <w:p w:rsidR="0007291A" w:rsidRDefault="0007291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46">
    <w:p w:rsidR="0007291A" w:rsidRDefault="0007291A" w:rsidP="008A6729">
      <w:pPr>
        <w:pStyle w:val="FootnoteText"/>
      </w:pPr>
      <w:r>
        <w:rPr>
          <w:rStyle w:val="FootnoteReference"/>
        </w:rPr>
        <w:footnoteRef/>
      </w:r>
      <w:r>
        <w:t xml:space="preserve"> </w:t>
      </w:r>
      <w:r>
        <w:tab/>
        <w:t>Bishop, S., Faff, R., Oliver, B., Twite, G., 'Corporate Finance', Ed. 5 Pearson Prentice Hall, 2004, p. 577.</w:t>
      </w:r>
    </w:p>
  </w:footnote>
  <w:footnote w:id="47">
    <w:p w:rsidR="0007291A" w:rsidRDefault="0007291A" w:rsidP="008A6729">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48">
    <w:p w:rsidR="0007291A" w:rsidRDefault="0007291A" w:rsidP="008A6729">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49">
    <w:p w:rsidR="0007291A" w:rsidRDefault="0007291A" w:rsidP="008A6729">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50">
    <w:p w:rsidR="0007291A" w:rsidRDefault="0007291A" w:rsidP="008A6729">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51">
    <w:p w:rsidR="0007291A" w:rsidRDefault="0007291A" w:rsidP="008A6729">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52">
    <w:p w:rsidR="0007291A" w:rsidRDefault="0007291A" w:rsidP="008A6729">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53">
    <w:p w:rsidR="0007291A" w:rsidRDefault="0007291A" w:rsidP="008A6729">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54">
    <w:p w:rsidR="0007291A" w:rsidRDefault="0007291A" w:rsidP="008A6729">
      <w:pPr>
        <w:pStyle w:val="FootnoteText"/>
      </w:pPr>
      <w:r>
        <w:rPr>
          <w:rStyle w:val="FootnoteReference"/>
        </w:rPr>
        <w:footnoteRef/>
      </w:r>
      <w:r>
        <w:t xml:space="preserve"> </w:t>
      </w:r>
      <w:r>
        <w:tab/>
      </w:r>
      <w:r w:rsidRPr="007D32F9">
        <w:t>NER, cl</w:t>
      </w:r>
      <w:r>
        <w:t>l</w:t>
      </w:r>
      <w:r w:rsidRPr="007D32F9">
        <w:t>. 6.5.2(c), 6A.6.2(c); NGR, r. 87(2)(3).</w:t>
      </w:r>
    </w:p>
  </w:footnote>
  <w:footnote w:id="55">
    <w:p w:rsidR="0007291A" w:rsidRPr="00151C8A" w:rsidRDefault="0007291A" w:rsidP="008A6729">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56">
    <w:p w:rsidR="0007291A" w:rsidRDefault="0007291A" w:rsidP="008A6729">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57">
    <w:p w:rsidR="0007291A" w:rsidRDefault="0007291A" w:rsidP="008A6729">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58">
    <w:p w:rsidR="0007291A" w:rsidRDefault="0007291A" w:rsidP="008A6729">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59">
    <w:p w:rsidR="0007291A" w:rsidRDefault="0007291A" w:rsidP="008A6729">
      <w:pPr>
        <w:pStyle w:val="FootnoteText"/>
      </w:pPr>
      <w:r>
        <w:rPr>
          <w:rStyle w:val="FootnoteReference"/>
        </w:rPr>
        <w:footnoteRef/>
      </w:r>
      <w:r>
        <w:t xml:space="preserve"> </w:t>
      </w:r>
      <w:r>
        <w:tab/>
        <w:t xml:space="preserve">See NER cl. 6A.6.2(c). Instead of 'prescribed transmission services', the distribution rules refer to 'standard control services' and the NGR refers to 'reference services'. See NER, cl. 6.5.2(c), NGR r. 87(3). </w:t>
      </w:r>
    </w:p>
  </w:footnote>
  <w:footnote w:id="60">
    <w:p w:rsidR="0007291A" w:rsidRDefault="0007291A" w:rsidP="008A6729">
      <w:pPr>
        <w:pStyle w:val="FootnoteText"/>
      </w:pPr>
      <w:r>
        <w:rPr>
          <w:rStyle w:val="FootnoteReference"/>
        </w:rPr>
        <w:footnoteRef/>
      </w:r>
      <w:r>
        <w:t xml:space="preserve"> </w:t>
      </w:r>
      <w:r>
        <w:tab/>
        <w:t>See NER v. 79, Chapter 10: 'Glossary', p. 1224. The NER describes 'prescribed transmission services under NER v. 79, Chapter 10: 'Glossary', p. 1201.</w:t>
      </w:r>
    </w:p>
  </w:footnote>
  <w:footnote w:id="61">
    <w:p w:rsidR="0007291A" w:rsidRDefault="0007291A" w:rsidP="008A6729">
      <w:pPr>
        <w:pStyle w:val="FootnoteText"/>
      </w:pPr>
      <w:r>
        <w:rPr>
          <w:rStyle w:val="FootnoteReference"/>
        </w:rPr>
        <w:footnoteRef/>
      </w:r>
      <w:r>
        <w:t xml:space="preserve"> </w:t>
      </w:r>
      <w:r>
        <w:tab/>
        <w:t>NER v. 79, Chapter 10: 'Glossary', p. 1151.</w:t>
      </w:r>
    </w:p>
  </w:footnote>
  <w:footnote w:id="62">
    <w:p w:rsidR="0007291A" w:rsidRDefault="0007291A" w:rsidP="008A6729">
      <w:pPr>
        <w:pStyle w:val="FootnoteText"/>
      </w:pPr>
      <w:r>
        <w:rPr>
          <w:rStyle w:val="FootnoteReference"/>
        </w:rPr>
        <w:footnoteRef/>
      </w:r>
      <w:r>
        <w:t xml:space="preserve"> </w:t>
      </w:r>
      <w:r>
        <w:tab/>
        <w:t>NEL, s. 2B.</w:t>
      </w:r>
    </w:p>
  </w:footnote>
  <w:footnote w:id="63">
    <w:p w:rsidR="0007291A" w:rsidRDefault="0007291A" w:rsidP="008A6729">
      <w:pPr>
        <w:pStyle w:val="FootnoteText"/>
      </w:pPr>
      <w:r>
        <w:rPr>
          <w:rStyle w:val="FootnoteReference"/>
        </w:rPr>
        <w:footnoteRef/>
      </w:r>
      <w:r>
        <w:t xml:space="preserve"> </w:t>
      </w:r>
      <w:r>
        <w:tab/>
        <w:t xml:space="preserve">See NER, cl. 6.5.2(c), NER  6A.6.2(c), NGR  87(3). Also see </w:t>
      </w:r>
      <w:r w:rsidRPr="000466C9">
        <w:t xml:space="preserve">section 2B of the </w:t>
      </w:r>
      <w:r>
        <w:t>NEL.</w:t>
      </w:r>
    </w:p>
  </w:footnote>
  <w:footnote w:id="64">
    <w:p w:rsidR="0007291A" w:rsidRDefault="0007291A" w:rsidP="008A6729">
      <w:pPr>
        <w:pStyle w:val="FootnoteText"/>
      </w:pPr>
      <w:r>
        <w:rPr>
          <w:rStyle w:val="FootnoteReference"/>
        </w:rPr>
        <w:footnoteRef/>
      </w:r>
      <w:r>
        <w:t xml:space="preserve"> </w:t>
      </w:r>
      <w:r>
        <w:tab/>
        <w:t>Bishop, S., Faff, R., Oliver, B., Twite, G., 'Corporate Finance', Ed. 5 Pearson Prentice Hall, 2004, p. 577.</w:t>
      </w:r>
    </w:p>
  </w:footnote>
  <w:footnote w:id="65">
    <w:p w:rsidR="0007291A" w:rsidRDefault="0007291A" w:rsidP="008A6729">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66">
    <w:p w:rsidR="0007291A" w:rsidRDefault="0007291A" w:rsidP="008A6729">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7">
    <w:p w:rsidR="0007291A" w:rsidRDefault="0007291A" w:rsidP="008A6729">
      <w:pPr>
        <w:pStyle w:val="FootnoteText"/>
      </w:pPr>
      <w:r>
        <w:rPr>
          <w:rStyle w:val="FootnoteReference"/>
        </w:rPr>
        <w:footnoteRef/>
      </w:r>
      <w:r>
        <w:t xml:space="preserve"> </w:t>
      </w:r>
      <w:r>
        <w:tab/>
        <w:t>Brealey, R., Myers, S., Allen, F., 'Principles of corporate finance', 2011, Ed. 10, McGraw-Hill Irwin, Figure 8.2, p. 187.</w:t>
      </w:r>
    </w:p>
  </w:footnote>
  <w:footnote w:id="68">
    <w:p w:rsidR="0007291A" w:rsidRDefault="0007291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69">
    <w:p w:rsidR="0007291A" w:rsidRDefault="0007291A" w:rsidP="008A6729">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70">
    <w:p w:rsidR="0007291A" w:rsidRDefault="0007291A" w:rsidP="008A6729">
      <w:pPr>
        <w:pStyle w:val="FootnoteText"/>
      </w:pPr>
      <w:r>
        <w:rPr>
          <w:rStyle w:val="FootnoteReference"/>
        </w:rPr>
        <w:footnoteRef/>
      </w:r>
      <w:r>
        <w:t xml:space="preserve"> </w:t>
      </w:r>
      <w:r>
        <w:tab/>
        <w:t xml:space="preserve">Frontier Economics, </w:t>
      </w:r>
      <w:r w:rsidRPr="00151C8A">
        <w:rPr>
          <w:rStyle w:val="AERtextitalic"/>
        </w:rPr>
        <w:t>Assessing risk when determining the appropriate rate of return for regulated energy networks in Australia</w:t>
      </w:r>
      <w:r>
        <w:t xml:space="preserve">, July 2013, p. 4. </w:t>
      </w:r>
    </w:p>
  </w:footnote>
  <w:footnote w:id="71">
    <w:p w:rsidR="0007291A" w:rsidRDefault="0007291A" w:rsidP="008A6729">
      <w:pPr>
        <w:pStyle w:val="FootnoteText"/>
      </w:pPr>
      <w:r>
        <w:rPr>
          <w:rStyle w:val="FootnoteReference"/>
        </w:rPr>
        <w:footnoteRef/>
      </w:r>
      <w:r>
        <w:t xml:space="preserve"> </w:t>
      </w:r>
      <w:r>
        <w:tab/>
        <w:t xml:space="preserve">CCP (David Headberry, Bev Hughson and David Prins),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07291A">
        <w:rPr>
          <w:rStyle w:val="AERtextitalic"/>
          <w:rFonts w:ascii="Cambria Math" w:hAnsi="Cambria Math" w:cs="Cambria Math"/>
        </w:rPr>
        <w:t>‐</w:t>
      </w:r>
      <w:r w:rsidRPr="00A30733">
        <w:rPr>
          <w:rStyle w:val="AERtextitalic"/>
        </w:rPr>
        <w:t>2020 regulatory period</w:t>
      </w:r>
      <w:r>
        <w:t>, 22 February 2016, p. 31.</w:t>
      </w:r>
    </w:p>
  </w:footnote>
  <w:footnote w:id="72">
    <w:p w:rsidR="0007291A" w:rsidRDefault="0007291A" w:rsidP="008A6729">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73">
    <w:p w:rsidR="0007291A" w:rsidRDefault="0007291A" w:rsidP="008A6729">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74">
    <w:p w:rsidR="0007291A" w:rsidRDefault="0007291A" w:rsidP="008A6729">
      <w:pPr>
        <w:pStyle w:val="FootnoteText"/>
      </w:pPr>
      <w:r>
        <w:rPr>
          <w:rStyle w:val="FootnoteReference"/>
        </w:rPr>
        <w:footnoteRef/>
      </w:r>
      <w:r>
        <w:t xml:space="preserve"> </w:t>
      </w:r>
      <w:r>
        <w:tab/>
        <w:t xml:space="preserve">That is, standard control services as referred to in NER, cl. 6.5.2(c), prescribed transmission services as referred to in NER, cl. 6A.6.2(c), or 'reference services' as referred to in NGR, r. 87(3). </w:t>
      </w:r>
    </w:p>
  </w:footnote>
  <w:footnote w:id="75">
    <w:p w:rsidR="0007291A" w:rsidRDefault="0007291A" w:rsidP="008A6729">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76">
    <w:p w:rsidR="0007291A" w:rsidRDefault="0007291A" w:rsidP="008A6729">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77">
    <w:p w:rsidR="0007291A" w:rsidRDefault="0007291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78">
    <w:p w:rsidR="0007291A" w:rsidRDefault="0007291A" w:rsidP="008A6729">
      <w:pPr>
        <w:pStyle w:val="FootnoteText"/>
      </w:pPr>
      <w:r>
        <w:rPr>
          <w:rStyle w:val="FootnoteReference"/>
        </w:rPr>
        <w:footnoteRef/>
      </w:r>
      <w:r>
        <w:t xml:space="preserve"> </w:t>
      </w:r>
      <w:r>
        <w:tab/>
        <w:t>NER, cl. 6.5.2(k) and cl. 6A.6.2(k); NGR, r.87(11).</w:t>
      </w:r>
    </w:p>
  </w:footnote>
  <w:footnote w:id="79">
    <w:p w:rsidR="0007291A" w:rsidRDefault="0007291A"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80">
    <w:p w:rsidR="0007291A" w:rsidRDefault="0007291A"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81">
    <w:p w:rsidR="0007291A" w:rsidRDefault="0007291A"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82">
    <w:p w:rsidR="0007291A" w:rsidRDefault="0007291A" w:rsidP="008A6729">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83">
    <w:p w:rsidR="0007291A" w:rsidRDefault="0007291A" w:rsidP="008A6729">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xml:space="preserve">, May 2010, pp. 252–253;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xml:space="preserve">, March 2010, pp. 40, 57; AER, </w:t>
      </w:r>
      <w:r w:rsidRPr="00151C8A">
        <w:rPr>
          <w:rStyle w:val="AERtextitalic"/>
        </w:rPr>
        <w:t>Final decision—NT Gas: Access arrangement proposal for the Amadeus Gas Pipeline August 2011 to June 2016</w:t>
      </w:r>
      <w:r>
        <w:t>, July 2011, p. 78.</w:t>
      </w:r>
    </w:p>
  </w:footnote>
  <w:footnote w:id="84">
    <w:p w:rsidR="0007291A" w:rsidRDefault="0007291A" w:rsidP="008A6729">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85">
    <w:p w:rsidR="0007291A" w:rsidRDefault="0007291A" w:rsidP="008A6729">
      <w:pPr>
        <w:pStyle w:val="FootnoteText"/>
      </w:pPr>
      <w:r>
        <w:rPr>
          <w:rStyle w:val="FootnoteReference"/>
        </w:rPr>
        <w:footnoteRef/>
      </w:r>
      <w:r>
        <w:t xml:space="preserve"> </w:t>
      </w:r>
      <w:r>
        <w:tab/>
        <w:t>NER cl. 6.5.2(l) and cl. 6A.6.2(l), NGR, r. 87(12).</w:t>
      </w:r>
    </w:p>
  </w:footnote>
  <w:footnote w:id="86">
    <w:p w:rsidR="0007291A" w:rsidRDefault="0007291A" w:rsidP="008A6729">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87">
    <w:p w:rsidR="0007291A" w:rsidRDefault="0007291A" w:rsidP="008A6729">
      <w:pPr>
        <w:pStyle w:val="FootnoteText"/>
      </w:pPr>
      <w:r>
        <w:rPr>
          <w:rStyle w:val="FootnoteReference"/>
        </w:rPr>
        <w:footnoteRef/>
      </w:r>
      <w:r>
        <w:t xml:space="preserve"> </w:t>
      </w:r>
      <w:r>
        <w:tab/>
        <w:t>NGR, cl. 87(18); NER, cl. 6.2.8(c); NER, cl.6A.2.3(c).</w:t>
      </w:r>
    </w:p>
  </w:footnote>
  <w:footnote w:id="88">
    <w:p w:rsidR="0007291A" w:rsidRDefault="0007291A" w:rsidP="008A6729">
      <w:pPr>
        <w:pStyle w:val="FootnoteText"/>
      </w:pPr>
      <w:r>
        <w:rPr>
          <w:rStyle w:val="FootnoteReference"/>
        </w:rPr>
        <w:footnoteRef/>
      </w:r>
      <w:r>
        <w:t xml:space="preserve"> </w:t>
      </w:r>
      <w:r>
        <w:tab/>
        <w:t>NER, cll. S6.1.3(9),(9A),(9B); NER, cll.S6A.1.3.(4A), (4b), (4c).</w:t>
      </w:r>
    </w:p>
  </w:footnote>
  <w:footnote w:id="89">
    <w:p w:rsidR="0007291A" w:rsidRDefault="0007291A" w:rsidP="008A6729">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90">
    <w:p w:rsidR="0007291A" w:rsidRDefault="0007291A" w:rsidP="008A6729">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 15 November 2012, p. 28.</w:t>
      </w:r>
    </w:p>
  </w:footnote>
  <w:footnote w:id="91">
    <w:p w:rsidR="0007291A" w:rsidRDefault="0007291A" w:rsidP="008A6729">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92">
    <w:p w:rsidR="0007291A" w:rsidRDefault="0007291A" w:rsidP="008A6729">
      <w:pPr>
        <w:pStyle w:val="FootnoteText"/>
      </w:pPr>
      <w:r>
        <w:rPr>
          <w:rStyle w:val="FootnoteReference"/>
        </w:rPr>
        <w:footnoteRef/>
      </w:r>
      <w:r>
        <w:t xml:space="preserve"> </w:t>
      </w:r>
      <w:r>
        <w:tab/>
        <w:t>NER, cl. 6.5.2 (n), NER, cl. 6A.6.2(n);</w:t>
      </w:r>
      <w:r w:rsidRPr="009416A4">
        <w:t xml:space="preserve"> </w:t>
      </w:r>
      <w:r>
        <w:t>NGR, cl. 87(14).</w:t>
      </w:r>
    </w:p>
  </w:footnote>
  <w:footnote w:id="93">
    <w:p w:rsidR="0007291A" w:rsidRDefault="0007291A" w:rsidP="008A6729">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94">
    <w:p w:rsidR="0007291A" w:rsidRDefault="0007291A" w:rsidP="008A6729">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95">
    <w:p w:rsidR="0007291A" w:rsidRDefault="0007291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96">
    <w:p w:rsidR="0007291A" w:rsidRDefault="0007291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 ch.3; </w:t>
      </w:r>
      <w:r w:rsidRPr="000C1311">
        <w:t xml:space="preserve">AER, </w:t>
      </w:r>
      <w:r w:rsidRPr="000C1311">
        <w:rPr>
          <w:i/>
        </w:rPr>
        <w:t xml:space="preserve">Better regulation: Rate of Return Guideline, </w:t>
      </w:r>
      <w:r>
        <w:t>December 2013, section 3.</w:t>
      </w:r>
    </w:p>
  </w:footnote>
  <w:footnote w:id="97">
    <w:p w:rsidR="0007291A" w:rsidRDefault="0007291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98">
    <w:p w:rsidR="0007291A" w:rsidRDefault="0007291A" w:rsidP="0012095D">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footnote>
  <w:footnote w:id="99">
    <w:p w:rsidR="0007291A" w:rsidRDefault="0007291A" w:rsidP="0012095D">
      <w:pPr>
        <w:pStyle w:val="FootnoteText"/>
      </w:pPr>
      <w:r>
        <w:rPr>
          <w:rStyle w:val="FootnoteReference"/>
        </w:rPr>
        <w:footnoteRef/>
      </w:r>
      <w:r>
        <w:t xml:space="preserve"> </w:t>
      </w:r>
      <w:r>
        <w:tab/>
        <w:t>AER, Rate of Return Guideline: Explanatory Statement, December 2013, p. 62.</w:t>
      </w:r>
    </w:p>
  </w:footnote>
  <w:footnote w:id="100">
    <w:p w:rsidR="0007291A" w:rsidRDefault="0007291A" w:rsidP="008A6729">
      <w:pPr>
        <w:pStyle w:val="FootnoteText"/>
      </w:pPr>
      <w:r>
        <w:rPr>
          <w:rStyle w:val="FootnoteReference"/>
        </w:rPr>
        <w:footnoteRef/>
      </w:r>
      <w:r>
        <w:t xml:space="preserve"> </w:t>
      </w:r>
      <w:r>
        <w:tab/>
        <w:t>This final decision determines the return on debt methodology for the 2017–19 period. This period covers the first two years of the 10 year transition period. This decision also sets out our intended return on debt methodology for the remaining eight years. However, we do not have the power to determine in this decision the return on debt methodology for those years. Under the NER, the return on debt methodology must be determined in future decisions that relate to that period.</w:t>
      </w:r>
    </w:p>
  </w:footnote>
  <w:footnote w:id="101">
    <w:p w:rsidR="0007291A" w:rsidRDefault="0007291A" w:rsidP="008A6729">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02">
    <w:p w:rsidR="0007291A" w:rsidRDefault="0007291A" w:rsidP="008A6729">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‒2</w:t>
      </w:r>
      <w:r>
        <w:t xml:space="preserve">2; AER, </w:t>
      </w:r>
      <w:r w:rsidRPr="00142BD4">
        <w:rPr>
          <w:i/>
        </w:rPr>
        <w:t>Explanatory statement—Rate of return guideline</w:t>
      </w:r>
      <w:r>
        <w:t>, December 2013, p. 126.</w:t>
      </w:r>
    </w:p>
  </w:footnote>
  <w:footnote w:id="103">
    <w:p w:rsidR="0007291A" w:rsidRDefault="0007291A" w:rsidP="008A6729">
      <w:pPr>
        <w:pStyle w:val="FootnoteText"/>
      </w:pPr>
      <w:r>
        <w:rPr>
          <w:rStyle w:val="FootnoteReference"/>
        </w:rPr>
        <w:footnoteRef/>
      </w:r>
      <w:r>
        <w:t xml:space="preserve"> </w:t>
      </w:r>
      <w:r>
        <w:tab/>
        <w:t>NER, cl. 6.5.2(i); NER, cl. 6A.6.2(i); NGR r. 87(9).</w:t>
      </w:r>
    </w:p>
  </w:footnote>
  <w:footnote w:id="104">
    <w:p w:rsidR="0007291A" w:rsidRDefault="0007291A" w:rsidP="008A6729">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05">
    <w:p w:rsidR="0007291A" w:rsidRDefault="0007291A" w:rsidP="008A6729">
      <w:pPr>
        <w:pStyle w:val="FootnoteText"/>
      </w:pPr>
      <w:r>
        <w:rPr>
          <w:rStyle w:val="FootnoteReference"/>
        </w:rPr>
        <w:footnoteRef/>
      </w:r>
      <w:r>
        <w:t xml:space="preserve"> </w:t>
      </w:r>
      <w:r>
        <w:tab/>
        <w:t>NER, cl. 6.5.2(e); NER, cl. 6A.6.2(e); NGR r. 87(9).</w:t>
      </w:r>
    </w:p>
  </w:footnote>
  <w:footnote w:id="106">
    <w:p w:rsidR="0007291A" w:rsidRDefault="0007291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 3.</w:t>
      </w:r>
    </w:p>
  </w:footnote>
  <w:footnote w:id="107">
    <w:p w:rsidR="0007291A" w:rsidRDefault="0007291A" w:rsidP="008A6729">
      <w:pPr>
        <w:pStyle w:val="FootnoteText"/>
      </w:pPr>
      <w:r>
        <w:rPr>
          <w:rStyle w:val="FootnoteReference"/>
        </w:rPr>
        <w:footnoteRef/>
      </w:r>
      <w:r>
        <w:t xml:space="preserve"> </w:t>
      </w:r>
      <w:r>
        <w:tab/>
        <w:t>NEL, s. 7A(2); NGL s. 24(2)(a).</w:t>
      </w:r>
    </w:p>
  </w:footnote>
  <w:footnote w:id="108">
    <w:p w:rsidR="0007291A" w:rsidRDefault="0007291A" w:rsidP="008A6729">
      <w:pPr>
        <w:pStyle w:val="FootnoteText"/>
      </w:pPr>
      <w:r>
        <w:rPr>
          <w:rStyle w:val="FootnoteReference"/>
        </w:rPr>
        <w:footnoteRef/>
      </w:r>
      <w:r>
        <w:t xml:space="preserve"> </w:t>
      </w:r>
      <w:r>
        <w:tab/>
        <w:t>NEL, s. 7A(3);</w:t>
      </w:r>
      <w:r w:rsidRPr="00002EB2">
        <w:t xml:space="preserve"> </w:t>
      </w:r>
      <w:r>
        <w:t>NGL s. 24(2)(b).</w:t>
      </w:r>
    </w:p>
  </w:footnote>
  <w:footnote w:id="109">
    <w:p w:rsidR="0007291A" w:rsidRDefault="0007291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10">
    <w:p w:rsidR="0007291A" w:rsidRDefault="0007291A" w:rsidP="008A6729">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11">
    <w:p w:rsidR="0007291A" w:rsidRDefault="0007291A" w:rsidP="008A6729">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12">
    <w:p w:rsidR="0007291A" w:rsidRDefault="0007291A" w:rsidP="008A6729">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13">
    <w:p w:rsidR="0007291A" w:rsidRDefault="0007291A" w:rsidP="008A6729">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14">
    <w:p w:rsidR="0007291A" w:rsidRDefault="0007291A" w:rsidP="008A6729">
      <w:pPr>
        <w:pStyle w:val="FootnoteText"/>
      </w:pPr>
      <w:r>
        <w:rPr>
          <w:rStyle w:val="FootnoteReference"/>
        </w:rPr>
        <w:footnoteRef/>
      </w:r>
      <w:r>
        <w:t xml:space="preserve"> </w:t>
      </w:r>
      <w:r>
        <w:tab/>
        <w:t xml:space="preserve">NGR, r. 87(5)(a) and NER clause 6.5.2(e).  </w:t>
      </w:r>
    </w:p>
  </w:footnote>
  <w:footnote w:id="115">
    <w:p w:rsidR="0007291A" w:rsidRDefault="0007291A" w:rsidP="008A6729">
      <w:pPr>
        <w:pStyle w:val="FootnoteText"/>
      </w:pPr>
      <w:r>
        <w:rPr>
          <w:rStyle w:val="FootnoteReference"/>
        </w:rPr>
        <w:footnoteRef/>
      </w:r>
      <w:r>
        <w:t xml:space="preserve"> </w:t>
      </w:r>
      <w:r>
        <w:tab/>
      </w:r>
      <w:r w:rsidRPr="00BB36FA">
        <w:t xml:space="preserve">AEMC, </w:t>
      </w:r>
      <w:r w:rsidRPr="00151C8A">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16">
    <w:p w:rsidR="0007291A" w:rsidRDefault="0007291A">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pp. 114, 116.</w:t>
      </w:r>
    </w:p>
  </w:footnote>
  <w:footnote w:id="117">
    <w:p w:rsidR="0007291A" w:rsidRDefault="0007291A" w:rsidP="008A6729">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18">
    <w:p w:rsidR="0007291A" w:rsidRDefault="0007291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19">
    <w:p w:rsidR="0007291A" w:rsidRDefault="0007291A" w:rsidP="008A6729">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151C8A">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20">
    <w:p w:rsidR="0007291A" w:rsidRDefault="0007291A" w:rsidP="008A6729">
      <w:pPr>
        <w:pStyle w:val="FootnoteText"/>
      </w:pPr>
      <w:r>
        <w:rPr>
          <w:rStyle w:val="FootnoteReference"/>
        </w:rPr>
        <w:footnoteRef/>
      </w:r>
      <w:r>
        <w:t xml:space="preserve"> </w:t>
      </w:r>
      <w:r>
        <w:tab/>
        <w:t>Handley, J.</w:t>
      </w:r>
      <w:r w:rsidRPr="002F6091">
        <w:t xml:space="preserve">, </w:t>
      </w:r>
      <w:r>
        <w:t>Further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21">
    <w:p w:rsidR="0007291A" w:rsidRDefault="0007291A" w:rsidP="008A6729">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22">
    <w:p w:rsidR="0007291A" w:rsidRDefault="0007291A" w:rsidP="008A6729">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23">
    <w:p w:rsidR="0007291A" w:rsidRDefault="0007291A" w:rsidP="008A6729">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24">
    <w:p w:rsidR="0007291A" w:rsidRDefault="0007291A" w:rsidP="008A6729">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25">
    <w:p w:rsidR="0007291A" w:rsidRDefault="0007291A" w:rsidP="00707478">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TransGrid, Citipower, Powercor, United Energy, AusNet Services (distribution), ActewAGL, AGN &amp; APTNT.</w:t>
      </w:r>
    </w:p>
  </w:footnote>
  <w:footnote w:id="126">
    <w:p w:rsidR="0007291A" w:rsidRDefault="0007291A" w:rsidP="00707478">
      <w:pPr>
        <w:pStyle w:val="FootnoteText"/>
      </w:pPr>
      <w:r>
        <w:rPr>
          <w:rStyle w:val="FootnoteReference"/>
        </w:rPr>
        <w:footnoteRef/>
      </w:r>
      <w:r>
        <w:t xml:space="preserve"> </w:t>
      </w:r>
      <w:r>
        <w:tab/>
        <w:t xml:space="preserve">Appendix F of our October and November 2015 decisions list submissions relating to our recent decisions. We have also received and considered a number of new submissions since the October and November 2015 decisions. </w:t>
      </w:r>
      <w:r w:rsidR="00092524">
        <w:t>, CCP (David Prins and Robyn Robinson</w:t>
      </w:r>
      <w:r w:rsidR="00092524" w:rsidRPr="0083726D">
        <w:t xml:space="preserve">), </w:t>
      </w:r>
      <w:r w:rsidR="00092524" w:rsidRPr="0083726D">
        <w:rPr>
          <w:rStyle w:val="AERtextitalic"/>
        </w:rPr>
        <w:t>Advice to AER from Consumer Challenge Panel sub-panel 8 regarding the AER D</w:t>
      </w:r>
      <w:r w:rsidR="00092524">
        <w:rPr>
          <w:rStyle w:val="AERtextitalic"/>
        </w:rPr>
        <w:t>r</w:t>
      </w:r>
      <w:r w:rsidR="00092524" w:rsidRPr="0083726D">
        <w:rPr>
          <w:rStyle w:val="AERtextitalic"/>
        </w:rPr>
        <w:t>aft Decision and Australian Gas Networks' (SA) revised access arrangement 2016–2021 proposal</w:t>
      </w:r>
      <w:r w:rsidR="00092524">
        <w:t>, 32 </w:t>
      </w:r>
      <w:r w:rsidR="00092524" w:rsidRPr="0083726D">
        <w:t>March 2016, p. 2</w:t>
      </w:r>
      <w:r w:rsidRPr="0083726D">
        <w:t>.</w:t>
      </w:r>
    </w:p>
  </w:footnote>
  <w:footnote w:id="127">
    <w:p w:rsidR="0007291A" w:rsidRDefault="0007291A" w:rsidP="00D06894">
      <w:pPr>
        <w:pStyle w:val="FootnoteText"/>
      </w:pPr>
      <w:r>
        <w:rPr>
          <w:rStyle w:val="FootnoteReference"/>
        </w:rPr>
        <w:footnoteRef/>
      </w:r>
      <w:r>
        <w:t xml:space="preserve"> </w:t>
      </w:r>
      <w:r>
        <w:tab/>
        <w:t xml:space="preserve">For example, see page 143 of our October 2015 final decision for SA Power Networks; </w:t>
      </w:r>
      <w:r w:rsidR="00092524">
        <w:t>CCP (</w:t>
      </w:r>
      <w:r w:rsidR="00092524" w:rsidRPr="007E694F">
        <w:t>Bruce Mountain</w:t>
      </w:r>
      <w:r w:rsidR="00092524">
        <w:t>)</w:t>
      </w:r>
      <w:r w:rsidR="00092524" w:rsidRPr="00977EFC">
        <w:rPr>
          <w:rStyle w:val="AERtextitalic"/>
        </w:rPr>
        <w:t>, Advice on AER preliminary decisions and revised proposals from Energex, Ergon Energy and SA Power Networks</w:t>
      </w:r>
      <w:r w:rsidR="00092524" w:rsidRPr="007E694F">
        <w:t>, July 2015</w:t>
      </w:r>
      <w:r w:rsidR="00092524">
        <w:t>, p. 11</w:t>
      </w:r>
      <w:r>
        <w:t xml:space="preserve">;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 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 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 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w:t>
      </w:r>
      <w:r w:rsidR="00092524" w:rsidRPr="0083726D">
        <w:t>CCP (</w:t>
      </w:r>
      <w:r w:rsidR="00092524" w:rsidRPr="0064485A">
        <w:t>Mark Henley</w:t>
      </w:r>
      <w:r w:rsidR="00092524">
        <w:t xml:space="preserve"> and</w:t>
      </w:r>
      <w:r w:rsidR="00092524" w:rsidRPr="0064485A">
        <w:t xml:space="preserve"> Ruth Lavery</w:t>
      </w:r>
      <w:r w:rsidR="00092524" w:rsidRPr="0083726D">
        <w:t xml:space="preserve">), </w:t>
      </w:r>
      <w:r w:rsidR="00092524" w:rsidRPr="0083726D">
        <w:rPr>
          <w:rStyle w:val="AERtextitalic"/>
        </w:rPr>
        <w:t>Transmission for the generations: Response to proposal by AusNet Services transmission group pty ltd and AER issues paper for AusNet Services transmission revenue review 2017–22</w:t>
      </w:r>
      <w:r w:rsidR="00092524" w:rsidRPr="0083726D">
        <w:t>, February 2016, p. 41; CCP (</w:t>
      </w:r>
      <w:r w:rsidR="00092524">
        <w:t>David Headberry, Bev Hughson and  David Prins</w:t>
      </w:r>
      <w:r w:rsidR="00092524" w:rsidRPr="0083726D">
        <w:t xml:space="preserve">), </w:t>
      </w:r>
      <w:r w:rsidR="00092524"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00092524" w:rsidRPr="0083726D">
        <w:t>, 25 February 2016, p. 30; EUCV</w:t>
      </w:r>
      <w:r w:rsidR="00092524" w:rsidRPr="0083726D">
        <w:rPr>
          <w:rStyle w:val="AERtextitalic"/>
        </w:rPr>
        <w:t>, A response to AusNet revenue reset proposal for the 2017–2022 period</w:t>
      </w:r>
      <w:r w:rsidR="00092524">
        <w:t>, 9 February 2016, p. 40; CCP (David Prins and Robyn Robinson</w:t>
      </w:r>
      <w:r w:rsidR="00092524" w:rsidRPr="0083726D">
        <w:t xml:space="preserve">), </w:t>
      </w:r>
      <w:r w:rsidR="00092524" w:rsidRPr="0083726D">
        <w:rPr>
          <w:rStyle w:val="AERtextitalic"/>
        </w:rPr>
        <w:t>Advice to AER from Consumer Challenge Panel sub-panel 8 regarding the AER D</w:t>
      </w:r>
      <w:r w:rsidR="00092524">
        <w:rPr>
          <w:rStyle w:val="AERtextitalic"/>
        </w:rPr>
        <w:t>r</w:t>
      </w:r>
      <w:r w:rsidR="00092524" w:rsidRPr="0083726D">
        <w:rPr>
          <w:rStyle w:val="AERtextitalic"/>
        </w:rPr>
        <w:t>aft Decision and Australian Gas Networks' (SA) revised access arrangement 2016–2021 proposal</w:t>
      </w:r>
      <w:r w:rsidR="00092524" w:rsidRPr="0083726D">
        <w:t>, 32 March 2016, p. 2</w:t>
      </w:r>
      <w:r w:rsidR="00092524" w:rsidRPr="00574650">
        <w:t xml:space="preserve">; Cotton Australia, </w:t>
      </w:r>
      <w:r w:rsidR="00092524" w:rsidRPr="00574650">
        <w:rPr>
          <w:rStyle w:val="AERtextitalic"/>
        </w:rPr>
        <w:t>Re: Powerlink Electricity transmission revenue proposal 2017–2022 – Issues Paper</w:t>
      </w:r>
      <w:r w:rsidR="00092524" w:rsidRPr="00574650">
        <w:t xml:space="preserve">, 2 May 2016, pp. 1-2; Queensland Resources Council, </w:t>
      </w:r>
      <w:r w:rsidR="00092524" w:rsidRPr="00574650">
        <w:rPr>
          <w:rStyle w:val="AERtextitalic"/>
        </w:rPr>
        <w:t>Submission on Powerlink's 2017-22 revenue proposal</w:t>
      </w:r>
      <w:r w:rsidR="00092524" w:rsidRPr="00574650">
        <w:t>, 29 April 2016, pp. 1-2; CCP (</w:t>
      </w:r>
      <w:r w:rsidR="00092524">
        <w:t xml:space="preserve">Hugh Grant and </w:t>
      </w:r>
      <w:r w:rsidR="00092524" w:rsidRPr="00574650">
        <w:t xml:space="preserve">David Headberry), </w:t>
      </w:r>
      <w:r w:rsidR="00092524" w:rsidRPr="00574650">
        <w:rPr>
          <w:rStyle w:val="AERtextitalic"/>
        </w:rPr>
        <w:t>Submission to the AER</w:t>
      </w:r>
      <w:r w:rsidR="00092524">
        <w:rPr>
          <w:rStyle w:val="AERtextitalic"/>
        </w:rPr>
        <w:t>, Powerlink Queensland 2018–</w:t>
      </w:r>
      <w:r w:rsidR="00092524" w:rsidRPr="00574650">
        <w:rPr>
          <w:rStyle w:val="AERtextitalic"/>
        </w:rPr>
        <w:t>22 Revenue Proposal</w:t>
      </w:r>
      <w:r w:rsidR="00092524" w:rsidRPr="00574650">
        <w:t xml:space="preserve">, 20 June 2016, p. 4; Tasmanian Small Business Council, </w:t>
      </w:r>
      <w:r w:rsidR="00092524" w:rsidRPr="00574650">
        <w:rPr>
          <w:rStyle w:val="AERtextitalic"/>
        </w:rPr>
        <w:t>Submission on TasNetworks’ Electricity Distribution Regulatory Proposal, 1 July 2017 to 30 June 2019 and Tariff Structure Proposal</w:t>
      </w:r>
      <w:r w:rsidR="00092524" w:rsidRPr="00574650">
        <w:t xml:space="preserve">, 6 May 2016, p. 36; Tasmanian Council of Social Services, </w:t>
      </w:r>
      <w:r w:rsidR="00092524" w:rsidRPr="00574650">
        <w:rPr>
          <w:rStyle w:val="AERtextitalic"/>
        </w:rPr>
        <w:t>Submission to the AER re TasNetworks' regulatory proposal 2017-19</w:t>
      </w:r>
      <w:r w:rsidR="00092524" w:rsidRPr="00574650">
        <w:t>, 28 April 2016, p. 2; CP</w:t>
      </w:r>
      <w:r w:rsidR="00092524">
        <w:t>P</w:t>
      </w:r>
      <w:r w:rsidR="00092524" w:rsidRPr="00574650">
        <w:t xml:space="preserve"> (David Headberry), </w:t>
      </w:r>
      <w:r w:rsidR="00092524" w:rsidRPr="00903F9A">
        <w:rPr>
          <w:rStyle w:val="Emphasis"/>
        </w:rPr>
        <w:t>Submission to the AER,</w:t>
      </w:r>
      <w:r w:rsidR="00092524">
        <w:t xml:space="preserve"> </w:t>
      </w:r>
      <w:r w:rsidR="00092524" w:rsidRPr="00574650">
        <w:rPr>
          <w:rStyle w:val="AERtextitalic"/>
        </w:rPr>
        <w:t>Response to the proposal from Tasmania's electricity distribution network service provider (TasNetworks - TND) f</w:t>
      </w:r>
      <w:r w:rsidR="00092524">
        <w:rPr>
          <w:rStyle w:val="AERtextitalic"/>
        </w:rPr>
        <w:t>or a revenue reset for the 2017–</w:t>
      </w:r>
      <w:r w:rsidR="00092524" w:rsidRPr="00574650">
        <w:rPr>
          <w:rStyle w:val="AERtextitalic"/>
        </w:rPr>
        <w:t>2019 regulatory period</w:t>
      </w:r>
      <w:r w:rsidR="00092524" w:rsidRPr="00574650">
        <w:t>, 4 May 2016, p. 44</w:t>
      </w:r>
      <w:r>
        <w:t>.</w:t>
      </w:r>
    </w:p>
  </w:footnote>
  <w:footnote w:id="128">
    <w:p w:rsidR="0007291A" w:rsidRDefault="0007291A" w:rsidP="008A6729">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29">
    <w:p w:rsidR="0007291A" w:rsidRDefault="0007291A" w:rsidP="008A6729">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30">
    <w:p w:rsidR="0007291A" w:rsidRDefault="0007291A" w:rsidP="008A6729">
      <w:pPr>
        <w:pStyle w:val="FootnoteText"/>
      </w:pPr>
      <w:r>
        <w:rPr>
          <w:rStyle w:val="FootnoteReference"/>
        </w:rPr>
        <w:footnoteRef/>
      </w:r>
      <w:r>
        <w:t xml:space="preserve"> </w:t>
      </w:r>
      <w:r>
        <w:tab/>
        <w:t>NGR, cl. 87(3); NER, cl. 6A.6.2(c) include similar provisions.</w:t>
      </w:r>
    </w:p>
  </w:footnote>
  <w:footnote w:id="131">
    <w:p w:rsidR="0007291A" w:rsidRDefault="0007291A" w:rsidP="008A6729">
      <w:pPr>
        <w:pStyle w:val="FootnoteText"/>
      </w:pPr>
      <w:r>
        <w:rPr>
          <w:rStyle w:val="FootnoteReference"/>
        </w:rPr>
        <w:footnoteRef/>
      </w:r>
      <w:r>
        <w:t xml:space="preserve"> </w:t>
      </w:r>
      <w:r>
        <w:tab/>
        <w:t>The transmission and gas rules mirror this provision in NER, cl. 6A.6.2(k)(4); NGR, cl. 87(11)(d).</w:t>
      </w:r>
    </w:p>
  </w:footnote>
  <w:footnote w:id="132">
    <w:p w:rsidR="0007291A" w:rsidRPr="00D5405B" w:rsidRDefault="0007291A" w:rsidP="002F6FA6">
      <w:pPr>
        <w:pStyle w:val="FootnoteText"/>
        <w:rPr>
          <w:rStyle w:val="AERtexthighlight"/>
        </w:rPr>
      </w:pPr>
      <w:r>
        <w:rPr>
          <w:rStyle w:val="FootnoteReference"/>
        </w:rPr>
        <w:footnoteRef/>
      </w:r>
      <w:r>
        <w:t xml:space="preserve"> </w:t>
      </w:r>
      <w:r>
        <w:tab/>
        <w:t>NER, cl. 6.</w:t>
      </w:r>
      <w:r w:rsidRPr="00DD0982">
        <w:t>5.2(d)</w:t>
      </w:r>
      <w:r>
        <w:t xml:space="preserve">; NER, cl. 6A.6.2(d); NGR, r. 87(4). </w:t>
      </w:r>
    </w:p>
  </w:footnote>
  <w:footnote w:id="133">
    <w:p w:rsidR="0007291A" w:rsidRDefault="0007291A" w:rsidP="002F6FA6">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34">
    <w:p w:rsidR="0007291A" w:rsidRDefault="0007291A" w:rsidP="002F6FA6">
      <w:pPr>
        <w:pStyle w:val="FootnoteText"/>
      </w:pPr>
      <w:r>
        <w:rPr>
          <w:rStyle w:val="FootnoteReference"/>
        </w:rPr>
        <w:footnoteRef/>
      </w:r>
      <w:r>
        <w:t xml:space="preserve"> </w:t>
      </w:r>
      <w:r>
        <w:tab/>
        <w:t>NER, cl. 6.5.2(c); NER, cl. 6A.6.2(c); NGR, r. 87(3).</w:t>
      </w:r>
    </w:p>
  </w:footnote>
  <w:footnote w:id="135">
    <w:p w:rsidR="0007291A" w:rsidRDefault="0007291A" w:rsidP="002F6FA6">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36">
    <w:p w:rsidR="0007291A" w:rsidRDefault="0007291A" w:rsidP="002F6FA6">
      <w:pPr>
        <w:pStyle w:val="FootnoteText"/>
      </w:pPr>
      <w:r>
        <w:rPr>
          <w:rStyle w:val="FootnoteReference"/>
        </w:rPr>
        <w:footnoteRef/>
      </w:r>
      <w:r>
        <w:t xml:space="preserve"> </w:t>
      </w:r>
      <w:r>
        <w:tab/>
        <w:t>As set out in NER cl.6; NER cl. 6A; NGR.</w:t>
      </w:r>
    </w:p>
  </w:footnote>
  <w:footnote w:id="137">
    <w:p w:rsidR="0007291A" w:rsidRDefault="0007291A" w:rsidP="002F6FA6">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38">
    <w:p w:rsidR="0007291A" w:rsidRDefault="0007291A" w:rsidP="002F6FA6">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39">
    <w:p w:rsidR="0007291A" w:rsidRDefault="0007291A" w:rsidP="002F6FA6">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40">
    <w:p w:rsidR="0007291A" w:rsidRDefault="0007291A" w:rsidP="002F6FA6">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AusNet Services' 2016-20 distribution determination.</w:t>
      </w:r>
    </w:p>
  </w:footnote>
  <w:footnote w:id="141">
    <w:p w:rsidR="0007291A" w:rsidRDefault="0007291A">
      <w:pPr>
        <w:pStyle w:val="FootnoteText"/>
      </w:pPr>
      <w:r>
        <w:rPr>
          <w:rStyle w:val="FootnoteReference"/>
        </w:rPr>
        <w:footnoteRef/>
      </w:r>
      <w:r>
        <w:t xml:space="preserve"> </w:t>
      </w:r>
      <w:r>
        <w:tab/>
        <w:t>In this case, the benchmark efficient entity.</w:t>
      </w:r>
    </w:p>
  </w:footnote>
  <w:footnote w:id="142">
    <w:p w:rsidR="0007291A" w:rsidRDefault="0007291A" w:rsidP="002F6FA6">
      <w:pPr>
        <w:pStyle w:val="FootnoteText"/>
      </w:pPr>
      <w:r>
        <w:rPr>
          <w:rStyle w:val="FootnoteReference"/>
        </w:rPr>
        <w:footnoteRef/>
      </w:r>
      <w:r>
        <w:t xml:space="preserve"> </w:t>
      </w:r>
      <w:r>
        <w:tab/>
        <w:t>For more information on the Sharpe-Lintner CAPM, see section B.1 of Attachment 3 to our draft decision on AusNet Services' 2017-22 transmission determination.</w:t>
      </w:r>
    </w:p>
  </w:footnote>
  <w:footnote w:id="143">
    <w:p w:rsidR="0007291A" w:rsidRDefault="0007291A" w:rsidP="00B337A4">
      <w:pPr>
        <w:pStyle w:val="FootnoteText"/>
        <w:numPr>
          <w:ilvl w:val="0"/>
          <w:numId w:val="25"/>
        </w:numPr>
      </w:pPr>
      <w:r>
        <w:rPr>
          <w:rStyle w:val="FootnoteReference"/>
        </w:rPr>
        <w:footnoteRef/>
      </w:r>
      <w:r>
        <w:t xml:space="preserve"> </w:t>
      </w:r>
      <w:r>
        <w:tab/>
        <w:t>Calculated as: 6.5% = 1.95% + 0.7 * 6.</w:t>
      </w:r>
      <w:r w:rsidRPr="000A1A8C">
        <w:t>5%</w:t>
      </w:r>
      <w:r>
        <w:t>.</w:t>
      </w:r>
    </w:p>
  </w:footnote>
  <w:footnote w:id="144">
    <w:p w:rsidR="0007291A" w:rsidRDefault="0007291A">
      <w:pPr>
        <w:pStyle w:val="FootnoteText"/>
      </w:pPr>
      <w:r>
        <w:rPr>
          <w:rStyle w:val="FootnoteReference"/>
        </w:rPr>
        <w:footnoteRef/>
      </w:r>
      <w:r>
        <w:t xml:space="preserve"> </w:t>
      </w:r>
      <w:r>
        <w:tab/>
        <w:t>And where this averaging period ends as close as practical to the start of the regulatory period.</w:t>
      </w:r>
    </w:p>
  </w:footnote>
  <w:footnote w:id="145">
    <w:p w:rsidR="0007291A" w:rsidRDefault="0007291A" w:rsidP="002F6FA6">
      <w:pPr>
        <w:pStyle w:val="FootnoteText"/>
      </w:pPr>
      <w:r>
        <w:rPr>
          <w:rStyle w:val="FootnoteReference"/>
        </w:rPr>
        <w:footnoteRef/>
      </w:r>
      <w:r>
        <w:t xml:space="preserve"> </w:t>
      </w:r>
      <w:r>
        <w:tab/>
        <w:t>Appendix K sets out the averaging period used in this decision.</w:t>
      </w:r>
    </w:p>
  </w:footnote>
  <w:footnote w:id="146">
    <w:p w:rsidR="0007291A" w:rsidRDefault="0007291A" w:rsidP="002F6FA6">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Tasmanian Council of Social Service, </w:t>
      </w:r>
      <w:r w:rsidRPr="00A8249A">
        <w:rPr>
          <w:rStyle w:val="AERtextitalic"/>
        </w:rPr>
        <w:t>Submission to AER re TasNetworks' 2017-19 revenue proposal</w:t>
      </w:r>
      <w:r>
        <w:t>, April 2016, p. 2.</w:t>
      </w:r>
    </w:p>
  </w:footnote>
  <w:footnote w:id="147">
    <w:p w:rsidR="0007291A" w:rsidRDefault="0007291A" w:rsidP="00A8249A">
      <w:pPr>
        <w:pStyle w:val="FootnoteText"/>
      </w:pPr>
      <w:r>
        <w:rPr>
          <w:rStyle w:val="FootnoteReference"/>
        </w:rPr>
        <w:footnoteRef/>
      </w:r>
      <w:r>
        <w:t xml:space="preserve"> </w:t>
      </w:r>
      <w:r>
        <w:tab/>
      </w:r>
      <w:r w:rsidRPr="007F7744">
        <w:t xml:space="preserve">ECCSA, </w:t>
      </w:r>
      <w:r w:rsidRPr="00D325AA">
        <w:rPr>
          <w:rStyle w:val="Emphasis"/>
        </w:rPr>
        <w:t xml:space="preserve">A response to the AER draft decision on AGN’s AA2016 revenue reset, </w:t>
      </w:r>
      <w:r w:rsidRPr="007F7744">
        <w:t>February 2016, p. 32</w:t>
      </w:r>
      <w:r>
        <w:t xml:space="preserve">–37; </w:t>
      </w:r>
      <w:r w:rsidRPr="007F7744">
        <w:t xml:space="preserve">VECUA, </w:t>
      </w:r>
      <w:r w:rsidRPr="00D325AA">
        <w:rPr>
          <w:rStyle w:val="Emphasis"/>
        </w:rPr>
        <w:t>Submission on the AER: AER preliminary 2016–20 revenue determinations for the Victorian DNSPs</w:t>
      </w:r>
      <w:r w:rsidRPr="007F7744">
        <w:t>, 6 January 2016</w:t>
      </w:r>
      <w:r>
        <w:t xml:space="preserve">, p. 2; </w:t>
      </w:r>
      <w:r w:rsidR="00092524" w:rsidRPr="007F7744">
        <w:t>CCP (</w:t>
      </w:r>
      <w:r w:rsidR="00092524">
        <w:t>Mark Henley and Ruth Lavery</w:t>
      </w:r>
      <w:r w:rsidR="00092524" w:rsidRPr="007F7744">
        <w:t xml:space="preserve">), </w:t>
      </w:r>
      <w:r w:rsidR="00092524" w:rsidRPr="00D325AA">
        <w:rPr>
          <w:rStyle w:val="Emphasis"/>
        </w:rPr>
        <w:t xml:space="preserve">Transmission for the generations: Response to proposal by AusNet Services transmission group pty ltd and AER issues paper for AusNet Services transmission revenue </w:t>
      </w:r>
      <w:r w:rsidR="00092524">
        <w:rPr>
          <w:rStyle w:val="Emphasis"/>
        </w:rPr>
        <w:t>review</w:t>
      </w:r>
      <w:r w:rsidR="00092524" w:rsidRPr="00D325AA">
        <w:rPr>
          <w:rStyle w:val="Emphasis"/>
        </w:rPr>
        <w:t xml:space="preserve"> 2017–22</w:t>
      </w:r>
      <w:r w:rsidR="00092524" w:rsidRPr="007F7744">
        <w:t>, February 2016</w:t>
      </w:r>
      <w:r w:rsidR="00092524">
        <w:t>, p. 41</w:t>
      </w:r>
      <w:r>
        <w:t xml:space="preserve">; </w:t>
      </w:r>
      <w:r w:rsidR="00092524" w:rsidRPr="007F7744">
        <w:t>CCP (</w:t>
      </w:r>
      <w:r w:rsidR="00092524">
        <w:t>David Headberry, Bev Hughson and David Prins</w:t>
      </w:r>
      <w:r w:rsidR="00092524" w:rsidRPr="007F7744">
        <w:t xml:space="preserve">), </w:t>
      </w:r>
      <w:r w:rsidR="00092524"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00092524" w:rsidRPr="007F7744">
        <w:t xml:space="preserve">, </w:t>
      </w:r>
      <w:r w:rsidR="00092524">
        <w:t xml:space="preserve">25 February 2016, </w:t>
      </w:r>
      <w:r w:rsidR="00092524" w:rsidRPr="007F7744">
        <w:t>p</w:t>
      </w:r>
      <w:r w:rsidR="00092524">
        <w:t>p</w:t>
      </w:r>
      <w:r w:rsidR="00092524" w:rsidRPr="007F7744">
        <w:t xml:space="preserve">. </w:t>
      </w:r>
      <w:r w:rsidR="00092524">
        <w:t xml:space="preserve">10, </w:t>
      </w:r>
      <w:r w:rsidR="00092524" w:rsidRPr="007F7744">
        <w:t>30–31</w:t>
      </w:r>
      <w:r w:rsidR="00092524">
        <w:t xml:space="preserve">, 33; </w:t>
      </w:r>
      <w:r w:rsidR="00092524" w:rsidRPr="00092524">
        <w:rPr>
          <w:rStyle w:val="Emphasis"/>
        </w:rPr>
        <w:t>CCP (Hugh Grant and David Headberry),</w:t>
      </w:r>
      <w:r w:rsidR="00092524" w:rsidRPr="00A8249A">
        <w:rPr>
          <w:rStyle w:val="AERtextitalic"/>
        </w:rPr>
        <w:t xml:space="preserve"> </w:t>
      </w:r>
      <w:r w:rsidR="00092524">
        <w:rPr>
          <w:rStyle w:val="AERtextitalic"/>
        </w:rPr>
        <w:t>S</w:t>
      </w:r>
      <w:r w:rsidR="00092524" w:rsidRPr="00A8249A">
        <w:rPr>
          <w:rStyle w:val="AERtextitalic"/>
        </w:rPr>
        <w:t>ubmission to the AER</w:t>
      </w:r>
      <w:r w:rsidR="00092524">
        <w:rPr>
          <w:rStyle w:val="AERtextitalic"/>
        </w:rPr>
        <w:t>,</w:t>
      </w:r>
      <w:r w:rsidR="00092524" w:rsidRPr="00A8249A">
        <w:rPr>
          <w:rStyle w:val="AERtextitalic"/>
        </w:rPr>
        <w:t xml:space="preserve"> Powerlink Queensland 2018</w:t>
      </w:r>
      <w:r w:rsidR="00092524">
        <w:rPr>
          <w:rStyle w:val="AERtextitalic"/>
        </w:rPr>
        <w:t>–</w:t>
      </w:r>
      <w:r w:rsidR="00092524" w:rsidRPr="00A8249A">
        <w:rPr>
          <w:rStyle w:val="AERtextitalic"/>
        </w:rPr>
        <w:t xml:space="preserve">22 </w:t>
      </w:r>
      <w:r w:rsidR="00092524">
        <w:rPr>
          <w:rStyle w:val="AERtextitalic"/>
        </w:rPr>
        <w:t>r</w:t>
      </w:r>
      <w:r w:rsidR="00092524" w:rsidRPr="00A8249A">
        <w:rPr>
          <w:rStyle w:val="AERtextitalic"/>
        </w:rPr>
        <w:t>evenue proposal</w:t>
      </w:r>
      <w:r w:rsidR="00092524">
        <w:t xml:space="preserve">, 20 June 2016; CCP (David Headberry), </w:t>
      </w:r>
      <w:r w:rsidR="00092524" w:rsidRPr="00A8249A">
        <w:rPr>
          <w:rStyle w:val="AERtextitalic"/>
        </w:rPr>
        <w:t>Response to the proposal from Tasmania's electricity distribution network service provider (TasNetworks - TND) f</w:t>
      </w:r>
      <w:r w:rsidR="00092524">
        <w:rPr>
          <w:rStyle w:val="AERtextitalic"/>
        </w:rPr>
        <w:t>or a revenue reset for the 2017–</w:t>
      </w:r>
      <w:r w:rsidR="00092524" w:rsidRPr="00A8249A">
        <w:rPr>
          <w:rStyle w:val="AERtextitalic"/>
        </w:rPr>
        <w:t>2019 regulatory period</w:t>
      </w:r>
      <w:r w:rsidR="00092524">
        <w:t>, 4 May 2016, p. 44</w:t>
      </w:r>
      <w:r>
        <w:t xml:space="preserve">; Tasmanian Small Business Council, </w:t>
      </w:r>
      <w:r w:rsidRPr="00A8249A">
        <w:rPr>
          <w:rStyle w:val="AERtextitalic"/>
        </w:rPr>
        <w:t>TasNetworks’ Electricity Distribution Regulatory Proposal, 1 July 2017 to 30 June 2019 and Tariff Structure Proposal</w:t>
      </w:r>
      <w:r>
        <w:t>, May 2016, p. 35-36</w:t>
      </w:r>
      <w:r w:rsidRPr="007F7744">
        <w:t>.</w:t>
      </w:r>
    </w:p>
  </w:footnote>
  <w:footnote w:id="148">
    <w:p w:rsidR="0007291A" w:rsidRPr="00E97B82" w:rsidRDefault="0007291A" w:rsidP="002F6FA6">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3; </w:t>
      </w:r>
      <w:r w:rsidRPr="00E435AE">
        <w:t xml:space="preserve">Origin Energy, </w:t>
      </w:r>
      <w:r w:rsidRPr="00D325AA">
        <w:rPr>
          <w:rStyle w:val="Emphasis"/>
        </w:rPr>
        <w:t>Submission on AGN’s revised access arrangement for 2016–21</w:t>
      </w:r>
      <w:r w:rsidRPr="00E435AE">
        <w:t>, February 2016</w:t>
      </w:r>
      <w:r>
        <w:t xml:space="preserve">; Origin Energy, </w:t>
      </w:r>
      <w:r w:rsidRPr="00D325AA">
        <w:rPr>
          <w:rStyle w:val="Emphasis"/>
        </w:rPr>
        <w:t>Submission on the AER’s preliminary decisions on the Victorian distribution network service providers for 2016–20</w:t>
      </w:r>
      <w:r>
        <w:t>, 6</w:t>
      </w:r>
      <w:r w:rsidRPr="006C5EF3">
        <w:t xml:space="preserve"> January 2016</w:t>
      </w:r>
      <w:r>
        <w:t xml:space="preserve">, p. 3; </w:t>
      </w:r>
      <w:r w:rsidRPr="004C3DA9">
        <w:t xml:space="preserve">Origin Energy, </w:t>
      </w:r>
      <w:r w:rsidRPr="00D325AA">
        <w:rPr>
          <w:rStyle w:val="Emphasis"/>
        </w:rPr>
        <w:t>Submission on the Victorian networks’ revised proposals (for 2016–21)</w:t>
      </w:r>
      <w:r w:rsidRPr="004C3DA9">
        <w:t xml:space="preserve">, </w:t>
      </w:r>
      <w:r>
        <w:t xml:space="preserve">4 </w:t>
      </w:r>
      <w:r w:rsidRPr="004C3DA9">
        <w:t>February 2016</w:t>
      </w:r>
      <w:r>
        <w:t>.</w:t>
      </w:r>
    </w:p>
  </w:footnote>
  <w:footnote w:id="149">
    <w:p w:rsidR="0007291A" w:rsidRDefault="0007291A" w:rsidP="002F6FA6">
      <w:pPr>
        <w:pStyle w:val="FootnoteText"/>
      </w:pPr>
      <w:r>
        <w:rPr>
          <w:rStyle w:val="FootnoteReference"/>
        </w:rPr>
        <w:footnoteRef/>
      </w:r>
      <w:r>
        <w:t xml:space="preserve"> </w:t>
      </w:r>
      <w:r>
        <w:tab/>
        <w:t xml:space="preserve">AGL, </w:t>
      </w:r>
      <w:r w:rsidRPr="00D325AA">
        <w:rPr>
          <w:rStyle w:val="Emphasis"/>
        </w:rPr>
        <w:t>Submission on the AER’s draft decision on AGN’s 2016–21 access arrangement</w:t>
      </w:r>
      <w:r>
        <w:t xml:space="preserve">, 4 </w:t>
      </w:r>
      <w:r w:rsidRPr="008F7C76">
        <w:t>February</w:t>
      </w:r>
      <w:r>
        <w:t xml:space="preserve"> 2016, p. 2.</w:t>
      </w:r>
    </w:p>
  </w:footnote>
  <w:footnote w:id="150">
    <w:p w:rsidR="0007291A" w:rsidRDefault="0007291A" w:rsidP="002F6FA6">
      <w:pPr>
        <w:pStyle w:val="FootnoteText"/>
      </w:pPr>
      <w:r>
        <w:rPr>
          <w:rStyle w:val="FootnoteReference"/>
        </w:rPr>
        <w:footnoteRef/>
      </w:r>
      <w:r>
        <w:t xml:space="preserve"> </w:t>
      </w:r>
      <w:r>
        <w:tab/>
      </w:r>
      <w:r w:rsidRPr="00D94BE5">
        <w:t xml:space="preserve">EUCV, </w:t>
      </w:r>
      <w:r w:rsidRPr="00D325AA">
        <w:rPr>
          <w:rStyle w:val="Emphasis"/>
        </w:rPr>
        <w:t>A response to AusNet revenue reset proposal for the 2017–2022 period</w:t>
      </w:r>
      <w:r w:rsidRPr="00D94BE5">
        <w:t>, 9 February 2016</w:t>
      </w:r>
      <w:r>
        <w:t>.</w:t>
      </w:r>
    </w:p>
  </w:footnote>
  <w:footnote w:id="151">
    <w:p w:rsidR="0007291A" w:rsidRDefault="0007291A" w:rsidP="002F6FA6">
      <w:pPr>
        <w:pStyle w:val="FootnoteText"/>
      </w:pPr>
      <w:r>
        <w:rPr>
          <w:rStyle w:val="FootnoteReference"/>
        </w:rPr>
        <w:footnoteRef/>
      </w:r>
      <w:r>
        <w:t xml:space="preserve"> </w:t>
      </w:r>
      <w:r>
        <w:tab/>
      </w:r>
      <w:r w:rsidR="00092524" w:rsidRPr="00ED6D11">
        <w:t>CCP (</w:t>
      </w:r>
      <w:r w:rsidR="00092524">
        <w:t>David Headberry, Bev Hughson and David Prins)</w:t>
      </w:r>
      <w:r w:rsidR="00092524" w:rsidRPr="00ED6D11">
        <w:t xml:space="preserve">, </w:t>
      </w:r>
      <w:r w:rsidR="00092524"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00092524" w:rsidRPr="00ED6D11">
        <w:t xml:space="preserve">, </w:t>
      </w:r>
      <w:r w:rsidR="00092524">
        <w:t xml:space="preserve">February 2016, </w:t>
      </w:r>
      <w:r w:rsidR="00092524" w:rsidRPr="00ED6D11">
        <w:t>p. 33</w:t>
      </w:r>
      <w:r>
        <w:t>.</w:t>
      </w:r>
    </w:p>
  </w:footnote>
  <w:footnote w:id="152">
    <w:p w:rsidR="0007291A" w:rsidRDefault="0007291A" w:rsidP="002F6FA6">
      <w:pPr>
        <w:pStyle w:val="FootnoteText"/>
      </w:pPr>
      <w:r>
        <w:rPr>
          <w:rStyle w:val="FootnoteReference"/>
        </w:rPr>
        <w:footnoteRef/>
      </w:r>
      <w:r>
        <w:t xml:space="preserve"> </w:t>
      </w:r>
      <w:r>
        <w:tab/>
      </w:r>
      <w:r w:rsidRPr="00C81C9E">
        <w:t xml:space="preserve">ECCSA, </w:t>
      </w:r>
      <w:r w:rsidRPr="00D325AA">
        <w:rPr>
          <w:rStyle w:val="Emphasis"/>
        </w:rPr>
        <w:t>A response to the AER draft decision on AGN’s AA2016 revenue rese</w:t>
      </w:r>
      <w:r w:rsidRPr="00C81C9E">
        <w:t>t, February 2016, p. 36</w:t>
      </w:r>
      <w:r>
        <w:t xml:space="preserve">; </w:t>
      </w:r>
      <w:r w:rsidR="00092524">
        <w:t xml:space="preserve">CCP (David Headberry, Bev Hughson and David Prins), </w:t>
      </w:r>
      <w:r w:rsidR="00092524" w:rsidRPr="003509CE">
        <w:t>S</w:t>
      </w:r>
      <w:r w:rsidR="00092524" w:rsidRPr="00D325AA">
        <w:rPr>
          <w:rStyle w:val="Emphasis"/>
        </w:rPr>
        <w:t>ubmission to the Australian Energy Regulator (AER): An overview Response to AER Preliminary Decisions and revised proposals from Victorian electricity distribution network service providers for a revenue reset for the 2016–2020 regulatory perio</w:t>
      </w:r>
      <w:r w:rsidR="00092524" w:rsidRPr="003509CE">
        <w:t>d</w:t>
      </w:r>
      <w:r w:rsidR="00092524">
        <w:t xml:space="preserve">, February 2016, pp. 10 &amp; 29; CCP (David Headberry), </w:t>
      </w:r>
      <w:r w:rsidR="00092524" w:rsidRPr="00A8249A">
        <w:rPr>
          <w:rStyle w:val="AERtextitalic"/>
        </w:rPr>
        <w:t>Response to the proposal from Tasmania's electricity distribution network service provider (TasNetworks - TND) f</w:t>
      </w:r>
      <w:r w:rsidR="00092524">
        <w:rPr>
          <w:rStyle w:val="AERtextitalic"/>
        </w:rPr>
        <w:t>or a revenue reset for the 2017–</w:t>
      </w:r>
      <w:r w:rsidR="00092524" w:rsidRPr="00A8249A">
        <w:rPr>
          <w:rStyle w:val="AERtextitalic"/>
        </w:rPr>
        <w:t>2019 regulatory period</w:t>
      </w:r>
      <w:r w:rsidR="00092524">
        <w:t>, 4 May 2016, p. 44</w:t>
      </w:r>
      <w:r>
        <w:t>.</w:t>
      </w:r>
    </w:p>
  </w:footnote>
  <w:footnote w:id="153">
    <w:p w:rsidR="0007291A" w:rsidRDefault="0007291A" w:rsidP="002F6FA6">
      <w:pPr>
        <w:pStyle w:val="FootnoteText"/>
      </w:pPr>
      <w:r>
        <w:rPr>
          <w:rStyle w:val="FootnoteReference"/>
        </w:rPr>
        <w:footnoteRef/>
      </w:r>
      <w:r>
        <w:t xml:space="preserve"> </w:t>
      </w:r>
      <w:r>
        <w:tab/>
      </w:r>
      <w:r w:rsidR="00092524" w:rsidRPr="00C81C9E">
        <w:t>CCP (</w:t>
      </w:r>
      <w:r w:rsidR="00092524">
        <w:t>Mark Henley and Ruth Lavery</w:t>
      </w:r>
      <w:r w:rsidR="00092524" w:rsidRPr="00C81C9E">
        <w:t xml:space="preserve">), </w:t>
      </w:r>
      <w:r w:rsidR="00092524" w:rsidRPr="00D325AA">
        <w:rPr>
          <w:rStyle w:val="Emphasis"/>
        </w:rPr>
        <w:t xml:space="preserve">Transmission for the generations: Response to proposal by AusNet Services transmission group pty ltd and AER issues paper for AusNet Services transmission revenue </w:t>
      </w:r>
      <w:r w:rsidR="00092524">
        <w:rPr>
          <w:rStyle w:val="Emphasis"/>
        </w:rPr>
        <w:t>review</w:t>
      </w:r>
      <w:r w:rsidR="00092524" w:rsidRPr="00D325AA">
        <w:rPr>
          <w:rStyle w:val="Emphasis"/>
        </w:rPr>
        <w:t xml:space="preserve"> 2017–22</w:t>
      </w:r>
      <w:r w:rsidR="00092524" w:rsidRPr="00C81C9E">
        <w:t>, February 2016</w:t>
      </w:r>
      <w:r w:rsidR="00092524">
        <w:t xml:space="preserve">; </w:t>
      </w:r>
      <w:r w:rsidR="00092524" w:rsidRPr="009751A6">
        <w:t xml:space="preserve">Origin Energy, </w:t>
      </w:r>
      <w:r w:rsidR="00092524" w:rsidRPr="00D325AA">
        <w:rPr>
          <w:rStyle w:val="Emphasis"/>
        </w:rPr>
        <w:t>Submission on ActewAGL’s revised access arrangement for 2016–21</w:t>
      </w:r>
      <w:r w:rsidR="00092524" w:rsidRPr="009751A6">
        <w:t>, 4 February 2016</w:t>
      </w:r>
      <w:r w:rsidR="00092524">
        <w:t xml:space="preserve">, p. 3; </w:t>
      </w:r>
      <w:r w:rsidR="00092524" w:rsidRPr="00C81C9E">
        <w:t xml:space="preserve">Origin Energy, </w:t>
      </w:r>
      <w:r w:rsidR="00092524" w:rsidRPr="00D325AA">
        <w:rPr>
          <w:rStyle w:val="Emphasis"/>
        </w:rPr>
        <w:t>Submission on AGN’s revised access arrangement for 2016–21</w:t>
      </w:r>
      <w:r w:rsidR="00092524" w:rsidRPr="00C81C9E">
        <w:t xml:space="preserve">, February 2016; Origin Energy, </w:t>
      </w:r>
      <w:r w:rsidR="00092524" w:rsidRPr="00D325AA">
        <w:rPr>
          <w:rStyle w:val="Emphasis"/>
        </w:rPr>
        <w:t>Submission on the AER’s preliminary decisions on the Victorian distribution network service providers for 2016–20</w:t>
      </w:r>
      <w:r w:rsidR="00092524" w:rsidRPr="00C81C9E">
        <w:t>, 6 January 2016, p. 3</w:t>
      </w:r>
      <w:r w:rsidR="00092524">
        <w:t xml:space="preserve">; </w:t>
      </w:r>
      <w:r w:rsidR="00092524" w:rsidRPr="00C81C9E">
        <w:t xml:space="preserve">Origin Energy, </w:t>
      </w:r>
      <w:r w:rsidR="00092524" w:rsidRPr="00D325AA">
        <w:rPr>
          <w:rStyle w:val="Emphasis"/>
        </w:rPr>
        <w:t>Submission on the Victorian networks’ revised proposals (for 2016–21</w:t>
      </w:r>
      <w:r w:rsidR="00092524" w:rsidRPr="00C81C9E">
        <w:t>), 4 February 2016</w:t>
      </w:r>
      <w:r w:rsidR="00092524">
        <w:t xml:space="preserve">; </w:t>
      </w:r>
      <w:r w:rsidR="00092524" w:rsidRPr="00C81C9E">
        <w:t>VECUA</w:t>
      </w:r>
      <w:r w:rsidR="00092524" w:rsidRPr="00D325AA">
        <w:rPr>
          <w:rStyle w:val="Emphasis"/>
        </w:rPr>
        <w:t>, Submission on the AER: AER preliminary 2016–20 revenue determinations for the Victorian DNSPs</w:t>
      </w:r>
      <w:r w:rsidR="00092524" w:rsidRPr="00C81C9E">
        <w:t>, 6 January 2016, p</w:t>
      </w:r>
      <w:r w:rsidR="00092524">
        <w:t>p</w:t>
      </w:r>
      <w:r w:rsidR="00092524" w:rsidRPr="00C81C9E">
        <w:t>. 2</w:t>
      </w:r>
      <w:r w:rsidR="00092524">
        <w:t xml:space="preserve">, 11–12; </w:t>
      </w:r>
      <w:r w:rsidR="00092524" w:rsidRPr="00BA5498">
        <w:t>CCP (</w:t>
      </w:r>
      <w:r w:rsidR="00092524">
        <w:t>David Headberry, Bev Hughson and David Prins</w:t>
      </w:r>
      <w:r w:rsidR="00092524" w:rsidRPr="00BA5498">
        <w:t xml:space="preserve">), </w:t>
      </w:r>
      <w:r w:rsidR="00092524" w:rsidRPr="00BA5498">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00092524" w:rsidRPr="00BA5498">
        <w:t xml:space="preserve">, </w:t>
      </w:r>
      <w:r w:rsidR="00092524">
        <w:t xml:space="preserve">25 February 2016, </w:t>
      </w:r>
      <w:r w:rsidR="00092524" w:rsidRPr="00BA5498">
        <w:t>p</w:t>
      </w:r>
      <w:r w:rsidR="00092524">
        <w:t>p</w:t>
      </w:r>
      <w:r w:rsidR="00092524" w:rsidRPr="00BA5498">
        <w:t>. 30–31</w:t>
      </w:r>
      <w:r w:rsidRPr="00BA5498">
        <w:t>.</w:t>
      </w:r>
    </w:p>
  </w:footnote>
  <w:footnote w:id="154">
    <w:p w:rsidR="0007291A" w:rsidRDefault="0007291A" w:rsidP="002F6FA6">
      <w:pPr>
        <w:pStyle w:val="FootnoteText"/>
      </w:pPr>
      <w:r>
        <w:rPr>
          <w:rStyle w:val="FootnoteReference"/>
        </w:rPr>
        <w:footnoteRef/>
      </w:r>
      <w:r>
        <w:t xml:space="preserve"> </w:t>
      </w:r>
      <w:r>
        <w:tab/>
        <w:t xml:space="preserve">We received many stakeholder submissions supporting our guideline approach including: </w:t>
      </w:r>
      <w:r w:rsidRPr="009751A6">
        <w:t>Origin Energy</w:t>
      </w:r>
      <w:r w:rsidRPr="00D325AA">
        <w:rPr>
          <w:rStyle w:val="Emphasis"/>
        </w:rPr>
        <w:t>, Submission on ActewAGL’s revised access arrangement for 2016–21</w:t>
      </w:r>
      <w:r w:rsidRPr="009751A6">
        <w:t>, 4 February 2016</w:t>
      </w:r>
      <w:r>
        <w:t xml:space="preserve">, p. 3; </w:t>
      </w:r>
      <w:r w:rsidRPr="003D4E86">
        <w:t xml:space="preserve">Origin Energy, </w:t>
      </w:r>
      <w:r w:rsidRPr="00D325AA">
        <w:rPr>
          <w:rStyle w:val="Emphasis"/>
        </w:rPr>
        <w:t>Submission on AGN’s revised access arrangement for 2016–21</w:t>
      </w:r>
      <w:r w:rsidRPr="003D4E86">
        <w:t xml:space="preserve">, February 2016; Origin Energy, </w:t>
      </w:r>
      <w:r w:rsidRPr="00D325AA">
        <w:rPr>
          <w:rStyle w:val="Emphasis"/>
        </w:rPr>
        <w:t>Submission on the AER’s preliminary decisions on the Victorian distribution network service providers for 2016–20</w:t>
      </w:r>
      <w:r w:rsidRPr="003D4E86">
        <w:t>, 6 January 2016, p. 3</w:t>
      </w:r>
      <w:r>
        <w:t xml:space="preserve">; </w:t>
      </w:r>
      <w:r w:rsidRPr="003D4E86">
        <w:t xml:space="preserve">Origin Energy, </w:t>
      </w:r>
      <w:r w:rsidRPr="00D325AA">
        <w:rPr>
          <w:rStyle w:val="Emphasis"/>
        </w:rPr>
        <w:t>Submission on the Victorian networks’ revised proposals (for 2016–21</w:t>
      </w:r>
      <w:r w:rsidRPr="003D4E86">
        <w:t>), 4 February 2016</w:t>
      </w:r>
      <w:r>
        <w:t xml:space="preserve">; AGL, </w:t>
      </w:r>
      <w:r w:rsidRPr="00D325AA">
        <w:rPr>
          <w:rStyle w:val="Emphasis"/>
        </w:rPr>
        <w:t>Submission on the AER’s draft decision on AGN’s 2016–21 access arrangement</w:t>
      </w:r>
      <w:r w:rsidRPr="003D4E86">
        <w:t>, 4 February 2016, p. 2</w:t>
      </w:r>
      <w:r>
        <w:t xml:space="preserve">; </w:t>
      </w:r>
      <w:r w:rsidRPr="00192848">
        <w:t xml:space="preserve">Victorian Government, </w:t>
      </w:r>
      <w:r w:rsidRPr="00D325AA">
        <w:rPr>
          <w:rStyle w:val="Emphasis"/>
        </w:rPr>
        <w:t>Submission on the Victorian electricity distribution network service providers’ revised regulatory proposals for 2016–20</w:t>
      </w:r>
      <w:r w:rsidRPr="00192848">
        <w:t>, 12 February 2016</w:t>
      </w:r>
      <w:r>
        <w:t xml:space="preserve">, p. 1–2; </w:t>
      </w:r>
      <w:r w:rsidRPr="00192848">
        <w:t xml:space="preserve">EUCV, </w:t>
      </w:r>
      <w:r w:rsidRPr="00D325AA">
        <w:rPr>
          <w:rStyle w:val="Emphasis"/>
        </w:rPr>
        <w:t>A response to AusNet revenue reset proposal for the 2017–2022 period</w:t>
      </w:r>
      <w:r w:rsidRPr="00192848">
        <w:t>, 9 February 2016</w:t>
      </w:r>
      <w:r>
        <w:t xml:space="preserve">; </w:t>
      </w:r>
      <w:r w:rsidR="00092524" w:rsidRPr="00192848">
        <w:t>CCP (</w:t>
      </w:r>
      <w:r w:rsidR="00092524">
        <w:t>Mark Henley and Ruth Lavery</w:t>
      </w:r>
      <w:r w:rsidR="00092524" w:rsidRPr="00192848">
        <w:t xml:space="preserve">), </w:t>
      </w:r>
      <w:r w:rsidR="00092524" w:rsidRPr="00D325AA">
        <w:rPr>
          <w:rStyle w:val="Emphasis"/>
        </w:rPr>
        <w:t xml:space="preserve">Transmission for the generations: Response to proposal by AusNet Services transmission group pty ltd and AER issues paper for AusNet Services transmission revenue </w:t>
      </w:r>
      <w:r w:rsidR="00092524">
        <w:rPr>
          <w:rStyle w:val="Emphasis"/>
        </w:rPr>
        <w:t>review</w:t>
      </w:r>
      <w:r w:rsidR="00092524" w:rsidRPr="00D325AA">
        <w:rPr>
          <w:rStyle w:val="Emphasis"/>
        </w:rPr>
        <w:t xml:space="preserve"> 2017–22</w:t>
      </w:r>
      <w:r w:rsidR="00092524" w:rsidRPr="00192848">
        <w:t>, February 2016</w:t>
      </w:r>
      <w:r w:rsidR="00092524">
        <w:t xml:space="preserve">;  CCP (David Headberry, Bev Hughson and David Prins), </w:t>
      </w:r>
      <w:r w:rsidR="00092524"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00092524">
        <w:t xml:space="preserve">, 25 February 2016, p. 30; CCP (David Prins and Robyn Robinson), </w:t>
      </w:r>
      <w:r w:rsidR="00092524" w:rsidRPr="00D325AA">
        <w:rPr>
          <w:rStyle w:val="Emphasis"/>
        </w:rPr>
        <w:t>Advice to AER from Consumer Challenger Panel sub-panel 8 regarding the AER Draft Decision and Australian Gas Networks’ (SA) Revised Access Arrangement 2016–21 Proposal</w:t>
      </w:r>
      <w:r w:rsidR="00092524">
        <w:t>, 31 March 2016, p. 2</w:t>
      </w:r>
      <w:r>
        <w:t>.</w:t>
      </w:r>
    </w:p>
  </w:footnote>
  <w:footnote w:id="155">
    <w:p w:rsidR="0007291A" w:rsidRDefault="0007291A" w:rsidP="007D4F36">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6">
    <w:p w:rsidR="0007291A" w:rsidRDefault="0007291A" w:rsidP="007D4F36">
      <w:pPr>
        <w:pStyle w:val="FootnoteText"/>
      </w:pPr>
      <w:r>
        <w:rPr>
          <w:rStyle w:val="FootnoteReference"/>
        </w:rPr>
        <w:footnoteRef/>
      </w:r>
      <w:r>
        <w:t xml:space="preserve"> </w:t>
      </w:r>
      <w:r>
        <w:tab/>
        <w:t>As set out in NER cl.6; NER cl. 6A; NGR r.87.</w:t>
      </w:r>
    </w:p>
  </w:footnote>
  <w:footnote w:id="157">
    <w:p w:rsidR="0007291A" w:rsidRDefault="0007291A" w:rsidP="007D4F36">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8">
    <w:p w:rsidR="0007291A" w:rsidRDefault="0007291A" w:rsidP="002F6FA6">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59">
    <w:p w:rsidR="0007291A" w:rsidRDefault="0007291A" w:rsidP="002F6FA6">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60">
    <w:p w:rsidR="0007291A" w:rsidRDefault="0007291A" w:rsidP="00176F7E">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61">
    <w:p w:rsidR="0007291A" w:rsidRDefault="0007291A" w:rsidP="00176F7E">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62">
    <w:p w:rsidR="0007291A" w:rsidRDefault="0007291A" w:rsidP="00176F7E">
      <w:pPr>
        <w:pStyle w:val="FootnoteText"/>
      </w:pPr>
      <w:r>
        <w:rPr>
          <w:rStyle w:val="FootnoteReference"/>
        </w:rPr>
        <w:footnoteRef/>
      </w:r>
      <w:r>
        <w:t xml:space="preserve"> </w:t>
      </w:r>
      <w:r>
        <w:tab/>
      </w:r>
      <w:r w:rsidRPr="000A57D5">
        <w:t xml:space="preserve">See Brealey, Myers, Partington and Robinson, </w:t>
      </w:r>
      <w:r w:rsidRPr="000A57D5">
        <w:rPr>
          <w:rStyle w:val="AERtextitalic"/>
        </w:rPr>
        <w:t>Principles of corporate finance</w:t>
      </w:r>
      <w:r w:rsidRPr="000A57D5">
        <w:t xml:space="preserve">, McGraw Hill Australia, 2007, p. 216; Stephan Schaeffler and Christoph Weber, ‘The Cost of Equity of Network Operators – Empirical Evidence and Regulatory Practice’, </w:t>
      </w:r>
      <w:r w:rsidRPr="000A57D5">
        <w:rPr>
          <w:rStyle w:val="AERtextitalic"/>
        </w:rPr>
        <w:t>Competition and Regulation in Network Industries</w:t>
      </w:r>
      <w:r w:rsidRPr="000A57D5">
        <w:t xml:space="preserve">, 14(4), 2013, p. 386; McKenzie and Partington, </w:t>
      </w:r>
      <w:r w:rsidRPr="000A57D5">
        <w:rPr>
          <w:rStyle w:val="AERtextitalic"/>
        </w:rPr>
        <w:t>Report to the AER part A: Return on equity</w:t>
      </w:r>
      <w:r w:rsidRPr="000A57D5">
        <w:t xml:space="preserve">, October 2014, pp. 9–10; AER, </w:t>
      </w:r>
      <w:r w:rsidRPr="000A57D5">
        <w:rPr>
          <w:rStyle w:val="AERtextitalic"/>
        </w:rPr>
        <w:t>Explanatory statement rate of return guideline (appendices)</w:t>
      </w:r>
      <w:r w:rsidRPr="000A57D5">
        <w:t>, 17 December 2013, pp. 13–14.</w:t>
      </w:r>
    </w:p>
  </w:footnote>
  <w:footnote w:id="163">
    <w:p w:rsidR="0007291A" w:rsidRDefault="0007291A" w:rsidP="00766020">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 </w:t>
      </w:r>
      <w:r w:rsidRPr="00717048">
        <w:t>Queensland Resources Council, Submission on Powerlink regulatory proposal 2017–22, 29 April 2016</w:t>
      </w:r>
      <w:r>
        <w:t xml:space="preserve">; </w:t>
      </w:r>
      <w:r w:rsidR="00092524" w:rsidRPr="00717048">
        <w:t>CCP (David Headberry</w:t>
      </w:r>
      <w:r w:rsidR="00092524">
        <w:t>)</w:t>
      </w:r>
      <w:r w:rsidR="00092524" w:rsidRPr="00717048">
        <w:t xml:space="preserve">, </w:t>
      </w:r>
      <w:r w:rsidR="00092524" w:rsidRPr="00903F9A">
        <w:rPr>
          <w:rStyle w:val="Emphasis"/>
        </w:rPr>
        <w:t>Response to the proposal from Tasmania’s electricity distribution network service provider (TasNetworks – TND) for a revenue reset for the 2017–2019 regulatory period</w:t>
      </w:r>
      <w:r w:rsidR="00092524" w:rsidRPr="00717048">
        <w:t>, 4 May 2016</w:t>
      </w:r>
      <w:r>
        <w:t xml:space="preserve">; </w:t>
      </w:r>
      <w:r w:rsidRPr="00717048">
        <w:t>TasCOSS, Submission to AER re TasNetworks revenue proposal 2017–19, 28 April 2016</w:t>
      </w:r>
      <w:r>
        <w:t xml:space="preserve">; </w:t>
      </w:r>
      <w:r w:rsidRPr="00717048">
        <w:t>Tasmanian Small Business Council, submission on TasNetworks’ electricity distribution regulatory proposal 1 July 2017 to 30 June 2019 and tariff structure proposal, May 2016</w:t>
      </w:r>
      <w:r>
        <w:t>.</w:t>
      </w:r>
    </w:p>
  </w:footnote>
  <w:footnote w:id="164">
    <w:p w:rsidR="0007291A" w:rsidRDefault="0007291A" w:rsidP="00176F7E">
      <w:pPr>
        <w:pStyle w:val="FootnoteText"/>
      </w:pPr>
      <w:r>
        <w:rPr>
          <w:rStyle w:val="FootnoteReference"/>
        </w:rPr>
        <w:footnoteRef/>
      </w:r>
      <w:r>
        <w:t xml:space="preserve"> </w:t>
      </w:r>
      <w:r>
        <w:tab/>
      </w:r>
      <w:r w:rsidRPr="00177FBB">
        <w:t xml:space="preserve">There are some variations between the service providers </w:t>
      </w:r>
      <w:r>
        <w:t>on</w:t>
      </w:r>
      <w:r w:rsidRPr="00177FBB">
        <w:t xml:space="preserve"> weighting the estimates </w:t>
      </w:r>
      <w:r>
        <w:t xml:space="preserve">from the </w:t>
      </w:r>
      <w:r w:rsidRPr="00177FBB">
        <w:t xml:space="preserve">different </w:t>
      </w:r>
      <w:r>
        <w:t xml:space="preserve">models, </w:t>
      </w:r>
      <w:r w:rsidRPr="00177FBB">
        <w:t>but the general approach and rationale remain broadly consistent.</w:t>
      </w:r>
      <w:r>
        <w:t xml:space="preserve"> Service providers provided new expert reports from Frontier and HoustonKemp to further support their views (see: </w:t>
      </w:r>
      <w:r w:rsidRPr="00177FBB">
        <w:t xml:space="preserve">Frontier Economics, The </w:t>
      </w:r>
      <w:r w:rsidRPr="00177FBB">
        <w:rPr>
          <w:rStyle w:val="AERtextitalic"/>
        </w:rPr>
        <w:t xml:space="preserve">required return on equity under a foundation model approach – Report prepared for Jemena </w:t>
      </w:r>
      <w:r>
        <w:rPr>
          <w:rStyle w:val="AERtextitalic"/>
        </w:rPr>
        <w:t>Electricity</w:t>
      </w:r>
      <w:r w:rsidRPr="00177FBB">
        <w:rPr>
          <w:rStyle w:val="AERtextitalic"/>
        </w:rPr>
        <w:t xml:space="preserve">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r>
        <w:t>).</w:t>
      </w:r>
    </w:p>
  </w:footnote>
  <w:footnote w:id="165">
    <w:p w:rsidR="0007291A" w:rsidRDefault="0007291A" w:rsidP="00766020">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66">
    <w:p w:rsidR="0007291A" w:rsidRDefault="0007291A" w:rsidP="00766020">
      <w:pPr>
        <w:pStyle w:val="FootnoteText"/>
      </w:pPr>
      <w:r>
        <w:rPr>
          <w:rStyle w:val="FootnoteReference"/>
        </w:rPr>
        <w:footnoteRef/>
      </w:r>
      <w:r>
        <w:t xml:space="preserve"> </w:t>
      </w:r>
      <w:r>
        <w:tab/>
        <w:t xml:space="preserve">For example, Partington noted that any return on equity estimate could be obtained from SFG’s construction of the dividend growth model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167">
    <w:p w:rsidR="0007291A" w:rsidRDefault="0007291A" w:rsidP="002F6FA6">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68">
    <w:p w:rsidR="0007291A" w:rsidRDefault="0007291A" w:rsidP="000A61FA">
      <w:pPr>
        <w:pStyle w:val="FootnoteText"/>
      </w:pPr>
      <w:r>
        <w:rPr>
          <w:rStyle w:val="FootnoteReference"/>
        </w:rPr>
        <w:footnoteRef/>
      </w:r>
      <w:r>
        <w:t xml:space="preserve"> </w:t>
      </w:r>
      <w:r>
        <w:tab/>
        <w:t xml:space="preserve">The bottom of the range is from the ESCV and ESCOSA. The top of the range is from IPART. See section </w:t>
      </w:r>
      <w:r>
        <w:fldChar w:fldCharType="begin"/>
      </w:r>
      <w:r>
        <w:instrText xml:space="preserve"> REF _Ref456978726 \r \h </w:instrText>
      </w:r>
      <w:r>
        <w:fldChar w:fldCharType="separate"/>
      </w:r>
      <w:r w:rsidR="00691B4D">
        <w:t>A.4.4</w:t>
      </w:r>
      <w:r>
        <w:fldChar w:fldCharType="end"/>
      </w:r>
      <w:r>
        <w:t xml:space="preserve"> </w:t>
      </w:r>
      <w:r w:rsidRPr="00507540">
        <w:t xml:space="preserve">for </w:t>
      </w:r>
      <w:r>
        <w:t xml:space="preserve">a </w:t>
      </w:r>
      <w:r w:rsidRPr="00507540">
        <w:t>full reference list.</w:t>
      </w:r>
    </w:p>
  </w:footnote>
  <w:footnote w:id="169">
    <w:p w:rsidR="0007291A" w:rsidRDefault="0007291A" w:rsidP="000A61FA">
      <w:pPr>
        <w:pStyle w:val="FootnoteText"/>
      </w:pPr>
      <w:r>
        <w:rPr>
          <w:rStyle w:val="FootnoteReference"/>
        </w:rPr>
        <w:footnoteRef/>
      </w:r>
      <w:r>
        <w:t xml:space="preserve"> </w:t>
      </w:r>
      <w:r>
        <w:tab/>
      </w:r>
      <w:r w:rsidR="00092524">
        <w:t xml:space="preserve">The bottom of the range comes from CCP (Hugh Grant and David Headberry), </w:t>
      </w:r>
      <w:r w:rsidR="00092524" w:rsidRPr="00132063">
        <w:rPr>
          <w:rStyle w:val="AERtextitalic"/>
        </w:rPr>
        <w:t xml:space="preserve">Submission to the AER Powerlink Queensland 2018-22 </w:t>
      </w:r>
      <w:r w:rsidR="00092524">
        <w:rPr>
          <w:rStyle w:val="AERtextitalic"/>
        </w:rPr>
        <w:t>r</w:t>
      </w:r>
      <w:r w:rsidR="00092524" w:rsidRPr="00132063">
        <w:rPr>
          <w:rStyle w:val="AERtextitalic"/>
        </w:rPr>
        <w:t xml:space="preserve">evenue </w:t>
      </w:r>
      <w:r w:rsidR="00092524">
        <w:rPr>
          <w:rStyle w:val="AERtextitalic"/>
        </w:rPr>
        <w:t>p</w:t>
      </w:r>
      <w:r w:rsidR="00092524" w:rsidRPr="00132063">
        <w:rPr>
          <w:rStyle w:val="AERtextitalic"/>
        </w:rPr>
        <w:t>roposal</w:t>
      </w:r>
      <w:r w:rsidR="00092524">
        <w:t>, 20 June 2016, p. 4</w:t>
      </w:r>
      <w:r>
        <w:t xml:space="preserve">. The top of the range comes from Tasmanian Council of Social Services, </w:t>
      </w:r>
      <w:r w:rsidRPr="00132063">
        <w:rPr>
          <w:rStyle w:val="AERtextitalic"/>
        </w:rPr>
        <w:t>Submission to the AER re TasNetworks' regulatory proposal 2017-19</w:t>
      </w:r>
      <w:r>
        <w:t xml:space="preserve">, 28 April 2016, p. 2; Queensland Resources Council, </w:t>
      </w:r>
      <w:r w:rsidRPr="00132063">
        <w:rPr>
          <w:rStyle w:val="AERtextitalic"/>
        </w:rPr>
        <w:t>Submission on Powerlink's 2017-22 revenue proposal</w:t>
      </w:r>
      <w:r>
        <w:t xml:space="preserve">, 29 April 2016, pp. 1-2; and Energy Users' Coalition of Victoria, </w:t>
      </w:r>
      <w:r w:rsidRPr="00132063">
        <w:rPr>
          <w:rStyle w:val="AERtextitalic"/>
        </w:rPr>
        <w:t>A response to AusNet revenue reset proposal for the 2017-2022 period</w:t>
      </w:r>
      <w:r>
        <w:t>, 9 February 2016, p. 40.</w:t>
      </w:r>
    </w:p>
  </w:footnote>
  <w:footnote w:id="170">
    <w:p w:rsidR="0007291A" w:rsidRDefault="0007291A" w:rsidP="002F6FA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 xml:space="preserve">12;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171">
    <w:p w:rsidR="0007291A" w:rsidRDefault="0007291A" w:rsidP="002F6FA6">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 xml:space="preserve">6, p. 17. </w:t>
      </w:r>
    </w:p>
  </w:footnote>
  <w:footnote w:id="172">
    <w:p w:rsidR="0007291A" w:rsidRDefault="0007291A" w:rsidP="002F6FA6">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6.</w:t>
      </w:r>
    </w:p>
  </w:footnote>
  <w:footnote w:id="173">
    <w:p w:rsidR="0007291A" w:rsidRDefault="0007291A" w:rsidP="002F6FA6">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36.</w:t>
      </w:r>
    </w:p>
  </w:footnote>
  <w:footnote w:id="174">
    <w:p w:rsidR="0007291A" w:rsidRDefault="0007291A" w:rsidP="002F6FA6">
      <w:pPr>
        <w:pStyle w:val="FootnoteText"/>
      </w:pPr>
      <w:r>
        <w:rPr>
          <w:rStyle w:val="FootnoteReference"/>
        </w:rPr>
        <w:footnoteRef/>
      </w:r>
      <w:r>
        <w:t xml:space="preserve"> </w:t>
      </w:r>
      <w:r>
        <w:tab/>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p. 3.</w:t>
      </w:r>
    </w:p>
  </w:footnote>
  <w:footnote w:id="175">
    <w:p w:rsidR="0007291A" w:rsidRDefault="0007291A">
      <w:pPr>
        <w:pStyle w:val="FootnoteText"/>
      </w:pPr>
      <w:r>
        <w:rPr>
          <w:rStyle w:val="FootnoteReference"/>
        </w:rPr>
        <w:footnoteRef/>
      </w:r>
      <w:r>
        <w:t xml:space="preserve"> </w:t>
      </w:r>
      <w:r>
        <w:tab/>
      </w:r>
      <w:r w:rsidRPr="006B41FE">
        <w:t xml:space="preserve">Tasmanian Small Business Council , </w:t>
      </w:r>
      <w:r w:rsidRPr="006B41FE">
        <w:rPr>
          <w:rStyle w:val="AERtextitalic"/>
        </w:rPr>
        <w:t>Submission on TasNetworks' regulatory proposal</w:t>
      </w:r>
      <w:r w:rsidRPr="006B41FE">
        <w:t xml:space="preserve"> , May 2016, p. 36.</w:t>
      </w:r>
    </w:p>
  </w:footnote>
  <w:footnote w:id="176">
    <w:p w:rsidR="0007291A" w:rsidRDefault="0007291A" w:rsidP="002F6FA6">
      <w:pPr>
        <w:pStyle w:val="FootnoteText"/>
      </w:pPr>
      <w:r>
        <w:rPr>
          <w:rStyle w:val="FootnoteReference"/>
        </w:rPr>
        <w:footnoteRef/>
      </w:r>
      <w:r>
        <w:t xml:space="preserve"> </w:t>
      </w:r>
      <w:r>
        <w:tab/>
      </w:r>
      <w:r w:rsidR="002F2E36">
        <w:t xml:space="preserve">CCP (Mark Henley and Ruth Lavery), </w:t>
      </w:r>
      <w:r w:rsidR="002F2E36" w:rsidRPr="00DA67DD">
        <w:rPr>
          <w:rStyle w:val="AERtextitalic"/>
        </w:rPr>
        <w:t>Transmission for the generations: Response to proposal by AusNet Services Transmission Group and AER issues paper</w:t>
      </w:r>
      <w:r w:rsidR="002F2E36">
        <w:t>, February 2016, p. 6</w:t>
      </w:r>
      <w:r>
        <w:t>.</w:t>
      </w:r>
    </w:p>
  </w:footnote>
  <w:footnote w:id="177">
    <w:p w:rsidR="0007291A" w:rsidRDefault="0007291A">
      <w:pPr>
        <w:pStyle w:val="FootnoteText"/>
      </w:pPr>
      <w:r>
        <w:rPr>
          <w:rStyle w:val="FootnoteReference"/>
        </w:rPr>
        <w:footnoteRef/>
      </w:r>
      <w:r>
        <w:t xml:space="preserve"> </w:t>
      </w:r>
      <w:r>
        <w:tab/>
      </w:r>
      <w:r w:rsidRPr="00920D10">
        <w:t xml:space="preserve">HoustonKemp, The cost of equity: Response to the AER's draft decisions for the Victorian electricity distributors, ActewAGL Distribution and Australian Gas Networks, January 2016, pp. 48. </w:t>
      </w:r>
      <w:r>
        <w:t xml:space="preserve"> </w:t>
      </w:r>
    </w:p>
  </w:footnote>
  <w:footnote w:id="178">
    <w:p w:rsidR="0007291A" w:rsidRDefault="0007291A" w:rsidP="009039BE">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r>
        <w:t xml:space="preserve"> Further, w</w:t>
      </w:r>
      <w:r w:rsidRPr="00E304C8">
        <w:t xml:space="preserve">e are not </w:t>
      </w:r>
      <w:r w:rsidRPr="00142CCD">
        <w:t>satisfied</w:t>
      </w:r>
      <w:r w:rsidRPr="00E304C8">
        <w:t xml:space="preserve"> that there is evidence of a widespread 'flight to quality' among investors in </w:t>
      </w:r>
      <w:r>
        <w:t>prevailing</w:t>
      </w:r>
      <w:r w:rsidRPr="00E304C8">
        <w:t xml:space="preserve"> market conditions</w:t>
      </w:r>
      <w:r>
        <w:t xml:space="preserve"> that would impact the market risk premium</w:t>
      </w:r>
      <w:r w:rsidRPr="00E304C8">
        <w:t xml:space="preserve">. </w:t>
      </w:r>
      <w:r>
        <w:t xml:space="preserve">This can be seen in our consideration of conditioning variables, survey evidence, valuation reports, and broker reports. Further, Partington and the RBA noted that investors can engage in a 'search for yield' during periods of low interest rate, which can lead to a decrease in the market risk premium expected by investors (see: Partington, </w:t>
      </w:r>
      <w:r w:rsidRPr="00B342F3">
        <w:rPr>
          <w:rStyle w:val="AERtextitalic"/>
        </w:rPr>
        <w:t>Report to the AER: Return on equity (</w:t>
      </w:r>
      <w:r>
        <w:rPr>
          <w:rStyle w:val="AERtextitalic"/>
        </w:rPr>
        <w:t>u</w:t>
      </w:r>
      <w:r w:rsidRPr="00B342F3">
        <w:rPr>
          <w:rStyle w:val="AERtextitalic"/>
        </w:rPr>
        <w:t>pdated)</w:t>
      </w:r>
      <w:r>
        <w:t xml:space="preserve">, April 2015, p. 72; RBA, </w:t>
      </w:r>
      <w:r w:rsidRPr="00291275">
        <w:rPr>
          <w:rStyle w:val="AERtextitalic"/>
        </w:rPr>
        <w:t>Statement of Monetary Policy</w:t>
      </w:r>
      <w:r>
        <w:t>, February 2005, p. 24).</w:t>
      </w:r>
    </w:p>
  </w:footnote>
  <w:footnote w:id="179">
    <w:p w:rsidR="0007291A" w:rsidRDefault="0007291A" w:rsidP="004D2EE1">
      <w:pPr>
        <w:pStyle w:val="FootnoteText"/>
      </w:pPr>
      <w:r>
        <w:rPr>
          <w:rStyle w:val="FootnoteReference"/>
        </w:rPr>
        <w:footnoteRef/>
      </w:r>
      <w:r>
        <w:t xml:space="preserve"> </w:t>
      </w:r>
      <w:r>
        <w:tab/>
        <w:t xml:space="preserve">See, for example, </w:t>
      </w:r>
      <w:r w:rsidRPr="00312C8A">
        <w:t xml:space="preserve">SFG, </w:t>
      </w:r>
      <w:r w:rsidRPr="00312C8A">
        <w:rPr>
          <w:rStyle w:val="AERtextitalic"/>
        </w:rPr>
        <w:t>The required return on equity for regulated gas and electricity network businesses</w:t>
      </w:r>
      <w:r>
        <w:t xml:space="preserve">, May 2014, pp. 8, 84. Service providers typically provided updated estimates based on this SFG approach and updated by Frontier Economics - see: Frontier Economics, </w:t>
      </w:r>
      <w:r w:rsidRPr="00DA67DD">
        <w:rPr>
          <w:rStyle w:val="AERtextitalic"/>
        </w:rPr>
        <w:t>The required return on equity under a foundation model approach</w:t>
      </w:r>
      <w:r>
        <w:t>, January 2016, p. 34.</w:t>
      </w:r>
    </w:p>
  </w:footnote>
  <w:footnote w:id="180">
    <w:p w:rsidR="0007291A" w:rsidRDefault="0007291A" w:rsidP="002F6FA6">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181">
    <w:p w:rsidR="0007291A" w:rsidRDefault="0007291A" w:rsidP="002F6FA6">
      <w:pPr>
        <w:pStyle w:val="FootnoteText"/>
      </w:pPr>
      <w:r>
        <w:rPr>
          <w:rStyle w:val="FootnoteReference"/>
        </w:rPr>
        <w:footnoteRef/>
      </w:r>
      <w:r>
        <w:t xml:space="preserve"> </w:t>
      </w:r>
      <w:r>
        <w:tab/>
        <w:t>More precisely, standard control services, see:</w:t>
      </w:r>
      <w:r w:rsidRPr="00AF5DB3">
        <w:t xml:space="preserve"> </w:t>
      </w:r>
      <w:r>
        <w:t>NER, cl. 6.5.2(c). For transmission network service providers the rules refer to prescribed transmission services, see NER, cl. 6A.6.2(c). For gas network service providers the rules refer to reference services, see NGR, r. 87(3).</w:t>
      </w:r>
    </w:p>
  </w:footnote>
  <w:footnote w:id="182">
    <w:p w:rsidR="0007291A" w:rsidRDefault="0007291A" w:rsidP="002F6FA6">
      <w:pPr>
        <w:pStyle w:val="FootnoteText"/>
      </w:pPr>
      <w:r>
        <w:rPr>
          <w:rStyle w:val="FootnoteReference"/>
        </w:rPr>
        <w:footnoteRef/>
      </w:r>
      <w:r>
        <w:t xml:space="preserve"> </w:t>
      </w:r>
      <w:r>
        <w:tab/>
        <w:t>More precisely, an efficient business (or benchmark efficient entity) with a similar degree of risk as that which applies to TasNetworks in the provision of standard control services.</w:t>
      </w:r>
    </w:p>
  </w:footnote>
  <w:footnote w:id="183">
    <w:p w:rsidR="0007291A" w:rsidRDefault="0007291A" w:rsidP="002F6FA6">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184">
    <w:p w:rsidR="0007291A" w:rsidRDefault="0007291A" w:rsidP="002F6FA6">
      <w:pPr>
        <w:pStyle w:val="FootnoteText"/>
      </w:pPr>
      <w:r>
        <w:rPr>
          <w:rStyle w:val="FootnoteReference"/>
        </w:rPr>
        <w:footnoteRef/>
      </w:r>
      <w:r>
        <w:t xml:space="preserve"> </w:t>
      </w:r>
      <w:r>
        <w:tab/>
        <w:t>However, the Black CAPM replaces this with an assumption of unlimited ability to short sell stocks.</w:t>
      </w:r>
    </w:p>
  </w:footnote>
  <w:footnote w:id="185">
    <w:p w:rsidR="0007291A" w:rsidRDefault="0007291A">
      <w:pPr>
        <w:pStyle w:val="FootnoteText"/>
      </w:pPr>
      <w:r>
        <w:rPr>
          <w:rStyle w:val="FootnoteReference"/>
        </w:rPr>
        <w:footnoteRef/>
      </w:r>
      <w:r>
        <w:t xml:space="preserve"> </w:t>
      </w:r>
      <w:r>
        <w:tab/>
        <w:t>The reasons for our use of the Black CAPM theory are set out in more detail in section B.2.3 of attachment 3 to our draft decision on AusNet Services 2017–22 transmission determination.</w:t>
      </w:r>
    </w:p>
  </w:footnote>
  <w:footnote w:id="186">
    <w:p w:rsidR="0007291A" w:rsidRDefault="0007291A" w:rsidP="002F6FA6">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187">
    <w:p w:rsidR="0007291A" w:rsidRDefault="0007291A" w:rsidP="002F6FA6">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88">
    <w:p w:rsidR="0007291A" w:rsidRDefault="0007291A" w:rsidP="002F6FA6">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189">
    <w:p w:rsidR="0007291A" w:rsidRDefault="0007291A" w:rsidP="002F6FA6">
      <w:pPr>
        <w:pStyle w:val="FootnoteText"/>
      </w:pPr>
      <w:r>
        <w:rPr>
          <w:rStyle w:val="FootnoteReference"/>
        </w:rPr>
        <w:footnoteRef/>
      </w:r>
      <w:r>
        <w:t xml:space="preserve"> </w:t>
      </w:r>
      <w:r>
        <w:tab/>
        <w:t>But does not support an estimate beyond our range. We hold this view based on:</w:t>
      </w:r>
    </w:p>
    <w:p w:rsidR="0007291A" w:rsidRDefault="0007291A" w:rsidP="002F6FA6">
      <w:pPr>
        <w:pStyle w:val="FootnoteText"/>
      </w:pPr>
      <w:r>
        <w:tab/>
        <w:t>(1) the outcome of our conceptual analysis that a business with a similar degree of risk as TasNetworks (in providing regulated services) is likely to have an equity beta less than one;</w:t>
      </w:r>
    </w:p>
    <w:p w:rsidR="0007291A" w:rsidRDefault="0007291A" w:rsidP="002F6FA6">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190">
    <w:p w:rsidR="0007291A" w:rsidRDefault="0007291A" w:rsidP="002F6FA6">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w:t>
      </w:r>
      <w:r w:rsidR="002F2E36">
        <w:t xml:space="preserve">CCP (Bruce Mountain), </w:t>
      </w:r>
      <w:r w:rsidR="002F2E36" w:rsidRPr="002A70E8">
        <w:rPr>
          <w:rStyle w:val="AERtextitalic"/>
        </w:rPr>
        <w:t>Submission on the AER’s preliminary decisions for the Qld/SA distribution network service providers (2015-20</w:t>
      </w:r>
      <w:r w:rsidR="002F2E36">
        <w:rPr>
          <w:rStyle w:val="AERtextitalic"/>
        </w:rPr>
        <w:t>)</w:t>
      </w:r>
      <w:r w:rsidR="002F2E36" w:rsidRPr="002A70E8">
        <w:rPr>
          <w:rStyle w:val="AERtextitalic"/>
        </w:rPr>
        <w:t xml:space="preserve">, </w:t>
      </w:r>
      <w:r w:rsidR="002F2E36" w:rsidRPr="002F2E36">
        <w:rPr>
          <w:rStyle w:val="AERtextitalic"/>
        </w:rPr>
        <w:t>29 July 2015, pp.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w:t>
      </w:r>
    </w:p>
  </w:footnote>
  <w:footnote w:id="191">
    <w:p w:rsidR="0007291A" w:rsidRDefault="0007291A">
      <w:pPr>
        <w:pStyle w:val="FootnoteText"/>
      </w:pPr>
      <w:r>
        <w:rPr>
          <w:rStyle w:val="FootnoteReference"/>
        </w:rPr>
        <w:footnoteRef/>
      </w:r>
      <w:r>
        <w:t xml:space="preserve"> </w:t>
      </w:r>
      <w:r>
        <w:tab/>
      </w:r>
      <w:r w:rsidR="002F2E36">
        <w:t>Most recently CCP (Hugh Grant and David Headberry</w:t>
      </w:r>
      <w:r w:rsidR="002F2E36" w:rsidRPr="00903F9A">
        <w:rPr>
          <w:rStyle w:val="Emphasis"/>
        </w:rPr>
        <w:t>), Submission to the AER, Powerlink Queensland 2018–22 Revenue Proposal</w:t>
      </w:r>
      <w:r w:rsidR="002F2E36">
        <w:t xml:space="preserve">, 20 June 2016; CCP (David Headberry), </w:t>
      </w:r>
      <w:r w:rsidR="002F2E36" w:rsidRPr="00903F9A">
        <w:rPr>
          <w:rStyle w:val="Emphasis"/>
        </w:rPr>
        <w:t>Response to the proposal from Tasmania’s electricity distribution network service provider (TasNetworks – TND) for a revenue reset for the 2017–2019 regulatory period</w:t>
      </w:r>
      <w:r w:rsidR="002F2E36">
        <w:t>, 4 May 2016</w:t>
      </w:r>
      <w:r>
        <w:t>; Tasmanian Small Business Council, submission on TasNetworks’ electricity distribution regulatory proposal 1 July 2017 to 30 June 2019 and tariff structure proposal, May 2016.</w:t>
      </w:r>
    </w:p>
  </w:footnote>
  <w:footnote w:id="192">
    <w:p w:rsidR="0007291A" w:rsidRDefault="0007291A" w:rsidP="00E23D2C">
      <w:pPr>
        <w:pStyle w:val="FootnoteText"/>
      </w:pPr>
      <w:r>
        <w:rPr>
          <w:rStyle w:val="FootnoteReference"/>
        </w:rPr>
        <w:footnoteRef/>
      </w:r>
      <w:r>
        <w:t xml:space="preserve"> </w:t>
      </w:r>
      <w:r>
        <w:tab/>
      </w:r>
      <w:r w:rsidR="002F2E36">
        <w:t xml:space="preserve">CCP (Hugh Grant and David Headberry), </w:t>
      </w:r>
      <w:r w:rsidR="002F2E36" w:rsidRPr="00903F9A">
        <w:rPr>
          <w:rStyle w:val="Emphasis"/>
        </w:rPr>
        <w:t>Submission to the AER,</w:t>
      </w:r>
      <w:r w:rsidR="002F2E36">
        <w:rPr>
          <w:rStyle w:val="Emphasis"/>
        </w:rPr>
        <w:t xml:space="preserve"> Powerlink Queensland 2018–22 revenue p</w:t>
      </w:r>
      <w:r w:rsidR="002F2E36" w:rsidRPr="00903F9A">
        <w:rPr>
          <w:rStyle w:val="Emphasis"/>
        </w:rPr>
        <w:t>roposal</w:t>
      </w:r>
      <w:r w:rsidR="002F2E36">
        <w:t>, 20 June 2016, p. 46</w:t>
      </w:r>
      <w:r>
        <w:t>.</w:t>
      </w:r>
    </w:p>
  </w:footnote>
  <w:footnote w:id="193">
    <w:p w:rsidR="0007291A" w:rsidRDefault="0007291A" w:rsidP="002F6F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8.</w:t>
      </w:r>
    </w:p>
  </w:footnote>
  <w:footnote w:id="194">
    <w:p w:rsidR="0007291A" w:rsidRDefault="0007291A" w:rsidP="002F6FA6">
      <w:pPr>
        <w:pStyle w:val="FootnoteText"/>
      </w:pPr>
      <w:r>
        <w:rPr>
          <w:rStyle w:val="FootnoteReference"/>
        </w:rPr>
        <w:footnoteRef/>
      </w:r>
      <w:r>
        <w:t xml:space="preserve"> </w:t>
      </w:r>
      <w:r>
        <w:tab/>
        <w:t>NER, cl. 6.5.2(f); NER, cl. 6A.6.2(f); NGR, r. 87(6). NEL, s.16; NGL, s. 23.</w:t>
      </w:r>
    </w:p>
  </w:footnote>
  <w:footnote w:id="195">
    <w:p w:rsidR="0007291A" w:rsidRDefault="0007291A" w:rsidP="002F6FA6">
      <w:pPr>
        <w:pStyle w:val="FootnoteText"/>
      </w:pPr>
      <w:r>
        <w:rPr>
          <w:rStyle w:val="FootnoteReference"/>
        </w:rPr>
        <w:footnoteRef/>
      </w:r>
      <w:r>
        <w:t xml:space="preserve"> </w:t>
      </w:r>
      <w:r>
        <w:tab/>
        <w:t>Steps four and five of the foundation model approach. This includes broker reports, independent valuation reports, other regulators' decisions, the Wright approach and comparison between the return on equity and return on debt.</w:t>
      </w:r>
    </w:p>
  </w:footnote>
  <w:footnote w:id="196">
    <w:p w:rsidR="0007291A" w:rsidRDefault="0007291A" w:rsidP="002F6FA6">
      <w:pPr>
        <w:pStyle w:val="FootnoteText"/>
      </w:pPr>
      <w:r>
        <w:rPr>
          <w:rStyle w:val="FootnoteReference"/>
        </w:rPr>
        <w:footnoteRef/>
      </w:r>
      <w:r>
        <w:t xml:space="preserve"> </w:t>
      </w:r>
      <w:r>
        <w:tab/>
        <w:t>More specifically,  standard control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197">
    <w:p w:rsidR="0007291A" w:rsidRDefault="0007291A" w:rsidP="002F6FA6">
      <w:pPr>
        <w:pStyle w:val="FootnoteText"/>
      </w:pPr>
      <w:r>
        <w:rPr>
          <w:rStyle w:val="FootnoteReference"/>
        </w:rPr>
        <w:footnoteRef/>
      </w:r>
      <w:r>
        <w:t xml:space="preserve"> </w:t>
      </w:r>
      <w:r>
        <w:tab/>
        <w:t>Or more precisely, a benchmark efficient entity with a similar degree of risk as TasNetworks in respect of the provision of standard control services.</w:t>
      </w:r>
    </w:p>
  </w:footnote>
  <w:footnote w:id="198">
    <w:p w:rsidR="0007291A" w:rsidRDefault="0007291A" w:rsidP="009039BE">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199">
    <w:p w:rsidR="0007291A" w:rsidRDefault="0007291A" w:rsidP="002F6FA6">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200">
    <w:p w:rsidR="0007291A" w:rsidRDefault="0007291A" w:rsidP="002F6FA6">
      <w:pPr>
        <w:pStyle w:val="FootnoteText"/>
      </w:pPr>
      <w:r>
        <w:rPr>
          <w:rStyle w:val="FootnoteReference"/>
        </w:rPr>
        <w:footnoteRef/>
      </w:r>
      <w:r>
        <w:t xml:space="preserve"> </w:t>
      </w:r>
      <w:r>
        <w:tab/>
        <w:t>The other material include our construction of the Wright CAPM, other regulators' estimates, comparison with return on debt and relevant broker and independent expert reports.</w:t>
      </w:r>
    </w:p>
  </w:footnote>
  <w:footnote w:id="201">
    <w:p w:rsidR="0007291A" w:rsidRDefault="0007291A" w:rsidP="00651C15">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202">
    <w:p w:rsidR="0007291A" w:rsidRDefault="0007291A" w:rsidP="00651C15">
      <w:pPr>
        <w:pStyle w:val="FootnoteText"/>
      </w:pPr>
      <w:r>
        <w:rPr>
          <w:rStyle w:val="FootnoteReference"/>
        </w:rPr>
        <w:footnoteRef/>
      </w:r>
      <w:r>
        <w:t xml:space="preserve"> </w:t>
      </w:r>
      <w:r>
        <w:tab/>
      </w:r>
      <w:r w:rsidR="002F2E36">
        <w:t xml:space="preserve">CCP (Hugh Grant and David Headberry), </w:t>
      </w:r>
      <w:r w:rsidR="002F2E36">
        <w:rPr>
          <w:rStyle w:val="AERtextitalic"/>
        </w:rPr>
        <w:t>Submission to the AER, Powerlink Queensland 2018–22 revenue proposal</w:t>
      </w:r>
      <w:r w:rsidR="002F2E36">
        <w:t>, 20 June 2016, p. 3</w:t>
      </w:r>
      <w:r>
        <w:t>.</w:t>
      </w:r>
    </w:p>
  </w:footnote>
  <w:footnote w:id="203">
    <w:p w:rsidR="0007291A" w:rsidRDefault="0007291A" w:rsidP="00651C15">
      <w:pPr>
        <w:pStyle w:val="FootnoteText"/>
      </w:pPr>
      <w:r>
        <w:rPr>
          <w:rStyle w:val="FootnoteReference"/>
        </w:rPr>
        <w:footnoteRef/>
      </w:r>
      <w:r>
        <w:t xml:space="preserve"> </w:t>
      </w:r>
      <w:r>
        <w:tab/>
        <w:t>TasCOSS</w:t>
      </w:r>
      <w:r w:rsidRPr="009751A6">
        <w:t xml:space="preserve">, </w:t>
      </w:r>
      <w:r>
        <w:rPr>
          <w:rStyle w:val="AERtextitalic"/>
        </w:rPr>
        <w:t>submission to AER re TasNetworks revenue proposal 2017–19</w:t>
      </w:r>
      <w:r w:rsidRPr="00B23FAA">
        <w:t xml:space="preserve">, </w:t>
      </w:r>
      <w:r>
        <w:t>28 April</w:t>
      </w:r>
      <w:r w:rsidRPr="00B23FAA">
        <w:t xml:space="preserve"> 2016</w:t>
      </w:r>
      <w:r>
        <w:t xml:space="preserve">, p. 2. </w:t>
      </w:r>
    </w:p>
  </w:footnote>
  <w:footnote w:id="204">
    <w:p w:rsidR="0007291A" w:rsidRDefault="0007291A" w:rsidP="00E21951">
      <w:pPr>
        <w:pStyle w:val="FootnoteText"/>
      </w:pPr>
      <w:r>
        <w:rPr>
          <w:rStyle w:val="FootnoteReference"/>
        </w:rPr>
        <w:footnoteRef/>
      </w:r>
      <w:r>
        <w:t xml:space="preserve"> </w:t>
      </w:r>
      <w:r>
        <w:tab/>
        <w:t xml:space="preserve">For more detail on our consideration of this material, see section </w:t>
      </w:r>
      <w:r>
        <w:fldChar w:fldCharType="begin"/>
      </w:r>
      <w:r>
        <w:instrText xml:space="preserve"> REF _Ref456978055 \r \h </w:instrText>
      </w:r>
      <w:r>
        <w:fldChar w:fldCharType="separate"/>
      </w:r>
      <w:r w:rsidR="00691B4D">
        <w:t>A</w:t>
      </w:r>
      <w:r>
        <w:fldChar w:fldCharType="end"/>
      </w:r>
      <w:r>
        <w:t xml:space="preserve"> of this attachment.</w:t>
      </w:r>
    </w:p>
  </w:footnote>
  <w:footnote w:id="205">
    <w:p w:rsidR="0007291A" w:rsidRDefault="0007291A">
      <w:pPr>
        <w:pStyle w:val="FootnoteText"/>
      </w:pPr>
      <w:r>
        <w:rPr>
          <w:rStyle w:val="FootnoteReference"/>
        </w:rPr>
        <w:footnoteRef/>
      </w:r>
      <w:r>
        <w:t xml:space="preserve"> </w:t>
      </w:r>
      <w:r>
        <w:tab/>
        <w:t>See section B.5 of attachment 3 to our draft decision on AusNet Services' 2017–22 transmission determination for more detail on our approach.</w:t>
      </w:r>
    </w:p>
  </w:footnote>
  <w:footnote w:id="206">
    <w:p w:rsidR="0007291A" w:rsidRDefault="0007291A" w:rsidP="002F6FA6">
      <w:pPr>
        <w:pStyle w:val="FootnoteText"/>
      </w:pPr>
      <w:r>
        <w:rPr>
          <w:rStyle w:val="FootnoteReference"/>
        </w:rPr>
        <w:footnoteRef/>
      </w:r>
      <w:r>
        <w:t xml:space="preserve"> </w:t>
      </w:r>
      <w:r>
        <w:tab/>
        <w:t>Estimated as the difference between our estimate of the equity risk premium and the prevailing debt risk premium for 29 July 2016.</w:t>
      </w:r>
    </w:p>
  </w:footnote>
  <w:footnote w:id="207">
    <w:p w:rsidR="0007291A" w:rsidRDefault="0007291A" w:rsidP="002F6FA6">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208">
    <w:p w:rsidR="0007291A" w:rsidRDefault="0007291A" w:rsidP="002F6FA6">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0F3DDE">
        <w:t>AusNet Services</w:t>
      </w:r>
      <w:r>
        <w:t>' 2016-20 distribution determination.</w:t>
      </w:r>
    </w:p>
  </w:footnote>
  <w:footnote w:id="209">
    <w:p w:rsidR="0007291A" w:rsidRDefault="0007291A" w:rsidP="002F6FA6">
      <w:pPr>
        <w:pStyle w:val="FootnoteText"/>
      </w:pPr>
      <w:r>
        <w:rPr>
          <w:rStyle w:val="FootnoteReference"/>
        </w:rPr>
        <w:footnoteRef/>
      </w:r>
      <w:r>
        <w:t xml:space="preserve"> </w:t>
      </w:r>
      <w:r>
        <w:tab/>
        <w:t>The debt risk premium above the yield on Australian Government securities is calculated as the extrapolated effective annual yield to maturity on BBB rated debt with 10 years to maturity less the effective annual yield to maturity on Australian Government securities with 10 years to maturity. BBB bond yields have been used instead of BBB+ because the RBA and Bloomberg quote BBB yields to maturity.</w:t>
      </w:r>
    </w:p>
  </w:footnote>
  <w:footnote w:id="210">
    <w:p w:rsidR="0007291A" w:rsidRDefault="0007291A" w:rsidP="002F6FA6">
      <w:pPr>
        <w:pStyle w:val="FootnoteText"/>
      </w:pPr>
      <w:r>
        <w:rPr>
          <w:rStyle w:val="FootnoteReference"/>
        </w:rPr>
        <w:footnoteRef/>
      </w:r>
      <w:r>
        <w:t xml:space="preserve"> </w:t>
      </w:r>
      <w:r>
        <w:tab/>
        <w:t xml:space="preserve">See section </w:t>
      </w:r>
      <w:r>
        <w:fldChar w:fldCharType="begin"/>
      </w:r>
      <w:r>
        <w:instrText xml:space="preserve"> REF _Ref456978055 \r \h </w:instrText>
      </w:r>
      <w:r>
        <w:fldChar w:fldCharType="separate"/>
      </w:r>
      <w:r w:rsidR="00691B4D">
        <w:t>A</w:t>
      </w:r>
      <w:r>
        <w:fldChar w:fldCharType="end"/>
      </w:r>
      <w:r>
        <w:t xml:space="preserve"> for further discussion.</w:t>
      </w:r>
    </w:p>
  </w:footnote>
  <w:footnote w:id="211">
    <w:p w:rsidR="0007291A" w:rsidRDefault="0007291A" w:rsidP="002F6FA6">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212">
    <w:p w:rsidR="0007291A" w:rsidRDefault="0007291A" w:rsidP="002F6FA6">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213">
    <w:p w:rsidR="0007291A" w:rsidRDefault="0007291A">
      <w:pPr>
        <w:pStyle w:val="FootnoteText"/>
      </w:pPr>
      <w:r>
        <w:rPr>
          <w:rStyle w:val="FootnoteReference"/>
        </w:rPr>
        <w:footnoteRef/>
      </w:r>
      <w:r>
        <w:t xml:space="preserve"> </w:t>
      </w:r>
      <w:r>
        <w:tab/>
        <w:t xml:space="preserve">Most recently: Cotton Australia, Re: Powerlink Electricity transmission revenue proposal 2017–2022 Issues paper, 2 May 2016; </w:t>
      </w:r>
      <w:r w:rsidR="002F2E36">
        <w:t xml:space="preserve">CCP (Hugh Grant and David Headberry), </w:t>
      </w:r>
      <w:r w:rsidR="002F2E36" w:rsidRPr="00903F9A">
        <w:rPr>
          <w:rStyle w:val="Emphasis"/>
        </w:rPr>
        <w:t>Submission to the AER, Powerlink Queensland 2018–22 revenue proposal</w:t>
      </w:r>
      <w:r w:rsidR="002F2E36">
        <w:t xml:space="preserve">, June 2016; CCP (David Headberry), </w:t>
      </w:r>
      <w:r w:rsidR="002F2E36" w:rsidRPr="001607FE">
        <w:rPr>
          <w:rStyle w:val="Emphasis"/>
        </w:rPr>
        <w:t>Response to the proposal from Tasmania’s electricity distribution network service provider (TasNetworks – TND) for a revenue reset for the 2017–2019 regulatory period</w:t>
      </w:r>
      <w:r w:rsidR="002F2E36">
        <w:t xml:space="preserve">, 4 May 2016. </w:t>
      </w:r>
    </w:p>
  </w:footnote>
  <w:footnote w:id="214">
    <w:p w:rsidR="0007291A" w:rsidRDefault="0007291A">
      <w:pPr>
        <w:pStyle w:val="FootnoteText"/>
      </w:pPr>
      <w:r>
        <w:rPr>
          <w:rStyle w:val="FootnoteReference"/>
        </w:rPr>
        <w:footnoteRef/>
      </w:r>
      <w:r>
        <w:t xml:space="preserve"> </w:t>
      </w:r>
      <w:r>
        <w:tab/>
      </w:r>
      <w:r w:rsidR="002F2E36">
        <w:t xml:space="preserve">Most recently: CCP (Hugh Grant and David Headberry), </w:t>
      </w:r>
      <w:r w:rsidR="002F2E36" w:rsidRPr="001607FE">
        <w:rPr>
          <w:rStyle w:val="Emphasis"/>
        </w:rPr>
        <w:t>Submission to the AER, Powerlink Queensland 2018–22 revenue proposal</w:t>
      </w:r>
      <w:r w:rsidR="002F2E36">
        <w:t>, 20 June 2016</w:t>
      </w:r>
      <w:r>
        <w:t>.</w:t>
      </w:r>
    </w:p>
  </w:footnote>
  <w:footnote w:id="215">
    <w:p w:rsidR="0007291A" w:rsidRDefault="0007291A">
      <w:pPr>
        <w:pStyle w:val="FootnoteText"/>
      </w:pPr>
      <w:r>
        <w:rPr>
          <w:rStyle w:val="FootnoteReference"/>
        </w:rPr>
        <w:footnoteRef/>
      </w:r>
      <w:r>
        <w:t xml:space="preserve"> </w:t>
      </w:r>
      <w:r>
        <w:tab/>
      </w:r>
      <w:r w:rsidR="002F2E36">
        <w:t xml:space="preserve">CCP (Hugh Grant and David Headberry), </w:t>
      </w:r>
      <w:r w:rsidR="002F2E36" w:rsidRPr="001607FE">
        <w:rPr>
          <w:rStyle w:val="Emphasis"/>
        </w:rPr>
        <w:t>Submission to the AER, Powerlink Queensland 2018–22 revenue proposal</w:t>
      </w:r>
      <w:r w:rsidR="002F2E36">
        <w:t>, 20 June 2016, pp. 38–41</w:t>
      </w:r>
      <w:r>
        <w:t>.</w:t>
      </w:r>
    </w:p>
  </w:footnote>
  <w:footnote w:id="216">
    <w:p w:rsidR="0007291A" w:rsidRDefault="0007291A" w:rsidP="00664F37">
      <w:pPr>
        <w:pStyle w:val="FootnoteText"/>
      </w:pPr>
      <w:r>
        <w:rPr>
          <w:rStyle w:val="FootnoteReference"/>
        </w:rPr>
        <w:footnoteRef/>
      </w:r>
      <w:r>
        <w:t xml:space="preserve"> </w:t>
      </w:r>
      <w:r>
        <w:tab/>
        <w:t xml:space="preserve">For example, see: AER, </w:t>
      </w:r>
      <w:r w:rsidRPr="00A93C95">
        <w:rPr>
          <w:rStyle w:val="AERtextitalic"/>
        </w:rPr>
        <w:t>Final Decision Ausgrid distribution determination 2015−16 to 2018−19 Attachment 3 – Rate of return</w:t>
      </w:r>
      <w:r>
        <w:t>, April 2015, p. 99.</w:t>
      </w:r>
    </w:p>
  </w:footnote>
  <w:footnote w:id="217">
    <w:p w:rsidR="0007291A" w:rsidRDefault="0007291A">
      <w:pPr>
        <w:pStyle w:val="FootnoteText"/>
      </w:pPr>
      <w:r>
        <w:rPr>
          <w:rStyle w:val="FootnoteReference"/>
        </w:rPr>
        <w:footnoteRef/>
      </w:r>
      <w:r>
        <w:t xml:space="preserve"> </w:t>
      </w:r>
      <w:r>
        <w:tab/>
        <w:t>See Attachment 2 to our draft decision on Powerlink's 2017-22 transmission determination.</w:t>
      </w:r>
    </w:p>
  </w:footnote>
  <w:footnote w:id="218">
    <w:p w:rsidR="0007291A" w:rsidRDefault="0007291A" w:rsidP="009E2035">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 117.</w:t>
      </w:r>
    </w:p>
  </w:footnote>
  <w:footnote w:id="219">
    <w:p w:rsidR="0007291A" w:rsidRDefault="0007291A" w:rsidP="009E2035">
      <w:pPr>
        <w:pStyle w:val="FootnoteText"/>
      </w:pPr>
      <w:r>
        <w:rPr>
          <w:rStyle w:val="FootnoteReference"/>
        </w:rPr>
        <w:footnoteRef/>
      </w:r>
      <w:r>
        <w:t xml:space="preserve"> </w:t>
      </w:r>
      <w:r>
        <w:tab/>
        <w:t>For clarity, that is 100% of the base rate and debt risk premium components of the allowed return on debt.</w:t>
      </w:r>
    </w:p>
  </w:footnote>
  <w:footnote w:id="220">
    <w:p w:rsidR="0007291A" w:rsidRDefault="0007291A" w:rsidP="009E2035">
      <w:pPr>
        <w:pStyle w:val="FootnoteText"/>
      </w:pPr>
      <w:r>
        <w:rPr>
          <w:rStyle w:val="FootnoteReference"/>
        </w:rPr>
        <w:footnoteRef/>
      </w:r>
      <w:r>
        <w:t xml:space="preserve"> </w:t>
      </w:r>
      <w:r>
        <w:tab/>
      </w:r>
      <w:r w:rsidRPr="0039163B">
        <w:t xml:space="preserve">AER, </w:t>
      </w:r>
      <w:r w:rsidRPr="0039163B">
        <w:rPr>
          <w:rStyle w:val="AERtextitalic"/>
        </w:rPr>
        <w:t>Better regulation—Rate of return guideline</w:t>
      </w:r>
      <w:r w:rsidRPr="0039163B">
        <w:t>, December 2013, chapters 3,</w:t>
      </w:r>
      <w:r>
        <w:t xml:space="preserve"> </w:t>
      </w:r>
      <w:r w:rsidRPr="0039163B">
        <w:t>6 and appendix B</w:t>
      </w:r>
      <w:r>
        <w:t>.</w:t>
      </w:r>
      <w:r w:rsidRPr="00753644">
        <w:t xml:space="preserve"> </w:t>
      </w:r>
      <w:r>
        <w:t xml:space="preserve">TasNetworks, </w:t>
      </w:r>
      <w:r w:rsidRPr="00A23DF5">
        <w:rPr>
          <w:rStyle w:val="AERtextitalic"/>
        </w:rPr>
        <w:t>Tasmanian Distribution Regulatory Proposal Regulatory Control Period 1 July 2017 to 30 June 2019</w:t>
      </w:r>
      <w:r>
        <w:t>, 29 January 2016, p. 117</w:t>
      </w:r>
      <w:r>
        <w:rPr>
          <w:rStyle w:val="AERtextitalic"/>
        </w:rPr>
        <w:t xml:space="preserve">. </w:t>
      </w:r>
    </w:p>
  </w:footnote>
  <w:footnote w:id="221">
    <w:p w:rsidR="0007291A" w:rsidRDefault="0007291A" w:rsidP="00E93DCE">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pp. 114, 116.</w:t>
      </w:r>
    </w:p>
  </w:footnote>
  <w:footnote w:id="222">
    <w:p w:rsidR="0007291A" w:rsidRDefault="0007291A" w:rsidP="009E2035">
      <w:pPr>
        <w:pStyle w:val="FootnoteText"/>
      </w:pPr>
      <w:r>
        <w:rPr>
          <w:rStyle w:val="FootnoteReference"/>
        </w:rPr>
        <w:footnoteRef/>
      </w:r>
      <w:r>
        <w:t xml:space="preserve"> </w:t>
      </w:r>
      <w:r>
        <w:tab/>
        <w:t>See attachment 3 of our final decisions published in May 2016 for ActewAGL distribution (gas), AGN, APTNT, AusNet Services (distribution), CitiPower, Jemena Electricity Networks, Powercor, United Energy</w:t>
      </w:r>
      <w:r w:rsidRPr="0039163B">
        <w:t>.</w:t>
      </w:r>
    </w:p>
  </w:footnote>
  <w:footnote w:id="223">
    <w:p w:rsidR="0007291A" w:rsidRDefault="0007291A" w:rsidP="000E5C93">
      <w:pPr>
        <w:pStyle w:val="FootnoteText"/>
      </w:pPr>
      <w:r>
        <w:rPr>
          <w:rStyle w:val="FootnoteReference"/>
        </w:rPr>
        <w:footnoteRef/>
      </w:r>
      <w:r>
        <w:t xml:space="preserve"> </w:t>
      </w:r>
      <w:r>
        <w:tab/>
        <w:t>S</w:t>
      </w:r>
      <w:r w:rsidRPr="00AE0473">
        <w:t>uch as our full transition</w:t>
      </w:r>
      <w:r>
        <w:t>.</w:t>
      </w:r>
    </w:p>
  </w:footnote>
  <w:footnote w:id="224">
    <w:p w:rsidR="0007291A" w:rsidRDefault="0007291A" w:rsidP="009E2035">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225">
    <w:p w:rsidR="0007291A" w:rsidRDefault="0007291A" w:rsidP="009E2035">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226">
    <w:p w:rsidR="0007291A" w:rsidRDefault="0007291A" w:rsidP="009E2035">
      <w:pPr>
        <w:pStyle w:val="FootnoteText"/>
      </w:pPr>
      <w:r>
        <w:rPr>
          <w:rStyle w:val="FootnoteReference"/>
        </w:rPr>
        <w:footnoteRef/>
      </w:r>
      <w:r>
        <w:t xml:space="preserve"> </w:t>
      </w:r>
      <w:r>
        <w:tab/>
        <w:t>This decision determines the return on debt methodology for the 2017–19 regulatory period. This period covers the first two years of the 10 year transition period. This decision also sets out our intended return on debt methodology for the remaining eight years.</w:t>
      </w:r>
    </w:p>
  </w:footnote>
  <w:footnote w:id="227">
    <w:p w:rsidR="0007291A" w:rsidRDefault="0007291A" w:rsidP="009E2035">
      <w:pPr>
        <w:pStyle w:val="FootnoteText"/>
      </w:pPr>
      <w:r>
        <w:rPr>
          <w:rStyle w:val="FootnoteReference"/>
        </w:rPr>
        <w:footnoteRef/>
      </w:r>
      <w:r>
        <w:t xml:space="preserve"> </w:t>
      </w:r>
      <w:r>
        <w:tab/>
      </w:r>
      <w:r w:rsidRPr="000938BF">
        <w:t>NER cl. 6.5.2(l) and cl. 6A.6.2(l)</w:t>
      </w:r>
      <w:r>
        <w:t xml:space="preserve">and NGR, r.87(12). The return on debt methodology for the purposes of the annual update is set out in </w:t>
      </w:r>
      <w:r w:rsidRPr="00901515">
        <w:t>appendix</w:t>
      </w:r>
      <w:r>
        <w:rPr>
          <w:rStyle w:val="AERbody"/>
          <w:sz w:val="16"/>
        </w:rPr>
        <w:t xml:space="preserve"> </w:t>
      </w:r>
      <w:r>
        <w:rPr>
          <w:rStyle w:val="AERbody"/>
          <w:sz w:val="16"/>
        </w:rPr>
        <w:fldChar w:fldCharType="begin"/>
      </w:r>
      <w:r>
        <w:rPr>
          <w:rStyle w:val="AERbody"/>
          <w:sz w:val="16"/>
        </w:rPr>
        <w:instrText xml:space="preserve"> REF _Ref451268021 \r \h </w:instrText>
      </w:r>
      <w:r>
        <w:rPr>
          <w:rStyle w:val="AERbody"/>
          <w:sz w:val="16"/>
        </w:rPr>
      </w:r>
      <w:r>
        <w:rPr>
          <w:rStyle w:val="AERbody"/>
          <w:sz w:val="16"/>
        </w:rPr>
        <w:fldChar w:fldCharType="separate"/>
      </w:r>
      <w:r w:rsidR="00691B4D">
        <w:rPr>
          <w:rStyle w:val="AERbody"/>
          <w:sz w:val="16"/>
        </w:rPr>
        <w:t>A</w:t>
      </w:r>
      <w:r>
        <w:rPr>
          <w:rStyle w:val="AERbody"/>
          <w:sz w:val="16"/>
        </w:rPr>
        <w:fldChar w:fldCharType="end"/>
      </w:r>
      <w:r w:rsidRPr="009114E9">
        <w:rPr>
          <w:rStyle w:val="AERbody"/>
          <w:sz w:val="16"/>
        </w:rPr>
        <w:t xml:space="preserve"> </w:t>
      </w:r>
      <w:r>
        <w:t>of this attachment 3.</w:t>
      </w:r>
    </w:p>
  </w:footnote>
  <w:footnote w:id="228">
    <w:p w:rsidR="0007291A" w:rsidRDefault="0007291A" w:rsidP="009E2035">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229">
    <w:p w:rsidR="0007291A" w:rsidRDefault="0007291A" w:rsidP="009E2035">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230">
    <w:p w:rsidR="0007291A" w:rsidRDefault="0007291A" w:rsidP="009E2035">
      <w:pPr>
        <w:pStyle w:val="FootnoteText"/>
      </w:pPr>
      <w:r>
        <w:rPr>
          <w:rStyle w:val="FootnoteReference"/>
        </w:rPr>
        <w:footnoteRef/>
      </w:r>
      <w:r>
        <w:t xml:space="preserve"> </w:t>
      </w:r>
      <w:r>
        <w:tab/>
        <w:t>For the RPPs see NEL, s. 7A; NGL, s. 24.</w:t>
      </w:r>
    </w:p>
  </w:footnote>
  <w:footnote w:id="231">
    <w:p w:rsidR="0007291A" w:rsidRPr="00B57A7C" w:rsidRDefault="0007291A" w:rsidP="009E203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232">
    <w:p w:rsidR="0007291A" w:rsidRDefault="0007291A" w:rsidP="009E2035">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233">
    <w:p w:rsidR="0007291A" w:rsidRDefault="0007291A" w:rsidP="009E2035">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234">
    <w:p w:rsidR="0007291A" w:rsidRDefault="0007291A" w:rsidP="009E2035">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235">
    <w:p w:rsidR="0007291A" w:rsidRDefault="0007291A" w:rsidP="009E2035">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236">
    <w:p w:rsidR="0007291A" w:rsidRDefault="0007291A" w:rsidP="009E2035">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w:t>
      </w:r>
      <w:r>
        <w:fldChar w:fldCharType="begin"/>
      </w:r>
      <w:r>
        <w:instrText xml:space="preserve"> REF _Ref451268035 \r \h </w:instrText>
      </w:r>
      <w:r>
        <w:fldChar w:fldCharType="separate"/>
      </w:r>
      <w:r w:rsidR="00691B4D">
        <w:t>A</w:t>
      </w:r>
      <w:r>
        <w:fldChar w:fldCharType="end"/>
      </w:r>
      <w:r>
        <w:t xml:space="preserve">). </w:t>
      </w:r>
    </w:p>
  </w:footnote>
  <w:footnote w:id="237">
    <w:p w:rsidR="0007291A" w:rsidRDefault="0007291A" w:rsidP="009E2035">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238">
    <w:p w:rsidR="0007291A" w:rsidRDefault="0007291A" w:rsidP="009E2035">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239">
    <w:p w:rsidR="0007291A" w:rsidRDefault="0007291A" w:rsidP="009E2035">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w:t>
      </w:r>
      <w:r w:rsidRPr="004871A6">
        <w:t>.</w:t>
      </w:r>
      <w:r>
        <w:t xml:space="preserve"> Also see NER, cl. 6A.6.2 (k) (4); NGR, cl. 87(12) (d).</w:t>
      </w:r>
    </w:p>
  </w:footnote>
  <w:footnote w:id="240">
    <w:p w:rsidR="0007291A" w:rsidRDefault="0007291A" w:rsidP="009E2035">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241">
    <w:p w:rsidR="0007291A" w:rsidRDefault="0007291A" w:rsidP="009E2035">
      <w:pPr>
        <w:pStyle w:val="FootnoteText"/>
      </w:pPr>
      <w:r>
        <w:rPr>
          <w:rStyle w:val="FootnoteReference"/>
        </w:rPr>
        <w:footnoteRef/>
      </w:r>
      <w:r>
        <w:t xml:space="preserve"> </w:t>
      </w:r>
      <w:r>
        <w:tab/>
        <w:t>As required under NER, cl. 5.5.2(h); NER, cl. 6A.6.2(h); NGR, cl. 87(8).</w:t>
      </w:r>
    </w:p>
  </w:footnote>
  <w:footnote w:id="242">
    <w:p w:rsidR="0007291A" w:rsidRDefault="0007291A" w:rsidP="009E2035">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243">
    <w:p w:rsidR="0007291A" w:rsidRDefault="0007291A" w:rsidP="009E2035">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244">
    <w:p w:rsidR="0007291A" w:rsidRDefault="0007291A" w:rsidP="009E2035">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245">
    <w:p w:rsidR="0007291A" w:rsidRDefault="0007291A" w:rsidP="009E2035">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246">
    <w:p w:rsidR="0007291A" w:rsidRDefault="0007291A" w:rsidP="009E2035">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247">
    <w:p w:rsidR="0007291A" w:rsidRDefault="0007291A" w:rsidP="009E2035">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248">
    <w:p w:rsidR="0007291A" w:rsidRDefault="0007291A" w:rsidP="009E2035">
      <w:pPr>
        <w:pStyle w:val="FootnoteText"/>
      </w:pPr>
      <w:r>
        <w:rPr>
          <w:rStyle w:val="FootnoteReference"/>
        </w:rPr>
        <w:footnoteRef/>
      </w:r>
      <w:r>
        <w:t xml:space="preserve"> </w:t>
      </w:r>
      <w:r>
        <w:tab/>
        <w:t>Proposed as a first preference in revised proposals from ActewAGL, AGN, APTNT, AusNet Services, CitiPower, JEN, Powercor, and United Energy.</w:t>
      </w:r>
    </w:p>
  </w:footnote>
  <w:footnote w:id="249">
    <w:p w:rsidR="0007291A" w:rsidRDefault="0007291A" w:rsidP="009E2035">
      <w:pPr>
        <w:pStyle w:val="FootnoteText"/>
      </w:pPr>
      <w:r>
        <w:rPr>
          <w:rStyle w:val="FootnoteReference"/>
        </w:rPr>
        <w:footnoteRef/>
      </w:r>
      <w:r>
        <w:t xml:space="preserve"> </w:t>
      </w:r>
      <w:r>
        <w:tab/>
        <w:t>Proposed in initial proposals from ActewAGL, AGN, AusNet Services, CitiPower, JEN, Powercor and United Energy. AGN also proposed this as a third preference in its revised proposal.</w:t>
      </w:r>
    </w:p>
  </w:footnote>
  <w:footnote w:id="250">
    <w:p w:rsidR="0007291A" w:rsidRDefault="0007291A" w:rsidP="009E2035">
      <w:pPr>
        <w:pStyle w:val="FootnoteText"/>
      </w:pPr>
      <w:r>
        <w:rPr>
          <w:rStyle w:val="FootnoteReference"/>
        </w:rPr>
        <w:footnoteRef/>
      </w:r>
      <w:r>
        <w:t xml:space="preserve"> </w:t>
      </w:r>
      <w:r>
        <w:tab/>
        <w:t>Proposed as a second preference in revised proposals from ActewAGL, AGN, AusNet Services distribution, CitiPower, JEN, Powercor and United Energy. APTNT proposed this in its initial proposal.</w:t>
      </w:r>
      <w:r w:rsidRPr="005D4B19">
        <w:t xml:space="preserve"> </w:t>
      </w:r>
    </w:p>
  </w:footnote>
  <w:footnote w:id="251">
    <w:p w:rsidR="0007291A" w:rsidRDefault="0007291A" w:rsidP="009E2035">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252">
    <w:p w:rsidR="0007291A" w:rsidRDefault="0007291A" w:rsidP="009E2035">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253">
    <w:p w:rsidR="0007291A" w:rsidRDefault="0007291A" w:rsidP="009E2035">
      <w:pPr>
        <w:pStyle w:val="FootnoteText"/>
      </w:pPr>
      <w:r>
        <w:rPr>
          <w:rStyle w:val="FootnoteReference"/>
        </w:rPr>
        <w:footnoteRef/>
      </w:r>
      <w:r>
        <w:t xml:space="preserve"> </w:t>
      </w:r>
      <w:r>
        <w:tab/>
        <w:t>The RPPs require we have regard to this effect on incentives. See NEL, s. 7A(3)(b); NGL, s. 24(3)(b).</w:t>
      </w:r>
    </w:p>
  </w:footnote>
  <w:footnote w:id="254">
    <w:p w:rsidR="0007291A" w:rsidRDefault="0007291A" w:rsidP="009E2035">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255">
    <w:p w:rsidR="0007291A" w:rsidRDefault="0007291A" w:rsidP="009E2035">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256">
    <w:p w:rsidR="0007291A" w:rsidRDefault="0007291A" w:rsidP="009E2035">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257">
    <w:p w:rsidR="0007291A" w:rsidRDefault="0007291A" w:rsidP="009E2035">
      <w:pPr>
        <w:pStyle w:val="FootnoteText"/>
      </w:pPr>
      <w:r>
        <w:rPr>
          <w:rStyle w:val="FootnoteReference"/>
        </w:rPr>
        <w:footnoteRef/>
      </w:r>
      <w:r>
        <w:t xml:space="preserve"> </w:t>
      </w:r>
      <w:r>
        <w:tab/>
        <w:t xml:space="preserve">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sidRPr="008410DE">
        <w:rPr>
          <w:rStyle w:val="AERtextitalic"/>
        </w:rPr>
        <w:t>Directors' and financial report</w:t>
      </w:r>
      <w:r>
        <w:t xml:space="preserve">, 30 June 2014, p. 27; Spark Infrastructure, </w:t>
      </w:r>
      <w:r w:rsidRPr="00EB2DC2">
        <w:rPr>
          <w:rStyle w:val="AERtextitalic"/>
        </w:rPr>
        <w:t>Annual report 2012</w:t>
      </w:r>
      <w:r>
        <w:t xml:space="preserve">, p. 16; SP AusNet, </w:t>
      </w:r>
      <w:r w:rsidRPr="00012C61">
        <w:rPr>
          <w:rStyle w:val="AERtextitalic"/>
        </w:rPr>
        <w:t>Business review 2014: SP AusNet Distribution financial report</w:t>
      </w:r>
      <w:r>
        <w:t xml:space="preserve">, Note 19, p. 11. Spark Infrastructure cancelled its interest rate swaps in 2013. See Spark Infrastructure, </w:t>
      </w:r>
      <w:r w:rsidRPr="00BA1680">
        <w:rPr>
          <w:rStyle w:val="AERtextitalic"/>
        </w:rPr>
        <w:t>Annual Report 2013</w:t>
      </w:r>
      <w:r>
        <w:t>, p. 16.</w:t>
      </w:r>
    </w:p>
  </w:footnote>
  <w:footnote w:id="258">
    <w:p w:rsidR="0007291A" w:rsidRDefault="0007291A" w:rsidP="009E2035">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259">
    <w:p w:rsidR="0007291A" w:rsidRDefault="0007291A" w:rsidP="009E2035">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t>, 13 February 2011, pp. 9</w:t>
      </w:r>
      <w:r>
        <w:rPr>
          <w:rFonts w:cs="Arial"/>
        </w:rPr>
        <w:t>–</w:t>
      </w:r>
      <w:r w:rsidRPr="00586A00">
        <w:t xml:space="preserve">10. </w:t>
      </w:r>
    </w:p>
  </w:footnote>
  <w:footnote w:id="260">
    <w:p w:rsidR="0007291A" w:rsidRDefault="0007291A" w:rsidP="009E2035">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261">
    <w:p w:rsidR="0007291A" w:rsidRDefault="0007291A" w:rsidP="009E2035">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AusNet Services </w:t>
      </w:r>
      <w:r w:rsidRPr="00D1603D">
        <w:rPr>
          <w:rStyle w:val="AERtextitalic"/>
        </w:rPr>
        <w:t>determination, Attachment 3: Rate of return</w:t>
      </w:r>
      <w:r>
        <w:t>, October 2015, pp. 196</w:t>
      </w:r>
      <w:r w:rsidRPr="00D1603D">
        <w:t>–</w:t>
      </w:r>
      <w:r>
        <w:t xml:space="preserve">9; AER, </w:t>
      </w:r>
      <w:r w:rsidRPr="00DC0445">
        <w:rPr>
          <w:rStyle w:val="AERtextitalic"/>
        </w:rPr>
        <w:t>final decision-AusNet Services distribution determination 2016 to 2020, Attachment 3: Rate of return</w:t>
      </w:r>
      <w:r>
        <w:t xml:space="preserve">, May 2016, p. 106 . Also see AER, </w:t>
      </w:r>
      <w:r w:rsidRPr="00D1603D">
        <w:rPr>
          <w:rStyle w:val="AERtextitalic"/>
        </w:rPr>
        <w:t>Explanatory statement to the rate of return guideline</w:t>
      </w:r>
      <w:r>
        <w:t>, December 2013, pp. 166</w:t>
      </w:r>
      <w:r>
        <w:rPr>
          <w:rFonts w:cs="Arial"/>
        </w:rPr>
        <w:t>–16</w:t>
      </w:r>
      <w:r>
        <w:t>7.</w:t>
      </w:r>
    </w:p>
  </w:footnote>
  <w:footnote w:id="262">
    <w:p w:rsidR="0007291A" w:rsidRDefault="0007291A" w:rsidP="009E2035">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263">
    <w:p w:rsidR="0007291A" w:rsidRDefault="0007291A" w:rsidP="009E2035">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264">
    <w:p w:rsidR="0007291A" w:rsidRDefault="0007291A" w:rsidP="0097418D">
      <w:pPr>
        <w:pStyle w:val="FootnoteText"/>
      </w:pPr>
      <w:r>
        <w:rPr>
          <w:rStyle w:val="FootnoteReference"/>
        </w:rPr>
        <w:footnoteRef/>
      </w:r>
      <w:r>
        <w:t xml:space="preserve"> </w:t>
      </w:r>
      <w:r>
        <w:tab/>
        <w:t>NER, cl. 6A.6.2(i).</w:t>
      </w:r>
    </w:p>
  </w:footnote>
  <w:footnote w:id="265">
    <w:p w:rsidR="0007291A" w:rsidRDefault="0007291A" w:rsidP="0097418D">
      <w:pPr>
        <w:pStyle w:val="FootnoteText"/>
      </w:pPr>
      <w:r>
        <w:rPr>
          <w:rStyle w:val="FootnoteReference"/>
        </w:rPr>
        <w:footnoteRef/>
      </w:r>
      <w:r>
        <w:t xml:space="preserve"> </w:t>
      </w:r>
      <w:r>
        <w:tab/>
        <w:t>NER, cl. 6A.6.2(l).</w:t>
      </w:r>
    </w:p>
  </w:footnote>
  <w:footnote w:id="266">
    <w:p w:rsidR="0007291A" w:rsidRDefault="0007291A" w:rsidP="0097418D">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267">
    <w:p w:rsidR="0007291A" w:rsidRDefault="0007291A" w:rsidP="009E2035">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TasNetworks, </w:t>
      </w:r>
      <w:r w:rsidRPr="00A23DF5">
        <w:rPr>
          <w:rStyle w:val="AERtextitalic"/>
        </w:rPr>
        <w:t>Tasmanian Distribution Regulatory Proposal Regulatory Control Period 1 July 2017 to 30 June 2019</w:t>
      </w:r>
      <w:r>
        <w:t>, 29 January 2016, p. 117..</w:t>
      </w:r>
    </w:p>
  </w:footnote>
  <w:footnote w:id="268">
    <w:p w:rsidR="0007291A" w:rsidRDefault="0007291A" w:rsidP="009E2035">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269">
    <w:p w:rsidR="0007291A" w:rsidRDefault="0007291A" w:rsidP="009E2035">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270">
    <w:p w:rsidR="0007291A" w:rsidRDefault="0007291A" w:rsidP="006969CD">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152–157. See attachment 3 of our final decisions published in May 2016 for ActewAGL distribution (gas), AGN, APTNT, AusNet Services (distribution), CitiPower, Jemena Electricity Networks, Powercor, United Energy.</w:t>
      </w:r>
    </w:p>
  </w:footnote>
  <w:footnote w:id="271">
    <w:p w:rsidR="0007291A" w:rsidRDefault="0007291A" w:rsidP="006969CD">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272">
    <w:p w:rsidR="0007291A" w:rsidRDefault="0007291A" w:rsidP="006969CD">
      <w:pPr>
        <w:pStyle w:val="FootnoteText"/>
      </w:pPr>
      <w:r>
        <w:rPr>
          <w:rStyle w:val="FootnoteReference"/>
        </w:rPr>
        <w:footnoteRef/>
      </w:r>
      <w:r>
        <w:t xml:space="preserve"> </w:t>
      </w:r>
      <w:r>
        <w:tab/>
        <w:t>AusNet Transmission Group Pty Ltd, Transmission Revenue Review 2017</w:t>
      </w:r>
      <w:r>
        <w:rPr>
          <w:rFonts w:cs="Arial"/>
        </w:rPr>
        <w:t>–</w:t>
      </w:r>
      <w:r>
        <w:t>2022 regulatory proposal, 30 October 2015, p. 191.</w:t>
      </w:r>
    </w:p>
  </w:footnote>
  <w:footnote w:id="273">
    <w:p w:rsidR="0007291A" w:rsidRDefault="0007291A" w:rsidP="006969CD">
      <w:pPr>
        <w:pStyle w:val="FootnoteText"/>
      </w:pPr>
      <w:r>
        <w:rPr>
          <w:rStyle w:val="FootnoteReference"/>
        </w:rPr>
        <w:footnoteRef/>
      </w:r>
      <w:r>
        <w:t xml:space="preserve"> </w:t>
      </w:r>
      <w:r>
        <w:tab/>
        <w:t>Powerlink, Queensland revenue proposal, January 2016; TasNetworks, Tasmanian distribution regulatory proposal: Regulatory control period 1 July 2017 to 30 June 2019, 29 January 2016. For our Guideline approach</w:t>
      </w:r>
    </w:p>
  </w:footnote>
  <w:footnote w:id="274">
    <w:p w:rsidR="0007291A" w:rsidRDefault="0007291A" w:rsidP="006969CD">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275">
    <w:p w:rsidR="0007291A" w:rsidRDefault="0007291A" w:rsidP="006969CD">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276">
    <w:p w:rsidR="0007291A" w:rsidRDefault="0007291A" w:rsidP="006969CD">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277">
    <w:p w:rsidR="0007291A" w:rsidRDefault="0007291A" w:rsidP="006969CD">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278">
    <w:p w:rsidR="0007291A" w:rsidRDefault="0007291A" w:rsidP="006969CD">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279">
    <w:p w:rsidR="0007291A" w:rsidRDefault="0007291A" w:rsidP="006969CD">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280">
    <w:p w:rsidR="0007291A" w:rsidRDefault="0007291A" w:rsidP="006969CD">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281">
    <w:p w:rsidR="0007291A" w:rsidRDefault="0007291A" w:rsidP="006969CD">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282">
    <w:p w:rsidR="0007291A" w:rsidRDefault="0007291A" w:rsidP="006969CD">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283">
    <w:p w:rsidR="0007291A" w:rsidRDefault="0007291A" w:rsidP="006969CD">
      <w:pPr>
        <w:pStyle w:val="FootnoteText"/>
      </w:pPr>
      <w:r>
        <w:rPr>
          <w:rStyle w:val="FootnoteReference"/>
        </w:rPr>
        <w:footnoteRef/>
      </w:r>
      <w:r>
        <w:t xml:space="preserve"> </w:t>
      </w:r>
      <w:r>
        <w:tab/>
      </w:r>
      <w:r w:rsidR="002F2E36">
        <w:t>CCP (Bruce Mountain)</w:t>
      </w:r>
      <w:r w:rsidR="002F2E36">
        <w:rPr>
          <w:rStyle w:val="AERtextitalic"/>
        </w:rPr>
        <w:t>, Comments on the AER's Preliminary Decision on the Weighted Average Cost of Capital (WACC) for Energex, Ergon and SA Power Networks</w:t>
      </w:r>
      <w:r w:rsidR="002F2E36" w:rsidRPr="002F2E36">
        <w:rPr>
          <w:rStyle w:val="AERtextitalic"/>
        </w:rPr>
        <w:t>,</w:t>
      </w:r>
      <w:r w:rsidR="002F2E36">
        <w:rPr>
          <w:rStyle w:val="AERtextitalic"/>
        </w:rPr>
        <w:t xml:space="preserve"> </w:t>
      </w:r>
      <w:r w:rsidRPr="00C364A0">
        <w:rPr>
          <w:rStyle w:val="AERtextitalic"/>
          <w:i w:val="0"/>
        </w:rPr>
        <w:t>July 2015, p. 8</w:t>
      </w:r>
      <w:r>
        <w:rPr>
          <w:rStyle w:val="AERtextitalic"/>
        </w:rPr>
        <w:t>.</w:t>
      </w:r>
    </w:p>
  </w:footnote>
  <w:footnote w:id="284">
    <w:p w:rsidR="0007291A" w:rsidRDefault="0007291A" w:rsidP="006969CD">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285">
    <w:p w:rsidR="0007291A" w:rsidRDefault="0007291A" w:rsidP="006969CD">
      <w:pPr>
        <w:pStyle w:val="FootnoteText"/>
      </w:pPr>
      <w:r>
        <w:rPr>
          <w:rStyle w:val="FootnoteReference"/>
        </w:rPr>
        <w:footnoteRef/>
      </w:r>
      <w:r>
        <w:t xml:space="preserve"> </w:t>
      </w:r>
      <w:r>
        <w:tab/>
        <w:t xml:space="preserve">Powercor Australia LLC and the CitiPower Trust now raise debt under a common funding vehicle, Victoria Power Networks (Finance) Pty Ltd. As such, from 2015, the CitiPower Trust and Powercor Australia LLC fall out of our sample and Victorian Power Networks Pty Ltd is added. See 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286">
    <w:p w:rsidR="0007291A" w:rsidRDefault="0007291A" w:rsidP="006969CD">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156.</w:t>
      </w:r>
    </w:p>
  </w:footnote>
  <w:footnote w:id="287">
    <w:p w:rsidR="0007291A" w:rsidRDefault="0007291A" w:rsidP="006969CD">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288">
    <w:p w:rsidR="0007291A" w:rsidRDefault="0007291A" w:rsidP="00E6234D">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289">
    <w:p w:rsidR="0007291A" w:rsidRDefault="0007291A" w:rsidP="00E6234D">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 117.</w:t>
      </w:r>
    </w:p>
  </w:footnote>
  <w:footnote w:id="290">
    <w:p w:rsidR="0007291A" w:rsidRDefault="0007291A" w:rsidP="00E6234D">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291">
    <w:p w:rsidR="0007291A" w:rsidRDefault="0007291A" w:rsidP="00E6234D">
      <w:pPr>
        <w:pStyle w:val="FootnoteText"/>
      </w:pPr>
      <w:r>
        <w:rPr>
          <w:rStyle w:val="FootnoteReference"/>
        </w:rPr>
        <w:footnoteRef/>
      </w:r>
      <w:r>
        <w:t xml:space="preserve"> </w:t>
      </w:r>
      <w:r>
        <w:tab/>
        <w:t>NER, cl. 6A.6.2(l).</w:t>
      </w:r>
    </w:p>
  </w:footnote>
  <w:footnote w:id="292">
    <w:p w:rsidR="0007291A" w:rsidRDefault="0007291A" w:rsidP="00E6234D">
      <w:pPr>
        <w:pStyle w:val="FootnoteText"/>
      </w:pPr>
      <w:r>
        <w:rPr>
          <w:rStyle w:val="FootnoteReference"/>
        </w:rPr>
        <w:footnoteRef/>
      </w:r>
      <w:r>
        <w:t xml:space="preserve"> </w:t>
      </w:r>
      <w:r>
        <w:tab/>
      </w:r>
      <w:r w:rsidRPr="0084261F">
        <w:t>IPART</w:t>
      </w:r>
      <w:r>
        <w:t xml:space="preserve"> has switched from having its own approach to using an independent data service provider (the RBA). </w:t>
      </w:r>
      <w:r w:rsidRPr="0084261F">
        <w:t xml:space="preserve"> The ERA has developed its own bond yield approach and the QCA engaged PwC to develop </w:t>
      </w:r>
      <w:r>
        <w:t>its own</w:t>
      </w:r>
      <w:r w:rsidRPr="0084261F">
        <w:t xml:space="preserve"> econometric</w:t>
      </w:r>
      <w:r>
        <w:t>ally derived approach</w:t>
      </w:r>
      <w:r w:rsidRPr="0084261F">
        <w:t xml:space="preserve"> </w:t>
      </w:r>
      <w:r>
        <w:t xml:space="preserve">(and combines this with using a third party data series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293">
    <w:p w:rsidR="0007291A" w:rsidRDefault="0007291A" w:rsidP="00E6234D">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294">
    <w:p w:rsidR="0007291A" w:rsidRDefault="0007291A" w:rsidP="00E6234D">
      <w:pPr>
        <w:pStyle w:val="FootnoteText"/>
      </w:pPr>
      <w:r>
        <w:rPr>
          <w:rStyle w:val="FootnoteReference"/>
        </w:rPr>
        <w:footnoteRef/>
      </w:r>
      <w:r>
        <w:t xml:space="preserve"> </w:t>
      </w:r>
      <w:r>
        <w:tab/>
        <w:t>NER, cl. 6A.6.2(l).</w:t>
      </w:r>
    </w:p>
  </w:footnote>
  <w:footnote w:id="295">
    <w:p w:rsidR="0007291A" w:rsidRDefault="0007291A" w:rsidP="00E6234D">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296">
    <w:p w:rsidR="0007291A" w:rsidRDefault="0007291A" w:rsidP="00E6234D">
      <w:pPr>
        <w:pStyle w:val="FootnoteText"/>
      </w:pPr>
      <w:r>
        <w:rPr>
          <w:rStyle w:val="FootnoteReference"/>
        </w:rPr>
        <w:footnoteRef/>
      </w:r>
      <w:r>
        <w:t xml:space="preserve"> </w:t>
      </w:r>
      <w:r>
        <w:tab/>
        <w:t xml:space="preserve">The RBA data series is available on the RBA's website in Statistical Table F3: </w:t>
      </w:r>
      <w:hyperlink r:id="rId6" w:anchor="interest-rates" w:history="1">
        <w:r w:rsidRPr="00E2692B">
          <w:rPr>
            <w:rStyle w:val="Hyperlink"/>
            <w:sz w:val="16"/>
          </w:rPr>
          <w:t>http://www.rba.gov.au/statistics/tables/index.html#interest-rates</w:t>
        </w:r>
      </w:hyperlink>
    </w:p>
  </w:footnote>
  <w:footnote w:id="297">
    <w:p w:rsidR="0007291A" w:rsidRDefault="0007291A" w:rsidP="00E6234D">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298">
    <w:p w:rsidR="0007291A" w:rsidRDefault="0007291A" w:rsidP="002A1979">
      <w:pPr>
        <w:pStyle w:val="FootnoteText"/>
      </w:pPr>
      <w:r>
        <w:rPr>
          <w:rStyle w:val="FootnoteReference"/>
        </w:rPr>
        <w:footnoteRef/>
      </w:r>
      <w:r>
        <w:t xml:space="preserve"> </w:t>
      </w:r>
      <w:r>
        <w:tab/>
      </w:r>
      <w:r w:rsidR="002F2E36">
        <w:t>CCP (Hugh Grant and David Headberry), S</w:t>
      </w:r>
      <w:r w:rsidR="002F2E36" w:rsidRPr="00A8249A">
        <w:rPr>
          <w:rStyle w:val="AERtextitalic"/>
        </w:rPr>
        <w:t>ubmission to the AER</w:t>
      </w:r>
      <w:r w:rsidR="002F2E36">
        <w:rPr>
          <w:rStyle w:val="AERtextitalic"/>
        </w:rPr>
        <w:t>, Powerlink Queensland 2018-22 r</w:t>
      </w:r>
      <w:r w:rsidR="002F2E36" w:rsidRPr="00A8249A">
        <w:rPr>
          <w:rStyle w:val="AERtextitalic"/>
        </w:rPr>
        <w:t>evenue proposal</w:t>
      </w:r>
      <w:r w:rsidR="002F2E36">
        <w:t>, 20 June 2016, p. 46</w:t>
      </w:r>
      <w:r>
        <w:t>.</w:t>
      </w:r>
    </w:p>
  </w:footnote>
  <w:footnote w:id="299">
    <w:p w:rsidR="0007291A" w:rsidRDefault="0007291A" w:rsidP="00E6234D">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300">
    <w:p w:rsidR="0007291A" w:rsidRDefault="0007291A" w:rsidP="00E6234D">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301">
    <w:p w:rsidR="0007291A" w:rsidRDefault="0007291A" w:rsidP="00371654">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302">
    <w:p w:rsidR="0007291A" w:rsidRDefault="0007291A" w:rsidP="0042271B">
      <w:pPr>
        <w:pStyle w:val="FootnoteText"/>
      </w:pPr>
      <w:r>
        <w:rPr>
          <w:rStyle w:val="FootnoteReference"/>
        </w:rPr>
        <w:footnoteRef/>
      </w:r>
      <w:r>
        <w:t xml:space="preserve"> </w:t>
      </w:r>
      <w:r>
        <w:tab/>
      </w:r>
      <w:r w:rsidRPr="00D729CA">
        <w:t xml:space="preserve">We </w:t>
      </w:r>
      <w:r>
        <w:t>did not reach</w:t>
      </w:r>
      <w:r w:rsidRPr="00D729CA">
        <w:t xml:space="preserve"> a definitive view on whether use of the Thomson Reuters curve would contribute to an estimate that achieves the </w:t>
      </w:r>
      <w:r>
        <w:t>ARORO</w:t>
      </w:r>
      <w:r w:rsidRPr="00D729CA">
        <w:t>. However, we consider</w:t>
      </w:r>
      <w:r>
        <w:t>ed</w:t>
      </w:r>
      <w:r w:rsidRPr="00D729CA">
        <w:t xml:space="preserve"> the impact of including or excluding the Thomson Reuters curve appear</w:t>
      </w:r>
      <w:r>
        <w:t>ed</w:t>
      </w:r>
      <w:r w:rsidRPr="00D729CA">
        <w:t xml:space="preserve"> to be of limited materiality except over a historical period of two months</w:t>
      </w:r>
      <w:r>
        <w:t>.</w:t>
      </w:r>
    </w:p>
  </w:footnote>
  <w:footnote w:id="303">
    <w:p w:rsidR="0007291A" w:rsidRPr="00B85376" w:rsidRDefault="0007291A" w:rsidP="00E6234D">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rPr>
          <w:rFonts w:cs="Arial"/>
          <w:szCs w:val="16"/>
        </w:rPr>
        <w:t xml:space="preserve">See for example, </w:t>
      </w:r>
      <w:r>
        <w:t xml:space="preserve">AER, </w:t>
      </w:r>
      <w:r w:rsidRPr="00CE11C9">
        <w:rPr>
          <w:rStyle w:val="AERtextitalic"/>
        </w:rPr>
        <w:t>Final decision</w:t>
      </w:r>
      <w:r>
        <w:rPr>
          <w:rStyle w:val="AERtextitalic"/>
        </w:rPr>
        <w:t xml:space="preserve">: CitiPower distribution determination 2016 to 2020, </w:t>
      </w:r>
      <w:r w:rsidRPr="00CE11C9">
        <w:rPr>
          <w:rStyle w:val="AERtextitalic"/>
        </w:rPr>
        <w:t>Attachment 3—Rate of return</w:t>
      </w:r>
      <w:r>
        <w:t>, May 2016, p. 353.</w:t>
      </w:r>
    </w:p>
  </w:footnote>
  <w:footnote w:id="304">
    <w:p w:rsidR="0007291A" w:rsidRDefault="0007291A" w:rsidP="00E6234D">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305">
    <w:p w:rsidR="0007291A" w:rsidRDefault="0007291A" w:rsidP="00E6234D">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306">
    <w:p w:rsidR="0007291A" w:rsidRDefault="0007291A" w:rsidP="00E6234D">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307">
    <w:p w:rsidR="0007291A" w:rsidRDefault="0007291A" w:rsidP="00E6234D">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308">
    <w:p w:rsidR="0007291A" w:rsidRDefault="0007291A" w:rsidP="00E6234D">
      <w:pPr>
        <w:pStyle w:val="FootnoteText"/>
      </w:pPr>
      <w:r>
        <w:rPr>
          <w:rStyle w:val="FootnoteReference"/>
        </w:rPr>
        <w:footnoteRef/>
      </w:r>
      <w:r>
        <w:t xml:space="preserve"> </w:t>
      </w:r>
      <w:r>
        <w:tab/>
        <w:t xml:space="preserve">For example, see </w:t>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309">
    <w:p w:rsidR="0007291A" w:rsidRDefault="0007291A">
      <w:pPr>
        <w:pStyle w:val="FootnoteText"/>
      </w:pPr>
      <w:r>
        <w:rPr>
          <w:rStyle w:val="FootnoteReference"/>
        </w:rPr>
        <w:footnoteRef/>
      </w:r>
      <w:r>
        <w:t xml:space="preserve"> </w:t>
      </w:r>
      <w:r>
        <w:tab/>
        <w:t xml:space="preserve">Regulatory Economic Unit, </w:t>
      </w:r>
      <w:r w:rsidRPr="009737C8">
        <w:rPr>
          <w:rStyle w:val="Emphasis"/>
        </w:rPr>
        <w:t>Return on Debt Estimation: A Review of the Alternative Third Party Data Series</w:t>
      </w:r>
      <w:r>
        <w:t>, report prepared for the AER (</w:t>
      </w:r>
      <w:hyperlink r:id="rId7" w:history="1">
        <w:r w:rsidRPr="007B59C5">
          <w:rPr>
            <w:rStyle w:val="Hyperlink"/>
            <w:sz w:val="16"/>
          </w:rPr>
          <w:t>www.aer.gov.au</w:t>
        </w:r>
      </w:hyperlink>
      <w:r>
        <w:t xml:space="preserve">).  </w:t>
      </w:r>
    </w:p>
  </w:footnote>
  <w:footnote w:id="310">
    <w:p w:rsidR="0007291A" w:rsidRPr="00465D99" w:rsidRDefault="0007291A" w:rsidP="0039774C">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311">
    <w:p w:rsidR="0007291A" w:rsidRPr="00465D99" w:rsidRDefault="0007291A" w:rsidP="0039774C">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312">
    <w:p w:rsidR="0007291A" w:rsidRDefault="0007291A" w:rsidP="00E6234D">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313">
    <w:p w:rsidR="0007291A" w:rsidRDefault="0007291A" w:rsidP="00E6234D">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314">
    <w:p w:rsidR="0007291A" w:rsidRDefault="0007291A" w:rsidP="00E6234D">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315">
    <w:p w:rsidR="0007291A" w:rsidRDefault="0007291A" w:rsidP="00E6234D">
      <w:pPr>
        <w:pStyle w:val="FootnoteText"/>
      </w:pPr>
      <w:r>
        <w:rPr>
          <w:rStyle w:val="FootnoteReference"/>
        </w:rPr>
        <w:footnoteRef/>
      </w:r>
      <w:r>
        <w:t xml:space="preserve"> </w:t>
      </w:r>
      <w:r>
        <w:tab/>
        <w:t xml:space="preserve">For example, see </w:t>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316">
    <w:p w:rsidR="0007291A" w:rsidRDefault="0007291A" w:rsidP="00E6234D">
      <w:pPr>
        <w:pStyle w:val="FootnoteText"/>
      </w:pPr>
      <w:r>
        <w:rPr>
          <w:rStyle w:val="FootnoteReference"/>
        </w:rPr>
        <w:footnoteRef/>
      </w:r>
      <w:r>
        <w:t xml:space="preserve"> </w:t>
      </w:r>
      <w:r>
        <w:tab/>
        <w:t>[2016] ACompT 1, para 983.</w:t>
      </w:r>
    </w:p>
  </w:footnote>
  <w:footnote w:id="317">
    <w:p w:rsidR="0007291A" w:rsidRDefault="0007291A" w:rsidP="00E6234D">
      <w:pPr>
        <w:pStyle w:val="FootnoteText"/>
      </w:pPr>
      <w:r>
        <w:rPr>
          <w:rStyle w:val="FootnoteReference"/>
        </w:rPr>
        <w:footnoteRef/>
      </w:r>
      <w:r>
        <w:t xml:space="preserve"> </w:t>
      </w:r>
      <w:r>
        <w:tab/>
        <w:t>[2016] ACompT 1, para 993.</w:t>
      </w:r>
    </w:p>
  </w:footnote>
  <w:footnote w:id="318">
    <w:p w:rsidR="0007291A" w:rsidRDefault="0007291A" w:rsidP="00E6234D">
      <w:pPr>
        <w:pStyle w:val="FootnoteText"/>
      </w:pPr>
      <w:r>
        <w:rPr>
          <w:rStyle w:val="FootnoteReference"/>
        </w:rPr>
        <w:footnoteRef/>
      </w:r>
      <w:r>
        <w:t xml:space="preserve"> </w:t>
      </w:r>
      <w:r>
        <w:tab/>
        <w:t>[2016] ACompT 1, para 985.</w:t>
      </w:r>
    </w:p>
  </w:footnote>
  <w:footnote w:id="319">
    <w:p w:rsidR="0007291A" w:rsidRDefault="0007291A" w:rsidP="00E6234D">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320">
    <w:p w:rsidR="0007291A" w:rsidRDefault="0007291A" w:rsidP="00C32285">
      <w:pPr>
        <w:pStyle w:val="FootnoteText"/>
      </w:pPr>
      <w:r>
        <w:rPr>
          <w:rStyle w:val="FootnoteReference"/>
        </w:rPr>
        <w:footnoteRef/>
      </w:r>
      <w:r>
        <w:t xml:space="preserve"> </w:t>
      </w:r>
      <w:r>
        <w:tab/>
        <w:t xml:space="preserve">For example: AusNet Services, </w:t>
      </w:r>
      <w:r w:rsidRPr="006C0405">
        <w:rPr>
          <w:rStyle w:val="AERtextitalic"/>
        </w:rPr>
        <w:t>Transmission Revenue Review 2017–2022 regulatory proposal</w:t>
      </w:r>
      <w:r>
        <w:t xml:space="preserve">, 30 October 2015; </w:t>
      </w:r>
      <w:r w:rsidRPr="00E761F9">
        <w:t>AusNet</w:t>
      </w:r>
      <w:r>
        <w:t xml:space="preserve"> Services</w:t>
      </w:r>
      <w:r w:rsidRPr="00E761F9">
        <w:t xml:space="preserve">, </w:t>
      </w:r>
      <w:r w:rsidRPr="00E761F9">
        <w:rPr>
          <w:rStyle w:val="AERtextitalic"/>
        </w:rPr>
        <w:t xml:space="preserve">Revised </w:t>
      </w:r>
      <w:r>
        <w:rPr>
          <w:rStyle w:val="AERtextitalic"/>
        </w:rPr>
        <w:t>r</w:t>
      </w:r>
      <w:r w:rsidRPr="00E761F9">
        <w:rPr>
          <w:rStyle w:val="AERtextitalic"/>
        </w:rPr>
        <w:t>egulatory proposal</w:t>
      </w:r>
      <w:r>
        <w:t>, 6 January 2016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6 January 2016;</w:t>
      </w:r>
      <w:r>
        <w:t xml:space="preserve"> United Energy, </w:t>
      </w:r>
      <w:r w:rsidRPr="004D1E24">
        <w:rPr>
          <w:rStyle w:val="AERtextitalic"/>
        </w:rPr>
        <w:t>R</w:t>
      </w:r>
      <w:r>
        <w:rPr>
          <w:rStyle w:val="AERtextitalic"/>
        </w:rPr>
        <w:t>evised r</w:t>
      </w:r>
      <w:r w:rsidRPr="004D1E24">
        <w:rPr>
          <w:rStyle w:val="AERtextitalic"/>
        </w:rPr>
        <w:t>egulatory proposal</w:t>
      </w:r>
      <w:r>
        <w:t>, 6 January 2016;</w:t>
      </w:r>
      <w:r w:rsidRPr="00E761F9">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w:t>
      </w:r>
    </w:p>
  </w:footnote>
  <w:footnote w:id="321">
    <w:p w:rsidR="0007291A" w:rsidRDefault="0007291A" w:rsidP="0042271B">
      <w:pPr>
        <w:pStyle w:val="FootnoteText"/>
      </w:pPr>
      <w:r>
        <w:rPr>
          <w:rStyle w:val="FootnoteReference"/>
        </w:rPr>
        <w:footnoteRef/>
      </w:r>
      <w:r>
        <w:t xml:space="preserve"> </w:t>
      </w:r>
      <w:r>
        <w:tab/>
        <w:t xml:space="preserve">Powerlink, </w:t>
      </w:r>
      <w:r w:rsidRPr="0042271B">
        <w:rPr>
          <w:rStyle w:val="AERtextitalic"/>
        </w:rPr>
        <w:t>2018-22 Powerlink Queensland Revenue Proposal - Appendix 9.02</w:t>
      </w:r>
      <w:r>
        <w:t xml:space="preserve">, January 2016 p. 163 -164. </w:t>
      </w:r>
    </w:p>
  </w:footnote>
  <w:footnote w:id="322">
    <w:p w:rsidR="0007291A" w:rsidRDefault="0007291A" w:rsidP="00C32285">
      <w:pPr>
        <w:pStyle w:val="FootnoteText"/>
      </w:pPr>
      <w:r>
        <w:rPr>
          <w:rStyle w:val="FootnoteReference"/>
        </w:rPr>
        <w:footnoteRef/>
      </w:r>
      <w:r>
        <w:t xml:space="preserve"> </w:t>
      </w:r>
      <w:r>
        <w:tab/>
        <w:t xml:space="preserve">Powerlink, </w:t>
      </w:r>
      <w:r w:rsidRPr="0068795C">
        <w:rPr>
          <w:rStyle w:val="AERtextitalic"/>
        </w:rPr>
        <w:t>2018-22 Powerlink Queensland Revenue Proposal - Appendix 9.02</w:t>
      </w:r>
      <w:r>
        <w:t>, January 2016 p. 164.</w:t>
      </w:r>
    </w:p>
  </w:footnote>
  <w:footnote w:id="323">
    <w:p w:rsidR="0007291A" w:rsidRDefault="0007291A" w:rsidP="0042271B">
      <w:pPr>
        <w:pStyle w:val="FootnoteText"/>
      </w:pPr>
      <w:r>
        <w:rPr>
          <w:rStyle w:val="FootnoteReference"/>
        </w:rPr>
        <w:footnoteRef/>
      </w:r>
      <w:r>
        <w:t xml:space="preserve"> </w:t>
      </w:r>
      <w:r>
        <w:tab/>
        <w:t xml:space="preserve">Powerlink, </w:t>
      </w:r>
      <w:r w:rsidRPr="0068795C">
        <w:rPr>
          <w:rStyle w:val="AERtextitalic"/>
        </w:rPr>
        <w:t>2018-22 Powerlink Queensland Revenue Proposal - Appendix 9.02</w:t>
      </w:r>
      <w:r>
        <w:t>, January 2016 p. 163.</w:t>
      </w:r>
    </w:p>
  </w:footnote>
  <w:footnote w:id="324">
    <w:p w:rsidR="0007291A" w:rsidRDefault="0007291A" w:rsidP="00866D1D">
      <w:pPr>
        <w:pStyle w:val="FootnoteText"/>
      </w:pPr>
      <w:r>
        <w:rPr>
          <w:rStyle w:val="FootnoteReference"/>
        </w:rPr>
        <w:footnoteRef/>
      </w:r>
      <w:r>
        <w:t xml:space="preserve"> </w:t>
      </w:r>
      <w:r>
        <w:tab/>
        <w:t xml:space="preserve">See for example: AER, </w:t>
      </w:r>
      <w:r w:rsidRPr="00E8288C">
        <w:rPr>
          <w:rStyle w:val="AERtextitalic"/>
        </w:rPr>
        <w:t>Ausgrid distribution determination: Draft Decision—Attachment 3: Rate of return</w:t>
      </w:r>
      <w:r>
        <w:t xml:space="preserve">, pp. 135–150; </w:t>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325">
    <w:p w:rsidR="0007291A" w:rsidRDefault="0007291A" w:rsidP="00635710">
      <w:pPr>
        <w:pStyle w:val="FootnoteText"/>
      </w:pPr>
      <w:r>
        <w:rPr>
          <w:rStyle w:val="FootnoteReference"/>
        </w:rPr>
        <w:footnoteRef/>
      </w:r>
      <w:r>
        <w:t xml:space="preserve"> </w:t>
      </w:r>
      <w:r>
        <w:tab/>
        <w:t>NER, cl. 6A.6.2(l).</w:t>
      </w:r>
    </w:p>
  </w:footnote>
  <w:footnote w:id="326">
    <w:p w:rsidR="0007291A" w:rsidRDefault="0007291A" w:rsidP="006969CD">
      <w:pPr>
        <w:pStyle w:val="FootnoteText"/>
      </w:pPr>
      <w:r>
        <w:rPr>
          <w:rStyle w:val="FootnoteReference"/>
        </w:rPr>
        <w:footnoteRef/>
      </w:r>
      <w:r>
        <w:t xml:space="preserve"> </w:t>
      </w:r>
      <w:r>
        <w:tab/>
        <w:t xml:space="preserve">For example, see AER, </w:t>
      </w:r>
      <w:r w:rsidRPr="00AC04F4">
        <w:rPr>
          <w:i/>
        </w:rPr>
        <w:t xml:space="preserve">Final decision: Citipower distribution determination 2016 to 2020, Attachment 3 </w:t>
      </w:r>
      <w:r w:rsidRPr="00AC04F4">
        <w:rPr>
          <w:rFonts w:cs="Arial"/>
          <w:i/>
        </w:rPr>
        <w:t>–</w:t>
      </w:r>
      <w:r w:rsidRPr="00AC04F4">
        <w:rPr>
          <w:i/>
        </w:rPr>
        <w:t xml:space="preserve"> Rate of return</w:t>
      </w:r>
      <w:r>
        <w:t>, May 2016, pp. 354</w:t>
      </w:r>
      <w:r>
        <w:rPr>
          <w:rFonts w:cs="Arial"/>
        </w:rPr>
        <w:t>–</w:t>
      </w:r>
      <w:r>
        <w:t>6.</w:t>
      </w:r>
    </w:p>
  </w:footnote>
  <w:footnote w:id="327">
    <w:p w:rsidR="0007291A" w:rsidRDefault="0007291A" w:rsidP="006969CD">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328">
    <w:p w:rsidR="0007291A" w:rsidRDefault="0007291A" w:rsidP="006969CD">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329">
    <w:p w:rsidR="0007291A" w:rsidRDefault="0007291A" w:rsidP="006969CD">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8"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330">
    <w:p w:rsidR="0007291A" w:rsidRDefault="0007291A" w:rsidP="006969CD">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331">
    <w:p w:rsidR="0007291A" w:rsidRDefault="0007291A" w:rsidP="006969CD">
      <w:pPr>
        <w:pStyle w:val="FootnoteText"/>
      </w:pPr>
      <w:r>
        <w:rPr>
          <w:rStyle w:val="FootnoteReference"/>
        </w:rPr>
        <w:footnoteRef/>
      </w:r>
      <w:r>
        <w:t xml:space="preserve"> </w:t>
      </w:r>
      <w:r>
        <w:tab/>
        <w:t>Specifically, from 15 September 2014 to 3 November 2014.</w:t>
      </w:r>
    </w:p>
  </w:footnote>
  <w:footnote w:id="332">
    <w:p w:rsidR="0007291A" w:rsidRDefault="0007291A" w:rsidP="006969CD">
      <w:pPr>
        <w:pStyle w:val="FootnoteText"/>
      </w:pPr>
      <w:r>
        <w:rPr>
          <w:rStyle w:val="FootnoteReference"/>
        </w:rPr>
        <w:footnoteRef/>
      </w:r>
      <w:r>
        <w:t xml:space="preserve"> </w:t>
      </w:r>
      <w:r>
        <w:tab/>
        <w:t>Specifically, 14 April 2015.</w:t>
      </w:r>
    </w:p>
  </w:footnote>
  <w:footnote w:id="333">
    <w:p w:rsidR="0007291A" w:rsidRDefault="0007291A" w:rsidP="006969C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334">
    <w:p w:rsidR="0007291A" w:rsidRDefault="0007291A" w:rsidP="006969CD">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335">
    <w:p w:rsidR="0007291A" w:rsidRDefault="0007291A" w:rsidP="00DE0835">
      <w:pPr>
        <w:pStyle w:val="FootnoteText"/>
      </w:pPr>
      <w:r>
        <w:rPr>
          <w:rStyle w:val="FootnoteReference"/>
        </w:rPr>
        <w:footnoteRef/>
      </w:r>
      <w:r>
        <w:t xml:space="preserve"> </w:t>
      </w:r>
      <w:r>
        <w:tab/>
        <w:t xml:space="preserve">Being 40 business days ending 29 July 2016. </w:t>
      </w:r>
    </w:p>
  </w:footnote>
  <w:footnote w:id="336">
    <w:p w:rsidR="0007291A" w:rsidRDefault="0007291A" w:rsidP="00DE0835">
      <w:pPr>
        <w:pStyle w:val="FootnoteText"/>
      </w:pPr>
      <w:r>
        <w:rPr>
          <w:rStyle w:val="FootnoteReference"/>
        </w:rPr>
        <w:footnoteRef/>
      </w:r>
      <w:r>
        <w:t xml:space="preserve"> </w:t>
      </w:r>
      <w:r>
        <w:tab/>
        <w:t>TasNetworks</w:t>
      </w:r>
      <w:r w:rsidRPr="00C808D5">
        <w:rPr>
          <w:rStyle w:val="AERtextitalic"/>
        </w:rPr>
        <w:t xml:space="preserve">, </w:t>
      </w:r>
      <w:r>
        <w:rPr>
          <w:rStyle w:val="AERtextitalic"/>
        </w:rPr>
        <w:t xml:space="preserve">Letter from John Sayers Program Leader Revenue Resets TasNetworks to Chris Pattas General Manager AER - Averaging periods to estimate the allowed return on debt, </w:t>
      </w:r>
      <w:r>
        <w:t xml:space="preserve">23 December 2015. </w:t>
      </w:r>
    </w:p>
  </w:footnote>
  <w:footnote w:id="337">
    <w:p w:rsidR="0007291A" w:rsidRDefault="0007291A" w:rsidP="00DE0835">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338">
    <w:p w:rsidR="0007291A" w:rsidRDefault="0007291A" w:rsidP="00DE0835">
      <w:pPr>
        <w:pStyle w:val="FootnoteText"/>
      </w:pPr>
      <w:r>
        <w:rPr>
          <w:rStyle w:val="FootnoteReference"/>
        </w:rPr>
        <w:footnoteRef/>
      </w:r>
      <w:r>
        <w:t xml:space="preserve"> </w:t>
      </w:r>
      <w:r>
        <w:tab/>
      </w:r>
      <w:r w:rsidRPr="007E60B1">
        <w:t>NER</w:t>
      </w:r>
      <w:r>
        <w:t>,</w:t>
      </w:r>
      <w:r w:rsidRPr="007E60B1">
        <w:t xml:space="preserve"> c</w:t>
      </w:r>
      <w:r>
        <w:t>l</w:t>
      </w:r>
      <w:r w:rsidRPr="007E60B1">
        <w:t>l. 6.5.2(c)</w:t>
      </w:r>
      <w:r>
        <w:t xml:space="preserve"> and 6A.6.2(c); NGR, r. 87(3)</w:t>
      </w:r>
      <w:r w:rsidRPr="007E60B1">
        <w:t>.</w:t>
      </w:r>
    </w:p>
  </w:footnote>
  <w:footnote w:id="339">
    <w:p w:rsidR="0007291A" w:rsidRDefault="0007291A" w:rsidP="00DE0835">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340">
    <w:p w:rsidR="0007291A" w:rsidRDefault="0007291A" w:rsidP="00DE0835">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January 2016, pp. 36–37;</w:t>
      </w:r>
      <w:r w:rsidRPr="00E761F9">
        <w:t xml:space="preserve">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341">
    <w:p w:rsidR="0007291A" w:rsidRDefault="0007291A" w:rsidP="00DE0835">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January 2016, pp. 36–37;</w:t>
      </w:r>
      <w:r w:rsidRPr="00E761F9">
        <w:t xml:space="preserve">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342">
    <w:p w:rsidR="0007291A" w:rsidRDefault="0007291A" w:rsidP="00DE0835">
      <w:pPr>
        <w:pStyle w:val="FootnoteText"/>
      </w:pPr>
      <w:r>
        <w:rPr>
          <w:rStyle w:val="FootnoteReference"/>
        </w:rPr>
        <w:footnoteRef/>
      </w:r>
      <w:r>
        <w:t xml:space="preserve"> </w:t>
      </w:r>
      <w:r>
        <w:tab/>
      </w:r>
      <w:r w:rsidRPr="00E761F9">
        <w:t xml:space="preserve">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w:t>
      </w:r>
    </w:p>
  </w:footnote>
  <w:footnote w:id="343">
    <w:p w:rsidR="0007291A" w:rsidRDefault="0007291A" w:rsidP="00DE0835">
      <w:pPr>
        <w:pStyle w:val="FootnoteText"/>
      </w:pPr>
      <w:r>
        <w:rPr>
          <w:rStyle w:val="FootnoteReference"/>
        </w:rPr>
        <w:footnoteRef/>
      </w:r>
      <w:r>
        <w:t xml:space="preserve"> </w:t>
      </w:r>
      <w:r>
        <w:tab/>
      </w:r>
      <w:r w:rsidR="002F2E36">
        <w:t xml:space="preserve">CCP (David Headberry, Bev Hughson and David Prins), </w:t>
      </w:r>
      <w:r w:rsidR="002F2E36" w:rsidRPr="00406182">
        <w:rPr>
          <w:rStyle w:val="AERtextitalic"/>
        </w:rPr>
        <w:t>Response to proposals from Victorian electricity distribution network service providers for a revenue reset for the 2016–2020 regulatory period</w:t>
      </w:r>
      <w:r w:rsidR="002F2E36">
        <w:rPr>
          <w:rStyle w:val="AERtextitalic"/>
        </w:rPr>
        <w:t>: Attachment 1</w:t>
      </w:r>
      <w:r w:rsidR="002F2E36">
        <w:t>, August 2015, p. 86</w:t>
      </w:r>
      <w:r>
        <w:t>.</w:t>
      </w:r>
    </w:p>
  </w:footnote>
  <w:footnote w:id="344">
    <w:p w:rsidR="0007291A" w:rsidRDefault="0007291A" w:rsidP="00DE0835">
      <w:pPr>
        <w:pStyle w:val="FootnoteText"/>
      </w:pPr>
      <w:r>
        <w:rPr>
          <w:rStyle w:val="FootnoteReference"/>
        </w:rPr>
        <w:footnoteRef/>
      </w:r>
      <w:r>
        <w:t xml:space="preserve"> </w:t>
      </w:r>
      <w:r>
        <w:tab/>
        <w:t xml:space="preserve">AusNet Services, </w:t>
      </w:r>
      <w:r w:rsidRPr="006C0405">
        <w:rPr>
          <w:rStyle w:val="AERtextitalic"/>
        </w:rPr>
        <w:t>Transmission Revenue Review 2017–2022 regulatory proposal</w:t>
      </w:r>
      <w:r>
        <w:t xml:space="preserve">, 30 October 2015, p. 275. </w:t>
      </w:r>
    </w:p>
  </w:footnote>
  <w:footnote w:id="345">
    <w:p w:rsidR="0007291A" w:rsidRDefault="0007291A" w:rsidP="00DE0835">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104.</w:t>
      </w:r>
    </w:p>
  </w:footnote>
  <w:footnote w:id="346">
    <w:p w:rsidR="0007291A" w:rsidRDefault="0007291A" w:rsidP="00DE0835">
      <w:pPr>
        <w:pStyle w:val="FootnoteText"/>
      </w:pPr>
      <w:r>
        <w:rPr>
          <w:rStyle w:val="FootnoteReference"/>
        </w:rPr>
        <w:footnoteRef/>
      </w:r>
      <w:r>
        <w:t xml:space="preserve"> </w:t>
      </w:r>
      <w:r>
        <w:tab/>
        <w:t>We have also proposed and adopted a full transition into the trailing average approach. This s</w:t>
      </w:r>
      <w:r w:rsidRPr="00553558">
        <w:t>tart</w:t>
      </w:r>
      <w:r>
        <w:t>s</w:t>
      </w:r>
      <w:r w:rsidRPr="00553558">
        <w:t xml:space="preserve"> with an on-the-day rate for the first regulatory year and gradually transition</w:t>
      </w:r>
      <w:r>
        <w:t>s</w:t>
      </w:r>
      <w:r w:rsidRPr="00553558">
        <w:t xml:space="preserve"> into a trailing average approach over 10 years</w:t>
      </w:r>
      <w:r>
        <w:t>.</w:t>
      </w:r>
      <w:r w:rsidRPr="00553558">
        <w:t xml:space="preserve"> </w:t>
      </w:r>
    </w:p>
  </w:footnote>
  <w:footnote w:id="347">
    <w:p w:rsidR="0007291A" w:rsidRDefault="0007291A" w:rsidP="00DE0835">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108.</w:t>
      </w:r>
    </w:p>
  </w:footnote>
  <w:footnote w:id="348">
    <w:p w:rsidR="0007291A" w:rsidRDefault="0007291A" w:rsidP="006969CD">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349">
    <w:p w:rsidR="0007291A" w:rsidRDefault="0007291A" w:rsidP="006969CD">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350">
    <w:p w:rsidR="0007291A" w:rsidRDefault="0007291A" w:rsidP="006969CD">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351">
    <w:p w:rsidR="0007291A" w:rsidRDefault="0007291A" w:rsidP="006969CD">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352">
    <w:p w:rsidR="0007291A" w:rsidRDefault="0007291A" w:rsidP="006969CD">
      <w:pPr>
        <w:pStyle w:val="FootnoteText"/>
      </w:pPr>
      <w:r>
        <w:rPr>
          <w:rStyle w:val="FootnoteReference"/>
        </w:rPr>
        <w:footnoteRef/>
      </w:r>
      <w:r>
        <w:t xml:space="preserve"> </w:t>
      </w:r>
      <w:r>
        <w:tab/>
        <w:t>We have re-calculated the published 'spread to CGS' by subtracting our estimate of the interpolated Australian Government security yield, as calculated in step 4, from the RBA's published yield to maturity. This allows us to combine daily data from Australian Government securities with an estimate of the spread calculated correctly with reference to both the RBA's yield estimate and our estimates from Australian Government securities.</w:t>
      </w:r>
    </w:p>
  </w:footnote>
  <w:footnote w:id="353">
    <w:p w:rsidR="0007291A" w:rsidRDefault="0007291A" w:rsidP="006969CD">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354">
    <w:p w:rsidR="0007291A" w:rsidRDefault="0007291A" w:rsidP="006969CD">
      <w:pPr>
        <w:pStyle w:val="FootnoteText"/>
      </w:pPr>
      <w:r>
        <w:rPr>
          <w:rStyle w:val="FootnoteReference"/>
        </w:rPr>
        <w:footnoteRef/>
      </w:r>
      <w:r>
        <w:t xml:space="preserve"> </w:t>
      </w:r>
      <w:r>
        <w:tab/>
        <w:t xml:space="preserve">In previous decisions, we have stated that for dates before 14 April 2015, calculating the adjusted BVAL estimate would require downloading </w:t>
      </w:r>
      <w:r w:rsidRPr="00FB18DC">
        <w:t>the 7 year Corporate BBB rated Austral</w:t>
      </w:r>
      <w:r>
        <w:t xml:space="preserve">ian BVAL curve (BVCSAB07 index) and adding the </w:t>
      </w:r>
      <w:r w:rsidRPr="00FB18DC">
        <w:t>difference between the 7 and 10 year daily RBA adjuste</w:t>
      </w:r>
      <w:r>
        <w:t>d yields (as calculated in step 8 of the RBA process) to this yield.</w:t>
      </w:r>
      <w:r w:rsidRPr="00FB18DC">
        <w:t xml:space="preserve"> </w:t>
      </w:r>
      <w:r>
        <w:t>However, under the approach in this draft decision, all averaging period dates should be after 14 April 2015.</w:t>
      </w:r>
    </w:p>
  </w:footnote>
  <w:footnote w:id="355">
    <w:p w:rsidR="0007291A" w:rsidRDefault="0007291A" w:rsidP="006969CD">
      <w:pPr>
        <w:pStyle w:val="FootnoteText"/>
      </w:pPr>
      <w:r>
        <w:rPr>
          <w:rStyle w:val="FootnoteReference"/>
        </w:rPr>
        <w:footnoteRef/>
      </w:r>
      <w:r>
        <w:t xml:space="preserve"> </w:t>
      </w:r>
      <w:r>
        <w:tab/>
        <w:t>NER cl. 6A.6.2(l).</w:t>
      </w:r>
    </w:p>
  </w:footnote>
  <w:footnote w:id="356">
    <w:p w:rsidR="0007291A" w:rsidRDefault="0007291A" w:rsidP="006969CD">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357">
    <w:p w:rsidR="0007291A" w:rsidRDefault="0007291A" w:rsidP="006969CD">
      <w:pPr>
        <w:pStyle w:val="FootnoteText"/>
      </w:pPr>
      <w:r>
        <w:rPr>
          <w:rStyle w:val="FootnoteReference"/>
        </w:rPr>
        <w:footnoteRef/>
      </w:r>
      <w:r>
        <w:t xml:space="preserve"> </w:t>
      </w:r>
      <w:r>
        <w:tab/>
        <w:t>For example, where Bloomberg only publishes a 6 year curve, we will extrapolate it to 10 years using the 6 to 10 year yield margin from the RBA curve. Or, where Bloomberg only publishes a 7 year estimate, we will extrapolate it to 10 years using the 7 to 10 year yield margin from the RBA curve.</w:t>
      </w:r>
    </w:p>
  </w:footnote>
  <w:footnote w:id="358">
    <w:p w:rsidR="0007291A" w:rsidRDefault="0007291A" w:rsidP="006969CD">
      <w:pPr>
        <w:pStyle w:val="FootnoteText"/>
      </w:pPr>
      <w:r>
        <w:rPr>
          <w:rStyle w:val="FootnoteReference"/>
        </w:rPr>
        <w:footnoteRef/>
      </w:r>
      <w:r>
        <w:t xml:space="preserve"> </w:t>
      </w:r>
      <w:r>
        <w:tab/>
        <w:t>Specifically, the spread to Australian Government securities.</w:t>
      </w:r>
    </w:p>
  </w:footnote>
  <w:footnote w:id="359">
    <w:p w:rsidR="0007291A" w:rsidRDefault="0007291A" w:rsidP="006969CD">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w:t>
      </w:r>
      <w:r>
        <w:t xml:space="preserve">d estimate. </w:t>
      </w:r>
    </w:p>
  </w:footnote>
  <w:footnote w:id="360">
    <w:p w:rsidR="0007291A" w:rsidRDefault="0007291A" w:rsidP="006969CD">
      <w:pPr>
        <w:pStyle w:val="FootnoteText"/>
      </w:pPr>
      <w:r>
        <w:rPr>
          <w:rStyle w:val="FootnoteReference"/>
        </w:rPr>
        <w:footnoteRef/>
      </w:r>
      <w:r>
        <w:t xml:space="preserve"> </w:t>
      </w:r>
      <w:r>
        <w:tab/>
        <w:t>Thompson Reuters publishes a BBB par yield curve to 10 years from 25 May 2015 (</w:t>
      </w:r>
      <w:r w:rsidRPr="00392E44">
        <w:t>BBBAUDBMK Par Yield</w:t>
      </w:r>
      <w:r>
        <w:t xml:space="preserve">). However, we have had limited opportunity to review and consult on f this information  as this was first put before us with the revised regulatory proposals in  January 2016. Nevertheless, we have performed a preliminary assessment of this information (see appendix </w:t>
      </w:r>
      <w:r>
        <w:fldChar w:fldCharType="begin"/>
      </w:r>
      <w:r>
        <w:instrText xml:space="preserve"> REF _Ref451268065 \r \h </w:instrText>
      </w:r>
      <w:r>
        <w:fldChar w:fldCharType="separate"/>
      </w:r>
      <w:r w:rsidR="00691B4D">
        <w:t>A</w:t>
      </w:r>
      <w:r>
        <w:fldChar w:fldCharType="end"/>
      </w:r>
      <w:r>
        <w:t xml:space="preserve">). This indicates that the Reuters curve would </w:t>
      </w:r>
      <w:r w:rsidRPr="009A2F59">
        <w:t xml:space="preserve">produce comparable </w:t>
      </w:r>
      <w:r>
        <w:t xml:space="preserve">estimates </w:t>
      </w:r>
      <w:r w:rsidRPr="009A2F59">
        <w:t>to the existing combination</w:t>
      </w:r>
      <w:r>
        <w:t>. We do not rule out including the</w:t>
      </w:r>
      <w:r w:rsidRPr="009A2F59">
        <w:t xml:space="preserve"> Reuters curve in future determinations following a proper period of consultation.</w:t>
      </w:r>
    </w:p>
  </w:footnote>
  <w:footnote w:id="361">
    <w:p w:rsidR="0007291A" w:rsidRDefault="0007291A" w:rsidP="006969CD">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362">
    <w:p w:rsidR="0007291A" w:rsidRDefault="0007291A" w:rsidP="00972CF8">
      <w:pPr>
        <w:pStyle w:val="FootnoteText"/>
      </w:pPr>
      <w:r>
        <w:rPr>
          <w:rStyle w:val="FootnoteReference"/>
        </w:rPr>
        <w:footnoteRef/>
      </w:r>
      <w:r>
        <w:t xml:space="preserve"> </w:t>
      </w:r>
      <w:r>
        <w:tab/>
        <w:t xml:space="preserve">AER, </w:t>
      </w:r>
      <w:r w:rsidRPr="00C94C77">
        <w:rPr>
          <w:i/>
        </w:rPr>
        <w:t>Rate of return guideline</w:t>
      </w:r>
      <w:r>
        <w:t xml:space="preserve">, December 2013, p. 9; TasNetworks, </w:t>
      </w:r>
      <w:r w:rsidRPr="00A23DF5">
        <w:rPr>
          <w:rStyle w:val="AERtextitalic"/>
        </w:rPr>
        <w:t>Tasmanian Distribution Regulatory Proposal Regulatory Control Period 1 July 2017 to 30 June 2019</w:t>
      </w:r>
      <w:r>
        <w:t>, 29 January 2016, p. 117.</w:t>
      </w:r>
    </w:p>
  </w:footnote>
  <w:footnote w:id="363">
    <w:p w:rsidR="0007291A" w:rsidRDefault="0007291A" w:rsidP="00972CF8">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364">
    <w:p w:rsidR="0007291A" w:rsidRDefault="0007291A">
      <w:pPr>
        <w:pStyle w:val="FootnoteText"/>
      </w:pPr>
      <w:r>
        <w:rPr>
          <w:rStyle w:val="FootnoteReference"/>
        </w:rPr>
        <w:footnoteRef/>
      </w:r>
      <w:r>
        <w:t xml:space="preserve"> </w:t>
      </w:r>
      <w:r>
        <w:tab/>
      </w:r>
      <w:r w:rsidR="002F2E36">
        <w:t xml:space="preserve">CCP (Hugh Grant and David Headberry), </w:t>
      </w:r>
      <w:r w:rsidR="002F2E36" w:rsidRPr="0046710C">
        <w:rPr>
          <w:rStyle w:val="AERtextitalic"/>
        </w:rPr>
        <w:t>Submission to the AE</w:t>
      </w:r>
      <w:r w:rsidR="002F2E36">
        <w:rPr>
          <w:rStyle w:val="AERtextitalic"/>
        </w:rPr>
        <w:t>R, Powerlink Queensland 2018–</w:t>
      </w:r>
      <w:r w:rsidR="002F2E36" w:rsidRPr="0046710C">
        <w:rPr>
          <w:rStyle w:val="AERtextitalic"/>
        </w:rPr>
        <w:t xml:space="preserve">22 </w:t>
      </w:r>
      <w:r w:rsidR="002F2E36">
        <w:rPr>
          <w:rStyle w:val="AERtextitalic"/>
        </w:rPr>
        <w:t>r</w:t>
      </w:r>
      <w:r w:rsidR="002F2E36" w:rsidRPr="0046710C">
        <w:rPr>
          <w:rStyle w:val="AERtextitalic"/>
        </w:rPr>
        <w:t xml:space="preserve">evenue </w:t>
      </w:r>
      <w:r w:rsidR="002F2E36">
        <w:rPr>
          <w:rStyle w:val="AERtextitalic"/>
        </w:rPr>
        <w:t>p</w:t>
      </w:r>
      <w:r w:rsidR="002F2E36" w:rsidRPr="0046710C">
        <w:rPr>
          <w:rStyle w:val="AERtextitalic"/>
        </w:rPr>
        <w:t>roposal</w:t>
      </w:r>
      <w:r w:rsidR="002F2E36">
        <w:t>, 20 June 2016, p. 47.</w:t>
      </w:r>
    </w:p>
  </w:footnote>
  <w:footnote w:id="365">
    <w:p w:rsidR="0007291A" w:rsidRDefault="0007291A">
      <w:pPr>
        <w:pStyle w:val="FootnoteText"/>
      </w:pPr>
      <w:r>
        <w:rPr>
          <w:rStyle w:val="FootnoteReference"/>
        </w:rPr>
        <w:footnoteRef/>
      </w:r>
      <w:r>
        <w:t xml:space="preserve"> </w:t>
      </w:r>
      <w:r>
        <w:tab/>
        <w:t>Noting that TasNetworks' actual financing arrangements may not reflect those of a benchmark efficient entity.</w:t>
      </w:r>
    </w:p>
  </w:footnote>
  <w:footnote w:id="366">
    <w:p w:rsidR="0007291A" w:rsidRDefault="0007291A">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 117.</w:t>
      </w:r>
    </w:p>
  </w:footnote>
  <w:footnote w:id="367">
    <w:p w:rsidR="0007291A" w:rsidRDefault="0007291A" w:rsidP="009D13D5">
      <w:pPr>
        <w:pStyle w:val="FootnoteText"/>
      </w:pPr>
      <w:r>
        <w:rPr>
          <w:rStyle w:val="FootnoteReference"/>
        </w:rPr>
        <w:footnoteRef/>
      </w:r>
      <w:r>
        <w:t xml:space="preserve"> </w:t>
      </w:r>
      <w:r>
        <w:tab/>
        <w:t>See attachment 3 of our final decisions published in May 2016 for ActewAGL distribution (gas), AGN, APTNT, AusNet Services (distribution), CitiPower, Jemena Electricity Networks, Powercor and United Energy.</w:t>
      </w:r>
    </w:p>
  </w:footnote>
  <w:footnote w:id="368">
    <w:p w:rsidR="0007291A" w:rsidRDefault="0007291A" w:rsidP="009D13D5">
      <w:pPr>
        <w:pStyle w:val="FootnoteText"/>
      </w:pPr>
      <w:r>
        <w:rPr>
          <w:rStyle w:val="FootnoteReference"/>
        </w:rPr>
        <w:footnoteRef/>
      </w:r>
      <w:r>
        <w:t xml:space="preserve"> </w:t>
      </w:r>
      <w:r>
        <w:tab/>
        <w:t xml:space="preserve">Further, </w:t>
      </w:r>
      <w:r w:rsidRPr="007614B1">
        <w:t>RBA forecasts have been marginally more accurate than private sector forecasts</w:t>
      </w:r>
      <w:r>
        <w:t xml:space="preserve">. Tullip, P., Wallace, S., 'Estimates of uncertainty around the RBA’s forecasts’, </w:t>
      </w:r>
      <w:r w:rsidRPr="00EC657C">
        <w:rPr>
          <w:i/>
        </w:rPr>
        <w:t>RBA Research Discussion Paper – November 2012</w:t>
      </w:r>
      <w:r>
        <w:t xml:space="preserve">, RDP2012–07, p. 30. </w:t>
      </w:r>
    </w:p>
  </w:footnote>
  <w:footnote w:id="369">
    <w:p w:rsidR="0007291A" w:rsidRDefault="0007291A" w:rsidP="009D13D5">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370">
    <w:p w:rsidR="0007291A" w:rsidRDefault="0007291A" w:rsidP="00972CF8">
      <w:pPr>
        <w:pStyle w:val="FootnoteText"/>
      </w:pPr>
      <w:r>
        <w:rPr>
          <w:rStyle w:val="FootnoteReference"/>
        </w:rPr>
        <w:footnoteRef/>
      </w:r>
      <w:r>
        <w:t xml:space="preserve"> </w:t>
      </w:r>
      <w:r>
        <w:tab/>
        <w:t xml:space="preserve">See for example: AusNet Services, </w:t>
      </w:r>
      <w:r w:rsidRPr="00DC0445">
        <w:rPr>
          <w:i/>
        </w:rPr>
        <w:t>RINs schedule 1 – 4.2.b – Forecast inflation estimate</w:t>
      </w:r>
      <w:r>
        <w:t xml:space="preserve">, October 2015; United Energy, </w:t>
      </w:r>
      <w:r w:rsidRPr="009D13D5">
        <w:rPr>
          <w:rStyle w:val="AERtextitalic"/>
        </w:rPr>
        <w:t>Response to AER Preliminary Determination Re: Rate of return and gamma</w:t>
      </w:r>
      <w:r>
        <w:t xml:space="preserve">, 6 January 2016, p. 100; CEG, </w:t>
      </w:r>
      <w:r w:rsidRPr="009D13D5">
        <w:rPr>
          <w:rStyle w:val="AERtextitalic"/>
        </w:rPr>
        <w:t>Measuring expected inflation for the PTRM</w:t>
      </w:r>
      <w:r>
        <w:t xml:space="preserve">, June 2015, p. 10; CEG, </w:t>
      </w:r>
      <w:r w:rsidRPr="009D13D5">
        <w:rPr>
          <w:rStyle w:val="AERtextitalic"/>
        </w:rPr>
        <w:t>Measuring risk free rates and expected inflation: A report for United Energy</w:t>
      </w:r>
      <w:r>
        <w:t xml:space="preserve">, April 2015; CitiPower, CitiPower revised regulatory proposal 2016-2020, January 2016, p. 378.  </w:t>
      </w:r>
    </w:p>
  </w:footnote>
  <w:footnote w:id="371">
    <w:p w:rsidR="0007291A" w:rsidRDefault="0007291A">
      <w:pPr>
        <w:pStyle w:val="FootnoteText"/>
      </w:pPr>
      <w:r>
        <w:rPr>
          <w:rStyle w:val="FootnoteReference"/>
        </w:rPr>
        <w:footnoteRef/>
      </w:r>
      <w:r>
        <w:t xml:space="preserve"> </w:t>
      </w:r>
      <w:r>
        <w:tab/>
        <w:t xml:space="preserve">In 2007, the AER switched from using the breakeven approach to using its current approach, following submissions from service providers and information from the RBA and Australian Treasury that the market for indexed Australian government bonds may be too illiquid to produce reliable forecasts. See: </w:t>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372">
    <w:p w:rsidR="0007291A" w:rsidRDefault="0007291A" w:rsidP="00F62A07">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7.</w:t>
      </w:r>
    </w:p>
  </w:footnote>
  <w:footnote w:id="373">
    <w:p w:rsidR="0007291A" w:rsidRDefault="0007291A">
      <w:pPr>
        <w:pStyle w:val="FootnoteText"/>
      </w:pPr>
      <w:r>
        <w:rPr>
          <w:rStyle w:val="FootnoteReference"/>
        </w:rPr>
        <w:footnoteRef/>
      </w:r>
      <w:r>
        <w:t xml:space="preserve"> </w:t>
      </w:r>
      <w:r>
        <w:tab/>
        <w:t xml:space="preserve">For example see: AER, </w:t>
      </w:r>
      <w:r>
        <w:rPr>
          <w:rStyle w:val="AERtextitalic"/>
        </w:rPr>
        <w:t>Final decision: AusNet Services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May 2016.</w:t>
      </w:r>
    </w:p>
  </w:footnote>
  <w:footnote w:id="374">
    <w:p w:rsidR="0007291A" w:rsidRDefault="0007291A" w:rsidP="00A71C54">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equilibrium return of investors is not observable. We consider that realised returns remain a reliable indicator of investor expectations in market equilibrium.</w:t>
      </w:r>
    </w:p>
  </w:footnote>
  <w:footnote w:id="375">
    <w:p w:rsidR="0007291A" w:rsidRDefault="0007291A" w:rsidP="00A71C5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376">
    <w:p w:rsidR="0007291A" w:rsidRDefault="0007291A" w:rsidP="00A71C54">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377">
    <w:p w:rsidR="0007291A" w:rsidRDefault="0007291A" w:rsidP="00A71C54">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378">
    <w:p w:rsidR="0007291A" w:rsidRDefault="0007291A" w:rsidP="00A71C54">
      <w:pPr>
        <w:pStyle w:val="FootnoteText"/>
      </w:pPr>
      <w:r>
        <w:rPr>
          <w:rStyle w:val="FootnoteReference"/>
        </w:rPr>
        <w:footnoteRef/>
      </w:r>
      <w:r>
        <w:t xml:space="preserve"> </w:t>
      </w:r>
      <w:r>
        <w:tab/>
        <w:t>See section B.5 of Attachment 3 to our final decision on AusNet Services 2016-20 distribution determination for details on the Wright CAPM.</w:t>
      </w:r>
    </w:p>
  </w:footnote>
  <w:footnote w:id="379">
    <w:p w:rsidR="0007291A" w:rsidRDefault="0007291A" w:rsidP="00A71C54">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_Ref430958591 \r \h </w:instrText>
      </w:r>
      <w:r>
        <w:fldChar w:fldCharType="separate"/>
      </w:r>
      <w:r w:rsidR="00691B4D">
        <w:t>3.4.1</w:t>
      </w:r>
      <w:r>
        <w:fldChar w:fldCharType="end"/>
      </w:r>
      <w:r>
        <w:t>.</w:t>
      </w:r>
    </w:p>
  </w:footnote>
  <w:footnote w:id="380">
    <w:p w:rsidR="0007291A" w:rsidRDefault="0007291A" w:rsidP="00A71C54">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dividend growth model, SFG uses 'return on equity' in regards to book value and uses the term, 'cost of equity' with regards to market value. </w:t>
      </w:r>
    </w:p>
  </w:footnote>
  <w:footnote w:id="381">
    <w:p w:rsidR="0007291A" w:rsidRDefault="0007291A" w:rsidP="00A71C54">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382">
    <w:p w:rsidR="0007291A" w:rsidRDefault="0007291A" w:rsidP="00A71C54">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383">
    <w:p w:rsidR="0007291A" w:rsidRDefault="0007291A" w:rsidP="00A71C54">
      <w:pPr>
        <w:pStyle w:val="FootnoteText"/>
      </w:pPr>
      <w:r>
        <w:rPr>
          <w:rStyle w:val="FootnoteReference"/>
        </w:rPr>
        <w:footnoteRef/>
      </w:r>
      <w:r>
        <w:t xml:space="preserve"> </w:t>
      </w:r>
      <w:r>
        <w:tab/>
        <w:t>Rather than target prices.</w:t>
      </w:r>
    </w:p>
  </w:footnote>
  <w:footnote w:id="384">
    <w:p w:rsidR="0007291A" w:rsidRDefault="0007291A" w:rsidP="00A71C54">
      <w:pPr>
        <w:pStyle w:val="FootnoteText"/>
      </w:pPr>
      <w:r>
        <w:rPr>
          <w:rStyle w:val="FootnoteReference"/>
        </w:rPr>
        <w:footnoteRef/>
      </w:r>
      <w:r>
        <w:t xml:space="preserve"> </w:t>
      </w:r>
      <w:r>
        <w:tab/>
        <w:t>Assumed to be 2.5 per cent, which is the mid-point of the RBA's target inflation band.</w:t>
      </w:r>
    </w:p>
  </w:footnote>
  <w:footnote w:id="385">
    <w:p w:rsidR="0007291A" w:rsidRDefault="0007291A" w:rsidP="00A71C54">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386">
    <w:p w:rsidR="0007291A" w:rsidRDefault="0007291A" w:rsidP="00A71C54">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387">
    <w:p w:rsidR="0007291A" w:rsidRDefault="0007291A" w:rsidP="00A71C54">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388">
    <w:p w:rsidR="0007291A" w:rsidRDefault="0007291A" w:rsidP="00A71C54">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389">
    <w:p w:rsidR="0007291A" w:rsidRDefault="0007291A" w:rsidP="00A71C54">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390">
    <w:p w:rsidR="0007291A" w:rsidRDefault="0007291A" w:rsidP="00A71C54">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391">
    <w:p w:rsidR="0007291A" w:rsidRDefault="0007291A" w:rsidP="00A71C54">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392">
    <w:p w:rsidR="0007291A" w:rsidRDefault="0007291A" w:rsidP="00A71C54">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393">
    <w:p w:rsidR="0007291A" w:rsidRDefault="0007291A" w:rsidP="00A71C54">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394">
    <w:p w:rsidR="0007291A" w:rsidRDefault="0007291A" w:rsidP="00A71C54">
      <w:pPr>
        <w:pStyle w:val="FootnoteText"/>
      </w:pPr>
      <w:r>
        <w:rPr>
          <w:rStyle w:val="FootnoteReference"/>
        </w:rPr>
        <w:footnoteRef/>
      </w:r>
      <w:r>
        <w:t xml:space="preserve"> </w:t>
      </w:r>
      <w:r>
        <w:tab/>
        <w:t xml:space="preserve">This averaging period is 20 business days ending 29 July 2016.   </w:t>
      </w:r>
    </w:p>
  </w:footnote>
  <w:footnote w:id="395">
    <w:p w:rsidR="0007291A" w:rsidRDefault="0007291A" w:rsidP="00A71C5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396">
    <w:p w:rsidR="0007291A" w:rsidRDefault="0007291A" w:rsidP="00A71C54">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397">
    <w:p w:rsidR="0007291A" w:rsidRDefault="0007291A" w:rsidP="00A71C54">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398">
    <w:p w:rsidR="0007291A" w:rsidRDefault="0007291A">
      <w:pPr>
        <w:pStyle w:val="FootnoteText"/>
      </w:pPr>
      <w:r>
        <w:rPr>
          <w:rStyle w:val="FootnoteReference"/>
        </w:rPr>
        <w:footnoteRef/>
      </w:r>
      <w:r>
        <w:t xml:space="preserve"> </w:t>
      </w:r>
      <w:r>
        <w:tab/>
        <w:t>Where all the debt measures have a 3-year term.</w:t>
      </w:r>
    </w:p>
  </w:footnote>
  <w:footnote w:id="399">
    <w:p w:rsidR="0007291A" w:rsidRDefault="0007291A" w:rsidP="00A71C54">
      <w:pPr>
        <w:pStyle w:val="FootnoteText"/>
      </w:pPr>
      <w:r>
        <w:rPr>
          <w:rStyle w:val="FootnoteReference"/>
        </w:rPr>
        <w:footnoteRef/>
      </w:r>
      <w:r>
        <w:t xml:space="preserve"> </w:t>
      </w:r>
      <w:r>
        <w:tab/>
        <w:t>Efficient financing costs for a benchmark efficient entity with a similar degree of risk as that which applies to the service provider in respect of the provision of regulated services. See: NER, cl. 6.5.2(c); NER, cl. 6A.6.2(c); NGR, r.87(3).</w:t>
      </w:r>
    </w:p>
  </w:footnote>
  <w:footnote w:id="400">
    <w:p w:rsidR="0007291A" w:rsidRDefault="0007291A" w:rsidP="00A71C54">
      <w:pPr>
        <w:pStyle w:val="FootnoteText"/>
      </w:pPr>
      <w:r>
        <w:rPr>
          <w:rStyle w:val="FootnoteReference"/>
        </w:rPr>
        <w:footnoteRef/>
      </w:r>
      <w:r>
        <w:t xml:space="preserve"> </w:t>
      </w:r>
      <w:r>
        <w:tab/>
        <w:t xml:space="preserve">Based on the spread to Australian Government securities from our estimation of the cost of debt (based on an average of the RBA's data (on yield to maturity on BBB-rated corporate bonds with a ten year term and the Bloomberg BBB–rated AUD BVAL curve). </w:t>
      </w:r>
    </w:p>
  </w:footnote>
  <w:footnote w:id="401">
    <w:p w:rsidR="0007291A" w:rsidRDefault="0007291A" w:rsidP="00A71C54">
      <w:pPr>
        <w:pStyle w:val="FootnoteText"/>
      </w:pPr>
      <w:r>
        <w:rPr>
          <w:rStyle w:val="FootnoteReference"/>
        </w:rPr>
        <w:footnoteRef/>
      </w:r>
      <w:r>
        <w:t xml:space="preserve"> </w:t>
      </w:r>
      <w:r>
        <w:tab/>
        <w:t>The debt risk premiums are calculated as the extrapolated effective annual yield to maturity on BBB rated debt with 10 years to maturity less the effective annual yield to maturity on Australian Government securities with 10 years to maturity. Broad BBB rated bond yields have been used instead of BBB+ because the RBA quotes broad BBB yields to maturity.</w:t>
      </w:r>
    </w:p>
  </w:footnote>
  <w:footnote w:id="402">
    <w:p w:rsidR="0007291A" w:rsidRDefault="0007291A" w:rsidP="00A71C54">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403">
    <w:p w:rsidR="0007291A" w:rsidRDefault="0007291A" w:rsidP="006C49DC">
      <w:pPr>
        <w:pStyle w:val="FootnoteText"/>
      </w:pPr>
      <w:r>
        <w:rPr>
          <w:rStyle w:val="FootnoteReference"/>
        </w:rPr>
        <w:footnoteRef/>
      </w:r>
      <w:r>
        <w:t xml:space="preserve"> </w:t>
      </w:r>
      <w:r>
        <w:tab/>
        <w:t>W</w:t>
      </w:r>
      <w:r w:rsidRPr="00772CD8">
        <w:t>e do not consider that removing the risk free rate and examining the equity risk premium will bias the results.</w:t>
      </w:r>
      <w:r>
        <w:t xml:space="preserve"> 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(for more detail, see section F.5 of Attachment 3 to our final decision on AusNet Services 2016-20 distribution determination). </w:t>
      </w:r>
    </w:p>
  </w:footnote>
  <w:footnote w:id="404">
    <w:p w:rsidR="0007291A" w:rsidRDefault="0007291A" w:rsidP="00772CD8">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78–79.</w:t>
      </w:r>
    </w:p>
  </w:footnote>
  <w:footnote w:id="405">
    <w:p w:rsidR="0007291A" w:rsidRDefault="0007291A" w:rsidP="006C49DC">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406">
    <w:p w:rsidR="0007291A" w:rsidRDefault="0007291A" w:rsidP="006C49DC">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407">
    <w:p w:rsidR="0007291A" w:rsidRDefault="0007291A" w:rsidP="006C49DC">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408">
    <w:p w:rsidR="0007291A" w:rsidRDefault="0007291A" w:rsidP="006C49DC">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409">
    <w:p w:rsidR="0007291A" w:rsidRDefault="0007291A" w:rsidP="006C49DC">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410">
    <w:p w:rsidR="0007291A" w:rsidRDefault="0007291A" w:rsidP="006C49DC">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411">
    <w:p w:rsidR="0007291A" w:rsidRDefault="0007291A" w:rsidP="006C49DC">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412">
    <w:p w:rsidR="0007291A" w:rsidRDefault="0007291A" w:rsidP="006C49DC">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 A further relevant independent valuation report—Longergan Edwards' 31 March 2016 report for Ethane Pipeline Income Fund—has subsequently been released after November 2014.</w:t>
      </w:r>
    </w:p>
  </w:footnote>
  <w:footnote w:id="413">
    <w:p w:rsidR="0007291A" w:rsidRDefault="0007291A" w:rsidP="006C49DC">
      <w:pPr>
        <w:pStyle w:val="FootnoteText"/>
      </w:pPr>
      <w:r>
        <w:rPr>
          <w:rStyle w:val="FootnoteReference"/>
        </w:rPr>
        <w:footnoteRef/>
      </w:r>
      <w:r>
        <w:t xml:space="preserve"> </w:t>
      </w:r>
      <w:r>
        <w:tab/>
        <w:t>F</w:t>
      </w:r>
      <w:r w:rsidRPr="001106FF">
        <w:t>or more detail</w:t>
      </w:r>
      <w:r>
        <w:t>, s</w:t>
      </w:r>
      <w:r w:rsidRPr="00273F0E">
        <w:t xml:space="preserve">ee </w:t>
      </w:r>
      <w:r>
        <w:t>section</w:t>
      </w:r>
      <w:r w:rsidRPr="00273F0E">
        <w:t xml:space="preserve"> E.6</w:t>
      </w:r>
      <w:r w:rsidRPr="001106FF">
        <w:t xml:space="preserve"> of Attachment 3 to our </w:t>
      </w:r>
      <w:r>
        <w:t>preliminary</w:t>
      </w:r>
      <w:r w:rsidRPr="001106FF">
        <w:t xml:space="preserve"> decision on </w:t>
      </w:r>
      <w:r>
        <w:t>CitiPower's</w:t>
      </w:r>
      <w:r w:rsidRPr="001106FF">
        <w:t xml:space="preserve"> 2016-20 distribution determination</w:t>
      </w:r>
      <w:r w:rsidRPr="00273F0E">
        <w:t>.</w:t>
      </w:r>
    </w:p>
  </w:footnote>
  <w:footnote w:id="414">
    <w:p w:rsidR="0007291A" w:rsidRDefault="0007291A">
      <w:pPr>
        <w:pStyle w:val="FootnoteText"/>
      </w:pPr>
      <w:r>
        <w:rPr>
          <w:rStyle w:val="FootnoteReference"/>
        </w:rPr>
        <w:footnoteRef/>
      </w:r>
      <w:r>
        <w:t xml:space="preserve"> </w:t>
      </w:r>
      <w:r>
        <w:tab/>
        <w:t>F</w:t>
      </w:r>
      <w:r w:rsidRPr="001106FF">
        <w:t>or more detail</w:t>
      </w:r>
      <w:r>
        <w:t>, s</w:t>
      </w:r>
      <w:r w:rsidRPr="00273F0E">
        <w:t xml:space="preserve">ee </w:t>
      </w:r>
      <w:r>
        <w:t>section</w:t>
      </w:r>
      <w:r w:rsidRPr="00273F0E">
        <w:t xml:space="preserve"> E.6</w:t>
      </w:r>
      <w:r w:rsidRPr="001106FF">
        <w:t xml:space="preserve"> of Attachment 3 to our </w:t>
      </w:r>
      <w:r>
        <w:t>preliminary</w:t>
      </w:r>
      <w:r w:rsidRPr="001106FF">
        <w:t xml:space="preserve"> decision on </w:t>
      </w:r>
      <w:r>
        <w:t>CitiPower's</w:t>
      </w:r>
      <w:r w:rsidRPr="001106FF">
        <w:t xml:space="preserve"> 2016-20 distribution determination</w:t>
      </w:r>
      <w:r>
        <w:t>.</w:t>
      </w:r>
    </w:p>
  </w:footnote>
  <w:footnote w:id="415">
    <w:p w:rsidR="0007291A" w:rsidRDefault="0007291A">
      <w:pPr>
        <w:pStyle w:val="FootnoteText"/>
      </w:pPr>
      <w:r>
        <w:rPr>
          <w:rStyle w:val="FootnoteReference"/>
        </w:rPr>
        <w:footnoteRef/>
      </w:r>
      <w:r>
        <w:t xml:space="preserve"> </w:t>
      </w:r>
      <w:r>
        <w:tab/>
      </w:r>
      <w:r w:rsidRPr="005467C5">
        <w:t>For more information, see section pages 96 to 99 of Attachment 3 to our preliminary decision for AusNet Services' 2016-20 distribution determination</w:t>
      </w:r>
      <w:r>
        <w:t>.</w:t>
      </w:r>
    </w:p>
  </w:footnote>
  <w:footnote w:id="416">
    <w:p w:rsidR="0007291A" w:rsidRDefault="0007291A" w:rsidP="005467C5">
      <w:pPr>
        <w:pStyle w:val="FootnoteText"/>
      </w:pPr>
      <w:r>
        <w:rPr>
          <w:rStyle w:val="FootnoteReference"/>
        </w:rPr>
        <w:footnoteRef/>
      </w:r>
      <w:r>
        <w:t xml:space="preserve"> </w:t>
      </w:r>
      <w:r>
        <w:tab/>
        <w:t xml:space="preserve">Lonergan Edwards &amp; Associates Limited, </w:t>
      </w:r>
      <w:r w:rsidRPr="00EA0D6C">
        <w:rPr>
          <w:rStyle w:val="AERtextitalic"/>
        </w:rPr>
        <w:t>Independent expert report on takeover offer for the Ethane Pipeline Income Fund</w:t>
      </w:r>
      <w:r>
        <w:t xml:space="preserve">, 31 March 2016, p. 50. </w:t>
      </w:r>
    </w:p>
  </w:footnote>
  <w:footnote w:id="417">
    <w:p w:rsidR="0007291A" w:rsidRDefault="0007291A">
      <w:pPr>
        <w:pStyle w:val="FootnoteText"/>
      </w:pPr>
      <w:r>
        <w:rPr>
          <w:rStyle w:val="FootnoteReference"/>
        </w:rPr>
        <w:footnoteRef/>
      </w:r>
      <w:r>
        <w:t xml:space="preserve"> </w:t>
      </w:r>
      <w:r>
        <w:tab/>
      </w:r>
      <w:r w:rsidRPr="00EA0D6C">
        <w:t>Lonergan Edwards also took into account the lack of diversification when considering gearing levels.</w:t>
      </w:r>
      <w:r>
        <w:t xml:space="preserve"> Lonergan Edwards &amp; Associates Limited, </w:t>
      </w:r>
      <w:r w:rsidRPr="00EA0D6C">
        <w:rPr>
          <w:rStyle w:val="AERtextitalic"/>
        </w:rPr>
        <w:t>Independent expert report on takeover offer for the Ethane Pipeline Income Fund</w:t>
      </w:r>
      <w:r>
        <w:t xml:space="preserve">, 31 March 2016, pp. 50–51. </w:t>
      </w:r>
    </w:p>
  </w:footnote>
  <w:footnote w:id="418">
    <w:p w:rsidR="0007291A" w:rsidRDefault="0007291A" w:rsidP="006C49DC">
      <w:pPr>
        <w:pStyle w:val="FootnoteText"/>
      </w:pPr>
      <w:r>
        <w:rPr>
          <w:rStyle w:val="FootnoteReference"/>
        </w:rPr>
        <w:footnoteRef/>
      </w:r>
      <w:r>
        <w:t xml:space="preserve"> </w:t>
      </w:r>
      <w:r>
        <w:tab/>
        <w:t>These being (1) increased risk free rate, (2) increased market risk premium, (3) broker estimates of return on equity, and (4) dividend growth model estimates of return on equity.</w:t>
      </w:r>
    </w:p>
  </w:footnote>
  <w:footnote w:id="419">
    <w:p w:rsidR="0007291A" w:rsidRDefault="0007291A" w:rsidP="006C49DC">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(see sections E.3 and E.6 of Attachment 3 to </w:t>
      </w:r>
      <w:r>
        <w:t xml:space="preserve">our </w:t>
      </w:r>
      <w:r w:rsidRPr="00016F24">
        <w:t xml:space="preserve">draft decision </w:t>
      </w:r>
      <w:r>
        <w:t xml:space="preserve">on </w:t>
      </w:r>
      <w:r w:rsidRPr="00A532F6">
        <w:t>CitiPower's</w:t>
      </w:r>
      <w:r>
        <w:t xml:space="preserve"> 2016-20 distribution determination</w:t>
      </w:r>
      <w:r w:rsidRPr="00A532F6">
        <w:t>).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420">
    <w:p w:rsidR="0007291A" w:rsidRDefault="0007291A" w:rsidP="006C49DC">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421">
    <w:p w:rsidR="0007291A" w:rsidRDefault="0007291A" w:rsidP="00784B0F">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422">
    <w:p w:rsidR="0007291A" w:rsidRDefault="0007291A" w:rsidP="00784B0F">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423">
    <w:p w:rsidR="0007291A" w:rsidRDefault="0007291A">
      <w:pPr>
        <w:pStyle w:val="FootnoteText"/>
      </w:pPr>
      <w:r>
        <w:rPr>
          <w:rStyle w:val="FootnoteReference"/>
        </w:rPr>
        <w:footnoteRef/>
      </w:r>
      <w:r>
        <w:t xml:space="preserve"> </w:t>
      </w:r>
      <w:r>
        <w:tab/>
        <w:t>Being AGL Energy Limited (AGK), Alinta (AAN), APA Group (APA), AusNet Services (AST), DUET Group (DUE), Envestra Limited (ENV), GasNet (GAS), Hastings Diversified Utilities Fund (HDF), and Spark Infrastructure Limited (SKI).</w:t>
      </w:r>
    </w:p>
  </w:footnote>
  <w:footnote w:id="424">
    <w:p w:rsidR="0007291A" w:rsidRDefault="0007291A" w:rsidP="00784B0F">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425">
    <w:p w:rsidR="0007291A" w:rsidRDefault="0007291A" w:rsidP="00784B0F">
      <w:pPr>
        <w:pStyle w:val="FootnoteText"/>
      </w:pPr>
      <w:r>
        <w:rPr>
          <w:rStyle w:val="FootnoteReference"/>
        </w:rPr>
        <w:footnoteRef/>
      </w:r>
      <w:r>
        <w:t xml:space="preserve"> </w:t>
      </w:r>
      <w:r>
        <w:tab/>
        <w:t xml:space="preserve">See, for example, AER, </w:t>
      </w:r>
      <w:r>
        <w:rPr>
          <w:rStyle w:val="AERtextitalic"/>
        </w:rPr>
        <w:t>Draft</w:t>
      </w:r>
      <w:r w:rsidRPr="00834892">
        <w:rPr>
          <w:rStyle w:val="AERtextitalic"/>
        </w:rPr>
        <w:t xml:space="preserve"> decision: </w:t>
      </w:r>
      <w:r>
        <w:rPr>
          <w:rStyle w:val="AERtextitalic"/>
        </w:rPr>
        <w:t>Australian Gas Networks</w:t>
      </w:r>
      <w:r w:rsidRPr="00834892">
        <w:rPr>
          <w:rStyle w:val="AERtextitalic"/>
        </w:rPr>
        <w:t xml:space="preserve"> </w:t>
      </w:r>
      <w:r>
        <w:rPr>
          <w:rStyle w:val="AERtextitalic"/>
        </w:rPr>
        <w:t>Access Arrangement</w:t>
      </w:r>
      <w:r w:rsidRPr="00834892">
        <w:rPr>
          <w:rStyle w:val="AERtextitalic"/>
        </w:rPr>
        <w:t xml:space="preserve"> 2016 to 202</w:t>
      </w:r>
      <w:r>
        <w:rPr>
          <w:rStyle w:val="AERtextitalic"/>
        </w:rPr>
        <w:t>1</w:t>
      </w:r>
      <w:r w:rsidRPr="00834892">
        <w:rPr>
          <w:rStyle w:val="AERtextitalic"/>
        </w:rPr>
        <w:t>—Attachment 3: Rate of return</w:t>
      </w:r>
      <w:r>
        <w:t>, November 2015, section D.2.2.</w:t>
      </w:r>
    </w:p>
  </w:footnote>
  <w:footnote w:id="426">
    <w:p w:rsidR="0007291A" w:rsidRDefault="0007291A" w:rsidP="00784B0F">
      <w:pPr>
        <w:pStyle w:val="FootnoteText"/>
      </w:pPr>
      <w:r>
        <w:rPr>
          <w:rStyle w:val="FootnoteReference"/>
        </w:rPr>
        <w:footnoteRef/>
      </w:r>
      <w:r>
        <w:t xml:space="preserve"> </w:t>
      </w:r>
      <w:r>
        <w:tab/>
        <w:t>R</w:t>
      </w:r>
      <w:r w:rsidRPr="00D20501">
        <w:t>aw equity beta estimates are those that are observed from the initial regression</w:t>
      </w:r>
    </w:p>
  </w:footnote>
  <w:footnote w:id="427">
    <w:p w:rsidR="0007291A" w:rsidRDefault="0007291A" w:rsidP="00784B0F">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428">
    <w:p w:rsidR="0007291A" w:rsidRDefault="0007291A" w:rsidP="00784B0F">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429">
    <w:p w:rsidR="0007291A" w:rsidRDefault="0007291A" w:rsidP="00784B0F">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430">
    <w:p w:rsidR="0007291A" w:rsidRDefault="0007291A" w:rsidP="00784B0F">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431">
    <w:p w:rsidR="0007291A" w:rsidRDefault="0007291A" w:rsidP="00784B0F">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432">
    <w:p w:rsidR="0007291A" w:rsidRDefault="0007291A" w:rsidP="00784B0F">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433">
    <w:p w:rsidR="0007291A" w:rsidRDefault="0007291A" w:rsidP="00784B0F">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434">
    <w:p w:rsidR="0007291A" w:rsidRDefault="0007291A" w:rsidP="00784B0F">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435">
    <w:p w:rsidR="0007291A" w:rsidRDefault="0007291A" w:rsidP="00784B0F">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436">
    <w:p w:rsidR="0007291A" w:rsidRDefault="0007291A" w:rsidP="00784B0F">
      <w:pPr>
        <w:pStyle w:val="FootnoteText"/>
      </w:pPr>
      <w:r>
        <w:rPr>
          <w:rStyle w:val="FootnoteReference"/>
        </w:rPr>
        <w:footnoteRef/>
      </w:r>
      <w:r>
        <w:t xml:space="preserve"> </w:t>
      </w:r>
      <w:r>
        <w:tab/>
        <w:t>A</w:t>
      </w:r>
      <w:r w:rsidRPr="00354781">
        <w:t xml:space="preserve">s set out in section D.2.2 of Attachment 3 to </w:t>
      </w:r>
      <w:r>
        <w:t>our</w:t>
      </w:r>
      <w:r w:rsidRPr="00354781">
        <w:t xml:space="preserve"> </w:t>
      </w:r>
      <w:r>
        <w:t xml:space="preserve">draft </w:t>
      </w:r>
      <w:r w:rsidRPr="00354781">
        <w:t>decision</w:t>
      </w:r>
      <w:r>
        <w:t xml:space="preserve"> on AusNet Services' 2016-20 distribution determination.</w:t>
      </w:r>
    </w:p>
  </w:footnote>
  <w:footnote w:id="437">
    <w:p w:rsidR="0007291A" w:rsidRDefault="0007291A" w:rsidP="00784B0F">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438">
    <w:p w:rsidR="0007291A" w:rsidRDefault="0007291A" w:rsidP="00784B0F">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Pr>
          <w:rStyle w:val="AERtextitalic"/>
        </w:rPr>
        <w:t>Draft</w:t>
      </w:r>
      <w:r w:rsidRPr="00834892">
        <w:rPr>
          <w:rStyle w:val="AERtextitalic"/>
        </w:rPr>
        <w:t xml:space="preserve"> decision: </w:t>
      </w:r>
      <w:r>
        <w:rPr>
          <w:rStyle w:val="AERtextitalic"/>
        </w:rPr>
        <w:t xml:space="preserve">Australian Gas Networks Access Arrangement </w:t>
      </w:r>
      <w:r w:rsidRPr="00834892">
        <w:rPr>
          <w:rStyle w:val="AERtextitalic"/>
        </w:rPr>
        <w:t>2016 to 202</w:t>
      </w:r>
      <w:r>
        <w:rPr>
          <w:rStyle w:val="AERtextitalic"/>
        </w:rPr>
        <w:t>1</w:t>
      </w:r>
      <w:r w:rsidRPr="00834892">
        <w:rPr>
          <w:rStyle w:val="AERtextitalic"/>
        </w:rPr>
        <w:t>—Attachment 3: Rate of return</w:t>
      </w:r>
      <w:r>
        <w:t>, November 2015, section D.2.2)</w:t>
      </w:r>
      <w:r w:rsidRPr="00B23FBA">
        <w:t xml:space="preserve">. </w:t>
      </w:r>
      <w:r>
        <w:t>Also, the studies we consider in this section are largely the same as those considered in our recent decisions.</w:t>
      </w:r>
    </w:p>
  </w:footnote>
  <w:footnote w:id="439">
    <w:p w:rsidR="0007291A" w:rsidRDefault="0007291A" w:rsidP="00784B0F">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440">
    <w:p w:rsidR="0007291A" w:rsidRDefault="0007291A" w:rsidP="00784B0F">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441">
    <w:p w:rsidR="0007291A" w:rsidRDefault="0007291A" w:rsidP="00312F8A">
      <w:pPr>
        <w:pStyle w:val="FootnoteText"/>
      </w:pPr>
      <w:r>
        <w:rPr>
          <w:rStyle w:val="FootnoteReference"/>
        </w:rPr>
        <w:footnoteRef/>
      </w:r>
      <w:r>
        <w:t xml:space="preserve"> </w:t>
      </w:r>
      <w:r>
        <w:tab/>
        <w:t>For clarity, that is 100% of the base rate and debt risk premium components of the allowed return on debt.</w:t>
      </w:r>
    </w:p>
  </w:footnote>
  <w:footnote w:id="442">
    <w:p w:rsidR="0007291A" w:rsidRDefault="0007291A" w:rsidP="00312F8A">
      <w:pPr>
        <w:pStyle w:val="FootnoteText"/>
      </w:pPr>
      <w:r>
        <w:rPr>
          <w:rStyle w:val="FootnoteReference"/>
        </w:rPr>
        <w:footnoteRef/>
      </w:r>
      <w:r>
        <w:t xml:space="preserve"> </w:t>
      </w:r>
      <w:r>
        <w:tab/>
        <w:t>NER, cl. 6.5.2(c); NER, cl. 6A.6.2(c); NGR, r. 87(3).</w:t>
      </w:r>
    </w:p>
  </w:footnote>
  <w:footnote w:id="443">
    <w:p w:rsidR="0007291A" w:rsidRDefault="0007291A" w:rsidP="00312F8A">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444">
    <w:p w:rsidR="0007291A" w:rsidRDefault="0007291A" w:rsidP="00312F8A">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–7</w:t>
      </w:r>
      <w:r>
        <w:t>6.</w:t>
      </w:r>
    </w:p>
  </w:footnote>
  <w:footnote w:id="445">
    <w:p w:rsidR="0007291A" w:rsidRDefault="0007291A" w:rsidP="00312F8A">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446">
    <w:p w:rsidR="0007291A" w:rsidRDefault="0007291A" w:rsidP="00312F8A">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47">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448">
    <w:p w:rsidR="0007291A" w:rsidRDefault="0007291A" w:rsidP="00312F8A">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449">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450">
    <w:p w:rsidR="0007291A" w:rsidRDefault="0007291A" w:rsidP="00312F8A">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451">
    <w:p w:rsidR="0007291A" w:rsidRDefault="0007291A" w:rsidP="00312F8A">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452">
    <w:p w:rsidR="0007291A" w:rsidRDefault="0007291A" w:rsidP="000E5C93">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453">
    <w:p w:rsidR="0007291A" w:rsidRDefault="0007291A" w:rsidP="000E5C93">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454">
    <w:p w:rsidR="0007291A" w:rsidRDefault="0007291A" w:rsidP="00312F8A">
      <w:pPr>
        <w:pStyle w:val="FootnoteText"/>
      </w:pPr>
      <w:r>
        <w:rPr>
          <w:rStyle w:val="FootnoteReference"/>
        </w:rPr>
        <w:footnoteRef/>
      </w:r>
      <w:r>
        <w:t xml:space="preserve"> </w:t>
      </w:r>
      <w:r>
        <w:tab/>
      </w:r>
      <w:r w:rsidRPr="00E0091E">
        <w:t xml:space="preserve">AER, </w:t>
      </w:r>
      <w:r w:rsidRPr="005C3E8E">
        <w:rPr>
          <w:rStyle w:val="AERtextitalic"/>
        </w:rPr>
        <w:t>WACC review, final decision</w:t>
      </w:r>
      <w:r w:rsidRPr="00E0091E">
        <w:t>, May 2009, p. 82.</w:t>
      </w:r>
    </w:p>
  </w:footnote>
  <w:footnote w:id="455">
    <w:p w:rsidR="0007291A" w:rsidRDefault="0007291A" w:rsidP="00312F8A">
      <w:pPr>
        <w:pStyle w:val="FootnoteText"/>
      </w:pPr>
      <w:r>
        <w:rPr>
          <w:rStyle w:val="FootnoteReference"/>
        </w:rPr>
        <w:footnoteRef/>
      </w:r>
      <w:r>
        <w:t xml:space="preserve"> </w:t>
      </w:r>
      <w:r>
        <w:tab/>
        <w:t>These include decisions for ActewAGL gas, Amadeus gas pipeline, Australian Gas Networks, Ausgrid, AusNet Services distribution , CitiPower, Directlink, Endeavour Energy, Energex, Ergon Energy, Essential Energy, , Jemena Electricity Networks, Jemena Gas Networks, Powercor, SA Power Networks, TasNetworks, TransGrid and United Energy.</w:t>
      </w:r>
    </w:p>
  </w:footnote>
  <w:footnote w:id="456">
    <w:p w:rsidR="0007291A" w:rsidRDefault="0007291A" w:rsidP="00312F8A">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457">
    <w:p w:rsidR="0007291A" w:rsidRDefault="0007291A" w:rsidP="00312F8A">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458">
    <w:p w:rsidR="0007291A" w:rsidRDefault="0007291A" w:rsidP="00312F8A">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459">
    <w:p w:rsidR="0007291A" w:rsidRDefault="0007291A" w:rsidP="00312F8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460">
    <w:p w:rsidR="0007291A" w:rsidRPr="0070748E" w:rsidRDefault="0007291A" w:rsidP="00312F8A">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461">
    <w:p w:rsidR="0007291A" w:rsidRDefault="0007291A" w:rsidP="00D16193">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footnote>
  <w:footnote w:id="462">
    <w:p w:rsidR="0007291A" w:rsidRDefault="0007291A" w:rsidP="00312F8A">
      <w:pPr>
        <w:pStyle w:val="FootnoteText"/>
      </w:pPr>
      <w:r>
        <w:rPr>
          <w:rStyle w:val="FootnoteReference"/>
        </w:rPr>
        <w:footnoteRef/>
      </w:r>
      <w:r>
        <w:t xml:space="preserve"> </w:t>
      </w:r>
      <w:r>
        <w:tab/>
        <w:t>That is, revised proposals submitted by ActewAGL, AGN, APTNT, AusNet Services distribution, CitiPower, JEN, Powercor and United Energy.</w:t>
      </w:r>
    </w:p>
  </w:footnote>
  <w:footnote w:id="463">
    <w:p w:rsidR="0007291A" w:rsidRDefault="0007291A" w:rsidP="00312F8A">
      <w:pPr>
        <w:pStyle w:val="FootnoteText"/>
      </w:pPr>
      <w:r>
        <w:rPr>
          <w:rStyle w:val="FootnoteReference"/>
        </w:rPr>
        <w:footnoteRef/>
      </w:r>
      <w:r>
        <w:t xml:space="preserve"> </w:t>
      </w:r>
      <w:r>
        <w:tab/>
        <w:t>NGR, cl. 87(3). Similar wording is found in NER, cl.  6.5.2(c) and NER, cl. 6A.6.2(c).</w:t>
      </w:r>
    </w:p>
  </w:footnote>
  <w:footnote w:id="464">
    <w:p w:rsidR="0007291A" w:rsidRDefault="0007291A" w:rsidP="00312F8A">
      <w:pPr>
        <w:pStyle w:val="FootnoteText"/>
      </w:pPr>
      <w:r>
        <w:rPr>
          <w:rStyle w:val="FootnoteReference"/>
        </w:rPr>
        <w:footnoteRef/>
      </w:r>
      <w:r>
        <w:t xml:space="preserve"> </w:t>
      </w:r>
      <w:r>
        <w:tab/>
        <w:t>NER, cl. 6.5.2(c); NER, cl. 6A.6.2(c); NGR, r. 87(3).</w:t>
      </w:r>
    </w:p>
  </w:footnote>
  <w:footnote w:id="465">
    <w:p w:rsidR="0007291A" w:rsidRDefault="0007291A" w:rsidP="00312F8A">
      <w:pPr>
        <w:pStyle w:val="FootnoteText"/>
      </w:pPr>
      <w:r w:rsidRPr="000F26DE">
        <w:rPr>
          <w:rStyle w:val="FootnoteReference"/>
          <w:sz w:val="20"/>
        </w:rPr>
        <w:footnoteRef/>
      </w:r>
      <w:r w:rsidRPr="000F26DE">
        <w:rPr>
          <w:sz w:val="20"/>
        </w:rPr>
        <w:t xml:space="preserve"> </w:t>
      </w:r>
      <w:r>
        <w:tab/>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466">
    <w:p w:rsidR="0007291A" w:rsidRDefault="0007291A" w:rsidP="00312F8A">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467">
    <w:p w:rsidR="0007291A" w:rsidRPr="00602829" w:rsidRDefault="0007291A" w:rsidP="00312F8A">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468">
    <w:p w:rsidR="0007291A" w:rsidRDefault="0007291A" w:rsidP="00312F8A">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469">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70">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71">
    <w:p w:rsidR="0007291A" w:rsidRDefault="0007291A" w:rsidP="00312F8A">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472">
    <w:p w:rsidR="0007291A" w:rsidRDefault="0007291A" w:rsidP="00312F8A">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473">
    <w:p w:rsidR="0007291A" w:rsidRDefault="0007291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474">
    <w:p w:rsidR="0007291A" w:rsidRDefault="0007291A" w:rsidP="00312F8A">
      <w:pPr>
        <w:pStyle w:val="FootnoteText"/>
      </w:pPr>
      <w:r>
        <w:rPr>
          <w:rStyle w:val="FootnoteReference"/>
        </w:rPr>
        <w:footnoteRef/>
      </w:r>
      <w:r>
        <w:t xml:space="preserve"> </w:t>
      </w:r>
      <w:r>
        <w:tab/>
        <w:t>The expected future cash flows under an on-the-day methodology can be likened to a long term floating rate security where the coupon rate is reset at the commencement of each regulatory period.</w:t>
      </w:r>
    </w:p>
  </w:footnote>
  <w:footnote w:id="475">
    <w:p w:rsidR="0007291A" w:rsidRDefault="0007291A" w:rsidP="00312F8A">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476">
    <w:p w:rsidR="0007291A" w:rsidRDefault="0007291A" w:rsidP="00312F8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477">
    <w:p w:rsidR="0007291A" w:rsidRDefault="0007291A" w:rsidP="00312F8A">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478">
    <w:p w:rsidR="0007291A" w:rsidRDefault="0007291A" w:rsidP="00312F8A">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479">
    <w:p w:rsidR="0007291A" w:rsidRDefault="0007291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480">
    <w:p w:rsidR="0007291A" w:rsidRDefault="0007291A" w:rsidP="00312F8A">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footnote>
  <w:footnote w:id="481">
    <w:p w:rsidR="0007291A" w:rsidRDefault="0007291A" w:rsidP="00312F8A">
      <w:pPr>
        <w:pStyle w:val="FootnoteText"/>
      </w:pPr>
      <w:r>
        <w:rPr>
          <w:rStyle w:val="FootnoteReference"/>
        </w:rPr>
        <w:footnoteRef/>
      </w:r>
      <w:r>
        <w:t xml:space="preserve"> </w:t>
      </w:r>
      <w:r>
        <w:tab/>
        <w:t xml:space="preserve">As required under NER, cl </w:t>
      </w:r>
      <w:r w:rsidRPr="00F21B32">
        <w:t>6.5.3(k)</w:t>
      </w:r>
      <w:r>
        <w:t xml:space="preserve"> &amp; 6A.6.2(k),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482">
    <w:p w:rsidR="0007291A" w:rsidRDefault="0007291A" w:rsidP="00312F8A">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NGR, r. 97(1)(c).</w:t>
      </w:r>
    </w:p>
  </w:footnote>
  <w:footnote w:id="483">
    <w:p w:rsidR="0007291A" w:rsidRDefault="0007291A" w:rsidP="00312F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484">
    <w:p w:rsidR="0007291A" w:rsidRDefault="0007291A" w:rsidP="00312F8A">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485">
    <w:p w:rsidR="0007291A" w:rsidRDefault="0007291A" w:rsidP="00312F8A">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486">
    <w:p w:rsidR="0007291A" w:rsidRDefault="0007291A" w:rsidP="00312F8A">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487">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488">
    <w:p w:rsidR="0007291A" w:rsidRDefault="0007291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489">
    <w:p w:rsidR="0007291A" w:rsidRDefault="0007291A" w:rsidP="00312F8A">
      <w:pPr>
        <w:pStyle w:val="FootnoteText"/>
      </w:pPr>
      <w:r>
        <w:rPr>
          <w:rStyle w:val="FootnoteReference"/>
        </w:rPr>
        <w:footnoteRef/>
      </w:r>
      <w:r>
        <w:t xml:space="preserve"> </w:t>
      </w:r>
      <w:r>
        <w:tab/>
        <w:t>NEL, s. 7A(3); NGL, s. (24)(3).</w:t>
      </w:r>
    </w:p>
  </w:footnote>
  <w:footnote w:id="490">
    <w:p w:rsidR="0007291A" w:rsidRPr="00612B7B" w:rsidRDefault="0007291A" w:rsidP="00312F8A">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491">
    <w:p w:rsidR="0007291A" w:rsidRDefault="0007291A" w:rsidP="00312F8A">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492">
    <w:p w:rsidR="0007291A" w:rsidRDefault="0007291A" w:rsidP="00312F8A">
      <w:pPr>
        <w:pStyle w:val="FootnoteText"/>
      </w:pPr>
      <w:r>
        <w:rPr>
          <w:rStyle w:val="FootnoteReference"/>
        </w:rPr>
        <w:footnoteRef/>
      </w:r>
      <w:r>
        <w:t xml:space="preserve"> </w:t>
      </w:r>
      <w:r>
        <w:tab/>
      </w:r>
      <w:r w:rsidR="002F2E36">
        <w:t xml:space="preserve">CCP (David Headberry, Bev Hughson and David Prins), </w:t>
      </w:r>
      <w:r w:rsidR="002F2E36" w:rsidRPr="006C2193">
        <w:rPr>
          <w:rStyle w:val="AERtextitalic"/>
        </w:rPr>
        <w:t>Submission to the AER: An overview―Response to the AER Preliminary Decisions and revised proposals from Victorian electricity DNSPs for a revenue reset for the 2016–2020 regulatory period</w:t>
      </w:r>
      <w:r w:rsidR="002F2E36">
        <w:t>, 22 February 2016, p. 35</w:t>
      </w:r>
      <w:r>
        <w:t>.</w:t>
      </w:r>
    </w:p>
  </w:footnote>
  <w:footnote w:id="493">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94">
    <w:p w:rsidR="0007291A" w:rsidRPr="00B57A7C" w:rsidRDefault="0007291A" w:rsidP="00312F8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495">
    <w:p w:rsidR="0007291A" w:rsidRDefault="0007291A" w:rsidP="00312F8A">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496">
    <w:p w:rsidR="0007291A" w:rsidRDefault="0007291A" w:rsidP="00312F8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497">
    <w:p w:rsidR="0007291A" w:rsidRDefault="0007291A" w:rsidP="00312F8A">
      <w:pPr>
        <w:pStyle w:val="FootnoteText"/>
      </w:pPr>
      <w:r>
        <w:rPr>
          <w:rStyle w:val="FootnoteReference"/>
        </w:rPr>
        <w:footnoteRef/>
      </w:r>
      <w:r>
        <w:t xml:space="preserve"> </w:t>
      </w:r>
      <w:r>
        <w:tab/>
      </w:r>
      <w:r w:rsidR="002F2E36">
        <w:t xml:space="preserve">CCP </w:t>
      </w:r>
      <w:r w:rsidR="002F2E36" w:rsidRPr="00B67120">
        <w:t>(David Headberry, Bev Hughson and David Prins)</w:t>
      </w:r>
      <w:r w:rsidR="002F2E36">
        <w:t xml:space="preserve">, </w:t>
      </w:r>
      <w:r w:rsidR="002F2E36" w:rsidRPr="00A30733">
        <w:rPr>
          <w:rStyle w:val="AERtextitalic"/>
        </w:rPr>
        <w:t>Submission to the AER: An overview―Response to the AER Preliminary Decisions and revised proposals from Victorian electricity DNSPs for a revenue reset for the 2016–2020 regulatory period</w:t>
      </w:r>
      <w:r w:rsidR="002F2E36">
        <w:t xml:space="preserve">, 22 February 2016, p. 36; CCP </w:t>
      </w:r>
      <w:r w:rsidR="002F2E36" w:rsidRPr="00B67120">
        <w:t>(David Headberry, Bev Hughson and David Prins)</w:t>
      </w:r>
      <w:r w:rsidR="002F2E36">
        <w:t xml:space="preserve">, </w:t>
      </w:r>
      <w:r w:rsidR="002F2E36" w:rsidRPr="00A30733">
        <w:rPr>
          <w:rStyle w:val="AERtextitalic"/>
        </w:rPr>
        <w:t>Submission to the AER: Response to the AER Preliminary Decisions and revised proposals from Victorian electricity DNSPs for a revenue reset for the 2016–2020 regulatory period</w:t>
      </w:r>
      <w:r w:rsidR="002F2E36">
        <w:t>, 25 February 2016, p. 88</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498">
    <w:p w:rsidR="0007291A" w:rsidRDefault="0007291A" w:rsidP="00312F8A">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499">
    <w:p w:rsidR="0007291A" w:rsidRDefault="0007291A" w:rsidP="00312F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500">
    <w:p w:rsidR="0007291A" w:rsidRDefault="0007291A" w:rsidP="00312F8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501">
    <w:p w:rsidR="0007291A" w:rsidRDefault="0007291A" w:rsidP="00312F8A">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502">
    <w:p w:rsidR="0007291A" w:rsidRDefault="0007291A" w:rsidP="00312F8A">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503">
    <w:p w:rsidR="0007291A" w:rsidRDefault="0007291A" w:rsidP="00312F8A">
      <w:pPr>
        <w:pStyle w:val="FootnoteText"/>
      </w:pPr>
      <w:r>
        <w:rPr>
          <w:rStyle w:val="FootnoteReference"/>
        </w:rPr>
        <w:footnoteRef/>
      </w:r>
      <w:r>
        <w:t xml:space="preserve"> </w:t>
      </w:r>
      <w:r>
        <w:tab/>
        <w:t>NEL, s. 7A(3)(b); NGL, s. 24(3)(b).</w:t>
      </w:r>
    </w:p>
  </w:footnote>
  <w:footnote w:id="504">
    <w:p w:rsidR="0007291A" w:rsidRDefault="0007291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505">
    <w:p w:rsidR="0007291A" w:rsidRDefault="0007291A" w:rsidP="00312F8A">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506">
    <w:p w:rsidR="0007291A" w:rsidRDefault="0007291A" w:rsidP="00312F8A">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xml:space="preserve">. At this time, the risk free rate and </w:t>
      </w:r>
      <w:r>
        <w:t>debt risk premium</w:t>
      </w:r>
      <w:r w:rsidRPr="00CF726F">
        <w:t xml:space="preserve"> were estimated separately and added together to generate a return on debt estimate.</w:t>
      </w:r>
    </w:p>
  </w:footnote>
  <w:footnote w:id="507">
    <w:p w:rsidR="0007291A" w:rsidRDefault="0007291A" w:rsidP="00312F8A">
      <w:pPr>
        <w:pStyle w:val="FootnoteText"/>
      </w:pPr>
      <w:r>
        <w:rPr>
          <w:rStyle w:val="FootnoteReference"/>
        </w:rPr>
        <w:footnoteRef/>
      </w:r>
      <w:r>
        <w:t xml:space="preserve"> </w:t>
      </w:r>
      <w:r>
        <w:tab/>
        <w:t>See NER, cl. 6.5.2(j)(1); NER, cl. 6A.6.2(j)(1); NGR, r. 87(10)(a).</w:t>
      </w:r>
    </w:p>
  </w:footnote>
  <w:footnote w:id="508">
    <w:p w:rsidR="0007291A" w:rsidRDefault="0007291A" w:rsidP="00312F8A">
      <w:pPr>
        <w:pStyle w:val="FootnoteText"/>
      </w:pPr>
      <w:r>
        <w:rPr>
          <w:rStyle w:val="FootnoteReference"/>
        </w:rPr>
        <w:footnoteRef/>
      </w:r>
      <w:r>
        <w:t xml:space="preserve"> </w:t>
      </w:r>
      <w:r>
        <w:tab/>
        <w:t>NER, cl. 6.5.2(g); NER, cl. 6A.6.2(g); NGR, cl. 87(7).</w:t>
      </w:r>
    </w:p>
  </w:footnote>
  <w:footnote w:id="509">
    <w:p w:rsidR="0007291A" w:rsidRDefault="0007291A" w:rsidP="00312F8A">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510">
    <w:p w:rsidR="0007291A" w:rsidRDefault="0007291A" w:rsidP="00312F8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511">
    <w:p w:rsidR="0007291A" w:rsidRDefault="0007291A" w:rsidP="00312F8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512">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513">
    <w:p w:rsidR="0007291A" w:rsidRDefault="0007291A" w:rsidP="00312F8A">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514">
    <w:p w:rsidR="0007291A" w:rsidRDefault="0007291A" w:rsidP="00312F8A">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515">
    <w:p w:rsidR="0007291A" w:rsidRDefault="0007291A" w:rsidP="00312F8A">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516">
    <w:p w:rsidR="0007291A" w:rsidRDefault="0007291A" w:rsidP="00312F8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517">
    <w:p w:rsidR="0007291A" w:rsidRDefault="0007291A" w:rsidP="00312F8A">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518">
    <w:p w:rsidR="0007291A" w:rsidRDefault="0007291A" w:rsidP="00312F8A">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519">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520">
    <w:p w:rsidR="0007291A" w:rsidRDefault="0007291A" w:rsidP="00312F8A">
      <w:pPr>
        <w:pStyle w:val="FootnoteText"/>
      </w:pPr>
      <w:r>
        <w:rPr>
          <w:rStyle w:val="FootnoteReference"/>
        </w:rPr>
        <w:footnoteRef/>
      </w:r>
      <w:r>
        <w:t xml:space="preserve"> </w:t>
      </w:r>
      <w:r>
        <w:tab/>
        <w:t>See NER, cl. 6.5.2(j)(2); NER, cl. 6A.6.2(j)(2); NGR, r. 87(10)(b).</w:t>
      </w:r>
    </w:p>
  </w:footnote>
  <w:footnote w:id="521">
    <w:p w:rsidR="0007291A" w:rsidRDefault="0007291A" w:rsidP="00312F8A">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522">
    <w:p w:rsidR="0007291A" w:rsidRDefault="0007291A" w:rsidP="00312F8A">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523">
    <w:p w:rsidR="0007291A" w:rsidRDefault="0007291A" w:rsidP="00312F8A">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524">
    <w:p w:rsidR="0007291A" w:rsidRDefault="0007291A" w:rsidP="00312F8A">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525">
    <w:p w:rsidR="0007291A" w:rsidRDefault="0007291A" w:rsidP="00312F8A">
      <w:pPr>
        <w:pStyle w:val="FootnoteText"/>
      </w:pPr>
      <w:r>
        <w:rPr>
          <w:rStyle w:val="FootnoteReference"/>
        </w:rPr>
        <w:footnoteRef/>
      </w:r>
      <w:r>
        <w:t xml:space="preserve"> </w:t>
      </w:r>
      <w:r>
        <w:tab/>
        <w:t xml:space="preserve">However, we note </w:t>
      </w:r>
      <w:r w:rsidRPr="00815D07">
        <w:t>Partington and Satchell consider that, 'It is difficult to see how the use of the trailing average will materially reduce the financing costs of firms since such costs are primarily driven by the assets the firms invest in'</w:t>
      </w:r>
      <w:r>
        <w:t>.</w:t>
      </w:r>
    </w:p>
  </w:footnote>
  <w:footnote w:id="526">
    <w:p w:rsidR="0007291A" w:rsidRDefault="0007291A" w:rsidP="00312F8A">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527">
    <w:p w:rsidR="0007291A" w:rsidRDefault="0007291A" w:rsidP="00312F8A">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528">
    <w:p w:rsidR="0007291A" w:rsidRDefault="0007291A" w:rsidP="00312F8A">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529">
    <w:p w:rsidR="0007291A" w:rsidRDefault="0007291A" w:rsidP="00312F8A">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530">
    <w:p w:rsidR="0007291A" w:rsidRDefault="0007291A" w:rsidP="00312F8A">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531">
    <w:p w:rsidR="0007291A" w:rsidRDefault="0007291A" w:rsidP="00312F8A">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532">
    <w:p w:rsidR="0007291A" w:rsidRDefault="0007291A" w:rsidP="00312F8A">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533">
    <w:p w:rsidR="0007291A" w:rsidRDefault="0007291A" w:rsidP="00312F8A">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534">
    <w:p w:rsidR="0007291A" w:rsidRDefault="0007291A" w:rsidP="00312F8A">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market risk premium estimate which his partly reliant on historical market risk premium estimates, which are estimated using the yield to maturity on 10 year Australian Government Securities.</w:t>
      </w:r>
    </w:p>
  </w:footnote>
  <w:footnote w:id="535">
    <w:p w:rsidR="0007291A" w:rsidRDefault="0007291A" w:rsidP="00312F8A">
      <w:pPr>
        <w:pStyle w:val="FootnoteText"/>
      </w:pPr>
      <w:r>
        <w:rPr>
          <w:rStyle w:val="FootnoteReference"/>
        </w:rPr>
        <w:footnoteRef/>
      </w:r>
      <w:r>
        <w:t xml:space="preserve"> </w:t>
      </w:r>
      <w:r>
        <w:tab/>
        <w:t xml:space="preserve">This is the weighted average cost of capital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536">
    <w:p w:rsidR="0007291A" w:rsidRDefault="0007291A" w:rsidP="00312F8A">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537">
    <w:p w:rsidR="0007291A" w:rsidRDefault="0007291A" w:rsidP="00312F8A">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538">
    <w:p w:rsidR="0007291A" w:rsidRDefault="0007291A" w:rsidP="00312F8A">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539">
    <w:p w:rsidR="0007291A" w:rsidRDefault="0007291A" w:rsidP="00312F8A">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540">
    <w:p w:rsidR="0007291A" w:rsidRDefault="0007291A" w:rsidP="00312F8A">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541">
    <w:p w:rsidR="0007291A" w:rsidRDefault="0007291A" w:rsidP="00312F8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542">
    <w:p w:rsidR="0007291A" w:rsidRDefault="0007291A" w:rsidP="00312F8A">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543">
    <w:p w:rsidR="0007291A" w:rsidRDefault="0007291A" w:rsidP="00312F8A">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544">
    <w:p w:rsidR="0007291A" w:rsidRDefault="0007291A" w:rsidP="00312F8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545">
    <w:p w:rsidR="0007291A" w:rsidRDefault="0007291A" w:rsidP="00312F8A">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footnote>
  <w:footnote w:id="546">
    <w:p w:rsidR="0007291A" w:rsidRDefault="0007291A" w:rsidP="00312F8A">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547">
    <w:p w:rsidR="0007291A" w:rsidRDefault="0007291A" w:rsidP="00312F8A">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548">
    <w:p w:rsidR="0007291A" w:rsidRDefault="0007291A" w:rsidP="00312F8A">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549">
    <w:p w:rsidR="0007291A" w:rsidRDefault="0007291A" w:rsidP="00312F8A">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550">
    <w:p w:rsidR="0007291A" w:rsidRDefault="0007291A" w:rsidP="00312F8A">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551">
    <w:p w:rsidR="0007291A" w:rsidRDefault="0007291A" w:rsidP="00312F8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552">
    <w:p w:rsidR="0007291A" w:rsidRDefault="0007291A" w:rsidP="00312F8A">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553">
    <w:p w:rsidR="0007291A" w:rsidRDefault="0007291A" w:rsidP="00312F8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554">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555">
    <w:p w:rsidR="0007291A" w:rsidRDefault="0007291A" w:rsidP="00312F8A">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556">
    <w:p w:rsidR="0007291A" w:rsidRDefault="0007291A" w:rsidP="00312F8A">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557">
    <w:p w:rsidR="0007291A" w:rsidRDefault="0007291A" w:rsidP="00312F8A">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558">
    <w:p w:rsidR="0007291A" w:rsidRDefault="0007291A" w:rsidP="00312F8A">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559">
    <w:p w:rsidR="0007291A" w:rsidRDefault="0007291A" w:rsidP="00312F8A">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560">
    <w:p w:rsidR="0007291A" w:rsidRDefault="0007291A" w:rsidP="00312F8A">
      <w:pPr>
        <w:pStyle w:val="FootnoteText"/>
      </w:pPr>
      <w:r>
        <w:rPr>
          <w:rStyle w:val="FootnoteReference"/>
        </w:rPr>
        <w:footnoteRef/>
      </w:r>
      <w:r>
        <w:t xml:space="preserve"> </w:t>
      </w:r>
      <w:r>
        <w:tab/>
      </w:r>
      <w:r w:rsidR="002F2E36">
        <w:t xml:space="preserve">CCP </w:t>
      </w:r>
      <w:r w:rsidR="002F2E36" w:rsidRPr="0064485A">
        <w:t>(David Headberry, Bev Hughson and David Prins)</w:t>
      </w:r>
      <w:r w:rsidR="002F2E36">
        <w:t xml:space="preserve">, </w:t>
      </w:r>
      <w:r w:rsidR="002F2E36" w:rsidRPr="00A30733">
        <w:rPr>
          <w:rStyle w:val="AERtextitalic"/>
        </w:rPr>
        <w:t>Submission to the AER: Response to AER Preliminary Decisions and revised proposals from Victorian electricity DNSPs for revenue reset for the 2016–20 regulatory period</w:t>
      </w:r>
      <w:r w:rsidR="002F2E36">
        <w:t>, 25 February 2016, p. 109</w:t>
      </w:r>
      <w:r>
        <w:t>.</w:t>
      </w:r>
    </w:p>
  </w:footnote>
  <w:footnote w:id="561">
    <w:p w:rsidR="0007291A" w:rsidRDefault="0007291A" w:rsidP="00312F8A">
      <w:pPr>
        <w:pStyle w:val="FootnoteText"/>
      </w:pPr>
      <w:r>
        <w:rPr>
          <w:rStyle w:val="FootnoteReference"/>
        </w:rPr>
        <w:footnoteRef/>
      </w:r>
      <w:r>
        <w:t xml:space="preserve"> </w:t>
      </w:r>
      <w:r>
        <w:tab/>
      </w:r>
      <w:r w:rsidR="002F2E36">
        <w:t xml:space="preserve">CCP </w:t>
      </w:r>
      <w:r w:rsidR="002F2E36" w:rsidRPr="0064485A">
        <w:t>(David Headberry, Bev Hughson and David Prins)</w:t>
      </w:r>
      <w:r w:rsidR="002F2E36">
        <w:t xml:space="preserve">, </w:t>
      </w:r>
      <w:r w:rsidR="002F2E36" w:rsidRPr="00A30733">
        <w:rPr>
          <w:rStyle w:val="AERtextitalic"/>
        </w:rPr>
        <w:t>Submission to the AER: An overview ―Response to AER Preliminary Decisions and revised proposals from Victorian electricity DNSPs for revenue reset for the 2016–20 regulatory period</w:t>
      </w:r>
      <w:r w:rsidR="002F2E36">
        <w:t>, 22 February 2016, p. 35</w:t>
      </w:r>
      <w:r>
        <w:t>.</w:t>
      </w:r>
    </w:p>
  </w:footnote>
  <w:footnote w:id="562">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563">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564">
    <w:p w:rsidR="0007291A" w:rsidRDefault="0007291A" w:rsidP="00312F8A">
      <w:pPr>
        <w:pStyle w:val="FootnoteText"/>
      </w:pPr>
      <w:r>
        <w:rPr>
          <w:rStyle w:val="FootnoteReference"/>
        </w:rPr>
        <w:footnoteRef/>
      </w:r>
      <w:r>
        <w:t xml:space="preserve"> </w:t>
      </w:r>
      <w:r>
        <w:tab/>
        <w:t>This was the preferred transitional approach in recent revised proposals from ActewAGL distribution (gas), AGN, APTNT, AusNet Services (distribution), CitiPower, Jen, Powercor and United Energy.</w:t>
      </w:r>
    </w:p>
  </w:footnote>
  <w:footnote w:id="565">
    <w:p w:rsidR="0007291A" w:rsidRDefault="0007291A" w:rsidP="00312F8A">
      <w:pPr>
        <w:pStyle w:val="FootnoteText"/>
      </w:pPr>
      <w:r>
        <w:rPr>
          <w:rStyle w:val="FootnoteReference"/>
        </w:rPr>
        <w:footnoteRef/>
      </w:r>
      <w:r>
        <w:t xml:space="preserve"> </w:t>
      </w:r>
      <w:r>
        <w:tab/>
        <w:t xml:space="preserve">This example does not consider expected allowed return on debt cash flows beyond year ten because beyond year ten because these are the same under both transitional approaches (all else being equal). </w:t>
      </w:r>
    </w:p>
  </w:footnote>
  <w:footnote w:id="566">
    <w:p w:rsidR="0007291A" w:rsidRDefault="0007291A" w:rsidP="00312F8A">
      <w:pPr>
        <w:pStyle w:val="FootnoteText"/>
      </w:pPr>
      <w:r>
        <w:rPr>
          <w:rStyle w:val="FootnoteReference"/>
        </w:rPr>
        <w:footnoteRef/>
      </w:r>
      <w:r>
        <w:t xml:space="preserve"> </w:t>
      </w:r>
      <w:r>
        <w:tab/>
      </w:r>
      <w:r w:rsidRPr="007B45CA">
        <w:t xml:space="preserve">We note </w:t>
      </w:r>
      <w:r>
        <w:t xml:space="preserve">that </w:t>
      </w:r>
      <w:r w:rsidRPr="007B45CA">
        <w:t xml:space="preserve">forecast capital investment and depreciation </w:t>
      </w:r>
      <w:r>
        <w:t>affects t</w:t>
      </w:r>
      <w:r w:rsidRPr="007B45CA">
        <w:t xml:space="preserve">he exact amount in each year. However, these forecasts will </w:t>
      </w:r>
      <w:r>
        <w:t>affect both transitional approaches</w:t>
      </w:r>
      <w:r w:rsidRPr="007B45CA">
        <w:t>, and the difference will still be a fixed amount which is a function of the known RAB at time 0 and the expected RAB at time 1 to 8.</w:t>
      </w:r>
    </w:p>
  </w:footnote>
  <w:footnote w:id="567">
    <w:p w:rsidR="0007291A" w:rsidRDefault="0007291A" w:rsidP="00312F8A">
      <w:pPr>
        <w:pStyle w:val="FootnoteText"/>
      </w:pPr>
      <w:r>
        <w:rPr>
          <w:rStyle w:val="FootnoteReference"/>
        </w:rPr>
        <w:footnoteRef/>
      </w:r>
      <w:r>
        <w:t xml:space="preserve"> </w:t>
      </w:r>
      <w:r>
        <w:tab/>
      </w:r>
      <w:r w:rsidRPr="007B45CA">
        <w:t xml:space="preserve">This assumes you have forecasts for the RAB at time 1 to 8. This may not be realistic for time </w:t>
      </w:r>
      <w:r>
        <w:t>3</w:t>
      </w:r>
      <w:r w:rsidRPr="007B45CA">
        <w:t xml:space="preserve"> onwards (i.e. beyond the end of the </w:t>
      </w:r>
      <w:r>
        <w:t>next</w:t>
      </w:r>
      <w:r w:rsidRPr="007B45CA">
        <w:t xml:space="preserve"> regulatory period). However, even in the absence of RAB forecasts for yea</w:t>
      </w:r>
      <w:r>
        <w:t>r</w:t>
      </w:r>
      <w:r w:rsidRPr="007B45CA">
        <w:t xml:space="preserve">s </w:t>
      </w:r>
      <w:r>
        <w:t>3</w:t>
      </w:r>
      <w:r w:rsidRPr="007B45CA">
        <w:t xml:space="preserve"> to 10 a reasonable approximation of the present value difference can be made today.</w:t>
      </w:r>
    </w:p>
  </w:footnote>
  <w:footnote w:id="568">
    <w:p w:rsidR="0007291A" w:rsidRDefault="0007291A" w:rsidP="00312F8A">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569">
    <w:p w:rsidR="0007291A" w:rsidRDefault="0007291A" w:rsidP="00312F8A">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570">
    <w:p w:rsidR="0007291A" w:rsidRDefault="0007291A">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 118.</w:t>
      </w:r>
    </w:p>
  </w:footnote>
  <w:footnote w:id="571">
    <w:p w:rsidR="0007291A" w:rsidRDefault="0007291A" w:rsidP="00254561">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572">
    <w:p w:rsidR="0007291A" w:rsidRDefault="0007291A" w:rsidP="00254561">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573">
    <w:p w:rsidR="0007291A" w:rsidRDefault="0007291A" w:rsidP="00254561">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574">
    <w:p w:rsidR="0007291A" w:rsidRDefault="0007291A" w:rsidP="00000E15">
      <w:pPr>
        <w:pStyle w:val="FootnoteText"/>
      </w:pPr>
      <w:r>
        <w:rPr>
          <w:rStyle w:val="FootnoteReference"/>
        </w:rPr>
        <w:footnoteRef/>
      </w:r>
      <w:r>
        <w:t xml:space="preserve"> </w:t>
      </w:r>
      <w:r>
        <w:tab/>
        <w:t xml:space="preserve">TasNetworks, </w:t>
      </w:r>
      <w:r w:rsidRPr="00A23DF5">
        <w:rPr>
          <w:rStyle w:val="AERtextitalic"/>
        </w:rPr>
        <w:t>Tasmanian Distribution Regulatory Proposal Regulatory Control Period 1 July 2017 to 30 June 2019</w:t>
      </w:r>
      <w:r>
        <w:t>, 29 January 2016, pp. 118, 119.</w:t>
      </w:r>
    </w:p>
  </w:footnote>
  <w:footnote w:id="575">
    <w:p w:rsidR="0007291A" w:rsidRDefault="0007291A" w:rsidP="00125933">
      <w:pPr>
        <w:pStyle w:val="FootnoteText"/>
      </w:pPr>
      <w:r>
        <w:rPr>
          <w:rStyle w:val="FootnoteReference"/>
        </w:rPr>
        <w:footnoteRef/>
      </w:r>
      <w:r>
        <w:t xml:space="preserve"> </w:t>
      </w:r>
      <w:r>
        <w:tab/>
      </w:r>
      <w:r w:rsidRPr="006C4B70">
        <w:t>The Allen Consulting Group, Debt and equity raising transaction costs: Final report, December 2004.</w:t>
      </w:r>
    </w:p>
  </w:footnote>
  <w:footnote w:id="576">
    <w:p w:rsidR="0007291A" w:rsidRDefault="0007291A" w:rsidP="00125933">
      <w:pPr>
        <w:pStyle w:val="FootnoteText"/>
      </w:pPr>
      <w:r>
        <w:rPr>
          <w:rStyle w:val="FootnoteReference"/>
        </w:rPr>
        <w:footnoteRef/>
      </w:r>
      <w:r>
        <w:t xml:space="preserve"> </w:t>
      </w:r>
      <w:r>
        <w:tab/>
      </w:r>
      <w:r w:rsidRPr="006C4B70">
        <w:t>PricewaterhouseCoopers, Energy Networks Association: Debt financing costs, June 2013, p. 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4">
    <w:nsid w:val="1C3F44DE"/>
    <w:multiLevelType w:val="multilevel"/>
    <w:tmpl w:val="950A1C52"/>
    <w:numStyleLink w:val="AERHeadings"/>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592056E"/>
    <w:multiLevelType w:val="multilevel"/>
    <w:tmpl w:val="950A1C52"/>
    <w:numStyleLink w:val="AERHeadings"/>
  </w:abstractNum>
  <w:abstractNum w:abstractNumId="19">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8">
    <w:nsid w:val="3F5F4FFC"/>
    <w:multiLevelType w:val="multilevel"/>
    <w:tmpl w:val="950A1C52"/>
    <w:numStyleLink w:val="AERHeadings"/>
  </w:abstractNum>
  <w:abstractNum w:abstractNumId="29">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41A80E45"/>
    <w:multiLevelType w:val="multilevel"/>
    <w:tmpl w:val="950A1C52"/>
    <w:numStyleLink w:val="AERHeadings"/>
  </w:abstractNum>
  <w:abstractNum w:abstractNumId="31">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2">
    <w:nsid w:val="487C7731"/>
    <w:multiLevelType w:val="multilevel"/>
    <w:tmpl w:val="950A1C52"/>
    <w:numStyleLink w:val="AERHeadings"/>
  </w:abstractNum>
  <w:abstractNum w:abstractNumId="3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6">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8">
    <w:nsid w:val="5ECE4384"/>
    <w:multiLevelType w:val="multilevel"/>
    <w:tmpl w:val="70A61A9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40">
    <w:nsid w:val="6DE36827"/>
    <w:multiLevelType w:val="multilevel"/>
    <w:tmpl w:val="950A1C52"/>
    <w:numStyleLink w:val="AERHeadings"/>
  </w:abstractNum>
  <w:abstractNum w:abstractNumId="4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A5A23DF"/>
    <w:multiLevelType w:val="hybridMultilevel"/>
    <w:tmpl w:val="440CFCC4"/>
    <w:lvl w:ilvl="0" w:tplc="D6DAED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45">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9"/>
  </w:num>
  <w:num w:numId="13">
    <w:abstractNumId w:val="25"/>
  </w:num>
  <w:num w:numId="14">
    <w:abstractNumId w:val="11"/>
  </w:num>
  <w:num w:numId="15">
    <w:abstractNumId w:val="15"/>
  </w:num>
  <w:num w:numId="16">
    <w:abstractNumId w:val="33"/>
  </w:num>
  <w:num w:numId="17">
    <w:abstractNumId w:val="10"/>
  </w:num>
  <w:num w:numId="18">
    <w:abstractNumId w:val="20"/>
  </w:num>
  <w:num w:numId="19">
    <w:abstractNumId w:val="34"/>
  </w:num>
  <w:num w:numId="20">
    <w:abstractNumId w:val="41"/>
  </w:num>
  <w:num w:numId="21">
    <w:abstractNumId w:val="16"/>
  </w:num>
  <w:num w:numId="22">
    <w:abstractNumId w:val="37"/>
  </w:num>
  <w:num w:numId="23">
    <w:abstractNumId w:val="35"/>
  </w:num>
  <w:num w:numId="24">
    <w:abstractNumId w:val="22"/>
  </w:num>
  <w:num w:numId="25">
    <w:abstractNumId w:val="36"/>
  </w:num>
  <w:num w:numId="26">
    <w:abstractNumId w:val="38"/>
  </w:num>
  <w:num w:numId="27">
    <w:abstractNumId w:val="24"/>
  </w:num>
  <w:num w:numId="28">
    <w:abstractNumId w:val="21"/>
  </w:num>
  <w:num w:numId="29">
    <w:abstractNumId w:val="19"/>
  </w:num>
  <w:num w:numId="30">
    <w:abstractNumId w:val="42"/>
  </w:num>
  <w:num w:numId="31">
    <w:abstractNumId w:val="17"/>
  </w:num>
  <w:num w:numId="32">
    <w:abstractNumId w:val="29"/>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40"/>
  </w:num>
  <w:num w:numId="37">
    <w:abstractNumId w:val="32"/>
  </w:num>
  <w:num w:numId="38">
    <w:abstractNumId w:val="28"/>
  </w:num>
  <w:num w:numId="39">
    <w:abstractNumId w:val="14"/>
  </w:num>
  <w:num w:numId="40">
    <w:abstractNumId w:val="38"/>
  </w:num>
  <w:num w:numId="41">
    <w:abstractNumId w:val="38"/>
  </w:num>
  <w:num w:numId="42">
    <w:abstractNumId w:val="30"/>
  </w:num>
  <w:num w:numId="43">
    <w:abstractNumId w:val="18"/>
  </w:num>
  <w:num w:numId="44">
    <w:abstractNumId w:val="31"/>
  </w:num>
  <w:num w:numId="45">
    <w:abstractNumId w:val="26"/>
  </w:num>
  <w:num w:numId="46">
    <w:abstractNumId w:val="9"/>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44"/>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51">
    <w:abstractNumId w:val="22"/>
    <w:lvlOverride w:ilvl="3">
      <w:lvl w:ilvl="3">
        <w:start w:val="1"/>
        <w:numFmt w:val="decimal"/>
        <w:lvlText w:val="%2.%3.%4"/>
        <w:lvlJc w:val="left"/>
        <w:pPr>
          <w:tabs>
            <w:tab w:val="num" w:pos="0"/>
          </w:tabs>
          <w:ind w:left="0" w:hanging="851"/>
        </w:pPr>
        <w:rPr>
          <w:rFonts w:hint="default"/>
        </w:rPr>
      </w:lvl>
    </w:lvlOverride>
  </w:num>
  <w:num w:numId="52">
    <w:abstractNumId w:val="13"/>
  </w:num>
  <w:num w:numId="5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2">
      <w:lvl w:ilvl="2">
        <w:start w:val="1"/>
        <w:numFmt w:val="lowerLetter"/>
        <w:lvlText w:val="%3."/>
        <w:lvlJc w:val="left"/>
        <w:pPr>
          <w:tabs>
            <w:tab w:val="num" w:pos="720"/>
          </w:tabs>
          <w:ind w:left="720" w:hanging="363"/>
        </w:pPr>
        <w:rPr>
          <w:rFonts w:hint="default"/>
        </w:rPr>
      </w:lvl>
    </w:lvlOverride>
  </w:num>
  <w:num w:numId="55">
    <w:abstractNumId w:val="27"/>
  </w:num>
  <w:num w:numId="56">
    <w:abstractNumId w:val="8"/>
    <w:lvlOverride w:ilvl="0">
      <w:startOverride w:val="1"/>
    </w:lvlOverride>
  </w:num>
  <w:num w:numId="57">
    <w:abstractNumId w:val="43"/>
  </w:num>
  <w:num w:numId="58">
    <w:abstractNumId w:val="23"/>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562HWp8wReHoTS7oD4n/o2Ce5t9P+omeLG3OprGfY9I=" w:saltValue="UiaAYHAYnSk7ncvU+qfH+A==" w:algorithmName="SHA-256"/>
  <w:defaultTabStop w:val="340"/>
  <w:characterSpacingControl w:val="doNotCompress"/>
  <w:hdrShapeDefaults>
    <o:shapedefaults v:ext="edit" spidmax="348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mleco\aer - draft decision tasnetworks distribution determination - attachment 3 - rate of return - september 2016 (D2015-00171119).docx"/>
  </w:docVars>
  <w:rsids>
    <w:rsidRoot w:val="00961A4A"/>
    <w:rsid w:val="00000791"/>
    <w:rsid w:val="00000E15"/>
    <w:rsid w:val="000035FC"/>
    <w:rsid w:val="000049B0"/>
    <w:rsid w:val="00004CE3"/>
    <w:rsid w:val="00005540"/>
    <w:rsid w:val="000055D3"/>
    <w:rsid w:val="00012296"/>
    <w:rsid w:val="000140E1"/>
    <w:rsid w:val="00014550"/>
    <w:rsid w:val="00016AEC"/>
    <w:rsid w:val="00016F24"/>
    <w:rsid w:val="00021202"/>
    <w:rsid w:val="00021C2B"/>
    <w:rsid w:val="00024534"/>
    <w:rsid w:val="0002517F"/>
    <w:rsid w:val="000262BD"/>
    <w:rsid w:val="00026F3B"/>
    <w:rsid w:val="00031913"/>
    <w:rsid w:val="00032C69"/>
    <w:rsid w:val="00034280"/>
    <w:rsid w:val="0003578C"/>
    <w:rsid w:val="000448EF"/>
    <w:rsid w:val="00045B06"/>
    <w:rsid w:val="00055AB6"/>
    <w:rsid w:val="00060ECE"/>
    <w:rsid w:val="00063247"/>
    <w:rsid w:val="00066550"/>
    <w:rsid w:val="000666A4"/>
    <w:rsid w:val="000701F5"/>
    <w:rsid w:val="00070F9F"/>
    <w:rsid w:val="0007137B"/>
    <w:rsid w:val="0007291A"/>
    <w:rsid w:val="00076A88"/>
    <w:rsid w:val="00077389"/>
    <w:rsid w:val="00080999"/>
    <w:rsid w:val="00080EDA"/>
    <w:rsid w:val="00083E80"/>
    <w:rsid w:val="00085663"/>
    <w:rsid w:val="00085EBF"/>
    <w:rsid w:val="00086871"/>
    <w:rsid w:val="000918F2"/>
    <w:rsid w:val="00092524"/>
    <w:rsid w:val="0009509F"/>
    <w:rsid w:val="00095401"/>
    <w:rsid w:val="000961ED"/>
    <w:rsid w:val="000A1BE4"/>
    <w:rsid w:val="000A3020"/>
    <w:rsid w:val="000A3720"/>
    <w:rsid w:val="000A53E0"/>
    <w:rsid w:val="000A61FA"/>
    <w:rsid w:val="000A6C7B"/>
    <w:rsid w:val="000A75C8"/>
    <w:rsid w:val="000B321F"/>
    <w:rsid w:val="000B380D"/>
    <w:rsid w:val="000B6E7F"/>
    <w:rsid w:val="000C11B7"/>
    <w:rsid w:val="000C2B40"/>
    <w:rsid w:val="000D00C2"/>
    <w:rsid w:val="000D122C"/>
    <w:rsid w:val="000D58C8"/>
    <w:rsid w:val="000E1819"/>
    <w:rsid w:val="000E4821"/>
    <w:rsid w:val="000E5C93"/>
    <w:rsid w:val="000E6C72"/>
    <w:rsid w:val="000F260B"/>
    <w:rsid w:val="000F3B82"/>
    <w:rsid w:val="000F3F8E"/>
    <w:rsid w:val="000F49F2"/>
    <w:rsid w:val="000F5747"/>
    <w:rsid w:val="0010250E"/>
    <w:rsid w:val="001053B4"/>
    <w:rsid w:val="00106D93"/>
    <w:rsid w:val="001106FF"/>
    <w:rsid w:val="001126F6"/>
    <w:rsid w:val="00116EB2"/>
    <w:rsid w:val="001203C4"/>
    <w:rsid w:val="0012095D"/>
    <w:rsid w:val="00121E3A"/>
    <w:rsid w:val="001234AD"/>
    <w:rsid w:val="00124609"/>
    <w:rsid w:val="00125933"/>
    <w:rsid w:val="001265CF"/>
    <w:rsid w:val="00126A4C"/>
    <w:rsid w:val="00130822"/>
    <w:rsid w:val="00132063"/>
    <w:rsid w:val="00132B31"/>
    <w:rsid w:val="00135E0E"/>
    <w:rsid w:val="00137845"/>
    <w:rsid w:val="00142315"/>
    <w:rsid w:val="001443CB"/>
    <w:rsid w:val="00144425"/>
    <w:rsid w:val="00144960"/>
    <w:rsid w:val="0014573B"/>
    <w:rsid w:val="001473C0"/>
    <w:rsid w:val="00147E08"/>
    <w:rsid w:val="00151831"/>
    <w:rsid w:val="00152BC8"/>
    <w:rsid w:val="001573E4"/>
    <w:rsid w:val="00157636"/>
    <w:rsid w:val="00160756"/>
    <w:rsid w:val="00167BD3"/>
    <w:rsid w:val="0017232E"/>
    <w:rsid w:val="00174102"/>
    <w:rsid w:val="001754EE"/>
    <w:rsid w:val="00176317"/>
    <w:rsid w:val="00176F7E"/>
    <w:rsid w:val="00180157"/>
    <w:rsid w:val="0018077B"/>
    <w:rsid w:val="00183BAF"/>
    <w:rsid w:val="00184C42"/>
    <w:rsid w:val="00185C55"/>
    <w:rsid w:val="00185CB9"/>
    <w:rsid w:val="00186F77"/>
    <w:rsid w:val="00190932"/>
    <w:rsid w:val="001910FE"/>
    <w:rsid w:val="001921F2"/>
    <w:rsid w:val="0019236C"/>
    <w:rsid w:val="001923FD"/>
    <w:rsid w:val="001926A4"/>
    <w:rsid w:val="00192AD5"/>
    <w:rsid w:val="00193AE0"/>
    <w:rsid w:val="00195758"/>
    <w:rsid w:val="0019658F"/>
    <w:rsid w:val="001A0447"/>
    <w:rsid w:val="001A1D23"/>
    <w:rsid w:val="001A22FA"/>
    <w:rsid w:val="001A389C"/>
    <w:rsid w:val="001A3CFD"/>
    <w:rsid w:val="001A7FE9"/>
    <w:rsid w:val="001B3052"/>
    <w:rsid w:val="001B3D81"/>
    <w:rsid w:val="001B41E7"/>
    <w:rsid w:val="001B455B"/>
    <w:rsid w:val="001B45A0"/>
    <w:rsid w:val="001C4E07"/>
    <w:rsid w:val="001C5577"/>
    <w:rsid w:val="001D055E"/>
    <w:rsid w:val="001D25D9"/>
    <w:rsid w:val="001D2D92"/>
    <w:rsid w:val="001D3767"/>
    <w:rsid w:val="001D679D"/>
    <w:rsid w:val="001D6815"/>
    <w:rsid w:val="001E0D3C"/>
    <w:rsid w:val="001E11B5"/>
    <w:rsid w:val="001E18B2"/>
    <w:rsid w:val="001E3847"/>
    <w:rsid w:val="001E4566"/>
    <w:rsid w:val="001E5651"/>
    <w:rsid w:val="001F492E"/>
    <w:rsid w:val="001F5D3F"/>
    <w:rsid w:val="001F6DA3"/>
    <w:rsid w:val="001F748C"/>
    <w:rsid w:val="002010BC"/>
    <w:rsid w:val="002014B5"/>
    <w:rsid w:val="002016E7"/>
    <w:rsid w:val="00201E11"/>
    <w:rsid w:val="00202B8D"/>
    <w:rsid w:val="00202BA2"/>
    <w:rsid w:val="00202E03"/>
    <w:rsid w:val="002046A9"/>
    <w:rsid w:val="0020492C"/>
    <w:rsid w:val="00215A4F"/>
    <w:rsid w:val="00223D31"/>
    <w:rsid w:val="00224858"/>
    <w:rsid w:val="00224DB9"/>
    <w:rsid w:val="00231BB7"/>
    <w:rsid w:val="00232B1A"/>
    <w:rsid w:val="00233775"/>
    <w:rsid w:val="00234AE3"/>
    <w:rsid w:val="00235844"/>
    <w:rsid w:val="00235A14"/>
    <w:rsid w:val="0023735D"/>
    <w:rsid w:val="00241D42"/>
    <w:rsid w:val="00244248"/>
    <w:rsid w:val="002444DB"/>
    <w:rsid w:val="002475A1"/>
    <w:rsid w:val="0025169D"/>
    <w:rsid w:val="00251745"/>
    <w:rsid w:val="00254561"/>
    <w:rsid w:val="00257DA2"/>
    <w:rsid w:val="00263AC0"/>
    <w:rsid w:val="00264264"/>
    <w:rsid w:val="0026772D"/>
    <w:rsid w:val="0027072E"/>
    <w:rsid w:val="00272193"/>
    <w:rsid w:val="002725AD"/>
    <w:rsid w:val="00280539"/>
    <w:rsid w:val="0028246C"/>
    <w:rsid w:val="00286874"/>
    <w:rsid w:val="002876B3"/>
    <w:rsid w:val="00290C63"/>
    <w:rsid w:val="00291275"/>
    <w:rsid w:val="00294D22"/>
    <w:rsid w:val="00296B65"/>
    <w:rsid w:val="002970AE"/>
    <w:rsid w:val="00297C2E"/>
    <w:rsid w:val="002A032E"/>
    <w:rsid w:val="002A0C23"/>
    <w:rsid w:val="002A1979"/>
    <w:rsid w:val="002A2146"/>
    <w:rsid w:val="002A442E"/>
    <w:rsid w:val="002A6675"/>
    <w:rsid w:val="002A7DEF"/>
    <w:rsid w:val="002B0A8A"/>
    <w:rsid w:val="002B2D25"/>
    <w:rsid w:val="002C233C"/>
    <w:rsid w:val="002C7F6B"/>
    <w:rsid w:val="002D183C"/>
    <w:rsid w:val="002D1A05"/>
    <w:rsid w:val="002D54AA"/>
    <w:rsid w:val="002D72E8"/>
    <w:rsid w:val="002D7A2D"/>
    <w:rsid w:val="002E2844"/>
    <w:rsid w:val="002E6B28"/>
    <w:rsid w:val="002E7389"/>
    <w:rsid w:val="002E7B22"/>
    <w:rsid w:val="002F2E36"/>
    <w:rsid w:val="002F314F"/>
    <w:rsid w:val="002F370B"/>
    <w:rsid w:val="002F6577"/>
    <w:rsid w:val="002F6AD1"/>
    <w:rsid w:val="002F6FA6"/>
    <w:rsid w:val="002F7986"/>
    <w:rsid w:val="00301B40"/>
    <w:rsid w:val="00302212"/>
    <w:rsid w:val="003029EE"/>
    <w:rsid w:val="00303A07"/>
    <w:rsid w:val="003052A7"/>
    <w:rsid w:val="00305CC8"/>
    <w:rsid w:val="00306CB1"/>
    <w:rsid w:val="00306F0D"/>
    <w:rsid w:val="00307F6D"/>
    <w:rsid w:val="00310B3B"/>
    <w:rsid w:val="00311B07"/>
    <w:rsid w:val="003128AD"/>
    <w:rsid w:val="00312F8A"/>
    <w:rsid w:val="003177A2"/>
    <w:rsid w:val="003255DF"/>
    <w:rsid w:val="00326795"/>
    <w:rsid w:val="003271B5"/>
    <w:rsid w:val="00327A1E"/>
    <w:rsid w:val="00327A6B"/>
    <w:rsid w:val="00330D30"/>
    <w:rsid w:val="00331264"/>
    <w:rsid w:val="00331A01"/>
    <w:rsid w:val="00334C8D"/>
    <w:rsid w:val="003365D2"/>
    <w:rsid w:val="00337551"/>
    <w:rsid w:val="003409C0"/>
    <w:rsid w:val="00342846"/>
    <w:rsid w:val="00343A18"/>
    <w:rsid w:val="003518B3"/>
    <w:rsid w:val="00352BE7"/>
    <w:rsid w:val="00352F6A"/>
    <w:rsid w:val="0036096B"/>
    <w:rsid w:val="003620D9"/>
    <w:rsid w:val="0036237A"/>
    <w:rsid w:val="003657B5"/>
    <w:rsid w:val="00366D31"/>
    <w:rsid w:val="00367881"/>
    <w:rsid w:val="00367C32"/>
    <w:rsid w:val="00371654"/>
    <w:rsid w:val="00374338"/>
    <w:rsid w:val="00376690"/>
    <w:rsid w:val="00376ECA"/>
    <w:rsid w:val="00381B42"/>
    <w:rsid w:val="003846F1"/>
    <w:rsid w:val="00386139"/>
    <w:rsid w:val="0038627A"/>
    <w:rsid w:val="003903F6"/>
    <w:rsid w:val="003920C5"/>
    <w:rsid w:val="003957BF"/>
    <w:rsid w:val="0039774C"/>
    <w:rsid w:val="003A0D45"/>
    <w:rsid w:val="003A1576"/>
    <w:rsid w:val="003A670E"/>
    <w:rsid w:val="003B05BF"/>
    <w:rsid w:val="003B175D"/>
    <w:rsid w:val="003B484F"/>
    <w:rsid w:val="003B678A"/>
    <w:rsid w:val="003B7E97"/>
    <w:rsid w:val="003B7FBA"/>
    <w:rsid w:val="003C303F"/>
    <w:rsid w:val="003C3A9C"/>
    <w:rsid w:val="003C4082"/>
    <w:rsid w:val="003C5BA8"/>
    <w:rsid w:val="003C74CD"/>
    <w:rsid w:val="003C7DE9"/>
    <w:rsid w:val="003D0A86"/>
    <w:rsid w:val="003D26DC"/>
    <w:rsid w:val="003D3376"/>
    <w:rsid w:val="003E0001"/>
    <w:rsid w:val="003E0B5D"/>
    <w:rsid w:val="003E1324"/>
    <w:rsid w:val="003E2480"/>
    <w:rsid w:val="003E76AA"/>
    <w:rsid w:val="003F0080"/>
    <w:rsid w:val="003F174D"/>
    <w:rsid w:val="003F2928"/>
    <w:rsid w:val="003F4923"/>
    <w:rsid w:val="00400514"/>
    <w:rsid w:val="00402681"/>
    <w:rsid w:val="00402A6E"/>
    <w:rsid w:val="004119F8"/>
    <w:rsid w:val="00412669"/>
    <w:rsid w:val="00412C4D"/>
    <w:rsid w:val="00415F31"/>
    <w:rsid w:val="0042271B"/>
    <w:rsid w:val="00423A77"/>
    <w:rsid w:val="0042654C"/>
    <w:rsid w:val="004269F7"/>
    <w:rsid w:val="00430402"/>
    <w:rsid w:val="0043751C"/>
    <w:rsid w:val="004376CE"/>
    <w:rsid w:val="00440243"/>
    <w:rsid w:val="004439D0"/>
    <w:rsid w:val="00446086"/>
    <w:rsid w:val="004460C9"/>
    <w:rsid w:val="00446E25"/>
    <w:rsid w:val="00451CA3"/>
    <w:rsid w:val="00451E99"/>
    <w:rsid w:val="00456DFD"/>
    <w:rsid w:val="0045777E"/>
    <w:rsid w:val="00460995"/>
    <w:rsid w:val="004609F0"/>
    <w:rsid w:val="0046541C"/>
    <w:rsid w:val="0046710C"/>
    <w:rsid w:val="0047356D"/>
    <w:rsid w:val="00475461"/>
    <w:rsid w:val="0047611F"/>
    <w:rsid w:val="00480B4B"/>
    <w:rsid w:val="0048287C"/>
    <w:rsid w:val="004858B1"/>
    <w:rsid w:val="00485BE2"/>
    <w:rsid w:val="00485DC4"/>
    <w:rsid w:val="00487E7E"/>
    <w:rsid w:val="00490B57"/>
    <w:rsid w:val="00491349"/>
    <w:rsid w:val="00492389"/>
    <w:rsid w:val="00492396"/>
    <w:rsid w:val="00497017"/>
    <w:rsid w:val="004A17E9"/>
    <w:rsid w:val="004A3847"/>
    <w:rsid w:val="004A396D"/>
    <w:rsid w:val="004A4208"/>
    <w:rsid w:val="004A43D1"/>
    <w:rsid w:val="004A5187"/>
    <w:rsid w:val="004A5ACC"/>
    <w:rsid w:val="004A5EE0"/>
    <w:rsid w:val="004B4412"/>
    <w:rsid w:val="004C086A"/>
    <w:rsid w:val="004C348C"/>
    <w:rsid w:val="004C7926"/>
    <w:rsid w:val="004D1CA1"/>
    <w:rsid w:val="004D1D78"/>
    <w:rsid w:val="004D20D1"/>
    <w:rsid w:val="004D2DB6"/>
    <w:rsid w:val="004D2EE1"/>
    <w:rsid w:val="004D4888"/>
    <w:rsid w:val="004D55BA"/>
    <w:rsid w:val="004D72BF"/>
    <w:rsid w:val="004E22EC"/>
    <w:rsid w:val="004E2DF1"/>
    <w:rsid w:val="004E7852"/>
    <w:rsid w:val="004F1684"/>
    <w:rsid w:val="004F65B6"/>
    <w:rsid w:val="004F6A0E"/>
    <w:rsid w:val="004F774A"/>
    <w:rsid w:val="004F7E21"/>
    <w:rsid w:val="00502256"/>
    <w:rsid w:val="005079AB"/>
    <w:rsid w:val="005116DE"/>
    <w:rsid w:val="005117DC"/>
    <w:rsid w:val="00511C21"/>
    <w:rsid w:val="0051538E"/>
    <w:rsid w:val="00517384"/>
    <w:rsid w:val="00517772"/>
    <w:rsid w:val="005179E8"/>
    <w:rsid w:val="00522273"/>
    <w:rsid w:val="00524B1F"/>
    <w:rsid w:val="00525114"/>
    <w:rsid w:val="005260E9"/>
    <w:rsid w:val="00527DDF"/>
    <w:rsid w:val="00530128"/>
    <w:rsid w:val="005321F5"/>
    <w:rsid w:val="00532467"/>
    <w:rsid w:val="00532E2C"/>
    <w:rsid w:val="005345DF"/>
    <w:rsid w:val="00540418"/>
    <w:rsid w:val="00544C12"/>
    <w:rsid w:val="005467C5"/>
    <w:rsid w:val="005474E0"/>
    <w:rsid w:val="00550430"/>
    <w:rsid w:val="00553342"/>
    <w:rsid w:val="0055588F"/>
    <w:rsid w:val="00561AF4"/>
    <w:rsid w:val="00564A4D"/>
    <w:rsid w:val="00567BA5"/>
    <w:rsid w:val="00567F9C"/>
    <w:rsid w:val="00570C0D"/>
    <w:rsid w:val="00571B35"/>
    <w:rsid w:val="00571D57"/>
    <w:rsid w:val="00572422"/>
    <w:rsid w:val="00577A09"/>
    <w:rsid w:val="0058001B"/>
    <w:rsid w:val="00580DDA"/>
    <w:rsid w:val="005829C2"/>
    <w:rsid w:val="00584D8F"/>
    <w:rsid w:val="00592600"/>
    <w:rsid w:val="00593205"/>
    <w:rsid w:val="005940EC"/>
    <w:rsid w:val="005964E0"/>
    <w:rsid w:val="005A404D"/>
    <w:rsid w:val="005A66F1"/>
    <w:rsid w:val="005B1E3C"/>
    <w:rsid w:val="005B1E4E"/>
    <w:rsid w:val="005B3A95"/>
    <w:rsid w:val="005B54AB"/>
    <w:rsid w:val="005B704A"/>
    <w:rsid w:val="005B717C"/>
    <w:rsid w:val="005B7706"/>
    <w:rsid w:val="005C26CC"/>
    <w:rsid w:val="005C5889"/>
    <w:rsid w:val="005C5A52"/>
    <w:rsid w:val="005D0622"/>
    <w:rsid w:val="005D270A"/>
    <w:rsid w:val="005D2743"/>
    <w:rsid w:val="005D7BA2"/>
    <w:rsid w:val="005E1533"/>
    <w:rsid w:val="005E1C36"/>
    <w:rsid w:val="005E36C2"/>
    <w:rsid w:val="005E45DB"/>
    <w:rsid w:val="005F28B8"/>
    <w:rsid w:val="005F2B36"/>
    <w:rsid w:val="005F34EC"/>
    <w:rsid w:val="005F3CA6"/>
    <w:rsid w:val="005F530A"/>
    <w:rsid w:val="005F6DE2"/>
    <w:rsid w:val="005F7296"/>
    <w:rsid w:val="0060619C"/>
    <w:rsid w:val="00612F4F"/>
    <w:rsid w:val="0061357B"/>
    <w:rsid w:val="00615C6B"/>
    <w:rsid w:val="00617C03"/>
    <w:rsid w:val="0062128D"/>
    <w:rsid w:val="00621DCE"/>
    <w:rsid w:val="006230F1"/>
    <w:rsid w:val="00626E14"/>
    <w:rsid w:val="006277F3"/>
    <w:rsid w:val="00630E5E"/>
    <w:rsid w:val="006310C3"/>
    <w:rsid w:val="00631474"/>
    <w:rsid w:val="00631982"/>
    <w:rsid w:val="00632D6D"/>
    <w:rsid w:val="00635710"/>
    <w:rsid w:val="006358ED"/>
    <w:rsid w:val="006366AC"/>
    <w:rsid w:val="00641D23"/>
    <w:rsid w:val="00642C3E"/>
    <w:rsid w:val="006432F7"/>
    <w:rsid w:val="00647195"/>
    <w:rsid w:val="00651424"/>
    <w:rsid w:val="00651C15"/>
    <w:rsid w:val="0065230F"/>
    <w:rsid w:val="006537AA"/>
    <w:rsid w:val="006539E6"/>
    <w:rsid w:val="0066104A"/>
    <w:rsid w:val="0066161A"/>
    <w:rsid w:val="00663DAD"/>
    <w:rsid w:val="00664839"/>
    <w:rsid w:val="00664F37"/>
    <w:rsid w:val="00665866"/>
    <w:rsid w:val="006664B7"/>
    <w:rsid w:val="00666FB5"/>
    <w:rsid w:val="006719DF"/>
    <w:rsid w:val="00672499"/>
    <w:rsid w:val="00674021"/>
    <w:rsid w:val="0067486B"/>
    <w:rsid w:val="00675E20"/>
    <w:rsid w:val="00676679"/>
    <w:rsid w:val="006807B0"/>
    <w:rsid w:val="0068171D"/>
    <w:rsid w:val="00683C89"/>
    <w:rsid w:val="0068642E"/>
    <w:rsid w:val="00691B4D"/>
    <w:rsid w:val="006969CD"/>
    <w:rsid w:val="006A08A8"/>
    <w:rsid w:val="006A29CA"/>
    <w:rsid w:val="006B00AF"/>
    <w:rsid w:val="006B2395"/>
    <w:rsid w:val="006B356A"/>
    <w:rsid w:val="006B3918"/>
    <w:rsid w:val="006B41D8"/>
    <w:rsid w:val="006B41FE"/>
    <w:rsid w:val="006B4CF9"/>
    <w:rsid w:val="006B6433"/>
    <w:rsid w:val="006B6844"/>
    <w:rsid w:val="006B7AC8"/>
    <w:rsid w:val="006C1401"/>
    <w:rsid w:val="006C1736"/>
    <w:rsid w:val="006C3A08"/>
    <w:rsid w:val="006C49DC"/>
    <w:rsid w:val="006C5058"/>
    <w:rsid w:val="006C5D58"/>
    <w:rsid w:val="006D5008"/>
    <w:rsid w:val="006D538E"/>
    <w:rsid w:val="006D550F"/>
    <w:rsid w:val="006D6248"/>
    <w:rsid w:val="006D7E60"/>
    <w:rsid w:val="006D7E6B"/>
    <w:rsid w:val="006E21F4"/>
    <w:rsid w:val="006E296C"/>
    <w:rsid w:val="006F1ED9"/>
    <w:rsid w:val="006F3664"/>
    <w:rsid w:val="006F6085"/>
    <w:rsid w:val="006F633E"/>
    <w:rsid w:val="00700D88"/>
    <w:rsid w:val="00701CAB"/>
    <w:rsid w:val="00704CF9"/>
    <w:rsid w:val="00704D98"/>
    <w:rsid w:val="00705C0A"/>
    <w:rsid w:val="00706CED"/>
    <w:rsid w:val="00707478"/>
    <w:rsid w:val="00707563"/>
    <w:rsid w:val="00713956"/>
    <w:rsid w:val="00717048"/>
    <w:rsid w:val="00720FD1"/>
    <w:rsid w:val="00722706"/>
    <w:rsid w:val="0072348C"/>
    <w:rsid w:val="00723E9C"/>
    <w:rsid w:val="00724A37"/>
    <w:rsid w:val="00725729"/>
    <w:rsid w:val="007303C3"/>
    <w:rsid w:val="007309F8"/>
    <w:rsid w:val="00731756"/>
    <w:rsid w:val="00741178"/>
    <w:rsid w:val="007429BE"/>
    <w:rsid w:val="007430C3"/>
    <w:rsid w:val="00743223"/>
    <w:rsid w:val="00746513"/>
    <w:rsid w:val="00746E01"/>
    <w:rsid w:val="007474FD"/>
    <w:rsid w:val="007516F4"/>
    <w:rsid w:val="007522B6"/>
    <w:rsid w:val="0075272C"/>
    <w:rsid w:val="007571D0"/>
    <w:rsid w:val="00757364"/>
    <w:rsid w:val="00757BDF"/>
    <w:rsid w:val="007609D0"/>
    <w:rsid w:val="00761544"/>
    <w:rsid w:val="00762127"/>
    <w:rsid w:val="00763E5D"/>
    <w:rsid w:val="00766020"/>
    <w:rsid w:val="007673C1"/>
    <w:rsid w:val="00767740"/>
    <w:rsid w:val="00770DEE"/>
    <w:rsid w:val="00772CD8"/>
    <w:rsid w:val="007756AC"/>
    <w:rsid w:val="007760D6"/>
    <w:rsid w:val="00777EE6"/>
    <w:rsid w:val="00781BE7"/>
    <w:rsid w:val="00782EEA"/>
    <w:rsid w:val="00784B0F"/>
    <w:rsid w:val="00784C73"/>
    <w:rsid w:val="00791BF5"/>
    <w:rsid w:val="0079333F"/>
    <w:rsid w:val="00795542"/>
    <w:rsid w:val="00796270"/>
    <w:rsid w:val="007A11AE"/>
    <w:rsid w:val="007A2F44"/>
    <w:rsid w:val="007A480E"/>
    <w:rsid w:val="007A4DA1"/>
    <w:rsid w:val="007B186E"/>
    <w:rsid w:val="007B1E8D"/>
    <w:rsid w:val="007B251B"/>
    <w:rsid w:val="007B2C72"/>
    <w:rsid w:val="007B2F6D"/>
    <w:rsid w:val="007B5531"/>
    <w:rsid w:val="007C03CF"/>
    <w:rsid w:val="007C0B1A"/>
    <w:rsid w:val="007C14CD"/>
    <w:rsid w:val="007C1C53"/>
    <w:rsid w:val="007C205D"/>
    <w:rsid w:val="007C40E1"/>
    <w:rsid w:val="007C63F0"/>
    <w:rsid w:val="007C74BB"/>
    <w:rsid w:val="007D0489"/>
    <w:rsid w:val="007D180D"/>
    <w:rsid w:val="007D2051"/>
    <w:rsid w:val="007D456E"/>
    <w:rsid w:val="007D4F36"/>
    <w:rsid w:val="007D5546"/>
    <w:rsid w:val="007D57D8"/>
    <w:rsid w:val="007D7A66"/>
    <w:rsid w:val="007E1810"/>
    <w:rsid w:val="007E4904"/>
    <w:rsid w:val="007E4CB5"/>
    <w:rsid w:val="007F0322"/>
    <w:rsid w:val="007F066B"/>
    <w:rsid w:val="007F235D"/>
    <w:rsid w:val="007F4449"/>
    <w:rsid w:val="007F4755"/>
    <w:rsid w:val="007F6F0D"/>
    <w:rsid w:val="007F77B8"/>
    <w:rsid w:val="008001E5"/>
    <w:rsid w:val="00800A30"/>
    <w:rsid w:val="008033C4"/>
    <w:rsid w:val="00803B5C"/>
    <w:rsid w:val="00806C88"/>
    <w:rsid w:val="0081034E"/>
    <w:rsid w:val="00814A46"/>
    <w:rsid w:val="0081695A"/>
    <w:rsid w:val="00820BB5"/>
    <w:rsid w:val="008262CF"/>
    <w:rsid w:val="008344F6"/>
    <w:rsid w:val="0083510F"/>
    <w:rsid w:val="00835300"/>
    <w:rsid w:val="00836AA3"/>
    <w:rsid w:val="00836CDB"/>
    <w:rsid w:val="00841137"/>
    <w:rsid w:val="008414A2"/>
    <w:rsid w:val="0084273A"/>
    <w:rsid w:val="00842AFA"/>
    <w:rsid w:val="0084613C"/>
    <w:rsid w:val="00851209"/>
    <w:rsid w:val="00854DA2"/>
    <w:rsid w:val="00855E3A"/>
    <w:rsid w:val="00860C28"/>
    <w:rsid w:val="0086109A"/>
    <w:rsid w:val="008622E8"/>
    <w:rsid w:val="00865B52"/>
    <w:rsid w:val="00866D1D"/>
    <w:rsid w:val="0087258F"/>
    <w:rsid w:val="00874BB4"/>
    <w:rsid w:val="008770AC"/>
    <w:rsid w:val="008837AC"/>
    <w:rsid w:val="00892DD3"/>
    <w:rsid w:val="00896680"/>
    <w:rsid w:val="008A0AA4"/>
    <w:rsid w:val="008A587D"/>
    <w:rsid w:val="008A5F99"/>
    <w:rsid w:val="008A6729"/>
    <w:rsid w:val="008A7100"/>
    <w:rsid w:val="008B1614"/>
    <w:rsid w:val="008B2353"/>
    <w:rsid w:val="008B35CD"/>
    <w:rsid w:val="008B3CB6"/>
    <w:rsid w:val="008B5FCC"/>
    <w:rsid w:val="008B6F5B"/>
    <w:rsid w:val="008C5486"/>
    <w:rsid w:val="008D04F9"/>
    <w:rsid w:val="008D1661"/>
    <w:rsid w:val="008D1ACC"/>
    <w:rsid w:val="008D1F07"/>
    <w:rsid w:val="008D52E7"/>
    <w:rsid w:val="008D5ADF"/>
    <w:rsid w:val="008D6134"/>
    <w:rsid w:val="008E0796"/>
    <w:rsid w:val="008E618B"/>
    <w:rsid w:val="008E7031"/>
    <w:rsid w:val="008E77DE"/>
    <w:rsid w:val="008F07A3"/>
    <w:rsid w:val="009001B6"/>
    <w:rsid w:val="00900E1B"/>
    <w:rsid w:val="009039BE"/>
    <w:rsid w:val="0090431C"/>
    <w:rsid w:val="009116B0"/>
    <w:rsid w:val="00911F2C"/>
    <w:rsid w:val="00913862"/>
    <w:rsid w:val="00920D10"/>
    <w:rsid w:val="009233EE"/>
    <w:rsid w:val="00927776"/>
    <w:rsid w:val="00933E3E"/>
    <w:rsid w:val="00937AD3"/>
    <w:rsid w:val="00937EDF"/>
    <w:rsid w:val="0094348C"/>
    <w:rsid w:val="00944C1C"/>
    <w:rsid w:val="009460AA"/>
    <w:rsid w:val="00951978"/>
    <w:rsid w:val="00955A50"/>
    <w:rsid w:val="00960082"/>
    <w:rsid w:val="00961A4A"/>
    <w:rsid w:val="009621EB"/>
    <w:rsid w:val="009631D9"/>
    <w:rsid w:val="00964836"/>
    <w:rsid w:val="009661DE"/>
    <w:rsid w:val="0096763D"/>
    <w:rsid w:val="00967F65"/>
    <w:rsid w:val="009704CD"/>
    <w:rsid w:val="009726B2"/>
    <w:rsid w:val="00972CF8"/>
    <w:rsid w:val="009737C8"/>
    <w:rsid w:val="0097418D"/>
    <w:rsid w:val="00974C42"/>
    <w:rsid w:val="00974C5F"/>
    <w:rsid w:val="0097636F"/>
    <w:rsid w:val="00980315"/>
    <w:rsid w:val="00981B07"/>
    <w:rsid w:val="00983C25"/>
    <w:rsid w:val="009856B7"/>
    <w:rsid w:val="00985C86"/>
    <w:rsid w:val="00986CF2"/>
    <w:rsid w:val="00987484"/>
    <w:rsid w:val="0099282D"/>
    <w:rsid w:val="00992B02"/>
    <w:rsid w:val="00993795"/>
    <w:rsid w:val="00996349"/>
    <w:rsid w:val="00996A8E"/>
    <w:rsid w:val="009A0B2E"/>
    <w:rsid w:val="009A1807"/>
    <w:rsid w:val="009A50D2"/>
    <w:rsid w:val="009A5FC3"/>
    <w:rsid w:val="009A7D9D"/>
    <w:rsid w:val="009B0060"/>
    <w:rsid w:val="009B090B"/>
    <w:rsid w:val="009B74B0"/>
    <w:rsid w:val="009C0D47"/>
    <w:rsid w:val="009C2689"/>
    <w:rsid w:val="009C3A3A"/>
    <w:rsid w:val="009D0523"/>
    <w:rsid w:val="009D13D5"/>
    <w:rsid w:val="009D3906"/>
    <w:rsid w:val="009D6B46"/>
    <w:rsid w:val="009D7D53"/>
    <w:rsid w:val="009D7ECE"/>
    <w:rsid w:val="009E1A67"/>
    <w:rsid w:val="009E2035"/>
    <w:rsid w:val="009F1213"/>
    <w:rsid w:val="009F1358"/>
    <w:rsid w:val="009F17A0"/>
    <w:rsid w:val="009F3B4D"/>
    <w:rsid w:val="009F4940"/>
    <w:rsid w:val="009F5191"/>
    <w:rsid w:val="009F59F9"/>
    <w:rsid w:val="009F5A64"/>
    <w:rsid w:val="009F5BA1"/>
    <w:rsid w:val="009F6140"/>
    <w:rsid w:val="009F6605"/>
    <w:rsid w:val="009F7F99"/>
    <w:rsid w:val="00A02A88"/>
    <w:rsid w:val="00A04716"/>
    <w:rsid w:val="00A0562E"/>
    <w:rsid w:val="00A056D5"/>
    <w:rsid w:val="00A06474"/>
    <w:rsid w:val="00A0726D"/>
    <w:rsid w:val="00A118D9"/>
    <w:rsid w:val="00A11B5D"/>
    <w:rsid w:val="00A174B8"/>
    <w:rsid w:val="00A23DF5"/>
    <w:rsid w:val="00A272A5"/>
    <w:rsid w:val="00A31B4E"/>
    <w:rsid w:val="00A32FBB"/>
    <w:rsid w:val="00A344D3"/>
    <w:rsid w:val="00A372DB"/>
    <w:rsid w:val="00A428EE"/>
    <w:rsid w:val="00A4478A"/>
    <w:rsid w:val="00A44852"/>
    <w:rsid w:val="00A44864"/>
    <w:rsid w:val="00A44D3D"/>
    <w:rsid w:val="00A53976"/>
    <w:rsid w:val="00A53B94"/>
    <w:rsid w:val="00A57D04"/>
    <w:rsid w:val="00A60A26"/>
    <w:rsid w:val="00A61598"/>
    <w:rsid w:val="00A63EDD"/>
    <w:rsid w:val="00A704B2"/>
    <w:rsid w:val="00A70E97"/>
    <w:rsid w:val="00A71C54"/>
    <w:rsid w:val="00A73F3D"/>
    <w:rsid w:val="00A74ABC"/>
    <w:rsid w:val="00A74EE6"/>
    <w:rsid w:val="00A75E0A"/>
    <w:rsid w:val="00A76CFB"/>
    <w:rsid w:val="00A8249A"/>
    <w:rsid w:val="00A84A83"/>
    <w:rsid w:val="00A84A99"/>
    <w:rsid w:val="00A84F46"/>
    <w:rsid w:val="00A86F59"/>
    <w:rsid w:val="00A871F4"/>
    <w:rsid w:val="00A928A2"/>
    <w:rsid w:val="00A93C95"/>
    <w:rsid w:val="00A93DEC"/>
    <w:rsid w:val="00A942A1"/>
    <w:rsid w:val="00A95FA2"/>
    <w:rsid w:val="00A967E4"/>
    <w:rsid w:val="00A96DB2"/>
    <w:rsid w:val="00AA05F8"/>
    <w:rsid w:val="00AA0964"/>
    <w:rsid w:val="00AA3B8E"/>
    <w:rsid w:val="00AA5EE2"/>
    <w:rsid w:val="00AA7CC7"/>
    <w:rsid w:val="00AB085E"/>
    <w:rsid w:val="00AB1B89"/>
    <w:rsid w:val="00AB4D90"/>
    <w:rsid w:val="00AB6D99"/>
    <w:rsid w:val="00AB74A2"/>
    <w:rsid w:val="00AC0C43"/>
    <w:rsid w:val="00AC1B2C"/>
    <w:rsid w:val="00AC3264"/>
    <w:rsid w:val="00AC4546"/>
    <w:rsid w:val="00AC591C"/>
    <w:rsid w:val="00AD0C1D"/>
    <w:rsid w:val="00AD12DB"/>
    <w:rsid w:val="00AD24FC"/>
    <w:rsid w:val="00AD469F"/>
    <w:rsid w:val="00AE1BF1"/>
    <w:rsid w:val="00AE433B"/>
    <w:rsid w:val="00AE7D81"/>
    <w:rsid w:val="00AF0DD2"/>
    <w:rsid w:val="00AF310A"/>
    <w:rsid w:val="00AF4259"/>
    <w:rsid w:val="00AF5DB3"/>
    <w:rsid w:val="00B01D49"/>
    <w:rsid w:val="00B06C2F"/>
    <w:rsid w:val="00B11C6E"/>
    <w:rsid w:val="00B13048"/>
    <w:rsid w:val="00B1716D"/>
    <w:rsid w:val="00B17A1D"/>
    <w:rsid w:val="00B207A0"/>
    <w:rsid w:val="00B20C82"/>
    <w:rsid w:val="00B217BD"/>
    <w:rsid w:val="00B21982"/>
    <w:rsid w:val="00B22D50"/>
    <w:rsid w:val="00B2303F"/>
    <w:rsid w:val="00B24305"/>
    <w:rsid w:val="00B251E7"/>
    <w:rsid w:val="00B26CA3"/>
    <w:rsid w:val="00B337A4"/>
    <w:rsid w:val="00B360AF"/>
    <w:rsid w:val="00B3777D"/>
    <w:rsid w:val="00B44678"/>
    <w:rsid w:val="00B4525C"/>
    <w:rsid w:val="00B46746"/>
    <w:rsid w:val="00B47251"/>
    <w:rsid w:val="00B514DD"/>
    <w:rsid w:val="00B517DF"/>
    <w:rsid w:val="00B52AF0"/>
    <w:rsid w:val="00B56106"/>
    <w:rsid w:val="00B561BD"/>
    <w:rsid w:val="00B56817"/>
    <w:rsid w:val="00B56E03"/>
    <w:rsid w:val="00B623DD"/>
    <w:rsid w:val="00B63D5D"/>
    <w:rsid w:val="00B64658"/>
    <w:rsid w:val="00B647B7"/>
    <w:rsid w:val="00B80121"/>
    <w:rsid w:val="00B8080B"/>
    <w:rsid w:val="00B82223"/>
    <w:rsid w:val="00B830B1"/>
    <w:rsid w:val="00B86A1D"/>
    <w:rsid w:val="00B87262"/>
    <w:rsid w:val="00B87BA5"/>
    <w:rsid w:val="00B87C39"/>
    <w:rsid w:val="00B927B3"/>
    <w:rsid w:val="00B9562D"/>
    <w:rsid w:val="00B9733D"/>
    <w:rsid w:val="00BA4665"/>
    <w:rsid w:val="00BA6F35"/>
    <w:rsid w:val="00BB2FB2"/>
    <w:rsid w:val="00BB322B"/>
    <w:rsid w:val="00BB3304"/>
    <w:rsid w:val="00BB4CAA"/>
    <w:rsid w:val="00BB7518"/>
    <w:rsid w:val="00BB7A17"/>
    <w:rsid w:val="00BC0472"/>
    <w:rsid w:val="00BC4016"/>
    <w:rsid w:val="00BC4EC8"/>
    <w:rsid w:val="00BC55BD"/>
    <w:rsid w:val="00BC57AE"/>
    <w:rsid w:val="00BC6489"/>
    <w:rsid w:val="00BC7F7A"/>
    <w:rsid w:val="00BD0452"/>
    <w:rsid w:val="00BD2D7C"/>
    <w:rsid w:val="00BD3446"/>
    <w:rsid w:val="00BD3EA2"/>
    <w:rsid w:val="00BD5688"/>
    <w:rsid w:val="00BD5D87"/>
    <w:rsid w:val="00BE1674"/>
    <w:rsid w:val="00BE1F1B"/>
    <w:rsid w:val="00BE24A6"/>
    <w:rsid w:val="00BE47B5"/>
    <w:rsid w:val="00BF1E98"/>
    <w:rsid w:val="00BF222E"/>
    <w:rsid w:val="00BF2850"/>
    <w:rsid w:val="00BF5640"/>
    <w:rsid w:val="00BF6427"/>
    <w:rsid w:val="00BF667B"/>
    <w:rsid w:val="00C02DC8"/>
    <w:rsid w:val="00C03294"/>
    <w:rsid w:val="00C057C4"/>
    <w:rsid w:val="00C11947"/>
    <w:rsid w:val="00C15029"/>
    <w:rsid w:val="00C16310"/>
    <w:rsid w:val="00C169B3"/>
    <w:rsid w:val="00C20E6E"/>
    <w:rsid w:val="00C20E8F"/>
    <w:rsid w:val="00C23257"/>
    <w:rsid w:val="00C23858"/>
    <w:rsid w:val="00C24375"/>
    <w:rsid w:val="00C249B4"/>
    <w:rsid w:val="00C24A84"/>
    <w:rsid w:val="00C25DC2"/>
    <w:rsid w:val="00C25FA6"/>
    <w:rsid w:val="00C26737"/>
    <w:rsid w:val="00C270DA"/>
    <w:rsid w:val="00C31BB5"/>
    <w:rsid w:val="00C32285"/>
    <w:rsid w:val="00C33E20"/>
    <w:rsid w:val="00C346C5"/>
    <w:rsid w:val="00C34946"/>
    <w:rsid w:val="00C420BC"/>
    <w:rsid w:val="00C42CB5"/>
    <w:rsid w:val="00C45272"/>
    <w:rsid w:val="00C51CFC"/>
    <w:rsid w:val="00C52035"/>
    <w:rsid w:val="00C533BD"/>
    <w:rsid w:val="00C538A9"/>
    <w:rsid w:val="00C53B5A"/>
    <w:rsid w:val="00C53D48"/>
    <w:rsid w:val="00C5466B"/>
    <w:rsid w:val="00C54F5A"/>
    <w:rsid w:val="00C56716"/>
    <w:rsid w:val="00C569B4"/>
    <w:rsid w:val="00C6025F"/>
    <w:rsid w:val="00C63D4A"/>
    <w:rsid w:val="00C65DA1"/>
    <w:rsid w:val="00C66F77"/>
    <w:rsid w:val="00C67703"/>
    <w:rsid w:val="00C6784E"/>
    <w:rsid w:val="00C67A92"/>
    <w:rsid w:val="00C71CB7"/>
    <w:rsid w:val="00C73D89"/>
    <w:rsid w:val="00C75DC7"/>
    <w:rsid w:val="00C81758"/>
    <w:rsid w:val="00C84560"/>
    <w:rsid w:val="00C86679"/>
    <w:rsid w:val="00C8739E"/>
    <w:rsid w:val="00C931A2"/>
    <w:rsid w:val="00C93619"/>
    <w:rsid w:val="00CA3632"/>
    <w:rsid w:val="00CA37AC"/>
    <w:rsid w:val="00CA3F61"/>
    <w:rsid w:val="00CA450E"/>
    <w:rsid w:val="00CA489E"/>
    <w:rsid w:val="00CA67ED"/>
    <w:rsid w:val="00CA6F4F"/>
    <w:rsid w:val="00CB0279"/>
    <w:rsid w:val="00CB37E0"/>
    <w:rsid w:val="00CB4834"/>
    <w:rsid w:val="00CB6202"/>
    <w:rsid w:val="00CB63BD"/>
    <w:rsid w:val="00CB666B"/>
    <w:rsid w:val="00CC08B0"/>
    <w:rsid w:val="00CC5DE2"/>
    <w:rsid w:val="00CC6CB5"/>
    <w:rsid w:val="00CC713F"/>
    <w:rsid w:val="00CC7779"/>
    <w:rsid w:val="00CC7E65"/>
    <w:rsid w:val="00CC7F1D"/>
    <w:rsid w:val="00CD007F"/>
    <w:rsid w:val="00CD1752"/>
    <w:rsid w:val="00CD32B4"/>
    <w:rsid w:val="00CD79EB"/>
    <w:rsid w:val="00CE1843"/>
    <w:rsid w:val="00CE2EE1"/>
    <w:rsid w:val="00CE484B"/>
    <w:rsid w:val="00CE6191"/>
    <w:rsid w:val="00CF0C56"/>
    <w:rsid w:val="00CF1F03"/>
    <w:rsid w:val="00CF4B40"/>
    <w:rsid w:val="00CF503C"/>
    <w:rsid w:val="00CF6177"/>
    <w:rsid w:val="00CF623A"/>
    <w:rsid w:val="00D006AE"/>
    <w:rsid w:val="00D009F3"/>
    <w:rsid w:val="00D01CF0"/>
    <w:rsid w:val="00D01F43"/>
    <w:rsid w:val="00D0442A"/>
    <w:rsid w:val="00D06894"/>
    <w:rsid w:val="00D07562"/>
    <w:rsid w:val="00D109CC"/>
    <w:rsid w:val="00D10F39"/>
    <w:rsid w:val="00D13FAF"/>
    <w:rsid w:val="00D143DA"/>
    <w:rsid w:val="00D14CFA"/>
    <w:rsid w:val="00D14E25"/>
    <w:rsid w:val="00D1563D"/>
    <w:rsid w:val="00D16193"/>
    <w:rsid w:val="00D16364"/>
    <w:rsid w:val="00D16C08"/>
    <w:rsid w:val="00D17061"/>
    <w:rsid w:val="00D227BB"/>
    <w:rsid w:val="00D270E6"/>
    <w:rsid w:val="00D27530"/>
    <w:rsid w:val="00D3058D"/>
    <w:rsid w:val="00D325B8"/>
    <w:rsid w:val="00D43769"/>
    <w:rsid w:val="00D45467"/>
    <w:rsid w:val="00D46494"/>
    <w:rsid w:val="00D546DD"/>
    <w:rsid w:val="00D5686F"/>
    <w:rsid w:val="00D56DEA"/>
    <w:rsid w:val="00D61388"/>
    <w:rsid w:val="00D61A54"/>
    <w:rsid w:val="00D61FDA"/>
    <w:rsid w:val="00D64DEA"/>
    <w:rsid w:val="00D7168E"/>
    <w:rsid w:val="00D71E57"/>
    <w:rsid w:val="00D77240"/>
    <w:rsid w:val="00D80893"/>
    <w:rsid w:val="00D81FBD"/>
    <w:rsid w:val="00D82F39"/>
    <w:rsid w:val="00D84854"/>
    <w:rsid w:val="00D874A0"/>
    <w:rsid w:val="00D8794E"/>
    <w:rsid w:val="00D87D52"/>
    <w:rsid w:val="00D9223C"/>
    <w:rsid w:val="00D92CF1"/>
    <w:rsid w:val="00D92D38"/>
    <w:rsid w:val="00D92D96"/>
    <w:rsid w:val="00D950F5"/>
    <w:rsid w:val="00D95B4C"/>
    <w:rsid w:val="00D96EE9"/>
    <w:rsid w:val="00DA010A"/>
    <w:rsid w:val="00DA33BB"/>
    <w:rsid w:val="00DA3A26"/>
    <w:rsid w:val="00DA4752"/>
    <w:rsid w:val="00DA61F3"/>
    <w:rsid w:val="00DA6A65"/>
    <w:rsid w:val="00DB0F93"/>
    <w:rsid w:val="00DB1A67"/>
    <w:rsid w:val="00DB3C7C"/>
    <w:rsid w:val="00DB3FB0"/>
    <w:rsid w:val="00DB48C6"/>
    <w:rsid w:val="00DB49B0"/>
    <w:rsid w:val="00DB5074"/>
    <w:rsid w:val="00DB752F"/>
    <w:rsid w:val="00DB7700"/>
    <w:rsid w:val="00DC0445"/>
    <w:rsid w:val="00DC0B1D"/>
    <w:rsid w:val="00DC316F"/>
    <w:rsid w:val="00DC4846"/>
    <w:rsid w:val="00DC48AF"/>
    <w:rsid w:val="00DC4E95"/>
    <w:rsid w:val="00DC5D3C"/>
    <w:rsid w:val="00DC63DE"/>
    <w:rsid w:val="00DC7981"/>
    <w:rsid w:val="00DC7F8C"/>
    <w:rsid w:val="00DD005E"/>
    <w:rsid w:val="00DD1A34"/>
    <w:rsid w:val="00DD3032"/>
    <w:rsid w:val="00DD3A1B"/>
    <w:rsid w:val="00DD448D"/>
    <w:rsid w:val="00DD4B2F"/>
    <w:rsid w:val="00DD5F01"/>
    <w:rsid w:val="00DD684F"/>
    <w:rsid w:val="00DD76B4"/>
    <w:rsid w:val="00DE0835"/>
    <w:rsid w:val="00DE1093"/>
    <w:rsid w:val="00DE1CEE"/>
    <w:rsid w:val="00DE3695"/>
    <w:rsid w:val="00DE3789"/>
    <w:rsid w:val="00DE4A1C"/>
    <w:rsid w:val="00DE4EFA"/>
    <w:rsid w:val="00DE5520"/>
    <w:rsid w:val="00DE5579"/>
    <w:rsid w:val="00DE563D"/>
    <w:rsid w:val="00DE7EC0"/>
    <w:rsid w:val="00DF01F2"/>
    <w:rsid w:val="00E01EE0"/>
    <w:rsid w:val="00E04818"/>
    <w:rsid w:val="00E06442"/>
    <w:rsid w:val="00E06885"/>
    <w:rsid w:val="00E1227C"/>
    <w:rsid w:val="00E17F05"/>
    <w:rsid w:val="00E21951"/>
    <w:rsid w:val="00E23993"/>
    <w:rsid w:val="00E23D2C"/>
    <w:rsid w:val="00E25B8C"/>
    <w:rsid w:val="00E30396"/>
    <w:rsid w:val="00E31532"/>
    <w:rsid w:val="00E35FF7"/>
    <w:rsid w:val="00E361F4"/>
    <w:rsid w:val="00E42A91"/>
    <w:rsid w:val="00E43C30"/>
    <w:rsid w:val="00E46204"/>
    <w:rsid w:val="00E54FDB"/>
    <w:rsid w:val="00E6132E"/>
    <w:rsid w:val="00E6234D"/>
    <w:rsid w:val="00E62B79"/>
    <w:rsid w:val="00E63132"/>
    <w:rsid w:val="00E64713"/>
    <w:rsid w:val="00E65C11"/>
    <w:rsid w:val="00E65C85"/>
    <w:rsid w:val="00E66199"/>
    <w:rsid w:val="00E70CCB"/>
    <w:rsid w:val="00E716F3"/>
    <w:rsid w:val="00E721D9"/>
    <w:rsid w:val="00E72D18"/>
    <w:rsid w:val="00E74701"/>
    <w:rsid w:val="00E755EC"/>
    <w:rsid w:val="00E75E31"/>
    <w:rsid w:val="00E7624D"/>
    <w:rsid w:val="00E7682C"/>
    <w:rsid w:val="00E804A8"/>
    <w:rsid w:val="00E8585F"/>
    <w:rsid w:val="00E9144F"/>
    <w:rsid w:val="00E93DCE"/>
    <w:rsid w:val="00E97452"/>
    <w:rsid w:val="00EA0D6C"/>
    <w:rsid w:val="00EA3D42"/>
    <w:rsid w:val="00EA4D63"/>
    <w:rsid w:val="00EA60E7"/>
    <w:rsid w:val="00EA612B"/>
    <w:rsid w:val="00EA6B1B"/>
    <w:rsid w:val="00EB0723"/>
    <w:rsid w:val="00EB2351"/>
    <w:rsid w:val="00EC04F1"/>
    <w:rsid w:val="00EC4BB3"/>
    <w:rsid w:val="00EC5E93"/>
    <w:rsid w:val="00ED10CB"/>
    <w:rsid w:val="00ED2A57"/>
    <w:rsid w:val="00ED3996"/>
    <w:rsid w:val="00ED4033"/>
    <w:rsid w:val="00ED7323"/>
    <w:rsid w:val="00EE0518"/>
    <w:rsid w:val="00EE28F3"/>
    <w:rsid w:val="00EE3869"/>
    <w:rsid w:val="00EE3CBB"/>
    <w:rsid w:val="00EE4C3A"/>
    <w:rsid w:val="00EE50D1"/>
    <w:rsid w:val="00EE51B2"/>
    <w:rsid w:val="00EE60FC"/>
    <w:rsid w:val="00EE6B5C"/>
    <w:rsid w:val="00EE7DA5"/>
    <w:rsid w:val="00EF22DF"/>
    <w:rsid w:val="00EF2C77"/>
    <w:rsid w:val="00EF5110"/>
    <w:rsid w:val="00EF6D51"/>
    <w:rsid w:val="00EF6F09"/>
    <w:rsid w:val="00F01591"/>
    <w:rsid w:val="00F02BF9"/>
    <w:rsid w:val="00F032A5"/>
    <w:rsid w:val="00F0689C"/>
    <w:rsid w:val="00F102C2"/>
    <w:rsid w:val="00F10411"/>
    <w:rsid w:val="00F129B9"/>
    <w:rsid w:val="00F13AB3"/>
    <w:rsid w:val="00F156B0"/>
    <w:rsid w:val="00F15799"/>
    <w:rsid w:val="00F15882"/>
    <w:rsid w:val="00F16330"/>
    <w:rsid w:val="00F171E0"/>
    <w:rsid w:val="00F20728"/>
    <w:rsid w:val="00F20BD3"/>
    <w:rsid w:val="00F25B85"/>
    <w:rsid w:val="00F27DA8"/>
    <w:rsid w:val="00F304A1"/>
    <w:rsid w:val="00F33518"/>
    <w:rsid w:val="00F33D1C"/>
    <w:rsid w:val="00F33FB7"/>
    <w:rsid w:val="00F34DB3"/>
    <w:rsid w:val="00F373A5"/>
    <w:rsid w:val="00F37B33"/>
    <w:rsid w:val="00F37C99"/>
    <w:rsid w:val="00F44ED2"/>
    <w:rsid w:val="00F46A8D"/>
    <w:rsid w:val="00F46DA8"/>
    <w:rsid w:val="00F47559"/>
    <w:rsid w:val="00F51FA7"/>
    <w:rsid w:val="00F53DBD"/>
    <w:rsid w:val="00F54302"/>
    <w:rsid w:val="00F62A07"/>
    <w:rsid w:val="00F63450"/>
    <w:rsid w:val="00F64291"/>
    <w:rsid w:val="00F64C7B"/>
    <w:rsid w:val="00F66F0B"/>
    <w:rsid w:val="00F676DD"/>
    <w:rsid w:val="00F73143"/>
    <w:rsid w:val="00F73E6F"/>
    <w:rsid w:val="00F75A26"/>
    <w:rsid w:val="00F75E5D"/>
    <w:rsid w:val="00F76706"/>
    <w:rsid w:val="00F77C1D"/>
    <w:rsid w:val="00F83FAD"/>
    <w:rsid w:val="00F84516"/>
    <w:rsid w:val="00F84F89"/>
    <w:rsid w:val="00F8758A"/>
    <w:rsid w:val="00F9339A"/>
    <w:rsid w:val="00F94C6D"/>
    <w:rsid w:val="00F952A0"/>
    <w:rsid w:val="00F95588"/>
    <w:rsid w:val="00F96A40"/>
    <w:rsid w:val="00FA0339"/>
    <w:rsid w:val="00FA1A01"/>
    <w:rsid w:val="00FA3C7F"/>
    <w:rsid w:val="00FA5CBD"/>
    <w:rsid w:val="00FA703A"/>
    <w:rsid w:val="00FA780A"/>
    <w:rsid w:val="00FB2460"/>
    <w:rsid w:val="00FB2D91"/>
    <w:rsid w:val="00FB5548"/>
    <w:rsid w:val="00FB558F"/>
    <w:rsid w:val="00FB60FE"/>
    <w:rsid w:val="00FB74E2"/>
    <w:rsid w:val="00FC01B1"/>
    <w:rsid w:val="00FC364D"/>
    <w:rsid w:val="00FC7271"/>
    <w:rsid w:val="00FD1D42"/>
    <w:rsid w:val="00FD4521"/>
    <w:rsid w:val="00FD5614"/>
    <w:rsid w:val="00FD5E78"/>
    <w:rsid w:val="00FD61C4"/>
    <w:rsid w:val="00FD676C"/>
    <w:rsid w:val="00FD67C9"/>
    <w:rsid w:val="00FE0BE1"/>
    <w:rsid w:val="00FE1DE9"/>
    <w:rsid w:val="00FE36AF"/>
    <w:rsid w:val="00FE39C2"/>
    <w:rsid w:val="00FE3C32"/>
    <w:rsid w:val="00FE43B8"/>
    <w:rsid w:val="00FE55BF"/>
    <w:rsid w:val="00FE55EF"/>
    <w:rsid w:val="00FE64AE"/>
    <w:rsid w:val="00FE6EBC"/>
    <w:rsid w:val="00FF102C"/>
    <w:rsid w:val="00FF7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2F6FA6"/>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2F6FA6"/>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2F6FA6"/>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2F6FA6"/>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2F6FA6"/>
    <w:rPr>
      <w:rFonts w:ascii="Gautami" w:eastAsia="Calibri" w:hAnsi="Gautami" w:cs="Times New Roman"/>
      <w:sz w:val="20"/>
      <w:szCs w:val="20"/>
    </w:rPr>
  </w:style>
  <w:style w:type="paragraph" w:styleId="MessageHeader">
    <w:name w:val="Message Header"/>
    <w:basedOn w:val="Normal"/>
    <w:link w:val="MessageHeaderChar"/>
    <w:uiPriority w:val="99"/>
    <w:unhideWhenUsed/>
    <w:rsid w:val="002F6FA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2F6FA6"/>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2F6FA6"/>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2F6FA6"/>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2F6FA6"/>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2F6FA6"/>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2F6FA6"/>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2F6FA6"/>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rsid w:val="002F6FA6"/>
    <w:rPr>
      <w:rFonts w:ascii="Gautami" w:eastAsia="Calibri" w:hAnsi="Gautami" w:cs="Times New Roman"/>
      <w:sz w:val="20"/>
      <w:szCs w:val="20"/>
    </w:rPr>
  </w:style>
  <w:style w:type="paragraph" w:styleId="MessageHeader">
    <w:name w:val="Message Header"/>
    <w:basedOn w:val="Normal"/>
    <w:link w:val="MessageHeaderChar"/>
    <w:uiPriority w:val="99"/>
    <w:unhideWhenUsed/>
    <w:rsid w:val="002F6FA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2F6FA6"/>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2F6FA6"/>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2F6FA6"/>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2075">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11.emf"/><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10" Type="http://schemas.openxmlformats.org/officeDocument/2006/relationships/image" Target="media/image1.jpeg"/><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rba.gov.au/statistics/tables/xls/f03hist.xls" TargetMode="External"/><Relationship Id="rId3" Type="http://schemas.openxmlformats.org/officeDocument/2006/relationships/hyperlink" Target="http://www.aer.gov.au/node/18859" TargetMode="External"/><Relationship Id="rId7" Type="http://schemas.openxmlformats.org/officeDocument/2006/relationships/hyperlink" Target="http://www.aer.gov.au" TargetMode="External"/><Relationship Id="rId2" Type="http://schemas.openxmlformats.org/officeDocument/2006/relationships/hyperlink" Target="http://www.aer.gov.au/node/18859" TargetMode="External"/><Relationship Id="rId1" Type="http://schemas.openxmlformats.org/officeDocument/2006/relationships/hyperlink" Target="http://www.aer.gov.au/node/18859" TargetMode="External"/><Relationship Id="rId6" Type="http://schemas.openxmlformats.org/officeDocument/2006/relationships/hyperlink" Target="http://www.rba.gov.au/statistics/tables/index.html" TargetMode="External"/><Relationship Id="rId5" Type="http://schemas.openxmlformats.org/officeDocument/2006/relationships/hyperlink" Target="http://www.aer.gov.au/node/27616" TargetMode="External"/><Relationship Id="rId4" Type="http://schemas.openxmlformats.org/officeDocument/2006/relationships/hyperlink" Target="http://www.aer.gov.au/node/18859"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EE7A2A-6FC4-4F39-8EFC-83D5EBB57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4078A8E7.dotm</Template>
  <TotalTime>0</TotalTime>
  <Pages>172</Pages>
  <Words>51535</Words>
  <Characters>293753</Characters>
  <Application>Microsoft Office Word</Application>
  <DocSecurity>0</DocSecurity>
  <Lines>2447</Lines>
  <Paragraphs>689</Paragraphs>
  <ScaleCrop>false</ScaleCrop>
  <HeadingPairs>
    <vt:vector size="2" baseType="variant">
      <vt:variant>
        <vt:lpstr>Title</vt:lpstr>
      </vt:variant>
      <vt:variant>
        <vt:i4>1</vt:i4>
      </vt:variant>
    </vt:vector>
  </HeadingPairs>
  <TitlesOfParts>
    <vt:vector size="1" baseType="lpstr">
      <vt:lpstr>AusNet Services 2017-22 - Draft decision - Attachment 3 - Rate of return</vt:lpstr>
    </vt:vector>
  </TitlesOfParts>
  <LinksUpToDate>false</LinksUpToDate>
  <CharactersWithSpaces>344599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AusNet Services 2017-22 - Draft decision - Attachment 3 - Rate of return</dc:title>
  <dc:creator/>
  <cp:lastModifiedBy/>
  <cp:revision>1</cp:revision>
  <dcterms:created xsi:type="dcterms:W3CDTF">2016-09-28T01:11:00Z</dcterms:created>
  <dcterms:modified xsi:type="dcterms:W3CDTF">2016-09-28T01:11:00Z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\\cdchnas-evs02\home$\mleco\aer - draft decision tasnetworks distribution determination - attachment 3 - rate of return - september 2016 (D2015-00171119).docx</vt:lpwstr>
  </property>
</Properties>
</file>