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671F7015" wp14:editId="3C1BB40A">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0DD6B861" wp14:editId="016C256D">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0474DF">
            <w:t>DRAFT</w:t>
          </w:r>
          <w:r w:rsidR="00DA4752">
            <w:t xml:space="preserve"> DECISION</w:t>
          </w:r>
        </w:p>
        <w:p w:rsidR="00415F31" w:rsidRDefault="004523B2" w:rsidP="008F07A3">
          <w:pPr>
            <w:pStyle w:val="ReportSubtitle"/>
          </w:pPr>
          <w:r>
            <w:t>TasNetworks distribution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w:t>
          </w:r>
          <w:r w:rsidR="004523B2">
            <w:t>18</w:t>
          </w:r>
          <w:r>
            <w:rPr>
              <w:rFonts w:cs="Arial"/>
            </w:rPr>
            <w:t>−</w:t>
          </w:r>
          <w:r w:rsidR="004523B2">
            <w:t>19</w:t>
          </w:r>
        </w:p>
        <w:p w:rsidR="008F07A3" w:rsidRPr="000A6C7B" w:rsidRDefault="008F07A3" w:rsidP="008F07A3">
          <w:pPr>
            <w:pStyle w:val="ReportSubtitle"/>
          </w:pPr>
        </w:p>
        <w:p w:rsidR="000A6C7B" w:rsidRDefault="0037699E" w:rsidP="008F07A3">
          <w:pPr>
            <w:pStyle w:val="ReportSubtitle"/>
          </w:pPr>
          <w:r>
            <w:t xml:space="preserve">Attachment </w:t>
          </w:r>
          <w:r w:rsidR="00E30BB4">
            <w:t>7</w:t>
          </w:r>
          <w:r w:rsidR="000474DF">
            <w:t xml:space="preserve"> </w:t>
          </w:r>
          <w:r w:rsidR="00185BA5">
            <w:t>–</w:t>
          </w:r>
          <w:r w:rsidR="000474DF">
            <w:t xml:space="preserve"> </w:t>
          </w:r>
          <w:r w:rsidR="00E30BB4">
            <w:t>Operating expenditure</w:t>
          </w:r>
        </w:p>
        <w:p w:rsidR="000A6C7B" w:rsidRPr="00327A1E" w:rsidRDefault="000474DF" w:rsidP="00327A1E">
          <w:pPr>
            <w:pStyle w:val="ReportDate"/>
          </w:pPr>
          <w:r>
            <w:t>September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B57244">
        <w:t>1300 585 165</w:t>
      </w:r>
      <w:r>
        <w:b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62755044"/>
      <w:r>
        <w:lastRenderedPageBreak/>
        <w:t>Note</w:t>
      </w:r>
      <w:bookmarkEnd w:id="2"/>
      <w:bookmarkEnd w:id="3"/>
      <w:bookmarkEnd w:id="4"/>
    </w:p>
    <w:p w:rsidR="00761454" w:rsidRDefault="00761454" w:rsidP="00761454">
      <w:pPr>
        <w:numPr>
          <w:ilvl w:val="0"/>
          <w:numId w:val="24"/>
        </w:numPr>
      </w:pPr>
      <w:r>
        <w:t xml:space="preserve">This </w:t>
      </w:r>
      <w:r w:rsidR="00624115">
        <w:t>attachment</w:t>
      </w:r>
      <w:r>
        <w:t xml:space="preserve"> forms part of the AER's </w:t>
      </w:r>
      <w:r w:rsidR="000474DF">
        <w:t xml:space="preserve">draft </w:t>
      </w:r>
      <w:r>
        <w:t xml:space="preserve">decision on </w:t>
      </w:r>
      <w:r w:rsidR="004523B2">
        <w:t>TasNetworks' distribution</w:t>
      </w:r>
      <w:r>
        <w:t xml:space="preserve"> determination for 201</w:t>
      </w:r>
      <w:r w:rsidR="000474DF">
        <w:t>7</w:t>
      </w:r>
      <w:r w:rsidRPr="00F02D30">
        <w:t>–</w:t>
      </w:r>
      <w:r w:rsidR="004523B2">
        <w:t>19</w:t>
      </w:r>
      <w:r>
        <w:t xml:space="preserve">. It should be read with </w:t>
      </w:r>
      <w:r w:rsidR="000474DF">
        <w:t xml:space="preserve">all </w:t>
      </w:r>
      <w:r>
        <w:t xml:space="preserve">other parts of the </w:t>
      </w:r>
      <w:r w:rsidR="000474DF">
        <w:t>draft</w:t>
      </w:r>
      <w:r>
        <w:t xml:space="preserve"> decision.</w:t>
      </w:r>
    </w:p>
    <w:p w:rsidR="00761454" w:rsidRDefault="00761454" w:rsidP="00761454">
      <w:pPr>
        <w:numPr>
          <w:ilvl w:val="0"/>
          <w:numId w:val="24"/>
        </w:numPr>
      </w:pPr>
      <w:r>
        <w:t xml:space="preserve">The </w:t>
      </w:r>
      <w:r w:rsidR="000474DF">
        <w:t>draft</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Attachment 18 – Connection policy</w:t>
      </w:r>
    </w:p>
    <w:p w:rsidR="00B57244" w:rsidRDefault="00B57244" w:rsidP="00761454">
      <w:pPr>
        <w:numPr>
          <w:ilvl w:val="0"/>
          <w:numId w:val="24"/>
        </w:numPr>
      </w:pPr>
      <w:r>
        <w:t>Attachment 19 – Tariff structure statement</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62755045"/>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805AAE"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62755044" w:history="1">
            <w:r w:rsidR="00805AAE" w:rsidRPr="00120A3D">
              <w:rPr>
                <w:rStyle w:val="Hyperlink"/>
              </w:rPr>
              <w:t>Note</w:t>
            </w:r>
            <w:r w:rsidR="00805AAE">
              <w:rPr>
                <w:webHidden/>
              </w:rPr>
              <w:tab/>
            </w:r>
            <w:r w:rsidR="00805AAE">
              <w:rPr>
                <w:webHidden/>
              </w:rPr>
              <w:fldChar w:fldCharType="begin"/>
            </w:r>
            <w:r w:rsidR="00805AAE">
              <w:rPr>
                <w:webHidden/>
              </w:rPr>
              <w:instrText xml:space="preserve"> PAGEREF _Toc462755044 \h </w:instrText>
            </w:r>
            <w:r w:rsidR="00805AAE">
              <w:rPr>
                <w:webHidden/>
              </w:rPr>
            </w:r>
            <w:r w:rsidR="00805AAE">
              <w:rPr>
                <w:webHidden/>
              </w:rPr>
              <w:fldChar w:fldCharType="separate"/>
            </w:r>
            <w:r w:rsidR="00805AAE">
              <w:rPr>
                <w:webHidden/>
              </w:rPr>
              <w:t>7-2</w:t>
            </w:r>
            <w:r w:rsidR="00805AAE">
              <w:rPr>
                <w:webHidden/>
              </w:rPr>
              <w:fldChar w:fldCharType="end"/>
            </w:r>
          </w:hyperlink>
        </w:p>
        <w:p w:rsidR="00805AAE" w:rsidRDefault="00BB3B89">
          <w:pPr>
            <w:pStyle w:val="TOC1"/>
            <w:rPr>
              <w:rFonts w:asciiTheme="minorHAnsi" w:eastAsiaTheme="minorEastAsia" w:hAnsiTheme="minorHAnsi"/>
              <w:b w:val="0"/>
              <w:color w:val="auto"/>
              <w:sz w:val="22"/>
              <w:lang w:val="en-AU" w:eastAsia="en-AU"/>
            </w:rPr>
          </w:pPr>
          <w:hyperlink w:anchor="_Toc462755045" w:history="1">
            <w:r w:rsidR="00805AAE" w:rsidRPr="00120A3D">
              <w:rPr>
                <w:rStyle w:val="Hyperlink"/>
              </w:rPr>
              <w:t>Contents</w:t>
            </w:r>
            <w:r w:rsidR="00805AAE">
              <w:rPr>
                <w:webHidden/>
              </w:rPr>
              <w:tab/>
            </w:r>
            <w:r w:rsidR="00805AAE">
              <w:rPr>
                <w:webHidden/>
              </w:rPr>
              <w:fldChar w:fldCharType="begin"/>
            </w:r>
            <w:r w:rsidR="00805AAE">
              <w:rPr>
                <w:webHidden/>
              </w:rPr>
              <w:instrText xml:space="preserve"> PAGEREF _Toc462755045 \h </w:instrText>
            </w:r>
            <w:r w:rsidR="00805AAE">
              <w:rPr>
                <w:webHidden/>
              </w:rPr>
            </w:r>
            <w:r w:rsidR="00805AAE">
              <w:rPr>
                <w:webHidden/>
              </w:rPr>
              <w:fldChar w:fldCharType="separate"/>
            </w:r>
            <w:r w:rsidR="00805AAE">
              <w:rPr>
                <w:webHidden/>
              </w:rPr>
              <w:t>7-3</w:t>
            </w:r>
            <w:r w:rsidR="00805AAE">
              <w:rPr>
                <w:webHidden/>
              </w:rPr>
              <w:fldChar w:fldCharType="end"/>
            </w:r>
          </w:hyperlink>
        </w:p>
        <w:p w:rsidR="00805AAE" w:rsidRDefault="00BB3B89">
          <w:pPr>
            <w:pStyle w:val="TOC1"/>
            <w:rPr>
              <w:rFonts w:asciiTheme="minorHAnsi" w:eastAsiaTheme="minorEastAsia" w:hAnsiTheme="minorHAnsi"/>
              <w:b w:val="0"/>
              <w:color w:val="auto"/>
              <w:sz w:val="22"/>
              <w:lang w:val="en-AU" w:eastAsia="en-AU"/>
            </w:rPr>
          </w:pPr>
          <w:hyperlink w:anchor="_Toc462755046" w:history="1">
            <w:r w:rsidR="00805AAE" w:rsidRPr="00120A3D">
              <w:rPr>
                <w:rStyle w:val="Hyperlink"/>
              </w:rPr>
              <w:t>Shortened forms</w:t>
            </w:r>
            <w:r w:rsidR="00805AAE">
              <w:rPr>
                <w:webHidden/>
              </w:rPr>
              <w:tab/>
            </w:r>
            <w:r w:rsidR="00805AAE">
              <w:rPr>
                <w:webHidden/>
              </w:rPr>
              <w:fldChar w:fldCharType="begin"/>
            </w:r>
            <w:r w:rsidR="00805AAE">
              <w:rPr>
                <w:webHidden/>
              </w:rPr>
              <w:instrText xml:space="preserve"> PAGEREF _Toc462755046 \h </w:instrText>
            </w:r>
            <w:r w:rsidR="00805AAE">
              <w:rPr>
                <w:webHidden/>
              </w:rPr>
            </w:r>
            <w:r w:rsidR="00805AAE">
              <w:rPr>
                <w:webHidden/>
              </w:rPr>
              <w:fldChar w:fldCharType="separate"/>
            </w:r>
            <w:r w:rsidR="00805AAE">
              <w:rPr>
                <w:webHidden/>
              </w:rPr>
              <w:t>7-4</w:t>
            </w:r>
            <w:r w:rsidR="00805AAE">
              <w:rPr>
                <w:webHidden/>
              </w:rPr>
              <w:fldChar w:fldCharType="end"/>
            </w:r>
          </w:hyperlink>
        </w:p>
        <w:p w:rsidR="00805AAE" w:rsidRDefault="00BB3B89">
          <w:pPr>
            <w:pStyle w:val="TOC1"/>
            <w:rPr>
              <w:rFonts w:asciiTheme="minorHAnsi" w:eastAsiaTheme="minorEastAsia" w:hAnsiTheme="minorHAnsi"/>
              <w:b w:val="0"/>
              <w:color w:val="auto"/>
              <w:sz w:val="22"/>
              <w:lang w:val="en-AU" w:eastAsia="en-AU"/>
            </w:rPr>
          </w:pPr>
          <w:hyperlink w:anchor="_Toc462755047" w:history="1">
            <w:r w:rsidR="00805AAE" w:rsidRPr="00120A3D">
              <w:rPr>
                <w:rStyle w:val="Hyperlink"/>
              </w:rPr>
              <w:t>7</w:t>
            </w:r>
            <w:r w:rsidR="00805AAE">
              <w:rPr>
                <w:rFonts w:asciiTheme="minorHAnsi" w:eastAsiaTheme="minorEastAsia" w:hAnsiTheme="minorHAnsi"/>
                <w:b w:val="0"/>
                <w:color w:val="auto"/>
                <w:sz w:val="22"/>
                <w:lang w:val="en-AU" w:eastAsia="en-AU"/>
              </w:rPr>
              <w:tab/>
            </w:r>
            <w:r w:rsidR="00805AAE" w:rsidRPr="00120A3D">
              <w:rPr>
                <w:rStyle w:val="Hyperlink"/>
              </w:rPr>
              <w:t>Operating expenditure</w:t>
            </w:r>
            <w:r w:rsidR="00805AAE">
              <w:rPr>
                <w:webHidden/>
              </w:rPr>
              <w:tab/>
            </w:r>
            <w:r w:rsidR="00805AAE">
              <w:rPr>
                <w:webHidden/>
              </w:rPr>
              <w:fldChar w:fldCharType="begin"/>
            </w:r>
            <w:r w:rsidR="00805AAE">
              <w:rPr>
                <w:webHidden/>
              </w:rPr>
              <w:instrText xml:space="preserve"> PAGEREF _Toc462755047 \h </w:instrText>
            </w:r>
            <w:r w:rsidR="00805AAE">
              <w:rPr>
                <w:webHidden/>
              </w:rPr>
            </w:r>
            <w:r w:rsidR="00805AAE">
              <w:rPr>
                <w:webHidden/>
              </w:rPr>
              <w:fldChar w:fldCharType="separate"/>
            </w:r>
            <w:r w:rsidR="00805AAE">
              <w:rPr>
                <w:webHidden/>
              </w:rPr>
              <w:t>7-6</w:t>
            </w:r>
            <w:r w:rsidR="00805AAE">
              <w:rPr>
                <w:webHidden/>
              </w:rPr>
              <w:fldChar w:fldCharType="end"/>
            </w:r>
          </w:hyperlink>
        </w:p>
        <w:p w:rsidR="00805AAE" w:rsidRDefault="00BB3B89">
          <w:pPr>
            <w:pStyle w:val="TOC2"/>
            <w:rPr>
              <w:rFonts w:asciiTheme="minorHAnsi" w:eastAsiaTheme="minorEastAsia" w:hAnsiTheme="minorHAnsi"/>
              <w:b w:val="0"/>
              <w:color w:val="auto"/>
              <w:sz w:val="22"/>
              <w:lang w:eastAsia="en-AU"/>
            </w:rPr>
          </w:pPr>
          <w:hyperlink w:anchor="_Toc462755048" w:history="1">
            <w:r w:rsidR="00805AAE" w:rsidRPr="00120A3D">
              <w:rPr>
                <w:rStyle w:val="Hyperlink"/>
              </w:rPr>
              <w:t>7.1</w:t>
            </w:r>
            <w:r w:rsidR="00805AAE">
              <w:rPr>
                <w:rFonts w:asciiTheme="minorHAnsi" w:eastAsiaTheme="minorEastAsia" w:hAnsiTheme="minorHAnsi"/>
                <w:b w:val="0"/>
                <w:color w:val="auto"/>
                <w:sz w:val="22"/>
                <w:lang w:eastAsia="en-AU"/>
              </w:rPr>
              <w:tab/>
            </w:r>
            <w:r w:rsidR="00805AAE" w:rsidRPr="00120A3D">
              <w:rPr>
                <w:rStyle w:val="Hyperlink"/>
              </w:rPr>
              <w:t>Draft decision</w:t>
            </w:r>
            <w:r w:rsidR="00805AAE">
              <w:rPr>
                <w:webHidden/>
              </w:rPr>
              <w:tab/>
            </w:r>
            <w:r w:rsidR="00805AAE">
              <w:rPr>
                <w:webHidden/>
              </w:rPr>
              <w:fldChar w:fldCharType="begin"/>
            </w:r>
            <w:r w:rsidR="00805AAE">
              <w:rPr>
                <w:webHidden/>
              </w:rPr>
              <w:instrText xml:space="preserve"> PAGEREF _Toc462755048 \h </w:instrText>
            </w:r>
            <w:r w:rsidR="00805AAE">
              <w:rPr>
                <w:webHidden/>
              </w:rPr>
            </w:r>
            <w:r w:rsidR="00805AAE">
              <w:rPr>
                <w:webHidden/>
              </w:rPr>
              <w:fldChar w:fldCharType="separate"/>
            </w:r>
            <w:r w:rsidR="00805AAE">
              <w:rPr>
                <w:webHidden/>
              </w:rPr>
              <w:t>7-6</w:t>
            </w:r>
            <w:r w:rsidR="00805AAE">
              <w:rPr>
                <w:webHidden/>
              </w:rPr>
              <w:fldChar w:fldCharType="end"/>
            </w:r>
          </w:hyperlink>
        </w:p>
        <w:p w:rsidR="00805AAE" w:rsidRDefault="00BB3B89">
          <w:pPr>
            <w:pStyle w:val="TOC2"/>
            <w:rPr>
              <w:rFonts w:asciiTheme="minorHAnsi" w:eastAsiaTheme="minorEastAsia" w:hAnsiTheme="minorHAnsi"/>
              <w:b w:val="0"/>
              <w:color w:val="auto"/>
              <w:sz w:val="22"/>
              <w:lang w:eastAsia="en-AU"/>
            </w:rPr>
          </w:pPr>
          <w:hyperlink w:anchor="_Toc462755049" w:history="1">
            <w:r w:rsidR="00805AAE" w:rsidRPr="00120A3D">
              <w:rPr>
                <w:rStyle w:val="Hyperlink"/>
              </w:rPr>
              <w:t>7.2</w:t>
            </w:r>
            <w:r w:rsidR="00805AAE">
              <w:rPr>
                <w:rFonts w:asciiTheme="minorHAnsi" w:eastAsiaTheme="minorEastAsia" w:hAnsiTheme="minorHAnsi"/>
                <w:b w:val="0"/>
                <w:color w:val="auto"/>
                <w:sz w:val="22"/>
                <w:lang w:eastAsia="en-AU"/>
              </w:rPr>
              <w:tab/>
            </w:r>
            <w:r w:rsidR="00805AAE" w:rsidRPr="00120A3D">
              <w:rPr>
                <w:rStyle w:val="Hyperlink"/>
              </w:rPr>
              <w:t>TasNetworks' proposal</w:t>
            </w:r>
            <w:r w:rsidR="00805AAE">
              <w:rPr>
                <w:webHidden/>
              </w:rPr>
              <w:tab/>
            </w:r>
            <w:r w:rsidR="00805AAE">
              <w:rPr>
                <w:webHidden/>
              </w:rPr>
              <w:fldChar w:fldCharType="begin"/>
            </w:r>
            <w:r w:rsidR="00805AAE">
              <w:rPr>
                <w:webHidden/>
              </w:rPr>
              <w:instrText xml:space="preserve"> PAGEREF _Toc462755049 \h </w:instrText>
            </w:r>
            <w:r w:rsidR="00805AAE">
              <w:rPr>
                <w:webHidden/>
              </w:rPr>
            </w:r>
            <w:r w:rsidR="00805AAE">
              <w:rPr>
                <w:webHidden/>
              </w:rPr>
              <w:fldChar w:fldCharType="separate"/>
            </w:r>
            <w:r w:rsidR="00805AAE">
              <w:rPr>
                <w:webHidden/>
              </w:rPr>
              <w:t>7-7</w:t>
            </w:r>
            <w:r w:rsidR="00805AAE">
              <w:rPr>
                <w:webHidden/>
              </w:rPr>
              <w:fldChar w:fldCharType="end"/>
            </w:r>
          </w:hyperlink>
        </w:p>
        <w:p w:rsidR="00805AAE" w:rsidRDefault="00BB3B89">
          <w:pPr>
            <w:pStyle w:val="TOC3"/>
            <w:rPr>
              <w:rFonts w:asciiTheme="minorHAnsi" w:eastAsiaTheme="minorEastAsia" w:hAnsiTheme="minorHAnsi"/>
              <w:lang w:eastAsia="en-AU"/>
            </w:rPr>
          </w:pPr>
          <w:hyperlink w:anchor="_Toc462755050" w:history="1">
            <w:r w:rsidR="00805AAE" w:rsidRPr="00120A3D">
              <w:rPr>
                <w:rStyle w:val="Hyperlink"/>
              </w:rPr>
              <w:t>7.2.1</w:t>
            </w:r>
            <w:r w:rsidR="00805AAE">
              <w:rPr>
                <w:rFonts w:asciiTheme="minorHAnsi" w:eastAsiaTheme="minorEastAsia" w:hAnsiTheme="minorHAnsi"/>
                <w:lang w:eastAsia="en-AU"/>
              </w:rPr>
              <w:tab/>
            </w:r>
            <w:r w:rsidR="00805AAE" w:rsidRPr="00120A3D">
              <w:rPr>
                <w:rStyle w:val="Hyperlink"/>
              </w:rPr>
              <w:t>Submissions on TasNetworks' proposal</w:t>
            </w:r>
            <w:r w:rsidR="00805AAE">
              <w:rPr>
                <w:webHidden/>
              </w:rPr>
              <w:tab/>
            </w:r>
            <w:r w:rsidR="00805AAE">
              <w:rPr>
                <w:webHidden/>
              </w:rPr>
              <w:fldChar w:fldCharType="begin"/>
            </w:r>
            <w:r w:rsidR="00805AAE">
              <w:rPr>
                <w:webHidden/>
              </w:rPr>
              <w:instrText xml:space="preserve"> PAGEREF _Toc462755050 \h </w:instrText>
            </w:r>
            <w:r w:rsidR="00805AAE">
              <w:rPr>
                <w:webHidden/>
              </w:rPr>
            </w:r>
            <w:r w:rsidR="00805AAE">
              <w:rPr>
                <w:webHidden/>
              </w:rPr>
              <w:fldChar w:fldCharType="separate"/>
            </w:r>
            <w:r w:rsidR="00805AAE">
              <w:rPr>
                <w:webHidden/>
              </w:rPr>
              <w:t>7-10</w:t>
            </w:r>
            <w:r w:rsidR="00805AAE">
              <w:rPr>
                <w:webHidden/>
              </w:rPr>
              <w:fldChar w:fldCharType="end"/>
            </w:r>
          </w:hyperlink>
        </w:p>
        <w:p w:rsidR="00805AAE" w:rsidRDefault="00BB3B89">
          <w:pPr>
            <w:pStyle w:val="TOC2"/>
            <w:rPr>
              <w:rFonts w:asciiTheme="minorHAnsi" w:eastAsiaTheme="minorEastAsia" w:hAnsiTheme="minorHAnsi"/>
              <w:b w:val="0"/>
              <w:color w:val="auto"/>
              <w:sz w:val="22"/>
              <w:lang w:eastAsia="en-AU"/>
            </w:rPr>
          </w:pPr>
          <w:hyperlink w:anchor="_Toc462755051" w:history="1">
            <w:r w:rsidR="00805AAE" w:rsidRPr="00120A3D">
              <w:rPr>
                <w:rStyle w:val="Hyperlink"/>
              </w:rPr>
              <w:t>7.3</w:t>
            </w:r>
            <w:r w:rsidR="00805AAE">
              <w:rPr>
                <w:rFonts w:asciiTheme="minorHAnsi" w:eastAsiaTheme="minorEastAsia" w:hAnsiTheme="minorHAnsi"/>
                <w:b w:val="0"/>
                <w:color w:val="auto"/>
                <w:sz w:val="22"/>
                <w:lang w:eastAsia="en-AU"/>
              </w:rPr>
              <w:tab/>
            </w:r>
            <w:r w:rsidR="00805AAE" w:rsidRPr="00120A3D">
              <w:rPr>
                <w:rStyle w:val="Hyperlink"/>
              </w:rPr>
              <w:t>Assessment approach</w:t>
            </w:r>
            <w:r w:rsidR="00805AAE">
              <w:rPr>
                <w:webHidden/>
              </w:rPr>
              <w:tab/>
            </w:r>
            <w:r w:rsidR="00805AAE">
              <w:rPr>
                <w:webHidden/>
              </w:rPr>
              <w:fldChar w:fldCharType="begin"/>
            </w:r>
            <w:r w:rsidR="00805AAE">
              <w:rPr>
                <w:webHidden/>
              </w:rPr>
              <w:instrText xml:space="preserve"> PAGEREF _Toc462755051 \h </w:instrText>
            </w:r>
            <w:r w:rsidR="00805AAE">
              <w:rPr>
                <w:webHidden/>
              </w:rPr>
            </w:r>
            <w:r w:rsidR="00805AAE">
              <w:rPr>
                <w:webHidden/>
              </w:rPr>
              <w:fldChar w:fldCharType="separate"/>
            </w:r>
            <w:r w:rsidR="00805AAE">
              <w:rPr>
                <w:webHidden/>
              </w:rPr>
              <w:t>7-11</w:t>
            </w:r>
            <w:r w:rsidR="00805AAE">
              <w:rPr>
                <w:webHidden/>
              </w:rPr>
              <w:fldChar w:fldCharType="end"/>
            </w:r>
          </w:hyperlink>
        </w:p>
        <w:p w:rsidR="00805AAE" w:rsidRDefault="00BB3B89">
          <w:pPr>
            <w:pStyle w:val="TOC3"/>
            <w:rPr>
              <w:rFonts w:asciiTheme="minorHAnsi" w:eastAsiaTheme="minorEastAsia" w:hAnsiTheme="minorHAnsi"/>
              <w:lang w:eastAsia="en-AU"/>
            </w:rPr>
          </w:pPr>
          <w:hyperlink w:anchor="_Toc462755052" w:history="1">
            <w:r w:rsidR="00805AAE" w:rsidRPr="00120A3D">
              <w:rPr>
                <w:rStyle w:val="Hyperlink"/>
              </w:rPr>
              <w:t>7.3.1</w:t>
            </w:r>
            <w:r w:rsidR="00805AAE">
              <w:rPr>
                <w:rFonts w:asciiTheme="minorHAnsi" w:eastAsiaTheme="minorEastAsia" w:hAnsiTheme="minorHAnsi"/>
                <w:lang w:eastAsia="en-AU"/>
              </w:rPr>
              <w:tab/>
            </w:r>
            <w:r w:rsidR="00805AAE" w:rsidRPr="00120A3D">
              <w:rPr>
                <w:rStyle w:val="Hyperlink"/>
              </w:rPr>
              <w:t>The National Electricity Objective, and the opex criteria, objective and factors</w:t>
            </w:r>
            <w:r w:rsidR="00805AAE">
              <w:rPr>
                <w:webHidden/>
              </w:rPr>
              <w:tab/>
            </w:r>
            <w:r w:rsidR="00805AAE">
              <w:rPr>
                <w:webHidden/>
              </w:rPr>
              <w:fldChar w:fldCharType="begin"/>
            </w:r>
            <w:r w:rsidR="00805AAE">
              <w:rPr>
                <w:webHidden/>
              </w:rPr>
              <w:instrText xml:space="preserve"> PAGEREF _Toc462755052 \h </w:instrText>
            </w:r>
            <w:r w:rsidR="00805AAE">
              <w:rPr>
                <w:webHidden/>
              </w:rPr>
            </w:r>
            <w:r w:rsidR="00805AAE">
              <w:rPr>
                <w:webHidden/>
              </w:rPr>
              <w:fldChar w:fldCharType="separate"/>
            </w:r>
            <w:r w:rsidR="00805AAE">
              <w:rPr>
                <w:webHidden/>
              </w:rPr>
              <w:t>7-12</w:t>
            </w:r>
            <w:r w:rsidR="00805AAE">
              <w:rPr>
                <w:webHidden/>
              </w:rPr>
              <w:fldChar w:fldCharType="end"/>
            </w:r>
          </w:hyperlink>
        </w:p>
        <w:p w:rsidR="00805AAE" w:rsidRDefault="00BB3B89">
          <w:pPr>
            <w:pStyle w:val="TOC2"/>
            <w:rPr>
              <w:rFonts w:asciiTheme="minorHAnsi" w:eastAsiaTheme="minorEastAsia" w:hAnsiTheme="minorHAnsi"/>
              <w:b w:val="0"/>
              <w:color w:val="auto"/>
              <w:sz w:val="22"/>
              <w:lang w:eastAsia="en-AU"/>
            </w:rPr>
          </w:pPr>
          <w:hyperlink w:anchor="_Toc462755053" w:history="1">
            <w:r w:rsidR="00805AAE" w:rsidRPr="00120A3D">
              <w:rPr>
                <w:rStyle w:val="Hyperlink"/>
              </w:rPr>
              <w:t>7.4</w:t>
            </w:r>
            <w:r w:rsidR="00805AAE">
              <w:rPr>
                <w:rFonts w:asciiTheme="minorHAnsi" w:eastAsiaTheme="minorEastAsia" w:hAnsiTheme="minorHAnsi"/>
                <w:b w:val="0"/>
                <w:color w:val="auto"/>
                <w:sz w:val="22"/>
                <w:lang w:eastAsia="en-AU"/>
              </w:rPr>
              <w:tab/>
            </w:r>
            <w:r w:rsidR="00805AAE" w:rsidRPr="00120A3D">
              <w:rPr>
                <w:rStyle w:val="Hyperlink"/>
              </w:rPr>
              <w:t>Reasons for draft decision</w:t>
            </w:r>
            <w:r w:rsidR="00805AAE">
              <w:rPr>
                <w:webHidden/>
              </w:rPr>
              <w:tab/>
            </w:r>
            <w:r w:rsidR="00805AAE">
              <w:rPr>
                <w:webHidden/>
              </w:rPr>
              <w:fldChar w:fldCharType="begin"/>
            </w:r>
            <w:r w:rsidR="00805AAE">
              <w:rPr>
                <w:webHidden/>
              </w:rPr>
              <w:instrText xml:space="preserve"> PAGEREF _Toc462755053 \h </w:instrText>
            </w:r>
            <w:r w:rsidR="00805AAE">
              <w:rPr>
                <w:webHidden/>
              </w:rPr>
            </w:r>
            <w:r w:rsidR="00805AAE">
              <w:rPr>
                <w:webHidden/>
              </w:rPr>
              <w:fldChar w:fldCharType="separate"/>
            </w:r>
            <w:r w:rsidR="00805AAE">
              <w:rPr>
                <w:webHidden/>
              </w:rPr>
              <w:t>7-13</w:t>
            </w:r>
            <w:r w:rsidR="00805AAE">
              <w:rPr>
                <w:webHidden/>
              </w:rPr>
              <w:fldChar w:fldCharType="end"/>
            </w:r>
          </w:hyperlink>
        </w:p>
        <w:p w:rsidR="00805AAE" w:rsidRDefault="00BB3B89">
          <w:pPr>
            <w:pStyle w:val="TOC3"/>
            <w:rPr>
              <w:rFonts w:asciiTheme="minorHAnsi" w:eastAsiaTheme="minorEastAsia" w:hAnsiTheme="minorHAnsi"/>
              <w:lang w:eastAsia="en-AU"/>
            </w:rPr>
          </w:pPr>
          <w:hyperlink w:anchor="_Toc462755054" w:history="1">
            <w:r w:rsidR="00805AAE" w:rsidRPr="00120A3D">
              <w:rPr>
                <w:rStyle w:val="Hyperlink"/>
              </w:rPr>
              <w:t>7.4.1</w:t>
            </w:r>
            <w:r w:rsidR="00805AAE">
              <w:rPr>
                <w:rFonts w:asciiTheme="minorHAnsi" w:eastAsiaTheme="minorEastAsia" w:hAnsiTheme="minorHAnsi"/>
                <w:lang w:eastAsia="en-AU"/>
              </w:rPr>
              <w:tab/>
            </w:r>
            <w:r w:rsidR="00805AAE" w:rsidRPr="00120A3D">
              <w:rPr>
                <w:rStyle w:val="Hyperlink"/>
              </w:rPr>
              <w:t>Base opex</w:t>
            </w:r>
            <w:r w:rsidR="00805AAE">
              <w:rPr>
                <w:webHidden/>
              </w:rPr>
              <w:tab/>
            </w:r>
            <w:r w:rsidR="00805AAE">
              <w:rPr>
                <w:webHidden/>
              </w:rPr>
              <w:fldChar w:fldCharType="begin"/>
            </w:r>
            <w:r w:rsidR="00805AAE">
              <w:rPr>
                <w:webHidden/>
              </w:rPr>
              <w:instrText xml:space="preserve"> PAGEREF _Toc462755054 \h </w:instrText>
            </w:r>
            <w:r w:rsidR="00805AAE">
              <w:rPr>
                <w:webHidden/>
              </w:rPr>
            </w:r>
            <w:r w:rsidR="00805AAE">
              <w:rPr>
                <w:webHidden/>
              </w:rPr>
              <w:fldChar w:fldCharType="separate"/>
            </w:r>
            <w:r w:rsidR="00805AAE">
              <w:rPr>
                <w:webHidden/>
              </w:rPr>
              <w:t>7-14</w:t>
            </w:r>
            <w:r w:rsidR="00805AAE">
              <w:rPr>
                <w:webHidden/>
              </w:rPr>
              <w:fldChar w:fldCharType="end"/>
            </w:r>
          </w:hyperlink>
        </w:p>
        <w:p w:rsidR="00805AAE" w:rsidRDefault="00BB3B89">
          <w:pPr>
            <w:pStyle w:val="TOC3"/>
            <w:rPr>
              <w:rFonts w:asciiTheme="minorHAnsi" w:eastAsiaTheme="minorEastAsia" w:hAnsiTheme="minorHAnsi"/>
              <w:lang w:eastAsia="en-AU"/>
            </w:rPr>
          </w:pPr>
          <w:hyperlink w:anchor="_Toc462755055" w:history="1">
            <w:r w:rsidR="00805AAE" w:rsidRPr="00120A3D">
              <w:rPr>
                <w:rStyle w:val="Hyperlink"/>
              </w:rPr>
              <w:t>7.4.2</w:t>
            </w:r>
            <w:r w:rsidR="00805AAE">
              <w:rPr>
                <w:rFonts w:asciiTheme="minorHAnsi" w:eastAsiaTheme="minorEastAsia" w:hAnsiTheme="minorHAnsi"/>
                <w:lang w:eastAsia="en-AU"/>
              </w:rPr>
              <w:tab/>
            </w:r>
            <w:r w:rsidR="00805AAE" w:rsidRPr="00120A3D">
              <w:rPr>
                <w:rStyle w:val="Hyperlink"/>
              </w:rPr>
              <w:t>Rate of change</w:t>
            </w:r>
            <w:r w:rsidR="00805AAE">
              <w:rPr>
                <w:webHidden/>
              </w:rPr>
              <w:tab/>
            </w:r>
            <w:r w:rsidR="00805AAE">
              <w:rPr>
                <w:webHidden/>
              </w:rPr>
              <w:fldChar w:fldCharType="begin"/>
            </w:r>
            <w:r w:rsidR="00805AAE">
              <w:rPr>
                <w:webHidden/>
              </w:rPr>
              <w:instrText xml:space="preserve"> PAGEREF _Toc462755055 \h </w:instrText>
            </w:r>
            <w:r w:rsidR="00805AAE">
              <w:rPr>
                <w:webHidden/>
              </w:rPr>
            </w:r>
            <w:r w:rsidR="00805AAE">
              <w:rPr>
                <w:webHidden/>
              </w:rPr>
              <w:fldChar w:fldCharType="separate"/>
            </w:r>
            <w:r w:rsidR="00805AAE">
              <w:rPr>
                <w:webHidden/>
              </w:rPr>
              <w:t>7-14</w:t>
            </w:r>
            <w:r w:rsidR="00805AAE">
              <w:rPr>
                <w:webHidden/>
              </w:rPr>
              <w:fldChar w:fldCharType="end"/>
            </w:r>
          </w:hyperlink>
        </w:p>
        <w:p w:rsidR="00805AAE" w:rsidRDefault="00BB3B89">
          <w:pPr>
            <w:pStyle w:val="TOC3"/>
            <w:rPr>
              <w:rFonts w:asciiTheme="minorHAnsi" w:eastAsiaTheme="minorEastAsia" w:hAnsiTheme="minorHAnsi"/>
              <w:lang w:eastAsia="en-AU"/>
            </w:rPr>
          </w:pPr>
          <w:hyperlink w:anchor="_Toc462755056" w:history="1">
            <w:r w:rsidR="00805AAE" w:rsidRPr="00120A3D">
              <w:rPr>
                <w:rStyle w:val="Hyperlink"/>
              </w:rPr>
              <w:t>7.4.3</w:t>
            </w:r>
            <w:r w:rsidR="00805AAE">
              <w:rPr>
                <w:rFonts w:asciiTheme="minorHAnsi" w:eastAsiaTheme="minorEastAsia" w:hAnsiTheme="minorHAnsi"/>
                <w:lang w:eastAsia="en-AU"/>
              </w:rPr>
              <w:tab/>
            </w:r>
            <w:r w:rsidR="00805AAE" w:rsidRPr="00120A3D">
              <w:rPr>
                <w:rStyle w:val="Hyperlink"/>
              </w:rPr>
              <w:t>Step changes and category specific forecasts</w:t>
            </w:r>
            <w:r w:rsidR="00805AAE">
              <w:rPr>
                <w:webHidden/>
              </w:rPr>
              <w:tab/>
            </w:r>
            <w:r w:rsidR="00805AAE">
              <w:rPr>
                <w:webHidden/>
              </w:rPr>
              <w:fldChar w:fldCharType="begin"/>
            </w:r>
            <w:r w:rsidR="00805AAE">
              <w:rPr>
                <w:webHidden/>
              </w:rPr>
              <w:instrText xml:space="preserve"> PAGEREF _Toc462755056 \h </w:instrText>
            </w:r>
            <w:r w:rsidR="00805AAE">
              <w:rPr>
                <w:webHidden/>
              </w:rPr>
            </w:r>
            <w:r w:rsidR="00805AAE">
              <w:rPr>
                <w:webHidden/>
              </w:rPr>
              <w:fldChar w:fldCharType="separate"/>
            </w:r>
            <w:r w:rsidR="00805AAE">
              <w:rPr>
                <w:webHidden/>
              </w:rPr>
              <w:t>7-17</w:t>
            </w:r>
            <w:r w:rsidR="00805AAE">
              <w:rPr>
                <w:webHidden/>
              </w:rPr>
              <w:fldChar w:fldCharType="end"/>
            </w:r>
          </w:hyperlink>
        </w:p>
        <w:p w:rsidR="00805AAE" w:rsidRDefault="00BB3B89">
          <w:pPr>
            <w:pStyle w:val="TOC3"/>
            <w:rPr>
              <w:rFonts w:asciiTheme="minorHAnsi" w:eastAsiaTheme="minorEastAsia" w:hAnsiTheme="minorHAnsi"/>
              <w:lang w:eastAsia="en-AU"/>
            </w:rPr>
          </w:pPr>
          <w:hyperlink w:anchor="_Toc462755057" w:history="1">
            <w:r w:rsidR="00805AAE" w:rsidRPr="00120A3D">
              <w:rPr>
                <w:rStyle w:val="Hyperlink"/>
              </w:rPr>
              <w:t>7.4.4</w:t>
            </w:r>
            <w:r w:rsidR="00805AAE">
              <w:rPr>
                <w:rFonts w:asciiTheme="minorHAnsi" w:eastAsiaTheme="minorEastAsia" w:hAnsiTheme="minorHAnsi"/>
                <w:lang w:eastAsia="en-AU"/>
              </w:rPr>
              <w:tab/>
            </w:r>
            <w:r w:rsidR="00805AAE" w:rsidRPr="00120A3D">
              <w:rPr>
                <w:rStyle w:val="Hyperlink"/>
              </w:rPr>
              <w:t>Safety and reliability</w:t>
            </w:r>
            <w:r w:rsidR="00805AAE">
              <w:rPr>
                <w:webHidden/>
              </w:rPr>
              <w:tab/>
            </w:r>
            <w:r w:rsidR="00805AAE">
              <w:rPr>
                <w:webHidden/>
              </w:rPr>
              <w:fldChar w:fldCharType="begin"/>
            </w:r>
            <w:r w:rsidR="00805AAE">
              <w:rPr>
                <w:webHidden/>
              </w:rPr>
              <w:instrText xml:space="preserve"> PAGEREF _Toc462755057 \h </w:instrText>
            </w:r>
            <w:r w:rsidR="00805AAE">
              <w:rPr>
                <w:webHidden/>
              </w:rPr>
            </w:r>
            <w:r w:rsidR="00805AAE">
              <w:rPr>
                <w:webHidden/>
              </w:rPr>
              <w:fldChar w:fldCharType="separate"/>
            </w:r>
            <w:r w:rsidR="00805AAE">
              <w:rPr>
                <w:webHidden/>
              </w:rPr>
              <w:t>7-20</w:t>
            </w:r>
            <w:r w:rsidR="00805AAE">
              <w:rPr>
                <w:webHidden/>
              </w:rPr>
              <w:fldChar w:fldCharType="end"/>
            </w:r>
          </w:hyperlink>
        </w:p>
        <w:p w:rsidR="00805AAE" w:rsidRDefault="00BB3B89">
          <w:pPr>
            <w:pStyle w:val="TOC3"/>
            <w:rPr>
              <w:rFonts w:asciiTheme="minorHAnsi" w:eastAsiaTheme="minorEastAsia" w:hAnsiTheme="minorHAnsi"/>
              <w:lang w:eastAsia="en-AU"/>
            </w:rPr>
          </w:pPr>
          <w:hyperlink w:anchor="_Toc462755058" w:history="1">
            <w:r w:rsidR="00805AAE" w:rsidRPr="00120A3D">
              <w:rPr>
                <w:rStyle w:val="Hyperlink"/>
              </w:rPr>
              <w:t>7.4.5</w:t>
            </w:r>
            <w:r w:rsidR="00805AAE">
              <w:rPr>
                <w:rFonts w:asciiTheme="minorHAnsi" w:eastAsiaTheme="minorEastAsia" w:hAnsiTheme="minorHAnsi"/>
                <w:lang w:eastAsia="en-AU"/>
              </w:rPr>
              <w:tab/>
            </w:r>
            <w:r w:rsidR="00805AAE" w:rsidRPr="00120A3D">
              <w:rPr>
                <w:rStyle w:val="Hyperlink"/>
              </w:rPr>
              <w:t>Interrelationships</w:t>
            </w:r>
            <w:r w:rsidR="00805AAE">
              <w:rPr>
                <w:webHidden/>
              </w:rPr>
              <w:tab/>
            </w:r>
            <w:r w:rsidR="00805AAE">
              <w:rPr>
                <w:webHidden/>
              </w:rPr>
              <w:fldChar w:fldCharType="begin"/>
            </w:r>
            <w:r w:rsidR="00805AAE">
              <w:rPr>
                <w:webHidden/>
              </w:rPr>
              <w:instrText xml:space="preserve"> PAGEREF _Toc462755058 \h </w:instrText>
            </w:r>
            <w:r w:rsidR="00805AAE">
              <w:rPr>
                <w:webHidden/>
              </w:rPr>
            </w:r>
            <w:r w:rsidR="00805AAE">
              <w:rPr>
                <w:webHidden/>
              </w:rPr>
              <w:fldChar w:fldCharType="separate"/>
            </w:r>
            <w:r w:rsidR="00805AAE">
              <w:rPr>
                <w:webHidden/>
              </w:rPr>
              <w:t>7-20</w:t>
            </w:r>
            <w:r w:rsidR="00805AAE">
              <w:rPr>
                <w:webHidden/>
              </w:rPr>
              <w:fldChar w:fldCharType="end"/>
            </w:r>
          </w:hyperlink>
        </w:p>
        <w:p w:rsidR="00805AAE" w:rsidRDefault="00BB3B89">
          <w:pPr>
            <w:pStyle w:val="TOC3"/>
            <w:rPr>
              <w:rFonts w:asciiTheme="minorHAnsi" w:eastAsiaTheme="minorEastAsia" w:hAnsiTheme="minorHAnsi"/>
              <w:lang w:eastAsia="en-AU"/>
            </w:rPr>
          </w:pPr>
          <w:hyperlink w:anchor="_Toc462755059" w:history="1">
            <w:r w:rsidR="00805AAE" w:rsidRPr="00120A3D">
              <w:rPr>
                <w:rStyle w:val="Hyperlink"/>
              </w:rPr>
              <w:t>7.4.6</w:t>
            </w:r>
            <w:r w:rsidR="00805AAE">
              <w:rPr>
                <w:rFonts w:asciiTheme="minorHAnsi" w:eastAsiaTheme="minorEastAsia" w:hAnsiTheme="minorHAnsi"/>
                <w:lang w:eastAsia="en-AU"/>
              </w:rPr>
              <w:tab/>
            </w:r>
            <w:r w:rsidR="00805AAE" w:rsidRPr="00120A3D">
              <w:rPr>
                <w:rStyle w:val="Hyperlink"/>
              </w:rPr>
              <w:t>Summary of submissions on TasNetworks' opex proposal</w:t>
            </w:r>
            <w:r w:rsidR="00805AAE">
              <w:rPr>
                <w:webHidden/>
              </w:rPr>
              <w:tab/>
            </w:r>
            <w:r w:rsidR="00805AAE">
              <w:rPr>
                <w:webHidden/>
              </w:rPr>
              <w:fldChar w:fldCharType="begin"/>
            </w:r>
            <w:r w:rsidR="00805AAE">
              <w:rPr>
                <w:webHidden/>
              </w:rPr>
              <w:instrText xml:space="preserve"> PAGEREF _Toc462755059 \h </w:instrText>
            </w:r>
            <w:r w:rsidR="00805AAE">
              <w:rPr>
                <w:webHidden/>
              </w:rPr>
            </w:r>
            <w:r w:rsidR="00805AAE">
              <w:rPr>
                <w:webHidden/>
              </w:rPr>
              <w:fldChar w:fldCharType="separate"/>
            </w:r>
            <w:r w:rsidR="00805AAE">
              <w:rPr>
                <w:webHidden/>
              </w:rPr>
              <w:t>7-21</w:t>
            </w:r>
            <w:r w:rsidR="00805AAE">
              <w:rPr>
                <w:webHidden/>
              </w:rPr>
              <w:fldChar w:fldCharType="end"/>
            </w:r>
          </w:hyperlink>
        </w:p>
        <w:p w:rsidR="00805AAE" w:rsidRDefault="00BB3B89">
          <w:pPr>
            <w:pStyle w:val="TOC3"/>
            <w:rPr>
              <w:rFonts w:asciiTheme="minorHAnsi" w:eastAsiaTheme="minorEastAsia" w:hAnsiTheme="minorHAnsi"/>
              <w:lang w:eastAsia="en-AU"/>
            </w:rPr>
          </w:pPr>
          <w:hyperlink w:anchor="_Toc462755060" w:history="1">
            <w:r w:rsidR="00805AAE" w:rsidRPr="00120A3D">
              <w:rPr>
                <w:rStyle w:val="Hyperlink"/>
              </w:rPr>
              <w:t>7.4.7</w:t>
            </w:r>
            <w:r w:rsidR="00805AAE">
              <w:rPr>
                <w:rFonts w:asciiTheme="minorHAnsi" w:eastAsiaTheme="minorEastAsia" w:hAnsiTheme="minorHAnsi"/>
                <w:lang w:eastAsia="en-AU"/>
              </w:rPr>
              <w:tab/>
            </w:r>
            <w:r w:rsidR="00805AAE" w:rsidRPr="00120A3D">
              <w:rPr>
                <w:rStyle w:val="Hyperlink"/>
              </w:rPr>
              <w:t>Assessment of opex factors under the Rules</w:t>
            </w:r>
            <w:r w:rsidR="00805AAE">
              <w:rPr>
                <w:webHidden/>
              </w:rPr>
              <w:tab/>
            </w:r>
            <w:r w:rsidR="00805AAE">
              <w:rPr>
                <w:webHidden/>
              </w:rPr>
              <w:fldChar w:fldCharType="begin"/>
            </w:r>
            <w:r w:rsidR="00805AAE">
              <w:rPr>
                <w:webHidden/>
              </w:rPr>
              <w:instrText xml:space="preserve"> PAGEREF _Toc462755060 \h </w:instrText>
            </w:r>
            <w:r w:rsidR="00805AAE">
              <w:rPr>
                <w:webHidden/>
              </w:rPr>
            </w:r>
            <w:r w:rsidR="00805AAE">
              <w:rPr>
                <w:webHidden/>
              </w:rPr>
              <w:fldChar w:fldCharType="separate"/>
            </w:r>
            <w:r w:rsidR="00805AAE">
              <w:rPr>
                <w:webHidden/>
              </w:rPr>
              <w:t>7-22</w:t>
            </w:r>
            <w:r w:rsidR="00805AAE">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62755046"/>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E30BB4" w:rsidP="00E30BB4">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62755047"/>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Operating expenditure</w:t>
      </w:r>
      <w:bookmarkEnd w:id="71"/>
    </w:p>
    <w:p w:rsidR="00005A26" w:rsidRDefault="005908BA" w:rsidP="00132D43">
      <w:r w:rsidRPr="005908BA">
        <w:t>Operating expenditure (opex) refers to the operating, maintenance and other non</w:t>
      </w:r>
      <w:r w:rsidR="00005A26">
        <w:t>-</w:t>
      </w:r>
      <w:r w:rsidRPr="005908BA">
        <w:t xml:space="preserve">capital expenses incurred in the provision of network services. Forecast opex for standard control services is one of the building blocks we use to determine a service provider's </w:t>
      </w:r>
      <w:r w:rsidR="00BE01C4">
        <w:t xml:space="preserve">annual </w:t>
      </w:r>
      <w:r w:rsidRPr="005908BA">
        <w:t>total revenue requirement.</w:t>
      </w:r>
      <w:r w:rsidR="00E10075">
        <w:t xml:space="preserve"> </w:t>
      </w:r>
    </w:p>
    <w:p w:rsidR="00132D43" w:rsidRDefault="00E10075" w:rsidP="00132D43">
      <w:r w:rsidRPr="00865DDD">
        <w:rPr>
          <w:rStyle w:val="AERbody"/>
        </w:rPr>
        <w:t xml:space="preserve">This attachment </w:t>
      </w:r>
      <w:r>
        <w:rPr>
          <w:rStyle w:val="AERbody"/>
        </w:rPr>
        <w:t>outlines</w:t>
      </w:r>
      <w:r w:rsidRPr="00865DDD">
        <w:rPr>
          <w:rStyle w:val="AERbody"/>
        </w:rPr>
        <w:t xml:space="preserve"> our assessment of </w:t>
      </w:r>
      <w:r w:rsidR="001545A0">
        <w:t>TasNetworks' proposed opex forecast</w:t>
      </w:r>
      <w:r w:rsidR="001545A0" w:rsidRPr="00865DDD">
        <w:rPr>
          <w:rStyle w:val="AERbody"/>
        </w:rPr>
        <w:t xml:space="preserve"> </w:t>
      </w:r>
      <w:r w:rsidR="009523F1">
        <w:rPr>
          <w:rStyle w:val="AERbody"/>
        </w:rPr>
        <w:t>for the 2017–19 regulatory period</w:t>
      </w:r>
      <w:r w:rsidRPr="00865DDD">
        <w:rPr>
          <w:rStyle w:val="AERbody"/>
        </w:rPr>
        <w:t>.</w:t>
      </w:r>
    </w:p>
    <w:p w:rsidR="00132D43" w:rsidRDefault="00132D43" w:rsidP="00132D43">
      <w:pPr>
        <w:pStyle w:val="Heading2"/>
      </w:pPr>
      <w:bookmarkStart w:id="72" w:name="_Toc462755048"/>
      <w:r>
        <w:t>Draft decision</w:t>
      </w:r>
      <w:bookmarkEnd w:id="72"/>
    </w:p>
    <w:p w:rsidR="002A0CBA" w:rsidRPr="002A0CBA" w:rsidRDefault="002A0CBA" w:rsidP="002A0CBA">
      <w:r w:rsidRPr="002A0CBA">
        <w:t xml:space="preserve">Our draft decision is to accept TasNetworks' </w:t>
      </w:r>
      <w:r w:rsidR="001E1259">
        <w:t>opex forecast of $123.1 million </w:t>
      </w:r>
      <w:r w:rsidR="001E1259">
        <w:br/>
      </w:r>
      <w:r w:rsidRPr="002A0CBA">
        <w:t>($2016–17) over the 2017</w:t>
      </w:r>
      <w:r>
        <w:t>–</w:t>
      </w:r>
      <w:r w:rsidRPr="002A0CBA">
        <w:t>19 regulatory period.</w:t>
      </w:r>
      <w:r w:rsidR="0000789A">
        <w:t xml:space="preserve"> TasNetworks' </w:t>
      </w:r>
      <w:r w:rsidR="0000789A" w:rsidRPr="00575880">
        <w:t xml:space="preserve">proposal </w:t>
      </w:r>
      <w:r w:rsidR="001C3994">
        <w:t xml:space="preserve">is </w:t>
      </w:r>
      <w:r w:rsidR="00E10172">
        <w:t>14</w:t>
      </w:r>
      <w:r w:rsidR="008105F1">
        <w:t>.5</w:t>
      </w:r>
      <w:r w:rsidR="001C3994">
        <w:t> </w:t>
      </w:r>
      <w:r w:rsidR="0000789A" w:rsidRPr="00575880">
        <w:t>per</w:t>
      </w:r>
      <w:r w:rsidR="001C3994">
        <w:t> </w:t>
      </w:r>
      <w:r w:rsidR="0000789A" w:rsidRPr="00575880">
        <w:t xml:space="preserve">cent </w:t>
      </w:r>
      <w:r w:rsidR="001C3994">
        <w:t>lower</w:t>
      </w:r>
      <w:r w:rsidR="0000789A" w:rsidRPr="00575880">
        <w:t xml:space="preserve"> </w:t>
      </w:r>
      <w:r w:rsidR="0000789A">
        <w:t>(in real terms)</w:t>
      </w:r>
      <w:r w:rsidR="00E10172">
        <w:rPr>
          <w:rStyle w:val="FootnoteReference"/>
        </w:rPr>
        <w:footnoteReference w:id="1"/>
      </w:r>
      <w:r w:rsidR="0000789A">
        <w:t xml:space="preserve"> </w:t>
      </w:r>
      <w:r w:rsidR="001C3994">
        <w:t xml:space="preserve">than </w:t>
      </w:r>
      <w:r w:rsidR="0000789A" w:rsidRPr="00575880">
        <w:t xml:space="preserve">its annual opex spend </w:t>
      </w:r>
      <w:r w:rsidR="00D06284">
        <w:t>over</w:t>
      </w:r>
      <w:r w:rsidR="0000789A" w:rsidRPr="00575880">
        <w:t xml:space="preserve"> 201</w:t>
      </w:r>
      <w:r w:rsidR="0000789A">
        <w:t>2</w:t>
      </w:r>
      <w:r w:rsidR="0000789A" w:rsidRPr="00575880">
        <w:t xml:space="preserve">–17 </w:t>
      </w:r>
      <w:r w:rsidR="0000789A">
        <w:t>(section 7.2)</w:t>
      </w:r>
      <w:r w:rsidR="0000789A" w:rsidRPr="00575880">
        <w:t>.</w:t>
      </w:r>
      <w:r w:rsidR="0000789A">
        <w:t xml:space="preserve"> </w:t>
      </w:r>
      <w:r w:rsidR="0000789A" w:rsidRPr="002A0CBA">
        <w:t>Stakeholder submissions were broadly supportive of TasNetworks</w:t>
      </w:r>
      <w:r w:rsidR="006C5071">
        <w:t>'</w:t>
      </w:r>
      <w:r w:rsidR="0000789A" w:rsidRPr="002A0CBA">
        <w:t xml:space="preserve"> proposal</w:t>
      </w:r>
      <w:r w:rsidR="0000789A">
        <w:t xml:space="preserve"> (section 7.2.1)</w:t>
      </w:r>
      <w:r w:rsidR="0000789A" w:rsidRPr="002A0CBA">
        <w:t>.</w:t>
      </w:r>
    </w:p>
    <w:p w:rsidR="0000789A" w:rsidRDefault="0000789A" w:rsidP="002A0CBA">
      <w:r>
        <w:t>We developed an alternative estimate of efficient costs to assess TasNetworks</w:t>
      </w:r>
      <w:r w:rsidR="001C3994">
        <w:t>'</w:t>
      </w:r>
      <w:r>
        <w:t xml:space="preserve"> proposal</w:t>
      </w:r>
      <w:r w:rsidR="001C3994">
        <w:t>. We used our standard 'base-step-trend' approach (section 7.3).</w:t>
      </w:r>
      <w:r w:rsidR="001C3994">
        <w:rPr>
          <w:rStyle w:val="FootnoteReference"/>
        </w:rPr>
        <w:footnoteReference w:id="2"/>
      </w:r>
      <w:r w:rsidR="001C3994">
        <w:t xml:space="preserve"> This is a </w:t>
      </w:r>
      <w:r w:rsidR="006B212D">
        <w:t>'</w:t>
      </w:r>
      <w:r w:rsidR="001C3994">
        <w:t>top-down model</w:t>
      </w:r>
      <w:r w:rsidR="006B212D">
        <w:t>'</w:t>
      </w:r>
      <w:r w:rsidR="001C3994">
        <w:t xml:space="preserve"> that allows us to leave the day-to-day decisions to the business—and is consistent with an economic, incentive-based regulatory framework.</w:t>
      </w:r>
    </w:p>
    <w:p w:rsidR="0037165D" w:rsidRDefault="0037165D" w:rsidP="002A0CBA">
      <w:r w:rsidRPr="002A0CBA">
        <w:t>Our benchmarking results indicate TasNetworks is operating efficiently</w:t>
      </w:r>
      <w:r w:rsidR="00BE01C4">
        <w:t xml:space="preserve"> relative to other businesses in the </w:t>
      </w:r>
      <w:r w:rsidR="00A76820" w:rsidRPr="00A76820">
        <w:t xml:space="preserve">National Electricity Market </w:t>
      </w:r>
      <w:r w:rsidR="00A76820">
        <w:t>(</w:t>
      </w:r>
      <w:r w:rsidR="00BE01C4">
        <w:t>NEM</w:t>
      </w:r>
      <w:r w:rsidR="00A76820">
        <w:t>)</w:t>
      </w:r>
      <w:r w:rsidRPr="002A0CBA">
        <w:t xml:space="preserve">. </w:t>
      </w:r>
      <w:r>
        <w:t xml:space="preserve">We therefore </w:t>
      </w:r>
      <w:r w:rsidRPr="002A0CBA">
        <w:t>use</w:t>
      </w:r>
      <w:r>
        <w:t>d</w:t>
      </w:r>
      <w:r w:rsidRPr="002A0CBA">
        <w:t xml:space="preserve"> </w:t>
      </w:r>
      <w:r w:rsidR="0019118F">
        <w:t>its</w:t>
      </w:r>
      <w:r w:rsidRPr="002A0CBA">
        <w:t xml:space="preserve"> past </w:t>
      </w:r>
      <w:r>
        <w:t xml:space="preserve">(actual) </w:t>
      </w:r>
      <w:r w:rsidRPr="002A0CBA">
        <w:t>costs as the starting point for our forecast</w:t>
      </w:r>
      <w:r>
        <w:t xml:space="preserve"> (as proposed by TasNetworks)</w:t>
      </w:r>
      <w:r w:rsidR="0019118F">
        <w:t xml:space="preserve">. We then </w:t>
      </w:r>
      <w:r w:rsidR="0019118F" w:rsidRPr="00701CC6">
        <w:t xml:space="preserve">forecast growth in prices, output and productivity </w:t>
      </w:r>
      <w:r w:rsidR="0019118F">
        <w:t>using our standard approach</w:t>
      </w:r>
      <w:r w:rsidR="00BE01C4">
        <w:t xml:space="preserve"> in accordance with our Guideline</w:t>
      </w:r>
      <w:r w:rsidR="00090124">
        <w:t xml:space="preserve"> (section 7.4)</w:t>
      </w:r>
      <w:r w:rsidR="0019118F">
        <w:t>.</w:t>
      </w:r>
      <w:r w:rsidR="00BE01C4">
        <w:rPr>
          <w:rStyle w:val="FootnoteReference"/>
        </w:rPr>
        <w:footnoteReference w:id="3"/>
      </w:r>
    </w:p>
    <w:p w:rsidR="0019118F" w:rsidRDefault="0019118F" w:rsidP="0037165D">
      <w:r>
        <w:t>Our alternative estimate of forecast total opex is $</w:t>
      </w:r>
      <w:r w:rsidR="00451A41">
        <w:t>140.6</w:t>
      </w:r>
      <w:r>
        <w:t> million ($2016–17).</w:t>
      </w:r>
      <w:r>
        <w:rPr>
          <w:rStyle w:val="FootnoteReference"/>
        </w:rPr>
        <w:footnoteReference w:id="4"/>
      </w:r>
      <w:r>
        <w:t xml:space="preserve"> This is $</w:t>
      </w:r>
      <w:r w:rsidR="00451A41">
        <w:t>17.5</w:t>
      </w:r>
      <w:r>
        <w:t> million higher than TasNetworks' proposal.</w:t>
      </w:r>
    </w:p>
    <w:p w:rsidR="006A5012" w:rsidRDefault="0037165D" w:rsidP="0037165D">
      <w:r w:rsidRPr="0037165D">
        <w:t xml:space="preserve">The key difference between our estimate and </w:t>
      </w:r>
      <w:r>
        <w:t xml:space="preserve">TasNetworks' </w:t>
      </w:r>
      <w:r w:rsidRPr="0037165D">
        <w:t>forecast is</w:t>
      </w:r>
      <w:r w:rsidR="006A5012">
        <w:t>:</w:t>
      </w:r>
      <w:r w:rsidRPr="0037165D">
        <w:t xml:space="preserve"> </w:t>
      </w:r>
    </w:p>
    <w:p w:rsidR="006A5012" w:rsidRDefault="008072FC" w:rsidP="001D2EC0">
      <w:pPr>
        <w:pStyle w:val="AERbulletlistfirststyle"/>
      </w:pPr>
      <w:r>
        <w:t>d</w:t>
      </w:r>
      <w:r w:rsidR="006A5012">
        <w:t>ifferent approach</w:t>
      </w:r>
      <w:r>
        <w:t>es</w:t>
      </w:r>
      <w:r w:rsidR="006A5012">
        <w:t xml:space="preserve"> to calculating the </w:t>
      </w:r>
      <w:r w:rsidR="00691944">
        <w:t>change</w:t>
      </w:r>
      <w:r>
        <w:t xml:space="preserve"> in opex </w:t>
      </w:r>
      <w:r w:rsidR="00691944">
        <w:t>between</w:t>
      </w:r>
      <w:r w:rsidR="006A5012">
        <w:t xml:space="preserve"> the base year</w:t>
      </w:r>
      <w:r w:rsidR="00691944">
        <w:t xml:space="preserve"> (2014–15) and the final year of the current regulatory control period (2016–17)</w:t>
      </w:r>
      <w:r w:rsidR="006A5012">
        <w:t>. This is discussed furth</w:t>
      </w:r>
      <w:r w:rsidR="00166855">
        <w:t>er</w:t>
      </w:r>
      <w:r w:rsidR="006A5012">
        <w:t xml:space="preserve"> in section </w:t>
      </w:r>
      <w:r w:rsidR="007A01D2">
        <w:t>7.2</w:t>
      </w:r>
      <w:r w:rsidR="006A5012">
        <w:t xml:space="preserve">. </w:t>
      </w:r>
    </w:p>
    <w:p w:rsidR="008C2B31" w:rsidRPr="002A0CBA" w:rsidRDefault="0037165D" w:rsidP="001D2EC0">
      <w:pPr>
        <w:pStyle w:val="AERbulletlistfirststyle"/>
      </w:pPr>
      <w:r w:rsidRPr="0037165D">
        <w:t xml:space="preserve">different assumptions about productivity growth over </w:t>
      </w:r>
      <w:r>
        <w:t>2017–19</w:t>
      </w:r>
      <w:r w:rsidRPr="0037165D">
        <w:t xml:space="preserve">. </w:t>
      </w:r>
      <w:r>
        <w:t>TasNetworks</w:t>
      </w:r>
      <w:r w:rsidRPr="0037165D">
        <w:t xml:space="preserve"> forecast higher productivity growth </w:t>
      </w:r>
      <w:r w:rsidR="003C0D82">
        <w:t xml:space="preserve">of 2.2 per cent </w:t>
      </w:r>
      <w:r>
        <w:t>compared to our estimate</w:t>
      </w:r>
      <w:r w:rsidR="003C0D82">
        <w:t xml:space="preserve"> of zero productivity growth</w:t>
      </w:r>
      <w:r w:rsidRPr="0037165D">
        <w:t xml:space="preserve">. </w:t>
      </w:r>
      <w:r w:rsidR="0019118F">
        <w:t xml:space="preserve">TasNetworks expects the merger of the transmission and </w:t>
      </w:r>
      <w:r w:rsidR="0019118F">
        <w:lastRenderedPageBreak/>
        <w:t>distribution networks in Tasmania to deliver further costs savings over 2017–19.</w:t>
      </w:r>
      <w:r w:rsidR="00322BA6">
        <w:t xml:space="preserve"> This is discussed further in section 7.4.2. </w:t>
      </w:r>
    </w:p>
    <w:p w:rsidR="00132D43" w:rsidRDefault="004523B2" w:rsidP="00132D43">
      <w:pPr>
        <w:pStyle w:val="Heading2"/>
      </w:pPr>
      <w:bookmarkStart w:id="73" w:name="_Toc462755049"/>
      <w:r>
        <w:t>TasNetworks'</w:t>
      </w:r>
      <w:r w:rsidR="00132D43">
        <w:t xml:space="preserve"> proposal</w:t>
      </w:r>
      <w:bookmarkEnd w:id="73"/>
    </w:p>
    <w:p w:rsidR="00575880" w:rsidRDefault="00575880" w:rsidP="00575880">
      <w:r>
        <w:t xml:space="preserve">TasNetworks </w:t>
      </w:r>
      <w:r w:rsidRPr="00575880">
        <w:t>propose</w:t>
      </w:r>
      <w:r w:rsidR="006C5071">
        <w:t>s</w:t>
      </w:r>
      <w:r w:rsidRPr="00575880">
        <w:t xml:space="preserve"> total opex of $</w:t>
      </w:r>
      <w:r w:rsidR="00BC2933">
        <w:t>120.9</w:t>
      </w:r>
      <w:r w:rsidRPr="00575880">
        <w:t xml:space="preserve"> million ($2016–17) for the 2017–</w:t>
      </w:r>
      <w:r>
        <w:t>19</w:t>
      </w:r>
      <w:r w:rsidRPr="00575880">
        <w:t xml:space="preserve"> regulatory control perio</w:t>
      </w:r>
      <w:r w:rsidR="00497F18">
        <w:t>d (excluding debt raising costs</w:t>
      </w:r>
      <w:r w:rsidRPr="00575880">
        <w:t xml:space="preserve"> totalling $</w:t>
      </w:r>
      <w:r w:rsidR="002A5633">
        <w:t>2.2</w:t>
      </w:r>
      <w:r w:rsidRPr="00575880">
        <w:t xml:space="preserve"> million). </w:t>
      </w:r>
      <w:r w:rsidR="002A5633">
        <w:t xml:space="preserve">TasNetworks' </w:t>
      </w:r>
      <w:r w:rsidRPr="00575880">
        <w:t xml:space="preserve">proposed total opex </w:t>
      </w:r>
      <w:r w:rsidR="002A5633">
        <w:t xml:space="preserve">forecast is set out in </w:t>
      </w:r>
      <w:r w:rsidR="002A5633">
        <w:fldChar w:fldCharType="begin"/>
      </w:r>
      <w:r w:rsidR="002A5633">
        <w:instrText xml:space="preserve"> REF _Ref455577640 \h </w:instrText>
      </w:r>
      <w:r w:rsidR="002A5633">
        <w:fldChar w:fldCharType="separate"/>
      </w:r>
      <w:r w:rsidR="00805AAE">
        <w:t xml:space="preserve">Table </w:t>
      </w:r>
      <w:r w:rsidR="00805AAE">
        <w:rPr>
          <w:noProof/>
        </w:rPr>
        <w:t>7</w:t>
      </w:r>
      <w:r w:rsidR="00805AAE">
        <w:t>.</w:t>
      </w:r>
      <w:r w:rsidR="00805AAE">
        <w:rPr>
          <w:noProof/>
        </w:rPr>
        <w:t>1</w:t>
      </w:r>
      <w:r w:rsidR="002A5633">
        <w:fldChar w:fldCharType="end"/>
      </w:r>
      <w:r w:rsidRPr="00575880">
        <w:t>.</w:t>
      </w:r>
    </w:p>
    <w:p w:rsidR="002A5633" w:rsidRDefault="002A5633" w:rsidP="00557C4A">
      <w:pPr>
        <w:pStyle w:val="Caption"/>
      </w:pPr>
      <w:bookmarkStart w:id="74" w:name="_Ref455577640"/>
      <w:r>
        <w:t xml:space="preserve">Table </w:t>
      </w:r>
      <w:fldSimple w:instr=" STYLEREF 1 \s ">
        <w:r w:rsidR="00805AAE">
          <w:rPr>
            <w:noProof/>
          </w:rPr>
          <w:t>7</w:t>
        </w:r>
      </w:fldSimple>
      <w:r w:rsidR="00E32B25">
        <w:t>.</w:t>
      </w:r>
      <w:fldSimple w:instr=" SEQ Table \* ARABIC \s 1 ">
        <w:r w:rsidR="00805AAE">
          <w:rPr>
            <w:noProof/>
          </w:rPr>
          <w:t>1</w:t>
        </w:r>
      </w:fldSimple>
      <w:bookmarkEnd w:id="74"/>
      <w:r>
        <w:tab/>
      </w:r>
      <w:r w:rsidR="00887C90">
        <w:t>TasNetworks' p</w:t>
      </w:r>
      <w:r w:rsidRPr="002A5633">
        <w:t>roposed opex ($million, 2016–17)</w:t>
      </w:r>
    </w:p>
    <w:tbl>
      <w:tblPr>
        <w:tblStyle w:val="AERtable-numbers"/>
        <w:tblW w:w="0" w:type="auto"/>
        <w:tblLook w:val="04A0" w:firstRow="1" w:lastRow="0" w:firstColumn="1" w:lastColumn="0" w:noHBand="0" w:noVBand="1"/>
      </w:tblPr>
      <w:tblGrid>
        <w:gridCol w:w="3652"/>
        <w:gridCol w:w="1680"/>
        <w:gridCol w:w="1680"/>
        <w:gridCol w:w="1681"/>
      </w:tblGrid>
      <w:tr w:rsidR="006C7C4A" w:rsidRPr="00B1577E" w:rsidTr="001D2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C7C4A" w:rsidRPr="00B1577E" w:rsidRDefault="006C7C4A" w:rsidP="005269FB"/>
        </w:tc>
        <w:tc>
          <w:tcPr>
            <w:tcW w:w="1680" w:type="dxa"/>
          </w:tcPr>
          <w:p w:rsidR="006C7C4A" w:rsidRPr="00B1577E" w:rsidRDefault="006C7C4A" w:rsidP="002A5633">
            <w:pPr>
              <w:cnfStyle w:val="100000000000" w:firstRow="1" w:lastRow="0" w:firstColumn="0" w:lastColumn="0" w:oddVBand="0" w:evenVBand="0" w:oddHBand="0" w:evenHBand="0" w:firstRowFirstColumn="0" w:firstRowLastColumn="0" w:lastRowFirstColumn="0" w:lastRowLastColumn="0"/>
            </w:pPr>
            <w:r w:rsidRPr="00B1577E">
              <w:t>2017</w:t>
            </w:r>
            <w:r>
              <w:t>–</w:t>
            </w:r>
            <w:r w:rsidRPr="00B1577E">
              <w:t>18</w:t>
            </w:r>
          </w:p>
        </w:tc>
        <w:tc>
          <w:tcPr>
            <w:tcW w:w="1680" w:type="dxa"/>
          </w:tcPr>
          <w:p w:rsidR="006C7C4A" w:rsidRPr="00B1577E" w:rsidRDefault="006C7C4A" w:rsidP="002A5633">
            <w:pPr>
              <w:cnfStyle w:val="100000000000" w:firstRow="1" w:lastRow="0" w:firstColumn="0" w:lastColumn="0" w:oddVBand="0" w:evenVBand="0" w:oddHBand="0" w:evenHBand="0" w:firstRowFirstColumn="0" w:firstRowLastColumn="0" w:lastRowFirstColumn="0" w:lastRowLastColumn="0"/>
            </w:pPr>
            <w:r w:rsidRPr="00B1577E">
              <w:t>2018</w:t>
            </w:r>
            <w:r>
              <w:t>–</w:t>
            </w:r>
            <w:r w:rsidRPr="00B1577E">
              <w:t>19</w:t>
            </w:r>
          </w:p>
        </w:tc>
        <w:tc>
          <w:tcPr>
            <w:tcW w:w="1681" w:type="dxa"/>
          </w:tcPr>
          <w:p w:rsidR="006C7C4A" w:rsidRPr="00B1577E" w:rsidRDefault="006C7C4A" w:rsidP="002A5633">
            <w:pPr>
              <w:cnfStyle w:val="100000000000" w:firstRow="1" w:lastRow="0" w:firstColumn="0" w:lastColumn="0" w:oddVBand="0" w:evenVBand="0" w:oddHBand="0" w:evenHBand="0" w:firstRowFirstColumn="0" w:firstRowLastColumn="0" w:lastRowFirstColumn="0" w:lastRowLastColumn="0"/>
            </w:pPr>
            <w:r>
              <w:t>Total</w:t>
            </w:r>
          </w:p>
        </w:tc>
      </w:tr>
      <w:tr w:rsidR="006C7C4A" w:rsidRPr="00B1577E" w:rsidTr="001D2EC0">
        <w:tc>
          <w:tcPr>
            <w:cnfStyle w:val="001000000000" w:firstRow="0" w:lastRow="0" w:firstColumn="1" w:lastColumn="0" w:oddVBand="0" w:evenVBand="0" w:oddHBand="0" w:evenHBand="0" w:firstRowFirstColumn="0" w:firstRowLastColumn="0" w:lastRowFirstColumn="0" w:lastRowLastColumn="0"/>
            <w:tcW w:w="3652" w:type="dxa"/>
          </w:tcPr>
          <w:p w:rsidR="006C7C4A" w:rsidRPr="00B1577E" w:rsidRDefault="006C7C4A" w:rsidP="005269FB">
            <w:r w:rsidRPr="00B1577E">
              <w:t>Total opex ex</w:t>
            </w:r>
            <w:r>
              <w:t>cluding</w:t>
            </w:r>
            <w:r w:rsidRPr="00B1577E">
              <w:t xml:space="preserve"> debt raising costs</w:t>
            </w:r>
          </w:p>
        </w:tc>
        <w:tc>
          <w:tcPr>
            <w:tcW w:w="1680" w:type="dxa"/>
          </w:tcPr>
          <w:p w:rsidR="006C7C4A" w:rsidRPr="00B1577E" w:rsidRDefault="006C7C4A" w:rsidP="005269FB">
            <w:pPr>
              <w:cnfStyle w:val="000000000000" w:firstRow="0" w:lastRow="0" w:firstColumn="0" w:lastColumn="0" w:oddVBand="0" w:evenVBand="0" w:oddHBand="0" w:evenHBand="0" w:firstRowFirstColumn="0" w:firstRowLastColumn="0" w:lastRowFirstColumn="0" w:lastRowLastColumn="0"/>
            </w:pPr>
            <w:r w:rsidRPr="00B1577E">
              <w:t xml:space="preserve">61.2 </w:t>
            </w:r>
          </w:p>
        </w:tc>
        <w:tc>
          <w:tcPr>
            <w:tcW w:w="1680" w:type="dxa"/>
          </w:tcPr>
          <w:p w:rsidR="006C7C4A" w:rsidRPr="00B1577E" w:rsidRDefault="006C7C4A" w:rsidP="005269FB">
            <w:pPr>
              <w:cnfStyle w:val="000000000000" w:firstRow="0" w:lastRow="0" w:firstColumn="0" w:lastColumn="0" w:oddVBand="0" w:evenVBand="0" w:oddHBand="0" w:evenHBand="0" w:firstRowFirstColumn="0" w:firstRowLastColumn="0" w:lastRowFirstColumn="0" w:lastRowLastColumn="0"/>
            </w:pPr>
            <w:r w:rsidRPr="00B1577E">
              <w:t>59.7</w:t>
            </w:r>
          </w:p>
        </w:tc>
        <w:tc>
          <w:tcPr>
            <w:tcW w:w="1681" w:type="dxa"/>
          </w:tcPr>
          <w:p w:rsidR="006C7C4A" w:rsidRPr="00B1577E" w:rsidRDefault="00C35853" w:rsidP="005269FB">
            <w:pPr>
              <w:cnfStyle w:val="000000000000" w:firstRow="0" w:lastRow="0" w:firstColumn="0" w:lastColumn="0" w:oddVBand="0" w:evenVBand="0" w:oddHBand="0" w:evenHBand="0" w:firstRowFirstColumn="0" w:firstRowLastColumn="0" w:lastRowFirstColumn="0" w:lastRowLastColumn="0"/>
            </w:pPr>
            <w:r>
              <w:t>120.9</w:t>
            </w:r>
          </w:p>
        </w:tc>
      </w:tr>
      <w:tr w:rsidR="006C7C4A" w:rsidRPr="00B1577E" w:rsidTr="001D2E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C7C4A" w:rsidRPr="002A5633" w:rsidRDefault="006C7C4A" w:rsidP="002A5633">
            <w:r w:rsidRPr="002A5633">
              <w:t>Debt raising costs</w:t>
            </w:r>
          </w:p>
        </w:tc>
        <w:tc>
          <w:tcPr>
            <w:tcW w:w="1680" w:type="dxa"/>
            <w:vAlign w:val="top"/>
          </w:tcPr>
          <w:p w:rsidR="006C7C4A" w:rsidRPr="002A5633" w:rsidRDefault="006C7C4A" w:rsidP="002A5633">
            <w:pPr>
              <w:cnfStyle w:val="000000010000" w:firstRow="0" w:lastRow="0" w:firstColumn="0" w:lastColumn="0" w:oddVBand="0" w:evenVBand="0" w:oddHBand="0" w:evenHBand="1" w:firstRowFirstColumn="0" w:firstRowLastColumn="0" w:lastRowFirstColumn="0" w:lastRowLastColumn="0"/>
            </w:pPr>
            <w:r w:rsidRPr="002A5633">
              <w:t>1.1</w:t>
            </w:r>
          </w:p>
        </w:tc>
        <w:tc>
          <w:tcPr>
            <w:tcW w:w="1680" w:type="dxa"/>
            <w:vAlign w:val="top"/>
          </w:tcPr>
          <w:p w:rsidR="006C7C4A" w:rsidRPr="002A5633" w:rsidRDefault="006C7C4A" w:rsidP="002A5633">
            <w:pPr>
              <w:cnfStyle w:val="000000010000" w:firstRow="0" w:lastRow="0" w:firstColumn="0" w:lastColumn="0" w:oddVBand="0" w:evenVBand="0" w:oddHBand="0" w:evenHBand="1" w:firstRowFirstColumn="0" w:firstRowLastColumn="0" w:lastRowFirstColumn="0" w:lastRowLastColumn="0"/>
            </w:pPr>
            <w:r w:rsidRPr="002A5633">
              <w:t>1.1</w:t>
            </w:r>
          </w:p>
        </w:tc>
        <w:tc>
          <w:tcPr>
            <w:tcW w:w="1681" w:type="dxa"/>
          </w:tcPr>
          <w:p w:rsidR="006C7C4A" w:rsidRPr="002A5633" w:rsidRDefault="00C35853" w:rsidP="002A5633">
            <w:pPr>
              <w:cnfStyle w:val="000000010000" w:firstRow="0" w:lastRow="0" w:firstColumn="0" w:lastColumn="0" w:oddVBand="0" w:evenVBand="0" w:oddHBand="0" w:evenHBand="1" w:firstRowFirstColumn="0" w:firstRowLastColumn="0" w:lastRowFirstColumn="0" w:lastRowLastColumn="0"/>
            </w:pPr>
            <w:r>
              <w:t>2.2</w:t>
            </w:r>
          </w:p>
        </w:tc>
      </w:tr>
      <w:tr w:rsidR="006C7C4A" w:rsidRPr="002A5633" w:rsidTr="001D2EC0">
        <w:tc>
          <w:tcPr>
            <w:cnfStyle w:val="001000000000" w:firstRow="0" w:lastRow="0" w:firstColumn="1" w:lastColumn="0" w:oddVBand="0" w:evenVBand="0" w:oddHBand="0" w:evenHBand="0" w:firstRowFirstColumn="0" w:firstRowLastColumn="0" w:lastRowFirstColumn="0" w:lastRowLastColumn="0"/>
            <w:tcW w:w="3652" w:type="dxa"/>
          </w:tcPr>
          <w:p w:rsidR="006C7C4A" w:rsidRPr="002A5633" w:rsidRDefault="006C7C4A" w:rsidP="002A5633">
            <w:pPr>
              <w:rPr>
                <w:rStyle w:val="Strong"/>
              </w:rPr>
            </w:pPr>
            <w:r w:rsidRPr="002A5633">
              <w:rPr>
                <w:rStyle w:val="Strong"/>
              </w:rPr>
              <w:t>Total opex</w:t>
            </w:r>
          </w:p>
        </w:tc>
        <w:tc>
          <w:tcPr>
            <w:tcW w:w="1680" w:type="dxa"/>
            <w:vAlign w:val="top"/>
          </w:tcPr>
          <w:p w:rsidR="006C7C4A" w:rsidRPr="002A5633" w:rsidRDefault="006C7C4A" w:rsidP="002A5633">
            <w:pPr>
              <w:cnfStyle w:val="000000000000" w:firstRow="0" w:lastRow="0" w:firstColumn="0" w:lastColumn="0" w:oddVBand="0" w:evenVBand="0" w:oddHBand="0" w:evenHBand="0" w:firstRowFirstColumn="0" w:firstRowLastColumn="0" w:lastRowFirstColumn="0" w:lastRowLastColumn="0"/>
              <w:rPr>
                <w:rStyle w:val="Strong"/>
              </w:rPr>
            </w:pPr>
            <w:r w:rsidRPr="002A5633">
              <w:t xml:space="preserve">62.3 </w:t>
            </w:r>
          </w:p>
        </w:tc>
        <w:tc>
          <w:tcPr>
            <w:tcW w:w="1680" w:type="dxa"/>
            <w:vAlign w:val="top"/>
          </w:tcPr>
          <w:p w:rsidR="006C7C4A" w:rsidRPr="002A5633" w:rsidRDefault="006C7C4A" w:rsidP="002A5633">
            <w:pPr>
              <w:cnfStyle w:val="000000000000" w:firstRow="0" w:lastRow="0" w:firstColumn="0" w:lastColumn="0" w:oddVBand="0" w:evenVBand="0" w:oddHBand="0" w:evenHBand="0" w:firstRowFirstColumn="0" w:firstRowLastColumn="0" w:lastRowFirstColumn="0" w:lastRowLastColumn="0"/>
              <w:rPr>
                <w:rStyle w:val="Strong"/>
              </w:rPr>
            </w:pPr>
            <w:r w:rsidRPr="002A5633">
              <w:t xml:space="preserve">60.8 </w:t>
            </w:r>
          </w:p>
        </w:tc>
        <w:tc>
          <w:tcPr>
            <w:tcW w:w="1681" w:type="dxa"/>
          </w:tcPr>
          <w:p w:rsidR="006C7C4A" w:rsidRPr="002A5633" w:rsidRDefault="00C35853" w:rsidP="002A5633">
            <w:pPr>
              <w:cnfStyle w:val="000000000000" w:firstRow="0" w:lastRow="0" w:firstColumn="0" w:lastColumn="0" w:oddVBand="0" w:evenVBand="0" w:oddHBand="0" w:evenHBand="0" w:firstRowFirstColumn="0" w:firstRowLastColumn="0" w:lastRowFirstColumn="0" w:lastRowLastColumn="0"/>
            </w:pPr>
            <w:r>
              <w:t>123.1</w:t>
            </w:r>
          </w:p>
        </w:tc>
      </w:tr>
    </w:tbl>
    <w:p w:rsidR="002A5633" w:rsidRDefault="00301482" w:rsidP="00301482">
      <w:pPr>
        <w:pStyle w:val="AERtablesource"/>
      </w:pPr>
      <w:r>
        <w:t>Source:</w:t>
      </w:r>
      <w:r>
        <w:tab/>
      </w:r>
      <w:r w:rsidR="00887C90">
        <w:t xml:space="preserve">TasNetworks, </w:t>
      </w:r>
      <w:r w:rsidR="00887C90" w:rsidRPr="00396414">
        <w:rPr>
          <w:rStyle w:val="AERtextitalic"/>
        </w:rPr>
        <w:t>Regulatory proposal</w:t>
      </w:r>
      <w:r w:rsidR="00887C90">
        <w:t>, 29 January 2016, opex model.</w:t>
      </w:r>
    </w:p>
    <w:p w:rsidR="000A6BC5" w:rsidRPr="00F63826" w:rsidRDefault="000A6BC5" w:rsidP="000A6BC5">
      <w:r w:rsidRPr="00F63826">
        <w:t>TasNetworks was established</w:t>
      </w:r>
      <w:r w:rsidR="009523F1">
        <w:t xml:space="preserve"> in 2014</w:t>
      </w:r>
      <w:r w:rsidRPr="00F63826">
        <w:t xml:space="preserve"> with </w:t>
      </w:r>
      <w:r>
        <w:t>the</w:t>
      </w:r>
      <w:r w:rsidRPr="00F63826">
        <w:t xml:space="preserve"> merger of the electricity transmission and distribution networks previously owned and operated by Transend Networks and Aurora Energy, respectively</w:t>
      </w:r>
      <w:r>
        <w:t xml:space="preserve">. </w:t>
      </w:r>
      <w:r w:rsidRPr="00F63826">
        <w:t xml:space="preserve">TasNetworks </w:t>
      </w:r>
      <w:r w:rsidR="00124DAF">
        <w:t>submitted</w:t>
      </w:r>
      <w:r w:rsidRPr="00F63826">
        <w:t xml:space="preserve"> </w:t>
      </w:r>
      <w:r>
        <w:t>the</w:t>
      </w:r>
      <w:r w:rsidRPr="00F63826">
        <w:t xml:space="preserve"> merged business is delivering network synergies and operating efficiencies</w:t>
      </w:r>
      <w:r>
        <w:t xml:space="preserve">, and </w:t>
      </w:r>
      <w:r w:rsidR="00124DAF">
        <w:t xml:space="preserve">it </w:t>
      </w:r>
      <w:r>
        <w:t>expects these to continue over 2017</w:t>
      </w:r>
      <w:r w:rsidRPr="005B2539">
        <w:t>–</w:t>
      </w:r>
      <w:r>
        <w:t xml:space="preserve">19. </w:t>
      </w:r>
    </w:p>
    <w:p w:rsidR="00557C4A" w:rsidRDefault="00557C4A" w:rsidP="00557C4A">
      <w:r>
        <w:t>TasNetw</w:t>
      </w:r>
      <w:r w:rsidR="000A6BC5">
        <w:t xml:space="preserve">orks </w:t>
      </w:r>
      <w:r>
        <w:t xml:space="preserve">forecast </w:t>
      </w:r>
      <w:r w:rsidR="00BE01C4">
        <w:t xml:space="preserve">further </w:t>
      </w:r>
      <w:r>
        <w:t>cost savings over 2017</w:t>
      </w:r>
      <w:r w:rsidRPr="00927170">
        <w:t>–</w:t>
      </w:r>
      <w:r>
        <w:t>19</w:t>
      </w:r>
      <w:r w:rsidR="00C02E18">
        <w:t xml:space="preserve"> compared to 2012–17, which</w:t>
      </w:r>
      <w:r>
        <w:t xml:space="preserve"> </w:t>
      </w:r>
      <w:r w:rsidRPr="005B2539">
        <w:t>are attributed to reduced staffing levels, rationalisation of duplicate systems and improved ways of delivering services to customers</w:t>
      </w:r>
      <w:r>
        <w:t>.</w:t>
      </w:r>
      <w:r w:rsidRPr="005B2539">
        <w:t xml:space="preserve"> </w:t>
      </w:r>
    </w:p>
    <w:p w:rsidR="0083235B" w:rsidRDefault="00816DC1" w:rsidP="00557C4A">
      <w:r>
        <w:fldChar w:fldCharType="begin"/>
      </w:r>
      <w:r>
        <w:instrText xml:space="preserve"> REF _Ref457204555 \h </w:instrText>
      </w:r>
      <w:r>
        <w:fldChar w:fldCharType="separate"/>
      </w:r>
      <w:r w:rsidR="00805AAE">
        <w:t xml:space="preserve">Figure </w:t>
      </w:r>
      <w:r w:rsidR="00805AAE">
        <w:rPr>
          <w:noProof/>
        </w:rPr>
        <w:t>7</w:t>
      </w:r>
      <w:r w:rsidR="00805AAE">
        <w:t>.</w:t>
      </w:r>
      <w:r w:rsidR="00805AAE">
        <w:rPr>
          <w:noProof/>
        </w:rPr>
        <w:t>1</w:t>
      </w:r>
      <w:r>
        <w:fldChar w:fldCharType="end"/>
      </w:r>
      <w:r>
        <w:t xml:space="preserve"> compares TasNetworks' </w:t>
      </w:r>
      <w:r w:rsidR="003F5973">
        <w:t>forecast</w:t>
      </w:r>
      <w:r>
        <w:t xml:space="preserve"> opex with its historical opex</w:t>
      </w:r>
      <w:r w:rsidR="00452984">
        <w:t>, historical allowance</w:t>
      </w:r>
      <w:r>
        <w:t xml:space="preserve"> and our </w:t>
      </w:r>
      <w:r w:rsidR="00452984">
        <w:t>alternative opex forecast</w:t>
      </w:r>
      <w:r>
        <w:t xml:space="preserve">. </w:t>
      </w:r>
    </w:p>
    <w:p w:rsidR="005801CC" w:rsidRDefault="005801CC" w:rsidP="005801CC">
      <w:pPr>
        <w:pStyle w:val="Caption"/>
      </w:pPr>
      <w:bookmarkStart w:id="75" w:name="_Ref457204555"/>
      <w:r>
        <w:lastRenderedPageBreak/>
        <w:t xml:space="preserve">Figure </w:t>
      </w:r>
      <w:fldSimple w:instr=" STYLEREF 1 \s ">
        <w:r w:rsidR="00805AAE">
          <w:rPr>
            <w:noProof/>
          </w:rPr>
          <w:t>7</w:t>
        </w:r>
      </w:fldSimple>
      <w:r>
        <w:t>.</w:t>
      </w:r>
      <w:fldSimple w:instr=" SEQ Figure \* ARABIC \s 1 ">
        <w:r w:rsidR="00805AAE">
          <w:rPr>
            <w:noProof/>
          </w:rPr>
          <w:t>1</w:t>
        </w:r>
      </w:fldSimple>
      <w:bookmarkEnd w:id="75"/>
      <w:r>
        <w:tab/>
        <w:t>TasNetworks' historical and</w:t>
      </w:r>
      <w:r w:rsidRPr="00927170">
        <w:t xml:space="preserve"> </w:t>
      </w:r>
      <w:r>
        <w:t>forecast opex</w:t>
      </w:r>
    </w:p>
    <w:p w:rsidR="00557C4A" w:rsidRDefault="00EE1228" w:rsidP="00557C4A">
      <w:r>
        <w:rPr>
          <w:noProof/>
          <w:lang w:eastAsia="en-AU"/>
        </w:rPr>
        <w:drawing>
          <wp:inline distT="0" distB="0" distL="0" distR="0" wp14:anchorId="47A157B2" wp14:editId="13AE1B49">
            <wp:extent cx="5401310" cy="360299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1310" cy="3602990"/>
                    </a:xfrm>
                    <a:prstGeom prst="rect">
                      <a:avLst/>
                    </a:prstGeom>
                    <a:noFill/>
                  </pic:spPr>
                </pic:pic>
              </a:graphicData>
            </a:graphic>
          </wp:inline>
        </w:drawing>
      </w:r>
    </w:p>
    <w:p w:rsidR="005C006B" w:rsidRDefault="008366D8" w:rsidP="005A419C">
      <w:r>
        <w:t>Figure 7.1 shows TasNetworks expects</w:t>
      </w:r>
      <w:r w:rsidR="00633BAE">
        <w:t xml:space="preserve"> that</w:t>
      </w:r>
      <w:r>
        <w:t xml:space="preserve"> it </w:t>
      </w:r>
      <w:r w:rsidR="005C006B">
        <w:t xml:space="preserve">will </w:t>
      </w:r>
      <w:r>
        <w:t xml:space="preserve">outperform its opex allowance </w:t>
      </w:r>
      <w:r w:rsidR="005C006B">
        <w:t xml:space="preserve">over </w:t>
      </w:r>
      <w:r>
        <w:t>2014</w:t>
      </w:r>
      <w:r w:rsidR="00691944">
        <w:t>–</w:t>
      </w:r>
      <w:r>
        <w:t>15</w:t>
      </w:r>
      <w:r w:rsidR="005C006B">
        <w:t xml:space="preserve"> to 2016</w:t>
      </w:r>
      <w:r w:rsidR="00691944">
        <w:t>–</w:t>
      </w:r>
      <w:r w:rsidR="005C006B">
        <w:t>17</w:t>
      </w:r>
      <w:r>
        <w:t xml:space="preserve">. </w:t>
      </w:r>
      <w:r w:rsidR="005D263D">
        <w:t>In 2014</w:t>
      </w:r>
      <w:r w:rsidR="00691944">
        <w:t>–</w:t>
      </w:r>
      <w:r w:rsidR="005D263D">
        <w:t>15 there was a noticeable fall in TasNetworks</w:t>
      </w:r>
      <w:r w:rsidR="00981CA2">
        <w:t>'</w:t>
      </w:r>
      <w:r w:rsidR="005D263D">
        <w:t xml:space="preserve"> opex</w:t>
      </w:r>
      <w:r w:rsidR="00311AE7">
        <w:t xml:space="preserve">, </w:t>
      </w:r>
      <w:r w:rsidR="005A419C">
        <w:t>following the</w:t>
      </w:r>
      <w:r w:rsidR="00311AE7">
        <w:t xml:space="preserve"> merg</w:t>
      </w:r>
      <w:r w:rsidR="005A419C">
        <w:t>er of</w:t>
      </w:r>
      <w:r w:rsidR="00311AE7">
        <w:t xml:space="preserve"> its </w:t>
      </w:r>
      <w:r w:rsidR="00311AE7" w:rsidRPr="00311AE7">
        <w:t>transmission and distribution networks</w:t>
      </w:r>
      <w:r w:rsidR="00311AE7">
        <w:t xml:space="preserve"> on 1 July 2014</w:t>
      </w:r>
      <w:r w:rsidR="00311AE7" w:rsidRPr="00311AE7">
        <w:t>.</w:t>
      </w:r>
      <w:r w:rsidR="00311AE7">
        <w:t xml:space="preserve"> </w:t>
      </w:r>
      <w:r>
        <w:t xml:space="preserve">In </w:t>
      </w:r>
      <w:r w:rsidR="005A419C">
        <w:t xml:space="preserve">the </w:t>
      </w:r>
      <w:r w:rsidR="00311AE7">
        <w:t>years preceding 2014</w:t>
      </w:r>
      <w:r w:rsidR="00691944">
        <w:t>–</w:t>
      </w:r>
      <w:r w:rsidR="00311AE7">
        <w:t>15</w:t>
      </w:r>
      <w:r>
        <w:t xml:space="preserve">, </w:t>
      </w:r>
      <w:r w:rsidR="005D263D">
        <w:t>TasNetworks'</w:t>
      </w:r>
      <w:r>
        <w:t xml:space="preserve"> actual opex was close to or above its opex allowance. </w:t>
      </w:r>
    </w:p>
    <w:p w:rsidR="005D263D" w:rsidRDefault="0008305F" w:rsidP="005A419C">
      <w:r>
        <w:t xml:space="preserve">TasNetworks will be rewarded for </w:t>
      </w:r>
      <w:r w:rsidR="00662A38">
        <w:t xml:space="preserve">its </w:t>
      </w:r>
      <w:r>
        <w:t xml:space="preserve">recent efficiency improvements </w:t>
      </w:r>
      <w:r w:rsidR="00662A38">
        <w:t>because under the regulatory framework, it is allowed to retain the difference between its actual opex and our forecast for a portion of time</w:t>
      </w:r>
      <w:r>
        <w:t xml:space="preserve">. </w:t>
      </w:r>
      <w:r w:rsidR="00662A38">
        <w:t xml:space="preserve">Consumers will also benefit as we use these lower 'revealed costs' as a basis for forecasting the business' opex </w:t>
      </w:r>
      <w:r w:rsidR="006E16BA">
        <w:t xml:space="preserve">needs </w:t>
      </w:r>
      <w:r w:rsidR="00662A38">
        <w:t>for the future.</w:t>
      </w:r>
      <w:r w:rsidR="00895724">
        <w:t xml:space="preserve"> </w:t>
      </w:r>
    </w:p>
    <w:p w:rsidR="00301482" w:rsidRDefault="00301482" w:rsidP="00F63826">
      <w:r>
        <w:fldChar w:fldCharType="begin"/>
      </w:r>
      <w:r>
        <w:instrText xml:space="preserve"> REF _Ref455578524 \h </w:instrText>
      </w:r>
      <w:r>
        <w:fldChar w:fldCharType="separate"/>
      </w:r>
      <w:r w:rsidR="00805AAE">
        <w:t xml:space="preserve">Figure </w:t>
      </w:r>
      <w:r w:rsidR="00805AAE">
        <w:rPr>
          <w:noProof/>
        </w:rPr>
        <w:t>7</w:t>
      </w:r>
      <w:r w:rsidR="00805AAE">
        <w:t>.</w:t>
      </w:r>
      <w:r w:rsidR="00805AAE">
        <w:rPr>
          <w:noProof/>
        </w:rPr>
        <w:t>2</w:t>
      </w:r>
      <w:r>
        <w:fldChar w:fldCharType="end"/>
      </w:r>
      <w:r>
        <w:t xml:space="preserve"> </w:t>
      </w:r>
      <w:r w:rsidRPr="00301482">
        <w:t>separate</w:t>
      </w:r>
      <w:r w:rsidR="00C86903">
        <w:t>s</w:t>
      </w:r>
      <w:r w:rsidRPr="00301482">
        <w:t xml:space="preserve"> </w:t>
      </w:r>
      <w:r>
        <w:t xml:space="preserve">TasNetworks' </w:t>
      </w:r>
      <w:r w:rsidRPr="00301482">
        <w:t xml:space="preserve">opex </w:t>
      </w:r>
      <w:r w:rsidR="00F802E7">
        <w:t xml:space="preserve">proposal </w:t>
      </w:r>
      <w:r w:rsidRPr="00301482">
        <w:t>into the different elements that make up its forecast</w:t>
      </w:r>
      <w:r w:rsidR="00B9061F">
        <w:t xml:space="preserve"> for the 2017</w:t>
      </w:r>
      <w:r w:rsidR="006B1D28">
        <w:t>–</w:t>
      </w:r>
      <w:r w:rsidR="00B9061F">
        <w:t>19 regulatory control period</w:t>
      </w:r>
      <w:r w:rsidRPr="00301482">
        <w:t>.</w:t>
      </w:r>
    </w:p>
    <w:p w:rsidR="00301482" w:rsidRDefault="00301482" w:rsidP="00301482">
      <w:pPr>
        <w:pStyle w:val="Caption"/>
      </w:pPr>
      <w:bookmarkStart w:id="76" w:name="_Ref455578524"/>
      <w:r>
        <w:lastRenderedPageBreak/>
        <w:t xml:space="preserve">Figure </w:t>
      </w:r>
      <w:fldSimple w:instr=" STYLEREF 1 \s ">
        <w:r w:rsidR="00805AAE">
          <w:rPr>
            <w:noProof/>
          </w:rPr>
          <w:t>7</w:t>
        </w:r>
      </w:fldSimple>
      <w:r w:rsidR="005801CC">
        <w:t>.</w:t>
      </w:r>
      <w:fldSimple w:instr=" SEQ Figure \* ARABIC \s 1 ">
        <w:r w:rsidR="00805AAE">
          <w:rPr>
            <w:noProof/>
          </w:rPr>
          <w:t>2</w:t>
        </w:r>
      </w:fldSimple>
      <w:bookmarkEnd w:id="76"/>
      <w:r>
        <w:tab/>
        <w:t xml:space="preserve">TasNetworks' </w:t>
      </w:r>
      <w:r w:rsidRPr="00301482">
        <w:t>opex forecast ($ million, 2016–17)</w:t>
      </w:r>
    </w:p>
    <w:p w:rsidR="00301482" w:rsidRDefault="001F3D7D" w:rsidP="00F63826">
      <w:r w:rsidRPr="001F3D7D">
        <w:rPr>
          <w:noProof/>
          <w:lang w:eastAsia="en-AU"/>
        </w:rPr>
        <w:drawing>
          <wp:inline distT="0" distB="0" distL="0" distR="0" wp14:anchorId="19598E46" wp14:editId="1BB3C33D">
            <wp:extent cx="5382895" cy="3463057"/>
            <wp:effectExtent l="0" t="0" r="825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463057"/>
                    </a:xfrm>
                    <a:prstGeom prst="rect">
                      <a:avLst/>
                    </a:prstGeom>
                    <a:noFill/>
                    <a:ln>
                      <a:noFill/>
                    </a:ln>
                  </pic:spPr>
                </pic:pic>
              </a:graphicData>
            </a:graphic>
          </wp:inline>
        </w:drawing>
      </w:r>
    </w:p>
    <w:p w:rsidR="00301482" w:rsidRPr="00301482" w:rsidRDefault="00301482" w:rsidP="00301482">
      <w:pPr>
        <w:pStyle w:val="AERtablesource"/>
      </w:pPr>
      <w:r w:rsidRPr="00301482">
        <w:t>Source:</w:t>
      </w:r>
      <w:r w:rsidRPr="00301482">
        <w:tab/>
        <w:t>AER analysis.</w:t>
      </w:r>
    </w:p>
    <w:p w:rsidR="00301482" w:rsidRDefault="00423FEE" w:rsidP="00301482">
      <w:r>
        <w:t>T</w:t>
      </w:r>
      <w:r w:rsidR="00557C4A">
        <w:t>he key</w:t>
      </w:r>
      <w:r w:rsidR="00301482" w:rsidRPr="00301482">
        <w:t xml:space="preserve"> elements </w:t>
      </w:r>
      <w:r w:rsidR="00557C4A">
        <w:t xml:space="preserve">of TasNetworks' proposal </w:t>
      </w:r>
      <w:r>
        <w:t>are</w:t>
      </w:r>
      <w:r w:rsidR="00301482" w:rsidRPr="00301482">
        <w:t>:</w:t>
      </w:r>
    </w:p>
    <w:p w:rsidR="00B9061F" w:rsidRDefault="004C4068" w:rsidP="00301482">
      <w:pPr>
        <w:pStyle w:val="AERbulletlistfirststyle"/>
      </w:pPr>
      <w:r>
        <w:t>TasNetworks adopted</w:t>
      </w:r>
      <w:r w:rsidR="00B9061F" w:rsidRPr="00F63826">
        <w:t xml:space="preserve"> </w:t>
      </w:r>
      <w:r>
        <w:t>our</w:t>
      </w:r>
      <w:r w:rsidR="00B9061F" w:rsidRPr="00F63826">
        <w:t xml:space="preserve"> ‘base-step-trend’ approach </w:t>
      </w:r>
      <w:r w:rsidR="00497F18">
        <w:t xml:space="preserve">to </w:t>
      </w:r>
      <w:r w:rsidR="00AE0F7F">
        <w:t>forecast</w:t>
      </w:r>
      <w:r w:rsidR="00DD2C5D">
        <w:t xml:space="preserve"> its</w:t>
      </w:r>
      <w:r w:rsidR="00B9061F" w:rsidRPr="00F63826">
        <w:t xml:space="preserve"> opex </w:t>
      </w:r>
      <w:r w:rsidR="00AE0F7F">
        <w:t>for the</w:t>
      </w:r>
      <w:r w:rsidR="00B9061F">
        <w:t xml:space="preserve"> 2017</w:t>
      </w:r>
      <w:r w:rsidR="00AE0F7F" w:rsidRPr="00301482">
        <w:t>–</w:t>
      </w:r>
      <w:r w:rsidR="00AE0F7F">
        <w:t>1</w:t>
      </w:r>
      <w:r w:rsidR="00B9061F">
        <w:t>9</w:t>
      </w:r>
      <w:r w:rsidR="00AE0F7F" w:rsidRPr="00AE0F7F">
        <w:t xml:space="preserve"> </w:t>
      </w:r>
      <w:r w:rsidR="00AE0F7F" w:rsidRPr="00301482">
        <w:t>regulatory control period</w:t>
      </w:r>
      <w:r w:rsidR="00B9061F">
        <w:t>.</w:t>
      </w:r>
    </w:p>
    <w:p w:rsidR="00301482" w:rsidRDefault="00301482" w:rsidP="00301482">
      <w:pPr>
        <w:pStyle w:val="AERbulletlistfirststyle"/>
      </w:pPr>
      <w:r>
        <w:t xml:space="preserve">TasNetworks </w:t>
      </w:r>
      <w:r w:rsidR="00497F18">
        <w:t>use</w:t>
      </w:r>
      <w:r w:rsidR="00BC2933">
        <w:t>d</w:t>
      </w:r>
      <w:r w:rsidRPr="00301482">
        <w:t xml:space="preserve"> the </w:t>
      </w:r>
      <w:r w:rsidR="00AE0F7F">
        <w:t xml:space="preserve">actual </w:t>
      </w:r>
      <w:r w:rsidRPr="00301482">
        <w:t xml:space="preserve">opex it incurred in 2014–15 as the base for forecasting its opex </w:t>
      </w:r>
      <w:r w:rsidR="00AE0F7F">
        <w:t>over</w:t>
      </w:r>
      <w:r w:rsidRPr="00301482">
        <w:t xml:space="preserve"> 2017–</w:t>
      </w:r>
      <w:r w:rsidR="00497F18">
        <w:t>19</w:t>
      </w:r>
      <w:r w:rsidRPr="00301482">
        <w:t xml:space="preserve">. </w:t>
      </w:r>
      <w:r w:rsidR="00AE0F7F">
        <w:t>If no other adjustments were made, this</w:t>
      </w:r>
      <w:r w:rsidRPr="00301482">
        <w:t xml:space="preserve"> would lead to base</w:t>
      </w:r>
      <w:r w:rsidR="0014788D">
        <w:t xml:space="preserve"> </w:t>
      </w:r>
      <w:r w:rsidRPr="00301482">
        <w:t>opex of $</w:t>
      </w:r>
      <w:r w:rsidR="00BC2933">
        <w:t>136.5</w:t>
      </w:r>
      <w:r w:rsidRPr="00301482">
        <w:t xml:space="preserve"> million ($2016–17) </w:t>
      </w:r>
      <w:r w:rsidR="00AE0F7F">
        <w:t>for</w:t>
      </w:r>
      <w:r w:rsidRPr="00301482">
        <w:t xml:space="preserve"> 2017–</w:t>
      </w:r>
      <w:r w:rsidR="009F2BA1">
        <w:t>19</w:t>
      </w:r>
      <w:r w:rsidRPr="00301482">
        <w:t xml:space="preserve">. </w:t>
      </w:r>
    </w:p>
    <w:p w:rsidR="0014788D" w:rsidRDefault="0014788D" w:rsidP="0014788D">
      <w:pPr>
        <w:pStyle w:val="AERbulletlistsecondstyle"/>
      </w:pPr>
      <w:r>
        <w:t xml:space="preserve">TasNetworks removed non-recurrent costs from its base opex, comprising abnormal GSL payments. </w:t>
      </w:r>
      <w:r w:rsidRPr="00301482">
        <w:t xml:space="preserve">This </w:t>
      </w:r>
      <w:r>
        <w:t>decreased</w:t>
      </w:r>
      <w:r w:rsidRPr="00301482">
        <w:t xml:space="preserve"> </w:t>
      </w:r>
      <w:r>
        <w:t xml:space="preserve">its opex </w:t>
      </w:r>
      <w:r w:rsidRPr="00301482">
        <w:t>forecast by $</w:t>
      </w:r>
      <w:r w:rsidR="00691944">
        <w:t>6.5</w:t>
      </w:r>
      <w:r w:rsidRPr="00301482">
        <w:t xml:space="preserve"> million ($2016–17).</w:t>
      </w:r>
    </w:p>
    <w:p w:rsidR="00497F18" w:rsidRDefault="00AE0F7F" w:rsidP="00497F18">
      <w:pPr>
        <w:pStyle w:val="AERbulletlistsecondstyle"/>
      </w:pPr>
      <w:r>
        <w:t xml:space="preserve">In support of using 2014-15 as its base year, </w:t>
      </w:r>
      <w:r w:rsidR="00497F18">
        <w:t>TasNetworks note</w:t>
      </w:r>
      <w:r w:rsidR="006E16BA">
        <w:t>d</w:t>
      </w:r>
      <w:r w:rsidR="00497F18">
        <w:t xml:space="preserve"> its raw efficiency scores are close to the </w:t>
      </w:r>
      <w:r w:rsidR="00497F18" w:rsidRPr="00F63826">
        <w:t>‘efficiency frontier’ (around 5 per cent below the ‘unadjusted comparison point’)</w:t>
      </w:r>
      <w:r w:rsidR="00497F18">
        <w:t xml:space="preserve"> and </w:t>
      </w:r>
      <w:r w:rsidR="00497F18" w:rsidRPr="00F63826">
        <w:t xml:space="preserve">would be superior </w:t>
      </w:r>
      <w:r w:rsidR="00497F18">
        <w:t xml:space="preserve">to the </w:t>
      </w:r>
      <w:r w:rsidR="00497F18" w:rsidRPr="00F63826">
        <w:t>adjusted comparison point</w:t>
      </w:r>
      <w:r w:rsidR="00497F18">
        <w:t xml:space="preserve"> if </w:t>
      </w:r>
      <w:r w:rsidR="00423FEE">
        <w:t>'</w:t>
      </w:r>
      <w:r w:rsidR="00497F18" w:rsidRPr="00F63826">
        <w:t>operating environment factors</w:t>
      </w:r>
      <w:r w:rsidR="00423FEE">
        <w:t>'</w:t>
      </w:r>
      <w:r w:rsidR="003F5973">
        <w:t xml:space="preserve"> </w:t>
      </w:r>
      <w:r w:rsidR="00497F18">
        <w:t>were</w:t>
      </w:r>
      <w:r w:rsidR="00497F18" w:rsidRPr="00F63826">
        <w:t xml:space="preserve"> taken into account</w:t>
      </w:r>
      <w:r w:rsidR="00497F18">
        <w:t>.</w:t>
      </w:r>
    </w:p>
    <w:p w:rsidR="004B10E5" w:rsidRDefault="004B10E5" w:rsidP="00E746A7">
      <w:pPr>
        <w:pStyle w:val="AERbulletlistfirststyle"/>
      </w:pPr>
      <w:r>
        <w:t xml:space="preserve">TasNetworks removed self-insurance costs from its base </w:t>
      </w:r>
      <w:r w:rsidR="008D0292">
        <w:t xml:space="preserve">year </w:t>
      </w:r>
      <w:r>
        <w:t xml:space="preserve">opex, instead </w:t>
      </w:r>
      <w:r w:rsidR="008D0292" w:rsidRPr="00301482">
        <w:t>includ</w:t>
      </w:r>
      <w:r w:rsidR="008D0292">
        <w:t>ing</w:t>
      </w:r>
      <w:r w:rsidR="008D0292" w:rsidRPr="00301482">
        <w:t xml:space="preserve"> </w:t>
      </w:r>
      <w:r>
        <w:t xml:space="preserve">a </w:t>
      </w:r>
      <w:r w:rsidRPr="00301482">
        <w:t xml:space="preserve">category specific forecast for </w:t>
      </w:r>
      <w:r>
        <w:t>self-insurance</w:t>
      </w:r>
      <w:r w:rsidRPr="00301482">
        <w:t xml:space="preserve">. This </w:t>
      </w:r>
      <w:r>
        <w:t>decreased</w:t>
      </w:r>
      <w:r w:rsidRPr="00301482">
        <w:t xml:space="preserve"> its forecast by $</w:t>
      </w:r>
      <w:r>
        <w:t>0.8</w:t>
      </w:r>
      <w:r w:rsidRPr="00301482">
        <w:t xml:space="preserve"> million ($2016–17).</w:t>
      </w:r>
    </w:p>
    <w:p w:rsidR="007A01D2" w:rsidRPr="00301482" w:rsidRDefault="00301482" w:rsidP="00301482">
      <w:pPr>
        <w:pStyle w:val="AERbulletlistfirststyle"/>
      </w:pPr>
      <w:r w:rsidRPr="00301482">
        <w:t xml:space="preserve">To forecast the </w:t>
      </w:r>
      <w:r w:rsidR="00580CD6">
        <w:t>change</w:t>
      </w:r>
      <w:r w:rsidR="008072FC" w:rsidRPr="00301482">
        <w:t xml:space="preserve"> </w:t>
      </w:r>
      <w:r w:rsidRPr="00301482">
        <w:t xml:space="preserve">in opex between </w:t>
      </w:r>
      <w:r w:rsidR="00A96C67">
        <w:t>the base year</w:t>
      </w:r>
      <w:r w:rsidR="00B774E4">
        <w:t xml:space="preserve"> (2014–</w:t>
      </w:r>
      <w:r w:rsidR="00B774E4" w:rsidRPr="004726A0">
        <w:t>15)</w:t>
      </w:r>
      <w:r w:rsidR="00A96C67">
        <w:t xml:space="preserve"> and </w:t>
      </w:r>
      <w:r w:rsidR="00B774E4">
        <w:t xml:space="preserve">the </w:t>
      </w:r>
      <w:r w:rsidR="00A96C67">
        <w:t>commencement of the 2017</w:t>
      </w:r>
      <w:r w:rsidR="005801CC">
        <w:t>–</w:t>
      </w:r>
      <w:r w:rsidR="00A96C67">
        <w:t>19 regulatory period</w:t>
      </w:r>
      <w:r w:rsidR="00DD2C5D">
        <w:t>,</w:t>
      </w:r>
      <w:r w:rsidRPr="00301482">
        <w:t xml:space="preserve"> </w:t>
      </w:r>
      <w:r w:rsidR="00A01296">
        <w:t xml:space="preserve">TasNetworks </w:t>
      </w:r>
      <w:r w:rsidRPr="00301482">
        <w:t xml:space="preserve">added the growth it forecast in output and productivity. </w:t>
      </w:r>
      <w:r w:rsidR="007A01D2">
        <w:t xml:space="preserve">In doing this, it </w:t>
      </w:r>
      <w:r w:rsidR="007A01D2" w:rsidRPr="004726A0">
        <w:t>incorporate</w:t>
      </w:r>
      <w:r w:rsidR="007A01D2">
        <w:t>d</w:t>
      </w:r>
      <w:r w:rsidR="007A01D2" w:rsidRPr="004726A0">
        <w:t xml:space="preserve"> </w:t>
      </w:r>
      <w:r w:rsidR="007A01D2">
        <w:t>an efficiency gain</w:t>
      </w:r>
      <w:r w:rsidR="007A01D2" w:rsidRPr="004726A0">
        <w:t xml:space="preserve"> </w:t>
      </w:r>
      <w:r w:rsidR="00B774E4">
        <w:t xml:space="preserve">made </w:t>
      </w:r>
      <w:r w:rsidR="007A01D2">
        <w:t xml:space="preserve">between the base year </w:t>
      </w:r>
      <w:r w:rsidR="007A01D2" w:rsidRPr="004726A0">
        <w:t xml:space="preserve">and the start of the </w:t>
      </w:r>
      <w:r w:rsidR="00B774E4">
        <w:t>regulatory period</w:t>
      </w:r>
      <w:r w:rsidR="008072FC">
        <w:t xml:space="preserve"> in its opex </w:t>
      </w:r>
      <w:r w:rsidR="008072FC">
        <w:lastRenderedPageBreak/>
        <w:t>forecast</w:t>
      </w:r>
      <w:r w:rsidR="007A01D2" w:rsidRPr="004726A0">
        <w:t xml:space="preserve">. </w:t>
      </w:r>
      <w:r w:rsidRPr="00301482">
        <w:t xml:space="preserve">This </w:t>
      </w:r>
      <w:r w:rsidR="00BE01C4">
        <w:t>differs from</w:t>
      </w:r>
      <w:r w:rsidRPr="00301482">
        <w:t xml:space="preserve"> the approach set out in our </w:t>
      </w:r>
      <w:r w:rsidRPr="00A01296">
        <w:rPr>
          <w:rStyle w:val="AERtextitalic"/>
        </w:rPr>
        <w:t>Expenditure forecast assessment guideline</w:t>
      </w:r>
      <w:r w:rsidRPr="00301482">
        <w:t xml:space="preserve"> (the Guideline).</w:t>
      </w:r>
      <w:r w:rsidR="007A01D2">
        <w:rPr>
          <w:rStyle w:val="FootnoteReference"/>
        </w:rPr>
        <w:footnoteReference w:id="5"/>
      </w:r>
      <w:r w:rsidRPr="00301482">
        <w:t xml:space="preserve"> </w:t>
      </w:r>
      <w:r w:rsidR="00F87E39">
        <w:t xml:space="preserve">As a result of </w:t>
      </w:r>
      <w:r w:rsidR="00B774E4">
        <w:t>TasNetworks'</w:t>
      </w:r>
      <w:r w:rsidR="008072FC">
        <w:t xml:space="preserve"> </w:t>
      </w:r>
      <w:r w:rsidR="00F87E39">
        <w:t xml:space="preserve">strong </w:t>
      </w:r>
      <w:r w:rsidR="00B774E4">
        <w:t xml:space="preserve">productivity </w:t>
      </w:r>
      <w:r w:rsidR="00F87E39">
        <w:t>forecast</w:t>
      </w:r>
      <w:r w:rsidR="00B774E4">
        <w:t xml:space="preserve"> over 2015</w:t>
      </w:r>
      <w:r w:rsidR="00691944">
        <w:t>–</w:t>
      </w:r>
      <w:r w:rsidR="00B774E4">
        <w:t>17</w:t>
      </w:r>
      <w:r w:rsidR="00F87E39">
        <w:t xml:space="preserve">, </w:t>
      </w:r>
      <w:r w:rsidR="00B774E4">
        <w:t>t</w:t>
      </w:r>
      <w:r w:rsidRPr="00301482">
        <w:t>his</w:t>
      </w:r>
      <w:r w:rsidR="00F87E39" w:rsidRPr="00301482">
        <w:t xml:space="preserve"> </w:t>
      </w:r>
      <w:r w:rsidR="00F87E39">
        <w:t>decreased</w:t>
      </w:r>
      <w:r w:rsidR="00F87E39" w:rsidRPr="00301482">
        <w:t xml:space="preserve"> </w:t>
      </w:r>
      <w:r w:rsidR="00A01296">
        <w:t xml:space="preserve">its </w:t>
      </w:r>
      <w:r w:rsidRPr="00301482">
        <w:t>forecast by $1</w:t>
      </w:r>
      <w:r w:rsidR="00F87E39">
        <w:t>4</w:t>
      </w:r>
      <w:r w:rsidR="00A01296">
        <w:t>.</w:t>
      </w:r>
      <w:r w:rsidR="00F87E39">
        <w:t>9</w:t>
      </w:r>
      <w:r w:rsidR="00F87E39" w:rsidRPr="00301482">
        <w:t xml:space="preserve"> </w:t>
      </w:r>
      <w:r w:rsidRPr="00301482">
        <w:t xml:space="preserve">million ($2016–17). </w:t>
      </w:r>
    </w:p>
    <w:p w:rsidR="00A01296" w:rsidRDefault="00A01296" w:rsidP="00A01296">
      <w:pPr>
        <w:pStyle w:val="AERbulletlistfirststyle"/>
      </w:pPr>
      <w:r>
        <w:t xml:space="preserve">TasNetworks </w:t>
      </w:r>
      <w:r w:rsidRPr="00A01296">
        <w:t xml:space="preserve">identified </w:t>
      </w:r>
      <w:r w:rsidR="00EE1228">
        <w:t>five</w:t>
      </w:r>
      <w:r w:rsidRPr="00A01296">
        <w:t xml:space="preserve"> step changes in costs </w:t>
      </w:r>
      <w:r w:rsidR="00985EFB">
        <w:t>that it</w:t>
      </w:r>
      <w:r w:rsidRPr="00A01296">
        <w:t xml:space="preserve"> would incur during the forecast period, which were not incurred in 2014–15. This increased </w:t>
      </w:r>
      <w:r>
        <w:t xml:space="preserve">its </w:t>
      </w:r>
      <w:r w:rsidRPr="00A01296">
        <w:t>forecast by $</w:t>
      </w:r>
      <w:r>
        <w:t>6.7</w:t>
      </w:r>
      <w:r w:rsidRPr="00A01296">
        <w:t xml:space="preserve"> million ($2016–17).</w:t>
      </w:r>
      <w:r w:rsidR="00DD2C5D" w:rsidRPr="00DD2C5D">
        <w:t xml:space="preserve"> </w:t>
      </w:r>
      <w:r w:rsidR="00DD2C5D">
        <w:t>TasNetworks note</w:t>
      </w:r>
      <w:r w:rsidR="006E16BA">
        <w:t>d</w:t>
      </w:r>
      <w:r w:rsidR="00DD2C5D">
        <w:t xml:space="preserve"> these step changes</w:t>
      </w:r>
      <w:r w:rsidR="00DD2C5D" w:rsidRPr="00F63826">
        <w:t xml:space="preserve"> will be </w:t>
      </w:r>
      <w:r w:rsidR="003627CB">
        <w:t>offset</w:t>
      </w:r>
      <w:r w:rsidR="001A7283" w:rsidRPr="00F63826">
        <w:t xml:space="preserve"> </w:t>
      </w:r>
      <w:r w:rsidR="00DD2C5D" w:rsidRPr="00F63826">
        <w:t>by forecast productivity growth</w:t>
      </w:r>
      <w:r w:rsidR="00DD2C5D">
        <w:t xml:space="preserve"> </w:t>
      </w:r>
      <w:r w:rsidR="00497F18">
        <w:t>(</w:t>
      </w:r>
      <w:r w:rsidR="00DD2C5D">
        <w:t>outlined below</w:t>
      </w:r>
      <w:r w:rsidR="00497F18">
        <w:t>)</w:t>
      </w:r>
      <w:r w:rsidR="00DD2C5D">
        <w:t>.</w:t>
      </w:r>
    </w:p>
    <w:p w:rsidR="00DD2C5D" w:rsidRPr="00A01296" w:rsidRDefault="00405BCD" w:rsidP="00DD2C5D">
      <w:pPr>
        <w:pStyle w:val="AERbulletlistfirststyle"/>
      </w:pPr>
      <w:r>
        <w:t>TasNetworks did not forecast any growth in</w:t>
      </w:r>
      <w:r w:rsidR="00423FEE">
        <w:t xml:space="preserve"> both labour and non-labour</w:t>
      </w:r>
      <w:r>
        <w:t xml:space="preserve"> prices.</w:t>
      </w:r>
      <w:r w:rsidR="00DD2C5D">
        <w:t xml:space="preserve"> TasNetworks state</w:t>
      </w:r>
      <w:r w:rsidR="00124DAF">
        <w:t>d</w:t>
      </w:r>
      <w:r w:rsidR="00DD2C5D" w:rsidRPr="00DD2C5D">
        <w:t xml:space="preserve"> </w:t>
      </w:r>
      <w:r w:rsidR="00DD2C5D">
        <w:t xml:space="preserve">this </w:t>
      </w:r>
      <w:r w:rsidR="00DD2C5D" w:rsidRPr="00DD2C5D">
        <w:t>reflect</w:t>
      </w:r>
      <w:r w:rsidR="00DD2C5D">
        <w:t>s</w:t>
      </w:r>
      <w:r w:rsidR="00DD2C5D" w:rsidRPr="00DD2C5D">
        <w:t xml:space="preserve"> its commitment to addressing customers’ concerns about electricity prices and </w:t>
      </w:r>
      <w:r w:rsidR="00DD2C5D">
        <w:t xml:space="preserve">delivering </w:t>
      </w:r>
      <w:r w:rsidR="00DD2C5D" w:rsidRPr="00DD2C5D">
        <w:t>services for the lowest sustainable cost.</w:t>
      </w:r>
    </w:p>
    <w:p w:rsidR="00A01296" w:rsidRPr="00A01296" w:rsidRDefault="00DD2C5D" w:rsidP="00A01296">
      <w:pPr>
        <w:pStyle w:val="AERbulletlistfirststyle"/>
      </w:pPr>
      <w:r>
        <w:t xml:space="preserve">TasNetworks </w:t>
      </w:r>
      <w:r w:rsidR="00497F18">
        <w:t>forecast output growth</w:t>
      </w:r>
      <w:r w:rsidR="00A01296" w:rsidRPr="00A01296">
        <w:t xml:space="preserve"> using our forecasting approach. This increased </w:t>
      </w:r>
      <w:r w:rsidR="00A01296">
        <w:t>its</w:t>
      </w:r>
      <w:r w:rsidR="00A01296" w:rsidRPr="00A01296">
        <w:t xml:space="preserve"> opex forecast by $</w:t>
      </w:r>
      <w:r w:rsidR="00A01296">
        <w:t>1</w:t>
      </w:r>
      <w:r w:rsidR="00A01296" w:rsidRPr="00A01296">
        <w:t>.3 million ($2016–17).</w:t>
      </w:r>
    </w:p>
    <w:p w:rsidR="0069179C" w:rsidRPr="0069179C" w:rsidRDefault="00DD2C5D" w:rsidP="0069179C">
      <w:pPr>
        <w:pStyle w:val="AERbulletlistfirststyle"/>
      </w:pPr>
      <w:r>
        <w:t xml:space="preserve">TasNetworks </w:t>
      </w:r>
      <w:r w:rsidR="00AE0F7F">
        <w:t>forecast</w:t>
      </w:r>
      <w:r w:rsidRPr="00911B30">
        <w:t xml:space="preserve"> </w:t>
      </w:r>
      <w:r w:rsidR="008105F1">
        <w:t xml:space="preserve">strong </w:t>
      </w:r>
      <w:r w:rsidRPr="00911B30">
        <w:t xml:space="preserve">productivity </w:t>
      </w:r>
      <w:r w:rsidR="00497F18">
        <w:t>growth. This reduced its opex forecast by $</w:t>
      </w:r>
      <w:r w:rsidR="00CF24E3">
        <w:t>3</w:t>
      </w:r>
      <w:r w:rsidR="00497F18">
        <w:t>.</w:t>
      </w:r>
      <w:r w:rsidR="00CF24E3">
        <w:t>8</w:t>
      </w:r>
      <w:r w:rsidR="00497F18">
        <w:t xml:space="preserve"> million ($2016–17)</w:t>
      </w:r>
      <w:r w:rsidRPr="00911B30">
        <w:t>.</w:t>
      </w:r>
      <w:r>
        <w:t xml:space="preserve"> </w:t>
      </w:r>
      <w:r w:rsidR="00497F18">
        <w:t>TasNetworks</w:t>
      </w:r>
      <w:r>
        <w:t xml:space="preserve"> note</w:t>
      </w:r>
      <w:r w:rsidR="006E16BA">
        <w:t>d</w:t>
      </w:r>
      <w:r>
        <w:t xml:space="preserve"> </w:t>
      </w:r>
      <w:r w:rsidR="00497F18">
        <w:t>its</w:t>
      </w:r>
      <w:r>
        <w:t xml:space="preserve"> </w:t>
      </w:r>
      <w:r w:rsidR="005801CC">
        <w:t xml:space="preserve">forecast </w:t>
      </w:r>
      <w:r>
        <w:t>productivity growth reflects its commitment</w:t>
      </w:r>
      <w:r w:rsidRPr="00927170">
        <w:t xml:space="preserve"> to managing </w:t>
      </w:r>
      <w:r>
        <w:t>its</w:t>
      </w:r>
      <w:r w:rsidRPr="00927170">
        <w:t xml:space="preserve"> </w:t>
      </w:r>
      <w:r>
        <w:t>opex</w:t>
      </w:r>
      <w:r w:rsidRPr="00927170">
        <w:t xml:space="preserve"> so that it remains flat in nominal terms relative to </w:t>
      </w:r>
      <w:r>
        <w:t>its</w:t>
      </w:r>
      <w:r w:rsidRPr="00927170">
        <w:t xml:space="preserve"> base </w:t>
      </w:r>
      <w:r>
        <w:t>year</w:t>
      </w:r>
      <w:r w:rsidRPr="00927170">
        <w:t>.</w:t>
      </w:r>
    </w:p>
    <w:p w:rsidR="00D65581" w:rsidRDefault="00D65581" w:rsidP="004A4ABC">
      <w:pPr>
        <w:pStyle w:val="Heading3"/>
      </w:pPr>
      <w:bookmarkStart w:id="77" w:name="_Toc462755050"/>
      <w:r>
        <w:t>Submissions on TasNetwork</w:t>
      </w:r>
      <w:r w:rsidR="00F86128">
        <w:t>s</w:t>
      </w:r>
      <w:r>
        <w:t>' proposal</w:t>
      </w:r>
      <w:bookmarkEnd w:id="77"/>
    </w:p>
    <w:p w:rsidR="004D51B3" w:rsidRDefault="00256A6F" w:rsidP="004D51B3">
      <w:r>
        <w:t>Stakeholders'</w:t>
      </w:r>
      <w:r w:rsidR="006331BE">
        <w:t xml:space="preserve"> s</w:t>
      </w:r>
      <w:r w:rsidR="00D65581" w:rsidRPr="00D65581">
        <w:t>ubmissions on TasNetworks’ proposal generally support</w:t>
      </w:r>
      <w:r w:rsidR="008F25D5">
        <w:t>ed</w:t>
      </w:r>
      <w:r w:rsidR="00D65581" w:rsidRPr="00D65581">
        <w:t xml:space="preserve"> the view that its total forecast opex reasonably reflects the opex criteria</w:t>
      </w:r>
      <w:r w:rsidR="004D51B3">
        <w:t xml:space="preserve">. </w:t>
      </w:r>
    </w:p>
    <w:p w:rsidR="00256A6F" w:rsidRDefault="00423FEE" w:rsidP="00D65581">
      <w:r>
        <w:t xml:space="preserve">Consumer Challenge Panel (CCP) </w:t>
      </w:r>
      <w:r w:rsidR="00B57244">
        <w:t xml:space="preserve">member David Headberry </w:t>
      </w:r>
      <w:r w:rsidR="00D65581" w:rsidRPr="00D65581">
        <w:t>consider</w:t>
      </w:r>
      <w:r w:rsidR="006E16BA">
        <w:t>ed</w:t>
      </w:r>
      <w:r w:rsidR="00D65581" w:rsidRPr="00D65581">
        <w:t xml:space="preserve"> </w:t>
      </w:r>
      <w:r w:rsidR="00614EF0">
        <w:t>TasNetwork</w:t>
      </w:r>
      <w:r w:rsidR="00F86128">
        <w:t>s</w:t>
      </w:r>
      <w:r w:rsidR="00614EF0">
        <w:t>'</w:t>
      </w:r>
      <w:r w:rsidR="00D65581" w:rsidRPr="00D65581">
        <w:t xml:space="preserve"> proposed opex is acceptable</w:t>
      </w:r>
      <w:r w:rsidR="004D51B3">
        <w:t xml:space="preserve">. </w:t>
      </w:r>
      <w:r>
        <w:t xml:space="preserve">The CCP </w:t>
      </w:r>
      <w:r w:rsidR="00B57244">
        <w:t xml:space="preserve">member </w:t>
      </w:r>
      <w:r w:rsidR="00D65581" w:rsidRPr="00D65581">
        <w:t>consider</w:t>
      </w:r>
      <w:r w:rsidR="006E16BA">
        <w:t>ed</w:t>
      </w:r>
      <w:r w:rsidR="00D65581" w:rsidRPr="00D65581">
        <w:t xml:space="preserve"> </w:t>
      </w:r>
      <w:r>
        <w:t xml:space="preserve">our </w:t>
      </w:r>
      <w:r w:rsidR="00D65581" w:rsidRPr="00D65581">
        <w:t xml:space="preserve">benchmarking </w:t>
      </w:r>
      <w:r>
        <w:t xml:space="preserve">results </w:t>
      </w:r>
      <w:r w:rsidR="00D65581" w:rsidRPr="00D65581">
        <w:t>generally support the approaches taken by TasNetworks to set its base year opex</w:t>
      </w:r>
      <w:r w:rsidR="004D51B3">
        <w:t xml:space="preserve">. </w:t>
      </w:r>
      <w:r>
        <w:t>The CCP</w:t>
      </w:r>
      <w:r w:rsidR="00B57244">
        <w:t xml:space="preserve"> member</w:t>
      </w:r>
      <w:r>
        <w:t xml:space="preserve"> </w:t>
      </w:r>
      <w:r w:rsidR="00D65581" w:rsidRPr="00D65581">
        <w:t>does not see the necessity of carrying out a detailed assessment of step changes and trend approaches as these are effectively ‘washed out’ of the forecast opex through the proposed productivity gains</w:t>
      </w:r>
      <w:r w:rsidR="004D51B3">
        <w:t>.</w:t>
      </w:r>
      <w:r w:rsidR="00760ED1">
        <w:rPr>
          <w:rStyle w:val="FootnoteReference"/>
        </w:rPr>
        <w:footnoteReference w:id="6"/>
      </w:r>
      <w:r w:rsidR="004D51B3">
        <w:t xml:space="preserve"> </w:t>
      </w:r>
    </w:p>
    <w:p w:rsidR="00D65581" w:rsidRDefault="00423FEE" w:rsidP="00D65581">
      <w:r>
        <w:t>CCP</w:t>
      </w:r>
      <w:r w:rsidRPr="00D65581">
        <w:t xml:space="preserve"> </w:t>
      </w:r>
      <w:r w:rsidR="00B57244">
        <w:t xml:space="preserve">member David Headberry </w:t>
      </w:r>
      <w:r w:rsidR="006E16BA">
        <w:t>noted</w:t>
      </w:r>
      <w:r w:rsidR="00D65581" w:rsidRPr="00D65581">
        <w:t xml:space="preserve"> that increased IT </w:t>
      </w:r>
      <w:r w:rsidR="0050774F">
        <w:t>capex by TasNetwork</w:t>
      </w:r>
      <w:r w:rsidR="00F86128">
        <w:t>s</w:t>
      </w:r>
      <w:r w:rsidR="00D65581" w:rsidRPr="00D65581">
        <w:t xml:space="preserve"> should lead to substantial opex savings to justify such </w:t>
      </w:r>
      <w:r w:rsidR="004D51B3" w:rsidRPr="00D65581">
        <w:t>expenditure</w:t>
      </w:r>
      <w:r w:rsidR="004D51B3">
        <w:t xml:space="preserve">. </w:t>
      </w:r>
      <w:r w:rsidR="00D65581" w:rsidRPr="00D65581">
        <w:t>This</w:t>
      </w:r>
      <w:r w:rsidR="00D75989">
        <w:t>, it state</w:t>
      </w:r>
      <w:r w:rsidR="008F25D5">
        <w:t>d</w:t>
      </w:r>
      <w:r w:rsidR="00D75989">
        <w:t>,</w:t>
      </w:r>
      <w:r w:rsidR="00D65581" w:rsidRPr="00D65581">
        <w:t xml:space="preserve"> is not reflected in the claimed opex, although there has been </w:t>
      </w:r>
      <w:r w:rsidR="0050774F">
        <w:t>a</w:t>
      </w:r>
      <w:r w:rsidR="00D65581" w:rsidRPr="00D65581">
        <w:t xml:space="preserve"> reduction </w:t>
      </w:r>
      <w:r w:rsidR="0050774F">
        <w:t>in</w:t>
      </w:r>
      <w:r w:rsidR="00D65581" w:rsidRPr="00D65581">
        <w:t xml:space="preserve"> forecast ‘business-as-usual’ opex </w:t>
      </w:r>
      <w:r w:rsidR="0050774F">
        <w:t>when using 2014-15 as the benchmark.</w:t>
      </w:r>
      <w:r w:rsidR="0050774F">
        <w:rPr>
          <w:rStyle w:val="FootnoteReference"/>
        </w:rPr>
        <w:footnoteReference w:id="7"/>
      </w:r>
      <w:r w:rsidR="0050774F">
        <w:t xml:space="preserve"> </w:t>
      </w:r>
    </w:p>
    <w:p w:rsidR="00D65581" w:rsidRDefault="00D65581" w:rsidP="00D65581">
      <w:r w:rsidRPr="00D65581">
        <w:lastRenderedPageBreak/>
        <w:t>Similarly, TasCOSS state</w:t>
      </w:r>
      <w:r w:rsidR="008F25D5">
        <w:t>d</w:t>
      </w:r>
      <w:r w:rsidRPr="00D65581">
        <w:t xml:space="preserve"> </w:t>
      </w:r>
      <w:r w:rsidR="00364F7E">
        <w:t>that while it</w:t>
      </w:r>
      <w:r w:rsidR="00364F7E" w:rsidRPr="00364F7E">
        <w:t xml:space="preserve"> welcome</w:t>
      </w:r>
      <w:r w:rsidR="00364F7E">
        <w:t>s</w:t>
      </w:r>
      <w:r w:rsidR="00364F7E" w:rsidRPr="00364F7E">
        <w:t xml:space="preserve"> the further reductions in </w:t>
      </w:r>
      <w:r w:rsidR="00364F7E">
        <w:t>opex</w:t>
      </w:r>
      <w:r w:rsidR="00364F7E" w:rsidRPr="00364F7E">
        <w:t xml:space="preserve"> proposed </w:t>
      </w:r>
      <w:r w:rsidR="00364F7E">
        <w:t xml:space="preserve">by </w:t>
      </w:r>
      <w:r w:rsidR="00364F7E" w:rsidRPr="00364F7E">
        <w:t>TasNetworks</w:t>
      </w:r>
      <w:r w:rsidR="00364F7E">
        <w:t xml:space="preserve">, its </w:t>
      </w:r>
      <w:r w:rsidRPr="00D65581">
        <w:t xml:space="preserve">significant investment in asset management and IT systems in the current period </w:t>
      </w:r>
      <w:r w:rsidR="00517FD4">
        <w:t>and</w:t>
      </w:r>
      <w:r w:rsidRPr="00D65581">
        <w:t xml:space="preserve"> </w:t>
      </w:r>
      <w:r w:rsidR="00517FD4">
        <w:t>proposed for</w:t>
      </w:r>
      <w:r w:rsidRPr="00D65581">
        <w:t xml:space="preserve"> 2017-18 do not appear to </w:t>
      </w:r>
      <w:r w:rsidR="00256A6F">
        <w:t xml:space="preserve">have been </w:t>
      </w:r>
      <w:r w:rsidRPr="00D65581">
        <w:t xml:space="preserve">reflected in reductions in </w:t>
      </w:r>
      <w:r w:rsidR="00614EF0">
        <w:t>opex</w:t>
      </w:r>
      <w:r w:rsidRPr="00D65581">
        <w:t xml:space="preserve"> as</w:t>
      </w:r>
      <w:r w:rsidR="00517FD4">
        <w:t xml:space="preserve"> </w:t>
      </w:r>
      <w:r w:rsidR="00256A6F">
        <w:t xml:space="preserve">one </w:t>
      </w:r>
      <w:r w:rsidR="00517FD4">
        <w:t xml:space="preserve">might </w:t>
      </w:r>
      <w:r w:rsidRPr="00D65581">
        <w:t>expect</w:t>
      </w:r>
      <w:r w:rsidR="00614EF0">
        <w:t>.</w:t>
      </w:r>
      <w:r w:rsidR="00C35853">
        <w:rPr>
          <w:rStyle w:val="FootnoteReference"/>
        </w:rPr>
        <w:footnoteReference w:id="8"/>
      </w:r>
      <w:r w:rsidR="00614EF0">
        <w:t xml:space="preserve"> </w:t>
      </w:r>
    </w:p>
    <w:p w:rsidR="009E42C8" w:rsidRPr="009E42C8" w:rsidRDefault="009E42C8" w:rsidP="009E42C8">
      <w:r w:rsidRPr="009E42C8">
        <w:t xml:space="preserve">A summary of stakeholder submissions on </w:t>
      </w:r>
      <w:r>
        <w:t>TasNetworks'</w:t>
      </w:r>
      <w:r w:rsidRPr="009E42C8">
        <w:t xml:space="preserve"> opex proposal and our response to the issues raised is presented in section 7.4.6.</w:t>
      </w:r>
    </w:p>
    <w:p w:rsidR="006F5027" w:rsidRPr="00D65581" w:rsidRDefault="006F5027" w:rsidP="006F5027">
      <w:pPr>
        <w:pStyle w:val="Heading2"/>
      </w:pPr>
      <w:bookmarkStart w:id="78" w:name="_Toc462755051"/>
      <w:r>
        <w:t>Assess</w:t>
      </w:r>
      <w:r w:rsidR="00C56A23">
        <w:t>ment approach</w:t>
      </w:r>
      <w:bookmarkEnd w:id="78"/>
    </w:p>
    <w:p w:rsidR="00F418B7" w:rsidRDefault="000338E8" w:rsidP="00F418B7">
      <w:r w:rsidRPr="006E58AE">
        <w:t xml:space="preserve">In assessing a </w:t>
      </w:r>
      <w:r>
        <w:t>business'</w:t>
      </w:r>
      <w:r w:rsidRPr="006E58AE">
        <w:t xml:space="preserve"> forecast of total opex, we must form a view about whether the </w:t>
      </w:r>
      <w:r w:rsidRPr="00AD3261">
        <w:t xml:space="preserve">total of the </w:t>
      </w:r>
      <w:r w:rsidRPr="006E58AE">
        <w:t>forecast reasonab</w:t>
      </w:r>
      <w:r>
        <w:t xml:space="preserve">ly </w:t>
      </w:r>
      <w:r w:rsidRPr="00AD3261">
        <w:t xml:space="preserve">reflects each of the </w:t>
      </w:r>
      <w:r>
        <w:t>opex</w:t>
      </w:r>
      <w:r w:rsidRPr="00AD3261">
        <w:t xml:space="preserve"> criteria</w:t>
      </w:r>
      <w:r w:rsidR="00F418B7" w:rsidRPr="002F6520">
        <w:t>.</w:t>
      </w:r>
      <w:r w:rsidR="00F418B7">
        <w:rPr>
          <w:rStyle w:val="FootnoteReference"/>
        </w:rPr>
        <w:footnoteReference w:id="9"/>
      </w:r>
      <w:r w:rsidR="00F418B7" w:rsidRPr="002F6520">
        <w:t xml:space="preserve"> If we are satisfied</w:t>
      </w:r>
      <w:r w:rsidR="0008224C">
        <w:t xml:space="preserve"> it </w:t>
      </w:r>
      <w:r w:rsidR="00BE01C4" w:rsidRPr="00BE01C4">
        <w:t>reasonably reflects those criteria</w:t>
      </w:r>
      <w:r w:rsidR="00F418B7" w:rsidRPr="002F6520">
        <w:t xml:space="preserve">, we </w:t>
      </w:r>
      <w:r w:rsidR="00BE01C4">
        <w:t xml:space="preserve">must </w:t>
      </w:r>
      <w:r w:rsidR="00F418B7" w:rsidRPr="002F6520">
        <w:t xml:space="preserve">accept </w:t>
      </w:r>
      <w:r w:rsidR="0033535C">
        <w:t xml:space="preserve">the </w:t>
      </w:r>
      <w:r w:rsidR="00D72B29">
        <w:t>business</w:t>
      </w:r>
      <w:r w:rsidR="0033535C">
        <w:t>'</w:t>
      </w:r>
      <w:r w:rsidR="00F418B7" w:rsidRPr="002F6520">
        <w:t xml:space="preserve"> forecast.</w:t>
      </w:r>
      <w:r w:rsidR="00F418B7">
        <w:rPr>
          <w:rStyle w:val="FootnoteReference"/>
        </w:rPr>
        <w:footnoteReference w:id="10"/>
      </w:r>
      <w:r w:rsidR="00F418B7" w:rsidRPr="002F6520">
        <w:t xml:space="preserve"> </w:t>
      </w:r>
      <w:r w:rsidR="00693BA7">
        <w:t xml:space="preserve">If we are not satisfied, </w:t>
      </w:r>
      <w:r w:rsidR="00F418B7" w:rsidRPr="002F6520">
        <w:t xml:space="preserve">we substitute </w:t>
      </w:r>
      <w:r w:rsidR="0008224C">
        <w:t xml:space="preserve">the </w:t>
      </w:r>
      <w:r w:rsidR="00D72B29">
        <w:t>business</w:t>
      </w:r>
      <w:r w:rsidR="00454739">
        <w:t>'</w:t>
      </w:r>
      <w:r w:rsidR="0008224C">
        <w:t xml:space="preserve"> forecast with our</w:t>
      </w:r>
      <w:r w:rsidR="0033535C">
        <w:t xml:space="preserve"> alternative </w:t>
      </w:r>
      <w:r w:rsidR="00F418B7" w:rsidRPr="002F6520">
        <w:t>estimate</w:t>
      </w:r>
      <w:r w:rsidR="00A740BC">
        <w:t xml:space="preserve"> of the business' opex</w:t>
      </w:r>
      <w:r w:rsidR="00F418B7" w:rsidRPr="002F6520">
        <w:t>.</w:t>
      </w:r>
      <w:r w:rsidR="00F418B7">
        <w:rPr>
          <w:rStyle w:val="FootnoteReference"/>
        </w:rPr>
        <w:footnoteReference w:id="11"/>
      </w:r>
    </w:p>
    <w:p w:rsidR="00272D5D" w:rsidRDefault="00272D5D" w:rsidP="00F418B7">
      <w:r>
        <w:t xml:space="preserve">Our </w:t>
      </w:r>
      <w:r w:rsidRPr="00272D5D">
        <w:t xml:space="preserve">view as to whether a </w:t>
      </w:r>
      <w:r>
        <w:t xml:space="preserve">network business' </w:t>
      </w:r>
      <w:r w:rsidRPr="00272D5D">
        <w:t xml:space="preserve">proposal is reasonable is not a separate exercise from determining </w:t>
      </w:r>
      <w:r w:rsidR="0066154A">
        <w:t>an alternative opex forecast</w:t>
      </w:r>
      <w:r>
        <w:t xml:space="preserve">. </w:t>
      </w:r>
      <w:r w:rsidR="009D0924">
        <w:t xml:space="preserve">We </w:t>
      </w:r>
      <w:r w:rsidRPr="00272D5D">
        <w:t xml:space="preserve">assess a </w:t>
      </w:r>
      <w:r w:rsidR="009D0924">
        <w:t xml:space="preserve">business' </w:t>
      </w:r>
      <w:r w:rsidRPr="00272D5D">
        <w:t xml:space="preserve">opex </w:t>
      </w:r>
      <w:r w:rsidR="009D0924">
        <w:t xml:space="preserve">proposal </w:t>
      </w:r>
      <w:r w:rsidRPr="00272D5D">
        <w:t xml:space="preserve">by determining </w:t>
      </w:r>
      <w:r w:rsidR="009D0924">
        <w:t>our</w:t>
      </w:r>
      <w:r w:rsidRPr="00272D5D">
        <w:t xml:space="preserve"> own opex forecast</w:t>
      </w:r>
      <w:r w:rsidR="009D0924">
        <w:t xml:space="preserve">. We have discretion </w:t>
      </w:r>
      <w:r w:rsidRPr="00272D5D">
        <w:t xml:space="preserve">to determine whether the difference between </w:t>
      </w:r>
      <w:r w:rsidR="009D0924">
        <w:t>our</w:t>
      </w:r>
      <w:r w:rsidRPr="00272D5D">
        <w:t xml:space="preserve"> forecast </w:t>
      </w:r>
      <w:r w:rsidR="009D0924">
        <w:t xml:space="preserve">opex </w:t>
      </w:r>
      <w:r w:rsidRPr="00272D5D">
        <w:t xml:space="preserve">and the </w:t>
      </w:r>
      <w:r w:rsidR="009D0924">
        <w:t>business'</w:t>
      </w:r>
      <w:r w:rsidRPr="00272D5D">
        <w:t xml:space="preserve"> </w:t>
      </w:r>
      <w:r w:rsidR="009D0924">
        <w:t xml:space="preserve">proposed </w:t>
      </w:r>
      <w:r w:rsidRPr="00272D5D">
        <w:t xml:space="preserve">opex is such that </w:t>
      </w:r>
      <w:r w:rsidR="009D0924">
        <w:t>we</w:t>
      </w:r>
      <w:r w:rsidRPr="00272D5D">
        <w:t xml:space="preserve"> should accept the </w:t>
      </w:r>
      <w:r w:rsidR="009D0924">
        <w:t>business'</w:t>
      </w:r>
      <w:r w:rsidRPr="00272D5D">
        <w:t xml:space="preserve"> opex as reasonable</w:t>
      </w:r>
      <w:r w:rsidR="009D0924">
        <w:t xml:space="preserve">. </w:t>
      </w:r>
    </w:p>
    <w:p w:rsidR="0008224C" w:rsidRDefault="00641CE9" w:rsidP="00F418B7">
      <w:r>
        <w:t>W</w:t>
      </w:r>
      <w:r w:rsidR="00F32915">
        <w:t xml:space="preserve">e apply </w:t>
      </w:r>
      <w:r w:rsidR="00D804A8">
        <w:t>the</w:t>
      </w:r>
      <w:r w:rsidR="00F32915">
        <w:t xml:space="preserve"> </w:t>
      </w:r>
      <w:r>
        <w:t>'</w:t>
      </w:r>
      <w:r w:rsidR="00F32915">
        <w:t>base-step-trend</w:t>
      </w:r>
      <w:r w:rsidR="000722AC">
        <w:t>'</w:t>
      </w:r>
      <w:r w:rsidR="00F32915">
        <w:t xml:space="preserve"> </w:t>
      </w:r>
      <w:r w:rsidR="000722AC">
        <w:t xml:space="preserve">forecasting </w:t>
      </w:r>
      <w:r w:rsidR="00F32915">
        <w:t>approach</w:t>
      </w:r>
      <w:r>
        <w:t xml:space="preserve"> to develop </w:t>
      </w:r>
      <w:r w:rsidR="003945F5">
        <w:t xml:space="preserve">our </w:t>
      </w:r>
      <w:r>
        <w:t>alternative estimate</w:t>
      </w:r>
      <w:r w:rsidR="00340144">
        <w:t xml:space="preserve"> </w:t>
      </w:r>
      <w:r w:rsidR="000722AC">
        <w:t xml:space="preserve">of efficient costs </w:t>
      </w:r>
      <w:r w:rsidR="00340144">
        <w:t xml:space="preserve">to compare against the </w:t>
      </w:r>
      <w:r w:rsidR="00A740BC">
        <w:t>business'</w:t>
      </w:r>
      <w:r w:rsidR="00340144">
        <w:t xml:space="preserve"> proposal</w:t>
      </w:r>
      <w:r>
        <w:t xml:space="preserve">. </w:t>
      </w:r>
      <w:r w:rsidR="003D118B">
        <w:t>This approach is consistent with an economic</w:t>
      </w:r>
      <w:r w:rsidR="00F10A5F">
        <w:t xml:space="preserve">, incentive-based </w:t>
      </w:r>
      <w:r w:rsidR="001C3994">
        <w:t xml:space="preserve">regulatory </w:t>
      </w:r>
      <w:r w:rsidR="00F10A5F">
        <w:t xml:space="preserve">framework. </w:t>
      </w:r>
      <w:r w:rsidR="00F10A5F" w:rsidRPr="00F10A5F">
        <w:t>It allows us to leave the minutiae of input and output decision-making to the business</w:t>
      </w:r>
      <w:r w:rsidR="00F10A5F">
        <w:t>.</w:t>
      </w:r>
      <w:r w:rsidR="009D0924">
        <w:t xml:space="preserve"> Our </w:t>
      </w:r>
      <w:r w:rsidR="009D0924" w:rsidRPr="009D0924">
        <w:t xml:space="preserve">role is to allow </w:t>
      </w:r>
      <w:r w:rsidR="009D0924">
        <w:t xml:space="preserve">the business </w:t>
      </w:r>
      <w:r w:rsidR="009D0924" w:rsidRPr="009D0924">
        <w:t>the flexibility to manage its assets and labour as it sees fit to achieve the NEO.</w:t>
      </w:r>
    </w:p>
    <w:p w:rsidR="003945F5" w:rsidRPr="00F10A5F" w:rsidRDefault="00701CC6" w:rsidP="00141250">
      <w:r>
        <w:t>First, w</w:t>
      </w:r>
      <w:r w:rsidR="00F10A5F">
        <w:t>e u</w:t>
      </w:r>
      <w:r w:rsidR="003945F5" w:rsidRPr="00F10A5F">
        <w:t xml:space="preserve">se the business' </w:t>
      </w:r>
      <w:r w:rsidR="00EE6F4F">
        <w:t xml:space="preserve">audited </w:t>
      </w:r>
      <w:r w:rsidR="00A740BC" w:rsidRPr="00F10A5F">
        <w:t>historical</w:t>
      </w:r>
      <w:r w:rsidR="003945F5" w:rsidRPr="00F10A5F">
        <w:t xml:space="preserve"> cost</w:t>
      </w:r>
      <w:r w:rsidR="00A740BC" w:rsidRPr="00F10A5F">
        <w:t>s</w:t>
      </w:r>
      <w:r w:rsidR="003945F5" w:rsidRPr="00F10A5F">
        <w:t xml:space="preserve"> in a </w:t>
      </w:r>
      <w:r w:rsidR="00EE6F4F">
        <w:t>recent</w:t>
      </w:r>
      <w:r w:rsidR="00EE6F4F" w:rsidRPr="00F10A5F">
        <w:t xml:space="preserve"> </w:t>
      </w:r>
      <w:r w:rsidR="003945F5" w:rsidRPr="00F10A5F">
        <w:t>year as a starting point</w:t>
      </w:r>
      <w:r w:rsidR="00F10A5F">
        <w:t xml:space="preserve"> for our forecast</w:t>
      </w:r>
      <w:r w:rsidR="003945F5" w:rsidRPr="00F10A5F">
        <w:t xml:space="preserve">. We call this </w:t>
      </w:r>
      <w:r w:rsidR="00454A4C" w:rsidRPr="00F10A5F">
        <w:t>'</w:t>
      </w:r>
      <w:r w:rsidR="003945F5" w:rsidRPr="00F10A5F">
        <w:t>base opex</w:t>
      </w:r>
      <w:r w:rsidR="00454A4C" w:rsidRPr="00F10A5F">
        <w:t>'</w:t>
      </w:r>
      <w:r w:rsidR="003945F5" w:rsidRPr="00F10A5F">
        <w:t xml:space="preserve">. </w:t>
      </w:r>
      <w:r w:rsidR="00F10A5F">
        <w:t xml:space="preserve">Our </w:t>
      </w:r>
      <w:r w:rsidR="00F10A5F" w:rsidRPr="00F10A5F">
        <w:t xml:space="preserve">benchmarking </w:t>
      </w:r>
      <w:r w:rsidR="00F10A5F">
        <w:t xml:space="preserve">results provide </w:t>
      </w:r>
      <w:r w:rsidR="00F10A5F" w:rsidRPr="009509D0">
        <w:t xml:space="preserve">information about </w:t>
      </w:r>
      <w:r>
        <w:t>whether the business is operating efficiently. W</w:t>
      </w:r>
      <w:r w:rsidR="00F10A5F" w:rsidRPr="00F10A5F">
        <w:t>e look for evidence of 'material inefficiencies' in a network business' base opex</w:t>
      </w:r>
      <w:r>
        <w:t xml:space="preserve"> to determine if we can rely on 'revealed costs', or </w:t>
      </w:r>
      <w:r w:rsidR="00567991">
        <w:t xml:space="preserve">if </w:t>
      </w:r>
      <w:r w:rsidRPr="009509D0">
        <w:t>an adjustment to base opex is required</w:t>
      </w:r>
      <w:r w:rsidR="00F10A5F" w:rsidRPr="00F10A5F">
        <w:t>.</w:t>
      </w:r>
      <w:r w:rsidR="009D0924">
        <w:t xml:space="preserve"> B</w:t>
      </w:r>
      <w:r w:rsidR="009D0924" w:rsidRPr="00272D5D">
        <w:t xml:space="preserve">enchmarking </w:t>
      </w:r>
      <w:r w:rsidR="009D0924">
        <w:t xml:space="preserve">a network business </w:t>
      </w:r>
      <w:r w:rsidR="009D0924" w:rsidRPr="00272D5D">
        <w:t>against others provide</w:t>
      </w:r>
      <w:r w:rsidR="009D0924">
        <w:t>s</w:t>
      </w:r>
      <w:r w:rsidR="009D0924" w:rsidRPr="00272D5D">
        <w:t xml:space="preserve"> an indication of whether the proposal is reasonable and </w:t>
      </w:r>
      <w:r w:rsidR="00EE6F4F">
        <w:t xml:space="preserve">if not, </w:t>
      </w:r>
      <w:r w:rsidR="009D0924" w:rsidRPr="00272D5D">
        <w:t>what a substitute should be</w:t>
      </w:r>
      <w:r w:rsidR="009D0924">
        <w:t>.</w:t>
      </w:r>
    </w:p>
    <w:p w:rsidR="003945F5" w:rsidRPr="00701CC6" w:rsidRDefault="00701CC6" w:rsidP="00141250">
      <w:r>
        <w:t xml:space="preserve">Second, we </w:t>
      </w:r>
      <w:r w:rsidR="003945F5" w:rsidRPr="00701CC6">
        <w:t>trend base opex forward by applying our forecast of the 'rate of change'. This account</w:t>
      </w:r>
      <w:r w:rsidR="00886D90">
        <w:t>s</w:t>
      </w:r>
      <w:r w:rsidR="003945F5" w:rsidRPr="00701CC6">
        <w:t xml:space="preserve"> for forecast growth in </w:t>
      </w:r>
      <w:r w:rsidR="00044906">
        <w:t xml:space="preserve">input </w:t>
      </w:r>
      <w:r w:rsidR="003945F5" w:rsidRPr="00701CC6">
        <w:t xml:space="preserve">prices, output and productivity over the </w:t>
      </w:r>
      <w:r w:rsidR="003945F5" w:rsidRPr="00701CC6">
        <w:lastRenderedPageBreak/>
        <w:t xml:space="preserve">regulatory control period. </w:t>
      </w:r>
      <w:r w:rsidR="00870B05">
        <w:t>We make use of expert and independent information sources</w:t>
      </w:r>
      <w:r w:rsidR="00C02E18">
        <w:t xml:space="preserve">, such as </w:t>
      </w:r>
      <w:r w:rsidR="00851BC3">
        <w:t>forecast</w:t>
      </w:r>
      <w:r w:rsidR="00454739">
        <w:t>s</w:t>
      </w:r>
      <w:r w:rsidR="00141250">
        <w:t xml:space="preserve"> </w:t>
      </w:r>
      <w:r w:rsidR="00C02E18">
        <w:t xml:space="preserve">of </w:t>
      </w:r>
      <w:r w:rsidR="00141250">
        <w:t xml:space="preserve">labour </w:t>
      </w:r>
      <w:r w:rsidR="00851BC3">
        <w:t>price growth</w:t>
      </w:r>
      <w:r w:rsidR="00141250">
        <w:t>.</w:t>
      </w:r>
    </w:p>
    <w:p w:rsidR="003945F5" w:rsidRPr="00F10A5F" w:rsidRDefault="00701CC6" w:rsidP="00141250">
      <w:r>
        <w:t xml:space="preserve">Third, we </w:t>
      </w:r>
      <w:r w:rsidR="003945F5" w:rsidRPr="00701CC6">
        <w:t>add or subtract any components of opex that are not captured in base opex or the rate of change</w:t>
      </w:r>
      <w:r w:rsidR="00044906">
        <w:t>—that is,</w:t>
      </w:r>
      <w:r w:rsidR="003945F5" w:rsidRPr="00701CC6">
        <w:t xml:space="preserve"> 'step changes'</w:t>
      </w:r>
      <w:r w:rsidR="00E94666">
        <w:t xml:space="preserve"> </w:t>
      </w:r>
      <w:r w:rsidR="00044906">
        <w:t>or, possibly,</w:t>
      </w:r>
      <w:r w:rsidR="00E94666">
        <w:t xml:space="preserve"> category specific forecasts</w:t>
      </w:r>
      <w:r w:rsidR="003945F5" w:rsidRPr="00701CC6">
        <w:t>.</w:t>
      </w:r>
      <w:r>
        <w:t xml:space="preserve"> In particular, we consider whether new regulatory obligations have been imposed on a network business and, if so, we assess the prudenc</w:t>
      </w:r>
      <w:r w:rsidR="00F65783">
        <w:t>y</w:t>
      </w:r>
      <w:r>
        <w:t xml:space="preserve"> and efficiency of </w:t>
      </w:r>
      <w:r w:rsidR="00886D90">
        <w:t xml:space="preserve">the associated </w:t>
      </w:r>
      <w:r>
        <w:t>forecast cost increases or decreases</w:t>
      </w:r>
      <w:r w:rsidR="00886D90">
        <w:t>.</w:t>
      </w:r>
    </w:p>
    <w:p w:rsidR="00C02E18" w:rsidRDefault="00A425F1" w:rsidP="00A425F1">
      <w:r w:rsidRPr="00A425F1">
        <w:rPr>
          <w:rStyle w:val="AERbody"/>
        </w:rPr>
        <w:t xml:space="preserve">If a business' total opex forecast is materially higher than our estimate, we undertake further investigation and analysis. We </w:t>
      </w:r>
      <w:r w:rsidRPr="00A425F1">
        <w:t>identify all differences between our estimate and the business' forecast</w:t>
      </w:r>
      <w:r w:rsidR="001E3599" w:rsidRPr="00F87395">
        <w:t>.</w:t>
      </w:r>
      <w:r w:rsidR="001E3599">
        <w:t xml:space="preserve"> </w:t>
      </w:r>
      <w:r w:rsidRPr="00A425F1">
        <w:t>Having identified the differences, we assess whether the business' forecasting method, inputs and assumptions are reasonable, and assess the business' explanation of how that method result</w:t>
      </w:r>
      <w:r w:rsidR="00F50DF1">
        <w:t>s</w:t>
      </w:r>
      <w:r w:rsidRPr="00A425F1">
        <w:t xml:space="preserve"> in a</w:t>
      </w:r>
      <w:r>
        <w:t xml:space="preserve"> prudent and efficient forecast</w:t>
      </w:r>
      <w:r w:rsidR="00D72B29" w:rsidRPr="00DB6A34">
        <w:t>.</w:t>
      </w:r>
      <w:r w:rsidR="00D72B29">
        <w:t xml:space="preserve"> </w:t>
      </w:r>
      <w:r w:rsidR="001E3599">
        <w:t>We ma</w:t>
      </w:r>
      <w:r w:rsidR="001E11EE">
        <w:t>y</w:t>
      </w:r>
      <w:r w:rsidR="0099490A">
        <w:t xml:space="preserve"> </w:t>
      </w:r>
      <w:r w:rsidR="001E3599">
        <w:t>seek further information</w:t>
      </w:r>
      <w:r w:rsidR="001E11EE">
        <w:t xml:space="preserve"> from the business</w:t>
      </w:r>
      <w:r>
        <w:t>,</w:t>
      </w:r>
      <w:r w:rsidR="001E11EE">
        <w:t xml:space="preserve"> or other stakeholders</w:t>
      </w:r>
      <w:r w:rsidR="001E3599">
        <w:t xml:space="preserve">. </w:t>
      </w:r>
    </w:p>
    <w:p w:rsidR="00886D90" w:rsidRDefault="00DC6D46" w:rsidP="00A425F1">
      <w:r>
        <w:t>If we ultimately find</w:t>
      </w:r>
      <w:r w:rsidRPr="00FF1055">
        <w:t xml:space="preserve"> no satisfactory explanation for </w:t>
      </w:r>
      <w:r>
        <w:t>the</w:t>
      </w:r>
      <w:r w:rsidRPr="00FF1055">
        <w:t xml:space="preserve"> difference</w:t>
      </w:r>
      <w:r>
        <w:t xml:space="preserve"> between our estimate and the business' </w:t>
      </w:r>
      <w:r w:rsidR="00C02E18">
        <w:t xml:space="preserve">total opex </w:t>
      </w:r>
      <w:r>
        <w:t>forecast</w:t>
      </w:r>
      <w:r w:rsidRPr="00FF1055">
        <w:t xml:space="preserve">, we </w:t>
      </w:r>
      <w:r w:rsidR="00C02E18">
        <w:t>may</w:t>
      </w:r>
      <w:r w:rsidR="00C02E18" w:rsidRPr="00FF1055">
        <w:t xml:space="preserve"> </w:t>
      </w:r>
      <w:r w:rsidRPr="00FF1055">
        <w:t xml:space="preserve">form the view </w:t>
      </w:r>
      <w:r>
        <w:t xml:space="preserve">the business' forecast </w:t>
      </w:r>
      <w:r w:rsidR="00BE01C4" w:rsidRPr="00BE01C4">
        <w:t xml:space="preserve">does not reasonably reflect the </w:t>
      </w:r>
      <w:r w:rsidR="00090124">
        <w:t>opex</w:t>
      </w:r>
      <w:r w:rsidR="00BE01C4" w:rsidRPr="00BE01C4">
        <w:t xml:space="preserve"> criteria</w:t>
      </w:r>
      <w:r w:rsidR="00C02E18">
        <w:t>,</w:t>
      </w:r>
      <w:r>
        <w:t xml:space="preserve"> and substitute it with our own</w:t>
      </w:r>
      <w:r w:rsidR="00C02E18">
        <w:t xml:space="preserve"> forecast</w:t>
      </w:r>
      <w:r w:rsidRPr="00FF1055">
        <w:t>.</w:t>
      </w:r>
    </w:p>
    <w:p w:rsidR="00DC6D46" w:rsidRDefault="00DC6D46" w:rsidP="005E4159">
      <w:r>
        <w:t>I</w:t>
      </w:r>
      <w:r w:rsidRPr="00A425F1">
        <w:t>f our alternative estimate demonstrates that the business' total opex forecast</w:t>
      </w:r>
      <w:r w:rsidR="00BE01C4">
        <w:t xml:space="preserve"> </w:t>
      </w:r>
      <w:r w:rsidR="00BE01C4" w:rsidRPr="00BE01C4">
        <w:t xml:space="preserve">reasonably reflects the </w:t>
      </w:r>
      <w:r w:rsidR="00090124">
        <w:t>opex</w:t>
      </w:r>
      <w:r w:rsidR="00BE01C4" w:rsidRPr="00BE01C4">
        <w:t xml:space="preserve"> criteria</w:t>
      </w:r>
      <w:r w:rsidRPr="00A425F1">
        <w:t>, we will accept the forecast.</w:t>
      </w:r>
      <w:r>
        <w:rPr>
          <w:rStyle w:val="FootnoteReference"/>
        </w:rPr>
        <w:footnoteReference w:id="12"/>
      </w:r>
      <w:r w:rsidRPr="00A425F1">
        <w:t xml:space="preserve"> </w:t>
      </w:r>
      <w:r w:rsidR="00550C13">
        <w:t xml:space="preserve">If so, we are unlikely to undertake a more detailed assessment </w:t>
      </w:r>
      <w:r w:rsidRPr="00A425F1">
        <w:t>of the business' proposal</w:t>
      </w:r>
      <w:r>
        <w:t>.</w:t>
      </w:r>
    </w:p>
    <w:p w:rsidR="00B53D33" w:rsidRDefault="00B53D33" w:rsidP="00095A34">
      <w:pPr>
        <w:pStyle w:val="Heading3"/>
      </w:pPr>
      <w:bookmarkStart w:id="79" w:name="_Toc462755052"/>
      <w:r>
        <w:t>The National Electricity Objective, and the opex criteria, objective and factors</w:t>
      </w:r>
      <w:bookmarkEnd w:id="79"/>
    </w:p>
    <w:p w:rsidR="00B53D33" w:rsidRDefault="00BE01C4" w:rsidP="00B92906">
      <w:r w:rsidRPr="00BE01C4">
        <w:t xml:space="preserve">We must make determinations that will or will be likely to contribute to the achievement of </w:t>
      </w:r>
      <w:r>
        <w:t>t</w:t>
      </w:r>
      <w:r w:rsidR="00EE719B">
        <w:t xml:space="preserve">he National </w:t>
      </w:r>
      <w:r w:rsidR="00025788">
        <w:t>electricity</w:t>
      </w:r>
      <w:r w:rsidR="00EE719B">
        <w:t xml:space="preserve"> objective</w:t>
      </w:r>
      <w:r w:rsidR="00025788">
        <w:t xml:space="preserve"> </w:t>
      </w:r>
      <w:r w:rsidR="009C07C1">
        <w:t>(NEO)</w:t>
      </w:r>
      <w:r>
        <w:t>—that is, that</w:t>
      </w:r>
      <w:r w:rsidR="00025788">
        <w:t xml:space="preserve"> </w:t>
      </w:r>
      <w:r>
        <w:t>promote</w:t>
      </w:r>
      <w:r w:rsidR="00285AC1">
        <w:t xml:space="preserve"> efficient outcomes </w:t>
      </w:r>
      <w:r>
        <w:t xml:space="preserve">for </w:t>
      </w:r>
      <w:r w:rsidR="00285AC1">
        <w:t>the benefit of consumers in the long term.</w:t>
      </w:r>
      <w:r w:rsidR="00B92906">
        <w:t xml:space="preserve"> </w:t>
      </w:r>
    </w:p>
    <w:p w:rsidR="00044906" w:rsidRDefault="00EE6F4F" w:rsidP="00B92906">
      <w:r>
        <w:t>W</w:t>
      </w:r>
      <w:r w:rsidR="00BE01C4" w:rsidRPr="00BE01C4">
        <w:t xml:space="preserve">e must </w:t>
      </w:r>
      <w:r w:rsidR="00BE01C4">
        <w:t xml:space="preserve">form a view on whether the </w:t>
      </w:r>
      <w:r>
        <w:t xml:space="preserve">business' </w:t>
      </w:r>
      <w:r w:rsidR="00285AC1">
        <w:t xml:space="preserve">opex </w:t>
      </w:r>
      <w:r>
        <w:t xml:space="preserve">proposal </w:t>
      </w:r>
      <w:r w:rsidR="00BE01C4" w:rsidRPr="00BE01C4">
        <w:t xml:space="preserve">reasonably reflects </w:t>
      </w:r>
      <w:r w:rsidR="00285AC1">
        <w:t xml:space="preserve">the </w:t>
      </w:r>
      <w:r w:rsidR="00B92906">
        <w:t>'</w:t>
      </w:r>
      <w:r w:rsidR="00285AC1">
        <w:t>opex criteria</w:t>
      </w:r>
      <w:r w:rsidR="00B92906">
        <w:t>'</w:t>
      </w:r>
      <w:r w:rsidR="00285AC1">
        <w:t xml:space="preserve"> </w:t>
      </w:r>
      <w:r>
        <w:t>as mentioned above</w:t>
      </w:r>
      <w:r w:rsidR="009C07C1">
        <w:t>.</w:t>
      </w:r>
      <w:r w:rsidR="009D5839">
        <w:rPr>
          <w:rStyle w:val="FootnoteReference"/>
        </w:rPr>
        <w:footnoteReference w:id="13"/>
      </w:r>
      <w:r w:rsidR="009C07C1">
        <w:t xml:space="preserve"> </w:t>
      </w:r>
    </w:p>
    <w:p w:rsidR="0012372E" w:rsidRDefault="0012372E" w:rsidP="00B92906">
      <w:r w:rsidRPr="0012372E">
        <w:t>The opex criteria direct attention to the opex objectives.</w:t>
      </w:r>
      <w:r>
        <w:rPr>
          <w:rStyle w:val="FootnoteReference"/>
        </w:rPr>
        <w:footnoteReference w:id="14"/>
      </w:r>
      <w:r>
        <w:t xml:space="preserve"> </w:t>
      </w:r>
      <w:r w:rsidRPr="0012372E">
        <w:t xml:space="preserve">The focus of the opex objectives is </w:t>
      </w:r>
      <w:r>
        <w:t xml:space="preserve">on </w:t>
      </w:r>
      <w:r w:rsidRPr="0012372E">
        <w:t>the performance outputs of the business</w:t>
      </w:r>
      <w:r>
        <w:t>, including:</w:t>
      </w:r>
      <w:r w:rsidRPr="0012372E">
        <w:t xml:space="preserve"> meeting demand for distribution services, compliance with regulatory obligations, maintaining the quality, reliability and security of supply of services, and maintaining the reliability, security and safety of the distribution system.</w:t>
      </w:r>
    </w:p>
    <w:p w:rsidR="00EE719B" w:rsidRPr="005E4159" w:rsidRDefault="0012372E" w:rsidP="00B92906">
      <w:r>
        <w:lastRenderedPageBreak/>
        <w:t xml:space="preserve">In </w:t>
      </w:r>
      <w:r w:rsidR="003C0D82">
        <w:t>considering whether the opex forecast reasonably reflects</w:t>
      </w:r>
      <w:r w:rsidR="0044509E">
        <w:t xml:space="preserve"> the opex criteria</w:t>
      </w:r>
      <w:r>
        <w:t>,</w:t>
      </w:r>
      <w:r w:rsidR="0044509E">
        <w:t xml:space="preserve"> </w:t>
      </w:r>
      <w:r w:rsidR="003C0D82">
        <w:t xml:space="preserve">we must have regard to the </w:t>
      </w:r>
      <w:r>
        <w:t>'</w:t>
      </w:r>
      <w:r w:rsidR="003C0D82">
        <w:t>opex factors</w:t>
      </w:r>
      <w:r>
        <w:t>' specified in the NER</w:t>
      </w:r>
      <w:r w:rsidR="003C0D82">
        <w:t>.</w:t>
      </w:r>
      <w:r>
        <w:rPr>
          <w:rStyle w:val="FootnoteReference"/>
        </w:rPr>
        <w:footnoteReference w:id="15"/>
      </w:r>
      <w:r w:rsidR="003C0D82">
        <w:t xml:space="preserve"> </w:t>
      </w:r>
      <w:r w:rsidR="007D0761">
        <w:t>Section 7.4.7 describes the opex factors and</w:t>
      </w:r>
      <w:r w:rsidR="00C21D50">
        <w:t xml:space="preserve"> </w:t>
      </w:r>
      <w:r w:rsidR="004634AD">
        <w:t>how we have had regard to each of these</w:t>
      </w:r>
      <w:r w:rsidR="009D5839">
        <w:t xml:space="preserve"> in our </w:t>
      </w:r>
      <w:r w:rsidR="009F2BA1">
        <w:t xml:space="preserve">draft </w:t>
      </w:r>
      <w:r w:rsidR="009D5839">
        <w:t>decision</w:t>
      </w:r>
      <w:r w:rsidR="007D0761">
        <w:t xml:space="preserve">. </w:t>
      </w:r>
    </w:p>
    <w:p w:rsidR="00C56A23" w:rsidRDefault="00C56A23" w:rsidP="00F418B7">
      <w:pPr>
        <w:pStyle w:val="Heading2"/>
      </w:pPr>
      <w:bookmarkStart w:id="80" w:name="_Toc462755053"/>
      <w:r>
        <w:t xml:space="preserve">Reasons for </w:t>
      </w:r>
      <w:r w:rsidR="004A4ABC">
        <w:t>draft</w:t>
      </w:r>
      <w:r>
        <w:t xml:space="preserve"> decision</w:t>
      </w:r>
      <w:bookmarkEnd w:id="80"/>
    </w:p>
    <w:p w:rsidR="00982AAB" w:rsidRDefault="003E114C" w:rsidP="003E114C">
      <w:r>
        <w:t>Our alternative estimate of forecast total opex is $</w:t>
      </w:r>
      <w:r w:rsidR="00451A41">
        <w:t>140.6</w:t>
      </w:r>
      <w:r>
        <w:t> million ($2016–17)</w:t>
      </w:r>
      <w:r w:rsidR="00D06284">
        <w:t>.</w:t>
      </w:r>
      <w:r>
        <w:rPr>
          <w:rStyle w:val="FootnoteReference"/>
        </w:rPr>
        <w:footnoteReference w:id="16"/>
      </w:r>
      <w:r w:rsidR="00D06284">
        <w:t xml:space="preserve"> This</w:t>
      </w:r>
      <w:r>
        <w:t xml:space="preserve"> is $</w:t>
      </w:r>
      <w:r w:rsidR="00451A41">
        <w:t>17.5</w:t>
      </w:r>
      <w:r>
        <w:t xml:space="preserve"> million higher than TasNetworks' proposal. </w:t>
      </w:r>
    </w:p>
    <w:p w:rsidR="003E114C" w:rsidRDefault="00E94666" w:rsidP="003E114C">
      <w:r>
        <w:t>O</w:t>
      </w:r>
      <w:r w:rsidR="003E114C">
        <w:t xml:space="preserve">ur </w:t>
      </w:r>
      <w:r w:rsidR="003E114C" w:rsidRPr="002A0CBA">
        <w:t>draft decision is to accept TasNetworks' opex forecast of $123.1 million ($2016–17) over the 2017</w:t>
      </w:r>
      <w:r w:rsidR="003E114C">
        <w:t>–</w:t>
      </w:r>
      <w:r w:rsidR="003E114C" w:rsidRPr="002A0CBA">
        <w:t>19 regulatory period.</w:t>
      </w:r>
      <w:r w:rsidR="00982AAB">
        <w:t xml:space="preserve"> </w:t>
      </w:r>
      <w:r w:rsidR="00982AAB" w:rsidRPr="006C7C0E">
        <w:t>We are satisfied the opex forecast reasonably reflects the efficient costs that a prudent operator would require to maintain the quality of supply, reliability, security and safety of the network, while complying with all regulatory obligations and given expected demand and cost inputs.</w:t>
      </w:r>
    </w:p>
    <w:p w:rsidR="009F58FC" w:rsidRDefault="005359F9" w:rsidP="00B94103">
      <w:r>
        <w:t xml:space="preserve">This section outlines the key inputs and assumptions we made in developing our </w:t>
      </w:r>
      <w:r w:rsidR="00254EB5">
        <w:t xml:space="preserve">alternative estimate of efficient costs over 2017–19. The key difference between our estimate and TasNetworks' proposal </w:t>
      </w:r>
      <w:r w:rsidR="00691944">
        <w:t xml:space="preserve">is </w:t>
      </w:r>
      <w:r w:rsidR="00A97616">
        <w:t xml:space="preserve">how we calculated the </w:t>
      </w:r>
      <w:r w:rsidR="00691944">
        <w:t>change</w:t>
      </w:r>
      <w:r w:rsidR="00A97616">
        <w:t xml:space="preserve"> in opex between the base year and beginning of the 2017–19 regulatory control period (discussed in section 7.2). We also differ in our respective forecasts of productivity growth</w:t>
      </w:r>
      <w:r w:rsidR="00E94666">
        <w:t xml:space="preserve"> (section 7.4.2)</w:t>
      </w:r>
      <w:r w:rsidR="00254EB5">
        <w:t xml:space="preserve">. </w:t>
      </w:r>
      <w:r w:rsidR="00BA36A8">
        <w:t xml:space="preserve">The </w:t>
      </w:r>
      <w:r w:rsidR="00BC1B84">
        <w:t>opex model we</w:t>
      </w:r>
      <w:r w:rsidR="00BA36A8">
        <w:t xml:space="preserve"> used to calculate </w:t>
      </w:r>
      <w:r w:rsidR="006E06B6">
        <w:t>our alternative estimate is published on our website.</w:t>
      </w:r>
      <w:r w:rsidR="00BE01C4">
        <w:rPr>
          <w:rStyle w:val="FootnoteReference"/>
        </w:rPr>
        <w:footnoteReference w:id="17"/>
      </w:r>
    </w:p>
    <w:p w:rsidR="00D37477" w:rsidRDefault="00B51EDF" w:rsidP="00B94103">
      <w:r>
        <w:fldChar w:fldCharType="begin"/>
      </w:r>
      <w:r>
        <w:instrText xml:space="preserve"> REF _Ref458083365 \h </w:instrText>
      </w:r>
      <w:r>
        <w:fldChar w:fldCharType="separate"/>
      </w:r>
      <w:r w:rsidR="00805AAE">
        <w:t xml:space="preserve">Table </w:t>
      </w:r>
      <w:r w:rsidR="00805AAE">
        <w:rPr>
          <w:noProof/>
        </w:rPr>
        <w:t>7</w:t>
      </w:r>
      <w:r w:rsidR="00805AAE">
        <w:t>.</w:t>
      </w:r>
      <w:r w:rsidR="00805AAE">
        <w:rPr>
          <w:noProof/>
        </w:rPr>
        <w:t>2</w:t>
      </w:r>
      <w:r>
        <w:fldChar w:fldCharType="end"/>
      </w:r>
      <w:r>
        <w:t xml:space="preserve"> </w:t>
      </w:r>
      <w:r w:rsidR="00D37477">
        <w:t xml:space="preserve">presents a summary of the components that make up </w:t>
      </w:r>
      <w:r w:rsidR="005D5C93" w:rsidRPr="005D5C93">
        <w:t xml:space="preserve">TasNetworks' proposal </w:t>
      </w:r>
      <w:r w:rsidR="005D5C93">
        <w:t xml:space="preserve">and </w:t>
      </w:r>
      <w:r w:rsidR="00D37477">
        <w:t xml:space="preserve">our alternative estimate </w:t>
      </w:r>
      <w:r w:rsidR="00451A41">
        <w:t xml:space="preserve">(both excluding debt raising costs) </w:t>
      </w:r>
      <w:r w:rsidR="00D37477">
        <w:t xml:space="preserve">for comparative purposes. </w:t>
      </w:r>
    </w:p>
    <w:p w:rsidR="00D37477" w:rsidRDefault="00B51EDF" w:rsidP="00B51EDF">
      <w:pPr>
        <w:pStyle w:val="Caption"/>
      </w:pPr>
      <w:bookmarkStart w:id="81" w:name="_Ref458083365"/>
      <w:r>
        <w:t xml:space="preserve">Table </w:t>
      </w:r>
      <w:fldSimple w:instr=" STYLEREF 1 \s ">
        <w:r w:rsidR="00805AAE">
          <w:rPr>
            <w:noProof/>
          </w:rPr>
          <w:t>7</w:t>
        </w:r>
      </w:fldSimple>
      <w:r w:rsidR="00E32B25">
        <w:t>.</w:t>
      </w:r>
      <w:fldSimple w:instr=" SEQ Table \* ARABIC \s 1 ">
        <w:r w:rsidR="00805AAE">
          <w:rPr>
            <w:noProof/>
          </w:rPr>
          <w:t>2</w:t>
        </w:r>
      </w:fldSimple>
      <w:bookmarkEnd w:id="81"/>
      <w:r>
        <w:tab/>
      </w:r>
      <w:r w:rsidR="00242204">
        <w:t>Comparison of TasNetworks</w:t>
      </w:r>
      <w:r w:rsidR="005D5C93">
        <w:t>'</w:t>
      </w:r>
      <w:r w:rsidR="00242204">
        <w:t xml:space="preserve"> </w:t>
      </w:r>
      <w:r w:rsidR="00A76820">
        <w:t xml:space="preserve">opex </w:t>
      </w:r>
      <w:r w:rsidR="00242204">
        <w:t xml:space="preserve">forecast </w:t>
      </w:r>
      <w:r w:rsidR="00451A41">
        <w:t xml:space="preserve">to </w:t>
      </w:r>
      <w:r w:rsidR="009F4716">
        <w:t>our alternative estimate</w:t>
      </w:r>
      <w:r w:rsidR="005D5C93" w:rsidRPr="005D5C93">
        <w:t xml:space="preserve"> </w:t>
      </w:r>
      <w:r w:rsidR="00242204">
        <w:t xml:space="preserve">by </w:t>
      </w:r>
      <w:r w:rsidR="004B77AB">
        <w:t>component</w:t>
      </w:r>
      <w:r w:rsidR="005D5C93">
        <w:t xml:space="preserve"> ($ million, 2016–17)</w:t>
      </w:r>
      <w:r w:rsidR="00242204">
        <w:t xml:space="preserve"> </w:t>
      </w:r>
    </w:p>
    <w:tbl>
      <w:tblPr>
        <w:tblStyle w:val="AERtable-numbers"/>
        <w:tblW w:w="0" w:type="auto"/>
        <w:tblLook w:val="04A0" w:firstRow="1" w:lastRow="0" w:firstColumn="1" w:lastColumn="0" w:noHBand="0" w:noVBand="1"/>
      </w:tblPr>
      <w:tblGrid>
        <w:gridCol w:w="2965"/>
        <w:gridCol w:w="1939"/>
        <w:gridCol w:w="1975"/>
        <w:gridCol w:w="1814"/>
      </w:tblGrid>
      <w:tr w:rsidR="00D37477" w:rsidRPr="00B1577E" w:rsidTr="00EA6C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D37477" w:rsidRPr="00B1577E" w:rsidRDefault="00D37477" w:rsidP="00D37477"/>
        </w:tc>
        <w:tc>
          <w:tcPr>
            <w:tcW w:w="1939" w:type="dxa"/>
          </w:tcPr>
          <w:p w:rsidR="00D37477" w:rsidRPr="00D37477" w:rsidRDefault="00242204" w:rsidP="00D37477">
            <w:pPr>
              <w:cnfStyle w:val="100000000000" w:firstRow="1" w:lastRow="0" w:firstColumn="0" w:lastColumn="0" w:oddVBand="0" w:evenVBand="0" w:oddHBand="0" w:evenHBand="0" w:firstRowFirstColumn="0" w:firstRowLastColumn="0" w:lastRowFirstColumn="0" w:lastRowLastColumn="0"/>
            </w:pPr>
            <w:r>
              <w:t>TasNetworks</w:t>
            </w:r>
          </w:p>
        </w:tc>
        <w:tc>
          <w:tcPr>
            <w:tcW w:w="1975" w:type="dxa"/>
          </w:tcPr>
          <w:p w:rsidR="00D37477" w:rsidRPr="00D37477" w:rsidRDefault="00242204" w:rsidP="004E4F57">
            <w:pPr>
              <w:cnfStyle w:val="100000000000" w:firstRow="1" w:lastRow="0" w:firstColumn="0" w:lastColumn="0" w:oddVBand="0" w:evenVBand="0" w:oddHBand="0" w:evenHBand="0" w:firstRowFirstColumn="0" w:firstRowLastColumn="0" w:lastRowFirstColumn="0" w:lastRowLastColumn="0"/>
            </w:pPr>
            <w:r>
              <w:t xml:space="preserve">Our </w:t>
            </w:r>
            <w:r w:rsidR="004E4F57">
              <w:t>alternative estimate</w:t>
            </w:r>
          </w:p>
        </w:tc>
        <w:tc>
          <w:tcPr>
            <w:tcW w:w="1814" w:type="dxa"/>
          </w:tcPr>
          <w:p w:rsidR="00D37477" w:rsidRPr="00D37477" w:rsidRDefault="00242204" w:rsidP="00D37477">
            <w:pPr>
              <w:cnfStyle w:val="100000000000" w:firstRow="1" w:lastRow="0" w:firstColumn="0" w:lastColumn="0" w:oddVBand="0" w:evenVBand="0" w:oddHBand="0" w:evenHBand="0" w:firstRowFirstColumn="0" w:firstRowLastColumn="0" w:lastRowFirstColumn="0" w:lastRowLastColumn="0"/>
            </w:pPr>
            <w:r>
              <w:t>Difference</w:t>
            </w:r>
          </w:p>
        </w:tc>
      </w:tr>
      <w:tr w:rsidR="00880F99" w:rsidRPr="00B1577E" w:rsidTr="001545A0">
        <w:tc>
          <w:tcPr>
            <w:cnfStyle w:val="001000000000" w:firstRow="0" w:lastRow="0" w:firstColumn="1" w:lastColumn="0" w:oddVBand="0" w:evenVBand="0" w:oddHBand="0" w:evenHBand="0" w:firstRowFirstColumn="0" w:firstRowLastColumn="0" w:lastRowFirstColumn="0" w:lastRowLastColumn="0"/>
            <w:tcW w:w="2965" w:type="dxa"/>
          </w:tcPr>
          <w:p w:rsidR="00880F99" w:rsidRPr="00880F99" w:rsidRDefault="00880F99" w:rsidP="00880F99">
            <w:r w:rsidRPr="00880F99">
              <w:t>Based on reported opex in 2014–15</w:t>
            </w:r>
          </w:p>
        </w:tc>
        <w:tc>
          <w:tcPr>
            <w:tcW w:w="1939" w:type="dxa"/>
            <w:vAlign w:val="top"/>
          </w:tcPr>
          <w:p w:rsidR="00880F99" w:rsidRPr="00880F99" w:rsidRDefault="00880F99" w:rsidP="00880F99">
            <w:pPr>
              <w:cnfStyle w:val="000000000000" w:firstRow="0" w:lastRow="0" w:firstColumn="0" w:lastColumn="0" w:oddVBand="0" w:evenVBand="0" w:oddHBand="0" w:evenHBand="0" w:firstRowFirstColumn="0" w:firstRowLastColumn="0" w:lastRowFirstColumn="0" w:lastRowLastColumn="0"/>
            </w:pPr>
            <w:r w:rsidRPr="00880F99">
              <w:t>136.5</w:t>
            </w:r>
          </w:p>
        </w:tc>
        <w:tc>
          <w:tcPr>
            <w:tcW w:w="1975" w:type="dxa"/>
            <w:vAlign w:val="top"/>
          </w:tcPr>
          <w:p w:rsidR="00880F99" w:rsidRPr="00880F99" w:rsidRDefault="00880F99" w:rsidP="00880F99">
            <w:pPr>
              <w:cnfStyle w:val="000000000000" w:firstRow="0" w:lastRow="0" w:firstColumn="0" w:lastColumn="0" w:oddVBand="0" w:evenVBand="0" w:oddHBand="0" w:evenHBand="0" w:firstRowFirstColumn="0" w:firstRowLastColumn="0" w:lastRowFirstColumn="0" w:lastRowLastColumn="0"/>
            </w:pPr>
            <w:r w:rsidRPr="00880F99">
              <w:t>135.1</w:t>
            </w:r>
          </w:p>
        </w:tc>
        <w:tc>
          <w:tcPr>
            <w:tcW w:w="1814" w:type="dxa"/>
            <w:vAlign w:val="top"/>
          </w:tcPr>
          <w:p w:rsidR="00880F99" w:rsidRPr="00880F99" w:rsidRDefault="00691944" w:rsidP="00880F99">
            <w:pPr>
              <w:cnfStyle w:val="000000000000" w:firstRow="0" w:lastRow="0" w:firstColumn="0" w:lastColumn="0" w:oddVBand="0" w:evenVBand="0" w:oddHBand="0" w:evenHBand="0" w:firstRowFirstColumn="0" w:firstRowLastColumn="0" w:lastRowFirstColumn="0" w:lastRowLastColumn="0"/>
            </w:pPr>
            <w:r>
              <w:t>–</w:t>
            </w:r>
            <w:r w:rsidR="00880F99" w:rsidRPr="00880F99">
              <w:t>1.3</w:t>
            </w:r>
          </w:p>
        </w:tc>
      </w:tr>
      <w:tr w:rsidR="00880F99" w:rsidRPr="00B1577E" w:rsidTr="001545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880F99" w:rsidRPr="00880F99" w:rsidRDefault="00880F99" w:rsidP="00880F99">
            <w:r w:rsidRPr="00880F99">
              <w:t>Base year adjustments</w:t>
            </w:r>
          </w:p>
        </w:tc>
        <w:tc>
          <w:tcPr>
            <w:tcW w:w="1939" w:type="dxa"/>
            <w:vAlign w:val="top"/>
          </w:tcPr>
          <w:p w:rsidR="00880F99" w:rsidRPr="00880F99" w:rsidRDefault="00691944" w:rsidP="00880F99">
            <w:pPr>
              <w:cnfStyle w:val="000000010000" w:firstRow="0" w:lastRow="0" w:firstColumn="0" w:lastColumn="0" w:oddVBand="0" w:evenVBand="0" w:oddHBand="0" w:evenHBand="1" w:firstRowFirstColumn="0" w:firstRowLastColumn="0" w:lastRowFirstColumn="0" w:lastRowLastColumn="0"/>
            </w:pPr>
            <w:r>
              <w:t>–</w:t>
            </w:r>
            <w:r w:rsidR="00880F99" w:rsidRPr="00880F99">
              <w:t>6.5</w:t>
            </w:r>
          </w:p>
        </w:tc>
        <w:tc>
          <w:tcPr>
            <w:tcW w:w="1975" w:type="dxa"/>
            <w:vAlign w:val="top"/>
          </w:tcPr>
          <w:p w:rsidR="00880F99" w:rsidRPr="00880F99" w:rsidRDefault="00691944" w:rsidP="00880F99">
            <w:pPr>
              <w:cnfStyle w:val="000000010000" w:firstRow="0" w:lastRow="0" w:firstColumn="0" w:lastColumn="0" w:oddVBand="0" w:evenVBand="0" w:oddHBand="0" w:evenHBand="1" w:firstRowFirstColumn="0" w:firstRowLastColumn="0" w:lastRowFirstColumn="0" w:lastRowLastColumn="0"/>
            </w:pPr>
            <w:r>
              <w:t>–</w:t>
            </w:r>
            <w:r w:rsidR="00880F99" w:rsidRPr="00880F99">
              <w:t>1.9</w:t>
            </w:r>
          </w:p>
        </w:tc>
        <w:tc>
          <w:tcPr>
            <w:tcW w:w="1814" w:type="dxa"/>
            <w:vAlign w:val="top"/>
          </w:tcPr>
          <w:p w:rsidR="00880F99" w:rsidRPr="00880F99" w:rsidRDefault="00880F99" w:rsidP="00880F99">
            <w:pPr>
              <w:cnfStyle w:val="000000010000" w:firstRow="0" w:lastRow="0" w:firstColumn="0" w:lastColumn="0" w:oddVBand="0" w:evenVBand="0" w:oddHBand="0" w:evenHBand="1" w:firstRowFirstColumn="0" w:firstRowLastColumn="0" w:lastRowFirstColumn="0" w:lastRowLastColumn="0"/>
            </w:pPr>
            <w:r w:rsidRPr="00880F99">
              <w:t>4.6</w:t>
            </w:r>
          </w:p>
        </w:tc>
      </w:tr>
      <w:tr w:rsidR="00880F99" w:rsidRPr="00B1577E" w:rsidTr="001545A0">
        <w:tc>
          <w:tcPr>
            <w:cnfStyle w:val="001000000000" w:firstRow="0" w:lastRow="0" w:firstColumn="1" w:lastColumn="0" w:oddVBand="0" w:evenVBand="0" w:oddHBand="0" w:evenHBand="0" w:firstRowFirstColumn="0" w:firstRowLastColumn="0" w:lastRowFirstColumn="0" w:lastRowLastColumn="0"/>
            <w:tcW w:w="2965" w:type="dxa"/>
          </w:tcPr>
          <w:p w:rsidR="00880F99" w:rsidRPr="00880F99" w:rsidRDefault="00880F99" w:rsidP="00880F99">
            <w:r w:rsidRPr="00880F99">
              <w:t>Movement in provisions</w:t>
            </w:r>
          </w:p>
        </w:tc>
        <w:tc>
          <w:tcPr>
            <w:tcW w:w="1939" w:type="dxa"/>
            <w:vAlign w:val="top"/>
          </w:tcPr>
          <w:p w:rsidR="00880F99" w:rsidRPr="00880F99" w:rsidRDefault="00691944" w:rsidP="00880F99">
            <w:pPr>
              <w:cnfStyle w:val="000000000000" w:firstRow="0" w:lastRow="0" w:firstColumn="0" w:lastColumn="0" w:oddVBand="0" w:evenVBand="0" w:oddHBand="0" w:evenHBand="0" w:firstRowFirstColumn="0" w:firstRowLastColumn="0" w:lastRowFirstColumn="0" w:lastRowLastColumn="0"/>
            </w:pPr>
            <w:r>
              <w:t>–</w:t>
            </w:r>
          </w:p>
        </w:tc>
        <w:tc>
          <w:tcPr>
            <w:tcW w:w="1975" w:type="dxa"/>
            <w:vAlign w:val="top"/>
          </w:tcPr>
          <w:p w:rsidR="00880F99" w:rsidRPr="00880F99" w:rsidRDefault="00880F99" w:rsidP="00880F99">
            <w:pPr>
              <w:cnfStyle w:val="000000000000" w:firstRow="0" w:lastRow="0" w:firstColumn="0" w:lastColumn="0" w:oddVBand="0" w:evenVBand="0" w:oddHBand="0" w:evenHBand="0" w:firstRowFirstColumn="0" w:firstRowLastColumn="0" w:lastRowFirstColumn="0" w:lastRowLastColumn="0"/>
            </w:pPr>
            <w:r w:rsidRPr="00880F99">
              <w:t>7.7</w:t>
            </w:r>
          </w:p>
        </w:tc>
        <w:tc>
          <w:tcPr>
            <w:tcW w:w="1814" w:type="dxa"/>
            <w:vAlign w:val="top"/>
          </w:tcPr>
          <w:p w:rsidR="00880F99" w:rsidRPr="00880F99" w:rsidRDefault="00880F99" w:rsidP="00880F99">
            <w:pPr>
              <w:cnfStyle w:val="000000000000" w:firstRow="0" w:lastRow="0" w:firstColumn="0" w:lastColumn="0" w:oddVBand="0" w:evenVBand="0" w:oddHBand="0" w:evenHBand="0" w:firstRowFirstColumn="0" w:firstRowLastColumn="0" w:lastRowFirstColumn="0" w:lastRowLastColumn="0"/>
            </w:pPr>
            <w:r w:rsidRPr="00880F99">
              <w:t>7.7</w:t>
            </w:r>
          </w:p>
        </w:tc>
      </w:tr>
      <w:tr w:rsidR="00880F99" w:rsidRPr="00B1577E" w:rsidTr="001545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880F99" w:rsidRPr="00880F99" w:rsidRDefault="00880F99" w:rsidP="00880F99">
            <w:r w:rsidRPr="00880F99">
              <w:t>2014–15 to 2016–17 increment</w:t>
            </w:r>
          </w:p>
        </w:tc>
        <w:tc>
          <w:tcPr>
            <w:tcW w:w="1939" w:type="dxa"/>
            <w:vAlign w:val="top"/>
          </w:tcPr>
          <w:p w:rsidR="00880F99" w:rsidRPr="00880F99" w:rsidRDefault="00691944" w:rsidP="00880F99">
            <w:pPr>
              <w:cnfStyle w:val="000000010000" w:firstRow="0" w:lastRow="0" w:firstColumn="0" w:lastColumn="0" w:oddVBand="0" w:evenVBand="0" w:oddHBand="0" w:evenHBand="1" w:firstRowFirstColumn="0" w:firstRowLastColumn="0" w:lastRowFirstColumn="0" w:lastRowLastColumn="0"/>
            </w:pPr>
            <w:r>
              <w:t>–</w:t>
            </w:r>
            <w:r w:rsidR="00880F99" w:rsidRPr="00880F99">
              <w:t>14.9</w:t>
            </w:r>
          </w:p>
        </w:tc>
        <w:tc>
          <w:tcPr>
            <w:tcW w:w="1975" w:type="dxa"/>
            <w:vAlign w:val="top"/>
          </w:tcPr>
          <w:p w:rsidR="00880F99" w:rsidRPr="00880F99" w:rsidRDefault="00691944" w:rsidP="00880F99">
            <w:pPr>
              <w:cnfStyle w:val="000000010000" w:firstRow="0" w:lastRow="0" w:firstColumn="0" w:lastColumn="0" w:oddVBand="0" w:evenVBand="0" w:oddHBand="0" w:evenHBand="1" w:firstRowFirstColumn="0" w:firstRowLastColumn="0" w:lastRowFirstColumn="0" w:lastRowLastColumn="0"/>
            </w:pPr>
            <w:r>
              <w:t>–</w:t>
            </w:r>
            <w:r w:rsidR="00880F99" w:rsidRPr="00880F99">
              <w:t>1.7</w:t>
            </w:r>
          </w:p>
        </w:tc>
        <w:tc>
          <w:tcPr>
            <w:tcW w:w="1814" w:type="dxa"/>
            <w:vAlign w:val="top"/>
          </w:tcPr>
          <w:p w:rsidR="00880F99" w:rsidRPr="00880F99" w:rsidRDefault="00880F99" w:rsidP="00880F99">
            <w:pPr>
              <w:cnfStyle w:val="000000010000" w:firstRow="0" w:lastRow="0" w:firstColumn="0" w:lastColumn="0" w:oddVBand="0" w:evenVBand="0" w:oddHBand="0" w:evenHBand="1" w:firstRowFirstColumn="0" w:firstRowLastColumn="0" w:lastRowFirstColumn="0" w:lastRowLastColumn="0"/>
            </w:pPr>
            <w:r w:rsidRPr="00880F99">
              <w:t>13.2</w:t>
            </w:r>
          </w:p>
        </w:tc>
      </w:tr>
      <w:tr w:rsidR="00880F99" w:rsidRPr="00B1577E" w:rsidTr="001545A0">
        <w:tc>
          <w:tcPr>
            <w:cnfStyle w:val="001000000000" w:firstRow="0" w:lastRow="0" w:firstColumn="1" w:lastColumn="0" w:oddVBand="0" w:evenVBand="0" w:oddHBand="0" w:evenHBand="0" w:firstRowFirstColumn="0" w:firstRowLastColumn="0" w:lastRowFirstColumn="0" w:lastRowLastColumn="0"/>
            <w:tcW w:w="2965" w:type="dxa"/>
          </w:tcPr>
          <w:p w:rsidR="00880F99" w:rsidRPr="00880F99" w:rsidRDefault="00880F99" w:rsidP="00880F99">
            <w:r w:rsidRPr="00880F99">
              <w:t>Output growth</w:t>
            </w:r>
          </w:p>
        </w:tc>
        <w:tc>
          <w:tcPr>
            <w:tcW w:w="1939" w:type="dxa"/>
            <w:vAlign w:val="top"/>
          </w:tcPr>
          <w:p w:rsidR="00880F99" w:rsidRPr="00880F99" w:rsidRDefault="00880F99" w:rsidP="00880F99">
            <w:pPr>
              <w:cnfStyle w:val="000000000000" w:firstRow="0" w:lastRow="0" w:firstColumn="0" w:lastColumn="0" w:oddVBand="0" w:evenVBand="0" w:oddHBand="0" w:evenHBand="0" w:firstRowFirstColumn="0" w:firstRowLastColumn="0" w:lastRowFirstColumn="0" w:lastRowLastColumn="0"/>
            </w:pPr>
            <w:r w:rsidRPr="00880F99">
              <w:t>1.3</w:t>
            </w:r>
          </w:p>
        </w:tc>
        <w:tc>
          <w:tcPr>
            <w:tcW w:w="1975" w:type="dxa"/>
            <w:vAlign w:val="top"/>
          </w:tcPr>
          <w:p w:rsidR="00880F99" w:rsidRPr="00880F99" w:rsidRDefault="00880F99" w:rsidP="00880F99">
            <w:pPr>
              <w:cnfStyle w:val="000000000000" w:firstRow="0" w:lastRow="0" w:firstColumn="0" w:lastColumn="0" w:oddVBand="0" w:evenVBand="0" w:oddHBand="0" w:evenHBand="0" w:firstRowFirstColumn="0" w:firstRowLastColumn="0" w:lastRowFirstColumn="0" w:lastRowLastColumn="0"/>
            </w:pPr>
            <w:r w:rsidRPr="00880F99">
              <w:t>1.2</w:t>
            </w:r>
          </w:p>
        </w:tc>
        <w:tc>
          <w:tcPr>
            <w:tcW w:w="1814" w:type="dxa"/>
            <w:vAlign w:val="top"/>
          </w:tcPr>
          <w:p w:rsidR="00880F99" w:rsidRPr="00880F99" w:rsidRDefault="00691944" w:rsidP="00880F99">
            <w:pPr>
              <w:cnfStyle w:val="000000000000" w:firstRow="0" w:lastRow="0" w:firstColumn="0" w:lastColumn="0" w:oddVBand="0" w:evenVBand="0" w:oddHBand="0" w:evenHBand="0" w:firstRowFirstColumn="0" w:firstRowLastColumn="0" w:lastRowFirstColumn="0" w:lastRowLastColumn="0"/>
            </w:pPr>
            <w:r>
              <w:t>–</w:t>
            </w:r>
            <w:r w:rsidR="00880F99" w:rsidRPr="00880F99">
              <w:t>0.1</w:t>
            </w:r>
          </w:p>
        </w:tc>
      </w:tr>
      <w:tr w:rsidR="00880F99" w:rsidRPr="00B1577E" w:rsidTr="001545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880F99" w:rsidRPr="00880F99" w:rsidRDefault="00880F99" w:rsidP="00880F99">
            <w:r w:rsidRPr="00880F99">
              <w:t>Price growth</w:t>
            </w:r>
          </w:p>
        </w:tc>
        <w:tc>
          <w:tcPr>
            <w:tcW w:w="1939" w:type="dxa"/>
            <w:vAlign w:val="top"/>
          </w:tcPr>
          <w:p w:rsidR="00880F99" w:rsidRPr="00880F99" w:rsidRDefault="00691944" w:rsidP="00880F99">
            <w:pPr>
              <w:cnfStyle w:val="000000010000" w:firstRow="0" w:lastRow="0" w:firstColumn="0" w:lastColumn="0" w:oddVBand="0" w:evenVBand="0" w:oddHBand="0" w:evenHBand="1" w:firstRowFirstColumn="0" w:firstRowLastColumn="0" w:lastRowFirstColumn="0" w:lastRowLastColumn="0"/>
            </w:pPr>
            <w:r>
              <w:t>–</w:t>
            </w:r>
          </w:p>
        </w:tc>
        <w:tc>
          <w:tcPr>
            <w:tcW w:w="1975" w:type="dxa"/>
            <w:vAlign w:val="top"/>
          </w:tcPr>
          <w:p w:rsidR="00880F99" w:rsidRPr="00880F99" w:rsidRDefault="00880F99" w:rsidP="00880F99">
            <w:pPr>
              <w:cnfStyle w:val="000000010000" w:firstRow="0" w:lastRow="0" w:firstColumn="0" w:lastColumn="0" w:oddVBand="0" w:evenVBand="0" w:oddHBand="0" w:evenHBand="1" w:firstRowFirstColumn="0" w:firstRowLastColumn="0" w:lastRowFirstColumn="0" w:lastRowLastColumn="0"/>
            </w:pPr>
            <w:r w:rsidRPr="00880F99">
              <w:t>0.3</w:t>
            </w:r>
          </w:p>
        </w:tc>
        <w:tc>
          <w:tcPr>
            <w:tcW w:w="1814" w:type="dxa"/>
            <w:vAlign w:val="top"/>
          </w:tcPr>
          <w:p w:rsidR="00880F99" w:rsidRPr="00880F99" w:rsidRDefault="00880F99" w:rsidP="00880F99">
            <w:pPr>
              <w:cnfStyle w:val="000000010000" w:firstRow="0" w:lastRow="0" w:firstColumn="0" w:lastColumn="0" w:oddVBand="0" w:evenVBand="0" w:oddHBand="0" w:evenHBand="1" w:firstRowFirstColumn="0" w:firstRowLastColumn="0" w:lastRowFirstColumn="0" w:lastRowLastColumn="0"/>
            </w:pPr>
            <w:r w:rsidRPr="00880F99">
              <w:t>0.3</w:t>
            </w:r>
          </w:p>
        </w:tc>
      </w:tr>
      <w:tr w:rsidR="00880F99" w:rsidRPr="00B1577E" w:rsidTr="001545A0">
        <w:tc>
          <w:tcPr>
            <w:cnfStyle w:val="001000000000" w:firstRow="0" w:lastRow="0" w:firstColumn="1" w:lastColumn="0" w:oddVBand="0" w:evenVBand="0" w:oddHBand="0" w:evenHBand="0" w:firstRowFirstColumn="0" w:firstRowLastColumn="0" w:lastRowFirstColumn="0" w:lastRowLastColumn="0"/>
            <w:tcW w:w="2965" w:type="dxa"/>
          </w:tcPr>
          <w:p w:rsidR="00880F99" w:rsidRPr="00880F99" w:rsidRDefault="00880F99" w:rsidP="00880F99">
            <w:r w:rsidRPr="00880F99">
              <w:t>Productivity growth</w:t>
            </w:r>
          </w:p>
        </w:tc>
        <w:tc>
          <w:tcPr>
            <w:tcW w:w="1939" w:type="dxa"/>
            <w:vAlign w:val="top"/>
          </w:tcPr>
          <w:p w:rsidR="00880F99" w:rsidRPr="00880F99" w:rsidRDefault="00691944" w:rsidP="00880F99">
            <w:pPr>
              <w:cnfStyle w:val="000000000000" w:firstRow="0" w:lastRow="0" w:firstColumn="0" w:lastColumn="0" w:oddVBand="0" w:evenVBand="0" w:oddHBand="0" w:evenHBand="0" w:firstRowFirstColumn="0" w:firstRowLastColumn="0" w:lastRowFirstColumn="0" w:lastRowLastColumn="0"/>
            </w:pPr>
            <w:r>
              <w:t>–</w:t>
            </w:r>
            <w:r w:rsidR="00880F99" w:rsidRPr="00880F99">
              <w:t>3.8</w:t>
            </w:r>
          </w:p>
        </w:tc>
        <w:tc>
          <w:tcPr>
            <w:tcW w:w="1975" w:type="dxa"/>
            <w:vAlign w:val="top"/>
          </w:tcPr>
          <w:p w:rsidR="00880F99" w:rsidRPr="00880F99" w:rsidRDefault="00880F99" w:rsidP="00880F99">
            <w:pPr>
              <w:cnfStyle w:val="000000000000" w:firstRow="0" w:lastRow="0" w:firstColumn="0" w:lastColumn="0" w:oddVBand="0" w:evenVBand="0" w:oddHBand="0" w:evenHBand="0" w:firstRowFirstColumn="0" w:firstRowLastColumn="0" w:lastRowFirstColumn="0" w:lastRowLastColumn="0"/>
            </w:pPr>
            <w:r w:rsidRPr="00880F99">
              <w:t>0.0</w:t>
            </w:r>
          </w:p>
        </w:tc>
        <w:tc>
          <w:tcPr>
            <w:tcW w:w="1814" w:type="dxa"/>
            <w:vAlign w:val="top"/>
          </w:tcPr>
          <w:p w:rsidR="00880F99" w:rsidRPr="00880F99" w:rsidRDefault="00880F99" w:rsidP="00880F99">
            <w:pPr>
              <w:cnfStyle w:val="000000000000" w:firstRow="0" w:lastRow="0" w:firstColumn="0" w:lastColumn="0" w:oddVBand="0" w:evenVBand="0" w:oddHBand="0" w:evenHBand="0" w:firstRowFirstColumn="0" w:firstRowLastColumn="0" w:lastRowFirstColumn="0" w:lastRowLastColumn="0"/>
            </w:pPr>
            <w:r w:rsidRPr="00880F99">
              <w:t>3.8</w:t>
            </w:r>
          </w:p>
        </w:tc>
      </w:tr>
      <w:tr w:rsidR="00880F99" w:rsidRPr="00B1577E" w:rsidTr="001545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880F99" w:rsidRPr="00880F99" w:rsidRDefault="00880F99" w:rsidP="00880F99">
            <w:r w:rsidRPr="00880F99">
              <w:lastRenderedPageBreak/>
              <w:t>Step changes</w:t>
            </w:r>
          </w:p>
        </w:tc>
        <w:tc>
          <w:tcPr>
            <w:tcW w:w="1939" w:type="dxa"/>
            <w:vAlign w:val="top"/>
          </w:tcPr>
          <w:p w:rsidR="00880F99" w:rsidRPr="00880F99" w:rsidRDefault="00880F99" w:rsidP="00880F99">
            <w:pPr>
              <w:cnfStyle w:val="000000010000" w:firstRow="0" w:lastRow="0" w:firstColumn="0" w:lastColumn="0" w:oddVBand="0" w:evenVBand="0" w:oddHBand="0" w:evenHBand="1" w:firstRowFirstColumn="0" w:firstRowLastColumn="0" w:lastRowFirstColumn="0" w:lastRowLastColumn="0"/>
            </w:pPr>
            <w:r w:rsidRPr="00880F99">
              <w:t>6.7</w:t>
            </w:r>
          </w:p>
        </w:tc>
        <w:tc>
          <w:tcPr>
            <w:tcW w:w="1975" w:type="dxa"/>
            <w:vAlign w:val="top"/>
          </w:tcPr>
          <w:p w:rsidR="00880F99" w:rsidRPr="00880F99" w:rsidRDefault="00880F99" w:rsidP="00880F99">
            <w:pPr>
              <w:cnfStyle w:val="000000010000" w:firstRow="0" w:lastRow="0" w:firstColumn="0" w:lastColumn="0" w:oddVBand="0" w:evenVBand="0" w:oddHBand="0" w:evenHBand="1" w:firstRowFirstColumn="0" w:firstRowLastColumn="0" w:lastRowFirstColumn="0" w:lastRowLastColumn="0"/>
            </w:pPr>
            <w:r w:rsidRPr="00880F99">
              <w:t>0.8</w:t>
            </w:r>
          </w:p>
        </w:tc>
        <w:tc>
          <w:tcPr>
            <w:tcW w:w="1814" w:type="dxa"/>
            <w:vAlign w:val="top"/>
          </w:tcPr>
          <w:p w:rsidR="00880F99" w:rsidRPr="00880F99" w:rsidRDefault="00691944" w:rsidP="00880F99">
            <w:pPr>
              <w:cnfStyle w:val="000000010000" w:firstRow="0" w:lastRow="0" w:firstColumn="0" w:lastColumn="0" w:oddVBand="0" w:evenVBand="0" w:oddHBand="0" w:evenHBand="1" w:firstRowFirstColumn="0" w:firstRowLastColumn="0" w:lastRowFirstColumn="0" w:lastRowLastColumn="0"/>
            </w:pPr>
            <w:r>
              <w:t>–</w:t>
            </w:r>
            <w:r w:rsidR="00880F99" w:rsidRPr="00880F99">
              <w:t>5.9</w:t>
            </w:r>
          </w:p>
        </w:tc>
      </w:tr>
      <w:tr w:rsidR="00880F99" w:rsidRPr="00242204" w:rsidTr="001545A0">
        <w:tc>
          <w:tcPr>
            <w:cnfStyle w:val="001000000000" w:firstRow="0" w:lastRow="0" w:firstColumn="1" w:lastColumn="0" w:oddVBand="0" w:evenVBand="0" w:oddHBand="0" w:evenHBand="0" w:firstRowFirstColumn="0" w:firstRowLastColumn="0" w:lastRowFirstColumn="0" w:lastRowLastColumn="0"/>
            <w:tcW w:w="2965" w:type="dxa"/>
          </w:tcPr>
          <w:p w:rsidR="00880F99" w:rsidRPr="00880F99" w:rsidRDefault="00880F99" w:rsidP="00880F99">
            <w:r w:rsidRPr="00880F99">
              <w:t>Category specific forecasts</w:t>
            </w:r>
          </w:p>
        </w:tc>
        <w:tc>
          <w:tcPr>
            <w:tcW w:w="1939" w:type="dxa"/>
            <w:vAlign w:val="top"/>
          </w:tcPr>
          <w:p w:rsidR="00880F99" w:rsidRPr="00880F99" w:rsidRDefault="00880F99" w:rsidP="00880F99">
            <w:pPr>
              <w:cnfStyle w:val="000000000000" w:firstRow="0" w:lastRow="0" w:firstColumn="0" w:lastColumn="0" w:oddVBand="0" w:evenVBand="0" w:oddHBand="0" w:evenHBand="0" w:firstRowFirstColumn="0" w:firstRowLastColumn="0" w:lastRowFirstColumn="0" w:lastRowLastColumn="0"/>
            </w:pPr>
            <w:r w:rsidRPr="00880F99">
              <w:t>1.7</w:t>
            </w:r>
          </w:p>
        </w:tc>
        <w:tc>
          <w:tcPr>
            <w:tcW w:w="1975" w:type="dxa"/>
            <w:vAlign w:val="top"/>
          </w:tcPr>
          <w:p w:rsidR="00880F99" w:rsidRPr="00880F99" w:rsidRDefault="00691944" w:rsidP="00880F99">
            <w:pPr>
              <w:cnfStyle w:val="000000000000" w:firstRow="0" w:lastRow="0" w:firstColumn="0" w:lastColumn="0" w:oddVBand="0" w:evenVBand="0" w:oddHBand="0" w:evenHBand="0" w:firstRowFirstColumn="0" w:firstRowLastColumn="0" w:lastRowFirstColumn="0" w:lastRowLastColumn="0"/>
            </w:pPr>
            <w:r>
              <w:t>–</w:t>
            </w:r>
            <w:r w:rsidR="00880F99" w:rsidRPr="00880F99">
              <w:t>2.6</w:t>
            </w:r>
          </w:p>
        </w:tc>
        <w:tc>
          <w:tcPr>
            <w:tcW w:w="1814" w:type="dxa"/>
            <w:vAlign w:val="top"/>
          </w:tcPr>
          <w:p w:rsidR="00880F99" w:rsidRPr="00880F99" w:rsidRDefault="00691944" w:rsidP="00880F99">
            <w:pPr>
              <w:cnfStyle w:val="000000000000" w:firstRow="0" w:lastRow="0" w:firstColumn="0" w:lastColumn="0" w:oddVBand="0" w:evenVBand="0" w:oddHBand="0" w:evenHBand="0" w:firstRowFirstColumn="0" w:firstRowLastColumn="0" w:lastRowFirstColumn="0" w:lastRowLastColumn="0"/>
            </w:pPr>
            <w:r>
              <w:t>–</w:t>
            </w:r>
            <w:r w:rsidR="00880F99" w:rsidRPr="00880F99">
              <w:t>4.3</w:t>
            </w:r>
          </w:p>
        </w:tc>
      </w:tr>
      <w:tr w:rsidR="00880F99" w:rsidRPr="002A5633" w:rsidTr="001545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880F99" w:rsidRPr="00880F99" w:rsidRDefault="00880F99" w:rsidP="00880F99">
            <w:pPr>
              <w:rPr>
                <w:rStyle w:val="Strong"/>
              </w:rPr>
            </w:pPr>
            <w:r w:rsidRPr="00880F99">
              <w:rPr>
                <w:rStyle w:val="Strong"/>
              </w:rPr>
              <w:t>Total opex</w:t>
            </w:r>
          </w:p>
        </w:tc>
        <w:tc>
          <w:tcPr>
            <w:tcW w:w="1939" w:type="dxa"/>
            <w:vAlign w:val="top"/>
          </w:tcPr>
          <w:p w:rsidR="00880F99" w:rsidRPr="00880F99" w:rsidRDefault="00880F99" w:rsidP="00880F99">
            <w:pPr>
              <w:cnfStyle w:val="000000010000" w:firstRow="0" w:lastRow="0" w:firstColumn="0" w:lastColumn="0" w:oddVBand="0" w:evenVBand="0" w:oddHBand="0" w:evenHBand="1" w:firstRowFirstColumn="0" w:firstRowLastColumn="0" w:lastRowFirstColumn="0" w:lastRowLastColumn="0"/>
              <w:rPr>
                <w:rStyle w:val="Strong"/>
              </w:rPr>
            </w:pPr>
            <w:r w:rsidRPr="00880F99">
              <w:t>120.9</w:t>
            </w:r>
          </w:p>
        </w:tc>
        <w:tc>
          <w:tcPr>
            <w:tcW w:w="1975" w:type="dxa"/>
            <w:vAlign w:val="top"/>
          </w:tcPr>
          <w:p w:rsidR="00880F99" w:rsidRPr="00880F99" w:rsidRDefault="00880F99" w:rsidP="00880F99">
            <w:pPr>
              <w:cnfStyle w:val="000000010000" w:firstRow="0" w:lastRow="0" w:firstColumn="0" w:lastColumn="0" w:oddVBand="0" w:evenVBand="0" w:oddHBand="0" w:evenHBand="1" w:firstRowFirstColumn="0" w:firstRowLastColumn="0" w:lastRowFirstColumn="0" w:lastRowLastColumn="0"/>
              <w:rPr>
                <w:rStyle w:val="Strong"/>
              </w:rPr>
            </w:pPr>
            <w:r w:rsidRPr="00880F99">
              <w:t>138.9</w:t>
            </w:r>
          </w:p>
        </w:tc>
        <w:tc>
          <w:tcPr>
            <w:tcW w:w="1814" w:type="dxa"/>
            <w:vAlign w:val="top"/>
          </w:tcPr>
          <w:p w:rsidR="00880F99" w:rsidRPr="00880F99" w:rsidRDefault="00880F99" w:rsidP="00880F99">
            <w:pPr>
              <w:cnfStyle w:val="000000010000" w:firstRow="0" w:lastRow="0" w:firstColumn="0" w:lastColumn="0" w:oddVBand="0" w:evenVBand="0" w:oddHBand="0" w:evenHBand="1" w:firstRowFirstColumn="0" w:firstRowLastColumn="0" w:lastRowFirstColumn="0" w:lastRowLastColumn="0"/>
              <w:rPr>
                <w:rStyle w:val="Strong"/>
              </w:rPr>
            </w:pPr>
            <w:r w:rsidRPr="00880F99">
              <w:t>18.0</w:t>
            </w:r>
          </w:p>
        </w:tc>
      </w:tr>
    </w:tbl>
    <w:p w:rsidR="00D37477" w:rsidRDefault="00D37477" w:rsidP="00451A41">
      <w:pPr>
        <w:pStyle w:val="Source"/>
      </w:pPr>
      <w:r>
        <w:t>Source:</w:t>
      </w:r>
      <w:r>
        <w:tab/>
      </w:r>
      <w:r w:rsidR="007C15D9">
        <w:t>AER analysis</w:t>
      </w:r>
      <w:r>
        <w:t>.</w:t>
      </w:r>
    </w:p>
    <w:p w:rsidR="00451A41" w:rsidRPr="00451A41" w:rsidRDefault="00451A41" w:rsidP="00451A41">
      <w:pPr>
        <w:pStyle w:val="Source"/>
      </w:pPr>
      <w:r>
        <w:t>Note: Both TasNetworks' proposed opex and our alternative estimate exclude debt raising costs.</w:t>
      </w:r>
    </w:p>
    <w:p w:rsidR="00F418B7" w:rsidRDefault="0098384F" w:rsidP="00F418B7">
      <w:pPr>
        <w:pStyle w:val="Heading3"/>
      </w:pPr>
      <w:bookmarkStart w:id="82" w:name="_Toc462755054"/>
      <w:r>
        <w:t>B</w:t>
      </w:r>
      <w:r w:rsidR="0074164B">
        <w:t>ase opex</w:t>
      </w:r>
      <w:bookmarkEnd w:id="82"/>
    </w:p>
    <w:p w:rsidR="0074164B" w:rsidRDefault="000A2895" w:rsidP="00E47802">
      <w:r>
        <w:t>W</w:t>
      </w:r>
      <w:r w:rsidR="00461FBC" w:rsidRPr="00461FBC">
        <w:t xml:space="preserve">e have relied on </w:t>
      </w:r>
      <w:r w:rsidR="00461FBC">
        <w:t>TasNetworks'</w:t>
      </w:r>
      <w:r w:rsidR="00461FBC" w:rsidRPr="00461FBC">
        <w:t xml:space="preserve"> reported opex </w:t>
      </w:r>
      <w:r w:rsidR="00461FBC">
        <w:t xml:space="preserve">in </w:t>
      </w:r>
      <w:r w:rsidR="00886864">
        <w:t>2014</w:t>
      </w:r>
      <w:r w:rsidR="00DB0709">
        <w:t>–</w:t>
      </w:r>
      <w:r w:rsidR="00886864">
        <w:t xml:space="preserve">15 </w:t>
      </w:r>
      <w:r w:rsidR="00886864" w:rsidRPr="00886864">
        <w:t xml:space="preserve">to forecast </w:t>
      </w:r>
      <w:r w:rsidR="00886864">
        <w:t xml:space="preserve">its </w:t>
      </w:r>
      <w:r w:rsidR="00886864" w:rsidRPr="00886864">
        <w:t>opex</w:t>
      </w:r>
      <w:r w:rsidR="00886864">
        <w:t xml:space="preserve"> over the 2017</w:t>
      </w:r>
      <w:r w:rsidR="00DB0709">
        <w:t>–</w:t>
      </w:r>
      <w:r w:rsidR="00886864">
        <w:t>19 regulatory control period</w:t>
      </w:r>
      <w:r>
        <w:t>, as proposed by TasNetworks</w:t>
      </w:r>
      <w:r w:rsidR="00886864" w:rsidRPr="00886864">
        <w:t>.</w:t>
      </w:r>
      <w:r w:rsidR="00886864">
        <w:t xml:space="preserve"> </w:t>
      </w:r>
    </w:p>
    <w:p w:rsidR="00E47802" w:rsidRDefault="00886864" w:rsidP="00E47802">
      <w:r>
        <w:t>Our benchmarking results indicate</w:t>
      </w:r>
      <w:r w:rsidRPr="00886864">
        <w:t xml:space="preserve"> </w:t>
      </w:r>
      <w:r>
        <w:t>TasNetworks</w:t>
      </w:r>
      <w:r w:rsidRPr="00886864">
        <w:t xml:space="preserve"> is operating relatively efficiently when compared to other service providers in the NEM</w:t>
      </w:r>
      <w:r w:rsidR="0074164B">
        <w:t>.</w:t>
      </w:r>
      <w:r w:rsidR="00D06284">
        <w:rPr>
          <w:rStyle w:val="FootnoteReference"/>
        </w:rPr>
        <w:footnoteReference w:id="18"/>
      </w:r>
      <w:r w:rsidRPr="00886864">
        <w:t xml:space="preserve"> </w:t>
      </w:r>
      <w:r w:rsidR="0074164B">
        <w:t>W</w:t>
      </w:r>
      <w:r w:rsidRPr="00886864">
        <w:t xml:space="preserve">e </w:t>
      </w:r>
      <w:r w:rsidR="0074164B">
        <w:t xml:space="preserve">therefore </w:t>
      </w:r>
      <w:r w:rsidRPr="00886864">
        <w:t xml:space="preserve">consider </w:t>
      </w:r>
      <w:r w:rsidR="00D06284">
        <w:t>past (</w:t>
      </w:r>
      <w:r w:rsidR="002D411A">
        <w:t>actual</w:t>
      </w:r>
      <w:r w:rsidR="00D06284">
        <w:t>)</w:t>
      </w:r>
      <w:r w:rsidR="000A2895">
        <w:t xml:space="preserve"> costs</w:t>
      </w:r>
      <w:r w:rsidR="000A2895" w:rsidRPr="00886864">
        <w:t xml:space="preserve"> </w:t>
      </w:r>
      <w:r w:rsidR="000A2895">
        <w:t>are</w:t>
      </w:r>
      <w:r w:rsidR="000A2895" w:rsidRPr="00886864">
        <w:t xml:space="preserve"> </w:t>
      </w:r>
      <w:r w:rsidRPr="00886864">
        <w:t xml:space="preserve">a reasonable starting point for </w:t>
      </w:r>
      <w:r w:rsidR="0074164B">
        <w:t>TasNetworks'</w:t>
      </w:r>
      <w:r w:rsidR="0074164B" w:rsidRPr="00886864">
        <w:t xml:space="preserve"> </w:t>
      </w:r>
      <w:r w:rsidRPr="00886864">
        <w:t>opex forecast.</w:t>
      </w:r>
      <w:r w:rsidR="0074164B">
        <w:rPr>
          <w:rStyle w:val="FootnoteReference"/>
        </w:rPr>
        <w:footnoteReference w:id="19"/>
      </w:r>
      <w:r w:rsidR="00FD7F7D">
        <w:t xml:space="preserve"> </w:t>
      </w:r>
    </w:p>
    <w:p w:rsidR="00EE1228" w:rsidRPr="00EE1228" w:rsidRDefault="00D06284" w:rsidP="00EE1228">
      <w:r>
        <w:t xml:space="preserve">Our alternative estimate includes </w:t>
      </w:r>
      <w:r w:rsidR="00E47802">
        <w:t>a base opex</w:t>
      </w:r>
      <w:r w:rsidR="00E47802" w:rsidRPr="00886864">
        <w:t xml:space="preserve"> </w:t>
      </w:r>
      <w:r w:rsidR="00E47802">
        <w:t xml:space="preserve">amount </w:t>
      </w:r>
      <w:r w:rsidR="00E47802" w:rsidRPr="00886864">
        <w:t>of $</w:t>
      </w:r>
      <w:r w:rsidR="00A6748A">
        <w:t>64.5</w:t>
      </w:r>
      <w:r>
        <w:t> </w:t>
      </w:r>
      <w:r w:rsidR="00E47802" w:rsidRPr="00886864">
        <w:t>million ($20</w:t>
      </w:r>
      <w:r w:rsidR="00E47802">
        <w:t>16–17</w:t>
      </w:r>
      <w:r w:rsidR="00E47802" w:rsidRPr="00886864">
        <w:t>).</w:t>
      </w:r>
      <w:r w:rsidR="00E47802">
        <w:t xml:space="preserve"> </w:t>
      </w:r>
    </w:p>
    <w:p w:rsidR="00F418B7" w:rsidRDefault="0098384F" w:rsidP="00F418B7">
      <w:pPr>
        <w:pStyle w:val="Heading3"/>
      </w:pPr>
      <w:bookmarkStart w:id="83" w:name="_Toc462755055"/>
      <w:r>
        <w:t>R</w:t>
      </w:r>
      <w:r w:rsidR="002F0AEE">
        <w:t>ate of change</w:t>
      </w:r>
      <w:bookmarkEnd w:id="83"/>
    </w:p>
    <w:p w:rsidR="00C546FD" w:rsidRDefault="0041024F" w:rsidP="00F418B7">
      <w:r>
        <w:t>Having</w:t>
      </w:r>
      <w:r w:rsidR="00C546FD">
        <w:t xml:space="preserve"> determined an efficient starting point</w:t>
      </w:r>
      <w:r w:rsidR="006C2593">
        <w:t>,</w:t>
      </w:r>
      <w:r w:rsidR="00C546FD">
        <w:t xml:space="preserve"> </w:t>
      </w:r>
      <w:r w:rsidR="00E23651">
        <w:t xml:space="preserve">or </w:t>
      </w:r>
      <w:r w:rsidR="00C546FD">
        <w:t xml:space="preserve">base opex, we </w:t>
      </w:r>
      <w:r w:rsidR="00C546FD" w:rsidRPr="00C546FD">
        <w:t xml:space="preserve">trend </w:t>
      </w:r>
      <w:r w:rsidR="00C546FD">
        <w:t>it</w:t>
      </w:r>
      <w:r w:rsidR="00C546FD" w:rsidRPr="00C546FD">
        <w:t xml:space="preserve"> forward to account for </w:t>
      </w:r>
      <w:r w:rsidR="00DB0709">
        <w:t>the forecast growth</w:t>
      </w:r>
      <w:r w:rsidR="00DB0709" w:rsidRPr="00C546FD">
        <w:t xml:space="preserve"> </w:t>
      </w:r>
      <w:r w:rsidR="00C546FD" w:rsidRPr="00C546FD">
        <w:t>in prices</w:t>
      </w:r>
      <w:r w:rsidR="00DB0709">
        <w:t xml:space="preserve">, </w:t>
      </w:r>
      <w:r w:rsidR="00C546FD" w:rsidRPr="00C546FD">
        <w:t>output</w:t>
      </w:r>
      <w:r w:rsidR="00DB0709">
        <w:t xml:space="preserve"> and productivity</w:t>
      </w:r>
      <w:r w:rsidR="00B3260E">
        <w:t>. We refer to this as the</w:t>
      </w:r>
      <w:r w:rsidR="00C546FD">
        <w:t xml:space="preserve"> rate of change.</w:t>
      </w:r>
      <w:r w:rsidR="0062290D">
        <w:rPr>
          <w:rStyle w:val="FootnoteReference"/>
        </w:rPr>
        <w:footnoteReference w:id="20"/>
      </w:r>
    </w:p>
    <w:p w:rsidR="007C43A9" w:rsidRDefault="007C43A9" w:rsidP="007C43A9">
      <w:pPr>
        <w:pStyle w:val="HeadingBoldItalic"/>
      </w:pPr>
      <w:r>
        <w:t xml:space="preserve">Forecast </w:t>
      </w:r>
      <w:r w:rsidR="00152E48">
        <w:t>price growth</w:t>
      </w:r>
      <w:r>
        <w:t xml:space="preserve"> </w:t>
      </w:r>
    </w:p>
    <w:p w:rsidR="003776FA" w:rsidRDefault="003776FA" w:rsidP="00F418B7">
      <w:r>
        <w:t xml:space="preserve">We have </w:t>
      </w:r>
      <w:r w:rsidR="00152E48">
        <w:t>forecast</w:t>
      </w:r>
      <w:r>
        <w:t xml:space="preserve"> </w:t>
      </w:r>
      <w:r w:rsidR="008A467D">
        <w:t xml:space="preserve">real </w:t>
      </w:r>
      <w:r>
        <w:t>average annual price growth of 0.2 per cent in our alternative opex forecast.</w:t>
      </w:r>
    </w:p>
    <w:p w:rsidR="004202F9" w:rsidRDefault="00CC2DF7" w:rsidP="00F418B7">
      <w:r>
        <w:t>Our opex forecast takes into account</w:t>
      </w:r>
      <w:r w:rsidR="00BC2D08" w:rsidRPr="00BC2D08">
        <w:t xml:space="preserve"> </w:t>
      </w:r>
      <w:r w:rsidR="00BC2D08">
        <w:t xml:space="preserve">expected </w:t>
      </w:r>
      <w:r w:rsidR="006C2593">
        <w:t>growth</w:t>
      </w:r>
      <w:r w:rsidR="004202F9">
        <w:t xml:space="preserve"> in</w:t>
      </w:r>
      <w:r w:rsidR="00FF1E4F">
        <w:t xml:space="preserve"> </w:t>
      </w:r>
      <w:r w:rsidR="0041024F">
        <w:t xml:space="preserve">labour and non-labour </w:t>
      </w:r>
      <w:r w:rsidR="00FF1E4F">
        <w:t>prices</w:t>
      </w:r>
      <w:r>
        <w:t xml:space="preserve">. </w:t>
      </w:r>
      <w:r w:rsidR="006C2593">
        <w:t>Specifically:</w:t>
      </w:r>
    </w:p>
    <w:p w:rsidR="00E6062C" w:rsidRPr="00E6062C" w:rsidRDefault="003776FA" w:rsidP="00FF1E4F">
      <w:pPr>
        <w:pStyle w:val="AERbulletlistfirststyle"/>
      </w:pPr>
      <w:r>
        <w:t>To forecast labour price growth w</w:t>
      </w:r>
      <w:r w:rsidR="000C3A19">
        <w:t>e use</w:t>
      </w:r>
      <w:r w:rsidR="00B65110">
        <w:t xml:space="preserve"> forecast </w:t>
      </w:r>
      <w:r w:rsidR="006C2593">
        <w:t xml:space="preserve">growth in </w:t>
      </w:r>
      <w:r w:rsidR="0074164B">
        <w:t xml:space="preserve">the </w:t>
      </w:r>
      <w:r w:rsidR="006C2593">
        <w:t>wage price index for the utilities industry</w:t>
      </w:r>
      <w:r w:rsidR="00E6062C" w:rsidRPr="00E6062C">
        <w:t>.</w:t>
      </w:r>
      <w:r w:rsidR="00CC2DF7">
        <w:rPr>
          <w:rStyle w:val="FootnoteReference"/>
        </w:rPr>
        <w:footnoteReference w:id="21"/>
      </w:r>
      <w:r w:rsidR="00B65110">
        <w:t xml:space="preserve"> </w:t>
      </w:r>
      <w:r w:rsidR="006C2593">
        <w:t xml:space="preserve">We have used forecasts from Deloitte Access Economics for the Australian utilities industry in the absence of </w:t>
      </w:r>
      <w:r w:rsidR="0074164B">
        <w:t xml:space="preserve">Tasmania </w:t>
      </w:r>
      <w:r w:rsidR="006C2593">
        <w:t xml:space="preserve">specific forecasts. </w:t>
      </w:r>
      <w:r w:rsidR="0074164B">
        <w:t>This is our typical approach to forecasting labour price growth.</w:t>
      </w:r>
    </w:p>
    <w:p w:rsidR="004202F9" w:rsidRDefault="005A6F4B" w:rsidP="00FF1E4F">
      <w:pPr>
        <w:pStyle w:val="AERbulletlistfirststyle"/>
      </w:pPr>
      <w:r>
        <w:t xml:space="preserve">We </w:t>
      </w:r>
      <w:r w:rsidR="006C2593">
        <w:t xml:space="preserve">forecast </w:t>
      </w:r>
      <w:r>
        <w:t>no real price growth f</w:t>
      </w:r>
      <w:r w:rsidR="00FF1E4F" w:rsidRPr="00E6062C">
        <w:t xml:space="preserve">or non-labour </w:t>
      </w:r>
      <w:r w:rsidR="00736770">
        <w:t>prices</w:t>
      </w:r>
      <w:r>
        <w:t>.</w:t>
      </w:r>
      <w:r w:rsidR="00736770">
        <w:t xml:space="preserve"> </w:t>
      </w:r>
      <w:r>
        <w:t>Therefore, consistent with our usual approach,</w:t>
      </w:r>
      <w:r w:rsidRPr="00E6062C">
        <w:t xml:space="preserve"> </w:t>
      </w:r>
      <w:r w:rsidR="00FF1E4F" w:rsidRPr="00E6062C">
        <w:t xml:space="preserve">we </w:t>
      </w:r>
      <w:r>
        <w:t>apply</w:t>
      </w:r>
      <w:r w:rsidR="00FF1E4F" w:rsidRPr="00E6062C">
        <w:t xml:space="preserve"> </w:t>
      </w:r>
      <w:r>
        <w:t xml:space="preserve">the </w:t>
      </w:r>
      <w:r w:rsidR="00FF1E4F" w:rsidRPr="00E6062C">
        <w:t>forecast change in CPI</w:t>
      </w:r>
      <w:r w:rsidR="00E0363F">
        <w:t xml:space="preserve"> to non-labour prices</w:t>
      </w:r>
      <w:r w:rsidR="00FF1E4F" w:rsidRPr="00E6062C">
        <w:t>.</w:t>
      </w:r>
      <w:r w:rsidR="00964056">
        <w:t xml:space="preserve"> </w:t>
      </w:r>
    </w:p>
    <w:p w:rsidR="00FF1E4F" w:rsidRDefault="003776FA" w:rsidP="00FF1E4F">
      <w:pPr>
        <w:pStyle w:val="AERbulletlistfirststyle"/>
      </w:pPr>
      <w:r>
        <w:lastRenderedPageBreak/>
        <w:t>To account for the proportion of opex that is labour and the proportion that is non-labour w</w:t>
      </w:r>
      <w:r w:rsidR="006910ED">
        <w:t xml:space="preserve">e </w:t>
      </w:r>
      <w:r w:rsidR="005A6F4B">
        <w:t>weight</w:t>
      </w:r>
      <w:r w:rsidR="006910ED">
        <w:t xml:space="preserve"> the forecast price growth.</w:t>
      </w:r>
      <w:r w:rsidR="00CC2DF7">
        <w:rPr>
          <w:rStyle w:val="FootnoteReference"/>
        </w:rPr>
        <w:footnoteReference w:id="22"/>
      </w:r>
    </w:p>
    <w:p w:rsidR="006910ED" w:rsidRDefault="00BC2D08" w:rsidP="000D3959">
      <w:r>
        <w:t xml:space="preserve">In comparison, </w:t>
      </w:r>
      <w:r w:rsidR="00CC2DF7">
        <w:t xml:space="preserve">TasNetworks </w:t>
      </w:r>
      <w:r w:rsidR="005A6F4B">
        <w:t>assumed no real price growth for</w:t>
      </w:r>
      <w:r w:rsidR="00736770">
        <w:t xml:space="preserve"> </w:t>
      </w:r>
      <w:r w:rsidR="006561E3">
        <w:t xml:space="preserve">both </w:t>
      </w:r>
      <w:r w:rsidR="00736770">
        <w:t>labour and non-labour prices.</w:t>
      </w:r>
      <w:r w:rsidR="00736770">
        <w:rPr>
          <w:rStyle w:val="FootnoteReference"/>
        </w:rPr>
        <w:footnoteReference w:id="23"/>
      </w:r>
      <w:r w:rsidR="00736770">
        <w:t xml:space="preserve"> </w:t>
      </w:r>
      <w:r w:rsidR="006561E3">
        <w:t>Consequently o</w:t>
      </w:r>
      <w:r w:rsidR="006910ED" w:rsidRPr="00462052">
        <w:t xml:space="preserve">ur </w:t>
      </w:r>
      <w:r w:rsidR="006910ED">
        <w:t>price</w:t>
      </w:r>
      <w:r w:rsidR="006910ED" w:rsidRPr="00462052">
        <w:t xml:space="preserve"> </w:t>
      </w:r>
      <w:r w:rsidR="006561E3">
        <w:t>growth</w:t>
      </w:r>
      <w:r w:rsidR="006561E3" w:rsidRPr="00462052">
        <w:t xml:space="preserve"> forecast </w:t>
      </w:r>
      <w:r w:rsidR="006910ED" w:rsidRPr="00462052">
        <w:t xml:space="preserve">is </w:t>
      </w:r>
      <w:r w:rsidR="006910ED">
        <w:t>higher</w:t>
      </w:r>
      <w:r w:rsidR="006910ED" w:rsidRPr="00462052">
        <w:t xml:space="preserve"> than </w:t>
      </w:r>
      <w:r w:rsidR="000C3A19">
        <w:t>TasNetworks'</w:t>
      </w:r>
      <w:r w:rsidR="00B97B60">
        <w:t xml:space="preserve"> forecast</w:t>
      </w:r>
      <w:r w:rsidR="006910ED">
        <w:t>.</w:t>
      </w:r>
    </w:p>
    <w:p w:rsidR="007C43A9" w:rsidRDefault="007C43A9" w:rsidP="007C43A9">
      <w:pPr>
        <w:pStyle w:val="HeadingBoldItalic"/>
      </w:pPr>
      <w:r>
        <w:t>Forecast output</w:t>
      </w:r>
      <w:r w:rsidR="00152E48">
        <w:t xml:space="preserve"> growth</w:t>
      </w:r>
    </w:p>
    <w:p w:rsidR="003776FA" w:rsidRDefault="003776FA" w:rsidP="008A4890">
      <w:r>
        <w:t xml:space="preserve">We have </w:t>
      </w:r>
      <w:r w:rsidR="00152E48">
        <w:t>forecast</w:t>
      </w:r>
      <w:r>
        <w:t xml:space="preserve"> average annual output growth of </w:t>
      </w:r>
      <w:r w:rsidRPr="00C679CE">
        <w:t>0.</w:t>
      </w:r>
      <w:r>
        <w:t>6</w:t>
      </w:r>
      <w:r w:rsidRPr="00C679CE">
        <w:t xml:space="preserve"> </w:t>
      </w:r>
      <w:r>
        <w:t xml:space="preserve">per cent in our alternative opex forecast. </w:t>
      </w:r>
    </w:p>
    <w:p w:rsidR="003776FA" w:rsidRDefault="00E0363F" w:rsidP="003776FA">
      <w:r>
        <w:t>We assume t</w:t>
      </w:r>
      <w:r w:rsidR="00B3260E">
        <w:t xml:space="preserve">he opex of an efficient provider </w:t>
      </w:r>
      <w:r w:rsidR="0041024F">
        <w:t>would</w:t>
      </w:r>
      <w:r w:rsidR="00B3260E">
        <w:t xml:space="preserve"> reasonably increase </w:t>
      </w:r>
      <w:r w:rsidR="00E64D89">
        <w:t>with increases in</w:t>
      </w:r>
      <w:r w:rsidR="00B3260E">
        <w:t xml:space="preserve"> output.</w:t>
      </w:r>
      <w:r w:rsidR="003776FA">
        <w:t xml:space="preserve"> The</w:t>
      </w:r>
      <w:r w:rsidR="003776FA" w:rsidRPr="008D282F">
        <w:t xml:space="preserve"> outputs we </w:t>
      </w:r>
      <w:r w:rsidR="003776FA">
        <w:t>have regard to</w:t>
      </w:r>
      <w:r w:rsidR="003776FA" w:rsidRPr="008D282F">
        <w:t xml:space="preserve"> are</w:t>
      </w:r>
      <w:r w:rsidR="00D06284">
        <w:t>:</w:t>
      </w:r>
      <w:r w:rsidR="003776FA" w:rsidRPr="008D282F">
        <w:t xml:space="preserve"> </w:t>
      </w:r>
      <w:r w:rsidR="003776FA">
        <w:t xml:space="preserve">customer numbers, </w:t>
      </w:r>
      <w:r w:rsidR="003776FA" w:rsidRPr="008D282F">
        <w:t xml:space="preserve">circuit line length, </w:t>
      </w:r>
      <w:r w:rsidR="003776FA">
        <w:t>and maximum demand.</w:t>
      </w:r>
    </w:p>
    <w:p w:rsidR="008A4890" w:rsidRDefault="003776FA" w:rsidP="008A4890">
      <w:r>
        <w:t>We weight the forecast output growth to account for the proportion of opex that is attributable to each of the three measures</w:t>
      </w:r>
      <w:r w:rsidRPr="000D7CA6">
        <w:t>.</w:t>
      </w:r>
      <w:r>
        <w:rPr>
          <w:rStyle w:val="FootnoteReference"/>
        </w:rPr>
        <w:footnoteReference w:id="24"/>
      </w:r>
      <w:r>
        <w:t xml:space="preserve"> </w:t>
      </w:r>
      <w:r w:rsidR="00E64D89">
        <w:t>We use</w:t>
      </w:r>
      <w:r w:rsidR="003B14FB" w:rsidRPr="003B14FB">
        <w:t xml:space="preserve"> the forecast customer numbers</w:t>
      </w:r>
      <w:r w:rsidR="003C460A">
        <w:t>,</w:t>
      </w:r>
      <w:r w:rsidR="003B14FB" w:rsidRPr="003B14FB">
        <w:t xml:space="preserve"> circuit length </w:t>
      </w:r>
      <w:r w:rsidR="003C460A">
        <w:t xml:space="preserve">and ratcheted maximum demand </w:t>
      </w:r>
      <w:r w:rsidR="003B14FB" w:rsidRPr="003B14FB">
        <w:t xml:space="preserve">reported by </w:t>
      </w:r>
      <w:r w:rsidR="003B14FB">
        <w:t>TasNetworks</w:t>
      </w:r>
      <w:r w:rsidR="003C460A">
        <w:t>.</w:t>
      </w:r>
      <w:r w:rsidR="00BC2D08">
        <w:rPr>
          <w:rStyle w:val="FootnoteReference"/>
        </w:rPr>
        <w:footnoteReference w:id="25"/>
      </w:r>
      <w:r w:rsidR="003B14FB" w:rsidRPr="003B14FB">
        <w:t xml:space="preserve"> </w:t>
      </w:r>
    </w:p>
    <w:p w:rsidR="00D13FC0" w:rsidRDefault="003E0A25" w:rsidP="00D13FC0">
      <w:r>
        <w:t xml:space="preserve">TasNetworks also forecast </w:t>
      </w:r>
      <w:r w:rsidR="004F462D">
        <w:t xml:space="preserve">output growth </w:t>
      </w:r>
      <w:r>
        <w:t>of 0.6 per cent</w:t>
      </w:r>
      <w:r w:rsidR="004F462D">
        <w:t xml:space="preserve"> because it adopted our approa</w:t>
      </w:r>
      <w:r w:rsidR="00EE1228">
        <w:t>ch to forecasting output growth</w:t>
      </w:r>
      <w:r w:rsidR="004F462D">
        <w:t>.</w:t>
      </w:r>
      <w:r w:rsidR="004F462D">
        <w:rPr>
          <w:rStyle w:val="FootnoteReference"/>
        </w:rPr>
        <w:footnoteReference w:id="26"/>
      </w:r>
    </w:p>
    <w:p w:rsidR="007C43A9" w:rsidRDefault="007C43A9" w:rsidP="007C43A9">
      <w:pPr>
        <w:pStyle w:val="HeadingBoldItalic"/>
      </w:pPr>
      <w:r>
        <w:t>Forecast productivity</w:t>
      </w:r>
      <w:r w:rsidR="00152E48">
        <w:t xml:space="preserve"> growth</w:t>
      </w:r>
    </w:p>
    <w:p w:rsidR="003776FA" w:rsidRDefault="003776FA" w:rsidP="003776FA">
      <w:r>
        <w:t xml:space="preserve">We have applied zero productivity growth in our alternative opex forecast. </w:t>
      </w:r>
    </w:p>
    <w:p w:rsidR="00FC0A61" w:rsidRDefault="00FC0A61" w:rsidP="003B14FB">
      <w:r>
        <w:t xml:space="preserve">We forecast our change in productivity measure based on our expectations of the productivity an efficient service provider in the distribution industry can achieve. </w:t>
      </w:r>
      <w:r w:rsidR="006479ED">
        <w:t>We generally consider past performance to be a good indicator of future performance under a business</w:t>
      </w:r>
      <w:r w:rsidR="00090124">
        <w:t>-</w:t>
      </w:r>
      <w:r w:rsidR="006479ED">
        <w:t>as</w:t>
      </w:r>
      <w:r w:rsidR="00090124">
        <w:t>-</w:t>
      </w:r>
      <w:r w:rsidR="006479ED">
        <w:t xml:space="preserve">usual situation. </w:t>
      </w:r>
    </w:p>
    <w:p w:rsidR="006479ED" w:rsidRDefault="006479ED" w:rsidP="00CF5538">
      <w:r>
        <w:t xml:space="preserve">To reach our best estimate of forecast productivity we have considered </w:t>
      </w:r>
      <w:r w:rsidR="000507E8">
        <w:t>the historic</w:t>
      </w:r>
      <w:r w:rsidR="003776FA">
        <w:t>al</w:t>
      </w:r>
      <w:r w:rsidR="000507E8">
        <w:t xml:space="preserve"> change in productivity from Economic Insights' economic benchmarking analysis</w:t>
      </w:r>
      <w:r w:rsidR="000507E8">
        <w:rPr>
          <w:rStyle w:val="FootnoteReference"/>
        </w:rPr>
        <w:footnoteReference w:id="27"/>
      </w:r>
      <w:r w:rsidR="000507E8">
        <w:t xml:space="preserve"> and </w:t>
      </w:r>
      <w:r w:rsidR="000507E8">
        <w:lastRenderedPageBreak/>
        <w:t>whether this reflects a reasonable expectation of the benchmark productivity that can be achieved for the forecast period.</w:t>
      </w:r>
    </w:p>
    <w:p w:rsidR="00CF5538" w:rsidRPr="00CF5538" w:rsidRDefault="006479ED" w:rsidP="00CF5538">
      <w:r>
        <w:t xml:space="preserve">We </w:t>
      </w:r>
      <w:r w:rsidR="00AF5716">
        <w:t xml:space="preserve">do not expect negative productivity trends to continue for the forecast period. Rather we </w:t>
      </w:r>
      <w:r>
        <w:t>have applied a zero productivity forecast for TasNetworks for the following reasons</w:t>
      </w:r>
      <w:r w:rsidR="00FC0A61">
        <w:t>:</w:t>
      </w:r>
      <w:r w:rsidR="00CF5538" w:rsidRPr="00CF5538">
        <w:t xml:space="preserve"> </w:t>
      </w:r>
    </w:p>
    <w:p w:rsidR="00612B91" w:rsidRDefault="00682F45" w:rsidP="009027E6">
      <w:pPr>
        <w:pStyle w:val="AERbulletlistfirststyle"/>
      </w:pPr>
      <w:r>
        <w:t xml:space="preserve">While </w:t>
      </w:r>
      <w:r w:rsidR="008C3A65" w:rsidRPr="009027E6">
        <w:t xml:space="preserve">productivity for </w:t>
      </w:r>
      <w:r w:rsidR="008C3A65">
        <w:t xml:space="preserve">most </w:t>
      </w:r>
      <w:r w:rsidR="008C3A65" w:rsidRPr="009027E6">
        <w:t xml:space="preserve">electricity distribution </w:t>
      </w:r>
      <w:r w:rsidR="008C3A65">
        <w:t>busin</w:t>
      </w:r>
      <w:r w:rsidR="003776FA">
        <w:t>esses was negative between 2006 and 20</w:t>
      </w:r>
      <w:r w:rsidR="008C3A65">
        <w:t>12</w:t>
      </w:r>
      <w:r>
        <w:t>,</w:t>
      </w:r>
      <w:r w:rsidRPr="00682F45">
        <w:t xml:space="preserve"> </w:t>
      </w:r>
      <w:r>
        <w:t xml:space="preserve">the rate of decline levelled off for most businesses or </w:t>
      </w:r>
      <w:r w:rsidR="006479ED">
        <w:t>in some cases</w:t>
      </w:r>
      <w:r w:rsidR="00CB32E2">
        <w:t xml:space="preserve"> </w:t>
      </w:r>
      <w:r w:rsidR="003776FA">
        <w:t>improved between 2012 and 20</w:t>
      </w:r>
      <w:r>
        <w:t>14</w:t>
      </w:r>
      <w:r w:rsidRPr="009027E6">
        <w:t>.</w:t>
      </w:r>
      <w:r>
        <w:rPr>
          <w:rStyle w:val="FootnoteReference"/>
        </w:rPr>
        <w:footnoteReference w:id="28"/>
      </w:r>
      <w:r w:rsidR="008F7010">
        <w:t xml:space="preserve"> </w:t>
      </w:r>
      <w:r w:rsidR="008C3A65">
        <w:t>A</w:t>
      </w:r>
      <w:r w:rsidR="0044231D">
        <w:t xml:space="preserve"> </w:t>
      </w:r>
      <w:r w:rsidR="0044231D" w:rsidRPr="009027E6">
        <w:t>significant factor contributing to negative productivity</w:t>
      </w:r>
      <w:r w:rsidR="0044231D">
        <w:t xml:space="preserve"> </w:t>
      </w:r>
      <w:r w:rsidR="008C3A65">
        <w:t>was</w:t>
      </w:r>
      <w:r w:rsidR="0044231D">
        <w:t xml:space="preserve"> t</w:t>
      </w:r>
      <w:r w:rsidR="009027E6" w:rsidRPr="009027E6">
        <w:t>he i</w:t>
      </w:r>
      <w:r w:rsidR="0044231D">
        <w:t>ncrease in the service provider</w:t>
      </w:r>
      <w:r w:rsidR="009027E6" w:rsidRPr="009027E6">
        <w:t>s</w:t>
      </w:r>
      <w:r w:rsidR="0044231D">
        <w:t>'</w:t>
      </w:r>
      <w:r w:rsidR="009027E6" w:rsidRPr="009027E6">
        <w:t xml:space="preserve"> inputs, </w:t>
      </w:r>
      <w:r w:rsidR="0044231D">
        <w:t xml:space="preserve">which we do not expect </w:t>
      </w:r>
      <w:r w:rsidR="009027E6" w:rsidRPr="009027E6">
        <w:t>to continue for the forecast period</w:t>
      </w:r>
      <w:r w:rsidR="009027E6">
        <w:t>.</w:t>
      </w:r>
      <w:r w:rsidR="00C025F8" w:rsidRPr="00C025F8">
        <w:t xml:space="preserve"> </w:t>
      </w:r>
    </w:p>
    <w:p w:rsidR="00BF436B" w:rsidRDefault="00BF436B" w:rsidP="009027E6">
      <w:pPr>
        <w:pStyle w:val="AERbulletlistfirststyle"/>
      </w:pPr>
      <w:r>
        <w:t xml:space="preserve">TasNetworks' productivity declined </w:t>
      </w:r>
      <w:r w:rsidR="008F7010">
        <w:t>between</w:t>
      </w:r>
      <w:r>
        <w:t xml:space="preserve"> 20</w:t>
      </w:r>
      <w:r w:rsidR="003776FA">
        <w:t>06 and 20</w:t>
      </w:r>
      <w:r>
        <w:t>10</w:t>
      </w:r>
      <w:r w:rsidR="00682F45">
        <w:t xml:space="preserve"> but</w:t>
      </w:r>
      <w:r>
        <w:t xml:space="preserve"> increased</w:t>
      </w:r>
      <w:r w:rsidR="00810273">
        <w:t xml:space="preserve"> </w:t>
      </w:r>
      <w:r w:rsidR="00C025F8">
        <w:t xml:space="preserve">slightly </w:t>
      </w:r>
      <w:r w:rsidR="003776FA">
        <w:t>between 2010 and 20</w:t>
      </w:r>
      <w:r w:rsidR="008F7010">
        <w:t>14</w:t>
      </w:r>
      <w:r w:rsidR="00810273">
        <w:t>.</w:t>
      </w:r>
      <w:r w:rsidR="008C3A65">
        <w:rPr>
          <w:rStyle w:val="FootnoteReference"/>
        </w:rPr>
        <w:footnoteReference w:id="29"/>
      </w:r>
    </w:p>
    <w:p w:rsidR="00093610" w:rsidRDefault="0052324B" w:rsidP="0052324B">
      <w:pPr>
        <w:pStyle w:val="AERbulletlistfirststyle"/>
      </w:pPr>
      <w:r w:rsidRPr="0052324B">
        <w:t>It is consistent with Economic Insights’ recommendation to apply zero productivity growth for other distribution network service providers, which we adopted in our recent distribution determinations f</w:t>
      </w:r>
      <w:r>
        <w:t>or South Australia and Victoria</w:t>
      </w:r>
      <w:r w:rsidR="00093610">
        <w:t>.</w:t>
      </w:r>
      <w:r w:rsidR="008C3A65">
        <w:rPr>
          <w:rStyle w:val="FootnoteReference"/>
        </w:rPr>
        <w:footnoteReference w:id="30"/>
      </w:r>
      <w:r w:rsidR="00B51EDF">
        <w:t xml:space="preserve"> </w:t>
      </w:r>
      <w:r w:rsidR="004830EF" w:rsidRPr="004830EF">
        <w:t xml:space="preserve">Economic Insights' </w:t>
      </w:r>
      <w:r w:rsidR="00AF5716">
        <w:t>assessed trends in annual output growth and input quantity at an industry level</w:t>
      </w:r>
      <w:r w:rsidR="00322BA6">
        <w:t>,</w:t>
      </w:r>
      <w:r w:rsidR="00AF5716">
        <w:t xml:space="preserve"> so</w:t>
      </w:r>
      <w:r w:rsidR="00322BA6">
        <w:t xml:space="preserve"> this</w:t>
      </w:r>
      <w:r w:rsidR="00AF5716">
        <w:t xml:space="preserve"> informs our assessment of TasNetworks</w:t>
      </w:r>
      <w:r w:rsidR="004830EF" w:rsidRPr="004830EF">
        <w:t>.</w:t>
      </w:r>
    </w:p>
    <w:p w:rsidR="00612B91" w:rsidRDefault="009027E6" w:rsidP="009027E6">
      <w:pPr>
        <w:pStyle w:val="AERbulletlistfirststyle"/>
      </w:pPr>
      <w:r w:rsidRPr="009027E6">
        <w:t xml:space="preserve">Measured productivity for </w:t>
      </w:r>
      <w:r w:rsidR="00EF1D8B">
        <w:t xml:space="preserve">most </w:t>
      </w:r>
      <w:r w:rsidRPr="009027E6">
        <w:t>electricity transmission and gas distribution industr</w:t>
      </w:r>
      <w:r w:rsidR="00810273">
        <w:t>ies are positive for the 2006–14</w:t>
      </w:r>
      <w:r w:rsidRPr="009027E6">
        <w:t xml:space="preserve"> period and are forecast to be positive</w:t>
      </w:r>
      <w:r w:rsidR="00212979">
        <w:t>.</w:t>
      </w:r>
      <w:r w:rsidR="00810273">
        <w:rPr>
          <w:rStyle w:val="FootnoteReference"/>
        </w:rPr>
        <w:footnoteReference w:id="31"/>
      </w:r>
      <w:r w:rsidR="00AF5716">
        <w:t xml:space="preserve"> </w:t>
      </w:r>
      <w:r w:rsidR="00E02444">
        <w:t>These sectors share some common drivers of productivity with distribution, such as input prices, regulatory obligations and demand.</w:t>
      </w:r>
    </w:p>
    <w:p w:rsidR="00592F02" w:rsidRDefault="00964056" w:rsidP="007C43A9">
      <w:r>
        <w:t xml:space="preserve">In </w:t>
      </w:r>
      <w:r w:rsidR="00FD52CA">
        <w:t>comparison</w:t>
      </w:r>
      <w:r w:rsidR="009027E6">
        <w:t xml:space="preserve"> to our forecast</w:t>
      </w:r>
      <w:r>
        <w:t>,</w:t>
      </w:r>
      <w:r w:rsidR="00FD52CA">
        <w:t xml:space="preserve"> </w:t>
      </w:r>
      <w:r w:rsidR="00CF30F1">
        <w:t>TasNetworks</w:t>
      </w:r>
      <w:r w:rsidR="007C43A9">
        <w:t xml:space="preserve"> proposed </w:t>
      </w:r>
      <w:r w:rsidR="005A1DC2">
        <w:t xml:space="preserve">strong </w:t>
      </w:r>
      <w:r w:rsidR="007C43A9">
        <w:t xml:space="preserve">productivity </w:t>
      </w:r>
      <w:r w:rsidR="005A1DC2">
        <w:t xml:space="preserve">growth </w:t>
      </w:r>
      <w:r w:rsidR="007C43A9">
        <w:t>ove</w:t>
      </w:r>
      <w:r w:rsidR="00CF30F1">
        <w:t>r the regulatory control period.</w:t>
      </w:r>
      <w:r w:rsidR="007C43A9">
        <w:t xml:space="preserve"> </w:t>
      </w:r>
    </w:p>
    <w:p w:rsidR="007C43A9" w:rsidRDefault="00FB6C0D" w:rsidP="007C43A9">
      <w:r>
        <w:t xml:space="preserve">TasNetworks' </w:t>
      </w:r>
      <w:r w:rsidR="009B581B">
        <w:t>regulatory proposal indicate</w:t>
      </w:r>
      <w:r w:rsidR="006C4E6B">
        <w:t>d</w:t>
      </w:r>
      <w:r w:rsidR="009B581B">
        <w:t xml:space="preserve"> its </w:t>
      </w:r>
      <w:r w:rsidR="00E64D89">
        <w:t xml:space="preserve">forecast </w:t>
      </w:r>
      <w:r w:rsidR="00C01EFD">
        <w:t xml:space="preserve">is </w:t>
      </w:r>
      <w:r w:rsidR="00E64D89">
        <w:t>based on</w:t>
      </w:r>
      <w:r w:rsidR="00964056">
        <w:t xml:space="preserve"> further efficiencies</w:t>
      </w:r>
      <w:r w:rsidR="00E64D89">
        <w:t xml:space="preserve"> it identified</w:t>
      </w:r>
      <w:r w:rsidR="008D7F39">
        <w:t xml:space="preserve"> related to the merger of </w:t>
      </w:r>
      <w:r w:rsidR="008D7F39" w:rsidRPr="008D7F39">
        <w:t>transmi</w:t>
      </w:r>
      <w:r w:rsidR="008D7F39">
        <w:t>ssion and distribution networks</w:t>
      </w:r>
      <w:r w:rsidR="00964056">
        <w:t>.</w:t>
      </w:r>
      <w:r w:rsidR="00E64D89">
        <w:rPr>
          <w:rStyle w:val="FootnoteReference"/>
        </w:rPr>
        <w:footnoteReference w:id="32"/>
      </w:r>
      <w:r w:rsidR="004F462D">
        <w:t xml:space="preserve"> </w:t>
      </w:r>
      <w:r w:rsidR="003E0A25">
        <w:t>Further,</w:t>
      </w:r>
      <w:r w:rsidR="009B581B">
        <w:t xml:space="preserve"> we note</w:t>
      </w:r>
      <w:r w:rsidR="003E0A25">
        <w:t xml:space="preserve"> TasNetworks</w:t>
      </w:r>
      <w:r>
        <w:t xml:space="preserve"> is undertaking considerable investment in information technology, which </w:t>
      </w:r>
      <w:r w:rsidR="00F77935">
        <w:t>is</w:t>
      </w:r>
      <w:r>
        <w:t xml:space="preserve"> expected to lead to productivity improvement</w:t>
      </w:r>
      <w:r w:rsidR="009B581B">
        <w:t>s</w:t>
      </w:r>
      <w:r w:rsidR="00F77935">
        <w:t xml:space="preserve">—as highlighted by CCP </w:t>
      </w:r>
      <w:r w:rsidR="00B57244">
        <w:t xml:space="preserve">members </w:t>
      </w:r>
      <w:r w:rsidR="00F77935">
        <w:t>and TasCOSS.</w:t>
      </w:r>
    </w:p>
    <w:p w:rsidR="001E3259" w:rsidRPr="001D2EC0" w:rsidRDefault="001E3259" w:rsidP="001D2EC0">
      <w:pPr>
        <w:rPr>
          <w:rStyle w:val="AERbody"/>
        </w:rPr>
      </w:pPr>
      <w:r w:rsidRPr="001D2EC0">
        <w:rPr>
          <w:rStyle w:val="AERbody"/>
        </w:rPr>
        <w:lastRenderedPageBreak/>
        <w:t xml:space="preserve">In response to a subsequent information request, </w:t>
      </w:r>
      <w:r w:rsidRPr="00417ED8">
        <w:rPr>
          <w:rStyle w:val="AERbody"/>
        </w:rPr>
        <w:t xml:space="preserve">TasNetworks clarified that the </w:t>
      </w:r>
      <w:r>
        <w:rPr>
          <w:rStyle w:val="AERbody"/>
        </w:rPr>
        <w:t>"</w:t>
      </w:r>
      <w:r w:rsidRPr="001D2EC0">
        <w:rPr>
          <w:rStyle w:val="AERbody"/>
        </w:rPr>
        <w:t>productivity savings identified in the distribution regulatory proposal are not specific to individual initiatives but are an estimate of overall productivity savings</w:t>
      </w:r>
      <w:r w:rsidR="00FD0849">
        <w:rPr>
          <w:rStyle w:val="AERbody"/>
        </w:rPr>
        <w:t>"</w:t>
      </w:r>
      <w:r w:rsidRPr="001D2EC0">
        <w:rPr>
          <w:rStyle w:val="AERbody"/>
        </w:rPr>
        <w:t>.</w:t>
      </w:r>
      <w:r w:rsidR="00FD0849">
        <w:rPr>
          <w:rStyle w:val="FootnoteReference"/>
        </w:rPr>
        <w:footnoteReference w:id="33"/>
      </w:r>
      <w:r w:rsidRPr="001D2EC0">
        <w:rPr>
          <w:rStyle w:val="AERbody"/>
        </w:rPr>
        <w:t xml:space="preserve"> Nevertheless, TasNetworks note</w:t>
      </w:r>
      <w:r w:rsidR="006E16BA">
        <w:rPr>
          <w:rStyle w:val="AERbody"/>
        </w:rPr>
        <w:t>d</w:t>
      </w:r>
      <w:r w:rsidRPr="001D2EC0">
        <w:rPr>
          <w:rStyle w:val="AERbody"/>
        </w:rPr>
        <w:t xml:space="preserve"> it is </w:t>
      </w:r>
      <w:r>
        <w:rPr>
          <w:rStyle w:val="AERbody"/>
        </w:rPr>
        <w:t>"</w:t>
      </w:r>
      <w:r w:rsidRPr="001D2EC0">
        <w:rPr>
          <w:rStyle w:val="AERbody"/>
        </w:rPr>
        <w:t>planning to undertake a number of initiatives during the 2017</w:t>
      </w:r>
      <w:r w:rsidR="00DA566F">
        <w:rPr>
          <w:rStyle w:val="AERbody"/>
        </w:rPr>
        <w:t>–</w:t>
      </w:r>
      <w:r w:rsidRPr="001D2EC0">
        <w:rPr>
          <w:rStyle w:val="AERbody"/>
        </w:rPr>
        <w:t>2019 regulatory control period, that will provide productivity improvements, includ</w:t>
      </w:r>
      <w:r>
        <w:rPr>
          <w:rStyle w:val="AERbody"/>
        </w:rPr>
        <w:t>ing</w:t>
      </w:r>
      <w:r w:rsidRPr="001D2EC0">
        <w:rPr>
          <w:rStyle w:val="AERbody"/>
        </w:rPr>
        <w:t>:</w:t>
      </w:r>
    </w:p>
    <w:p w:rsidR="001E3259" w:rsidRPr="001E3259" w:rsidRDefault="001E3259" w:rsidP="001E3259">
      <w:pPr>
        <w:pStyle w:val="AERbulletlistfirststyle"/>
      </w:pPr>
      <w:r w:rsidRPr="001E3259">
        <w:t>continued productivity improvements from network merger including enterprise-wide transformation programs underpinned by IT investment, for example, Ajilis; and</w:t>
      </w:r>
    </w:p>
    <w:p w:rsidR="00F568D1" w:rsidRDefault="001E3259" w:rsidP="001D2EC0">
      <w:pPr>
        <w:pStyle w:val="AERbulletlistfirststyle"/>
      </w:pPr>
      <w:r w:rsidRPr="001E3259">
        <w:t>a number of business improvement initiatives”.</w:t>
      </w:r>
      <w:r>
        <w:rPr>
          <w:rStyle w:val="FootnoteReference"/>
        </w:rPr>
        <w:footnoteReference w:id="34"/>
      </w:r>
    </w:p>
    <w:p w:rsidR="00F418B7" w:rsidRDefault="00B21A0C" w:rsidP="00F418B7">
      <w:pPr>
        <w:pStyle w:val="Heading3"/>
      </w:pPr>
      <w:bookmarkStart w:id="84" w:name="_Toc462755056"/>
      <w:r>
        <w:t>Step</w:t>
      </w:r>
      <w:r w:rsidR="00F418B7">
        <w:t xml:space="preserve"> changes </w:t>
      </w:r>
      <w:r>
        <w:t>and category specific forecasts</w:t>
      </w:r>
      <w:bookmarkEnd w:id="84"/>
    </w:p>
    <w:p w:rsidR="00F418B7" w:rsidRDefault="005A059B" w:rsidP="00F418B7">
      <w:r>
        <w:t>W</w:t>
      </w:r>
      <w:r w:rsidR="00F418B7">
        <w:t xml:space="preserve">e add or subtract any </w:t>
      </w:r>
      <w:r w:rsidR="0044231D">
        <w:t>other opex components</w:t>
      </w:r>
      <w:r w:rsidR="00F418B7">
        <w:t xml:space="preserve"> that would not otherwise </w:t>
      </w:r>
      <w:r w:rsidR="004B1E64">
        <w:t xml:space="preserve">be </w:t>
      </w:r>
      <w:r w:rsidR="00F418B7">
        <w:t>captured in base opex or the rate of change</w:t>
      </w:r>
      <w:r w:rsidR="0044231D">
        <w:t>, such as step changes</w:t>
      </w:r>
      <w:r>
        <w:t xml:space="preserve"> or category specific forecasts.</w:t>
      </w:r>
      <w:r w:rsidR="00F418B7">
        <w:t xml:space="preserve"> </w:t>
      </w:r>
    </w:p>
    <w:p w:rsidR="00DD5EBA" w:rsidRDefault="00DD5EBA" w:rsidP="00DD5EBA">
      <w:pPr>
        <w:pStyle w:val="HeadingBoldItalic"/>
      </w:pPr>
      <w:r>
        <w:t>Step changes</w:t>
      </w:r>
    </w:p>
    <w:p w:rsidR="00B93A15" w:rsidRDefault="00B93A15" w:rsidP="00F418B7">
      <w:r>
        <w:t xml:space="preserve">TasNetworks proposed </w:t>
      </w:r>
      <w:r w:rsidR="00E00440">
        <w:t>five</w:t>
      </w:r>
      <w:r>
        <w:t xml:space="preserve"> step changes </w:t>
      </w:r>
      <w:r w:rsidR="00E00440">
        <w:t>totalling $6.</w:t>
      </w:r>
      <w:r w:rsidR="00EE1228">
        <w:t>7</w:t>
      </w:r>
      <w:r w:rsidR="00E00440">
        <w:t xml:space="preserve"> million or 5.3 per cent of its total opex forecast.</w:t>
      </w:r>
      <w:r w:rsidR="005A059B">
        <w:rPr>
          <w:rStyle w:val="FootnoteReference"/>
        </w:rPr>
        <w:footnoteReference w:id="35"/>
      </w:r>
      <w:r w:rsidR="00E00440">
        <w:t xml:space="preserve"> </w:t>
      </w:r>
    </w:p>
    <w:p w:rsidR="00413B64" w:rsidRDefault="005F5A1B" w:rsidP="00F418B7">
      <w:r>
        <w:t>In developing our alternative estimate,</w:t>
      </w:r>
      <w:r w:rsidR="00413B64">
        <w:t xml:space="preserve"> we typically </w:t>
      </w:r>
      <w:r w:rsidR="0044231D">
        <w:t>include</w:t>
      </w:r>
      <w:r w:rsidR="00413B64">
        <w:t xml:space="preserve"> </w:t>
      </w:r>
      <w:r>
        <w:t xml:space="preserve">step changes </w:t>
      </w:r>
      <w:r w:rsidR="00B42B50">
        <w:t>for cost drive</w:t>
      </w:r>
      <w:r w:rsidR="005D7595">
        <w:t>r</w:t>
      </w:r>
      <w:r w:rsidR="00B42B50">
        <w:t>s such as</w:t>
      </w:r>
      <w:r w:rsidR="00413B64">
        <w:t xml:space="preserve"> </w:t>
      </w:r>
      <w:r w:rsidR="0044231D">
        <w:t xml:space="preserve">new regulatory obligations </w:t>
      </w:r>
      <w:r w:rsidR="00B42B50">
        <w:t>or</w:t>
      </w:r>
      <w:r w:rsidR="0044231D">
        <w:t xml:space="preserve"> efficient capex/opex trade-offs</w:t>
      </w:r>
      <w:r w:rsidR="00413B64">
        <w:t>.</w:t>
      </w:r>
      <w:r w:rsidR="0044231D">
        <w:t xml:space="preserve"> </w:t>
      </w:r>
      <w:r w:rsidR="00B42B50">
        <w:t xml:space="preserve">As </w:t>
      </w:r>
      <w:r w:rsidR="004F462D">
        <w:t xml:space="preserve">we explain in </w:t>
      </w:r>
      <w:r w:rsidR="00B42B50">
        <w:t xml:space="preserve">our </w:t>
      </w:r>
      <w:r w:rsidR="005F286E">
        <w:t>G</w:t>
      </w:r>
      <w:r w:rsidR="00B42B50" w:rsidRPr="00B42B50">
        <w:t>uideline, we will include a step change if efficient base opex and the rate of change in opex of an efficient service provider do not already include the proposed cost.</w:t>
      </w:r>
      <w:r w:rsidR="00B42B50">
        <w:rPr>
          <w:rStyle w:val="FootnoteReference"/>
        </w:rPr>
        <w:footnoteReference w:id="36"/>
      </w:r>
      <w:r w:rsidR="00B42B50" w:rsidRPr="00B42B50">
        <w:t xml:space="preserve"> </w:t>
      </w:r>
    </w:p>
    <w:p w:rsidR="00B93A15" w:rsidRDefault="00B93A15" w:rsidP="00F418B7">
      <w:r>
        <w:t xml:space="preserve">We have included </w:t>
      </w:r>
      <w:r w:rsidR="00E00440">
        <w:t>one step change of $0.8 million ($2016–17) for a metering rule change</w:t>
      </w:r>
      <w:r w:rsidR="00393FD4">
        <w:t xml:space="preserve"> in our alternative forecast because it is driven by a regulatory change.</w:t>
      </w:r>
      <w:r>
        <w:t xml:space="preserve"> </w:t>
      </w:r>
      <w:r w:rsidR="00E00440">
        <w:t>We consider additional opex will be required to administer new processes and systems associated with metering contestability, which is expected to commence in December 2017.</w:t>
      </w:r>
    </w:p>
    <w:p w:rsidR="005A059B" w:rsidRDefault="005A059B" w:rsidP="00F418B7">
      <w:r>
        <w:t xml:space="preserve">We did not include </w:t>
      </w:r>
      <w:r w:rsidR="00797790">
        <w:t>the other</w:t>
      </w:r>
      <w:r>
        <w:t xml:space="preserve"> step change</w:t>
      </w:r>
      <w:r w:rsidR="00797790">
        <w:t>s TasNetworks proposed</w:t>
      </w:r>
      <w:r w:rsidR="005F286E">
        <w:t>. Specifically, these were</w:t>
      </w:r>
      <w:r>
        <w:t xml:space="preserve"> for:</w:t>
      </w:r>
    </w:p>
    <w:p w:rsidR="005A059B" w:rsidRDefault="005A059B" w:rsidP="005A059B">
      <w:pPr>
        <w:pStyle w:val="AERbulletlistfirststyle"/>
      </w:pPr>
      <w:r>
        <w:t>overhead switchgear and overhead system asset repair</w:t>
      </w:r>
    </w:p>
    <w:p w:rsidR="005A059B" w:rsidRDefault="005A059B" w:rsidP="005A059B">
      <w:pPr>
        <w:pStyle w:val="AERbulletlistfirststyle"/>
      </w:pPr>
      <w:r>
        <w:t>increase in access track and corridor maintenance</w:t>
      </w:r>
    </w:p>
    <w:p w:rsidR="005A059B" w:rsidRDefault="005A059B" w:rsidP="005A059B">
      <w:pPr>
        <w:pStyle w:val="AERbulletlistfirststyle"/>
      </w:pPr>
      <w:r>
        <w:lastRenderedPageBreak/>
        <w:t>increase in inspection of overhead lines and structures and increase in overhead system asset repair</w:t>
      </w:r>
    </w:p>
    <w:p w:rsidR="005A059B" w:rsidRDefault="005A059B" w:rsidP="005A059B">
      <w:pPr>
        <w:pStyle w:val="AERbulletlistfirststyle"/>
      </w:pPr>
      <w:r>
        <w:t>increase in low conductor span rectification.</w:t>
      </w:r>
    </w:p>
    <w:p w:rsidR="00393FD4" w:rsidRDefault="005A059B" w:rsidP="00F418B7">
      <w:r>
        <w:t>These proposed step changes are for repairs, maintenance, inspection and rectification work which we consider are business</w:t>
      </w:r>
      <w:r w:rsidR="00090124">
        <w:t>-</w:t>
      </w:r>
      <w:r>
        <w:t>as</w:t>
      </w:r>
      <w:r w:rsidR="00090124">
        <w:t>-</w:t>
      </w:r>
      <w:r>
        <w:t xml:space="preserve">usual activities for a network service provider. </w:t>
      </w:r>
      <w:r w:rsidR="00797790">
        <w:t>As a consequence</w:t>
      </w:r>
      <w:r>
        <w:t xml:space="preserve"> we consider </w:t>
      </w:r>
      <w:r w:rsidR="00797790">
        <w:t xml:space="preserve">these costs are already accounted for in our base opex forecast. </w:t>
      </w:r>
    </w:p>
    <w:p w:rsidR="00F418B7" w:rsidRDefault="00152E48" w:rsidP="005A1DC2">
      <w:pPr>
        <w:pStyle w:val="HeadingBoldItalic"/>
      </w:pPr>
      <w:r>
        <w:t>Category specific forecasts</w:t>
      </w:r>
      <w:r w:rsidR="00F418B7">
        <w:t xml:space="preserve"> </w:t>
      </w:r>
    </w:p>
    <w:p w:rsidR="004604DC" w:rsidRDefault="003E4D80" w:rsidP="004604DC">
      <w:r>
        <w:t xml:space="preserve">We have included </w:t>
      </w:r>
      <w:r w:rsidR="003043FF">
        <w:t xml:space="preserve">four </w:t>
      </w:r>
      <w:r>
        <w:t xml:space="preserve">expenditure items in our opex forecast outside of the base-step-trend approach. These </w:t>
      </w:r>
      <w:r w:rsidR="00AF12A8">
        <w:t>are</w:t>
      </w:r>
      <w:r w:rsidR="004604DC">
        <w:t xml:space="preserve"> d</w:t>
      </w:r>
      <w:r>
        <w:t>ebt raising costs</w:t>
      </w:r>
      <w:r w:rsidR="003043FF">
        <w:t>,</w:t>
      </w:r>
      <w:r w:rsidR="004604DC">
        <w:t xml:space="preserve"> </w:t>
      </w:r>
      <w:r>
        <w:t>GSL payments</w:t>
      </w:r>
      <w:r w:rsidR="003043FF">
        <w:t>, electrical safety levy and National energy market (NEM) levy</w:t>
      </w:r>
      <w:r w:rsidR="004604DC">
        <w:t xml:space="preserve">. </w:t>
      </w:r>
      <w:r w:rsidR="004604DC">
        <w:rPr>
          <w:rStyle w:val="AERbody"/>
        </w:rPr>
        <w:t>We have</w:t>
      </w:r>
      <w:r w:rsidR="004604DC" w:rsidRPr="004604DC">
        <w:rPr>
          <w:rStyle w:val="AERbody"/>
        </w:rPr>
        <w:t xml:space="preserve"> not include</w:t>
      </w:r>
      <w:r w:rsidR="004604DC">
        <w:rPr>
          <w:rStyle w:val="AERbody"/>
        </w:rPr>
        <w:t>d</w:t>
      </w:r>
      <w:r w:rsidR="004604DC" w:rsidRPr="004604DC">
        <w:rPr>
          <w:rStyle w:val="AERbody"/>
        </w:rPr>
        <w:t xml:space="preserve"> a category-specific forecast for self-insurance</w:t>
      </w:r>
      <w:r w:rsidR="004604DC">
        <w:rPr>
          <w:rStyle w:val="AERbody"/>
        </w:rPr>
        <w:t>, as proposed by TasNetworks.</w:t>
      </w:r>
    </w:p>
    <w:p w:rsidR="004A6E7D" w:rsidRDefault="004A6E7D" w:rsidP="00DD5EBA">
      <w:pPr>
        <w:pStyle w:val="HeadingOrange"/>
      </w:pPr>
      <w:r>
        <w:t>Debt raising costs</w:t>
      </w:r>
    </w:p>
    <w:p w:rsidR="0010201F" w:rsidRDefault="00E33D24" w:rsidP="0010201F">
      <w:pPr>
        <w:rPr>
          <w:rStyle w:val="AERbody"/>
        </w:rPr>
      </w:pPr>
      <w:r w:rsidRPr="00E33D24">
        <w:t>Debt raising costs are transaction costs incurred each time debt is raised or re</w:t>
      </w:r>
      <w:r w:rsidR="004604DC">
        <w:t>-</w:t>
      </w:r>
      <w:r w:rsidRPr="00E33D24">
        <w:t xml:space="preserve">financed. </w:t>
      </w:r>
      <w:r w:rsidR="005F5A1B">
        <w:t>Our</w:t>
      </w:r>
      <w:r w:rsidRPr="00E33D24">
        <w:t xml:space="preserve"> standard forecasting approach for </w:t>
      </w:r>
      <w:r w:rsidR="004F462D">
        <w:t>these costs</w:t>
      </w:r>
      <w:r w:rsidRPr="00E33D24">
        <w:t xml:space="preserve"> sets the forecast equal to the costs incurred by a benchmark firm. Our assessment approach and the reasons for those forecasts are set out in the debt and equity raising costs appendix i</w:t>
      </w:r>
      <w:r>
        <w:t>n the rate of return attachment</w:t>
      </w:r>
      <w:r w:rsidR="0010201F">
        <w:t>.</w:t>
      </w:r>
    </w:p>
    <w:p w:rsidR="005269FB" w:rsidRDefault="0010201F" w:rsidP="005269FB">
      <w:pPr>
        <w:rPr>
          <w:rStyle w:val="AERbody"/>
        </w:rPr>
      </w:pPr>
      <w:r>
        <w:rPr>
          <w:rStyle w:val="AERbody"/>
        </w:rPr>
        <w:t>Ta</w:t>
      </w:r>
      <w:r w:rsidR="005269FB" w:rsidRPr="005269FB">
        <w:rPr>
          <w:rStyle w:val="AERbody"/>
        </w:rPr>
        <w:t xml:space="preserve">sNetworks </w:t>
      </w:r>
      <w:r w:rsidR="00E33D24">
        <w:rPr>
          <w:rStyle w:val="AERbody"/>
        </w:rPr>
        <w:t>forecast</w:t>
      </w:r>
      <w:r w:rsidR="005269FB" w:rsidRPr="005269FB">
        <w:rPr>
          <w:rStyle w:val="AERbody"/>
        </w:rPr>
        <w:t xml:space="preserve"> </w:t>
      </w:r>
      <w:r w:rsidR="005269FB">
        <w:rPr>
          <w:rStyle w:val="AERbody"/>
        </w:rPr>
        <w:t>debt raising costs consistent</w:t>
      </w:r>
      <w:r w:rsidR="00670F2E">
        <w:rPr>
          <w:rStyle w:val="AERbody"/>
        </w:rPr>
        <w:t>ly</w:t>
      </w:r>
      <w:r w:rsidR="005269FB">
        <w:rPr>
          <w:rStyle w:val="AERbody"/>
        </w:rPr>
        <w:t xml:space="preserve"> with our approach.</w:t>
      </w:r>
      <w:r w:rsidR="00396414">
        <w:rPr>
          <w:rStyle w:val="FootnoteReference"/>
        </w:rPr>
        <w:footnoteReference w:id="37"/>
      </w:r>
    </w:p>
    <w:p w:rsidR="000D3959" w:rsidRPr="000D3959" w:rsidRDefault="000D3959" w:rsidP="000D3959">
      <w:pPr>
        <w:rPr>
          <w:rStyle w:val="AERtextbolditalics"/>
        </w:rPr>
      </w:pPr>
      <w:r w:rsidRPr="000D3959">
        <w:rPr>
          <w:rStyle w:val="AERtextbolditalics"/>
        </w:rPr>
        <w:t>Guaranteed service level payments</w:t>
      </w:r>
    </w:p>
    <w:p w:rsidR="000D3959" w:rsidRDefault="000D3959" w:rsidP="000D3959">
      <w:r w:rsidRPr="000D3959">
        <w:t xml:space="preserve">We have forecast guaranteed service level (GSL) payments as the average of GSL payments made by </w:t>
      </w:r>
      <w:r>
        <w:t>TasNetworks</w:t>
      </w:r>
      <w:r w:rsidRPr="000D3959">
        <w:t xml:space="preserve"> </w:t>
      </w:r>
      <w:r w:rsidR="0048056B">
        <w:t>over the most recent five years for which we have data</w:t>
      </w:r>
      <w:r w:rsidRPr="000D3959">
        <w:t>.</w:t>
      </w:r>
      <w:r w:rsidR="0048056B">
        <w:rPr>
          <w:rStyle w:val="FootnoteReference"/>
        </w:rPr>
        <w:footnoteReference w:id="38"/>
      </w:r>
      <w:r w:rsidRPr="000D3959">
        <w:t xml:space="preserve"> We note the GSL revenue </w:t>
      </w:r>
      <w:r>
        <w:t xml:space="preserve">and incentives </w:t>
      </w:r>
      <w:r w:rsidRPr="000D3959">
        <w:t>provided under this approach is almost identical to adopting a single year revealed cost approach and applying the EBSS. We have adopted the historical averaging approach to maintain consistency with how GSL payments have been forecast for previous regulatory control periods.</w:t>
      </w:r>
    </w:p>
    <w:p w:rsidR="003043FF" w:rsidRDefault="003043FF" w:rsidP="003043FF">
      <w:pPr>
        <w:pStyle w:val="HeadingOrange"/>
      </w:pPr>
      <w:r>
        <w:t>Electrical safety levy and NEM levy</w:t>
      </w:r>
    </w:p>
    <w:p w:rsidR="003043FF" w:rsidRDefault="008F6B66" w:rsidP="003043FF">
      <w:r w:rsidRPr="008F6B66">
        <w:t xml:space="preserve">TasNetworks </w:t>
      </w:r>
      <w:r w:rsidR="00AD6479">
        <w:t xml:space="preserve">pays </w:t>
      </w:r>
      <w:r w:rsidR="00E540D5">
        <w:t>an</w:t>
      </w:r>
      <w:r w:rsidR="00AD6479">
        <w:t xml:space="preserve"> </w:t>
      </w:r>
      <w:r w:rsidRPr="008F6B66">
        <w:t xml:space="preserve">electrical safety </w:t>
      </w:r>
      <w:r w:rsidR="00AD6479">
        <w:t xml:space="preserve">inspection </w:t>
      </w:r>
      <w:r w:rsidRPr="008F6B66">
        <w:t xml:space="preserve">levy </w:t>
      </w:r>
      <w:r w:rsidR="00AD6479">
        <w:t xml:space="preserve">and </w:t>
      </w:r>
      <w:r w:rsidR="00E540D5">
        <w:t xml:space="preserve">a </w:t>
      </w:r>
      <w:r w:rsidR="00AD6479">
        <w:t>NEM levy to</w:t>
      </w:r>
      <w:r w:rsidRPr="008F6B66">
        <w:t xml:space="preserve"> the State government. </w:t>
      </w:r>
      <w:r w:rsidR="00AD6479">
        <w:t>B</w:t>
      </w:r>
      <w:r w:rsidR="003043FF">
        <w:t xml:space="preserve">oth </w:t>
      </w:r>
      <w:r w:rsidR="00AD6479">
        <w:t xml:space="preserve">payments </w:t>
      </w:r>
      <w:r w:rsidR="003043FF">
        <w:t>are subject to an annual true up as part of our revenue control mechanism.</w:t>
      </w:r>
      <w:r w:rsidR="003043FF">
        <w:rPr>
          <w:rStyle w:val="FootnoteReference"/>
        </w:rPr>
        <w:footnoteReference w:id="39"/>
      </w:r>
      <w:r w:rsidR="003043FF">
        <w:t xml:space="preserve"> </w:t>
      </w:r>
      <w:r w:rsidR="00AD6479">
        <w:t>We</w:t>
      </w:r>
      <w:r w:rsidR="00AD6479" w:rsidRPr="00AD6479">
        <w:t xml:space="preserve"> calculate the difference between the forecast allowance and the actual costs </w:t>
      </w:r>
      <w:r w:rsidR="00AD6479">
        <w:t>TasNetworks</w:t>
      </w:r>
      <w:r w:rsidR="00AD6479" w:rsidRPr="00AD6479">
        <w:t xml:space="preserve"> incurs. Where the amount </w:t>
      </w:r>
      <w:r w:rsidR="00AD6479">
        <w:t>TasNetworks</w:t>
      </w:r>
      <w:r w:rsidR="00AD6479" w:rsidRPr="00AD6479">
        <w:t xml:space="preserve"> incurs is lower than the allowance, </w:t>
      </w:r>
      <w:r w:rsidR="00E540D5">
        <w:t xml:space="preserve">we make </w:t>
      </w:r>
      <w:r w:rsidR="00AD6479" w:rsidRPr="00AD6479">
        <w:t>a negative revenue adjustment.</w:t>
      </w:r>
      <w:r w:rsidR="00AD6479">
        <w:t xml:space="preserve"> </w:t>
      </w:r>
      <w:r w:rsidR="00B51EDF">
        <w:fldChar w:fldCharType="begin"/>
      </w:r>
      <w:r w:rsidR="00B51EDF">
        <w:instrText xml:space="preserve"> REF _Ref458083401 \h </w:instrText>
      </w:r>
      <w:r w:rsidR="00B51EDF">
        <w:fldChar w:fldCharType="separate"/>
      </w:r>
      <w:r w:rsidR="00805AAE">
        <w:t xml:space="preserve">Table </w:t>
      </w:r>
      <w:r w:rsidR="00805AAE">
        <w:rPr>
          <w:noProof/>
        </w:rPr>
        <w:t>7</w:t>
      </w:r>
      <w:r w:rsidR="00805AAE">
        <w:t>.</w:t>
      </w:r>
      <w:r w:rsidR="00805AAE">
        <w:rPr>
          <w:noProof/>
        </w:rPr>
        <w:t>3</w:t>
      </w:r>
      <w:r w:rsidR="00B51EDF">
        <w:fldChar w:fldCharType="end"/>
      </w:r>
      <w:r w:rsidR="00B51EDF">
        <w:t xml:space="preserve"> sets out our allowance for the levies.</w:t>
      </w:r>
    </w:p>
    <w:p w:rsidR="003043FF" w:rsidRDefault="00B51EDF" w:rsidP="00B51EDF">
      <w:pPr>
        <w:pStyle w:val="Caption"/>
      </w:pPr>
      <w:bookmarkStart w:id="85" w:name="_Ref458083401"/>
      <w:r>
        <w:lastRenderedPageBreak/>
        <w:t xml:space="preserve">Table </w:t>
      </w:r>
      <w:fldSimple w:instr=" STYLEREF 1 \s ">
        <w:r w:rsidR="00805AAE">
          <w:rPr>
            <w:noProof/>
          </w:rPr>
          <w:t>7</w:t>
        </w:r>
      </w:fldSimple>
      <w:r w:rsidR="00E32B25">
        <w:t>.</w:t>
      </w:r>
      <w:fldSimple w:instr=" SEQ Table \* ARABIC \s 1 ">
        <w:r w:rsidR="00805AAE">
          <w:rPr>
            <w:noProof/>
          </w:rPr>
          <w:t>3</w:t>
        </w:r>
      </w:fldSimple>
      <w:bookmarkEnd w:id="85"/>
      <w:r w:rsidR="003043FF">
        <w:tab/>
        <w:t>Electrical safety levy and NEM levy ($ million, 2016–17)</w:t>
      </w:r>
    </w:p>
    <w:tbl>
      <w:tblPr>
        <w:tblStyle w:val="AERtable-numbers"/>
        <w:tblW w:w="0" w:type="auto"/>
        <w:tblLook w:val="04A0" w:firstRow="1" w:lastRow="0" w:firstColumn="1" w:lastColumn="0" w:noHBand="0" w:noVBand="1"/>
      </w:tblPr>
      <w:tblGrid>
        <w:gridCol w:w="2082"/>
        <w:gridCol w:w="2083"/>
        <w:gridCol w:w="2082"/>
        <w:gridCol w:w="2083"/>
      </w:tblGrid>
      <w:tr w:rsidR="003043FF" w:rsidTr="00304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tcPr>
          <w:p w:rsidR="003043FF" w:rsidRDefault="003043FF" w:rsidP="003043FF">
            <w:pPr>
              <w:pStyle w:val="HeadingOrange"/>
            </w:pPr>
          </w:p>
        </w:tc>
        <w:tc>
          <w:tcPr>
            <w:tcW w:w="2083" w:type="dxa"/>
          </w:tcPr>
          <w:p w:rsidR="003043FF" w:rsidRPr="003043FF" w:rsidRDefault="003043FF" w:rsidP="003043FF">
            <w:pPr>
              <w:cnfStyle w:val="100000000000" w:firstRow="1" w:lastRow="0" w:firstColumn="0" w:lastColumn="0" w:oddVBand="0" w:evenVBand="0" w:oddHBand="0" w:evenHBand="0" w:firstRowFirstColumn="0" w:firstRowLastColumn="0" w:lastRowFirstColumn="0" w:lastRowLastColumn="0"/>
            </w:pPr>
            <w:r w:rsidRPr="00B1577E">
              <w:t>2017</w:t>
            </w:r>
            <w:r w:rsidRPr="003043FF">
              <w:t>–18</w:t>
            </w:r>
          </w:p>
        </w:tc>
        <w:tc>
          <w:tcPr>
            <w:tcW w:w="2082" w:type="dxa"/>
          </w:tcPr>
          <w:p w:rsidR="003043FF" w:rsidRPr="003043FF" w:rsidRDefault="003043FF" w:rsidP="003043FF">
            <w:pPr>
              <w:cnfStyle w:val="100000000000" w:firstRow="1" w:lastRow="0" w:firstColumn="0" w:lastColumn="0" w:oddVBand="0" w:evenVBand="0" w:oddHBand="0" w:evenHBand="0" w:firstRowFirstColumn="0" w:firstRowLastColumn="0" w:lastRowFirstColumn="0" w:lastRowLastColumn="0"/>
            </w:pPr>
            <w:r w:rsidRPr="00B1577E">
              <w:t>2018</w:t>
            </w:r>
            <w:r w:rsidRPr="003043FF">
              <w:t>–19</w:t>
            </w:r>
          </w:p>
        </w:tc>
        <w:tc>
          <w:tcPr>
            <w:tcW w:w="2083" w:type="dxa"/>
          </w:tcPr>
          <w:p w:rsidR="003043FF" w:rsidRPr="003043FF" w:rsidRDefault="003043FF" w:rsidP="003043FF">
            <w:pPr>
              <w:cnfStyle w:val="100000000000" w:firstRow="1" w:lastRow="0" w:firstColumn="0" w:lastColumn="0" w:oddVBand="0" w:evenVBand="0" w:oddHBand="0" w:evenHBand="0" w:firstRowFirstColumn="0" w:firstRowLastColumn="0" w:lastRowFirstColumn="0" w:lastRowLastColumn="0"/>
            </w:pPr>
            <w:r>
              <w:t>Total</w:t>
            </w:r>
          </w:p>
        </w:tc>
      </w:tr>
      <w:tr w:rsidR="003043FF" w:rsidTr="003043FF">
        <w:tc>
          <w:tcPr>
            <w:cnfStyle w:val="001000000000" w:firstRow="0" w:lastRow="0" w:firstColumn="1" w:lastColumn="0" w:oddVBand="0" w:evenVBand="0" w:oddHBand="0" w:evenHBand="0" w:firstRowFirstColumn="0" w:firstRowLastColumn="0" w:lastRowFirstColumn="0" w:lastRowLastColumn="0"/>
            <w:tcW w:w="2082" w:type="dxa"/>
          </w:tcPr>
          <w:p w:rsidR="003043FF" w:rsidRPr="003A0A5C" w:rsidRDefault="003043FF" w:rsidP="003043FF">
            <w:r w:rsidRPr="003A0A5C">
              <w:t>Electrical safety levy</w:t>
            </w:r>
          </w:p>
        </w:tc>
        <w:tc>
          <w:tcPr>
            <w:tcW w:w="2083" w:type="dxa"/>
          </w:tcPr>
          <w:p w:rsidR="003043FF" w:rsidRPr="003A0A5C" w:rsidRDefault="003043FF" w:rsidP="003043FF">
            <w:pPr>
              <w:cnfStyle w:val="000000000000" w:firstRow="0" w:lastRow="0" w:firstColumn="0" w:lastColumn="0" w:oddVBand="0" w:evenVBand="0" w:oddHBand="0" w:evenHBand="0" w:firstRowFirstColumn="0" w:firstRowLastColumn="0" w:lastRowFirstColumn="0" w:lastRowLastColumn="0"/>
            </w:pPr>
            <w:r w:rsidRPr="003A0A5C">
              <w:t>2.0</w:t>
            </w:r>
          </w:p>
        </w:tc>
        <w:tc>
          <w:tcPr>
            <w:tcW w:w="2082" w:type="dxa"/>
          </w:tcPr>
          <w:p w:rsidR="003043FF" w:rsidRPr="003A0A5C" w:rsidRDefault="003043FF" w:rsidP="003043FF">
            <w:pPr>
              <w:cnfStyle w:val="000000000000" w:firstRow="0" w:lastRow="0" w:firstColumn="0" w:lastColumn="0" w:oddVBand="0" w:evenVBand="0" w:oddHBand="0" w:evenHBand="0" w:firstRowFirstColumn="0" w:firstRowLastColumn="0" w:lastRowFirstColumn="0" w:lastRowLastColumn="0"/>
            </w:pPr>
            <w:r w:rsidRPr="003A0A5C">
              <w:t>2.0</w:t>
            </w:r>
          </w:p>
        </w:tc>
        <w:tc>
          <w:tcPr>
            <w:tcW w:w="2083" w:type="dxa"/>
          </w:tcPr>
          <w:p w:rsidR="003043FF" w:rsidRPr="003A0A5C" w:rsidRDefault="003043FF" w:rsidP="003043FF">
            <w:pPr>
              <w:cnfStyle w:val="000000000000" w:firstRow="0" w:lastRow="0" w:firstColumn="0" w:lastColumn="0" w:oddVBand="0" w:evenVBand="0" w:oddHBand="0" w:evenHBand="0" w:firstRowFirstColumn="0" w:firstRowLastColumn="0" w:lastRowFirstColumn="0" w:lastRowLastColumn="0"/>
            </w:pPr>
            <w:r w:rsidRPr="003A0A5C">
              <w:t>4.0</w:t>
            </w:r>
          </w:p>
        </w:tc>
      </w:tr>
      <w:tr w:rsidR="003043FF" w:rsidTr="003043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tcPr>
          <w:p w:rsidR="003043FF" w:rsidRPr="003A0A5C" w:rsidRDefault="003043FF" w:rsidP="003043FF">
            <w:r w:rsidRPr="003A0A5C">
              <w:t>NEM levy</w:t>
            </w:r>
          </w:p>
        </w:tc>
        <w:tc>
          <w:tcPr>
            <w:tcW w:w="2083" w:type="dxa"/>
          </w:tcPr>
          <w:p w:rsidR="003043FF" w:rsidRPr="003A0A5C" w:rsidRDefault="003043FF" w:rsidP="003043FF">
            <w:pPr>
              <w:cnfStyle w:val="000000010000" w:firstRow="0" w:lastRow="0" w:firstColumn="0" w:lastColumn="0" w:oddVBand="0" w:evenVBand="0" w:oddHBand="0" w:evenHBand="1" w:firstRowFirstColumn="0" w:firstRowLastColumn="0" w:lastRowFirstColumn="0" w:lastRowLastColumn="0"/>
            </w:pPr>
            <w:r w:rsidRPr="003A0A5C">
              <w:t>0.4</w:t>
            </w:r>
          </w:p>
        </w:tc>
        <w:tc>
          <w:tcPr>
            <w:tcW w:w="2082" w:type="dxa"/>
          </w:tcPr>
          <w:p w:rsidR="003043FF" w:rsidRPr="003A0A5C" w:rsidRDefault="003043FF" w:rsidP="003043FF">
            <w:pPr>
              <w:cnfStyle w:val="000000010000" w:firstRow="0" w:lastRow="0" w:firstColumn="0" w:lastColumn="0" w:oddVBand="0" w:evenVBand="0" w:oddHBand="0" w:evenHBand="1" w:firstRowFirstColumn="0" w:firstRowLastColumn="0" w:lastRowFirstColumn="0" w:lastRowLastColumn="0"/>
            </w:pPr>
            <w:r w:rsidRPr="003A0A5C">
              <w:t>0.4</w:t>
            </w:r>
          </w:p>
        </w:tc>
        <w:tc>
          <w:tcPr>
            <w:tcW w:w="2083" w:type="dxa"/>
          </w:tcPr>
          <w:p w:rsidR="003043FF" w:rsidRPr="003A0A5C" w:rsidRDefault="003043FF" w:rsidP="003043FF">
            <w:pPr>
              <w:cnfStyle w:val="000000010000" w:firstRow="0" w:lastRow="0" w:firstColumn="0" w:lastColumn="0" w:oddVBand="0" w:evenVBand="0" w:oddHBand="0" w:evenHBand="1" w:firstRowFirstColumn="0" w:firstRowLastColumn="0" w:lastRowFirstColumn="0" w:lastRowLastColumn="0"/>
            </w:pPr>
            <w:r w:rsidRPr="003A0A5C">
              <w:t>0.8</w:t>
            </w:r>
          </w:p>
        </w:tc>
      </w:tr>
    </w:tbl>
    <w:p w:rsidR="003043FF" w:rsidRDefault="003043FF" w:rsidP="003043FF">
      <w:pPr>
        <w:pStyle w:val="Source"/>
      </w:pPr>
      <w:r>
        <w:t>Source: AER analysis</w:t>
      </w:r>
    </w:p>
    <w:p w:rsidR="003E4D80" w:rsidRDefault="003E4D80" w:rsidP="003E4D80">
      <w:pPr>
        <w:pStyle w:val="HeadingOrange"/>
      </w:pPr>
      <w:r>
        <w:t>Self-insurance</w:t>
      </w:r>
    </w:p>
    <w:p w:rsidR="004F462D" w:rsidRDefault="004F462D" w:rsidP="004F462D">
      <w:pPr>
        <w:rPr>
          <w:rStyle w:val="AERbody"/>
        </w:rPr>
      </w:pPr>
      <w:r>
        <w:t xml:space="preserve">TasNetworks included a </w:t>
      </w:r>
      <w:r w:rsidRPr="0064073A">
        <w:t xml:space="preserve">self-insurance allowance of $0.9 million per </w:t>
      </w:r>
      <w:r>
        <w:t>year in its opex forecast</w:t>
      </w:r>
      <w:r w:rsidRPr="004A6E7D">
        <w:t xml:space="preserve"> </w:t>
      </w:r>
      <w:r>
        <w:t>o</w:t>
      </w:r>
      <w:r w:rsidRPr="00D75989">
        <w:t>utside</w:t>
      </w:r>
      <w:r>
        <w:t xml:space="preserve"> of the base-step-trend approach. </w:t>
      </w:r>
    </w:p>
    <w:p w:rsidR="003E4D80" w:rsidRDefault="003E4D80" w:rsidP="003E4D80">
      <w:pPr>
        <w:rPr>
          <w:rStyle w:val="AERbody"/>
        </w:rPr>
      </w:pPr>
      <w:r>
        <w:rPr>
          <w:rStyle w:val="AERbody"/>
        </w:rPr>
        <w:t>We</w:t>
      </w:r>
      <w:r w:rsidR="00253C87">
        <w:rPr>
          <w:rStyle w:val="AERbody"/>
        </w:rPr>
        <w:t xml:space="preserve"> </w:t>
      </w:r>
      <w:r>
        <w:rPr>
          <w:rStyle w:val="AERbody"/>
        </w:rPr>
        <w:t>have not included a separate forecast for self-insurance in our alternative opex forecast. Rather, consistent with recent determinations, we have left self-insurance in the base year and applied a base-step-trend approach.</w:t>
      </w:r>
    </w:p>
    <w:p w:rsidR="00253C87" w:rsidRDefault="003E4D80" w:rsidP="003E4D80">
      <w:r>
        <w:t>We make our assessment about total forecast opex and not about particular categories or projects in the opex forecast. Expenditure for some categories will be higher relative to the base year</w:t>
      </w:r>
      <w:r w:rsidR="005F5A1B">
        <w:t>,</w:t>
      </w:r>
      <w:r>
        <w:t xml:space="preserve"> while other categories will be lower relative to the base year.</w:t>
      </w:r>
      <w:r>
        <w:rPr>
          <w:rStyle w:val="AERbody"/>
        </w:rPr>
        <w:t xml:space="preserve"> </w:t>
      </w:r>
      <w:r w:rsidR="005F5A1B">
        <w:t>We expect t</w:t>
      </w:r>
      <w:r>
        <w:t>hese variations to offset each other so that total opex is relatively stable</w:t>
      </w:r>
      <w:r w:rsidR="005F5A1B">
        <w:t xml:space="preserve"> over time</w:t>
      </w:r>
      <w:r>
        <w:t xml:space="preserve">. </w:t>
      </w:r>
    </w:p>
    <w:p w:rsidR="00253C87" w:rsidRDefault="003E4D80" w:rsidP="003E4D80">
      <w:r>
        <w:t xml:space="preserve">Using a category specific forecasting method may produce a more accurate forecast of a particular opex category in isolation. However, </w:t>
      </w:r>
      <w:r w:rsidR="005F5A1B">
        <w:t xml:space="preserve">information asymmetries make it difficult for us to identify </w:t>
      </w:r>
      <w:r>
        <w:t>all offsetting costs</w:t>
      </w:r>
      <w:r w:rsidR="005F5A1B">
        <w:t>. The network businesses have a</w:t>
      </w:r>
      <w:r w:rsidR="000B4D92">
        <w:t>n</w:t>
      </w:r>
      <w:r w:rsidR="006B212D">
        <w:t xml:space="preserve"> </w:t>
      </w:r>
      <w:r w:rsidR="005F5A1B">
        <w:t xml:space="preserve">incentive to </w:t>
      </w:r>
      <w:r w:rsidR="00D77780">
        <w:t xml:space="preserve">identify cost categories that are forecast to be higher than </w:t>
      </w:r>
      <w:r w:rsidR="00BC1989">
        <w:t xml:space="preserve">the base year. </w:t>
      </w:r>
      <w:r w:rsidR="00055555">
        <w:t>TasNetworks' proposal to include a separate cost category for self-insurance potentially creates a bias in the forecast.</w:t>
      </w:r>
    </w:p>
    <w:p w:rsidR="00055555" w:rsidRDefault="005F5A1B" w:rsidP="003E4D80">
      <w:r>
        <w:t xml:space="preserve">We </w:t>
      </w:r>
      <w:r w:rsidR="003E4D80">
        <w:t>consider</w:t>
      </w:r>
      <w:r w:rsidR="00253C87" w:rsidRPr="00253C87">
        <w:t xml:space="preserve"> </w:t>
      </w:r>
      <w:r w:rsidR="00253C87">
        <w:t xml:space="preserve">our </w:t>
      </w:r>
      <w:r w:rsidR="006B212D">
        <w:t>'</w:t>
      </w:r>
      <w:r w:rsidR="00253C87">
        <w:t>top-down model</w:t>
      </w:r>
      <w:r w:rsidR="006B212D">
        <w:t>'</w:t>
      </w:r>
      <w:r w:rsidR="00253C87">
        <w:t xml:space="preserve"> produces a total opex forecast that meets the requirements of the </w:t>
      </w:r>
      <w:r w:rsidR="008F25D5">
        <w:t>National electricity r</w:t>
      </w:r>
      <w:r w:rsidR="00253C87">
        <w:t xml:space="preserve">ules </w:t>
      </w:r>
      <w:r w:rsidR="008F25D5">
        <w:t xml:space="preserve">(NER) </w:t>
      </w:r>
      <w:r w:rsidR="00253C87">
        <w:t>and, moreover, is in the long term interests of consumers. It allows us to leave the day-to-day decisions to the businesses and is consistent with an economic, incentive-based regulatory framework</w:t>
      </w:r>
      <w:r w:rsidR="00946D00">
        <w:t>.</w:t>
      </w:r>
    </w:p>
    <w:p w:rsidR="003E4D80" w:rsidRDefault="00253C87" w:rsidP="003E4D80">
      <w:pPr>
        <w:rPr>
          <w:rStyle w:val="AERbody"/>
        </w:rPr>
      </w:pPr>
      <w:r>
        <w:rPr>
          <w:rStyle w:val="AERbody"/>
        </w:rPr>
        <w:t xml:space="preserve">A more detailed explanation of </w:t>
      </w:r>
      <w:r w:rsidR="003E4D80">
        <w:rPr>
          <w:rStyle w:val="AERbody"/>
        </w:rPr>
        <w:t xml:space="preserve">our </w:t>
      </w:r>
      <w:r w:rsidR="00680A11">
        <w:rPr>
          <w:rStyle w:val="AERbody"/>
        </w:rPr>
        <w:t xml:space="preserve">forecasting </w:t>
      </w:r>
      <w:r w:rsidR="003E4D80">
        <w:rPr>
          <w:rStyle w:val="AERbody"/>
        </w:rPr>
        <w:t xml:space="preserve">approach </w:t>
      </w:r>
      <w:r>
        <w:rPr>
          <w:rStyle w:val="AERbody"/>
        </w:rPr>
        <w:t xml:space="preserve">and why we do not include a </w:t>
      </w:r>
      <w:r w:rsidR="00680A11">
        <w:rPr>
          <w:rStyle w:val="AERbody"/>
        </w:rPr>
        <w:t>category-specific</w:t>
      </w:r>
      <w:r>
        <w:rPr>
          <w:rStyle w:val="AERbody"/>
        </w:rPr>
        <w:t xml:space="preserve"> forecast for </w:t>
      </w:r>
      <w:r w:rsidR="003E4D80">
        <w:rPr>
          <w:rStyle w:val="AERbody"/>
        </w:rPr>
        <w:t xml:space="preserve">self-insurance </w:t>
      </w:r>
      <w:r w:rsidR="006B212D">
        <w:rPr>
          <w:rStyle w:val="AERbody"/>
        </w:rPr>
        <w:t xml:space="preserve">can be found </w:t>
      </w:r>
      <w:r w:rsidR="003E4D80">
        <w:rPr>
          <w:rStyle w:val="AERbody"/>
        </w:rPr>
        <w:t xml:space="preserve">in our </w:t>
      </w:r>
      <w:r w:rsidR="006B212D">
        <w:rPr>
          <w:rStyle w:val="AERbody"/>
        </w:rPr>
        <w:t xml:space="preserve">recent </w:t>
      </w:r>
      <w:r w:rsidR="003E4D80">
        <w:rPr>
          <w:rStyle w:val="AERbody"/>
        </w:rPr>
        <w:t>determination for AusNet Services Distribution.</w:t>
      </w:r>
      <w:r w:rsidR="003E4D80">
        <w:rPr>
          <w:rStyle w:val="FootnoteReference"/>
        </w:rPr>
        <w:footnoteReference w:id="40"/>
      </w:r>
      <w:r w:rsidR="003E4D80">
        <w:rPr>
          <w:rStyle w:val="AERbody"/>
        </w:rPr>
        <w:t xml:space="preserve"> </w:t>
      </w:r>
      <w:r w:rsidR="006B212D">
        <w:rPr>
          <w:rStyle w:val="AERbody"/>
        </w:rPr>
        <w:t xml:space="preserve">AusNet Services appealed our decision on this matter. </w:t>
      </w:r>
      <w:r w:rsidR="00CB168F">
        <w:rPr>
          <w:rStyle w:val="AERbody"/>
        </w:rPr>
        <w:t>We anticipate t</w:t>
      </w:r>
      <w:r w:rsidR="006B212D">
        <w:rPr>
          <w:rStyle w:val="AERbody"/>
        </w:rPr>
        <w:t xml:space="preserve">he Australian Competition Tribunal </w:t>
      </w:r>
      <w:r w:rsidR="00CB168F">
        <w:rPr>
          <w:rStyle w:val="AERbody"/>
        </w:rPr>
        <w:t>will</w:t>
      </w:r>
      <w:r w:rsidR="006B212D">
        <w:rPr>
          <w:rStyle w:val="AERbody"/>
        </w:rPr>
        <w:t xml:space="preserve"> make </w:t>
      </w:r>
      <w:r w:rsidR="000B4D92">
        <w:rPr>
          <w:rStyle w:val="AERbody"/>
        </w:rPr>
        <w:t>its</w:t>
      </w:r>
      <w:r w:rsidR="006B212D">
        <w:rPr>
          <w:rStyle w:val="AERbody"/>
        </w:rPr>
        <w:t xml:space="preserve"> decision by </w:t>
      </w:r>
      <w:r w:rsidR="00B104FB">
        <w:rPr>
          <w:rStyle w:val="AERbody"/>
        </w:rPr>
        <w:t>early</w:t>
      </w:r>
      <w:r w:rsidR="006B212D">
        <w:rPr>
          <w:rStyle w:val="AERbody"/>
        </w:rPr>
        <w:t xml:space="preserve"> 201</w:t>
      </w:r>
      <w:r w:rsidR="00CB168F">
        <w:rPr>
          <w:rStyle w:val="AERbody"/>
        </w:rPr>
        <w:t>7,</w:t>
      </w:r>
      <w:r w:rsidR="00B104FB">
        <w:rPr>
          <w:rStyle w:val="AERbody"/>
        </w:rPr>
        <w:t xml:space="preserve"> </w:t>
      </w:r>
      <w:r w:rsidR="00AC7AB2">
        <w:rPr>
          <w:rStyle w:val="AERbody"/>
        </w:rPr>
        <w:t>before we make our final decision for TasNetworks</w:t>
      </w:r>
      <w:r w:rsidR="000B4D92">
        <w:rPr>
          <w:rStyle w:val="AERbody"/>
        </w:rPr>
        <w:t>'</w:t>
      </w:r>
      <w:r w:rsidR="00AC7AB2">
        <w:rPr>
          <w:rStyle w:val="AERbody"/>
        </w:rPr>
        <w:t xml:space="preserve"> </w:t>
      </w:r>
      <w:r w:rsidR="000B4D92">
        <w:rPr>
          <w:rStyle w:val="AERbody"/>
        </w:rPr>
        <w:t xml:space="preserve">distribution determination </w:t>
      </w:r>
      <w:r w:rsidR="00AC7AB2">
        <w:rPr>
          <w:rStyle w:val="AERbody"/>
        </w:rPr>
        <w:t>in April 2017</w:t>
      </w:r>
      <w:r w:rsidR="006B212D">
        <w:rPr>
          <w:rStyle w:val="AERbody"/>
        </w:rPr>
        <w:t xml:space="preserve">. </w:t>
      </w:r>
    </w:p>
    <w:p w:rsidR="0022743D" w:rsidRDefault="0022743D" w:rsidP="003E4D80">
      <w:pPr>
        <w:rPr>
          <w:rStyle w:val="AERbody"/>
        </w:rPr>
      </w:pPr>
    </w:p>
    <w:p w:rsidR="0022743D" w:rsidRDefault="0022743D" w:rsidP="003E4D80">
      <w:pPr>
        <w:rPr>
          <w:rStyle w:val="AERbody"/>
        </w:rPr>
      </w:pPr>
    </w:p>
    <w:p w:rsidR="00AF12A8" w:rsidRDefault="006C5D96" w:rsidP="00AF12A8">
      <w:pPr>
        <w:pStyle w:val="Heading3"/>
      </w:pPr>
      <w:bookmarkStart w:id="86" w:name="_Toc462755057"/>
      <w:r>
        <w:lastRenderedPageBreak/>
        <w:t>S</w:t>
      </w:r>
      <w:r w:rsidR="00AF12A8">
        <w:t>afety and reliability</w:t>
      </w:r>
      <w:bookmarkEnd w:id="86"/>
      <w:r w:rsidR="00AF12A8">
        <w:t xml:space="preserve"> </w:t>
      </w:r>
    </w:p>
    <w:p w:rsidR="00AF12A8" w:rsidRDefault="00AF12A8" w:rsidP="00AF12A8">
      <w:r w:rsidRPr="00AB59C4">
        <w:t xml:space="preserve">Under the </w:t>
      </w:r>
      <w:r w:rsidR="008F25D5">
        <w:t>NER</w:t>
      </w:r>
      <w:r w:rsidRPr="00AB59C4">
        <w:t xml:space="preserve">, </w:t>
      </w:r>
      <w:r w:rsidR="009E42C8">
        <w:t>we</w:t>
      </w:r>
      <w:r w:rsidRPr="00AB59C4">
        <w:t xml:space="preserve"> must assess the amount of forecast opex that is required to achieve the opex objectives, which include quality, reliability, security and safety considerations.</w:t>
      </w:r>
      <w:r>
        <w:t xml:space="preserve"> We have considered whether there are safety and reliability risks if TasNetworks cannot achieve </w:t>
      </w:r>
      <w:r w:rsidR="00B80014">
        <w:t>its</w:t>
      </w:r>
      <w:r>
        <w:t xml:space="preserve"> proposed opex productivity gains. </w:t>
      </w:r>
    </w:p>
    <w:p w:rsidR="00AF12A8" w:rsidRPr="00306CC9" w:rsidRDefault="00AF12A8" w:rsidP="00AF12A8">
      <w:r w:rsidRPr="00306CC9">
        <w:t xml:space="preserve">We consider that our </w:t>
      </w:r>
      <w:r w:rsidR="00EE56FE">
        <w:t xml:space="preserve">draft </w:t>
      </w:r>
      <w:r>
        <w:t xml:space="preserve">decision to accept TasNetworks' proposal </w:t>
      </w:r>
      <w:r w:rsidRPr="00306CC9">
        <w:t>appropriately accounts for safety and reliability obligations because:</w:t>
      </w:r>
    </w:p>
    <w:p w:rsidR="00AF12A8" w:rsidRPr="00306CC9" w:rsidRDefault="00AF12A8" w:rsidP="00AF12A8">
      <w:pPr>
        <w:pStyle w:val="AERbulletlistfirststyle"/>
      </w:pPr>
      <w:r>
        <w:t xml:space="preserve">TasNetworks met its </w:t>
      </w:r>
      <w:r w:rsidRPr="00306CC9">
        <w:t xml:space="preserve">safety and reliability obligations </w:t>
      </w:r>
      <w:r>
        <w:t>in the previous regulatory period</w:t>
      </w:r>
      <w:r w:rsidR="0061462A">
        <w:t xml:space="preserve">, including in 2014-15 when there was a </w:t>
      </w:r>
      <w:r w:rsidR="000339B5">
        <w:t>significant</w:t>
      </w:r>
      <w:r w:rsidR="0061462A">
        <w:t xml:space="preserve"> </w:t>
      </w:r>
      <w:r w:rsidR="000339B5">
        <w:t>reduction</w:t>
      </w:r>
      <w:r w:rsidR="0061462A">
        <w:t xml:space="preserve"> in TasNetworks' actual opex (see figure 7.1). </w:t>
      </w:r>
    </w:p>
    <w:p w:rsidR="00AF12A8" w:rsidRPr="00306CC9" w:rsidRDefault="00AF12A8" w:rsidP="00AF12A8">
      <w:pPr>
        <w:pStyle w:val="AERbulletlistfirststyle"/>
      </w:pPr>
      <w:r w:rsidRPr="00306CC9">
        <w:t xml:space="preserve">our </w:t>
      </w:r>
      <w:r w:rsidR="00EE56FE">
        <w:t xml:space="preserve">draft </w:t>
      </w:r>
      <w:r w:rsidRPr="00306CC9">
        <w:t>decision set</w:t>
      </w:r>
      <w:r>
        <w:t>s</w:t>
      </w:r>
      <w:r w:rsidRPr="00306CC9">
        <w:t xml:space="preserve"> the revenue </w:t>
      </w:r>
      <w:r>
        <w:t xml:space="preserve">TasNetworks </w:t>
      </w:r>
      <w:r w:rsidRPr="00306CC9">
        <w:t xml:space="preserve">can recover from consumers, but </w:t>
      </w:r>
      <w:r>
        <w:t xml:space="preserve">it </w:t>
      </w:r>
      <w:r w:rsidRPr="00306CC9">
        <w:t>do</w:t>
      </w:r>
      <w:r>
        <w:t>es</w:t>
      </w:r>
      <w:r w:rsidRPr="00306CC9">
        <w:t xml:space="preserve"> not direct or constrain the quantum or allocation of a </w:t>
      </w:r>
      <w:r>
        <w:t>business'</w:t>
      </w:r>
      <w:r w:rsidRPr="00306CC9">
        <w:t xml:space="preserve"> spending</w:t>
      </w:r>
      <w:r>
        <w:rPr>
          <w:rStyle w:val="FootnoteReference"/>
        </w:rPr>
        <w:footnoteReference w:id="41"/>
      </w:r>
    </w:p>
    <w:p w:rsidR="00AF12A8" w:rsidRDefault="00AF12A8" w:rsidP="00AF12A8">
      <w:pPr>
        <w:pStyle w:val="AERbulletlistfirststyle"/>
      </w:pPr>
      <w:r w:rsidRPr="00306CC9">
        <w:t>the enforcement of safety regulations is not determined by th</w:t>
      </w:r>
      <w:r>
        <w:t>e quantum of regulatory revenue</w:t>
      </w:r>
    </w:p>
    <w:p w:rsidR="006C5D96" w:rsidRDefault="006C5D96" w:rsidP="006C5D96">
      <w:pPr>
        <w:pStyle w:val="AERbulletlistfirststyle"/>
      </w:pPr>
      <w:r>
        <w:t xml:space="preserve">the </w:t>
      </w:r>
      <w:r w:rsidRPr="006C5D96">
        <w:t>Service Target Performance Incentive</w:t>
      </w:r>
      <w:r w:rsidR="00090124">
        <w:t xml:space="preserve"> Scheme</w:t>
      </w:r>
      <w:r>
        <w:t>, which applies to TasNetworks,</w:t>
      </w:r>
      <w:r w:rsidRPr="006C5D96">
        <w:t xml:space="preserve"> balance</w:t>
      </w:r>
      <w:r>
        <w:t>s</w:t>
      </w:r>
      <w:r w:rsidRPr="006C5D96">
        <w:t xml:space="preserve"> </w:t>
      </w:r>
      <w:r>
        <w:t xml:space="preserve">the </w:t>
      </w:r>
      <w:r w:rsidRPr="006C5D96">
        <w:t>business' incentive to reduce expenditure with the need to maintain or improve service quality</w:t>
      </w:r>
      <w:r>
        <w:t>—i</w:t>
      </w:r>
      <w:r w:rsidRPr="006C5D96">
        <w:t>t achieves this by providing financial incentives to maintain and improve service performance where customers are willin</w:t>
      </w:r>
      <w:r>
        <w:t>g to pay for these improvements</w:t>
      </w:r>
    </w:p>
    <w:p w:rsidR="00AF12A8" w:rsidRDefault="009E42C8" w:rsidP="00AF12A8">
      <w:pPr>
        <w:pStyle w:val="AERbulletlistfirststyle"/>
      </w:pPr>
      <w:r>
        <w:t>TasNetworks must comply with jurisdictional reliability standards</w:t>
      </w:r>
      <w:r w:rsidR="00AF12A8" w:rsidRPr="00935EBF">
        <w:t>.</w:t>
      </w:r>
      <w:r>
        <w:t xml:space="preserve"> The Tasmanian Electricity Code sets out the requirements on TasNetworks as a holder of a Network service provider licence to comply with voltage and reliability standards.</w:t>
      </w:r>
      <w:r>
        <w:rPr>
          <w:rStyle w:val="FootnoteReference"/>
        </w:rPr>
        <w:footnoteReference w:id="42"/>
      </w:r>
    </w:p>
    <w:p w:rsidR="00AF12A8" w:rsidRDefault="00AF12A8" w:rsidP="00AF12A8">
      <w:r>
        <w:t xml:space="preserve">If TasNetworks cannot achieve the proposed opex productivity gains, it may </w:t>
      </w:r>
      <w:r w:rsidRPr="00306CC9">
        <w:t xml:space="preserve">incur costs above </w:t>
      </w:r>
      <w:r>
        <w:t xml:space="preserve">what we consider are </w:t>
      </w:r>
      <w:r w:rsidRPr="00306CC9">
        <w:t>efficient levels</w:t>
      </w:r>
      <w:r>
        <w:t>.</w:t>
      </w:r>
      <w:r w:rsidR="008A467D">
        <w:t xml:space="preserve"> </w:t>
      </w:r>
    </w:p>
    <w:p w:rsidR="00E33D24" w:rsidRPr="00E33D24" w:rsidRDefault="00E33D24" w:rsidP="00E33D24">
      <w:pPr>
        <w:pStyle w:val="Heading3"/>
      </w:pPr>
      <w:bookmarkStart w:id="87" w:name="_Toc462755058"/>
      <w:r w:rsidRPr="00E33D24">
        <w:t>Interrelationships</w:t>
      </w:r>
      <w:bookmarkEnd w:id="87"/>
    </w:p>
    <w:p w:rsidR="00E33D24" w:rsidRPr="00E33D24" w:rsidRDefault="00E33D24" w:rsidP="00E33D24">
      <w:r w:rsidRPr="00E33D24">
        <w:t xml:space="preserve">In assessing </w:t>
      </w:r>
      <w:r>
        <w:t>TasNetwork</w:t>
      </w:r>
      <w:r w:rsidRPr="00E33D24">
        <w:t xml:space="preserve">s' total forecast opex we took into account other components of its regulatory proposal, including: </w:t>
      </w:r>
    </w:p>
    <w:p w:rsidR="00E33D24" w:rsidRPr="00E33D24" w:rsidRDefault="00E33D24" w:rsidP="00E33D24">
      <w:pPr>
        <w:pStyle w:val="AERbulletlistfirststyle"/>
      </w:pPr>
      <w:r w:rsidRPr="00E33D24">
        <w:t>the o</w:t>
      </w:r>
      <w:r>
        <w:t>peration of the EBSS in the 2012–17</w:t>
      </w:r>
      <w:r w:rsidRPr="00E33D24">
        <w:t xml:space="preserve"> regulatory control period, which provided </w:t>
      </w:r>
      <w:r>
        <w:t>TasNetworks</w:t>
      </w:r>
      <w:r w:rsidRPr="00E33D24">
        <w:t xml:space="preserve"> an incentive to reduce opex in the 2014</w:t>
      </w:r>
      <w:r w:rsidR="00547B78">
        <w:t>–15</w:t>
      </w:r>
      <w:r w:rsidRPr="00E33D24">
        <w:t xml:space="preserve"> base year </w:t>
      </w:r>
    </w:p>
    <w:p w:rsidR="00E33D24" w:rsidRPr="00E33D24" w:rsidRDefault="00E33D24" w:rsidP="00E33D24">
      <w:pPr>
        <w:pStyle w:val="AERbulletlistfirststyle"/>
      </w:pPr>
      <w:r w:rsidRPr="00E33D24">
        <w:lastRenderedPageBreak/>
        <w:t>the impact of cost drivers that affect both forecast opex and forecast capex</w:t>
      </w:r>
      <w:r w:rsidR="00680A11">
        <w:t>—f</w:t>
      </w:r>
      <w:r w:rsidRPr="00E33D24">
        <w:t xml:space="preserve">or </w:t>
      </w:r>
      <w:r w:rsidR="00680A11">
        <w:t>example,</w:t>
      </w:r>
      <w:r w:rsidR="00680A11" w:rsidRPr="00E33D24">
        <w:t xml:space="preserve"> </w:t>
      </w:r>
      <w:r w:rsidRPr="00E33D24">
        <w:t xml:space="preserve">forecast maximum demand affects forecast augmentation capex and forecast output growth used in estimating the rate of change in opex </w:t>
      </w:r>
    </w:p>
    <w:p w:rsidR="00E33D24" w:rsidRPr="00E33D24" w:rsidRDefault="00E33D24" w:rsidP="00E33D24">
      <w:pPr>
        <w:pStyle w:val="AERbulletlistfirststyle"/>
      </w:pPr>
      <w:r w:rsidRPr="00E33D24">
        <w:t xml:space="preserve">the approach to assessing the rate of return, to ensure there is consistency between our determination of debt raising costs and the rate of return building block </w:t>
      </w:r>
    </w:p>
    <w:p w:rsidR="00E33D24" w:rsidRPr="00E33D24" w:rsidRDefault="00680A11" w:rsidP="00E33D24">
      <w:pPr>
        <w:pStyle w:val="AERbulletlistfirststyle"/>
      </w:pPr>
      <w:r>
        <w:t>the outcomes of TasNetworks' consumer engagement in developing its regulatory proposal.</w:t>
      </w:r>
      <w:r w:rsidR="00E33D24" w:rsidRPr="00E33D24">
        <w:t xml:space="preserve"> </w:t>
      </w:r>
    </w:p>
    <w:p w:rsidR="00FC6DC6" w:rsidRPr="00E33D24" w:rsidRDefault="00FC6DC6" w:rsidP="00FC6DC6">
      <w:pPr>
        <w:pStyle w:val="Heading3"/>
      </w:pPr>
      <w:bookmarkStart w:id="88" w:name="_Toc462755059"/>
      <w:r>
        <w:t xml:space="preserve">Summary of submissions on </w:t>
      </w:r>
      <w:r w:rsidR="0066113F">
        <w:t>TasNetworks'</w:t>
      </w:r>
      <w:r>
        <w:t xml:space="preserve"> opex proposal</w:t>
      </w:r>
      <w:bookmarkEnd w:id="88"/>
    </w:p>
    <w:p w:rsidR="00FC6DC6" w:rsidRDefault="00E32B25" w:rsidP="00FC6DC6">
      <w:r>
        <w:fldChar w:fldCharType="begin"/>
      </w:r>
      <w:r>
        <w:instrText xml:space="preserve"> REF _Ref461550199 \h </w:instrText>
      </w:r>
      <w:r>
        <w:fldChar w:fldCharType="separate"/>
      </w:r>
      <w:r w:rsidR="00805AAE">
        <w:t xml:space="preserve">Table </w:t>
      </w:r>
      <w:r w:rsidR="00805AAE">
        <w:rPr>
          <w:noProof/>
        </w:rPr>
        <w:t>7</w:t>
      </w:r>
      <w:r w:rsidR="00805AAE">
        <w:t>.</w:t>
      </w:r>
      <w:r w:rsidR="00805AAE">
        <w:rPr>
          <w:noProof/>
        </w:rPr>
        <w:t>4</w:t>
      </w:r>
      <w:r>
        <w:fldChar w:fldCharType="end"/>
      </w:r>
      <w:r>
        <w:t xml:space="preserve"> </w:t>
      </w:r>
      <w:r w:rsidR="0066113F">
        <w:t>provides a summary of stakeholder s</w:t>
      </w:r>
      <w:r w:rsidR="0066113F" w:rsidRPr="0066113F">
        <w:t xml:space="preserve">ubmissions </w:t>
      </w:r>
      <w:r w:rsidR="0066113F">
        <w:t>on TasNetworks' opex proposal</w:t>
      </w:r>
      <w:r w:rsidR="00FC6DC6">
        <w:t>.</w:t>
      </w:r>
    </w:p>
    <w:p w:rsidR="0066113F" w:rsidRDefault="00E32B25" w:rsidP="00E32B25">
      <w:pPr>
        <w:pStyle w:val="Caption"/>
      </w:pPr>
      <w:bookmarkStart w:id="89" w:name="_Ref461550199"/>
      <w:r>
        <w:t xml:space="preserve">Table </w:t>
      </w:r>
      <w:r w:rsidR="00BB3B89">
        <w:fldChar w:fldCharType="begin"/>
      </w:r>
      <w:r w:rsidR="00BB3B89">
        <w:instrText xml:space="preserve"> STYLEREF 1 \s </w:instrText>
      </w:r>
      <w:r w:rsidR="00BB3B89">
        <w:fldChar w:fldCharType="separate"/>
      </w:r>
      <w:r w:rsidR="00805AAE">
        <w:rPr>
          <w:noProof/>
        </w:rPr>
        <w:t>7</w:t>
      </w:r>
      <w:r w:rsidR="00BB3B89">
        <w:rPr>
          <w:noProof/>
        </w:rPr>
        <w:fldChar w:fldCharType="end"/>
      </w:r>
      <w:r>
        <w:t>.</w:t>
      </w:r>
      <w:r w:rsidR="00BB3B89">
        <w:fldChar w:fldCharType="begin"/>
      </w:r>
      <w:r w:rsidR="00BB3B89">
        <w:instrText xml:space="preserve"> SEQ Table \* ARABIC \s 1 </w:instrText>
      </w:r>
      <w:r w:rsidR="00BB3B89">
        <w:fldChar w:fldCharType="separate"/>
      </w:r>
      <w:r w:rsidR="00805AAE">
        <w:rPr>
          <w:noProof/>
        </w:rPr>
        <w:t>4</w:t>
      </w:r>
      <w:r w:rsidR="00BB3B89">
        <w:rPr>
          <w:noProof/>
        </w:rPr>
        <w:fldChar w:fldCharType="end"/>
      </w:r>
      <w:bookmarkEnd w:id="89"/>
      <w:r w:rsidR="0066113F">
        <w:tab/>
      </w:r>
      <w:r w:rsidR="0066113F" w:rsidRPr="0066113F">
        <w:t xml:space="preserve">Summary of submissions on </w:t>
      </w:r>
      <w:r w:rsidR="0066113F">
        <w:t>TasNetworks'</w:t>
      </w:r>
      <w:r w:rsidR="0066113F" w:rsidRPr="0066113F">
        <w:t xml:space="preserve"> opex proposal</w:t>
      </w:r>
    </w:p>
    <w:tbl>
      <w:tblPr>
        <w:tblStyle w:val="AERtable-text0"/>
        <w:tblW w:w="0" w:type="auto"/>
        <w:tblLook w:val="04A0" w:firstRow="1" w:lastRow="0" w:firstColumn="1" w:lastColumn="0" w:noHBand="0" w:noVBand="1"/>
      </w:tblPr>
      <w:tblGrid>
        <w:gridCol w:w="1526"/>
        <w:gridCol w:w="2693"/>
        <w:gridCol w:w="284"/>
        <w:gridCol w:w="4190"/>
      </w:tblGrid>
      <w:tr w:rsidR="009472D8" w:rsidRPr="004B005E" w:rsidTr="009413B2">
        <w:trPr>
          <w:cnfStyle w:val="100000000000" w:firstRow="1" w:lastRow="0" w:firstColumn="0" w:lastColumn="0" w:oddVBand="0" w:evenVBand="0" w:oddHBand="0" w:evenHBand="0" w:firstRowFirstColumn="0" w:firstRowLastColumn="0" w:lastRowFirstColumn="0" w:lastRowLastColumn="0"/>
          <w:tblHeader/>
        </w:trPr>
        <w:tc>
          <w:tcPr>
            <w:tcW w:w="1526" w:type="dxa"/>
          </w:tcPr>
          <w:p w:rsidR="009472D8" w:rsidRPr="0066113F" w:rsidRDefault="009472D8" w:rsidP="009472D8">
            <w:r>
              <w:t xml:space="preserve">Stakeholder </w:t>
            </w:r>
          </w:p>
        </w:tc>
        <w:tc>
          <w:tcPr>
            <w:tcW w:w="2693" w:type="dxa"/>
          </w:tcPr>
          <w:p w:rsidR="009472D8" w:rsidRPr="0066113F" w:rsidRDefault="009472D8" w:rsidP="0066113F">
            <w:r>
              <w:t>Issue</w:t>
            </w:r>
          </w:p>
        </w:tc>
        <w:tc>
          <w:tcPr>
            <w:tcW w:w="284" w:type="dxa"/>
          </w:tcPr>
          <w:p w:rsidR="009472D8" w:rsidRDefault="009472D8" w:rsidP="0066113F"/>
        </w:tc>
        <w:tc>
          <w:tcPr>
            <w:tcW w:w="4190" w:type="dxa"/>
          </w:tcPr>
          <w:p w:rsidR="009472D8" w:rsidRDefault="009472D8" w:rsidP="0066113F">
            <w:r>
              <w:t>Our response</w:t>
            </w:r>
          </w:p>
        </w:tc>
      </w:tr>
      <w:tr w:rsidR="009472D8" w:rsidRPr="004B005E" w:rsidTr="009413B2">
        <w:tc>
          <w:tcPr>
            <w:tcW w:w="1526" w:type="dxa"/>
          </w:tcPr>
          <w:p w:rsidR="009472D8" w:rsidRDefault="009472D8" w:rsidP="0066113F">
            <w:r>
              <w:t>CCP</w:t>
            </w:r>
            <w:r w:rsidR="00B57244">
              <w:t xml:space="preserve"> (Jo De Silva)</w:t>
            </w:r>
            <w:r w:rsidR="009413B2">
              <w:t>,</w:t>
            </w:r>
          </w:p>
          <w:p w:rsidR="009472D8" w:rsidRPr="0066113F" w:rsidRDefault="009413B2" w:rsidP="0066113F">
            <w:r w:rsidRPr="009413B2">
              <w:t>Tasmanian small business council</w:t>
            </w:r>
          </w:p>
        </w:tc>
        <w:tc>
          <w:tcPr>
            <w:tcW w:w="2693" w:type="dxa"/>
          </w:tcPr>
          <w:p w:rsidR="009472D8" w:rsidRPr="0066113F" w:rsidRDefault="00D56F5B" w:rsidP="009413B2">
            <w:r>
              <w:t>T</w:t>
            </w:r>
            <w:r w:rsidR="009413B2">
              <w:t>he proposed opex is acceptable</w:t>
            </w:r>
            <w:r>
              <w:t xml:space="preserve">. However, further cuts </w:t>
            </w:r>
            <w:r w:rsidR="009413B2">
              <w:t>may/</w:t>
            </w:r>
            <w:r>
              <w:t>should be possible</w:t>
            </w:r>
            <w:r w:rsidR="009472D8">
              <w:t>.</w:t>
            </w:r>
            <w:r w:rsidR="00784998">
              <w:rPr>
                <w:rStyle w:val="FootnoteReference"/>
              </w:rPr>
              <w:footnoteReference w:id="43"/>
            </w:r>
          </w:p>
        </w:tc>
        <w:tc>
          <w:tcPr>
            <w:tcW w:w="284" w:type="dxa"/>
          </w:tcPr>
          <w:p w:rsidR="009472D8" w:rsidRPr="008946FF" w:rsidRDefault="009472D8" w:rsidP="0066113F"/>
        </w:tc>
        <w:tc>
          <w:tcPr>
            <w:tcW w:w="4190" w:type="dxa"/>
          </w:tcPr>
          <w:p w:rsidR="009472D8" w:rsidRPr="008946FF" w:rsidRDefault="00CD68B2" w:rsidP="00DE12D4">
            <w:r>
              <w:t>Our benchmarking results indicate</w:t>
            </w:r>
            <w:r w:rsidRPr="00CD68B2">
              <w:t xml:space="preserve"> TasNetworks is operating relatively efficiently when compared to other service providers in the NEM.</w:t>
            </w:r>
            <w:r w:rsidRPr="00CD68B2">
              <w:rPr>
                <w:rStyle w:val="FootnoteReference"/>
              </w:rPr>
              <w:footnoteReference w:id="44"/>
            </w:r>
            <w:r w:rsidRPr="00CD68B2">
              <w:t xml:space="preserve"> </w:t>
            </w:r>
            <w:r>
              <w:t>TasNetworks has proposed strong productivity growth</w:t>
            </w:r>
            <w:r w:rsidR="00090124">
              <w:t>,</w:t>
            </w:r>
            <w:r>
              <w:t xml:space="preserve"> which should move it closer to the efficiency frontier.</w:t>
            </w:r>
            <w:r w:rsidRPr="00CD68B2">
              <w:rPr>
                <w:rStyle w:val="FootnoteReference"/>
              </w:rPr>
              <w:footnoteReference w:id="45"/>
            </w:r>
            <w:r>
              <w:t xml:space="preserve"> Further, our incentive framework provides an incentive for TasNetworks to </w:t>
            </w:r>
            <w:r w:rsidR="00DE12D4">
              <w:t>improve its productivity over time</w:t>
            </w:r>
            <w:r>
              <w:t>.</w:t>
            </w:r>
          </w:p>
        </w:tc>
      </w:tr>
      <w:tr w:rsidR="009472D8" w:rsidRPr="004B005E" w:rsidTr="009413B2">
        <w:trPr>
          <w:cnfStyle w:val="000000010000" w:firstRow="0" w:lastRow="0" w:firstColumn="0" w:lastColumn="0" w:oddVBand="0" w:evenVBand="0" w:oddHBand="0" w:evenHBand="1" w:firstRowFirstColumn="0" w:firstRowLastColumn="0" w:lastRowFirstColumn="0" w:lastRowLastColumn="0"/>
        </w:trPr>
        <w:tc>
          <w:tcPr>
            <w:tcW w:w="1526" w:type="dxa"/>
          </w:tcPr>
          <w:p w:rsidR="009472D8" w:rsidRDefault="009413B2" w:rsidP="0066113F">
            <w:r>
              <w:t>CCP</w:t>
            </w:r>
            <w:r w:rsidR="00B57244">
              <w:t xml:space="preserve"> (David Headberry)</w:t>
            </w:r>
          </w:p>
          <w:p w:rsidR="009472D8" w:rsidRPr="0066113F" w:rsidRDefault="009472D8" w:rsidP="0066113F"/>
        </w:tc>
        <w:tc>
          <w:tcPr>
            <w:tcW w:w="2693" w:type="dxa"/>
          </w:tcPr>
          <w:p w:rsidR="009472D8" w:rsidRPr="0066113F" w:rsidRDefault="00CA5B6A" w:rsidP="009472D8">
            <w:r>
              <w:t>O</w:t>
            </w:r>
            <w:r w:rsidR="009472D8" w:rsidRPr="009472D8">
              <w:t>ther large capital intensive operations achieve</w:t>
            </w:r>
            <w:r w:rsidR="009472D8">
              <w:t xml:space="preserve"> greater opex reductions.</w:t>
            </w:r>
          </w:p>
        </w:tc>
        <w:tc>
          <w:tcPr>
            <w:tcW w:w="284" w:type="dxa"/>
          </w:tcPr>
          <w:p w:rsidR="009472D8" w:rsidRPr="008946FF" w:rsidRDefault="009472D8" w:rsidP="0066113F"/>
        </w:tc>
        <w:tc>
          <w:tcPr>
            <w:tcW w:w="4190" w:type="dxa"/>
          </w:tcPr>
          <w:p w:rsidR="009472D8" w:rsidRPr="008946FF" w:rsidRDefault="00CA5B6A" w:rsidP="00653BCF">
            <w:r>
              <w:t>B</w:t>
            </w:r>
            <w:r w:rsidRPr="00CA5B6A">
              <w:t xml:space="preserve">ecause some capital intensive industries have achieved good productivity growth does not necessarily mean </w:t>
            </w:r>
            <w:r w:rsidR="00D56F5B">
              <w:t>T</w:t>
            </w:r>
            <w:r w:rsidR="00D56F5B" w:rsidRPr="00D56F5B">
              <w:t xml:space="preserve">asNetworks </w:t>
            </w:r>
            <w:r w:rsidR="00D56F5B">
              <w:t xml:space="preserve">can achieve </w:t>
            </w:r>
            <w:r w:rsidR="00653BCF">
              <w:t>the same</w:t>
            </w:r>
            <w:r w:rsidRPr="00CA5B6A">
              <w:t xml:space="preserve"> </w:t>
            </w:r>
            <w:r w:rsidR="00653BCF">
              <w:t xml:space="preserve">productivity </w:t>
            </w:r>
            <w:r w:rsidRPr="00CA5B6A">
              <w:t xml:space="preserve">growth. </w:t>
            </w:r>
            <w:r w:rsidR="00653BCF">
              <w:t>In particular, d</w:t>
            </w:r>
            <w:r w:rsidRPr="00CA5B6A">
              <w:t xml:space="preserve">eclining </w:t>
            </w:r>
            <w:r w:rsidR="00D56F5B">
              <w:t>demand</w:t>
            </w:r>
            <w:r w:rsidRPr="00CA5B6A">
              <w:t xml:space="preserve"> </w:t>
            </w:r>
            <w:r w:rsidR="00653BCF">
              <w:t>reduces</w:t>
            </w:r>
            <w:r w:rsidRPr="00CA5B6A">
              <w:t xml:space="preserve"> </w:t>
            </w:r>
            <w:r w:rsidR="00D56F5B">
              <w:t>T</w:t>
            </w:r>
            <w:r w:rsidR="00D56F5B" w:rsidRPr="00D56F5B">
              <w:t>asNetworks</w:t>
            </w:r>
            <w:r w:rsidR="00653BCF">
              <w:t>'</w:t>
            </w:r>
            <w:r w:rsidR="00D56F5B" w:rsidRPr="00D56F5B">
              <w:t xml:space="preserve"> </w:t>
            </w:r>
            <w:r w:rsidR="00D56F5B">
              <w:t xml:space="preserve">ability </w:t>
            </w:r>
            <w:r w:rsidR="00653BCF">
              <w:t xml:space="preserve">to achieve </w:t>
            </w:r>
            <w:r w:rsidR="006764EB">
              <w:t>productivity growth</w:t>
            </w:r>
            <w:r w:rsidR="00653BCF">
              <w:t>.</w:t>
            </w:r>
          </w:p>
        </w:tc>
      </w:tr>
      <w:tr w:rsidR="009472D8" w:rsidRPr="004B005E" w:rsidTr="009413B2">
        <w:tc>
          <w:tcPr>
            <w:tcW w:w="1526" w:type="dxa"/>
          </w:tcPr>
          <w:p w:rsidR="009472D8" w:rsidRDefault="009413B2" w:rsidP="0066113F">
            <w:r>
              <w:t>CCP</w:t>
            </w:r>
            <w:r w:rsidR="00B57244">
              <w:t xml:space="preserve"> (David Headberry)</w:t>
            </w:r>
          </w:p>
          <w:p w:rsidR="009472D8" w:rsidRPr="0066113F" w:rsidRDefault="009472D8" w:rsidP="0066113F"/>
        </w:tc>
        <w:tc>
          <w:tcPr>
            <w:tcW w:w="2693" w:type="dxa"/>
          </w:tcPr>
          <w:p w:rsidR="009472D8" w:rsidRPr="0066113F" w:rsidRDefault="007D626C" w:rsidP="00454739">
            <w:r>
              <w:t>TasNetworks significantly underspen</w:t>
            </w:r>
            <w:r w:rsidR="00454739">
              <w:t>t</w:t>
            </w:r>
            <w:r>
              <w:t xml:space="preserve"> its previous opex allowances.</w:t>
            </w:r>
          </w:p>
        </w:tc>
        <w:tc>
          <w:tcPr>
            <w:tcW w:w="284" w:type="dxa"/>
          </w:tcPr>
          <w:p w:rsidR="009472D8" w:rsidRPr="008946FF" w:rsidRDefault="009472D8" w:rsidP="0066113F"/>
        </w:tc>
        <w:tc>
          <w:tcPr>
            <w:tcW w:w="4190" w:type="dxa"/>
          </w:tcPr>
          <w:p w:rsidR="009472D8" w:rsidRPr="008946FF" w:rsidRDefault="00CA5B6A" w:rsidP="00B137D4">
            <w:r>
              <w:t>Applying a revealed cost approach to forecasting opex means efficiency gain</w:t>
            </w:r>
            <w:r w:rsidR="00B137D4">
              <w:t>s</w:t>
            </w:r>
            <w:r>
              <w:t xml:space="preserve"> </w:t>
            </w:r>
            <w:r w:rsidR="00563FAD">
              <w:t xml:space="preserve">(underspends) </w:t>
            </w:r>
            <w:r>
              <w:t>will be passed on to consumers through a lower opex forecast.</w:t>
            </w:r>
          </w:p>
        </w:tc>
      </w:tr>
      <w:tr w:rsidR="009472D8" w:rsidRPr="004B005E" w:rsidTr="009413B2">
        <w:trPr>
          <w:cnfStyle w:val="000000010000" w:firstRow="0" w:lastRow="0" w:firstColumn="0" w:lastColumn="0" w:oddVBand="0" w:evenVBand="0" w:oddHBand="0" w:evenHBand="1" w:firstRowFirstColumn="0" w:firstRowLastColumn="0" w:lastRowFirstColumn="0" w:lastRowLastColumn="0"/>
        </w:trPr>
        <w:tc>
          <w:tcPr>
            <w:tcW w:w="1526" w:type="dxa"/>
          </w:tcPr>
          <w:p w:rsidR="009472D8" w:rsidRDefault="00B137D4" w:rsidP="0066113F">
            <w:r>
              <w:t>CCP</w:t>
            </w:r>
            <w:r w:rsidR="00B57244">
              <w:t xml:space="preserve"> (David Headberry)</w:t>
            </w:r>
            <w:r w:rsidR="009413B2">
              <w:t>,</w:t>
            </w:r>
            <w:r>
              <w:t xml:space="preserve"> </w:t>
            </w:r>
            <w:r w:rsidR="00784998">
              <w:t>TasCOSS</w:t>
            </w:r>
          </w:p>
          <w:p w:rsidR="009472D8" w:rsidRPr="0066113F" w:rsidRDefault="009472D8" w:rsidP="0066113F"/>
        </w:tc>
        <w:tc>
          <w:tcPr>
            <w:tcW w:w="2693" w:type="dxa"/>
          </w:tcPr>
          <w:p w:rsidR="009472D8" w:rsidRPr="0066113F" w:rsidRDefault="00B137D4" w:rsidP="00B137D4">
            <w:r>
              <w:t>High</w:t>
            </w:r>
            <w:r w:rsidRPr="00B137D4">
              <w:t xml:space="preserve"> level</w:t>
            </w:r>
            <w:r>
              <w:t>s</w:t>
            </w:r>
            <w:r w:rsidRPr="00B137D4">
              <w:t xml:space="preserve"> of capex and IT capex in the current and forecast periods should lead to opex</w:t>
            </w:r>
            <w:r>
              <w:t xml:space="preserve"> </w:t>
            </w:r>
            <w:r w:rsidR="00784998">
              <w:t>savings.</w:t>
            </w:r>
            <w:r w:rsidR="00784998">
              <w:rPr>
                <w:rStyle w:val="FootnoteReference"/>
              </w:rPr>
              <w:footnoteReference w:id="46"/>
            </w:r>
            <w:r w:rsidR="00784998" w:rsidRPr="00784998">
              <w:t xml:space="preserve"> </w:t>
            </w:r>
          </w:p>
        </w:tc>
        <w:tc>
          <w:tcPr>
            <w:tcW w:w="284" w:type="dxa"/>
          </w:tcPr>
          <w:p w:rsidR="009472D8" w:rsidRPr="008946FF" w:rsidRDefault="009472D8" w:rsidP="0066113F"/>
        </w:tc>
        <w:tc>
          <w:tcPr>
            <w:tcW w:w="4190" w:type="dxa"/>
          </w:tcPr>
          <w:p w:rsidR="009472D8" w:rsidRPr="008946FF" w:rsidRDefault="00B137D4" w:rsidP="0066113F">
            <w:r>
              <w:t>T</w:t>
            </w:r>
            <w:r w:rsidRPr="00B137D4">
              <w:t>asNetworks has forecast strong productivity growth over the regulatory period</w:t>
            </w:r>
            <w:r>
              <w:t xml:space="preserve"> reducing its opex forecast</w:t>
            </w:r>
            <w:r w:rsidRPr="00B137D4">
              <w:t>.</w:t>
            </w:r>
          </w:p>
        </w:tc>
      </w:tr>
    </w:tbl>
    <w:p w:rsidR="0081081B" w:rsidRPr="0081081B" w:rsidRDefault="002008B5" w:rsidP="0081081B">
      <w:pPr>
        <w:pStyle w:val="Heading3"/>
      </w:pPr>
      <w:bookmarkStart w:id="90" w:name="_Toc457914201"/>
      <w:bookmarkStart w:id="91" w:name="_Toc462755060"/>
      <w:r>
        <w:lastRenderedPageBreak/>
        <w:t>Assessment</w:t>
      </w:r>
      <w:r w:rsidR="0081081B" w:rsidRPr="0081081B">
        <w:t xml:space="preserve"> of opex factors under the Rules</w:t>
      </w:r>
      <w:bookmarkEnd w:id="90"/>
      <w:bookmarkEnd w:id="91"/>
    </w:p>
    <w:p w:rsidR="0081081B" w:rsidRDefault="0081081B" w:rsidP="0081081B">
      <w:r w:rsidRPr="007B531D">
        <w:t xml:space="preserve">In deciding whether or not we are satisfied the service provider's forecast reasonably reflects the </w:t>
      </w:r>
      <w:r>
        <w:t>'</w:t>
      </w:r>
      <w:r w:rsidRPr="007B531D">
        <w:t>opex criteria</w:t>
      </w:r>
      <w:r>
        <w:t>'</w:t>
      </w:r>
      <w:r w:rsidRPr="007B531D">
        <w:t xml:space="preserve"> </w:t>
      </w:r>
      <w:r>
        <w:t xml:space="preserve">under the </w:t>
      </w:r>
      <w:r w:rsidR="008F25D5">
        <w:t>NER</w:t>
      </w:r>
      <w:r>
        <w:t xml:space="preserve">, </w:t>
      </w:r>
      <w:r w:rsidRPr="007B531D">
        <w:t>we ha</w:t>
      </w:r>
      <w:r>
        <w:t>ve regard to the 'opex factors'.</w:t>
      </w:r>
      <w:r>
        <w:rPr>
          <w:rStyle w:val="FootnoteReference"/>
        </w:rPr>
        <w:footnoteReference w:id="47"/>
      </w:r>
      <w:r>
        <w:t xml:space="preserve"> </w:t>
      </w:r>
    </w:p>
    <w:p w:rsidR="00302865" w:rsidRPr="00302865" w:rsidRDefault="00302865" w:rsidP="00302865">
      <w:r w:rsidRPr="00302865">
        <w:t>We attach different weight to different factors when making our decision to best achieve the NEO. This approach has been sum</w:t>
      </w:r>
      <w:r>
        <w:t>marised by the AEMC as follows:</w:t>
      </w:r>
      <w:r>
        <w:rPr>
          <w:rStyle w:val="FootnoteReference"/>
        </w:rPr>
        <w:footnoteReference w:id="48"/>
      </w:r>
    </w:p>
    <w:p w:rsidR="00302865" w:rsidRDefault="00302865" w:rsidP="00302865">
      <w:pPr>
        <w:pStyle w:val="AERquote"/>
      </w:pPr>
      <w:r w:rsidRPr="00302865">
        <w:t>As mandatory considerations, the AER has an obligation to take the capex and opex factors into account, but this does not mean that every factor will be relevant to every aspect of every regulatory determination the AER makes. The AER may decide that certain factors are not relevant in certain cases once it has considered them.</w:t>
      </w:r>
    </w:p>
    <w:p w:rsidR="00302865" w:rsidRPr="00302865" w:rsidRDefault="00E32B25" w:rsidP="00302865">
      <w:r>
        <w:fldChar w:fldCharType="begin"/>
      </w:r>
      <w:r>
        <w:instrText xml:space="preserve"> REF _Ref461550222 \h </w:instrText>
      </w:r>
      <w:r>
        <w:fldChar w:fldCharType="separate"/>
      </w:r>
      <w:r w:rsidR="00805AAE">
        <w:t xml:space="preserve">Table </w:t>
      </w:r>
      <w:r w:rsidR="00805AAE">
        <w:rPr>
          <w:noProof/>
        </w:rPr>
        <w:t>7</w:t>
      </w:r>
      <w:r w:rsidR="00805AAE">
        <w:t>.</w:t>
      </w:r>
      <w:r w:rsidR="00805AAE">
        <w:rPr>
          <w:noProof/>
        </w:rPr>
        <w:t>5</w:t>
      </w:r>
      <w:r>
        <w:fldChar w:fldCharType="end"/>
      </w:r>
      <w:r>
        <w:t xml:space="preserve"> </w:t>
      </w:r>
      <w:r w:rsidR="00302865" w:rsidRPr="007B531D">
        <w:t xml:space="preserve">summarises how we have taken the opex factors into account in making our </w:t>
      </w:r>
      <w:r w:rsidR="00302865">
        <w:t>draft</w:t>
      </w:r>
      <w:r w:rsidR="00302865" w:rsidRPr="007B531D">
        <w:t xml:space="preserve"> decision.</w:t>
      </w:r>
    </w:p>
    <w:p w:rsidR="0081081B" w:rsidRPr="00D06CCA" w:rsidRDefault="00E32B25" w:rsidP="00E32B25">
      <w:pPr>
        <w:pStyle w:val="Caption"/>
      </w:pPr>
      <w:bookmarkStart w:id="92" w:name="_Ref461550222"/>
      <w:r>
        <w:t xml:space="preserve">Table </w:t>
      </w:r>
      <w:r w:rsidR="00BB3B89">
        <w:fldChar w:fldCharType="begin"/>
      </w:r>
      <w:r w:rsidR="00BB3B89">
        <w:instrText xml:space="preserve"> STYLEREF 1 \s </w:instrText>
      </w:r>
      <w:r w:rsidR="00BB3B89">
        <w:fldChar w:fldCharType="separate"/>
      </w:r>
      <w:r w:rsidR="00805AAE">
        <w:rPr>
          <w:noProof/>
        </w:rPr>
        <w:t>7</w:t>
      </w:r>
      <w:r w:rsidR="00BB3B89">
        <w:rPr>
          <w:noProof/>
        </w:rPr>
        <w:fldChar w:fldCharType="end"/>
      </w:r>
      <w:r>
        <w:t>.</w:t>
      </w:r>
      <w:r w:rsidR="00BB3B89">
        <w:fldChar w:fldCharType="begin"/>
      </w:r>
      <w:r w:rsidR="00BB3B89">
        <w:instrText xml:space="preserve"> SEQ Table \* ARABIC \s 1 </w:instrText>
      </w:r>
      <w:r w:rsidR="00BB3B89">
        <w:fldChar w:fldCharType="separate"/>
      </w:r>
      <w:r w:rsidR="00805AAE">
        <w:rPr>
          <w:noProof/>
        </w:rPr>
        <w:t>5</w:t>
      </w:r>
      <w:r w:rsidR="00BB3B89">
        <w:rPr>
          <w:noProof/>
        </w:rPr>
        <w:fldChar w:fldCharType="end"/>
      </w:r>
      <w:bookmarkEnd w:id="92"/>
      <w:r w:rsidR="0081081B" w:rsidRPr="00D06CCA">
        <w:tab/>
      </w:r>
      <w:r w:rsidR="0081081B">
        <w:t>Our</w:t>
      </w:r>
      <w:r w:rsidR="0081081B" w:rsidRPr="00242C89">
        <w:t xml:space="preserve"> consideration of </w:t>
      </w:r>
      <w:r w:rsidR="0081081B">
        <w:t xml:space="preserve">the </w:t>
      </w:r>
      <w:r w:rsidR="0081081B" w:rsidRPr="00242C89">
        <w:t>opex factors</w:t>
      </w:r>
    </w:p>
    <w:tbl>
      <w:tblPr>
        <w:tblStyle w:val="AERtable-text0"/>
        <w:tblW w:w="0" w:type="auto"/>
        <w:tblLook w:val="04A0" w:firstRow="1" w:lastRow="0" w:firstColumn="1" w:lastColumn="0" w:noHBand="0" w:noVBand="1"/>
      </w:tblPr>
      <w:tblGrid>
        <w:gridCol w:w="3227"/>
        <w:gridCol w:w="5466"/>
      </w:tblGrid>
      <w:tr w:rsidR="0081081B" w:rsidRPr="008946FF" w:rsidTr="0081081B">
        <w:trPr>
          <w:cnfStyle w:val="100000000000" w:firstRow="1" w:lastRow="0" w:firstColumn="0" w:lastColumn="0" w:oddVBand="0" w:evenVBand="0" w:oddHBand="0" w:evenHBand="0" w:firstRowFirstColumn="0" w:firstRowLastColumn="0" w:lastRowFirstColumn="0" w:lastRowLastColumn="0"/>
          <w:tblHeader/>
        </w:trPr>
        <w:tc>
          <w:tcPr>
            <w:tcW w:w="3227" w:type="dxa"/>
          </w:tcPr>
          <w:p w:rsidR="0081081B" w:rsidRPr="0081081B" w:rsidRDefault="0081081B" w:rsidP="0081081B">
            <w:r w:rsidRPr="008946FF">
              <w:t>Opex factor</w:t>
            </w:r>
          </w:p>
        </w:tc>
        <w:tc>
          <w:tcPr>
            <w:tcW w:w="5466" w:type="dxa"/>
          </w:tcPr>
          <w:p w:rsidR="0081081B" w:rsidRPr="0081081B" w:rsidRDefault="0081081B" w:rsidP="0081081B">
            <w:r w:rsidRPr="008946FF">
              <w:t>Consideration</w:t>
            </w:r>
          </w:p>
        </w:tc>
      </w:tr>
      <w:tr w:rsidR="0081081B" w:rsidRPr="008946FF" w:rsidTr="0081081B">
        <w:tc>
          <w:tcPr>
            <w:tcW w:w="3227" w:type="dxa"/>
          </w:tcPr>
          <w:p w:rsidR="0081081B" w:rsidRPr="0081081B" w:rsidRDefault="0081081B" w:rsidP="0081081B">
            <w:r w:rsidRPr="008946FF">
              <w:t xml:space="preserve">The most recent annual benchmarking report that has been published under rule 6.27 and the benchmark </w:t>
            </w:r>
            <w:r w:rsidR="007D0761">
              <w:t>opex</w:t>
            </w:r>
            <w:r w:rsidRPr="008946FF">
              <w:t xml:space="preserve"> that would be </w:t>
            </w:r>
            <w:r w:rsidRPr="0081081B">
              <w:t>incurred by an efficient distribution network service provider over the relevant regulatory control period.</w:t>
            </w:r>
          </w:p>
        </w:tc>
        <w:tc>
          <w:tcPr>
            <w:tcW w:w="5466" w:type="dxa"/>
          </w:tcPr>
          <w:p w:rsidR="0081081B" w:rsidRPr="0081081B" w:rsidRDefault="0081081B" w:rsidP="0081081B">
            <w:r>
              <w:t>W</w:t>
            </w:r>
            <w:r w:rsidRPr="0081081B">
              <w:t xml:space="preserve">e have considered the results of our most recent annual distribution benchmarking report in </w:t>
            </w:r>
            <w:r>
              <w:t>estimating</w:t>
            </w:r>
            <w:r w:rsidRPr="0081081B">
              <w:t xml:space="preserve"> TasNetworks' </w:t>
            </w:r>
            <w:r>
              <w:t xml:space="preserve">efficient base opex </w:t>
            </w:r>
            <w:r w:rsidRPr="0081081B">
              <w:t xml:space="preserve">(section </w:t>
            </w:r>
            <w:r>
              <w:t>7.4.1</w:t>
            </w:r>
            <w:r w:rsidRPr="0081081B">
              <w:t>). Our benchmarking results show TasNetworks is operating relatively efficiently as compared to other distribution businesses in the NEM.</w:t>
            </w:r>
            <w:r w:rsidR="00400E91">
              <w:rPr>
                <w:rStyle w:val="FootnoteReference"/>
              </w:rPr>
              <w:footnoteReference w:id="49"/>
            </w:r>
            <w:r w:rsidRPr="0081081B">
              <w:t xml:space="preserve"> </w:t>
            </w:r>
          </w:p>
          <w:p w:rsidR="0081081B" w:rsidRPr="0081081B" w:rsidRDefault="0081081B" w:rsidP="006439B3">
            <w:r w:rsidRPr="008946FF">
              <w:t xml:space="preserve">We have used </w:t>
            </w:r>
            <w:r w:rsidRPr="0081081B">
              <w:t>economic benchmarking</w:t>
            </w:r>
            <w:r w:rsidR="0072698A">
              <w:t>,</w:t>
            </w:r>
            <w:r w:rsidRPr="0081081B">
              <w:t xml:space="preserve"> opex cost function modelling</w:t>
            </w:r>
            <w:r w:rsidR="0072698A">
              <w:t xml:space="preserve"> and expert forecasting information</w:t>
            </w:r>
            <w:r w:rsidRPr="0081081B">
              <w:t xml:space="preserve"> to estimate the benchmark opex that would be incurred by an efficient provider over the forecast period. </w:t>
            </w:r>
            <w:r w:rsidR="004452A2">
              <w:t>Based on this, w</w:t>
            </w:r>
            <w:r w:rsidRPr="0081081B">
              <w:t>e have formed a view on the efficiency of TasNetworks' proposed total forecast opex compared to the benchmark efficient opex that would be incurred over the relevant regulatory control period. We have found TasNetworks</w:t>
            </w:r>
            <w:r w:rsidR="002D52EE">
              <w:t>'</w:t>
            </w:r>
            <w:r w:rsidRPr="0081081B">
              <w:t xml:space="preserve"> </w:t>
            </w:r>
            <w:r w:rsidR="004452A2">
              <w:t>forecast</w:t>
            </w:r>
            <w:r w:rsidRPr="0081081B">
              <w:t xml:space="preserve"> opex to be lower than our independent estimate. We have assessed the reasons for this</w:t>
            </w:r>
            <w:r w:rsidR="0072698A">
              <w:t xml:space="preserve"> difference</w:t>
            </w:r>
            <w:r w:rsidRPr="0081081B">
              <w:t xml:space="preserve"> </w:t>
            </w:r>
            <w:r w:rsidR="0072698A">
              <w:t xml:space="preserve">to be </w:t>
            </w:r>
            <w:r w:rsidRPr="0081081B">
              <w:t xml:space="preserve">reasonable. </w:t>
            </w:r>
          </w:p>
        </w:tc>
      </w:tr>
      <w:tr w:rsidR="0081081B" w:rsidRPr="008946FF" w:rsidTr="0081081B">
        <w:trPr>
          <w:cnfStyle w:val="000000010000" w:firstRow="0" w:lastRow="0" w:firstColumn="0" w:lastColumn="0" w:oddVBand="0" w:evenVBand="0" w:oddHBand="0" w:evenHBand="1" w:firstRowFirstColumn="0" w:firstRowLastColumn="0" w:lastRowFirstColumn="0" w:lastRowLastColumn="0"/>
        </w:trPr>
        <w:tc>
          <w:tcPr>
            <w:tcW w:w="3227" w:type="dxa"/>
          </w:tcPr>
          <w:p w:rsidR="0081081B" w:rsidRPr="0081081B" w:rsidRDefault="0081081B" w:rsidP="0081081B">
            <w:r w:rsidRPr="008946FF">
              <w:t xml:space="preserve">The actual and expected </w:t>
            </w:r>
            <w:r w:rsidR="007D0761">
              <w:t>opex</w:t>
            </w:r>
            <w:r w:rsidRPr="0081081B">
              <w:t xml:space="preserve"> of the Distribution Network Service Provider during any proceeding regulatory control periods.</w:t>
            </w:r>
          </w:p>
        </w:tc>
        <w:tc>
          <w:tcPr>
            <w:tcW w:w="5466" w:type="dxa"/>
          </w:tcPr>
          <w:p w:rsidR="0081081B" w:rsidRPr="0081081B" w:rsidRDefault="0081081B" w:rsidP="0081081B">
            <w:r>
              <w:t>W</w:t>
            </w:r>
            <w:r w:rsidRPr="0081081B">
              <w:t>e have forecast TasNetworks' efficient opex over 2017</w:t>
            </w:r>
            <w:r w:rsidR="00090124">
              <w:t>–</w:t>
            </w:r>
            <w:r w:rsidRPr="0081081B">
              <w:t>19 using its actual opex in 2014-15 as the starting point. We have compared several years of TasNetworks' actual past opex with that of other service providers to form a view about whether or not its revealed expenditure is sufficiently efficient to rely on it as the basis for forecasting required opex in the forthcoming period.</w:t>
            </w:r>
          </w:p>
          <w:p w:rsidR="0081081B" w:rsidRPr="0081081B" w:rsidRDefault="0081081B" w:rsidP="0081081B">
            <w:r>
              <w:t xml:space="preserve">We have </w:t>
            </w:r>
            <w:r w:rsidR="0077742A">
              <w:t>taken into account an expected decrease in TasNetworks'</w:t>
            </w:r>
            <w:r w:rsidR="0077742A" w:rsidRPr="0077742A">
              <w:t xml:space="preserve"> </w:t>
            </w:r>
            <w:r w:rsidR="0077742A">
              <w:t xml:space="preserve">opex in the last year of the proceeding regulatory control period (2016-17) in forecasting efficient opex over 2017–19. </w:t>
            </w:r>
          </w:p>
        </w:tc>
      </w:tr>
      <w:tr w:rsidR="0081081B" w:rsidRPr="008946FF" w:rsidTr="0081081B">
        <w:tc>
          <w:tcPr>
            <w:tcW w:w="3227" w:type="dxa"/>
          </w:tcPr>
          <w:p w:rsidR="0081081B" w:rsidRPr="0081081B" w:rsidRDefault="0081081B" w:rsidP="0081081B">
            <w:r w:rsidRPr="008946FF">
              <w:t xml:space="preserve">The extent to which the </w:t>
            </w:r>
            <w:r w:rsidR="007D0761">
              <w:t>opex</w:t>
            </w:r>
            <w:r w:rsidRPr="008946FF">
              <w:t xml:space="preserve"> forecast includes expenditure to address the </w:t>
            </w:r>
            <w:r w:rsidRPr="008946FF">
              <w:lastRenderedPageBreak/>
              <w:t>concerns of electricity consumers as identified by the Distribution Network Service Provider in the course of its engagement with electricity consumers.</w:t>
            </w:r>
          </w:p>
        </w:tc>
        <w:tc>
          <w:tcPr>
            <w:tcW w:w="5466" w:type="dxa"/>
          </w:tcPr>
          <w:p w:rsidR="0081081B" w:rsidRPr="0081081B" w:rsidRDefault="0081081B" w:rsidP="0081081B">
            <w:r w:rsidRPr="008946FF">
              <w:lastRenderedPageBreak/>
              <w:t xml:space="preserve">We understand the intention of this particular factor is to require us to have regard to the extent to which service providers have engaged with </w:t>
            </w:r>
            <w:r w:rsidRPr="008946FF">
              <w:lastRenderedPageBreak/>
              <w:t>consumers in preparing their regulatory proposals, such that they factor in the needs of consumers.</w:t>
            </w:r>
            <w:r w:rsidRPr="0081081B">
              <w:rPr>
                <w:rStyle w:val="AERsuperscript"/>
              </w:rPr>
              <w:footnoteReference w:id="50"/>
            </w:r>
            <w:r w:rsidRPr="0081081B">
              <w:rPr>
                <w:rStyle w:val="AERsuperscript"/>
              </w:rPr>
              <w:t xml:space="preserve"> </w:t>
            </w:r>
          </w:p>
          <w:p w:rsidR="0081081B" w:rsidRPr="0081081B" w:rsidRDefault="0081081B" w:rsidP="0053026C">
            <w:r>
              <w:t xml:space="preserve">We </w:t>
            </w:r>
            <w:r w:rsidRPr="0081081B">
              <w:t xml:space="preserve">consider TasNetworks' opex forecast includes expenditure to address concerns of electricity consumers identified by TasNetworks in the course of its engagement with electricity consumers. </w:t>
            </w:r>
            <w:r w:rsidR="0053026C">
              <w:t xml:space="preserve">TasNetworks identified its customers had concerns about insufficient savings in </w:t>
            </w:r>
            <w:r w:rsidR="004A6BD6">
              <w:t>opex.</w:t>
            </w:r>
            <w:r w:rsidR="0053026C">
              <w:t xml:space="preserve"> </w:t>
            </w:r>
            <w:r w:rsidR="0053026C" w:rsidRPr="0053026C">
              <w:t>TasNetworks</w:t>
            </w:r>
            <w:r w:rsidR="0053026C">
              <w:t xml:space="preserve"> subsequently</w:t>
            </w:r>
            <w:r w:rsidR="0053026C" w:rsidRPr="0053026C">
              <w:t xml:space="preserve"> changed </w:t>
            </w:r>
            <w:r w:rsidR="0053026C">
              <w:t>its</w:t>
            </w:r>
            <w:r w:rsidR="0053026C" w:rsidRPr="0053026C">
              <w:t xml:space="preserve"> opex proposal from maintaining expenditure at 2014-15 levels in real terms to maintaining th</w:t>
            </w:r>
            <w:r w:rsidR="0053026C">
              <w:t xml:space="preserve">is expenditure in nominal terms in response to customer concerns. </w:t>
            </w:r>
            <w:r w:rsidR="0053026C" w:rsidRPr="0053026C">
              <w:t>This resulted in cumulative savings of $33.1 million.</w:t>
            </w:r>
            <w:r w:rsidR="004A6BD6">
              <w:rPr>
                <w:rStyle w:val="FootnoteReference"/>
              </w:rPr>
              <w:footnoteReference w:id="51"/>
            </w:r>
            <w:r w:rsidR="0053026C">
              <w:t xml:space="preserve"> </w:t>
            </w:r>
          </w:p>
        </w:tc>
      </w:tr>
      <w:tr w:rsidR="0081081B" w:rsidRPr="008946FF" w:rsidTr="0081081B">
        <w:trPr>
          <w:cnfStyle w:val="000000010000" w:firstRow="0" w:lastRow="0" w:firstColumn="0" w:lastColumn="0" w:oddVBand="0" w:evenVBand="0" w:oddHBand="0" w:evenHBand="1" w:firstRowFirstColumn="0" w:firstRowLastColumn="0" w:lastRowFirstColumn="0" w:lastRowLastColumn="0"/>
        </w:trPr>
        <w:tc>
          <w:tcPr>
            <w:tcW w:w="3227" w:type="dxa"/>
          </w:tcPr>
          <w:p w:rsidR="0081081B" w:rsidRPr="0081081B" w:rsidRDefault="0081081B" w:rsidP="0081081B">
            <w:r w:rsidRPr="008946FF">
              <w:lastRenderedPageBreak/>
              <w:t>The relative prices of capital and operating inputs</w:t>
            </w:r>
          </w:p>
        </w:tc>
        <w:tc>
          <w:tcPr>
            <w:tcW w:w="5466" w:type="dxa"/>
          </w:tcPr>
          <w:p w:rsidR="004D6228" w:rsidRPr="004D6228" w:rsidRDefault="004D6228" w:rsidP="004D6228">
            <w:r w:rsidRPr="004D6228">
              <w:t>We have had regard to multilateral total factor productivity benchmarking when deciding whether or not</w:t>
            </w:r>
            <w:r w:rsidR="004452A2">
              <w:t xml:space="preserve"> TasNetworks'</w:t>
            </w:r>
            <w:r w:rsidRPr="004D6228">
              <w:t xml:space="preserve"> forecast opex reflects the opex criteria</w:t>
            </w:r>
            <w:r w:rsidR="00090124">
              <w:t>—</w:t>
            </w:r>
            <w:r w:rsidRPr="004D6228">
              <w:t>rather than looking at opex productivity in isolation. Our multilateral total factor productivity analysis considers the overall efficiency of networks in the use of both capital and operating inputs.</w:t>
            </w:r>
          </w:p>
          <w:p w:rsidR="004D6228" w:rsidRPr="004D6228" w:rsidRDefault="004D6228" w:rsidP="004D6228">
            <w:r w:rsidRPr="004D6228">
              <w:t xml:space="preserve">We adopted </w:t>
            </w:r>
            <w:r w:rsidR="00653818">
              <w:t>price</w:t>
            </w:r>
            <w:r w:rsidRPr="004D6228">
              <w:t xml:space="preserve"> escalation factors </w:t>
            </w:r>
            <w:r w:rsidR="00653818" w:rsidRPr="00653818">
              <w:t xml:space="preserve">that account for the relative prices </w:t>
            </w:r>
            <w:r w:rsidR="007D0761">
              <w:t>o</w:t>
            </w:r>
            <w:r w:rsidR="00653818">
              <w:t>f</w:t>
            </w:r>
            <w:r w:rsidR="00653818" w:rsidRPr="004D6228">
              <w:t xml:space="preserve"> </w:t>
            </w:r>
            <w:r w:rsidRPr="004D6228">
              <w:t xml:space="preserve">opex </w:t>
            </w:r>
            <w:r w:rsidR="00653818">
              <w:t>and</w:t>
            </w:r>
            <w:r w:rsidR="00653818" w:rsidRPr="004D6228">
              <w:t xml:space="preserve"> </w:t>
            </w:r>
            <w:r w:rsidRPr="004D6228">
              <w:t xml:space="preserve">capex inputs. </w:t>
            </w:r>
          </w:p>
          <w:p w:rsidR="00B31EE2" w:rsidRPr="0081081B" w:rsidRDefault="004D6228" w:rsidP="004D6228">
            <w:r w:rsidRPr="004D6228">
              <w:t xml:space="preserve">One reason we will include a step change in our alternative opex forecast is if the service provider proposes a capex/opex trade-off. We consider the relative expense of capex and opex solutions in considering such a trade-off. TasNetworks did not propose any step changes as capex/opex trade-offs. </w:t>
            </w:r>
            <w:r w:rsidR="00B31EE2" w:rsidRPr="00B31EE2">
              <w:t xml:space="preserve"> </w:t>
            </w:r>
          </w:p>
        </w:tc>
      </w:tr>
      <w:tr w:rsidR="0081081B" w:rsidRPr="008946FF" w:rsidTr="0081081B">
        <w:tc>
          <w:tcPr>
            <w:tcW w:w="3227" w:type="dxa"/>
          </w:tcPr>
          <w:p w:rsidR="0081081B" w:rsidRPr="0081081B" w:rsidRDefault="0081081B" w:rsidP="0081081B">
            <w:r w:rsidRPr="008946FF">
              <w:t>The substitution possibilities between operating and capital expenditure.</w:t>
            </w:r>
          </w:p>
        </w:tc>
        <w:tc>
          <w:tcPr>
            <w:tcW w:w="5466" w:type="dxa"/>
          </w:tcPr>
          <w:p w:rsidR="00B817EF" w:rsidRPr="00B817EF" w:rsidRDefault="00B817EF" w:rsidP="00B817EF">
            <w:r w:rsidRPr="00B817EF">
              <w:t xml:space="preserve">The efficiency incentive </w:t>
            </w:r>
            <w:r w:rsidR="00561F8C">
              <w:t>schemes</w:t>
            </w:r>
            <w:r w:rsidR="00561F8C" w:rsidRPr="00B817EF">
              <w:t xml:space="preserve"> </w:t>
            </w:r>
            <w:r w:rsidRPr="00B817EF">
              <w:t>that we</w:t>
            </w:r>
            <w:r w:rsidR="00564093">
              <w:t xml:space="preserve"> have</w:t>
            </w:r>
            <w:r w:rsidRPr="00B817EF">
              <w:t xml:space="preserve"> appl</w:t>
            </w:r>
            <w:r w:rsidR="00564093">
              <w:t>ied</w:t>
            </w:r>
            <w:r w:rsidRPr="00B817EF">
              <w:t xml:space="preserve"> to TasNetworks recognise the substitution possibilities between opex and capex. </w:t>
            </w:r>
            <w:r w:rsidR="00561F8C">
              <w:t>These schemes</w:t>
            </w:r>
            <w:r w:rsidRPr="00B817EF">
              <w:t xml:space="preserve"> set the incentives to reduce opex and capex equal so that there </w:t>
            </w:r>
            <w:r w:rsidR="00561F8C">
              <w:t>is an incentive to undertake</w:t>
            </w:r>
            <w:r w:rsidRPr="00B817EF">
              <w:t xml:space="preserve"> efficient capex/opex trade-off</w:t>
            </w:r>
            <w:r w:rsidR="00561F8C">
              <w:t>s</w:t>
            </w:r>
            <w:r w:rsidRPr="00B817EF">
              <w:t xml:space="preserve">. </w:t>
            </w:r>
          </w:p>
          <w:p w:rsidR="006A4625" w:rsidRPr="006A4625" w:rsidRDefault="00B817EF" w:rsidP="006A4625">
            <w:r>
              <w:t>I</w:t>
            </w:r>
            <w:r w:rsidRPr="00B817EF">
              <w:t>n developing our benchmarking models</w:t>
            </w:r>
            <w:r w:rsidR="00090124">
              <w:t>,</w:t>
            </w:r>
            <w:r w:rsidRPr="00B817EF">
              <w:t xml:space="preserve"> </w:t>
            </w:r>
            <w:r>
              <w:t>w</w:t>
            </w:r>
            <w:r w:rsidR="006A4625">
              <w:t>e have had</w:t>
            </w:r>
            <w:r w:rsidR="005068A0">
              <w:t xml:space="preserve"> </w:t>
            </w:r>
            <w:r w:rsidR="006A4625" w:rsidRPr="008946FF">
              <w:t>regard to the relationship between capital, opex and outputs</w:t>
            </w:r>
            <w:r>
              <w:t xml:space="preserve">. We have used our benchmarking to </w:t>
            </w:r>
            <w:r w:rsidR="006A4625" w:rsidRPr="006A4625">
              <w:t>assess</w:t>
            </w:r>
            <w:r>
              <w:t xml:space="preserve"> whether</w:t>
            </w:r>
            <w:r w:rsidR="006A4625" w:rsidRPr="006A4625">
              <w:t xml:space="preserve"> TasNetworks' base opex </w:t>
            </w:r>
            <w:r>
              <w:t>is efficient</w:t>
            </w:r>
            <w:r w:rsidR="0072698A">
              <w:t xml:space="preserve"> (section 7.4.1)</w:t>
            </w:r>
            <w:r w:rsidR="006A4625" w:rsidRPr="006A4625">
              <w:t>.</w:t>
            </w:r>
            <w:r w:rsidR="00400E91">
              <w:rPr>
                <w:rStyle w:val="FootnoteReference"/>
              </w:rPr>
              <w:footnoteReference w:id="52"/>
            </w:r>
            <w:r w:rsidR="006A4625" w:rsidRPr="006A4625">
              <w:t xml:space="preserve"> </w:t>
            </w:r>
          </w:p>
          <w:p w:rsidR="00F530A8" w:rsidRDefault="006A4625" w:rsidP="006A4625">
            <w:r w:rsidRPr="008946FF">
              <w:t>We also had regard to multilateral total factor productivity benchmarking when deciding whether or not</w:t>
            </w:r>
            <w:r w:rsidR="0072698A">
              <w:t xml:space="preserve"> TasNetworks'</w:t>
            </w:r>
            <w:r w:rsidRPr="008946FF">
              <w:t xml:space="preserve"> forecast opex reflects the opex criteria</w:t>
            </w:r>
            <w:r w:rsidR="00090124">
              <w:t>—</w:t>
            </w:r>
            <w:r w:rsidR="00F530A8">
              <w:t>rather than looking at opex productivity</w:t>
            </w:r>
            <w:r w:rsidR="0072698A">
              <w:t xml:space="preserve"> benchmarking results</w:t>
            </w:r>
            <w:r w:rsidR="00F530A8">
              <w:t xml:space="preserve"> in isolation.</w:t>
            </w:r>
            <w:r w:rsidRPr="008946FF">
              <w:t xml:space="preserve"> Our multilateral total factor productivity analysis considers the overall efficiency of networks </w:t>
            </w:r>
            <w:r w:rsidR="00972925">
              <w:t>in</w:t>
            </w:r>
            <w:r w:rsidRPr="008946FF">
              <w:t xml:space="preserve"> the use of both capital and operating inputs.</w:t>
            </w:r>
            <w:r w:rsidR="0072698A">
              <w:t xml:space="preserve"> </w:t>
            </w:r>
            <w:r w:rsidR="00B817EF">
              <w:t>W</w:t>
            </w:r>
            <w:r w:rsidR="00F530A8" w:rsidRPr="00F530A8">
              <w:t xml:space="preserve">e have considered </w:t>
            </w:r>
            <w:r w:rsidR="00B817EF">
              <w:t>how</w:t>
            </w:r>
            <w:r w:rsidR="00F530A8" w:rsidRPr="00F530A8">
              <w:t xml:space="preserve"> different capitalisation policies of the service providers may affect opex performance under benchmarking.</w:t>
            </w:r>
            <w:r w:rsidR="00D944B8">
              <w:rPr>
                <w:rStyle w:val="FootnoteReference"/>
              </w:rPr>
              <w:footnoteReference w:id="53"/>
            </w:r>
            <w:r w:rsidR="006439B3">
              <w:t xml:space="preserve"> </w:t>
            </w:r>
            <w:r w:rsidR="005068A0">
              <w:t xml:space="preserve">TasNetworks </w:t>
            </w:r>
            <w:r w:rsidR="00B817EF">
              <w:t>confirmed</w:t>
            </w:r>
            <w:r w:rsidR="005068A0">
              <w:t xml:space="preserve"> it did not change its capitalisation policy.</w:t>
            </w:r>
            <w:r w:rsidR="005068A0">
              <w:rPr>
                <w:rStyle w:val="FootnoteReference"/>
              </w:rPr>
              <w:footnoteReference w:id="54"/>
            </w:r>
          </w:p>
          <w:p w:rsidR="0081081B" w:rsidRDefault="00AF64D5" w:rsidP="0081081B">
            <w:r>
              <w:t>In considering TasNetworks' forecast of higher opex productivity we have considered TasNetworks</w:t>
            </w:r>
            <w:r w:rsidR="005F286E">
              <w:t>'</w:t>
            </w:r>
            <w:r>
              <w:t xml:space="preserve"> </w:t>
            </w:r>
            <w:r w:rsidR="006A4625">
              <w:t>increased</w:t>
            </w:r>
            <w:r>
              <w:t xml:space="preserve"> IT capex. </w:t>
            </w:r>
            <w:r w:rsidR="006E16BA">
              <w:t>TasNetworks noted</w:t>
            </w:r>
            <w:r w:rsidR="004A6BD6">
              <w:t xml:space="preserve"> its stakeholders expected savings in opex given the proposed level of capital expenditure in the network and new IT systems. As noted above, TasNetworks now </w:t>
            </w:r>
            <w:r w:rsidR="004A6BD6" w:rsidRPr="004A6BD6">
              <w:t>propose</w:t>
            </w:r>
            <w:r w:rsidR="00B6071B">
              <w:t>s</w:t>
            </w:r>
            <w:r w:rsidR="004A6BD6" w:rsidRPr="004A6BD6">
              <w:t xml:space="preserve"> to maintain </w:t>
            </w:r>
            <w:r w:rsidR="00B6071B">
              <w:t>opex</w:t>
            </w:r>
            <w:r w:rsidR="004A6BD6" w:rsidRPr="004A6BD6">
              <w:t xml:space="preserve"> at 2014-15 levels in nominal terms</w:t>
            </w:r>
            <w:r w:rsidR="00B6071B">
              <w:t xml:space="preserve"> rather than real terms in response to </w:t>
            </w:r>
            <w:r w:rsidR="00B6071B" w:rsidRPr="00B6071B">
              <w:t>customer</w:t>
            </w:r>
            <w:r w:rsidR="00B6071B">
              <w:t xml:space="preserve"> feedback.</w:t>
            </w:r>
            <w:r w:rsidR="00D944B8">
              <w:rPr>
                <w:rStyle w:val="FootnoteReference"/>
              </w:rPr>
              <w:footnoteReference w:id="55"/>
            </w:r>
            <w:r w:rsidR="00B817EF">
              <w:t xml:space="preserve"> </w:t>
            </w:r>
          </w:p>
          <w:p w:rsidR="00653818" w:rsidRPr="0081081B" w:rsidRDefault="00653818" w:rsidP="00653818">
            <w:r>
              <w:lastRenderedPageBreak/>
              <w:t>As noted above, w</w:t>
            </w:r>
            <w:r w:rsidRPr="00653818">
              <w:t xml:space="preserve">e consider substitution possibilities between </w:t>
            </w:r>
            <w:r>
              <w:t>opex and capex</w:t>
            </w:r>
            <w:r w:rsidRPr="00653818">
              <w:t xml:space="preserve"> in considering </w:t>
            </w:r>
            <w:r>
              <w:t xml:space="preserve">step changes proposed as opex/capex </w:t>
            </w:r>
            <w:r w:rsidRPr="00653818">
              <w:t>trade-off</w:t>
            </w:r>
            <w:r>
              <w:t>s</w:t>
            </w:r>
            <w:r w:rsidRPr="00653818">
              <w:t xml:space="preserve">. TasNetworks did not propose any step changes as capex/opex trade-offs.  </w:t>
            </w:r>
          </w:p>
        </w:tc>
      </w:tr>
      <w:tr w:rsidR="0081081B" w:rsidRPr="008946FF" w:rsidTr="0081081B">
        <w:trPr>
          <w:cnfStyle w:val="000000010000" w:firstRow="0" w:lastRow="0" w:firstColumn="0" w:lastColumn="0" w:oddVBand="0" w:evenVBand="0" w:oddHBand="0" w:evenHBand="1" w:firstRowFirstColumn="0" w:firstRowLastColumn="0" w:lastRowFirstColumn="0" w:lastRowLastColumn="0"/>
        </w:trPr>
        <w:tc>
          <w:tcPr>
            <w:tcW w:w="3227" w:type="dxa"/>
          </w:tcPr>
          <w:p w:rsidR="0081081B" w:rsidRPr="0081081B" w:rsidRDefault="0081081B" w:rsidP="00090124">
            <w:r w:rsidRPr="008946FF">
              <w:lastRenderedPageBreak/>
              <w:t xml:space="preserve">Whether the </w:t>
            </w:r>
            <w:r w:rsidR="00090124">
              <w:t>opex</w:t>
            </w:r>
            <w:r w:rsidRPr="008946FF">
              <w:t xml:space="preserve"> forecast is consistent with any incentive scheme or schemes that apply to the Distribution Network Service Provider under clauses 6.5.8 or 6.6.2 to 6.6.4.</w:t>
            </w:r>
          </w:p>
        </w:tc>
        <w:tc>
          <w:tcPr>
            <w:tcW w:w="5466" w:type="dxa"/>
          </w:tcPr>
          <w:p w:rsidR="0081081B" w:rsidRPr="0081081B" w:rsidRDefault="0081081B" w:rsidP="0081081B">
            <w:r w:rsidRPr="008946FF">
              <w:t xml:space="preserve">The incentive scheme that </w:t>
            </w:r>
            <w:r w:rsidR="00CF3C1D">
              <w:t xml:space="preserve">we </w:t>
            </w:r>
            <w:r w:rsidRPr="008946FF">
              <w:t xml:space="preserve">applied to </w:t>
            </w:r>
            <w:r w:rsidRPr="0081081B">
              <w:t xml:space="preserve">TasNetworks' opex in the 2012–17 regulatory control period, the EBSS, </w:t>
            </w:r>
            <w:r w:rsidR="00AF64D5">
              <w:t>is</w:t>
            </w:r>
            <w:r w:rsidRPr="0081081B">
              <w:t xml:space="preserve"> intended to work in conjunction with </w:t>
            </w:r>
            <w:r w:rsidR="00CF3C1D">
              <w:t>our</w:t>
            </w:r>
            <w:r w:rsidRPr="0081081B">
              <w:t xml:space="preserve"> revealed cost forecasting approach.</w:t>
            </w:r>
          </w:p>
          <w:p w:rsidR="00D944B8" w:rsidRPr="0081081B" w:rsidRDefault="0081081B" w:rsidP="00CF030D">
            <w:r w:rsidRPr="008946FF">
              <w:t xml:space="preserve">We have applied our estimate of base opex consistently in applying the EBSS and forecasting </w:t>
            </w:r>
            <w:r w:rsidRPr="0081081B">
              <w:t>TasNetworks' opex for the 2017–19 regulatory control period.</w:t>
            </w:r>
            <w:r w:rsidR="00FB6CE8">
              <w:t xml:space="preserve"> </w:t>
            </w:r>
          </w:p>
        </w:tc>
      </w:tr>
      <w:tr w:rsidR="0081081B" w:rsidRPr="008946FF" w:rsidTr="0081081B">
        <w:tc>
          <w:tcPr>
            <w:tcW w:w="3227" w:type="dxa"/>
          </w:tcPr>
          <w:p w:rsidR="0081081B" w:rsidRPr="0081081B" w:rsidRDefault="0081081B" w:rsidP="00090124">
            <w:r w:rsidRPr="008946FF">
              <w:t xml:space="preserve">The extent the </w:t>
            </w:r>
            <w:r w:rsidR="00090124">
              <w:t>opex</w:t>
            </w:r>
            <w:r w:rsidRPr="008946FF">
              <w:t xml:space="preserve"> forecast is referable to arrangements with a person other than the Distribution Network Service Provider that, in the opinion of the AER, do not reflect arm's length terms.</w:t>
            </w:r>
          </w:p>
        </w:tc>
        <w:tc>
          <w:tcPr>
            <w:tcW w:w="5466" w:type="dxa"/>
          </w:tcPr>
          <w:p w:rsidR="001B000A" w:rsidRDefault="00273CE9" w:rsidP="001B000A">
            <w:r>
              <w:t>We</w:t>
            </w:r>
            <w:r w:rsidR="0081081B" w:rsidRPr="008946FF">
              <w:t xml:space="preserve"> </w:t>
            </w:r>
            <w:r>
              <w:t xml:space="preserve">have </w:t>
            </w:r>
            <w:r w:rsidR="0081081B" w:rsidRPr="008946FF">
              <w:t>assess</w:t>
            </w:r>
            <w:r>
              <w:t>ed</w:t>
            </w:r>
            <w:r w:rsidR="0081081B" w:rsidRPr="008946FF">
              <w:t xml:space="preserve"> </w:t>
            </w:r>
            <w:r w:rsidR="00464272">
              <w:t>TasNetworks'</w:t>
            </w:r>
            <w:r w:rsidR="0081081B" w:rsidRPr="008946FF">
              <w:t xml:space="preserve"> total opex efficiency</w:t>
            </w:r>
            <w:r>
              <w:t xml:space="preserve"> in deciding whether or</w:t>
            </w:r>
            <w:r w:rsidRPr="00273CE9">
              <w:t xml:space="preserve"> not </w:t>
            </w:r>
            <w:r w:rsidR="00464272">
              <w:t xml:space="preserve">to </w:t>
            </w:r>
            <w:r w:rsidRPr="00273CE9">
              <w:t xml:space="preserve">accept </w:t>
            </w:r>
            <w:r w:rsidR="00464272">
              <w:t>TasNetworks'</w:t>
            </w:r>
            <w:r w:rsidRPr="00273CE9">
              <w:t xml:space="preserve"> opex forecast</w:t>
            </w:r>
            <w:r w:rsidR="0081081B" w:rsidRPr="008946FF">
              <w:t xml:space="preserve">. Given this, we are not necessarily concerned whether arrangements </w:t>
            </w:r>
            <w:r>
              <w:t xml:space="preserve">between TasNetworks and another person </w:t>
            </w:r>
            <w:r w:rsidR="0081081B" w:rsidRPr="008946FF">
              <w:t>do or do not reflect arm's length terms</w:t>
            </w:r>
            <w:r>
              <w:t xml:space="preserve">. </w:t>
            </w:r>
            <w:r w:rsidR="00556F8B" w:rsidRPr="00556F8B">
              <w:t xml:space="preserve">A service provider which uses related party providers </w:t>
            </w:r>
            <w:r w:rsidR="00556F8B">
              <w:t>can</w:t>
            </w:r>
            <w:r w:rsidR="00556F8B" w:rsidRPr="00556F8B">
              <w:t xml:space="preserve"> be efficient or it </w:t>
            </w:r>
            <w:r w:rsidR="00556F8B">
              <w:t>can</w:t>
            </w:r>
            <w:r w:rsidR="00556F8B" w:rsidRPr="00556F8B">
              <w:t xml:space="preserve"> be inefficient. Likewise, for a service provider who does not use related party providers. If a service provider is inefficient, we adjust their total forecast opex proposal, regardless of their arrangements with related providers.</w:t>
            </w:r>
          </w:p>
          <w:p w:rsidR="005069AF" w:rsidRPr="0081081B" w:rsidRDefault="00464272" w:rsidP="00556F8B">
            <w:r>
              <w:t xml:space="preserve">TasNetworks </w:t>
            </w:r>
            <w:r w:rsidR="00556F8B">
              <w:t xml:space="preserve">did however </w:t>
            </w:r>
            <w:r w:rsidR="001B000A">
              <w:t>confirm</w:t>
            </w:r>
            <w:r w:rsidR="00556F8B">
              <w:t xml:space="preserve"> that</w:t>
            </w:r>
            <w:r w:rsidR="001B000A">
              <w:t xml:space="preserve"> </w:t>
            </w:r>
            <w:r w:rsidR="001B000A" w:rsidRPr="001B000A">
              <w:t>its opex forecast did not contain any costs arising from transactions with related parties.</w:t>
            </w:r>
            <w:r w:rsidR="00556F8B">
              <w:rPr>
                <w:rStyle w:val="FootnoteReference"/>
              </w:rPr>
              <w:footnoteReference w:id="56"/>
            </w:r>
            <w:r w:rsidR="001B000A">
              <w:t xml:space="preserve"> </w:t>
            </w:r>
          </w:p>
        </w:tc>
      </w:tr>
      <w:tr w:rsidR="0081081B" w:rsidRPr="008946FF" w:rsidTr="0081081B">
        <w:trPr>
          <w:cnfStyle w:val="000000010000" w:firstRow="0" w:lastRow="0" w:firstColumn="0" w:lastColumn="0" w:oddVBand="0" w:evenVBand="0" w:oddHBand="0" w:evenHBand="1" w:firstRowFirstColumn="0" w:firstRowLastColumn="0" w:lastRowFirstColumn="0" w:lastRowLastColumn="0"/>
        </w:trPr>
        <w:tc>
          <w:tcPr>
            <w:tcW w:w="3227" w:type="dxa"/>
          </w:tcPr>
          <w:p w:rsidR="0081081B" w:rsidRPr="0081081B" w:rsidRDefault="0081081B" w:rsidP="00090124">
            <w:r w:rsidRPr="008946FF">
              <w:t xml:space="preserve">Whether the </w:t>
            </w:r>
            <w:r w:rsidR="00090124">
              <w:t>opex</w:t>
            </w:r>
            <w:r w:rsidRPr="008946FF">
              <w:t xml:space="preserve"> forecast includes an amount relating to a project that should more appropriately be included as a contingent project under clause 6.6A.1(b).</w:t>
            </w:r>
          </w:p>
        </w:tc>
        <w:tc>
          <w:tcPr>
            <w:tcW w:w="5466" w:type="dxa"/>
          </w:tcPr>
          <w:p w:rsidR="00F43865" w:rsidRPr="0081081B" w:rsidRDefault="0081081B" w:rsidP="00273CE9">
            <w:r w:rsidRPr="008946FF">
              <w:t xml:space="preserve">This factor is only relevant in the context of assessing proposed step changes (which may be explicit projects or programs). </w:t>
            </w:r>
            <w:r w:rsidR="00273CE9">
              <w:t>TasNetworks</w:t>
            </w:r>
            <w:r w:rsidR="00F43865">
              <w:t xml:space="preserve"> did not </w:t>
            </w:r>
            <w:r w:rsidR="00273CE9">
              <w:t>propose</w:t>
            </w:r>
            <w:r w:rsidR="00F43865">
              <w:t xml:space="preserve"> any opex</w:t>
            </w:r>
            <w:r w:rsidR="00273CE9">
              <w:t xml:space="preserve"> step changes</w:t>
            </w:r>
            <w:r w:rsidR="00F43865">
              <w:t xml:space="preserve"> that </w:t>
            </w:r>
            <w:r w:rsidR="00273CE9">
              <w:t xml:space="preserve">would be more appropriately included as a contingent project. </w:t>
            </w:r>
          </w:p>
        </w:tc>
      </w:tr>
      <w:tr w:rsidR="0081081B" w:rsidRPr="008946FF" w:rsidTr="0081081B">
        <w:tc>
          <w:tcPr>
            <w:tcW w:w="3227" w:type="dxa"/>
          </w:tcPr>
          <w:p w:rsidR="0081081B" w:rsidRPr="0081081B" w:rsidRDefault="0081081B" w:rsidP="0081081B">
            <w:r w:rsidRPr="008946FF">
              <w:t>The extent the Distribution Network Service Provider has considered, and made provision for, efficient and prudent non-network alternatives.</w:t>
            </w:r>
          </w:p>
        </w:tc>
        <w:tc>
          <w:tcPr>
            <w:tcW w:w="5466" w:type="dxa"/>
          </w:tcPr>
          <w:p w:rsidR="0081081B" w:rsidRPr="0081081B" w:rsidRDefault="004D6228" w:rsidP="003F358A">
            <w:r w:rsidRPr="004D6228">
              <w:t>TasNetworks has proposed no expenditure for non-network alternatives. TasNetworks included its Network Demand Management Plan in its regulatory proposal to detail how they plan to implement efficient non-network alternatives under the DMIS.</w:t>
            </w:r>
          </w:p>
        </w:tc>
      </w:tr>
      <w:tr w:rsidR="00310123" w:rsidRPr="008946FF" w:rsidTr="0081081B">
        <w:trPr>
          <w:cnfStyle w:val="000000010000" w:firstRow="0" w:lastRow="0" w:firstColumn="0" w:lastColumn="0" w:oddVBand="0" w:evenVBand="0" w:oddHBand="0" w:evenHBand="1" w:firstRowFirstColumn="0" w:firstRowLastColumn="0" w:lastRowFirstColumn="0" w:lastRowLastColumn="0"/>
        </w:trPr>
        <w:tc>
          <w:tcPr>
            <w:tcW w:w="3227" w:type="dxa"/>
          </w:tcPr>
          <w:p w:rsidR="00310123" w:rsidRPr="008946FF" w:rsidRDefault="00310123" w:rsidP="0081081B">
            <w:r>
              <w:t>Any</w:t>
            </w:r>
            <w:r w:rsidRPr="00310123">
              <w:t xml:space="preserve"> relevant final project assessment report (as defined in clause 5.10.2) published under clause 5.17.4(o), (p) or (s);</w:t>
            </w:r>
          </w:p>
        </w:tc>
        <w:tc>
          <w:tcPr>
            <w:tcW w:w="5466" w:type="dxa"/>
          </w:tcPr>
          <w:p w:rsidR="00310123" w:rsidRPr="004D6228" w:rsidRDefault="0030044D" w:rsidP="0014188F">
            <w:r w:rsidRPr="0030044D">
              <w:t>In having regard to this factor, we identify any RIT-</w:t>
            </w:r>
            <w:r>
              <w:t>D</w:t>
            </w:r>
            <w:r w:rsidRPr="0030044D">
              <w:t xml:space="preserve"> project submitted by the business and ensure the conclusions are appropriately addressed in the total forecast opex. </w:t>
            </w:r>
            <w:r>
              <w:t>TasNetworks</w:t>
            </w:r>
            <w:r w:rsidRPr="0030044D">
              <w:t xml:space="preserve"> did not submit any RIT-</w:t>
            </w:r>
            <w:r>
              <w:t xml:space="preserve">D </w:t>
            </w:r>
            <w:r w:rsidRPr="0030044D">
              <w:t>project.</w:t>
            </w:r>
          </w:p>
        </w:tc>
      </w:tr>
      <w:tr w:rsidR="00310123" w:rsidRPr="008946FF" w:rsidTr="0081081B">
        <w:tc>
          <w:tcPr>
            <w:tcW w:w="3227" w:type="dxa"/>
          </w:tcPr>
          <w:p w:rsidR="00310123" w:rsidRPr="00310123" w:rsidRDefault="00310123" w:rsidP="00310123">
            <w:r w:rsidRPr="00310123">
              <w:t>Any other factor the AER considers relevant and which the AER has notified the Distribution Network Service Provider in writing, prior to the submission of its revised regulatory proposal under clause 6.10.3, is an operating expenditure factor.</w:t>
            </w:r>
          </w:p>
        </w:tc>
        <w:tc>
          <w:tcPr>
            <w:tcW w:w="5466" w:type="dxa"/>
          </w:tcPr>
          <w:p w:rsidR="00310123" w:rsidRPr="00310123" w:rsidRDefault="00310123" w:rsidP="00310123">
            <w:r>
              <w:t xml:space="preserve">We did not identify and notify TasNetworks of any </w:t>
            </w:r>
            <w:r w:rsidRPr="00310123">
              <w:t xml:space="preserve">other opex factor.  </w:t>
            </w:r>
          </w:p>
        </w:tc>
      </w:tr>
    </w:tbl>
    <w:p w:rsidR="0081081B" w:rsidRDefault="0081081B" w:rsidP="0081081B">
      <w:pPr>
        <w:pStyle w:val="AERtablesource"/>
      </w:pPr>
      <w:r>
        <w:t xml:space="preserve">Source: </w:t>
      </w:r>
      <w:r>
        <w:tab/>
        <w:t>AER analysis.</w:t>
      </w:r>
    </w:p>
    <w:p w:rsidR="00132D43" w:rsidRDefault="00132D43" w:rsidP="00F77935">
      <w:pPr>
        <w:pStyle w:val="AERtablesource"/>
      </w:pPr>
    </w:p>
    <w:sectPr w:rsidR="00132D43" w:rsidSect="00CF42AA">
      <w:headerReference w:type="default" r:id="rId20"/>
      <w:footerReference w:type="even" r:id="rId21"/>
      <w:footerReference w:type="default" r:id="rId22"/>
      <w:footerReference w:type="first" r:id="rId23"/>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038" w:rsidRPr="00290C63" w:rsidRDefault="00175038" w:rsidP="00290C63">
      <w:r>
        <w:separator/>
      </w:r>
    </w:p>
    <w:p w:rsidR="00175038" w:rsidRDefault="00175038"/>
  </w:endnote>
  <w:endnote w:type="continuationSeparator" w:id="0">
    <w:p w:rsidR="00175038" w:rsidRPr="00290C63" w:rsidRDefault="00175038" w:rsidP="00290C63">
      <w:r>
        <w:continuationSeparator/>
      </w:r>
    </w:p>
    <w:p w:rsidR="00175038" w:rsidRDefault="00175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038" w:rsidRPr="00290C63" w:rsidRDefault="0017503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805AAE">
      <w:rPr>
        <w:rStyle w:val="PageNumber"/>
        <w:noProof/>
      </w:rPr>
      <w:t>7-24</w:t>
    </w:r>
    <w:r w:rsidRPr="00290C63">
      <w:rPr>
        <w:rStyle w:val="PageNumber"/>
      </w:rPr>
      <w:fldChar w:fldCharType="end"/>
    </w:r>
    <w:r w:rsidRPr="00290C63">
      <w:rPr>
        <w:rStyle w:val="PageNumber"/>
      </w:rPr>
      <w:tab/>
      <w:t>Xxx report—month/year</w:t>
    </w:r>
  </w:p>
  <w:p w:rsidR="00175038" w:rsidRDefault="00175038"/>
  <w:p w:rsidR="00175038" w:rsidRDefault="00175038"/>
  <w:p w:rsidR="00175038" w:rsidRDefault="00175038"/>
  <w:p w:rsidR="00175038" w:rsidRDefault="00175038"/>
  <w:p w:rsidR="00175038" w:rsidRDefault="00175038"/>
  <w:p w:rsidR="00175038" w:rsidRDefault="00175038"/>
  <w:p w:rsidR="00175038" w:rsidRDefault="001750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394346"/>
      <w:docPartObj>
        <w:docPartGallery w:val="Page Numbers (Bottom of Page)"/>
        <w:docPartUnique/>
      </w:docPartObj>
    </w:sdtPr>
    <w:sdtEndPr>
      <w:rPr>
        <w:noProof/>
        <w:szCs w:val="16"/>
      </w:rPr>
    </w:sdtEndPr>
    <w:sdtContent>
      <w:p w:rsidR="00175038" w:rsidRPr="009B6F84" w:rsidRDefault="00175038">
        <w:pPr>
          <w:pStyle w:val="Footer"/>
          <w:rPr>
            <w:sz w:val="20"/>
          </w:rPr>
        </w:pPr>
        <w:r>
          <w:fldChar w:fldCharType="begin"/>
        </w:r>
        <w:r>
          <w:instrText xml:space="preserve"> PAGE   \* MERGEFORMAT </w:instrText>
        </w:r>
        <w:r>
          <w:fldChar w:fldCharType="separate"/>
        </w:r>
        <w:r w:rsidR="00BB3B89">
          <w:rPr>
            <w:noProof/>
          </w:rPr>
          <w:t>7-0</w:t>
        </w:r>
        <w:r>
          <w:rPr>
            <w:noProof/>
          </w:rPr>
          <w:fldChar w:fldCharType="end"/>
        </w:r>
        <w:r>
          <w:rPr>
            <w:noProof/>
          </w:rPr>
          <w:t xml:space="preserve">  </w:t>
        </w:r>
        <w:r>
          <w:t>Attachment 7 – Operating expenditure</w:t>
        </w:r>
        <w:r w:rsidRPr="004523B2">
          <w:t xml:space="preserve"> | </w:t>
        </w:r>
        <w:r>
          <w:t>TasNetworks distribution draft determination</w:t>
        </w:r>
        <w:r w:rsidRPr="004523B2">
          <w:t xml:space="preserve"> 201</w:t>
        </w:r>
        <w:r>
          <w:t>7</w:t>
        </w:r>
        <w:r w:rsidRPr="004523B2">
          <w:t>–</w:t>
        </w:r>
        <w:r>
          <w:t>19</w:t>
        </w:r>
      </w:p>
    </w:sdtContent>
  </w:sdt>
  <w:p w:rsidR="00175038" w:rsidRDefault="001750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038" w:rsidRPr="00290C63" w:rsidRDefault="0017503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805AAE">
      <w:rPr>
        <w:noProof/>
      </w:rPr>
      <w:t>7-24</w:t>
    </w:r>
    <w:r w:rsidRPr="00290C63">
      <w:fldChar w:fldCharType="end"/>
    </w:r>
  </w:p>
  <w:p w:rsidR="00175038" w:rsidRDefault="00175038">
    <w:pPr>
      <w:pStyle w:val="Footer"/>
    </w:pPr>
  </w:p>
  <w:p w:rsidR="00175038" w:rsidRDefault="00175038"/>
  <w:p w:rsidR="00175038" w:rsidRDefault="00175038"/>
  <w:p w:rsidR="00175038" w:rsidRDefault="00175038"/>
  <w:p w:rsidR="00175038" w:rsidRDefault="00175038"/>
  <w:p w:rsidR="00175038" w:rsidRDefault="00175038"/>
  <w:p w:rsidR="00175038" w:rsidRDefault="00175038"/>
  <w:p w:rsidR="00175038" w:rsidRDefault="0017503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038" w:rsidRPr="00290C63" w:rsidRDefault="0017503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805AAE">
      <w:rPr>
        <w:rStyle w:val="PageNumber"/>
        <w:noProof/>
      </w:rPr>
      <w:t>7-24</w:t>
    </w:r>
    <w:r w:rsidRPr="00290C63">
      <w:rPr>
        <w:rStyle w:val="PageNumber"/>
      </w:rPr>
      <w:fldChar w:fldCharType="end"/>
    </w:r>
    <w:r w:rsidRPr="00290C63">
      <w:rPr>
        <w:rStyle w:val="PageNumber"/>
      </w:rPr>
      <w:tab/>
      <w:t>Xxx report—month/year</w:t>
    </w:r>
  </w:p>
  <w:p w:rsidR="00175038" w:rsidRDefault="00175038"/>
  <w:p w:rsidR="00175038" w:rsidRDefault="00175038"/>
  <w:p w:rsidR="00175038" w:rsidRDefault="00175038"/>
  <w:p w:rsidR="00175038" w:rsidRDefault="00175038"/>
  <w:p w:rsidR="00175038" w:rsidRDefault="00175038"/>
  <w:p w:rsidR="00175038" w:rsidRDefault="00175038"/>
  <w:p w:rsidR="00175038" w:rsidRDefault="0017503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175038" w:rsidRPr="009B6F84" w:rsidRDefault="00175038">
        <w:pPr>
          <w:pStyle w:val="Footer"/>
          <w:rPr>
            <w:sz w:val="20"/>
          </w:rPr>
        </w:pPr>
        <w:r>
          <w:fldChar w:fldCharType="begin"/>
        </w:r>
        <w:r>
          <w:instrText xml:space="preserve"> PAGE   \* MERGEFORMAT </w:instrText>
        </w:r>
        <w:r>
          <w:fldChar w:fldCharType="separate"/>
        </w:r>
        <w:r w:rsidR="00BB3B89">
          <w:rPr>
            <w:noProof/>
          </w:rPr>
          <w:t>7-4</w:t>
        </w:r>
        <w:r>
          <w:rPr>
            <w:noProof/>
          </w:rPr>
          <w:fldChar w:fldCharType="end"/>
        </w:r>
        <w:r>
          <w:rPr>
            <w:noProof/>
          </w:rPr>
          <w:t xml:space="preserve">  </w:t>
        </w:r>
        <w:r>
          <w:t xml:space="preserve">Attachment 7 – Operating expenditure </w:t>
        </w:r>
        <w:r w:rsidRPr="004523B2">
          <w:t xml:space="preserve">| </w:t>
        </w:r>
        <w:r>
          <w:t>TasNetworks distribution draft determination</w:t>
        </w:r>
        <w:r w:rsidRPr="004523B2">
          <w:t xml:space="preserve"> 201</w:t>
        </w:r>
        <w:r>
          <w:t>7</w:t>
        </w:r>
        <w:r w:rsidRPr="004523B2">
          <w:t>–</w:t>
        </w:r>
        <w:r>
          <w:t>19</w:t>
        </w:r>
      </w:p>
    </w:sdtContent>
  </w:sdt>
  <w:p w:rsidR="00175038" w:rsidRDefault="0017503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038" w:rsidRPr="00290C63" w:rsidRDefault="0017503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805AAE">
      <w:rPr>
        <w:noProof/>
      </w:rPr>
      <w:t>7-24</w:t>
    </w:r>
    <w:r w:rsidRPr="00290C63">
      <w:fldChar w:fldCharType="end"/>
    </w:r>
  </w:p>
  <w:p w:rsidR="00175038" w:rsidRDefault="00175038">
    <w:pPr>
      <w:pStyle w:val="Footer"/>
    </w:pPr>
  </w:p>
  <w:p w:rsidR="00175038" w:rsidRDefault="00175038"/>
  <w:p w:rsidR="00175038" w:rsidRDefault="00175038"/>
  <w:p w:rsidR="00175038" w:rsidRDefault="00175038"/>
  <w:p w:rsidR="00175038" w:rsidRDefault="00175038"/>
  <w:p w:rsidR="00175038" w:rsidRDefault="00175038"/>
  <w:p w:rsidR="00175038" w:rsidRDefault="00175038"/>
  <w:p w:rsidR="00175038" w:rsidRDefault="001750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038" w:rsidRPr="00290C63" w:rsidRDefault="00175038" w:rsidP="00290C63">
      <w:r>
        <w:separator/>
      </w:r>
    </w:p>
    <w:p w:rsidR="00175038" w:rsidRDefault="00175038"/>
  </w:footnote>
  <w:footnote w:type="continuationSeparator" w:id="0">
    <w:p w:rsidR="00175038" w:rsidRPr="00290C63" w:rsidRDefault="00175038" w:rsidP="00290C63">
      <w:r>
        <w:continuationSeparator/>
      </w:r>
    </w:p>
    <w:p w:rsidR="00175038" w:rsidRDefault="00175038"/>
  </w:footnote>
  <w:footnote w:id="1">
    <w:p w:rsidR="00175038" w:rsidRDefault="00175038">
      <w:pPr>
        <w:pStyle w:val="FootnoteText"/>
      </w:pPr>
      <w:r>
        <w:rPr>
          <w:rStyle w:val="FootnoteReference"/>
        </w:rPr>
        <w:footnoteRef/>
      </w:r>
      <w:r>
        <w:t xml:space="preserve"> </w:t>
      </w:r>
      <w:r>
        <w:tab/>
        <w:t>Excluding debt raising costs.</w:t>
      </w:r>
    </w:p>
  </w:footnote>
  <w:footnote w:id="2">
    <w:p w:rsidR="00175038" w:rsidRDefault="00175038" w:rsidP="001C3994">
      <w:pPr>
        <w:pStyle w:val="FootnoteText"/>
      </w:pPr>
      <w:r>
        <w:rPr>
          <w:rStyle w:val="FootnoteReference"/>
        </w:rPr>
        <w:footnoteRef/>
      </w:r>
      <w:r>
        <w:t xml:space="preserve"> </w:t>
      </w:r>
      <w:r>
        <w:tab/>
        <w:t xml:space="preserve">AER, </w:t>
      </w:r>
      <w:r w:rsidRPr="00887C90">
        <w:rPr>
          <w:rStyle w:val="AERtextitalic"/>
        </w:rPr>
        <w:t>Better Regulation—Expenditure Forecast Assessment Guideline for Electricity Distribution</w:t>
      </w:r>
      <w:r>
        <w:t>, November 2013.</w:t>
      </w:r>
    </w:p>
  </w:footnote>
  <w:footnote w:id="3">
    <w:p w:rsidR="00175038" w:rsidRDefault="00175038">
      <w:pPr>
        <w:pStyle w:val="FootnoteText"/>
      </w:pPr>
      <w:r>
        <w:rPr>
          <w:rStyle w:val="FootnoteReference"/>
        </w:rPr>
        <w:footnoteRef/>
      </w:r>
      <w:r>
        <w:t xml:space="preserve"> </w:t>
      </w:r>
      <w:r>
        <w:tab/>
        <w:t xml:space="preserve">AER, </w:t>
      </w:r>
      <w:r w:rsidRPr="00887C90">
        <w:rPr>
          <w:rStyle w:val="AERtextitalic"/>
        </w:rPr>
        <w:t>Better Regulation—Expenditure Forecast Assessment Guideline for Electricity Distribution</w:t>
      </w:r>
      <w:r>
        <w:t>, November 2013.</w:t>
      </w:r>
    </w:p>
  </w:footnote>
  <w:footnote w:id="4">
    <w:p w:rsidR="00175038" w:rsidRDefault="00175038" w:rsidP="0019118F">
      <w:pPr>
        <w:pStyle w:val="FootnoteText"/>
      </w:pPr>
      <w:r>
        <w:rPr>
          <w:rStyle w:val="FootnoteReference"/>
        </w:rPr>
        <w:footnoteRef/>
      </w:r>
      <w:r>
        <w:t xml:space="preserve"> </w:t>
      </w:r>
      <w:r>
        <w:tab/>
        <w:t>Including debt raising costs.</w:t>
      </w:r>
    </w:p>
  </w:footnote>
  <w:footnote w:id="5">
    <w:p w:rsidR="00175038" w:rsidRDefault="00175038" w:rsidP="007A01D2">
      <w:pPr>
        <w:pStyle w:val="FootnoteText"/>
      </w:pPr>
      <w:r>
        <w:rPr>
          <w:rStyle w:val="FootnoteReference"/>
        </w:rPr>
        <w:footnoteRef/>
      </w:r>
      <w:r>
        <w:t xml:space="preserve"> </w:t>
      </w:r>
      <w:r>
        <w:tab/>
      </w:r>
      <w:r w:rsidRPr="000A082D">
        <w:t>Our Expenditure forecast assessment guideline (</w:t>
      </w:r>
      <w:r>
        <w:t>p.</w:t>
      </w:r>
      <w:r w:rsidRPr="000A082D">
        <w:t xml:space="preserve"> 23) sets out how we will estimate opex in the final year of the preceding regulatory control per</w:t>
      </w:r>
      <w:r>
        <w:t xml:space="preserve">iod </w:t>
      </w:r>
      <w:r w:rsidRPr="000A082D">
        <w:t xml:space="preserve">(2016–17 in this case). Estimating 2016–17 this way allows </w:t>
      </w:r>
      <w:r>
        <w:t>TasNetworks</w:t>
      </w:r>
      <w:r w:rsidRPr="000A082D">
        <w:t xml:space="preserve"> to retain efficiency gains made after the base year (201</w:t>
      </w:r>
      <w:r>
        <w:t>4</w:t>
      </w:r>
      <w:r w:rsidRPr="000A082D">
        <w:t xml:space="preserve">–15). </w:t>
      </w:r>
      <w:r>
        <w:t>TasNetworks</w:t>
      </w:r>
      <w:r w:rsidRPr="000A082D">
        <w:t xml:space="preserve"> did not adopt this approach to forecasting opex for 2016–17 and in effect assumed it would make efficiency ga</w:t>
      </w:r>
      <w:r>
        <w:t>ins in 2015–</w:t>
      </w:r>
      <w:r w:rsidRPr="000A082D">
        <w:t>16 and 2016–17</w:t>
      </w:r>
      <w:r>
        <w:t>.</w:t>
      </w:r>
    </w:p>
  </w:footnote>
  <w:footnote w:id="6">
    <w:p w:rsidR="00175038" w:rsidRDefault="00175038">
      <w:pPr>
        <w:pStyle w:val="FootnoteText"/>
      </w:pPr>
      <w:r>
        <w:rPr>
          <w:rStyle w:val="FootnoteReference"/>
        </w:rPr>
        <w:footnoteRef/>
      </w:r>
      <w:r>
        <w:t xml:space="preserve"> </w:t>
      </w:r>
      <w:r>
        <w:tab/>
      </w:r>
      <w:r w:rsidR="00B57244">
        <w:t xml:space="preserve">CCP (David Headberry), </w:t>
      </w:r>
      <w:r w:rsidR="00B57244" w:rsidRPr="00F94244">
        <w:rPr>
          <w:rStyle w:val="AERtextitalic"/>
        </w:rPr>
        <w:t xml:space="preserve">Submission </w:t>
      </w:r>
      <w:r w:rsidR="00B57244">
        <w:rPr>
          <w:rStyle w:val="AERtextitalic"/>
        </w:rPr>
        <w:t>to the AER, Response to the proposal from Tasmania's electricity distribution network service provider (TasNetworks - TND) for a revenue reset for the 2017–19 regulatory period, 4 May 2016,</w:t>
      </w:r>
      <w:r w:rsidR="00B57244">
        <w:t xml:space="preserve"> p</w:t>
      </w:r>
      <w:r>
        <w:t>. 21.</w:t>
      </w:r>
    </w:p>
  </w:footnote>
  <w:footnote w:id="7">
    <w:p w:rsidR="00175038" w:rsidRDefault="00175038" w:rsidP="0097436A">
      <w:pPr>
        <w:pStyle w:val="FootnoteText"/>
      </w:pPr>
      <w:r>
        <w:rPr>
          <w:rStyle w:val="FootnoteReference"/>
        </w:rPr>
        <w:footnoteRef/>
      </w:r>
      <w:r>
        <w:t xml:space="preserve"> </w:t>
      </w:r>
      <w:r>
        <w:tab/>
      </w:r>
      <w:r w:rsidR="00B57244">
        <w:t xml:space="preserve">CCP (David Headberry), </w:t>
      </w:r>
      <w:r w:rsidR="00B57244" w:rsidRPr="00F94244">
        <w:rPr>
          <w:rStyle w:val="AERtextitalic"/>
        </w:rPr>
        <w:t xml:space="preserve">Submission </w:t>
      </w:r>
      <w:r w:rsidR="00B57244">
        <w:rPr>
          <w:rStyle w:val="AERtextitalic"/>
        </w:rPr>
        <w:t>to the AER, Response to the proposal from Tasmania's electricity distribution network service provider (TasNetworks - TND) for a revenue reset for the 2017–19 regulatory period, 4 May 2016,</w:t>
      </w:r>
      <w:r w:rsidR="00B57244">
        <w:t xml:space="preserve"> p</w:t>
      </w:r>
      <w:r w:rsidRPr="001B4EFC">
        <w:rPr>
          <w:rStyle w:val="Emphasis"/>
          <w:i w:val="0"/>
          <w:iCs w:val="0"/>
        </w:rPr>
        <w:t>.</w:t>
      </w:r>
      <w:r>
        <w:rPr>
          <w:rStyle w:val="Emphasis"/>
        </w:rPr>
        <w:t xml:space="preserve"> </w:t>
      </w:r>
      <w:r w:rsidRPr="001B4EFC">
        <w:rPr>
          <w:rStyle w:val="Emphasis"/>
          <w:i w:val="0"/>
          <w:iCs w:val="0"/>
        </w:rPr>
        <w:t>20.</w:t>
      </w:r>
      <w:r w:rsidRPr="0097436A">
        <w:rPr>
          <w:rStyle w:val="Emphasis"/>
        </w:rPr>
        <w:t xml:space="preserve"> </w:t>
      </w:r>
    </w:p>
  </w:footnote>
  <w:footnote w:id="8">
    <w:p w:rsidR="00175038" w:rsidRDefault="00175038">
      <w:pPr>
        <w:pStyle w:val="FootnoteText"/>
      </w:pPr>
      <w:r>
        <w:rPr>
          <w:rStyle w:val="FootnoteReference"/>
        </w:rPr>
        <w:footnoteRef/>
      </w:r>
      <w:r>
        <w:t xml:space="preserve"> </w:t>
      </w:r>
      <w:r>
        <w:tab/>
      </w:r>
      <w:r w:rsidRPr="00C35853">
        <w:t>Tasmanian Council of Social Service (TasCOSS)</w:t>
      </w:r>
      <w:r>
        <w:t xml:space="preserve">, Submission on AER issues paper regarding TasNetworks' regulatory proposal, </w:t>
      </w:r>
      <w:r w:rsidRPr="00364F7E">
        <w:t>28 April 2016</w:t>
      </w:r>
      <w:r>
        <w:t xml:space="preserve">, p. 1. </w:t>
      </w:r>
    </w:p>
  </w:footnote>
  <w:footnote w:id="9">
    <w:p w:rsidR="00175038" w:rsidRDefault="00175038" w:rsidP="00F418B7">
      <w:pPr>
        <w:pStyle w:val="FootnoteText"/>
      </w:pPr>
      <w:r>
        <w:rPr>
          <w:rStyle w:val="FootnoteReference"/>
        </w:rPr>
        <w:footnoteRef/>
      </w:r>
      <w:r>
        <w:t xml:space="preserve"> </w:t>
      </w:r>
      <w:r>
        <w:tab/>
        <w:t xml:space="preserve">The opex criteria are: </w:t>
      </w:r>
      <w:r w:rsidRPr="002839A2">
        <w:t xml:space="preserve">the efficient costs of achieving the </w:t>
      </w:r>
      <w:r>
        <w:t>opex</w:t>
      </w:r>
      <w:r w:rsidRPr="002839A2">
        <w:t xml:space="preserve"> objectives</w:t>
      </w:r>
      <w:r>
        <w:t>;</w:t>
      </w:r>
      <w:r w:rsidRPr="002F6520">
        <w:t xml:space="preserve"> </w:t>
      </w:r>
      <w:r w:rsidRPr="002839A2">
        <w:t xml:space="preserve">the costs that a prudent operator would require to achieve the </w:t>
      </w:r>
      <w:r>
        <w:t>opex</w:t>
      </w:r>
      <w:r w:rsidRPr="002839A2">
        <w:t xml:space="preserve"> objectives</w:t>
      </w:r>
      <w:r>
        <w:t xml:space="preserve">; </w:t>
      </w:r>
      <w:r w:rsidRPr="002839A2">
        <w:t xml:space="preserve">a realistic expectation of the demand forecast and cost inputs required to achieve the </w:t>
      </w:r>
      <w:r>
        <w:t>opex</w:t>
      </w:r>
      <w:r w:rsidRPr="002839A2">
        <w:t xml:space="preserve"> objectives.</w:t>
      </w:r>
      <w:r>
        <w:t xml:space="preserve"> </w:t>
      </w:r>
      <w:r w:rsidRPr="002F6520">
        <w:t>NER, cll. 6.5.6(c)</w:t>
      </w:r>
      <w:r>
        <w:t>,</w:t>
      </w:r>
      <w:r w:rsidRPr="002F6520">
        <w:t xml:space="preserve"> 6.12.1(4).</w:t>
      </w:r>
      <w:r w:rsidRPr="00F65783">
        <w:t xml:space="preserve"> The </w:t>
      </w:r>
      <w:r>
        <w:t>opex</w:t>
      </w:r>
      <w:r w:rsidRPr="00F65783">
        <w:t xml:space="preserve"> objectives are set out in cl 6.5.6(a).</w:t>
      </w:r>
    </w:p>
  </w:footnote>
  <w:footnote w:id="10">
    <w:p w:rsidR="00175038" w:rsidRDefault="00175038" w:rsidP="00F418B7">
      <w:pPr>
        <w:pStyle w:val="FootnoteText"/>
      </w:pPr>
      <w:r>
        <w:rPr>
          <w:rStyle w:val="FootnoteReference"/>
        </w:rPr>
        <w:footnoteRef/>
      </w:r>
      <w:r>
        <w:t xml:space="preserve"> </w:t>
      </w:r>
      <w:r>
        <w:tab/>
      </w:r>
      <w:r w:rsidRPr="002F6520">
        <w:t>NER, cll. 6.5.6(c)</w:t>
      </w:r>
      <w:r>
        <w:t>,</w:t>
      </w:r>
      <w:r w:rsidRPr="002F6520">
        <w:t xml:space="preserve"> 6.12.1(4)(i).</w:t>
      </w:r>
    </w:p>
  </w:footnote>
  <w:footnote w:id="11">
    <w:p w:rsidR="00175038" w:rsidRDefault="00175038" w:rsidP="00F418B7">
      <w:pPr>
        <w:pStyle w:val="FootnoteText"/>
      </w:pPr>
      <w:r>
        <w:rPr>
          <w:rStyle w:val="FootnoteReference"/>
        </w:rPr>
        <w:footnoteRef/>
      </w:r>
      <w:r>
        <w:t xml:space="preserve"> </w:t>
      </w:r>
      <w:r>
        <w:tab/>
      </w:r>
      <w:r w:rsidRPr="002F6520">
        <w:t>NER, cll. 6.5.6(d)</w:t>
      </w:r>
      <w:r>
        <w:t>,</w:t>
      </w:r>
      <w:r w:rsidRPr="002F6520">
        <w:t xml:space="preserve"> 6.12.1(4)(ii).</w:t>
      </w:r>
    </w:p>
  </w:footnote>
  <w:footnote w:id="12">
    <w:p w:rsidR="00175038" w:rsidRDefault="00175038">
      <w:pPr>
        <w:pStyle w:val="FootnoteText"/>
      </w:pPr>
      <w:r>
        <w:rPr>
          <w:rStyle w:val="FootnoteReference"/>
        </w:rPr>
        <w:footnoteRef/>
      </w:r>
      <w:r>
        <w:t xml:space="preserve"> </w:t>
      </w:r>
      <w:r>
        <w:tab/>
      </w:r>
      <w:r w:rsidRPr="005E4159">
        <w:t xml:space="preserve">AER, </w:t>
      </w:r>
      <w:r w:rsidRPr="005E4159">
        <w:rPr>
          <w:rStyle w:val="Emphasis"/>
        </w:rPr>
        <w:t>Expenditure forecast assessment guideline</w:t>
      </w:r>
      <w:r w:rsidRPr="005E4159">
        <w:t>, November 2013, p.</w:t>
      </w:r>
      <w:r>
        <w:t xml:space="preserve"> </w:t>
      </w:r>
      <w:r w:rsidRPr="005E4159">
        <w:t>7. NER, clauses 6.5.6(c)</w:t>
      </w:r>
      <w:r>
        <w:t>.</w:t>
      </w:r>
    </w:p>
  </w:footnote>
  <w:footnote w:id="13">
    <w:p w:rsidR="00175038" w:rsidRDefault="00175038">
      <w:pPr>
        <w:pStyle w:val="FootnoteText"/>
      </w:pPr>
      <w:r>
        <w:rPr>
          <w:rStyle w:val="FootnoteReference"/>
        </w:rPr>
        <w:footnoteRef/>
      </w:r>
      <w:r>
        <w:t xml:space="preserve"> </w:t>
      </w:r>
      <w:r>
        <w:tab/>
      </w:r>
      <w:r w:rsidRPr="009D5839">
        <w:t>NER</w:t>
      </w:r>
      <w:r>
        <w:t>, cl.</w:t>
      </w:r>
      <w:r w:rsidRPr="009D5839">
        <w:t xml:space="preserve"> 6.5.6(c)</w:t>
      </w:r>
      <w:r>
        <w:t>.</w:t>
      </w:r>
    </w:p>
  </w:footnote>
  <w:footnote w:id="14">
    <w:p w:rsidR="00175038" w:rsidRDefault="00175038">
      <w:pPr>
        <w:pStyle w:val="FootnoteText"/>
      </w:pPr>
      <w:r>
        <w:rPr>
          <w:rStyle w:val="FootnoteReference"/>
        </w:rPr>
        <w:footnoteRef/>
      </w:r>
      <w:r>
        <w:t xml:space="preserve"> </w:t>
      </w:r>
      <w:r>
        <w:tab/>
      </w:r>
      <w:r w:rsidRPr="0012372E">
        <w:t>NER</w:t>
      </w:r>
      <w:r>
        <w:t>, cl.</w:t>
      </w:r>
      <w:r w:rsidRPr="0012372E">
        <w:t xml:space="preserve"> 6.5.6(a)</w:t>
      </w:r>
      <w:r>
        <w:t>.</w:t>
      </w:r>
    </w:p>
  </w:footnote>
  <w:footnote w:id="15">
    <w:p w:rsidR="00175038" w:rsidRDefault="00175038">
      <w:pPr>
        <w:pStyle w:val="FootnoteText"/>
      </w:pPr>
      <w:r>
        <w:rPr>
          <w:rStyle w:val="FootnoteReference"/>
        </w:rPr>
        <w:footnoteRef/>
      </w:r>
      <w:r>
        <w:t xml:space="preserve"> </w:t>
      </w:r>
      <w:r>
        <w:tab/>
      </w:r>
      <w:r w:rsidRPr="0012372E">
        <w:t>NER</w:t>
      </w:r>
      <w:r>
        <w:t>, cl.</w:t>
      </w:r>
      <w:r w:rsidRPr="0012372E">
        <w:t xml:space="preserve"> 6.5.6(e)</w:t>
      </w:r>
      <w:r>
        <w:t>.</w:t>
      </w:r>
    </w:p>
  </w:footnote>
  <w:footnote w:id="16">
    <w:p w:rsidR="00175038" w:rsidRDefault="00175038" w:rsidP="003E114C">
      <w:pPr>
        <w:pStyle w:val="FootnoteText"/>
      </w:pPr>
      <w:r>
        <w:rPr>
          <w:rStyle w:val="FootnoteReference"/>
        </w:rPr>
        <w:footnoteRef/>
      </w:r>
      <w:r>
        <w:t xml:space="preserve"> </w:t>
      </w:r>
      <w:r>
        <w:tab/>
        <w:t>Including debt raising costs.</w:t>
      </w:r>
    </w:p>
  </w:footnote>
  <w:footnote w:id="17">
    <w:p w:rsidR="00175038" w:rsidRDefault="00175038">
      <w:pPr>
        <w:pStyle w:val="FootnoteText"/>
      </w:pPr>
      <w:r>
        <w:rPr>
          <w:rStyle w:val="FootnoteReference"/>
        </w:rPr>
        <w:footnoteRef/>
      </w:r>
      <w:r>
        <w:t xml:space="preserve"> </w:t>
      </w:r>
      <w:r>
        <w:tab/>
      </w:r>
      <w:r w:rsidRPr="007D0761">
        <w:t>www.aer.gov.au/networks-pipelines/determinations-access-arrangements/tasnetworks-formerly-aurora-energy-2017-2019</w:t>
      </w:r>
      <w:r>
        <w:t xml:space="preserve">. </w:t>
      </w:r>
    </w:p>
  </w:footnote>
  <w:footnote w:id="18">
    <w:p w:rsidR="00175038" w:rsidRDefault="00175038" w:rsidP="00FE51CA">
      <w:pPr>
        <w:pStyle w:val="FootnoteText"/>
      </w:pPr>
      <w:r>
        <w:rPr>
          <w:rStyle w:val="FootnoteReference"/>
        </w:rPr>
        <w:footnoteRef/>
      </w:r>
      <w:r>
        <w:t xml:space="preserve"> </w:t>
      </w:r>
      <w:r>
        <w:tab/>
        <w:t xml:space="preserve">AER, </w:t>
      </w:r>
      <w:r w:rsidRPr="00FE51CA">
        <w:rPr>
          <w:rStyle w:val="Emphasis"/>
        </w:rPr>
        <w:t>Annual Benchmarking Report—Electricity distribution network service providers</w:t>
      </w:r>
      <w:r>
        <w:t xml:space="preserve">, </w:t>
      </w:r>
      <w:r w:rsidRPr="00FE51CA">
        <w:t>November 2015</w:t>
      </w:r>
      <w:r>
        <w:t>.</w:t>
      </w:r>
    </w:p>
  </w:footnote>
  <w:footnote w:id="19">
    <w:p w:rsidR="00175038" w:rsidRDefault="00175038" w:rsidP="0074164B">
      <w:pPr>
        <w:pStyle w:val="FootnoteText"/>
      </w:pPr>
      <w:r>
        <w:rPr>
          <w:rStyle w:val="FootnoteReference"/>
        </w:rPr>
        <w:footnoteRef/>
      </w:r>
      <w:r>
        <w:t xml:space="preserve"> </w:t>
      </w:r>
      <w:r>
        <w:tab/>
      </w:r>
      <w:r w:rsidRPr="00EE1228">
        <w:t xml:space="preserve">AER, Expenditure forecast assessment guideline, November 2013, pp. </w:t>
      </w:r>
      <w:r>
        <w:t>22</w:t>
      </w:r>
      <w:r w:rsidRPr="00EE1228">
        <w:t>.</w:t>
      </w:r>
    </w:p>
  </w:footnote>
  <w:footnote w:id="20">
    <w:p w:rsidR="00175038" w:rsidRDefault="00175038">
      <w:pPr>
        <w:pStyle w:val="FootnoteText"/>
      </w:pPr>
      <w:r>
        <w:rPr>
          <w:rStyle w:val="FootnoteReference"/>
        </w:rPr>
        <w:footnoteRef/>
      </w:r>
      <w:r>
        <w:t xml:space="preserve"> </w:t>
      </w:r>
      <w:r>
        <w:tab/>
      </w:r>
      <w:r w:rsidRPr="00B42B50">
        <w:t>AER, Expenditure forecast assessment guideline, November 2013, p</w:t>
      </w:r>
      <w:r>
        <w:t>p</w:t>
      </w:r>
      <w:r w:rsidRPr="00B42B50">
        <w:t xml:space="preserve">. </w:t>
      </w:r>
      <w:r>
        <w:t>23-</w:t>
      </w:r>
      <w:r w:rsidRPr="00B42B50">
        <w:t>24.</w:t>
      </w:r>
      <w:r>
        <w:t xml:space="preserve"> </w:t>
      </w:r>
    </w:p>
  </w:footnote>
  <w:footnote w:id="21">
    <w:p w:rsidR="00175038" w:rsidRDefault="00175038">
      <w:pPr>
        <w:pStyle w:val="FootnoteText"/>
      </w:pPr>
      <w:r>
        <w:rPr>
          <w:rStyle w:val="FootnoteReference"/>
        </w:rPr>
        <w:footnoteRef/>
      </w:r>
      <w:r>
        <w:t xml:space="preserve"> </w:t>
      </w:r>
      <w:r>
        <w:tab/>
      </w:r>
      <w:r w:rsidRPr="003E0A25">
        <w:t>DAE, Forecast growth in labour costs in NEM regions of Australia, 15 June 2015, p. 10</w:t>
      </w:r>
      <w:r>
        <w:t>.</w:t>
      </w:r>
    </w:p>
  </w:footnote>
  <w:footnote w:id="22">
    <w:p w:rsidR="00175038" w:rsidRDefault="00175038" w:rsidP="00CC2DF7">
      <w:pPr>
        <w:pStyle w:val="FootnoteText"/>
      </w:pPr>
      <w:r>
        <w:rPr>
          <w:rStyle w:val="FootnoteReference"/>
        </w:rPr>
        <w:footnoteRef/>
      </w:r>
      <w:r>
        <w:t xml:space="preserve"> </w:t>
      </w:r>
      <w:r>
        <w:tab/>
      </w:r>
      <w:r w:rsidRPr="00CC2DF7">
        <w:t>We applied Economic Insights' benchmark opex price weightings for labour and non-labour</w:t>
      </w:r>
      <w:r>
        <w:t>:</w:t>
      </w:r>
      <w:r w:rsidRPr="00CC2DF7">
        <w:t xml:space="preserve"> </w:t>
      </w:r>
      <w:r w:rsidRPr="00AF7B7F">
        <w:t>62 per cent weighting for labour and 38 per cent for non-labour</w:t>
      </w:r>
      <w:r>
        <w:t>.</w:t>
      </w:r>
      <w:r w:rsidRPr="00736770">
        <w:t xml:space="preserve"> </w:t>
      </w:r>
      <w:r>
        <w:t>For more detail refer to our determination for AusNet Services distribution in Victoria.</w:t>
      </w:r>
    </w:p>
  </w:footnote>
  <w:footnote w:id="23">
    <w:p w:rsidR="00175038" w:rsidRDefault="00175038" w:rsidP="00DA566F">
      <w:pPr>
        <w:pStyle w:val="FootnoteText"/>
      </w:pPr>
      <w:r>
        <w:rPr>
          <w:rStyle w:val="FootnoteReference"/>
        </w:rPr>
        <w:footnoteRef/>
      </w:r>
      <w:r>
        <w:t xml:space="preserve"> </w:t>
      </w:r>
      <w:r>
        <w:tab/>
        <w:t xml:space="preserve">TasNetworks, </w:t>
      </w:r>
      <w:r w:rsidRPr="001B4EFC">
        <w:rPr>
          <w:rStyle w:val="AERtextitalic"/>
          <w:i w:val="0"/>
        </w:rPr>
        <w:t>Regulatory proposal</w:t>
      </w:r>
      <w:r>
        <w:t>, January 2016, p. 102.</w:t>
      </w:r>
    </w:p>
  </w:footnote>
  <w:footnote w:id="24">
    <w:p w:rsidR="00175038" w:rsidRDefault="00175038" w:rsidP="003776FA">
      <w:pPr>
        <w:pStyle w:val="FootnoteText"/>
      </w:pPr>
      <w:r>
        <w:rPr>
          <w:rStyle w:val="FootnoteReference"/>
        </w:rPr>
        <w:footnoteRef/>
      </w:r>
      <w:r>
        <w:t xml:space="preserve"> </w:t>
      </w:r>
      <w:r>
        <w:tab/>
      </w:r>
      <w:r w:rsidRPr="004D54F8">
        <w:t xml:space="preserve">The weightings </w:t>
      </w:r>
      <w:r>
        <w:t xml:space="preserve">we </w:t>
      </w:r>
      <w:r w:rsidRPr="004D54F8">
        <w:t xml:space="preserve">applied to each measure of network output are the same as those </w:t>
      </w:r>
      <w:r>
        <w:t xml:space="preserve">we </w:t>
      </w:r>
      <w:r w:rsidRPr="004D54F8">
        <w:t xml:space="preserve">used in </w:t>
      </w:r>
      <w:r>
        <w:t>our</w:t>
      </w:r>
      <w:r w:rsidRPr="004D54F8">
        <w:t xml:space="preserve"> </w:t>
      </w:r>
      <w:r>
        <w:t>benchmarking a</w:t>
      </w:r>
      <w:r w:rsidRPr="004D54F8">
        <w:t>nalysis</w:t>
      </w:r>
      <w:r>
        <w:t xml:space="preserve">: customer numbers 67.6%; circuit length 10.7%; and ratcheted maximum demand 21.7%. </w:t>
      </w:r>
      <w:r w:rsidRPr="00C8541F">
        <w:t>Economic Insights discusse</w:t>
      </w:r>
      <w:r>
        <w:t>d</w:t>
      </w:r>
      <w:r w:rsidRPr="00C8541F">
        <w:t xml:space="preserve"> the process for selecting the output specification in its economic benchmarking assessment of opex for the NSW and ACT electricity distributors</w:t>
      </w:r>
      <w:r>
        <w:t xml:space="preserve">; </w:t>
      </w:r>
      <w:r w:rsidRPr="00C8541F">
        <w:t xml:space="preserve">Economic Insights, </w:t>
      </w:r>
      <w:r w:rsidRPr="00C8541F">
        <w:rPr>
          <w:rStyle w:val="AERtextitalic"/>
        </w:rPr>
        <w:t>Economic Benchmarking Assessment of Operating Expenditure for NSW and ACT Electricity DNSPs</w:t>
      </w:r>
      <w:r w:rsidRPr="00C8541F">
        <w:t>, 17</w:t>
      </w:r>
      <w:r>
        <w:t> </w:t>
      </w:r>
      <w:r w:rsidRPr="00C8541F">
        <w:t>November</w:t>
      </w:r>
      <w:r>
        <w:t xml:space="preserve"> 2014</w:t>
      </w:r>
      <w:r w:rsidRPr="00C8541F">
        <w:t>, pp. 9</w:t>
      </w:r>
      <w:r>
        <w:t>–</w:t>
      </w:r>
      <w:r w:rsidRPr="00C8541F">
        <w:t>10.</w:t>
      </w:r>
    </w:p>
  </w:footnote>
  <w:footnote w:id="25">
    <w:p w:rsidR="00175038" w:rsidRDefault="00175038">
      <w:pPr>
        <w:pStyle w:val="FootnoteText"/>
      </w:pPr>
      <w:r>
        <w:rPr>
          <w:rStyle w:val="FootnoteReference"/>
        </w:rPr>
        <w:footnoteRef/>
      </w:r>
      <w:r>
        <w:t xml:space="preserve"> </w:t>
      </w:r>
      <w:r>
        <w:tab/>
      </w:r>
      <w:r w:rsidRPr="00BC2D08">
        <w:t>in its reset RIN</w:t>
      </w:r>
      <w:r>
        <w:t xml:space="preserve"> (</w:t>
      </w:r>
      <w:r w:rsidRPr="006C2FCF">
        <w:t>TasNetworks - TN069 - Reset RIN Template - January 2016</w:t>
      </w:r>
      <w:r>
        <w:t>).</w:t>
      </w:r>
    </w:p>
  </w:footnote>
  <w:footnote w:id="26">
    <w:p w:rsidR="00175038" w:rsidRDefault="00175038" w:rsidP="00DA566F">
      <w:pPr>
        <w:pStyle w:val="FootnoteText"/>
      </w:pPr>
      <w:r>
        <w:rPr>
          <w:rStyle w:val="FootnoteReference"/>
        </w:rPr>
        <w:footnoteRef/>
      </w:r>
      <w:r>
        <w:t xml:space="preserve"> </w:t>
      </w:r>
      <w:r>
        <w:tab/>
        <w:t xml:space="preserve">TasNetworks, </w:t>
      </w:r>
      <w:r w:rsidRPr="001B4EFC">
        <w:rPr>
          <w:rStyle w:val="AERtextitalic"/>
          <w:i w:val="0"/>
        </w:rPr>
        <w:t>Regulatory proposal</w:t>
      </w:r>
      <w:r>
        <w:t>, January 2016, p. 102. TasNetworks also based its forecast output growth on Economic Insights’ operating expenditure cost function.</w:t>
      </w:r>
    </w:p>
  </w:footnote>
  <w:footnote w:id="27">
    <w:p w:rsidR="00175038" w:rsidRDefault="00175038" w:rsidP="000507E8">
      <w:pPr>
        <w:pStyle w:val="FootnoteText"/>
      </w:pPr>
      <w:r>
        <w:rPr>
          <w:rStyle w:val="FootnoteReference"/>
        </w:rPr>
        <w:footnoteRef/>
      </w:r>
      <w:r>
        <w:t xml:space="preserve"> </w:t>
      </w:r>
      <w:r>
        <w:tab/>
      </w:r>
      <w:r w:rsidRPr="00BC07C8">
        <w:t>Economic Insights, Economic benchmarking assessment of operating expenditure for NSW and ACT electricity DNSPs, 20 October 2014, p. 38.</w:t>
      </w:r>
    </w:p>
  </w:footnote>
  <w:footnote w:id="28">
    <w:p w:rsidR="00175038" w:rsidRDefault="00175038" w:rsidP="00682F45">
      <w:pPr>
        <w:pStyle w:val="FootnoteText"/>
      </w:pPr>
      <w:r>
        <w:rPr>
          <w:rStyle w:val="FootnoteReference"/>
        </w:rPr>
        <w:footnoteRef/>
      </w:r>
      <w:r>
        <w:t xml:space="preserve"> </w:t>
      </w:r>
      <w:r>
        <w:tab/>
        <w:t xml:space="preserve">AER, 2015 Annual benchmarking report (Distribution), November 2015, pp. 11-12. </w:t>
      </w:r>
    </w:p>
  </w:footnote>
  <w:footnote w:id="29">
    <w:p w:rsidR="00175038" w:rsidRDefault="00175038">
      <w:pPr>
        <w:pStyle w:val="FootnoteText"/>
      </w:pPr>
      <w:r>
        <w:rPr>
          <w:rStyle w:val="FootnoteReference"/>
        </w:rPr>
        <w:footnoteRef/>
      </w:r>
      <w:r>
        <w:t xml:space="preserve"> </w:t>
      </w:r>
      <w:r>
        <w:tab/>
        <w:t>AER, 2015 Annual benchmarking report (Distribution), November 2015, pp. 11-12.</w:t>
      </w:r>
    </w:p>
  </w:footnote>
  <w:footnote w:id="30">
    <w:p w:rsidR="00175038" w:rsidRDefault="00175038">
      <w:pPr>
        <w:pStyle w:val="FootnoteText"/>
      </w:pPr>
      <w:r>
        <w:rPr>
          <w:rStyle w:val="FootnoteReference"/>
        </w:rPr>
        <w:footnoteRef/>
      </w:r>
      <w:r>
        <w:t xml:space="preserve"> </w:t>
      </w:r>
      <w:r>
        <w:tab/>
      </w:r>
      <w:r w:rsidRPr="006C2FCF">
        <w:t xml:space="preserve">Economic Insights, </w:t>
      </w:r>
      <w:r w:rsidRPr="001D2EC0">
        <w:rPr>
          <w:rStyle w:val="Emphasis"/>
        </w:rPr>
        <w:t>Economic Benchmarking Assessment of Operating Expenditure for NSW and ACT Electricity DNSPs</w:t>
      </w:r>
      <w:r>
        <w:t xml:space="preserve">, 8 September 2014, p. 52;  </w:t>
      </w:r>
      <w:r w:rsidRPr="006C2FCF">
        <w:t xml:space="preserve">Economic Insights, </w:t>
      </w:r>
      <w:r w:rsidRPr="001D2EC0">
        <w:rPr>
          <w:rStyle w:val="Emphasis"/>
        </w:rPr>
        <w:t>Response to consultants' reports on economic benchmarking of electricity DNSPs</w:t>
      </w:r>
      <w:r>
        <w:t>, 22 April 2015, p. 71.</w:t>
      </w:r>
      <w:r w:rsidRPr="006C2FCF">
        <w:t xml:space="preserve"> We applied zero productivity growth in our recent distribution determinations for South Australia and Victoria: AER, SA Power Networks distribution determination 2015-20, preliminary decision, Attachment 7, p. 7-64; AER, Jemena Distribution determination 2016-20, Attachment 7, preliminary decision, p</w:t>
      </w:r>
      <w:r>
        <w:t>p</w:t>
      </w:r>
      <w:r w:rsidRPr="006C2FCF">
        <w:t>. 7-57.</w:t>
      </w:r>
    </w:p>
  </w:footnote>
  <w:footnote w:id="31">
    <w:p w:rsidR="00175038" w:rsidRDefault="00175038">
      <w:pPr>
        <w:pStyle w:val="FootnoteText"/>
      </w:pPr>
      <w:r>
        <w:rPr>
          <w:rStyle w:val="FootnoteReference"/>
        </w:rPr>
        <w:footnoteRef/>
      </w:r>
      <w:r>
        <w:t xml:space="preserve"> </w:t>
      </w:r>
      <w:r>
        <w:tab/>
      </w:r>
      <w:r w:rsidRPr="00552067">
        <w:t>AER, 2015 Annual benchmarking report (Transmission), November 2015, p.</w:t>
      </w:r>
      <w:r>
        <w:t xml:space="preserve"> 17</w:t>
      </w:r>
      <w:r w:rsidRPr="00552067">
        <w:t>; AER, 2015 Annual benchmarking report (Distribution), November 2015, p.</w:t>
      </w:r>
      <w:r>
        <w:t xml:space="preserve"> </w:t>
      </w:r>
      <w:r w:rsidRPr="00552067">
        <w:t>12.</w:t>
      </w:r>
    </w:p>
  </w:footnote>
  <w:footnote w:id="32">
    <w:p w:rsidR="00175038" w:rsidRDefault="00175038">
      <w:pPr>
        <w:pStyle w:val="FootnoteText"/>
      </w:pPr>
      <w:r>
        <w:rPr>
          <w:rStyle w:val="FootnoteReference"/>
        </w:rPr>
        <w:footnoteRef/>
      </w:r>
      <w:r>
        <w:t xml:space="preserve"> </w:t>
      </w:r>
      <w:r>
        <w:tab/>
        <w:t xml:space="preserve">TasNetworks, </w:t>
      </w:r>
      <w:r w:rsidRPr="001D2EC0">
        <w:rPr>
          <w:rStyle w:val="Emphasis"/>
        </w:rPr>
        <w:t>Tasmanian Distribution Regulatory Proposal—Regulatory Control Period 1 July 2017 to 30 June 2019, 29 January 2016</w:t>
      </w:r>
      <w:r>
        <w:t>, pp. 92, 94 (TasNetworks, Regulatory proposal, January 2016).</w:t>
      </w:r>
    </w:p>
  </w:footnote>
  <w:footnote w:id="33">
    <w:p w:rsidR="00175038" w:rsidRDefault="00175038">
      <w:pPr>
        <w:pStyle w:val="FootnoteText"/>
      </w:pPr>
      <w:r>
        <w:rPr>
          <w:rStyle w:val="FootnoteReference"/>
        </w:rPr>
        <w:footnoteRef/>
      </w:r>
      <w:r>
        <w:t xml:space="preserve"> </w:t>
      </w:r>
      <w:r>
        <w:tab/>
        <w:t>TasNetworks,</w:t>
      </w:r>
      <w:r w:rsidRPr="00FD0849">
        <w:t xml:space="preserve"> response to AER information request </w:t>
      </w:r>
      <w:r>
        <w:t xml:space="preserve">'TasNetworks </w:t>
      </w:r>
      <w:r w:rsidRPr="001E3259">
        <w:t>IR#016</w:t>
      </w:r>
      <w:r>
        <w:t>'</w:t>
      </w:r>
      <w:r w:rsidRPr="00FD0849">
        <w:t xml:space="preserve">, </w:t>
      </w:r>
      <w:r w:rsidRPr="001D2EC0">
        <w:rPr>
          <w:rStyle w:val="Emphasis"/>
        </w:rPr>
        <w:t>AER Information Request—TasNetworks response to questions raised by the AER</w:t>
      </w:r>
      <w:r w:rsidRPr="00FD0849">
        <w:t>, 25 August 2016, p.</w:t>
      </w:r>
      <w:r>
        <w:t xml:space="preserve"> </w:t>
      </w:r>
      <w:r w:rsidRPr="00FD0849">
        <w:t xml:space="preserve">6. </w:t>
      </w:r>
    </w:p>
  </w:footnote>
  <w:footnote w:id="34">
    <w:p w:rsidR="00175038" w:rsidRDefault="00175038" w:rsidP="001E3259">
      <w:pPr>
        <w:pStyle w:val="FootnoteText"/>
      </w:pPr>
      <w:r>
        <w:rPr>
          <w:rStyle w:val="FootnoteReference"/>
        </w:rPr>
        <w:footnoteRef/>
      </w:r>
      <w:r>
        <w:t xml:space="preserve"> </w:t>
      </w:r>
      <w:r>
        <w:tab/>
        <w:t xml:space="preserve">TasNetworks, response to AER information request 'TasNetworks </w:t>
      </w:r>
      <w:r w:rsidRPr="001E3259">
        <w:t>IR#016</w:t>
      </w:r>
      <w:r>
        <w:t xml:space="preserve">', </w:t>
      </w:r>
      <w:r w:rsidRPr="001D2EC0">
        <w:rPr>
          <w:rStyle w:val="Emphasis"/>
        </w:rPr>
        <w:t>AER Information Request—TasNetworks response to questions raised by the AER</w:t>
      </w:r>
      <w:r>
        <w:t xml:space="preserve">, 25 August 2016, p. 6.  </w:t>
      </w:r>
    </w:p>
  </w:footnote>
  <w:footnote w:id="35">
    <w:p w:rsidR="00175038" w:rsidRDefault="00175038" w:rsidP="00AF6439">
      <w:pPr>
        <w:pStyle w:val="FootnoteText"/>
      </w:pPr>
      <w:r>
        <w:rPr>
          <w:rStyle w:val="FootnoteReference"/>
        </w:rPr>
        <w:footnoteRef/>
      </w:r>
      <w:r>
        <w:t xml:space="preserve"> </w:t>
      </w:r>
      <w:r>
        <w:tab/>
        <w:t xml:space="preserve">TasNetworks, </w:t>
      </w:r>
      <w:r w:rsidRPr="001B4EFC">
        <w:rPr>
          <w:rStyle w:val="AERtextitalic"/>
          <w:i w:val="0"/>
        </w:rPr>
        <w:t>Regulatory proposal</w:t>
      </w:r>
      <w:r>
        <w:t>, January 2016, pp. 97-100.</w:t>
      </w:r>
    </w:p>
  </w:footnote>
  <w:footnote w:id="36">
    <w:p w:rsidR="00175038" w:rsidRDefault="00175038">
      <w:pPr>
        <w:pStyle w:val="FootnoteText"/>
      </w:pPr>
      <w:r>
        <w:rPr>
          <w:rStyle w:val="FootnoteReference"/>
        </w:rPr>
        <w:footnoteRef/>
      </w:r>
      <w:r>
        <w:t xml:space="preserve"> </w:t>
      </w:r>
      <w:r>
        <w:tab/>
      </w:r>
      <w:r w:rsidRPr="00B42B50">
        <w:t xml:space="preserve">AER, Expenditure forecast assessment guideline, November 2013, p. 24. </w:t>
      </w:r>
      <w:r>
        <w:t xml:space="preserve"> </w:t>
      </w:r>
    </w:p>
  </w:footnote>
  <w:footnote w:id="37">
    <w:p w:rsidR="00175038" w:rsidRDefault="00175038" w:rsidP="00AF6439">
      <w:pPr>
        <w:pStyle w:val="FootnoteText"/>
      </w:pPr>
      <w:r>
        <w:rPr>
          <w:rStyle w:val="FootnoteReference"/>
        </w:rPr>
        <w:footnoteRef/>
      </w:r>
      <w:r>
        <w:t xml:space="preserve"> </w:t>
      </w:r>
      <w:r>
        <w:tab/>
        <w:t xml:space="preserve">TasNetworks, </w:t>
      </w:r>
      <w:r w:rsidRPr="001B4EFC">
        <w:rPr>
          <w:rStyle w:val="AERtextitalic"/>
          <w:i w:val="0"/>
        </w:rPr>
        <w:t>Regulatory proposal</w:t>
      </w:r>
      <w:r>
        <w:t>, January 2016, p. 104.</w:t>
      </w:r>
    </w:p>
  </w:footnote>
  <w:footnote w:id="38">
    <w:p w:rsidR="00175038" w:rsidRDefault="00175038">
      <w:pPr>
        <w:pStyle w:val="FootnoteText"/>
      </w:pPr>
      <w:r>
        <w:rPr>
          <w:rStyle w:val="FootnoteReference"/>
        </w:rPr>
        <w:footnoteRef/>
      </w:r>
      <w:r>
        <w:t xml:space="preserve"> </w:t>
      </w:r>
      <w:r>
        <w:tab/>
        <w:t>The five years are 2010–11 to 2014–15. We will update this in the final decision.</w:t>
      </w:r>
    </w:p>
  </w:footnote>
  <w:footnote w:id="39">
    <w:p w:rsidR="00175038" w:rsidRDefault="00175038">
      <w:pPr>
        <w:pStyle w:val="FootnoteText"/>
      </w:pPr>
      <w:r>
        <w:rPr>
          <w:rStyle w:val="FootnoteReference"/>
        </w:rPr>
        <w:footnoteRef/>
      </w:r>
      <w:r>
        <w:t xml:space="preserve"> </w:t>
      </w:r>
      <w:r>
        <w:tab/>
      </w:r>
      <w:r w:rsidRPr="003043FF">
        <w:t xml:space="preserve">This is consistent with our </w:t>
      </w:r>
      <w:r w:rsidRPr="00E540D5">
        <w:rPr>
          <w:rStyle w:val="AERtextitalic"/>
        </w:rPr>
        <w:t>final framework and approach, for TasNetworks distribution</w:t>
      </w:r>
      <w:r>
        <w:t>, July 2015, p. 54.</w:t>
      </w:r>
    </w:p>
  </w:footnote>
  <w:footnote w:id="40">
    <w:p w:rsidR="00175038" w:rsidRDefault="00175038" w:rsidP="003E4D80">
      <w:pPr>
        <w:pStyle w:val="FootnoteText"/>
      </w:pPr>
      <w:r>
        <w:rPr>
          <w:rStyle w:val="FootnoteReference"/>
        </w:rPr>
        <w:footnoteRef/>
      </w:r>
      <w:r>
        <w:t xml:space="preserve"> </w:t>
      </w:r>
      <w:r>
        <w:tab/>
        <w:t xml:space="preserve">AER, </w:t>
      </w:r>
      <w:r w:rsidRPr="00E0363F">
        <w:rPr>
          <w:rStyle w:val="AERtextitalic"/>
        </w:rPr>
        <w:t>AusNet Services distribution determination 2017–22, final decision, Attachment 7</w:t>
      </w:r>
      <w:r>
        <w:t>, pp. 7-94 to 7-98.</w:t>
      </w:r>
    </w:p>
  </w:footnote>
  <w:footnote w:id="41">
    <w:p w:rsidR="00175038" w:rsidRDefault="00175038" w:rsidP="00AF12A8">
      <w:pPr>
        <w:pStyle w:val="FootnoteText"/>
      </w:pPr>
      <w:r>
        <w:rPr>
          <w:rStyle w:val="FootnoteReference"/>
        </w:rPr>
        <w:footnoteRef/>
      </w:r>
      <w:r>
        <w:t xml:space="preserve"> </w:t>
      </w:r>
      <w:r>
        <w:tab/>
      </w:r>
      <w:r w:rsidRPr="00935EBF">
        <w:t xml:space="preserve">Network businesses have the flexibility (and indeed the responsibility) to reallocate funds and resources during the regulatory period in response to changing circumstances, events and risks. The revenue allowance determined by </w:t>
      </w:r>
      <w:r>
        <w:t>us</w:t>
      </w:r>
      <w:r w:rsidRPr="00935EBF">
        <w:t xml:space="preserve"> does not set a business' actual operating budget. The businesses are not constrained to current plans and processes or by the assumptions and forecasts in either their proposals or the determinations we make. This may require a departure from a 'business as usual approach'.</w:t>
      </w:r>
    </w:p>
  </w:footnote>
  <w:footnote w:id="42">
    <w:p w:rsidR="00175038" w:rsidRDefault="00175038">
      <w:pPr>
        <w:pStyle w:val="FootnoteText"/>
      </w:pPr>
      <w:r>
        <w:rPr>
          <w:rStyle w:val="FootnoteReference"/>
        </w:rPr>
        <w:footnoteRef/>
      </w:r>
      <w:r>
        <w:t xml:space="preserve"> </w:t>
      </w:r>
      <w:r>
        <w:tab/>
      </w:r>
      <w:r w:rsidRPr="009F4716">
        <w:t>Tasmanian Electricity Code, July 2014</w:t>
      </w:r>
      <w:r>
        <w:t>,</w:t>
      </w:r>
      <w:r w:rsidRPr="009F4716">
        <w:t xml:space="preserve"> Chapter 8</w:t>
      </w:r>
      <w:r>
        <w:t>, pp. 8–4 to 8–6</w:t>
      </w:r>
      <w:r w:rsidRPr="009F4716">
        <w:t>.</w:t>
      </w:r>
    </w:p>
  </w:footnote>
  <w:footnote w:id="43">
    <w:p w:rsidR="00175038" w:rsidRDefault="00175038" w:rsidP="00A21C0B">
      <w:pPr>
        <w:pStyle w:val="FootnoteText"/>
      </w:pPr>
      <w:r>
        <w:rPr>
          <w:rStyle w:val="FootnoteReference"/>
        </w:rPr>
        <w:footnoteRef/>
      </w:r>
      <w:r>
        <w:t xml:space="preserve"> </w:t>
      </w:r>
      <w:r>
        <w:tab/>
      </w:r>
      <w:r w:rsidR="00B57244" w:rsidRPr="00B57244">
        <w:t xml:space="preserve">CCP (Jo De Silva), </w:t>
      </w:r>
      <w:r w:rsidR="00B57244" w:rsidRPr="00B57244">
        <w:rPr>
          <w:rStyle w:val="AERtextitalic"/>
        </w:rPr>
        <w:t xml:space="preserve">Submission to the Australian Energy Regulator on </w:t>
      </w:r>
      <w:r w:rsidR="00B57244">
        <w:rPr>
          <w:rStyle w:val="AERtextitalic"/>
        </w:rPr>
        <w:t>TasNetworks' Distribution</w:t>
      </w:r>
      <w:r w:rsidR="00B57244" w:rsidRPr="00B57244">
        <w:rPr>
          <w:rStyle w:val="AERtextitalic"/>
        </w:rPr>
        <w:t xml:space="preserve"> Regulatory Proposal 2017–</w:t>
      </w:r>
      <w:r w:rsidR="00B57244">
        <w:rPr>
          <w:rStyle w:val="AERtextitalic"/>
        </w:rPr>
        <w:t>19</w:t>
      </w:r>
      <w:r w:rsidR="00B57244" w:rsidRPr="00B57244">
        <w:t>, April 2016</w:t>
      </w:r>
      <w:r w:rsidR="00B57244">
        <w:t xml:space="preserve">, </w:t>
      </w:r>
      <w:r>
        <w:t xml:space="preserve">p. 21. Tasmanian Small Business Council, </w:t>
      </w:r>
      <w:r w:rsidRPr="001D2EC0">
        <w:rPr>
          <w:rStyle w:val="Emphasis"/>
        </w:rPr>
        <w:t>TasNetworks’ Electricity Distribution Regulatory Proposal</w:t>
      </w:r>
      <w:r w:rsidRPr="00A21C0B">
        <w:t>, 1 July 2017 to 30</w:t>
      </w:r>
      <w:r>
        <w:t xml:space="preserve"> </w:t>
      </w:r>
      <w:r w:rsidRPr="00A21C0B">
        <w:t>June 2019 and Tariff Structure Proposal</w:t>
      </w:r>
      <w:r>
        <w:t xml:space="preserve">, May 2016, pp. 7, 31. </w:t>
      </w:r>
    </w:p>
  </w:footnote>
  <w:footnote w:id="44">
    <w:p w:rsidR="00175038" w:rsidRDefault="00175038" w:rsidP="00CD68B2">
      <w:pPr>
        <w:pStyle w:val="FootnoteText"/>
      </w:pPr>
      <w:r>
        <w:rPr>
          <w:rStyle w:val="FootnoteReference"/>
        </w:rPr>
        <w:footnoteRef/>
      </w:r>
      <w:r>
        <w:t xml:space="preserve"> </w:t>
      </w:r>
      <w:r>
        <w:tab/>
      </w:r>
      <w:r w:rsidRPr="00724C0A">
        <w:t>AER, Annual Benchmarking Report Electricity distribution network s</w:t>
      </w:r>
      <w:r>
        <w:t>ervice providers, November 2015, p. 12.</w:t>
      </w:r>
    </w:p>
  </w:footnote>
  <w:footnote w:id="45">
    <w:p w:rsidR="00175038" w:rsidRDefault="00175038" w:rsidP="00CD68B2">
      <w:pPr>
        <w:pStyle w:val="FootnoteText"/>
      </w:pPr>
      <w:r>
        <w:rPr>
          <w:rStyle w:val="FootnoteReference"/>
        </w:rPr>
        <w:footnoteRef/>
      </w:r>
      <w:r>
        <w:t xml:space="preserve"> </w:t>
      </w:r>
      <w:r>
        <w:tab/>
      </w:r>
      <w:r w:rsidRPr="00EE1228">
        <w:t xml:space="preserve">AER, Expenditure forecast assessment guideline, November 2013, pp. </w:t>
      </w:r>
      <w:r>
        <w:t>22</w:t>
      </w:r>
      <w:r w:rsidRPr="00EE1228">
        <w:t>.</w:t>
      </w:r>
    </w:p>
  </w:footnote>
  <w:footnote w:id="46">
    <w:p w:rsidR="00175038" w:rsidRDefault="00175038">
      <w:pPr>
        <w:pStyle w:val="FootnoteText"/>
      </w:pPr>
      <w:r>
        <w:rPr>
          <w:rStyle w:val="FootnoteReference"/>
        </w:rPr>
        <w:footnoteRef/>
      </w:r>
      <w:r>
        <w:t xml:space="preserve"> </w:t>
      </w:r>
      <w:r>
        <w:tab/>
      </w:r>
      <w:r w:rsidRPr="00C35853">
        <w:t>Tasmanian Council of Social Service (TasCOSS)</w:t>
      </w:r>
      <w:r>
        <w:t xml:space="preserve">, </w:t>
      </w:r>
      <w:r w:rsidRPr="00784998">
        <w:rPr>
          <w:rStyle w:val="AERtextitalic"/>
        </w:rPr>
        <w:t>Submission on AER issues paper regarding TasNetworks' regulatory proposal</w:t>
      </w:r>
      <w:r>
        <w:t xml:space="preserve">, </w:t>
      </w:r>
      <w:r w:rsidRPr="00364F7E">
        <w:t>28 April 2016</w:t>
      </w:r>
      <w:r>
        <w:t>, p. 1</w:t>
      </w:r>
      <w:r w:rsidR="00B57244">
        <w:t xml:space="preserve">; CCP (David Headberry), </w:t>
      </w:r>
      <w:r w:rsidR="00B57244" w:rsidRPr="00F94244">
        <w:rPr>
          <w:rStyle w:val="AERtextitalic"/>
        </w:rPr>
        <w:t xml:space="preserve">Submission </w:t>
      </w:r>
      <w:r w:rsidR="00B57244">
        <w:rPr>
          <w:rStyle w:val="AERtextitalic"/>
        </w:rPr>
        <w:t>to the AER, Response to the proposal from Tasmania's electricity distribution network service provider (TasNetworks - TND) for a revenue reset for the 2017–19 regulatory period, 4 May 2016,</w:t>
      </w:r>
      <w:r w:rsidR="00B57244">
        <w:t xml:space="preserve"> p</w:t>
      </w:r>
      <w:r w:rsidRPr="006439B3">
        <w:rPr>
          <w:rStyle w:val="Emphasis"/>
        </w:rPr>
        <w:t>.</w:t>
      </w:r>
      <w:r>
        <w:rPr>
          <w:rStyle w:val="Emphasis"/>
        </w:rPr>
        <w:t xml:space="preserve"> </w:t>
      </w:r>
      <w:r w:rsidRPr="006439B3">
        <w:rPr>
          <w:rStyle w:val="Emphasis"/>
        </w:rPr>
        <w:t>20.</w:t>
      </w:r>
    </w:p>
  </w:footnote>
  <w:footnote w:id="47">
    <w:p w:rsidR="00175038" w:rsidRDefault="00175038" w:rsidP="0081081B">
      <w:pPr>
        <w:pStyle w:val="FootnoteText"/>
      </w:pPr>
      <w:r>
        <w:rPr>
          <w:rStyle w:val="FootnoteReference"/>
        </w:rPr>
        <w:footnoteRef/>
      </w:r>
      <w:r>
        <w:t xml:space="preserve"> </w:t>
      </w:r>
      <w:r>
        <w:tab/>
      </w:r>
      <w:r w:rsidRPr="00242C89">
        <w:t>NER, cl</w:t>
      </w:r>
      <w:r>
        <w:t>.</w:t>
      </w:r>
      <w:r w:rsidRPr="00242C89">
        <w:t xml:space="preserve"> 6.5.6(e).</w:t>
      </w:r>
    </w:p>
  </w:footnote>
  <w:footnote w:id="48">
    <w:p w:rsidR="00175038" w:rsidRDefault="00175038">
      <w:pPr>
        <w:pStyle w:val="FootnoteText"/>
      </w:pPr>
      <w:r>
        <w:rPr>
          <w:rStyle w:val="FootnoteReference"/>
        </w:rPr>
        <w:footnoteRef/>
      </w:r>
      <w:r>
        <w:t xml:space="preserve"> </w:t>
      </w:r>
      <w:r>
        <w:tab/>
      </w:r>
      <w:r w:rsidRPr="00302865">
        <w:t>AEMC, Final Rule Determination: National Electricity Amendment (Economic Regulation of Network Service Providers) Rule 2012, 29 November 2012, p. 113.</w:t>
      </w:r>
    </w:p>
  </w:footnote>
  <w:footnote w:id="49">
    <w:p w:rsidR="00175038" w:rsidRDefault="00175038" w:rsidP="00400E91">
      <w:pPr>
        <w:pStyle w:val="FootnoteText"/>
      </w:pPr>
      <w:r>
        <w:rPr>
          <w:rStyle w:val="FootnoteReference"/>
        </w:rPr>
        <w:footnoteRef/>
      </w:r>
      <w:r>
        <w:t xml:space="preserve"> </w:t>
      </w:r>
      <w:r>
        <w:tab/>
        <w:t xml:space="preserve">AER, </w:t>
      </w:r>
      <w:r w:rsidRPr="00400E91">
        <w:rPr>
          <w:rStyle w:val="Emphasis"/>
        </w:rPr>
        <w:t>Annual Benchmarking Report Electricity distribution network service providers</w:t>
      </w:r>
      <w:r>
        <w:t xml:space="preserve">, </w:t>
      </w:r>
      <w:r w:rsidRPr="00400E91">
        <w:t>November 2015</w:t>
      </w:r>
      <w:r>
        <w:t>.</w:t>
      </w:r>
    </w:p>
  </w:footnote>
  <w:footnote w:id="50">
    <w:p w:rsidR="00175038" w:rsidRDefault="00175038" w:rsidP="0081081B">
      <w:pPr>
        <w:pStyle w:val="FootnoteText"/>
      </w:pPr>
      <w:r>
        <w:rPr>
          <w:rStyle w:val="FootnoteReference"/>
        </w:rPr>
        <w:footnoteRef/>
      </w:r>
      <w:r>
        <w:t xml:space="preserve"> </w:t>
      </w:r>
      <w:r>
        <w:tab/>
        <w:t xml:space="preserve">AEMC, </w:t>
      </w:r>
      <w:r w:rsidRPr="003A12CC">
        <w:rPr>
          <w:rStyle w:val="AERtextitalic"/>
        </w:rPr>
        <w:t>Rule Determination</w:t>
      </w:r>
      <w:r>
        <w:t>, 29 November 2012, pp. 101, 115.</w:t>
      </w:r>
    </w:p>
  </w:footnote>
  <w:footnote w:id="51">
    <w:p w:rsidR="00175038" w:rsidRDefault="00175038">
      <w:pPr>
        <w:pStyle w:val="FootnoteText"/>
      </w:pPr>
      <w:r>
        <w:rPr>
          <w:rStyle w:val="FootnoteReference"/>
        </w:rPr>
        <w:footnoteRef/>
      </w:r>
      <w:r>
        <w:t xml:space="preserve"> </w:t>
      </w:r>
      <w:r>
        <w:tab/>
        <w:t xml:space="preserve">TasNetworks, </w:t>
      </w:r>
      <w:r w:rsidRPr="00631FA7">
        <w:rPr>
          <w:rStyle w:val="Emphasis"/>
        </w:rPr>
        <w:t>Regulatory Proposal</w:t>
      </w:r>
      <w:r w:rsidRPr="004A6BD6">
        <w:t>, 29 Jan 2016, pp</w:t>
      </w:r>
      <w:r>
        <w:t xml:space="preserve">. </w:t>
      </w:r>
      <w:r w:rsidRPr="004A6BD6">
        <w:t>63</w:t>
      </w:r>
      <w:r>
        <w:t xml:space="preserve">. </w:t>
      </w:r>
    </w:p>
  </w:footnote>
  <w:footnote w:id="52">
    <w:p w:rsidR="00175038" w:rsidRDefault="00175038">
      <w:pPr>
        <w:pStyle w:val="FootnoteText"/>
      </w:pPr>
      <w:r>
        <w:rPr>
          <w:rStyle w:val="FootnoteReference"/>
        </w:rPr>
        <w:footnoteRef/>
      </w:r>
      <w:r>
        <w:t xml:space="preserve"> </w:t>
      </w:r>
      <w:r>
        <w:tab/>
        <w:t xml:space="preserve">AER, </w:t>
      </w:r>
      <w:r w:rsidRPr="00400E91">
        <w:rPr>
          <w:rStyle w:val="Emphasis"/>
        </w:rPr>
        <w:t>Annual Benchmarking Report Electricity distribution network service providers</w:t>
      </w:r>
      <w:r>
        <w:t xml:space="preserve">, </w:t>
      </w:r>
      <w:r w:rsidRPr="00400E91">
        <w:t>November 2015</w:t>
      </w:r>
      <w:r>
        <w:t>.</w:t>
      </w:r>
    </w:p>
  </w:footnote>
  <w:footnote w:id="53">
    <w:p w:rsidR="00175038" w:rsidRDefault="00175038">
      <w:pPr>
        <w:pStyle w:val="FootnoteText"/>
      </w:pPr>
      <w:r>
        <w:rPr>
          <w:rStyle w:val="FootnoteReference"/>
        </w:rPr>
        <w:footnoteRef/>
      </w:r>
      <w:r>
        <w:t xml:space="preserve"> </w:t>
      </w:r>
      <w:r>
        <w:tab/>
        <w:t xml:space="preserve">AER, </w:t>
      </w:r>
      <w:r w:rsidRPr="00400E91">
        <w:rPr>
          <w:rStyle w:val="Emphasis"/>
        </w:rPr>
        <w:t>Annual Benchmarking Report Electricity distribution network service providers</w:t>
      </w:r>
      <w:r>
        <w:t xml:space="preserve">, </w:t>
      </w:r>
      <w:r w:rsidRPr="00400E91">
        <w:t>November 2015</w:t>
      </w:r>
      <w:r>
        <w:t>.</w:t>
      </w:r>
    </w:p>
  </w:footnote>
  <w:footnote w:id="54">
    <w:p w:rsidR="00175038" w:rsidRDefault="00175038">
      <w:pPr>
        <w:pStyle w:val="FootnoteText"/>
      </w:pPr>
      <w:r>
        <w:rPr>
          <w:rStyle w:val="FootnoteReference"/>
        </w:rPr>
        <w:footnoteRef/>
      </w:r>
      <w:r>
        <w:t xml:space="preserve"> </w:t>
      </w:r>
      <w:r>
        <w:tab/>
        <w:t xml:space="preserve">TasNetworks, </w:t>
      </w:r>
      <w:r w:rsidRPr="00631FA7">
        <w:rPr>
          <w:rStyle w:val="Emphasis"/>
        </w:rPr>
        <w:t>Regulatory Proposal</w:t>
      </w:r>
      <w:r w:rsidRPr="004A6BD6">
        <w:t xml:space="preserve">, 29 Jan 2016, </w:t>
      </w:r>
      <w:r>
        <w:t>p. 21.</w:t>
      </w:r>
    </w:p>
  </w:footnote>
  <w:footnote w:id="55">
    <w:p w:rsidR="00175038" w:rsidRDefault="00175038">
      <w:pPr>
        <w:pStyle w:val="FootnoteText"/>
      </w:pPr>
      <w:r>
        <w:rPr>
          <w:rStyle w:val="FootnoteReference"/>
        </w:rPr>
        <w:footnoteRef/>
      </w:r>
      <w:r>
        <w:t xml:space="preserve"> </w:t>
      </w:r>
      <w:r>
        <w:tab/>
        <w:t xml:space="preserve">TasNetworks, </w:t>
      </w:r>
      <w:r w:rsidRPr="00631FA7">
        <w:rPr>
          <w:rStyle w:val="Emphasis"/>
        </w:rPr>
        <w:t>Regulatory Proposal</w:t>
      </w:r>
      <w:r w:rsidRPr="004A6BD6">
        <w:t>, 29 Jan 2016, p</w:t>
      </w:r>
      <w:r>
        <w:t xml:space="preserve">. </w:t>
      </w:r>
      <w:r w:rsidRPr="004A6BD6">
        <w:t>63</w:t>
      </w:r>
      <w:r>
        <w:t>.</w:t>
      </w:r>
    </w:p>
  </w:footnote>
  <w:footnote w:id="56">
    <w:p w:rsidR="00175038" w:rsidRDefault="00175038" w:rsidP="005068A0">
      <w:pPr>
        <w:pStyle w:val="FootnoteText"/>
      </w:pPr>
      <w:r>
        <w:rPr>
          <w:rStyle w:val="FootnoteReference"/>
        </w:rPr>
        <w:footnoteRef/>
      </w:r>
      <w:r>
        <w:t xml:space="preserve"> </w:t>
      </w:r>
      <w:r>
        <w:tab/>
        <w:t xml:space="preserve">TasNetworks, </w:t>
      </w:r>
      <w:r w:rsidRPr="00631FA7">
        <w:rPr>
          <w:rStyle w:val="Emphasis"/>
        </w:rPr>
        <w:t>Regulatory Proposal</w:t>
      </w:r>
      <w:r w:rsidRPr="004A6BD6">
        <w:t>, 29 Jan 2016, p</w:t>
      </w:r>
      <w:r>
        <w:t>.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AE" w:rsidRDefault="00805A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AE" w:rsidRDefault="00805A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AE" w:rsidRDefault="00805A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038" w:rsidRDefault="001750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A6D491DE"/>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862"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C6G5r2rZvd1XsbeRDC2BlPscCp8K/1IlK8j40CTd6EA=" w:saltValue="RjlLbOymAsovc+a1ELt3LA==" w:algorithmName="SHA-256"/>
  <w:defaultTabStop w:val="340"/>
  <w:characterSpacingControl w:val="doNotCompress"/>
  <w:hdrShapeDefaults>
    <o:shapedefaults v:ext="edit" spidmax="432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draft decision tasnetworks distribution determination - attachment 7 - operating expenditure - september 2016 (D2015-00171105).docx"/>
  </w:docVars>
  <w:rsids>
    <w:rsidRoot w:val="00961A4A"/>
    <w:rsid w:val="000036C1"/>
    <w:rsid w:val="000051DC"/>
    <w:rsid w:val="00005A26"/>
    <w:rsid w:val="0000658F"/>
    <w:rsid w:val="0000789A"/>
    <w:rsid w:val="0001507B"/>
    <w:rsid w:val="00020016"/>
    <w:rsid w:val="00021202"/>
    <w:rsid w:val="00021C2B"/>
    <w:rsid w:val="0002498B"/>
    <w:rsid w:val="0002517F"/>
    <w:rsid w:val="00025788"/>
    <w:rsid w:val="00026187"/>
    <w:rsid w:val="000266FC"/>
    <w:rsid w:val="000273B3"/>
    <w:rsid w:val="00027E2D"/>
    <w:rsid w:val="0003094D"/>
    <w:rsid w:val="000338E8"/>
    <w:rsid w:val="000339B5"/>
    <w:rsid w:val="00035665"/>
    <w:rsid w:val="0003578C"/>
    <w:rsid w:val="00035B35"/>
    <w:rsid w:val="00044906"/>
    <w:rsid w:val="00044DA3"/>
    <w:rsid w:val="000474DF"/>
    <w:rsid w:val="00047765"/>
    <w:rsid w:val="000507E8"/>
    <w:rsid w:val="00055555"/>
    <w:rsid w:val="00055A67"/>
    <w:rsid w:val="00056E76"/>
    <w:rsid w:val="00060EA0"/>
    <w:rsid w:val="00063247"/>
    <w:rsid w:val="0006624E"/>
    <w:rsid w:val="00070F9F"/>
    <w:rsid w:val="0007137B"/>
    <w:rsid w:val="00071E1E"/>
    <w:rsid w:val="000722AC"/>
    <w:rsid w:val="00073B74"/>
    <w:rsid w:val="00073FF9"/>
    <w:rsid w:val="00076416"/>
    <w:rsid w:val="00076826"/>
    <w:rsid w:val="000805A8"/>
    <w:rsid w:val="0008190B"/>
    <w:rsid w:val="0008224C"/>
    <w:rsid w:val="0008305F"/>
    <w:rsid w:val="000836D9"/>
    <w:rsid w:val="00085543"/>
    <w:rsid w:val="00085663"/>
    <w:rsid w:val="000858E9"/>
    <w:rsid w:val="00085EBF"/>
    <w:rsid w:val="00090124"/>
    <w:rsid w:val="00091B15"/>
    <w:rsid w:val="00093610"/>
    <w:rsid w:val="00095186"/>
    <w:rsid w:val="00095A34"/>
    <w:rsid w:val="000A0E71"/>
    <w:rsid w:val="000A1C0C"/>
    <w:rsid w:val="000A2895"/>
    <w:rsid w:val="000A3020"/>
    <w:rsid w:val="000A4840"/>
    <w:rsid w:val="000A62C1"/>
    <w:rsid w:val="000A6A79"/>
    <w:rsid w:val="000A6BC5"/>
    <w:rsid w:val="000A6C7B"/>
    <w:rsid w:val="000A6F34"/>
    <w:rsid w:val="000B0A7B"/>
    <w:rsid w:val="000B1173"/>
    <w:rsid w:val="000B4D92"/>
    <w:rsid w:val="000B5827"/>
    <w:rsid w:val="000B7037"/>
    <w:rsid w:val="000C02D1"/>
    <w:rsid w:val="000C0C63"/>
    <w:rsid w:val="000C2B40"/>
    <w:rsid w:val="000C3A19"/>
    <w:rsid w:val="000C4C18"/>
    <w:rsid w:val="000C5255"/>
    <w:rsid w:val="000D07A7"/>
    <w:rsid w:val="000D122C"/>
    <w:rsid w:val="000D3959"/>
    <w:rsid w:val="000D75B0"/>
    <w:rsid w:val="000D7CA6"/>
    <w:rsid w:val="000E1819"/>
    <w:rsid w:val="000E4821"/>
    <w:rsid w:val="000E4AA9"/>
    <w:rsid w:val="000E6C72"/>
    <w:rsid w:val="000E7F39"/>
    <w:rsid w:val="000F2FBA"/>
    <w:rsid w:val="000F78D1"/>
    <w:rsid w:val="00100EA2"/>
    <w:rsid w:val="00101AA1"/>
    <w:rsid w:val="0010201F"/>
    <w:rsid w:val="00102338"/>
    <w:rsid w:val="00104566"/>
    <w:rsid w:val="00104FF6"/>
    <w:rsid w:val="00106A15"/>
    <w:rsid w:val="00107601"/>
    <w:rsid w:val="001114AA"/>
    <w:rsid w:val="00115743"/>
    <w:rsid w:val="00115F8C"/>
    <w:rsid w:val="00116EB2"/>
    <w:rsid w:val="0012132C"/>
    <w:rsid w:val="0012372E"/>
    <w:rsid w:val="00124609"/>
    <w:rsid w:val="00124DAF"/>
    <w:rsid w:val="00126A4C"/>
    <w:rsid w:val="001270E3"/>
    <w:rsid w:val="0013230D"/>
    <w:rsid w:val="00132D43"/>
    <w:rsid w:val="00133366"/>
    <w:rsid w:val="00133484"/>
    <w:rsid w:val="00133F47"/>
    <w:rsid w:val="00134029"/>
    <w:rsid w:val="00141250"/>
    <w:rsid w:val="0014188F"/>
    <w:rsid w:val="00142C2D"/>
    <w:rsid w:val="00144C96"/>
    <w:rsid w:val="0014573B"/>
    <w:rsid w:val="001463A3"/>
    <w:rsid w:val="0014788D"/>
    <w:rsid w:val="0015073A"/>
    <w:rsid w:val="00151E98"/>
    <w:rsid w:val="00152E48"/>
    <w:rsid w:val="001545A0"/>
    <w:rsid w:val="001573E4"/>
    <w:rsid w:val="00160756"/>
    <w:rsid w:val="00161DC8"/>
    <w:rsid w:val="00164DE2"/>
    <w:rsid w:val="00166760"/>
    <w:rsid w:val="00166855"/>
    <w:rsid w:val="0017232E"/>
    <w:rsid w:val="00174102"/>
    <w:rsid w:val="00175038"/>
    <w:rsid w:val="001754EE"/>
    <w:rsid w:val="001771A0"/>
    <w:rsid w:val="00180157"/>
    <w:rsid w:val="001809BC"/>
    <w:rsid w:val="00180E97"/>
    <w:rsid w:val="001820B4"/>
    <w:rsid w:val="00184351"/>
    <w:rsid w:val="00184AC8"/>
    <w:rsid w:val="00185BA5"/>
    <w:rsid w:val="00185CB9"/>
    <w:rsid w:val="00185DBE"/>
    <w:rsid w:val="00186ADC"/>
    <w:rsid w:val="00186F77"/>
    <w:rsid w:val="001877A4"/>
    <w:rsid w:val="0019118F"/>
    <w:rsid w:val="00192541"/>
    <w:rsid w:val="001926A4"/>
    <w:rsid w:val="00192AD5"/>
    <w:rsid w:val="00194597"/>
    <w:rsid w:val="00194E00"/>
    <w:rsid w:val="00196A8A"/>
    <w:rsid w:val="0019745E"/>
    <w:rsid w:val="00197B16"/>
    <w:rsid w:val="001A530D"/>
    <w:rsid w:val="001A5FB3"/>
    <w:rsid w:val="001A7155"/>
    <w:rsid w:val="001A7283"/>
    <w:rsid w:val="001B000A"/>
    <w:rsid w:val="001B45A0"/>
    <w:rsid w:val="001B4EFC"/>
    <w:rsid w:val="001B680E"/>
    <w:rsid w:val="001C3994"/>
    <w:rsid w:val="001C527D"/>
    <w:rsid w:val="001D055E"/>
    <w:rsid w:val="001D2EC0"/>
    <w:rsid w:val="001E11EE"/>
    <w:rsid w:val="001E1259"/>
    <w:rsid w:val="001E1B3F"/>
    <w:rsid w:val="001E3259"/>
    <w:rsid w:val="001E3599"/>
    <w:rsid w:val="001E6CCA"/>
    <w:rsid w:val="001E7161"/>
    <w:rsid w:val="001F05A4"/>
    <w:rsid w:val="001F3D4A"/>
    <w:rsid w:val="001F3D7D"/>
    <w:rsid w:val="001F492E"/>
    <w:rsid w:val="001F64EF"/>
    <w:rsid w:val="001F6DA3"/>
    <w:rsid w:val="002008B5"/>
    <w:rsid w:val="002010BC"/>
    <w:rsid w:val="002016E7"/>
    <w:rsid w:val="00202E03"/>
    <w:rsid w:val="002033B9"/>
    <w:rsid w:val="002043D0"/>
    <w:rsid w:val="0020492C"/>
    <w:rsid w:val="00204EC9"/>
    <w:rsid w:val="00206505"/>
    <w:rsid w:val="0020743F"/>
    <w:rsid w:val="00207BCA"/>
    <w:rsid w:val="00212979"/>
    <w:rsid w:val="00216C93"/>
    <w:rsid w:val="00223051"/>
    <w:rsid w:val="00224DB9"/>
    <w:rsid w:val="0022569A"/>
    <w:rsid w:val="0022743D"/>
    <w:rsid w:val="0023005C"/>
    <w:rsid w:val="00231012"/>
    <w:rsid w:val="00233775"/>
    <w:rsid w:val="0023414B"/>
    <w:rsid w:val="00242204"/>
    <w:rsid w:val="00243635"/>
    <w:rsid w:val="00247079"/>
    <w:rsid w:val="0025005E"/>
    <w:rsid w:val="00251745"/>
    <w:rsid w:val="00253C87"/>
    <w:rsid w:val="00254EB5"/>
    <w:rsid w:val="002552BA"/>
    <w:rsid w:val="00256A6F"/>
    <w:rsid w:val="00260016"/>
    <w:rsid w:val="00263AC0"/>
    <w:rsid w:val="00264264"/>
    <w:rsid w:val="0026689B"/>
    <w:rsid w:val="0026772D"/>
    <w:rsid w:val="00271F0B"/>
    <w:rsid w:val="00272D5D"/>
    <w:rsid w:val="002730B2"/>
    <w:rsid w:val="00273CE9"/>
    <w:rsid w:val="00274C7E"/>
    <w:rsid w:val="002777CF"/>
    <w:rsid w:val="00277DF9"/>
    <w:rsid w:val="002810F2"/>
    <w:rsid w:val="002839A2"/>
    <w:rsid w:val="00284BB2"/>
    <w:rsid w:val="00285AC1"/>
    <w:rsid w:val="00286874"/>
    <w:rsid w:val="00290A1D"/>
    <w:rsid w:val="00290C63"/>
    <w:rsid w:val="00290EA7"/>
    <w:rsid w:val="00291A99"/>
    <w:rsid w:val="002924E9"/>
    <w:rsid w:val="00293B6D"/>
    <w:rsid w:val="00294B08"/>
    <w:rsid w:val="0029518C"/>
    <w:rsid w:val="002963DD"/>
    <w:rsid w:val="0029657A"/>
    <w:rsid w:val="00296B65"/>
    <w:rsid w:val="002A0CBA"/>
    <w:rsid w:val="002A32BB"/>
    <w:rsid w:val="002A5633"/>
    <w:rsid w:val="002A6D7C"/>
    <w:rsid w:val="002A7DEF"/>
    <w:rsid w:val="002B0696"/>
    <w:rsid w:val="002B1931"/>
    <w:rsid w:val="002B1FC3"/>
    <w:rsid w:val="002C0222"/>
    <w:rsid w:val="002C1499"/>
    <w:rsid w:val="002C233C"/>
    <w:rsid w:val="002C3EE7"/>
    <w:rsid w:val="002C5143"/>
    <w:rsid w:val="002C517B"/>
    <w:rsid w:val="002D3160"/>
    <w:rsid w:val="002D3421"/>
    <w:rsid w:val="002D3509"/>
    <w:rsid w:val="002D411A"/>
    <w:rsid w:val="002D52EE"/>
    <w:rsid w:val="002D5457"/>
    <w:rsid w:val="002D72E8"/>
    <w:rsid w:val="002D79AD"/>
    <w:rsid w:val="002E268F"/>
    <w:rsid w:val="002E78DD"/>
    <w:rsid w:val="002E7B22"/>
    <w:rsid w:val="002F01B7"/>
    <w:rsid w:val="002F0AEE"/>
    <w:rsid w:val="002F0D2B"/>
    <w:rsid w:val="002F12EC"/>
    <w:rsid w:val="002F3CCE"/>
    <w:rsid w:val="002F7986"/>
    <w:rsid w:val="0030044D"/>
    <w:rsid w:val="00301482"/>
    <w:rsid w:val="00301B40"/>
    <w:rsid w:val="00301C82"/>
    <w:rsid w:val="00302865"/>
    <w:rsid w:val="003029EE"/>
    <w:rsid w:val="003043FF"/>
    <w:rsid w:val="00304D38"/>
    <w:rsid w:val="00305CC8"/>
    <w:rsid w:val="00307F6D"/>
    <w:rsid w:val="00310123"/>
    <w:rsid w:val="00311AE7"/>
    <w:rsid w:val="00314D83"/>
    <w:rsid w:val="0031571F"/>
    <w:rsid w:val="0031708E"/>
    <w:rsid w:val="003177A2"/>
    <w:rsid w:val="00317E02"/>
    <w:rsid w:val="003216FD"/>
    <w:rsid w:val="00322BA6"/>
    <w:rsid w:val="0032553B"/>
    <w:rsid w:val="003271B5"/>
    <w:rsid w:val="00327A1E"/>
    <w:rsid w:val="00327E28"/>
    <w:rsid w:val="00331264"/>
    <w:rsid w:val="00331B8F"/>
    <w:rsid w:val="00334C8D"/>
    <w:rsid w:val="0033535C"/>
    <w:rsid w:val="0033689C"/>
    <w:rsid w:val="003378BD"/>
    <w:rsid w:val="00340144"/>
    <w:rsid w:val="003424EA"/>
    <w:rsid w:val="00342585"/>
    <w:rsid w:val="00342C2F"/>
    <w:rsid w:val="003436EB"/>
    <w:rsid w:val="00343A18"/>
    <w:rsid w:val="003455A3"/>
    <w:rsid w:val="00345744"/>
    <w:rsid w:val="0034751F"/>
    <w:rsid w:val="003503ED"/>
    <w:rsid w:val="003518B3"/>
    <w:rsid w:val="00353E79"/>
    <w:rsid w:val="00357D5D"/>
    <w:rsid w:val="003627CB"/>
    <w:rsid w:val="00364BC6"/>
    <w:rsid w:val="00364EA0"/>
    <w:rsid w:val="00364F7E"/>
    <w:rsid w:val="003667BD"/>
    <w:rsid w:val="00366981"/>
    <w:rsid w:val="003672D9"/>
    <w:rsid w:val="00370678"/>
    <w:rsid w:val="0037165D"/>
    <w:rsid w:val="0037214E"/>
    <w:rsid w:val="00372C85"/>
    <w:rsid w:val="00373845"/>
    <w:rsid w:val="003744E3"/>
    <w:rsid w:val="00375F71"/>
    <w:rsid w:val="00376219"/>
    <w:rsid w:val="0037663E"/>
    <w:rsid w:val="0037699E"/>
    <w:rsid w:val="003776FA"/>
    <w:rsid w:val="00377A29"/>
    <w:rsid w:val="00377C69"/>
    <w:rsid w:val="003834BA"/>
    <w:rsid w:val="00383ED3"/>
    <w:rsid w:val="0038415D"/>
    <w:rsid w:val="0038461C"/>
    <w:rsid w:val="003846F1"/>
    <w:rsid w:val="00386DE9"/>
    <w:rsid w:val="00390E6A"/>
    <w:rsid w:val="00393ABE"/>
    <w:rsid w:val="00393FD4"/>
    <w:rsid w:val="003945F5"/>
    <w:rsid w:val="00394BAE"/>
    <w:rsid w:val="00395DB6"/>
    <w:rsid w:val="00396414"/>
    <w:rsid w:val="00397398"/>
    <w:rsid w:val="003A371A"/>
    <w:rsid w:val="003A59CD"/>
    <w:rsid w:val="003A6AFA"/>
    <w:rsid w:val="003A6B00"/>
    <w:rsid w:val="003B14FB"/>
    <w:rsid w:val="003B2F33"/>
    <w:rsid w:val="003B30B2"/>
    <w:rsid w:val="003B484F"/>
    <w:rsid w:val="003B504B"/>
    <w:rsid w:val="003B5179"/>
    <w:rsid w:val="003B685C"/>
    <w:rsid w:val="003B71F7"/>
    <w:rsid w:val="003B7FBA"/>
    <w:rsid w:val="003C0D82"/>
    <w:rsid w:val="003C460A"/>
    <w:rsid w:val="003C49F5"/>
    <w:rsid w:val="003C6537"/>
    <w:rsid w:val="003C6A13"/>
    <w:rsid w:val="003C764A"/>
    <w:rsid w:val="003C78BA"/>
    <w:rsid w:val="003D0477"/>
    <w:rsid w:val="003D118B"/>
    <w:rsid w:val="003D41F1"/>
    <w:rsid w:val="003D42AB"/>
    <w:rsid w:val="003D5B94"/>
    <w:rsid w:val="003E0A25"/>
    <w:rsid w:val="003E0D3A"/>
    <w:rsid w:val="003E114C"/>
    <w:rsid w:val="003E2E17"/>
    <w:rsid w:val="003E3AAB"/>
    <w:rsid w:val="003E3CEC"/>
    <w:rsid w:val="003E4D80"/>
    <w:rsid w:val="003E7FE9"/>
    <w:rsid w:val="003F07D4"/>
    <w:rsid w:val="003F174D"/>
    <w:rsid w:val="003F2329"/>
    <w:rsid w:val="003F358A"/>
    <w:rsid w:val="003F5973"/>
    <w:rsid w:val="00400E91"/>
    <w:rsid w:val="00400FD2"/>
    <w:rsid w:val="00403711"/>
    <w:rsid w:val="00404C52"/>
    <w:rsid w:val="00405BCD"/>
    <w:rsid w:val="00406ED7"/>
    <w:rsid w:val="004073D8"/>
    <w:rsid w:val="0041024F"/>
    <w:rsid w:val="004116B3"/>
    <w:rsid w:val="00413B64"/>
    <w:rsid w:val="004156D5"/>
    <w:rsid w:val="00415BA9"/>
    <w:rsid w:val="00415F31"/>
    <w:rsid w:val="0041691D"/>
    <w:rsid w:val="00417ED8"/>
    <w:rsid w:val="0042000C"/>
    <w:rsid w:val="004202F9"/>
    <w:rsid w:val="0042090E"/>
    <w:rsid w:val="00421F27"/>
    <w:rsid w:val="004238D8"/>
    <w:rsid w:val="00423A77"/>
    <w:rsid w:val="00423D4C"/>
    <w:rsid w:val="00423FEE"/>
    <w:rsid w:val="004324F4"/>
    <w:rsid w:val="00434544"/>
    <w:rsid w:val="00441F4E"/>
    <w:rsid w:val="0044231D"/>
    <w:rsid w:val="0044509E"/>
    <w:rsid w:val="004452A2"/>
    <w:rsid w:val="00445D43"/>
    <w:rsid w:val="00446CD2"/>
    <w:rsid w:val="00451A41"/>
    <w:rsid w:val="004523B2"/>
    <w:rsid w:val="00452984"/>
    <w:rsid w:val="00454739"/>
    <w:rsid w:val="00454A4C"/>
    <w:rsid w:val="0045777E"/>
    <w:rsid w:val="004604DC"/>
    <w:rsid w:val="00461FBC"/>
    <w:rsid w:val="00462052"/>
    <w:rsid w:val="004634AD"/>
    <w:rsid w:val="00463733"/>
    <w:rsid w:val="00464272"/>
    <w:rsid w:val="00465258"/>
    <w:rsid w:val="00471383"/>
    <w:rsid w:val="0047159D"/>
    <w:rsid w:val="00471BC6"/>
    <w:rsid w:val="00472A8D"/>
    <w:rsid w:val="00476221"/>
    <w:rsid w:val="004766F5"/>
    <w:rsid w:val="0048056B"/>
    <w:rsid w:val="00480B4B"/>
    <w:rsid w:val="00480F7F"/>
    <w:rsid w:val="004830EF"/>
    <w:rsid w:val="004838D8"/>
    <w:rsid w:val="00485DC4"/>
    <w:rsid w:val="00494D04"/>
    <w:rsid w:val="00494F9A"/>
    <w:rsid w:val="004960A5"/>
    <w:rsid w:val="00497F18"/>
    <w:rsid w:val="004A40BA"/>
    <w:rsid w:val="004A43D1"/>
    <w:rsid w:val="004A492B"/>
    <w:rsid w:val="004A4ABC"/>
    <w:rsid w:val="004A6BD6"/>
    <w:rsid w:val="004A6E7D"/>
    <w:rsid w:val="004A7116"/>
    <w:rsid w:val="004B005E"/>
    <w:rsid w:val="004B10E5"/>
    <w:rsid w:val="004B1E64"/>
    <w:rsid w:val="004B4412"/>
    <w:rsid w:val="004B6269"/>
    <w:rsid w:val="004B77AB"/>
    <w:rsid w:val="004C348C"/>
    <w:rsid w:val="004C4068"/>
    <w:rsid w:val="004C462E"/>
    <w:rsid w:val="004C6CA3"/>
    <w:rsid w:val="004C7F5E"/>
    <w:rsid w:val="004D343C"/>
    <w:rsid w:val="004D372A"/>
    <w:rsid w:val="004D51B3"/>
    <w:rsid w:val="004D55BA"/>
    <w:rsid w:val="004D6228"/>
    <w:rsid w:val="004D6F9A"/>
    <w:rsid w:val="004D720C"/>
    <w:rsid w:val="004E0FA7"/>
    <w:rsid w:val="004E22EC"/>
    <w:rsid w:val="004E3D36"/>
    <w:rsid w:val="004E4669"/>
    <w:rsid w:val="004E4F57"/>
    <w:rsid w:val="004E7AE7"/>
    <w:rsid w:val="004F0BFA"/>
    <w:rsid w:val="004F1023"/>
    <w:rsid w:val="004F13DA"/>
    <w:rsid w:val="004F3A73"/>
    <w:rsid w:val="004F462D"/>
    <w:rsid w:val="004F4D69"/>
    <w:rsid w:val="004F6883"/>
    <w:rsid w:val="004F6A0E"/>
    <w:rsid w:val="004F6BB3"/>
    <w:rsid w:val="005009CD"/>
    <w:rsid w:val="00500A39"/>
    <w:rsid w:val="005030B1"/>
    <w:rsid w:val="00504E5F"/>
    <w:rsid w:val="00505377"/>
    <w:rsid w:val="005068A0"/>
    <w:rsid w:val="005069AF"/>
    <w:rsid w:val="0050774F"/>
    <w:rsid w:val="005131A5"/>
    <w:rsid w:val="0051337E"/>
    <w:rsid w:val="00513FA7"/>
    <w:rsid w:val="0051768F"/>
    <w:rsid w:val="00517FD4"/>
    <w:rsid w:val="00522B6F"/>
    <w:rsid w:val="00522DC2"/>
    <w:rsid w:val="0052324B"/>
    <w:rsid w:val="005269FB"/>
    <w:rsid w:val="00530128"/>
    <w:rsid w:val="0053026C"/>
    <w:rsid w:val="00532467"/>
    <w:rsid w:val="00532CFC"/>
    <w:rsid w:val="005332A9"/>
    <w:rsid w:val="005356D5"/>
    <w:rsid w:val="005359F9"/>
    <w:rsid w:val="0053603C"/>
    <w:rsid w:val="00536DA3"/>
    <w:rsid w:val="0053771F"/>
    <w:rsid w:val="00537871"/>
    <w:rsid w:val="00542FE9"/>
    <w:rsid w:val="00544598"/>
    <w:rsid w:val="00544C8D"/>
    <w:rsid w:val="00544DFD"/>
    <w:rsid w:val="00547B78"/>
    <w:rsid w:val="00550C13"/>
    <w:rsid w:val="0055115B"/>
    <w:rsid w:val="00552067"/>
    <w:rsid w:val="00556B1E"/>
    <w:rsid w:val="00556F8B"/>
    <w:rsid w:val="00557C4A"/>
    <w:rsid w:val="00561F8C"/>
    <w:rsid w:val="00563FAD"/>
    <w:rsid w:val="00564093"/>
    <w:rsid w:val="00564A4D"/>
    <w:rsid w:val="0056598C"/>
    <w:rsid w:val="00566397"/>
    <w:rsid w:val="00566E0B"/>
    <w:rsid w:val="00567991"/>
    <w:rsid w:val="00567BA5"/>
    <w:rsid w:val="00571B35"/>
    <w:rsid w:val="00571B43"/>
    <w:rsid w:val="00571D57"/>
    <w:rsid w:val="00573A3B"/>
    <w:rsid w:val="00575880"/>
    <w:rsid w:val="00577716"/>
    <w:rsid w:val="005777BD"/>
    <w:rsid w:val="00577A09"/>
    <w:rsid w:val="005801CC"/>
    <w:rsid w:val="00580CD6"/>
    <w:rsid w:val="005829C2"/>
    <w:rsid w:val="00583710"/>
    <w:rsid w:val="00584D8F"/>
    <w:rsid w:val="005871E5"/>
    <w:rsid w:val="00587A18"/>
    <w:rsid w:val="00587ADE"/>
    <w:rsid w:val="005908BA"/>
    <w:rsid w:val="00592F02"/>
    <w:rsid w:val="005974EC"/>
    <w:rsid w:val="005A059B"/>
    <w:rsid w:val="005A0BEC"/>
    <w:rsid w:val="005A1DC2"/>
    <w:rsid w:val="005A404D"/>
    <w:rsid w:val="005A419C"/>
    <w:rsid w:val="005A6F4B"/>
    <w:rsid w:val="005B18D8"/>
    <w:rsid w:val="005B1E3C"/>
    <w:rsid w:val="005B2539"/>
    <w:rsid w:val="005B6518"/>
    <w:rsid w:val="005B704A"/>
    <w:rsid w:val="005B72D7"/>
    <w:rsid w:val="005C006B"/>
    <w:rsid w:val="005C045F"/>
    <w:rsid w:val="005C16FE"/>
    <w:rsid w:val="005C1FAB"/>
    <w:rsid w:val="005C21A4"/>
    <w:rsid w:val="005C26CC"/>
    <w:rsid w:val="005C4463"/>
    <w:rsid w:val="005D263D"/>
    <w:rsid w:val="005D3D88"/>
    <w:rsid w:val="005D4692"/>
    <w:rsid w:val="005D48C4"/>
    <w:rsid w:val="005D5C93"/>
    <w:rsid w:val="005D6208"/>
    <w:rsid w:val="005D6366"/>
    <w:rsid w:val="005D7595"/>
    <w:rsid w:val="005D7BA2"/>
    <w:rsid w:val="005E279F"/>
    <w:rsid w:val="005E3120"/>
    <w:rsid w:val="005E36C2"/>
    <w:rsid w:val="005E4159"/>
    <w:rsid w:val="005E4AF4"/>
    <w:rsid w:val="005F286E"/>
    <w:rsid w:val="005F387E"/>
    <w:rsid w:val="005F5A1B"/>
    <w:rsid w:val="00601E0B"/>
    <w:rsid w:val="0060258B"/>
    <w:rsid w:val="00610EF9"/>
    <w:rsid w:val="0061172A"/>
    <w:rsid w:val="00612B91"/>
    <w:rsid w:val="00612F4F"/>
    <w:rsid w:val="0061462A"/>
    <w:rsid w:val="00614EA0"/>
    <w:rsid w:val="00614EF0"/>
    <w:rsid w:val="00615C6B"/>
    <w:rsid w:val="00617D4C"/>
    <w:rsid w:val="0062060C"/>
    <w:rsid w:val="00621DCE"/>
    <w:rsid w:val="00621FC5"/>
    <w:rsid w:val="0062290D"/>
    <w:rsid w:val="00624115"/>
    <w:rsid w:val="00624F2C"/>
    <w:rsid w:val="0063124D"/>
    <w:rsid w:val="00631874"/>
    <w:rsid w:val="00631FA7"/>
    <w:rsid w:val="00632D6D"/>
    <w:rsid w:val="006331BE"/>
    <w:rsid w:val="00633BAE"/>
    <w:rsid w:val="0063588D"/>
    <w:rsid w:val="00636569"/>
    <w:rsid w:val="00636EF9"/>
    <w:rsid w:val="00637C46"/>
    <w:rsid w:val="0064073A"/>
    <w:rsid w:val="00641CE9"/>
    <w:rsid w:val="00642C3E"/>
    <w:rsid w:val="006439B3"/>
    <w:rsid w:val="00644A01"/>
    <w:rsid w:val="00645A9C"/>
    <w:rsid w:val="006479ED"/>
    <w:rsid w:val="00651E2D"/>
    <w:rsid w:val="00652324"/>
    <w:rsid w:val="00652A7D"/>
    <w:rsid w:val="00653818"/>
    <w:rsid w:val="00653A27"/>
    <w:rsid w:val="00653A2F"/>
    <w:rsid w:val="00653BCF"/>
    <w:rsid w:val="006561E3"/>
    <w:rsid w:val="006577FB"/>
    <w:rsid w:val="0066104A"/>
    <w:rsid w:val="0066113F"/>
    <w:rsid w:val="0066154A"/>
    <w:rsid w:val="00662A38"/>
    <w:rsid w:val="00663066"/>
    <w:rsid w:val="00663B0C"/>
    <w:rsid w:val="00663DAD"/>
    <w:rsid w:val="00664206"/>
    <w:rsid w:val="006649E7"/>
    <w:rsid w:val="00664E3B"/>
    <w:rsid w:val="00666634"/>
    <w:rsid w:val="00670372"/>
    <w:rsid w:val="00670F2E"/>
    <w:rsid w:val="00671692"/>
    <w:rsid w:val="00675E20"/>
    <w:rsid w:val="006764EB"/>
    <w:rsid w:val="00676679"/>
    <w:rsid w:val="00680A11"/>
    <w:rsid w:val="00681949"/>
    <w:rsid w:val="00682F45"/>
    <w:rsid w:val="00683C89"/>
    <w:rsid w:val="00687D1C"/>
    <w:rsid w:val="006910ED"/>
    <w:rsid w:val="0069179C"/>
    <w:rsid w:val="00691944"/>
    <w:rsid w:val="00691B53"/>
    <w:rsid w:val="00693BA7"/>
    <w:rsid w:val="00694BDB"/>
    <w:rsid w:val="00697D0B"/>
    <w:rsid w:val="006A12BA"/>
    <w:rsid w:val="006A1793"/>
    <w:rsid w:val="006A4625"/>
    <w:rsid w:val="006A4739"/>
    <w:rsid w:val="006A5012"/>
    <w:rsid w:val="006A5D68"/>
    <w:rsid w:val="006A66A1"/>
    <w:rsid w:val="006B032D"/>
    <w:rsid w:val="006B0912"/>
    <w:rsid w:val="006B1D28"/>
    <w:rsid w:val="006B212D"/>
    <w:rsid w:val="006B2395"/>
    <w:rsid w:val="006B40AC"/>
    <w:rsid w:val="006B4CF9"/>
    <w:rsid w:val="006B797C"/>
    <w:rsid w:val="006B7AC8"/>
    <w:rsid w:val="006C1736"/>
    <w:rsid w:val="006C2593"/>
    <w:rsid w:val="006C2FCF"/>
    <w:rsid w:val="006C329B"/>
    <w:rsid w:val="006C4E6B"/>
    <w:rsid w:val="006C5071"/>
    <w:rsid w:val="006C5D96"/>
    <w:rsid w:val="006C6303"/>
    <w:rsid w:val="006C78D4"/>
    <w:rsid w:val="006C7C4A"/>
    <w:rsid w:val="006D30FE"/>
    <w:rsid w:val="006D550F"/>
    <w:rsid w:val="006D6146"/>
    <w:rsid w:val="006D7F7E"/>
    <w:rsid w:val="006E0340"/>
    <w:rsid w:val="006E06B6"/>
    <w:rsid w:val="006E0CFF"/>
    <w:rsid w:val="006E16BA"/>
    <w:rsid w:val="006E2038"/>
    <w:rsid w:val="006E7AB5"/>
    <w:rsid w:val="006F0D92"/>
    <w:rsid w:val="006F267D"/>
    <w:rsid w:val="006F5027"/>
    <w:rsid w:val="0070011E"/>
    <w:rsid w:val="00701CAB"/>
    <w:rsid w:val="00701CC6"/>
    <w:rsid w:val="007023BB"/>
    <w:rsid w:val="00704DD7"/>
    <w:rsid w:val="00707563"/>
    <w:rsid w:val="00711CC5"/>
    <w:rsid w:val="007124AD"/>
    <w:rsid w:val="00715F61"/>
    <w:rsid w:val="00722132"/>
    <w:rsid w:val="007228F7"/>
    <w:rsid w:val="0072348C"/>
    <w:rsid w:val="00724A37"/>
    <w:rsid w:val="00724C0A"/>
    <w:rsid w:val="0072698A"/>
    <w:rsid w:val="007303C3"/>
    <w:rsid w:val="00731188"/>
    <w:rsid w:val="00731552"/>
    <w:rsid w:val="007356CC"/>
    <w:rsid w:val="00736770"/>
    <w:rsid w:val="007368E6"/>
    <w:rsid w:val="007375DF"/>
    <w:rsid w:val="0074164B"/>
    <w:rsid w:val="007429BE"/>
    <w:rsid w:val="00743223"/>
    <w:rsid w:val="00743349"/>
    <w:rsid w:val="0074403A"/>
    <w:rsid w:val="00746E01"/>
    <w:rsid w:val="00751DCD"/>
    <w:rsid w:val="00752896"/>
    <w:rsid w:val="007528C0"/>
    <w:rsid w:val="00755084"/>
    <w:rsid w:val="0075599D"/>
    <w:rsid w:val="00757364"/>
    <w:rsid w:val="00757BDF"/>
    <w:rsid w:val="007609D0"/>
    <w:rsid w:val="00760ED1"/>
    <w:rsid w:val="00761454"/>
    <w:rsid w:val="0076193D"/>
    <w:rsid w:val="00763E5D"/>
    <w:rsid w:val="00767740"/>
    <w:rsid w:val="00767B5E"/>
    <w:rsid w:val="007715C0"/>
    <w:rsid w:val="00775460"/>
    <w:rsid w:val="0077742A"/>
    <w:rsid w:val="00777EE6"/>
    <w:rsid w:val="00782EEA"/>
    <w:rsid w:val="00784998"/>
    <w:rsid w:val="00786CA4"/>
    <w:rsid w:val="007909B4"/>
    <w:rsid w:val="00790E86"/>
    <w:rsid w:val="00791436"/>
    <w:rsid w:val="00792EC4"/>
    <w:rsid w:val="007949D7"/>
    <w:rsid w:val="007959A7"/>
    <w:rsid w:val="0079769A"/>
    <w:rsid w:val="00797790"/>
    <w:rsid w:val="007A0143"/>
    <w:rsid w:val="007A01D2"/>
    <w:rsid w:val="007A34C2"/>
    <w:rsid w:val="007A396C"/>
    <w:rsid w:val="007A3C2A"/>
    <w:rsid w:val="007A4B02"/>
    <w:rsid w:val="007B0BE3"/>
    <w:rsid w:val="007B1816"/>
    <w:rsid w:val="007B186E"/>
    <w:rsid w:val="007B25DC"/>
    <w:rsid w:val="007B2C72"/>
    <w:rsid w:val="007B3789"/>
    <w:rsid w:val="007B651F"/>
    <w:rsid w:val="007B7BB5"/>
    <w:rsid w:val="007C15D9"/>
    <w:rsid w:val="007C1C53"/>
    <w:rsid w:val="007C284C"/>
    <w:rsid w:val="007C357E"/>
    <w:rsid w:val="007C43A9"/>
    <w:rsid w:val="007C4B82"/>
    <w:rsid w:val="007C74BB"/>
    <w:rsid w:val="007C7A0F"/>
    <w:rsid w:val="007C7F64"/>
    <w:rsid w:val="007D0761"/>
    <w:rsid w:val="007D0A95"/>
    <w:rsid w:val="007D0EB5"/>
    <w:rsid w:val="007D456E"/>
    <w:rsid w:val="007D5837"/>
    <w:rsid w:val="007D626C"/>
    <w:rsid w:val="007E4904"/>
    <w:rsid w:val="007E4CB5"/>
    <w:rsid w:val="007E4DAE"/>
    <w:rsid w:val="007F066B"/>
    <w:rsid w:val="007F4EAB"/>
    <w:rsid w:val="007F576D"/>
    <w:rsid w:val="007F5B16"/>
    <w:rsid w:val="007F7C9D"/>
    <w:rsid w:val="008033C4"/>
    <w:rsid w:val="00804D19"/>
    <w:rsid w:val="00805AAE"/>
    <w:rsid w:val="00806731"/>
    <w:rsid w:val="00806C88"/>
    <w:rsid w:val="008072FC"/>
    <w:rsid w:val="00810273"/>
    <w:rsid w:val="0081034E"/>
    <w:rsid w:val="008105F1"/>
    <w:rsid w:val="00810806"/>
    <w:rsid w:val="0081081B"/>
    <w:rsid w:val="0081160E"/>
    <w:rsid w:val="00815882"/>
    <w:rsid w:val="00816DC1"/>
    <w:rsid w:val="00820454"/>
    <w:rsid w:val="00822AC7"/>
    <w:rsid w:val="00822E86"/>
    <w:rsid w:val="008240DC"/>
    <w:rsid w:val="00826F19"/>
    <w:rsid w:val="00830F2B"/>
    <w:rsid w:val="0083235B"/>
    <w:rsid w:val="008344F6"/>
    <w:rsid w:val="0083510F"/>
    <w:rsid w:val="008356E8"/>
    <w:rsid w:val="008366D8"/>
    <w:rsid w:val="00837BF3"/>
    <w:rsid w:val="008415DE"/>
    <w:rsid w:val="00841E4F"/>
    <w:rsid w:val="008420DE"/>
    <w:rsid w:val="00844825"/>
    <w:rsid w:val="00845776"/>
    <w:rsid w:val="00845865"/>
    <w:rsid w:val="0084799B"/>
    <w:rsid w:val="00850474"/>
    <w:rsid w:val="00850C90"/>
    <w:rsid w:val="00850E60"/>
    <w:rsid w:val="00851209"/>
    <w:rsid w:val="0085171F"/>
    <w:rsid w:val="00851BC3"/>
    <w:rsid w:val="00853AC7"/>
    <w:rsid w:val="00856C8E"/>
    <w:rsid w:val="008658A1"/>
    <w:rsid w:val="0086716A"/>
    <w:rsid w:val="00870613"/>
    <w:rsid w:val="00870B05"/>
    <w:rsid w:val="0087380F"/>
    <w:rsid w:val="0087648F"/>
    <w:rsid w:val="00876612"/>
    <w:rsid w:val="0087718C"/>
    <w:rsid w:val="00880F99"/>
    <w:rsid w:val="00880FDC"/>
    <w:rsid w:val="00882BB1"/>
    <w:rsid w:val="008837AC"/>
    <w:rsid w:val="00883AC1"/>
    <w:rsid w:val="00886864"/>
    <w:rsid w:val="00886D90"/>
    <w:rsid w:val="00887C90"/>
    <w:rsid w:val="008909DC"/>
    <w:rsid w:val="00894255"/>
    <w:rsid w:val="008945AD"/>
    <w:rsid w:val="00895724"/>
    <w:rsid w:val="008A0645"/>
    <w:rsid w:val="008A1C02"/>
    <w:rsid w:val="008A370D"/>
    <w:rsid w:val="008A467D"/>
    <w:rsid w:val="008A4890"/>
    <w:rsid w:val="008A526D"/>
    <w:rsid w:val="008A587D"/>
    <w:rsid w:val="008B16B0"/>
    <w:rsid w:val="008B1BD5"/>
    <w:rsid w:val="008B35CD"/>
    <w:rsid w:val="008B4093"/>
    <w:rsid w:val="008B4C49"/>
    <w:rsid w:val="008B5FCC"/>
    <w:rsid w:val="008B7F36"/>
    <w:rsid w:val="008C2B31"/>
    <w:rsid w:val="008C357F"/>
    <w:rsid w:val="008C3A65"/>
    <w:rsid w:val="008C5001"/>
    <w:rsid w:val="008C5486"/>
    <w:rsid w:val="008D0292"/>
    <w:rsid w:val="008D1661"/>
    <w:rsid w:val="008D27E0"/>
    <w:rsid w:val="008D5F90"/>
    <w:rsid w:val="008D6800"/>
    <w:rsid w:val="008D72F1"/>
    <w:rsid w:val="008D7F39"/>
    <w:rsid w:val="008E1691"/>
    <w:rsid w:val="008E39F0"/>
    <w:rsid w:val="008E4089"/>
    <w:rsid w:val="008E5AFF"/>
    <w:rsid w:val="008E7031"/>
    <w:rsid w:val="008E77DE"/>
    <w:rsid w:val="008F040C"/>
    <w:rsid w:val="008F07A3"/>
    <w:rsid w:val="008F1487"/>
    <w:rsid w:val="008F25D5"/>
    <w:rsid w:val="008F3322"/>
    <w:rsid w:val="008F3519"/>
    <w:rsid w:val="008F3A0D"/>
    <w:rsid w:val="008F656F"/>
    <w:rsid w:val="008F6B66"/>
    <w:rsid w:val="008F7010"/>
    <w:rsid w:val="009001B6"/>
    <w:rsid w:val="00900E1B"/>
    <w:rsid w:val="0090131F"/>
    <w:rsid w:val="009027E6"/>
    <w:rsid w:val="00903F5A"/>
    <w:rsid w:val="0090445C"/>
    <w:rsid w:val="00907683"/>
    <w:rsid w:val="00911B30"/>
    <w:rsid w:val="009132B7"/>
    <w:rsid w:val="00913E6C"/>
    <w:rsid w:val="00916A2C"/>
    <w:rsid w:val="009233EE"/>
    <w:rsid w:val="00925222"/>
    <w:rsid w:val="00927170"/>
    <w:rsid w:val="00930B1A"/>
    <w:rsid w:val="00932612"/>
    <w:rsid w:val="009327DC"/>
    <w:rsid w:val="009338D9"/>
    <w:rsid w:val="009339BD"/>
    <w:rsid w:val="00935439"/>
    <w:rsid w:val="009356CF"/>
    <w:rsid w:val="00936F13"/>
    <w:rsid w:val="00940C81"/>
    <w:rsid w:val="009413B2"/>
    <w:rsid w:val="00942BEC"/>
    <w:rsid w:val="00945E53"/>
    <w:rsid w:val="009460AA"/>
    <w:rsid w:val="00946D00"/>
    <w:rsid w:val="009472D8"/>
    <w:rsid w:val="009509D0"/>
    <w:rsid w:val="00951978"/>
    <w:rsid w:val="009523B3"/>
    <w:rsid w:val="009523F1"/>
    <w:rsid w:val="00952C8B"/>
    <w:rsid w:val="009570F8"/>
    <w:rsid w:val="00961A4A"/>
    <w:rsid w:val="00964056"/>
    <w:rsid w:val="009661DE"/>
    <w:rsid w:val="00970939"/>
    <w:rsid w:val="00972925"/>
    <w:rsid w:val="00972C7C"/>
    <w:rsid w:val="0097436A"/>
    <w:rsid w:val="009776F4"/>
    <w:rsid w:val="00981CA2"/>
    <w:rsid w:val="00982AAB"/>
    <w:rsid w:val="00982DA2"/>
    <w:rsid w:val="0098384F"/>
    <w:rsid w:val="00983C25"/>
    <w:rsid w:val="0098466D"/>
    <w:rsid w:val="009856B7"/>
    <w:rsid w:val="009859D6"/>
    <w:rsid w:val="00985C86"/>
    <w:rsid w:val="00985EFB"/>
    <w:rsid w:val="0099490A"/>
    <w:rsid w:val="009A1CB9"/>
    <w:rsid w:val="009A5FC3"/>
    <w:rsid w:val="009B581B"/>
    <w:rsid w:val="009B61AB"/>
    <w:rsid w:val="009B6F84"/>
    <w:rsid w:val="009B74B0"/>
    <w:rsid w:val="009C0152"/>
    <w:rsid w:val="009C07C1"/>
    <w:rsid w:val="009C1A74"/>
    <w:rsid w:val="009C3D42"/>
    <w:rsid w:val="009C491E"/>
    <w:rsid w:val="009C6921"/>
    <w:rsid w:val="009D0924"/>
    <w:rsid w:val="009D0DF1"/>
    <w:rsid w:val="009D22D6"/>
    <w:rsid w:val="009D2C84"/>
    <w:rsid w:val="009D3906"/>
    <w:rsid w:val="009D5839"/>
    <w:rsid w:val="009D5E35"/>
    <w:rsid w:val="009D6B46"/>
    <w:rsid w:val="009E35B6"/>
    <w:rsid w:val="009E42C8"/>
    <w:rsid w:val="009E5ABC"/>
    <w:rsid w:val="009E6236"/>
    <w:rsid w:val="009E6B77"/>
    <w:rsid w:val="009F2BA1"/>
    <w:rsid w:val="009F3BBA"/>
    <w:rsid w:val="009F43B4"/>
    <w:rsid w:val="009F4716"/>
    <w:rsid w:val="009F4940"/>
    <w:rsid w:val="009F58FC"/>
    <w:rsid w:val="009F5BA1"/>
    <w:rsid w:val="00A01296"/>
    <w:rsid w:val="00A02A88"/>
    <w:rsid w:val="00A02AC6"/>
    <w:rsid w:val="00A04012"/>
    <w:rsid w:val="00A046FA"/>
    <w:rsid w:val="00A0562E"/>
    <w:rsid w:val="00A0726D"/>
    <w:rsid w:val="00A073AE"/>
    <w:rsid w:val="00A12204"/>
    <w:rsid w:val="00A12750"/>
    <w:rsid w:val="00A13CB0"/>
    <w:rsid w:val="00A14014"/>
    <w:rsid w:val="00A1561F"/>
    <w:rsid w:val="00A16544"/>
    <w:rsid w:val="00A21C0B"/>
    <w:rsid w:val="00A30BF5"/>
    <w:rsid w:val="00A31BE6"/>
    <w:rsid w:val="00A32D74"/>
    <w:rsid w:val="00A32FBB"/>
    <w:rsid w:val="00A330AD"/>
    <w:rsid w:val="00A37496"/>
    <w:rsid w:val="00A40068"/>
    <w:rsid w:val="00A40BE9"/>
    <w:rsid w:val="00A41B88"/>
    <w:rsid w:val="00A425F1"/>
    <w:rsid w:val="00A428EE"/>
    <w:rsid w:val="00A443C2"/>
    <w:rsid w:val="00A4478A"/>
    <w:rsid w:val="00A44852"/>
    <w:rsid w:val="00A44ECF"/>
    <w:rsid w:val="00A50502"/>
    <w:rsid w:val="00A5087B"/>
    <w:rsid w:val="00A53409"/>
    <w:rsid w:val="00A53796"/>
    <w:rsid w:val="00A53848"/>
    <w:rsid w:val="00A5393F"/>
    <w:rsid w:val="00A56945"/>
    <w:rsid w:val="00A56A6E"/>
    <w:rsid w:val="00A57D04"/>
    <w:rsid w:val="00A60A26"/>
    <w:rsid w:val="00A61598"/>
    <w:rsid w:val="00A61777"/>
    <w:rsid w:val="00A63646"/>
    <w:rsid w:val="00A63914"/>
    <w:rsid w:val="00A64345"/>
    <w:rsid w:val="00A6748A"/>
    <w:rsid w:val="00A740BC"/>
    <w:rsid w:val="00A76820"/>
    <w:rsid w:val="00A7779B"/>
    <w:rsid w:val="00A84A99"/>
    <w:rsid w:val="00A84F46"/>
    <w:rsid w:val="00A85E87"/>
    <w:rsid w:val="00A86AEA"/>
    <w:rsid w:val="00A871F4"/>
    <w:rsid w:val="00A9431A"/>
    <w:rsid w:val="00A95988"/>
    <w:rsid w:val="00A959DF"/>
    <w:rsid w:val="00A96C67"/>
    <w:rsid w:val="00A97616"/>
    <w:rsid w:val="00A97A1B"/>
    <w:rsid w:val="00AA2927"/>
    <w:rsid w:val="00AA5BC2"/>
    <w:rsid w:val="00AB2CB8"/>
    <w:rsid w:val="00AB4617"/>
    <w:rsid w:val="00AC1B2C"/>
    <w:rsid w:val="00AC3264"/>
    <w:rsid w:val="00AC46AD"/>
    <w:rsid w:val="00AC4D2D"/>
    <w:rsid w:val="00AC58EC"/>
    <w:rsid w:val="00AC7282"/>
    <w:rsid w:val="00AC7961"/>
    <w:rsid w:val="00AC7AB2"/>
    <w:rsid w:val="00AD314E"/>
    <w:rsid w:val="00AD5FCD"/>
    <w:rsid w:val="00AD6479"/>
    <w:rsid w:val="00AD6B48"/>
    <w:rsid w:val="00AD7A3A"/>
    <w:rsid w:val="00AE0F7F"/>
    <w:rsid w:val="00AE1BF1"/>
    <w:rsid w:val="00AE23AB"/>
    <w:rsid w:val="00AE52B8"/>
    <w:rsid w:val="00AE58FB"/>
    <w:rsid w:val="00AE5AF0"/>
    <w:rsid w:val="00AE663D"/>
    <w:rsid w:val="00AE73B3"/>
    <w:rsid w:val="00AF07E7"/>
    <w:rsid w:val="00AF0DD2"/>
    <w:rsid w:val="00AF12A8"/>
    <w:rsid w:val="00AF31E1"/>
    <w:rsid w:val="00AF3BBA"/>
    <w:rsid w:val="00AF4231"/>
    <w:rsid w:val="00AF5716"/>
    <w:rsid w:val="00AF6439"/>
    <w:rsid w:val="00AF64D5"/>
    <w:rsid w:val="00AF7B7F"/>
    <w:rsid w:val="00B00B0E"/>
    <w:rsid w:val="00B00B26"/>
    <w:rsid w:val="00B02385"/>
    <w:rsid w:val="00B02F9D"/>
    <w:rsid w:val="00B05093"/>
    <w:rsid w:val="00B05766"/>
    <w:rsid w:val="00B104FB"/>
    <w:rsid w:val="00B13048"/>
    <w:rsid w:val="00B137D4"/>
    <w:rsid w:val="00B13883"/>
    <w:rsid w:val="00B1716D"/>
    <w:rsid w:val="00B17A1D"/>
    <w:rsid w:val="00B207A0"/>
    <w:rsid w:val="00B21A0C"/>
    <w:rsid w:val="00B21C21"/>
    <w:rsid w:val="00B22F54"/>
    <w:rsid w:val="00B24A7E"/>
    <w:rsid w:val="00B25C0C"/>
    <w:rsid w:val="00B304B5"/>
    <w:rsid w:val="00B308A9"/>
    <w:rsid w:val="00B31047"/>
    <w:rsid w:val="00B31EE2"/>
    <w:rsid w:val="00B3260E"/>
    <w:rsid w:val="00B33148"/>
    <w:rsid w:val="00B35CDF"/>
    <w:rsid w:val="00B403C2"/>
    <w:rsid w:val="00B405A1"/>
    <w:rsid w:val="00B42B50"/>
    <w:rsid w:val="00B4438A"/>
    <w:rsid w:val="00B45AA2"/>
    <w:rsid w:val="00B479CA"/>
    <w:rsid w:val="00B5084F"/>
    <w:rsid w:val="00B514DD"/>
    <w:rsid w:val="00B51EDF"/>
    <w:rsid w:val="00B52AF0"/>
    <w:rsid w:val="00B531D1"/>
    <w:rsid w:val="00B53D33"/>
    <w:rsid w:val="00B53D5F"/>
    <w:rsid w:val="00B54051"/>
    <w:rsid w:val="00B561BD"/>
    <w:rsid w:val="00B56E03"/>
    <w:rsid w:val="00B57244"/>
    <w:rsid w:val="00B6071B"/>
    <w:rsid w:val="00B6072A"/>
    <w:rsid w:val="00B61A18"/>
    <w:rsid w:val="00B62765"/>
    <w:rsid w:val="00B62818"/>
    <w:rsid w:val="00B65110"/>
    <w:rsid w:val="00B65DF5"/>
    <w:rsid w:val="00B7679F"/>
    <w:rsid w:val="00B77159"/>
    <w:rsid w:val="00B774E4"/>
    <w:rsid w:val="00B80014"/>
    <w:rsid w:val="00B8080B"/>
    <w:rsid w:val="00B817EF"/>
    <w:rsid w:val="00B82223"/>
    <w:rsid w:val="00B82691"/>
    <w:rsid w:val="00B87BA5"/>
    <w:rsid w:val="00B87C10"/>
    <w:rsid w:val="00B87C39"/>
    <w:rsid w:val="00B905C4"/>
    <w:rsid w:val="00B9061F"/>
    <w:rsid w:val="00B92906"/>
    <w:rsid w:val="00B93891"/>
    <w:rsid w:val="00B93A15"/>
    <w:rsid w:val="00B94103"/>
    <w:rsid w:val="00B9562D"/>
    <w:rsid w:val="00B97B60"/>
    <w:rsid w:val="00BA21DA"/>
    <w:rsid w:val="00BA2AA2"/>
    <w:rsid w:val="00BA2B60"/>
    <w:rsid w:val="00BA36A8"/>
    <w:rsid w:val="00BA3C93"/>
    <w:rsid w:val="00BA4665"/>
    <w:rsid w:val="00BA7FD7"/>
    <w:rsid w:val="00BB1681"/>
    <w:rsid w:val="00BB2FB2"/>
    <w:rsid w:val="00BB3304"/>
    <w:rsid w:val="00BB3B89"/>
    <w:rsid w:val="00BB6551"/>
    <w:rsid w:val="00BC07C8"/>
    <w:rsid w:val="00BC1989"/>
    <w:rsid w:val="00BC1B84"/>
    <w:rsid w:val="00BC2933"/>
    <w:rsid w:val="00BC2D08"/>
    <w:rsid w:val="00BC3B78"/>
    <w:rsid w:val="00BC4A10"/>
    <w:rsid w:val="00BD30F4"/>
    <w:rsid w:val="00BD3446"/>
    <w:rsid w:val="00BD59CF"/>
    <w:rsid w:val="00BD6414"/>
    <w:rsid w:val="00BE01C4"/>
    <w:rsid w:val="00BE1312"/>
    <w:rsid w:val="00BE1F1B"/>
    <w:rsid w:val="00BE3F89"/>
    <w:rsid w:val="00BE47B5"/>
    <w:rsid w:val="00BE5FCE"/>
    <w:rsid w:val="00BF336C"/>
    <w:rsid w:val="00BF3E19"/>
    <w:rsid w:val="00BF436B"/>
    <w:rsid w:val="00C0079E"/>
    <w:rsid w:val="00C01EFD"/>
    <w:rsid w:val="00C025F8"/>
    <w:rsid w:val="00C02E18"/>
    <w:rsid w:val="00C03ECC"/>
    <w:rsid w:val="00C0572A"/>
    <w:rsid w:val="00C05E57"/>
    <w:rsid w:val="00C06874"/>
    <w:rsid w:val="00C13EBD"/>
    <w:rsid w:val="00C1631B"/>
    <w:rsid w:val="00C163AB"/>
    <w:rsid w:val="00C170F0"/>
    <w:rsid w:val="00C21D50"/>
    <w:rsid w:val="00C25962"/>
    <w:rsid w:val="00C25FA6"/>
    <w:rsid w:val="00C3099D"/>
    <w:rsid w:val="00C32628"/>
    <w:rsid w:val="00C33011"/>
    <w:rsid w:val="00C345AF"/>
    <w:rsid w:val="00C35853"/>
    <w:rsid w:val="00C362C1"/>
    <w:rsid w:val="00C41950"/>
    <w:rsid w:val="00C42C3B"/>
    <w:rsid w:val="00C50017"/>
    <w:rsid w:val="00C51672"/>
    <w:rsid w:val="00C538A9"/>
    <w:rsid w:val="00C53B5A"/>
    <w:rsid w:val="00C53CB4"/>
    <w:rsid w:val="00C53E41"/>
    <w:rsid w:val="00C546FD"/>
    <w:rsid w:val="00C54909"/>
    <w:rsid w:val="00C54AF3"/>
    <w:rsid w:val="00C54F5A"/>
    <w:rsid w:val="00C559E4"/>
    <w:rsid w:val="00C569B4"/>
    <w:rsid w:val="00C56A23"/>
    <w:rsid w:val="00C57DDE"/>
    <w:rsid w:val="00C61468"/>
    <w:rsid w:val="00C61A97"/>
    <w:rsid w:val="00C61E44"/>
    <w:rsid w:val="00C64FF3"/>
    <w:rsid w:val="00C662AD"/>
    <w:rsid w:val="00C67A92"/>
    <w:rsid w:val="00C71280"/>
    <w:rsid w:val="00C717BF"/>
    <w:rsid w:val="00C76178"/>
    <w:rsid w:val="00C80C88"/>
    <w:rsid w:val="00C84560"/>
    <w:rsid w:val="00C86679"/>
    <w:rsid w:val="00C86903"/>
    <w:rsid w:val="00C8792F"/>
    <w:rsid w:val="00C902C1"/>
    <w:rsid w:val="00C90472"/>
    <w:rsid w:val="00C91BDA"/>
    <w:rsid w:val="00C91D6E"/>
    <w:rsid w:val="00C92872"/>
    <w:rsid w:val="00C95ECC"/>
    <w:rsid w:val="00CA1BF6"/>
    <w:rsid w:val="00CA489E"/>
    <w:rsid w:val="00CA5B6A"/>
    <w:rsid w:val="00CB01FE"/>
    <w:rsid w:val="00CB0279"/>
    <w:rsid w:val="00CB0BF7"/>
    <w:rsid w:val="00CB168F"/>
    <w:rsid w:val="00CB32E2"/>
    <w:rsid w:val="00CB666B"/>
    <w:rsid w:val="00CB734B"/>
    <w:rsid w:val="00CC058C"/>
    <w:rsid w:val="00CC2DF7"/>
    <w:rsid w:val="00CC41B6"/>
    <w:rsid w:val="00CC7ADA"/>
    <w:rsid w:val="00CC7F1D"/>
    <w:rsid w:val="00CD00EB"/>
    <w:rsid w:val="00CD0A88"/>
    <w:rsid w:val="00CD125D"/>
    <w:rsid w:val="00CD14D9"/>
    <w:rsid w:val="00CD283C"/>
    <w:rsid w:val="00CD3641"/>
    <w:rsid w:val="00CD66EA"/>
    <w:rsid w:val="00CD68B2"/>
    <w:rsid w:val="00CD7432"/>
    <w:rsid w:val="00CD779C"/>
    <w:rsid w:val="00CD7854"/>
    <w:rsid w:val="00CE0FA5"/>
    <w:rsid w:val="00CE2A23"/>
    <w:rsid w:val="00CE31C8"/>
    <w:rsid w:val="00CE484B"/>
    <w:rsid w:val="00CE7CBA"/>
    <w:rsid w:val="00CF030D"/>
    <w:rsid w:val="00CF0DEE"/>
    <w:rsid w:val="00CF24E3"/>
    <w:rsid w:val="00CF30F1"/>
    <w:rsid w:val="00CF3C1D"/>
    <w:rsid w:val="00CF42AA"/>
    <w:rsid w:val="00CF5538"/>
    <w:rsid w:val="00CF5EAA"/>
    <w:rsid w:val="00CF6AE3"/>
    <w:rsid w:val="00CF77BB"/>
    <w:rsid w:val="00D006AE"/>
    <w:rsid w:val="00D00905"/>
    <w:rsid w:val="00D010C1"/>
    <w:rsid w:val="00D01CF0"/>
    <w:rsid w:val="00D0355C"/>
    <w:rsid w:val="00D0442A"/>
    <w:rsid w:val="00D04A01"/>
    <w:rsid w:val="00D06284"/>
    <w:rsid w:val="00D12A7B"/>
    <w:rsid w:val="00D12ADB"/>
    <w:rsid w:val="00D13FC0"/>
    <w:rsid w:val="00D15E63"/>
    <w:rsid w:val="00D15F3E"/>
    <w:rsid w:val="00D22833"/>
    <w:rsid w:val="00D23231"/>
    <w:rsid w:val="00D25A39"/>
    <w:rsid w:val="00D27CFA"/>
    <w:rsid w:val="00D310FA"/>
    <w:rsid w:val="00D314EA"/>
    <w:rsid w:val="00D325C6"/>
    <w:rsid w:val="00D37213"/>
    <w:rsid w:val="00D37477"/>
    <w:rsid w:val="00D41E96"/>
    <w:rsid w:val="00D4360D"/>
    <w:rsid w:val="00D5006A"/>
    <w:rsid w:val="00D500B8"/>
    <w:rsid w:val="00D503BB"/>
    <w:rsid w:val="00D5607F"/>
    <w:rsid w:val="00D56F5B"/>
    <w:rsid w:val="00D61388"/>
    <w:rsid w:val="00D61A54"/>
    <w:rsid w:val="00D62108"/>
    <w:rsid w:val="00D64AA4"/>
    <w:rsid w:val="00D64DEA"/>
    <w:rsid w:val="00D64F84"/>
    <w:rsid w:val="00D65581"/>
    <w:rsid w:val="00D663CD"/>
    <w:rsid w:val="00D6726A"/>
    <w:rsid w:val="00D7001B"/>
    <w:rsid w:val="00D7160D"/>
    <w:rsid w:val="00D7168E"/>
    <w:rsid w:val="00D71E57"/>
    <w:rsid w:val="00D72B29"/>
    <w:rsid w:val="00D72D27"/>
    <w:rsid w:val="00D74840"/>
    <w:rsid w:val="00D75989"/>
    <w:rsid w:val="00D77780"/>
    <w:rsid w:val="00D7786B"/>
    <w:rsid w:val="00D804A8"/>
    <w:rsid w:val="00D80893"/>
    <w:rsid w:val="00D82519"/>
    <w:rsid w:val="00D83867"/>
    <w:rsid w:val="00D84854"/>
    <w:rsid w:val="00D85D33"/>
    <w:rsid w:val="00D90D81"/>
    <w:rsid w:val="00D924AE"/>
    <w:rsid w:val="00D92CF1"/>
    <w:rsid w:val="00D92D38"/>
    <w:rsid w:val="00D944B8"/>
    <w:rsid w:val="00D950F5"/>
    <w:rsid w:val="00D97379"/>
    <w:rsid w:val="00DA4752"/>
    <w:rsid w:val="00DA4C09"/>
    <w:rsid w:val="00DA566F"/>
    <w:rsid w:val="00DA61F3"/>
    <w:rsid w:val="00DA708A"/>
    <w:rsid w:val="00DA7CB3"/>
    <w:rsid w:val="00DB0709"/>
    <w:rsid w:val="00DB0D00"/>
    <w:rsid w:val="00DB0F93"/>
    <w:rsid w:val="00DB1A67"/>
    <w:rsid w:val="00DB3721"/>
    <w:rsid w:val="00DB5074"/>
    <w:rsid w:val="00DB6A34"/>
    <w:rsid w:val="00DB70D7"/>
    <w:rsid w:val="00DC0281"/>
    <w:rsid w:val="00DC1930"/>
    <w:rsid w:val="00DC1C76"/>
    <w:rsid w:val="00DC4DBF"/>
    <w:rsid w:val="00DC4E19"/>
    <w:rsid w:val="00DC65FE"/>
    <w:rsid w:val="00DC6D46"/>
    <w:rsid w:val="00DC7981"/>
    <w:rsid w:val="00DD2C5D"/>
    <w:rsid w:val="00DD4C07"/>
    <w:rsid w:val="00DD577D"/>
    <w:rsid w:val="00DD5ADC"/>
    <w:rsid w:val="00DD5EBA"/>
    <w:rsid w:val="00DE1093"/>
    <w:rsid w:val="00DE12D4"/>
    <w:rsid w:val="00DE4EFA"/>
    <w:rsid w:val="00DE5520"/>
    <w:rsid w:val="00DE563D"/>
    <w:rsid w:val="00DE7AB5"/>
    <w:rsid w:val="00DF0152"/>
    <w:rsid w:val="00DF1958"/>
    <w:rsid w:val="00E00440"/>
    <w:rsid w:val="00E013FA"/>
    <w:rsid w:val="00E014FF"/>
    <w:rsid w:val="00E02444"/>
    <w:rsid w:val="00E0363F"/>
    <w:rsid w:val="00E04818"/>
    <w:rsid w:val="00E06442"/>
    <w:rsid w:val="00E06952"/>
    <w:rsid w:val="00E10075"/>
    <w:rsid w:val="00E10172"/>
    <w:rsid w:val="00E11E61"/>
    <w:rsid w:val="00E157B2"/>
    <w:rsid w:val="00E16055"/>
    <w:rsid w:val="00E21986"/>
    <w:rsid w:val="00E2332D"/>
    <w:rsid w:val="00E23651"/>
    <w:rsid w:val="00E23993"/>
    <w:rsid w:val="00E2574F"/>
    <w:rsid w:val="00E25951"/>
    <w:rsid w:val="00E25B8C"/>
    <w:rsid w:val="00E30BB4"/>
    <w:rsid w:val="00E31CF6"/>
    <w:rsid w:val="00E32B25"/>
    <w:rsid w:val="00E33D24"/>
    <w:rsid w:val="00E34A4A"/>
    <w:rsid w:val="00E35AFC"/>
    <w:rsid w:val="00E36185"/>
    <w:rsid w:val="00E41D39"/>
    <w:rsid w:val="00E42B54"/>
    <w:rsid w:val="00E47802"/>
    <w:rsid w:val="00E50A02"/>
    <w:rsid w:val="00E540D5"/>
    <w:rsid w:val="00E54106"/>
    <w:rsid w:val="00E54697"/>
    <w:rsid w:val="00E57A08"/>
    <w:rsid w:val="00E6062C"/>
    <w:rsid w:val="00E629BC"/>
    <w:rsid w:val="00E63631"/>
    <w:rsid w:val="00E64C2A"/>
    <w:rsid w:val="00E64D89"/>
    <w:rsid w:val="00E65C85"/>
    <w:rsid w:val="00E66199"/>
    <w:rsid w:val="00E70526"/>
    <w:rsid w:val="00E746A7"/>
    <w:rsid w:val="00E754B4"/>
    <w:rsid w:val="00E755EC"/>
    <w:rsid w:val="00E7624D"/>
    <w:rsid w:val="00E81724"/>
    <w:rsid w:val="00E819A4"/>
    <w:rsid w:val="00E833FA"/>
    <w:rsid w:val="00E83F92"/>
    <w:rsid w:val="00E84B74"/>
    <w:rsid w:val="00E87066"/>
    <w:rsid w:val="00E8720B"/>
    <w:rsid w:val="00E94666"/>
    <w:rsid w:val="00E966BF"/>
    <w:rsid w:val="00EA0C04"/>
    <w:rsid w:val="00EA3D42"/>
    <w:rsid w:val="00EA45D6"/>
    <w:rsid w:val="00EA52CA"/>
    <w:rsid w:val="00EA6B1B"/>
    <w:rsid w:val="00EA6CA5"/>
    <w:rsid w:val="00EB1CBD"/>
    <w:rsid w:val="00EB3A34"/>
    <w:rsid w:val="00EB3C3F"/>
    <w:rsid w:val="00EC04F1"/>
    <w:rsid w:val="00EC237F"/>
    <w:rsid w:val="00EC573A"/>
    <w:rsid w:val="00ED1423"/>
    <w:rsid w:val="00ED35C8"/>
    <w:rsid w:val="00ED3968"/>
    <w:rsid w:val="00ED3DE5"/>
    <w:rsid w:val="00ED7323"/>
    <w:rsid w:val="00EE1228"/>
    <w:rsid w:val="00EE28F3"/>
    <w:rsid w:val="00EE50D1"/>
    <w:rsid w:val="00EE56FE"/>
    <w:rsid w:val="00EE6F4F"/>
    <w:rsid w:val="00EE719B"/>
    <w:rsid w:val="00EE7614"/>
    <w:rsid w:val="00EF11FA"/>
    <w:rsid w:val="00EF1D8B"/>
    <w:rsid w:val="00EF5110"/>
    <w:rsid w:val="00EF5890"/>
    <w:rsid w:val="00EF76BA"/>
    <w:rsid w:val="00F012EF"/>
    <w:rsid w:val="00F0231A"/>
    <w:rsid w:val="00F028A3"/>
    <w:rsid w:val="00F03463"/>
    <w:rsid w:val="00F036B7"/>
    <w:rsid w:val="00F03915"/>
    <w:rsid w:val="00F048CF"/>
    <w:rsid w:val="00F0530C"/>
    <w:rsid w:val="00F0700F"/>
    <w:rsid w:val="00F07F1F"/>
    <w:rsid w:val="00F10411"/>
    <w:rsid w:val="00F10A5F"/>
    <w:rsid w:val="00F10A9A"/>
    <w:rsid w:val="00F11B2D"/>
    <w:rsid w:val="00F121C2"/>
    <w:rsid w:val="00F1485B"/>
    <w:rsid w:val="00F15882"/>
    <w:rsid w:val="00F170C7"/>
    <w:rsid w:val="00F171E0"/>
    <w:rsid w:val="00F2076F"/>
    <w:rsid w:val="00F20BD3"/>
    <w:rsid w:val="00F261B5"/>
    <w:rsid w:val="00F2722C"/>
    <w:rsid w:val="00F322E9"/>
    <w:rsid w:val="00F3231B"/>
    <w:rsid w:val="00F32915"/>
    <w:rsid w:val="00F33808"/>
    <w:rsid w:val="00F373A5"/>
    <w:rsid w:val="00F37864"/>
    <w:rsid w:val="00F404F9"/>
    <w:rsid w:val="00F418B7"/>
    <w:rsid w:val="00F43865"/>
    <w:rsid w:val="00F44B0A"/>
    <w:rsid w:val="00F47559"/>
    <w:rsid w:val="00F50B30"/>
    <w:rsid w:val="00F50DF1"/>
    <w:rsid w:val="00F51F5F"/>
    <w:rsid w:val="00F52D75"/>
    <w:rsid w:val="00F530A8"/>
    <w:rsid w:val="00F55582"/>
    <w:rsid w:val="00F568D1"/>
    <w:rsid w:val="00F57647"/>
    <w:rsid w:val="00F62A14"/>
    <w:rsid w:val="00F63826"/>
    <w:rsid w:val="00F644AB"/>
    <w:rsid w:val="00F64C7B"/>
    <w:rsid w:val="00F65783"/>
    <w:rsid w:val="00F676DD"/>
    <w:rsid w:val="00F67AB6"/>
    <w:rsid w:val="00F70028"/>
    <w:rsid w:val="00F70434"/>
    <w:rsid w:val="00F73C5D"/>
    <w:rsid w:val="00F75A26"/>
    <w:rsid w:val="00F76706"/>
    <w:rsid w:val="00F77935"/>
    <w:rsid w:val="00F77D0A"/>
    <w:rsid w:val="00F77D6D"/>
    <w:rsid w:val="00F80206"/>
    <w:rsid w:val="00F802E7"/>
    <w:rsid w:val="00F83034"/>
    <w:rsid w:val="00F83FAD"/>
    <w:rsid w:val="00F844C6"/>
    <w:rsid w:val="00F86128"/>
    <w:rsid w:val="00F87395"/>
    <w:rsid w:val="00F87E39"/>
    <w:rsid w:val="00F911DF"/>
    <w:rsid w:val="00F92FA6"/>
    <w:rsid w:val="00F9353B"/>
    <w:rsid w:val="00F937F1"/>
    <w:rsid w:val="00F952A0"/>
    <w:rsid w:val="00F961B8"/>
    <w:rsid w:val="00FA02C4"/>
    <w:rsid w:val="00FA31B1"/>
    <w:rsid w:val="00FA3320"/>
    <w:rsid w:val="00FA3C7F"/>
    <w:rsid w:val="00FA6246"/>
    <w:rsid w:val="00FB1492"/>
    <w:rsid w:val="00FB24ED"/>
    <w:rsid w:val="00FB3304"/>
    <w:rsid w:val="00FB386B"/>
    <w:rsid w:val="00FB5005"/>
    <w:rsid w:val="00FB60FE"/>
    <w:rsid w:val="00FB6C0D"/>
    <w:rsid w:val="00FB6CE8"/>
    <w:rsid w:val="00FB74E2"/>
    <w:rsid w:val="00FB778B"/>
    <w:rsid w:val="00FC0A61"/>
    <w:rsid w:val="00FC540C"/>
    <w:rsid w:val="00FC6DC6"/>
    <w:rsid w:val="00FC78FA"/>
    <w:rsid w:val="00FD0849"/>
    <w:rsid w:val="00FD52A7"/>
    <w:rsid w:val="00FD52CA"/>
    <w:rsid w:val="00FD5614"/>
    <w:rsid w:val="00FD5E78"/>
    <w:rsid w:val="00FD7F7D"/>
    <w:rsid w:val="00FE0BE1"/>
    <w:rsid w:val="00FE11BB"/>
    <w:rsid w:val="00FE1DE9"/>
    <w:rsid w:val="00FE2732"/>
    <w:rsid w:val="00FE3548"/>
    <w:rsid w:val="00FE36AF"/>
    <w:rsid w:val="00FE39C2"/>
    <w:rsid w:val="00FE3C32"/>
    <w:rsid w:val="00FE4C25"/>
    <w:rsid w:val="00FE51CA"/>
    <w:rsid w:val="00FE64AE"/>
    <w:rsid w:val="00FF1E4F"/>
    <w:rsid w:val="00FF51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2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ind w:left="1004"/>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ind w:left="1004"/>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68796457">
      <w:bodyDiv w:val="1"/>
      <w:marLeft w:val="0"/>
      <w:marRight w:val="0"/>
      <w:marTop w:val="0"/>
      <w:marBottom w:val="0"/>
      <w:divBdr>
        <w:top w:val="none" w:sz="0" w:space="0" w:color="auto"/>
        <w:left w:val="none" w:sz="0" w:space="0" w:color="auto"/>
        <w:bottom w:val="none" w:sz="0" w:space="0" w:color="auto"/>
        <w:right w:val="none" w:sz="0" w:space="0" w:color="auto"/>
      </w:divBdr>
    </w:div>
    <w:div w:id="814761426">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90949661">
      <w:bodyDiv w:val="1"/>
      <w:marLeft w:val="0"/>
      <w:marRight w:val="0"/>
      <w:marTop w:val="0"/>
      <w:marBottom w:val="0"/>
      <w:divBdr>
        <w:top w:val="none" w:sz="0" w:space="0" w:color="auto"/>
        <w:left w:val="none" w:sz="0" w:space="0" w:color="auto"/>
        <w:bottom w:val="none" w:sz="0" w:space="0" w:color="auto"/>
        <w:right w:val="none" w:sz="0" w:space="0" w:color="auto"/>
      </w:divBdr>
    </w:div>
    <w:div w:id="1499923845">
      <w:bodyDiv w:val="1"/>
      <w:marLeft w:val="0"/>
      <w:marRight w:val="0"/>
      <w:marTop w:val="0"/>
      <w:marBottom w:val="0"/>
      <w:divBdr>
        <w:top w:val="none" w:sz="0" w:space="0" w:color="auto"/>
        <w:left w:val="none" w:sz="0" w:space="0" w:color="auto"/>
        <w:bottom w:val="none" w:sz="0" w:space="0" w:color="auto"/>
        <w:right w:val="none" w:sz="0" w:space="0" w:color="auto"/>
      </w:divBdr>
    </w:div>
    <w:div w:id="195448315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2.jpeg"/><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5E578371.dotm</Template>
  <TotalTime>0</TotalTime>
  <Pages>25</Pages>
  <Words>6706</Words>
  <Characters>38225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AER draft decision - TasNetworks - Attachment 7 - Operating expenditure</vt:lpstr>
    </vt:vector>
  </TitlesOfParts>
  <LinksUpToDate>false</LinksUpToDate>
  <CharactersWithSpaces>44842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TasNetworks - Attachment 7 - Operating expenditure</dc:title>
  <dc:creator/>
  <cp:lastModifiedBy/>
  <cp:revision>1</cp:revision>
  <dcterms:created xsi:type="dcterms:W3CDTF">2016-09-28T01:38:00Z</dcterms:created>
  <dcterms:modified xsi:type="dcterms:W3CDTF">2016-09-28T01:38:00Z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draft decision tasnetworks distribution determination - attachment 7 - operating expenditure - september 2016 (D2015-00171105).docx</vt:lpwstr>
  </property>
</Properties>
</file>