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4885B77E" wp14:editId="4CDD4227">
                <wp:simplePos x="0" y="0"/>
                <wp:positionH relativeFrom="column">
                  <wp:posOffset>-1116964</wp:posOffset>
                </wp:positionH>
                <wp:positionV relativeFrom="paragraph">
                  <wp:posOffset>-1000406</wp:posOffset>
                </wp:positionV>
                <wp:extent cx="7734300" cy="10932441"/>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734300" cy="10932441"/>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5F3FA2CA" wp14:editId="27550A4F">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0474DF">
            <w:t>DRAFT</w:t>
          </w:r>
          <w:r w:rsidR="00DA4752">
            <w:t xml:space="preserve"> DECISION</w:t>
          </w:r>
        </w:p>
        <w:p w:rsidR="00415F31" w:rsidRDefault="004523B2" w:rsidP="008F07A3">
          <w:pPr>
            <w:pStyle w:val="ReportSubtitle"/>
          </w:pPr>
          <w:r>
            <w:t>TasNetworks distribution</w:t>
          </w:r>
          <w:r w:rsidR="00415F31">
            <w:t xml:space="preserve"> </w:t>
          </w:r>
          <w:r w:rsidR="00DA4752">
            <w:t>determination</w:t>
          </w:r>
        </w:p>
        <w:p w:rsidR="000A6C7B" w:rsidRDefault="00DA4752" w:rsidP="008F07A3">
          <w:pPr>
            <w:pStyle w:val="ReportSubtitle"/>
          </w:pPr>
          <w:r>
            <w:t xml:space="preserve"> 201</w:t>
          </w:r>
          <w:r w:rsidR="000474DF">
            <w:t>7</w:t>
          </w:r>
          <w:r>
            <w:rPr>
              <w:rFonts w:cs="Arial"/>
            </w:rPr>
            <w:t>−</w:t>
          </w:r>
          <w:r>
            <w:t>1</w:t>
          </w:r>
          <w:r w:rsidR="000474DF">
            <w:t>8 to 20</w:t>
          </w:r>
          <w:r w:rsidR="004523B2">
            <w:t>18</w:t>
          </w:r>
          <w:r>
            <w:rPr>
              <w:rFonts w:cs="Arial"/>
            </w:rPr>
            <w:t>−</w:t>
          </w:r>
          <w:r w:rsidR="004523B2">
            <w:t>19</w:t>
          </w:r>
        </w:p>
        <w:p w:rsidR="008F07A3" w:rsidRPr="000A6C7B" w:rsidRDefault="008F07A3" w:rsidP="008F07A3">
          <w:pPr>
            <w:pStyle w:val="ReportSubtitle"/>
          </w:pPr>
        </w:p>
        <w:p w:rsidR="000A6C7B" w:rsidRDefault="0037699E" w:rsidP="008F07A3">
          <w:pPr>
            <w:pStyle w:val="ReportSubtitle"/>
          </w:pPr>
          <w:r>
            <w:t xml:space="preserve">Attachment </w:t>
          </w:r>
          <w:r w:rsidR="00441F4E">
            <w:t>9</w:t>
          </w:r>
          <w:r w:rsidR="000474DF">
            <w:t xml:space="preserve"> </w:t>
          </w:r>
          <w:r w:rsidR="00185BA5">
            <w:t>–</w:t>
          </w:r>
          <w:r w:rsidR="000474DF">
            <w:t xml:space="preserve"> </w:t>
          </w:r>
          <w:r w:rsidR="00441F4E">
            <w:t>Efficiency benefit</w:t>
          </w:r>
          <w:r w:rsidR="00F2722C">
            <w:t xml:space="preserve"> sharing</w:t>
          </w:r>
          <w:r w:rsidR="00C53CB4">
            <w:t xml:space="preserve"> </w:t>
          </w:r>
          <w:r w:rsidR="00CC058C">
            <w:t>scheme</w:t>
          </w:r>
        </w:p>
        <w:p w:rsidR="000A6C7B" w:rsidRPr="00327A1E" w:rsidRDefault="000474DF" w:rsidP="00327A1E">
          <w:pPr>
            <w:pStyle w:val="ReportDate"/>
          </w:pPr>
          <w:r>
            <w:t>September 2016</w:t>
          </w:r>
        </w:p>
      </w:sdtContent>
    </w:sdt>
    <w:p w:rsidR="00327A1E" w:rsidRPr="00290C63" w:rsidRDefault="00327A1E" w:rsidP="00290C63">
      <w:r>
        <w:br w:type="page"/>
      </w:r>
    </w:p>
    <w:p w:rsidR="00CE2A23" w:rsidRDefault="00CE2A23" w:rsidP="00761454">
      <w:bookmarkStart w:id="0"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proofErr w:type="gramStart"/>
      <w:r>
        <w:t>or</w:t>
      </w:r>
      <w:proofErr w:type="gramEnd"/>
      <w:r>
        <w:t xml:space="preserve">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 xml:space="preserve">Tel: </w:t>
      </w:r>
      <w:r w:rsidR="00965BEA">
        <w:t>1300 585 165</w:t>
      </w:r>
      <w:r>
        <w:br/>
        <w:t xml:space="preserve">Email: </w:t>
      </w:r>
      <w:hyperlink r:id="rId12"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1" w:name="_Toc404153950"/>
      <w:bookmarkStart w:id="2" w:name="_Toc404437593"/>
      <w:bookmarkStart w:id="3" w:name="_Toc462826347"/>
      <w:r>
        <w:lastRenderedPageBreak/>
        <w:t>Note</w:t>
      </w:r>
      <w:bookmarkEnd w:id="1"/>
      <w:bookmarkEnd w:id="2"/>
      <w:bookmarkEnd w:id="3"/>
    </w:p>
    <w:p w:rsidR="00761454" w:rsidRDefault="00761454" w:rsidP="00761454">
      <w:pPr>
        <w:numPr>
          <w:ilvl w:val="0"/>
          <w:numId w:val="24"/>
        </w:numPr>
      </w:pPr>
      <w:r>
        <w:t xml:space="preserve">This </w:t>
      </w:r>
      <w:r w:rsidR="00C47DF2">
        <w:t xml:space="preserve">attachment </w:t>
      </w:r>
      <w:r>
        <w:t xml:space="preserve">forms part of the AER's </w:t>
      </w:r>
      <w:r w:rsidR="000474DF">
        <w:t xml:space="preserve">draft </w:t>
      </w:r>
      <w:r>
        <w:t xml:space="preserve">decision on </w:t>
      </w:r>
      <w:r w:rsidR="004523B2">
        <w:t>TasNetworks' distribution</w:t>
      </w:r>
      <w:r>
        <w:t xml:space="preserve"> determination for 201</w:t>
      </w:r>
      <w:r w:rsidR="000474DF">
        <w:t>7</w:t>
      </w:r>
      <w:r w:rsidRPr="00F02D30">
        <w:t>–</w:t>
      </w:r>
      <w:r w:rsidR="004523B2">
        <w:t>19</w:t>
      </w:r>
      <w:r>
        <w:t xml:space="preserve">. It should be read with </w:t>
      </w:r>
      <w:r w:rsidR="000474DF">
        <w:t xml:space="preserve">all </w:t>
      </w:r>
      <w:r>
        <w:t xml:space="preserve">other parts of the </w:t>
      </w:r>
      <w:r w:rsidR="000474DF">
        <w:t>draft</w:t>
      </w:r>
      <w:r>
        <w:t xml:space="preserve"> decision.</w:t>
      </w:r>
    </w:p>
    <w:p w:rsidR="00761454" w:rsidRDefault="00761454" w:rsidP="00761454">
      <w:pPr>
        <w:numPr>
          <w:ilvl w:val="0"/>
          <w:numId w:val="24"/>
        </w:numPr>
      </w:pPr>
      <w:r>
        <w:t xml:space="preserve">The </w:t>
      </w:r>
      <w:r w:rsidR="000474DF">
        <w:t>draft</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Attachment 18 – Connection policy</w:t>
      </w:r>
    </w:p>
    <w:p w:rsidR="00965BEA" w:rsidRDefault="00965BEA" w:rsidP="00761454">
      <w:pPr>
        <w:numPr>
          <w:ilvl w:val="0"/>
          <w:numId w:val="24"/>
        </w:numPr>
      </w:pPr>
      <w:r>
        <w:t>Attachment 19 – Tariff structure statement</w:t>
      </w:r>
    </w:p>
    <w:p w:rsidR="004523B2" w:rsidRPr="00F02D30" w:rsidRDefault="004523B2" w:rsidP="00761454">
      <w:pPr>
        <w:numPr>
          <w:ilvl w:val="0"/>
          <w:numId w:val="24"/>
        </w:numPr>
      </w:pPr>
    </w:p>
    <w:p w:rsidR="00761454" w:rsidRPr="009D3906" w:rsidRDefault="00761454" w:rsidP="00761454"/>
    <w:p w:rsidR="00CE2A23" w:rsidRPr="00CE2A23" w:rsidRDefault="00CE2A23" w:rsidP="00CE2A23">
      <w:bookmarkStart w:id="4" w:name="_Toc404354899"/>
      <w:bookmarkStart w:id="5" w:name="_Toc404353070"/>
      <w:bookmarkStart w:id="6" w:name="_Toc404684201"/>
      <w:bookmarkStart w:id="7" w:name="_Toc404700923"/>
      <w:r>
        <w:br w:type="page"/>
      </w:r>
    </w:p>
    <w:bookmarkEnd w:id="4"/>
    <w:bookmarkEnd w:id="5"/>
    <w:bookmarkEnd w:id="6"/>
    <w:bookmarkEnd w:id="7"/>
    <w:p w:rsidR="00CE2A23" w:rsidRPr="008F07A3" w:rsidRDefault="00CE2A23" w:rsidP="00CE2A23">
      <w:pPr>
        <w:numPr>
          <w:ilvl w:val="0"/>
          <w:numId w:val="24"/>
        </w:numPr>
        <w:sectPr w:rsidR="00CE2A23" w:rsidRPr="008F07A3" w:rsidSect="00317E02">
          <w:headerReference w:type="even" r:id="rId13"/>
          <w:headerReference w:type="default" r:id="rId14"/>
          <w:footerReference w:type="even" r:id="rId15"/>
          <w:footerReference w:type="default" r:id="rId16"/>
          <w:headerReference w:type="first" r:id="rId17"/>
          <w:footerReference w:type="first" r:id="rId18"/>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8" w:name="_Toc403144133"/>
      <w:bookmarkStart w:id="9" w:name="_Toc462826348"/>
      <w:r>
        <w:lastRenderedPageBreak/>
        <w:t>Contents</w:t>
      </w:r>
      <w:bookmarkEnd w:id="8"/>
      <w:bookmarkEnd w:id="9"/>
    </w:p>
    <w:p w:rsidR="00CE2A23" w:rsidRDefault="00CE2A23" w:rsidP="00CE2A23"/>
    <w:sdt>
      <w:sdtPr>
        <w:id w:val="1269200322"/>
        <w:docPartObj>
          <w:docPartGallery w:val="Table of Contents"/>
          <w:docPartUnique/>
        </w:docPartObj>
      </w:sdtPr>
      <w:sdtEndPr/>
      <w:sdtContent>
        <w:p w:rsidR="00861EA6" w:rsidRDefault="00CD283C">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7,1,Heading 8,2,Heading 9,3" </w:instrText>
          </w:r>
          <w:r>
            <w:fldChar w:fldCharType="separate"/>
          </w:r>
          <w:hyperlink w:anchor="_Toc462826347" w:history="1">
            <w:r w:rsidR="00861EA6" w:rsidRPr="00440856">
              <w:rPr>
                <w:rStyle w:val="Hyperlink"/>
              </w:rPr>
              <w:t>Note</w:t>
            </w:r>
            <w:r w:rsidR="00861EA6">
              <w:rPr>
                <w:webHidden/>
              </w:rPr>
              <w:tab/>
            </w:r>
            <w:r w:rsidR="00861EA6">
              <w:rPr>
                <w:webHidden/>
              </w:rPr>
              <w:fldChar w:fldCharType="begin"/>
            </w:r>
            <w:r w:rsidR="00861EA6">
              <w:rPr>
                <w:webHidden/>
              </w:rPr>
              <w:instrText xml:space="preserve"> PAGEREF _Toc462826347 \h </w:instrText>
            </w:r>
            <w:r w:rsidR="00861EA6">
              <w:rPr>
                <w:webHidden/>
              </w:rPr>
            </w:r>
            <w:r w:rsidR="00861EA6">
              <w:rPr>
                <w:webHidden/>
              </w:rPr>
              <w:fldChar w:fldCharType="separate"/>
            </w:r>
            <w:r w:rsidR="00861EA6">
              <w:rPr>
                <w:webHidden/>
              </w:rPr>
              <w:t>9-2</w:t>
            </w:r>
            <w:r w:rsidR="00861EA6">
              <w:rPr>
                <w:webHidden/>
              </w:rPr>
              <w:fldChar w:fldCharType="end"/>
            </w:r>
          </w:hyperlink>
        </w:p>
        <w:p w:rsidR="00861EA6" w:rsidRDefault="00861EA6">
          <w:pPr>
            <w:pStyle w:val="TOC1"/>
            <w:rPr>
              <w:rFonts w:asciiTheme="minorHAnsi" w:eastAsiaTheme="minorEastAsia" w:hAnsiTheme="minorHAnsi"/>
              <w:b w:val="0"/>
              <w:color w:val="auto"/>
              <w:sz w:val="22"/>
              <w:lang w:val="en-AU" w:eastAsia="en-AU"/>
            </w:rPr>
          </w:pPr>
          <w:hyperlink w:anchor="_Toc462826348" w:history="1">
            <w:r w:rsidRPr="00440856">
              <w:rPr>
                <w:rStyle w:val="Hyperlink"/>
              </w:rPr>
              <w:t>Contents</w:t>
            </w:r>
            <w:r>
              <w:rPr>
                <w:webHidden/>
              </w:rPr>
              <w:tab/>
            </w:r>
            <w:r>
              <w:rPr>
                <w:webHidden/>
              </w:rPr>
              <w:fldChar w:fldCharType="begin"/>
            </w:r>
            <w:r>
              <w:rPr>
                <w:webHidden/>
              </w:rPr>
              <w:instrText xml:space="preserve"> PAGEREF _Toc462826348 \h </w:instrText>
            </w:r>
            <w:r>
              <w:rPr>
                <w:webHidden/>
              </w:rPr>
            </w:r>
            <w:r>
              <w:rPr>
                <w:webHidden/>
              </w:rPr>
              <w:fldChar w:fldCharType="separate"/>
            </w:r>
            <w:r>
              <w:rPr>
                <w:webHidden/>
              </w:rPr>
              <w:t>9-3</w:t>
            </w:r>
            <w:r>
              <w:rPr>
                <w:webHidden/>
              </w:rPr>
              <w:fldChar w:fldCharType="end"/>
            </w:r>
          </w:hyperlink>
        </w:p>
        <w:p w:rsidR="00861EA6" w:rsidRDefault="00861EA6">
          <w:pPr>
            <w:pStyle w:val="TOC1"/>
            <w:rPr>
              <w:rFonts w:asciiTheme="minorHAnsi" w:eastAsiaTheme="minorEastAsia" w:hAnsiTheme="minorHAnsi"/>
              <w:b w:val="0"/>
              <w:color w:val="auto"/>
              <w:sz w:val="22"/>
              <w:lang w:val="en-AU" w:eastAsia="en-AU"/>
            </w:rPr>
          </w:pPr>
          <w:hyperlink w:anchor="_Toc462826349" w:history="1">
            <w:r w:rsidRPr="00440856">
              <w:rPr>
                <w:rStyle w:val="Hyperlink"/>
              </w:rPr>
              <w:t>Shortened forms</w:t>
            </w:r>
            <w:r>
              <w:rPr>
                <w:webHidden/>
              </w:rPr>
              <w:tab/>
            </w:r>
            <w:r>
              <w:rPr>
                <w:webHidden/>
              </w:rPr>
              <w:fldChar w:fldCharType="begin"/>
            </w:r>
            <w:r>
              <w:rPr>
                <w:webHidden/>
              </w:rPr>
              <w:instrText xml:space="preserve"> PAGEREF _Toc462826349 \h </w:instrText>
            </w:r>
            <w:r>
              <w:rPr>
                <w:webHidden/>
              </w:rPr>
            </w:r>
            <w:r>
              <w:rPr>
                <w:webHidden/>
              </w:rPr>
              <w:fldChar w:fldCharType="separate"/>
            </w:r>
            <w:r>
              <w:rPr>
                <w:webHidden/>
              </w:rPr>
              <w:t>9-4</w:t>
            </w:r>
            <w:r>
              <w:rPr>
                <w:webHidden/>
              </w:rPr>
              <w:fldChar w:fldCharType="end"/>
            </w:r>
          </w:hyperlink>
        </w:p>
        <w:p w:rsidR="00861EA6" w:rsidRDefault="00861EA6">
          <w:pPr>
            <w:pStyle w:val="TOC1"/>
            <w:rPr>
              <w:rFonts w:asciiTheme="minorHAnsi" w:eastAsiaTheme="minorEastAsia" w:hAnsiTheme="minorHAnsi"/>
              <w:b w:val="0"/>
              <w:color w:val="auto"/>
              <w:sz w:val="22"/>
              <w:lang w:val="en-AU" w:eastAsia="en-AU"/>
            </w:rPr>
          </w:pPr>
          <w:hyperlink w:anchor="_Toc462826350" w:history="1">
            <w:r w:rsidRPr="00440856">
              <w:rPr>
                <w:rStyle w:val="Hyperlink"/>
              </w:rPr>
              <w:t>9</w:t>
            </w:r>
            <w:r>
              <w:rPr>
                <w:rFonts w:asciiTheme="minorHAnsi" w:eastAsiaTheme="minorEastAsia" w:hAnsiTheme="minorHAnsi"/>
                <w:b w:val="0"/>
                <w:color w:val="auto"/>
                <w:sz w:val="22"/>
                <w:lang w:val="en-AU" w:eastAsia="en-AU"/>
              </w:rPr>
              <w:tab/>
            </w:r>
            <w:r w:rsidRPr="00440856">
              <w:rPr>
                <w:rStyle w:val="Hyperlink"/>
              </w:rPr>
              <w:t>Efficiency benefit sharing scheme</w:t>
            </w:r>
            <w:r>
              <w:rPr>
                <w:webHidden/>
              </w:rPr>
              <w:tab/>
            </w:r>
            <w:r>
              <w:rPr>
                <w:webHidden/>
              </w:rPr>
              <w:fldChar w:fldCharType="begin"/>
            </w:r>
            <w:r>
              <w:rPr>
                <w:webHidden/>
              </w:rPr>
              <w:instrText xml:space="preserve"> PAGEREF _Toc462826350 \h </w:instrText>
            </w:r>
            <w:r>
              <w:rPr>
                <w:webHidden/>
              </w:rPr>
            </w:r>
            <w:r>
              <w:rPr>
                <w:webHidden/>
              </w:rPr>
              <w:fldChar w:fldCharType="separate"/>
            </w:r>
            <w:r>
              <w:rPr>
                <w:webHidden/>
              </w:rPr>
              <w:t>9-6</w:t>
            </w:r>
            <w:r>
              <w:rPr>
                <w:webHidden/>
              </w:rPr>
              <w:fldChar w:fldCharType="end"/>
            </w:r>
          </w:hyperlink>
        </w:p>
        <w:p w:rsidR="00861EA6" w:rsidRDefault="00861EA6">
          <w:pPr>
            <w:pStyle w:val="TOC2"/>
            <w:rPr>
              <w:rFonts w:asciiTheme="minorHAnsi" w:eastAsiaTheme="minorEastAsia" w:hAnsiTheme="minorHAnsi"/>
              <w:b w:val="0"/>
              <w:color w:val="auto"/>
              <w:sz w:val="22"/>
              <w:lang w:eastAsia="en-AU"/>
            </w:rPr>
          </w:pPr>
          <w:hyperlink w:anchor="_Toc462826351" w:history="1">
            <w:r w:rsidRPr="00440856">
              <w:rPr>
                <w:rStyle w:val="Hyperlink"/>
              </w:rPr>
              <w:t>9.1</w:t>
            </w:r>
            <w:r>
              <w:rPr>
                <w:rFonts w:asciiTheme="minorHAnsi" w:eastAsiaTheme="minorEastAsia" w:hAnsiTheme="minorHAnsi"/>
                <w:b w:val="0"/>
                <w:color w:val="auto"/>
                <w:sz w:val="22"/>
                <w:lang w:eastAsia="en-AU"/>
              </w:rPr>
              <w:tab/>
            </w:r>
            <w:r w:rsidRPr="00440856">
              <w:rPr>
                <w:rStyle w:val="Hyperlink"/>
              </w:rPr>
              <w:t>Draft decision</w:t>
            </w:r>
            <w:r>
              <w:rPr>
                <w:webHidden/>
              </w:rPr>
              <w:tab/>
            </w:r>
            <w:r>
              <w:rPr>
                <w:webHidden/>
              </w:rPr>
              <w:fldChar w:fldCharType="begin"/>
            </w:r>
            <w:r>
              <w:rPr>
                <w:webHidden/>
              </w:rPr>
              <w:instrText xml:space="preserve"> PAGEREF _Toc462826351 \h </w:instrText>
            </w:r>
            <w:r>
              <w:rPr>
                <w:webHidden/>
              </w:rPr>
            </w:r>
            <w:r>
              <w:rPr>
                <w:webHidden/>
              </w:rPr>
              <w:fldChar w:fldCharType="separate"/>
            </w:r>
            <w:r>
              <w:rPr>
                <w:webHidden/>
              </w:rPr>
              <w:t>9-6</w:t>
            </w:r>
            <w:r>
              <w:rPr>
                <w:webHidden/>
              </w:rPr>
              <w:fldChar w:fldCharType="end"/>
            </w:r>
          </w:hyperlink>
        </w:p>
        <w:p w:rsidR="00861EA6" w:rsidRDefault="00861EA6">
          <w:pPr>
            <w:pStyle w:val="TOC2"/>
            <w:rPr>
              <w:rFonts w:asciiTheme="minorHAnsi" w:eastAsiaTheme="minorEastAsia" w:hAnsiTheme="minorHAnsi"/>
              <w:b w:val="0"/>
              <w:color w:val="auto"/>
              <w:sz w:val="22"/>
              <w:lang w:eastAsia="en-AU"/>
            </w:rPr>
          </w:pPr>
          <w:hyperlink w:anchor="_Toc462826352" w:history="1">
            <w:r w:rsidRPr="00440856">
              <w:rPr>
                <w:rStyle w:val="Hyperlink"/>
              </w:rPr>
              <w:t>9.2</w:t>
            </w:r>
            <w:r>
              <w:rPr>
                <w:rFonts w:asciiTheme="minorHAnsi" w:eastAsiaTheme="minorEastAsia" w:hAnsiTheme="minorHAnsi"/>
                <w:b w:val="0"/>
                <w:color w:val="auto"/>
                <w:sz w:val="22"/>
                <w:lang w:eastAsia="en-AU"/>
              </w:rPr>
              <w:tab/>
            </w:r>
            <w:r w:rsidRPr="00440856">
              <w:rPr>
                <w:rStyle w:val="Hyperlink"/>
              </w:rPr>
              <w:t>TasNetworks' proposal</w:t>
            </w:r>
            <w:r>
              <w:rPr>
                <w:webHidden/>
              </w:rPr>
              <w:tab/>
            </w:r>
            <w:r>
              <w:rPr>
                <w:webHidden/>
              </w:rPr>
              <w:fldChar w:fldCharType="begin"/>
            </w:r>
            <w:r>
              <w:rPr>
                <w:webHidden/>
              </w:rPr>
              <w:instrText xml:space="preserve"> PAGEREF _Toc462826352 \h </w:instrText>
            </w:r>
            <w:r>
              <w:rPr>
                <w:webHidden/>
              </w:rPr>
            </w:r>
            <w:r>
              <w:rPr>
                <w:webHidden/>
              </w:rPr>
              <w:fldChar w:fldCharType="separate"/>
            </w:r>
            <w:r>
              <w:rPr>
                <w:webHidden/>
              </w:rPr>
              <w:t>9-7</w:t>
            </w:r>
            <w:r>
              <w:rPr>
                <w:webHidden/>
              </w:rPr>
              <w:fldChar w:fldCharType="end"/>
            </w:r>
          </w:hyperlink>
        </w:p>
        <w:p w:rsidR="00861EA6" w:rsidRDefault="00861EA6">
          <w:pPr>
            <w:pStyle w:val="TOC3"/>
            <w:rPr>
              <w:rFonts w:asciiTheme="minorHAnsi" w:eastAsiaTheme="minorEastAsia" w:hAnsiTheme="minorHAnsi"/>
              <w:lang w:eastAsia="en-AU"/>
            </w:rPr>
          </w:pPr>
          <w:hyperlink w:anchor="_Toc462826353" w:history="1">
            <w:r w:rsidRPr="00440856">
              <w:rPr>
                <w:rStyle w:val="Hyperlink"/>
              </w:rPr>
              <w:t>9.2.1</w:t>
            </w:r>
            <w:r>
              <w:rPr>
                <w:rFonts w:asciiTheme="minorHAnsi" w:eastAsiaTheme="minorEastAsia" w:hAnsiTheme="minorHAnsi"/>
                <w:lang w:eastAsia="en-AU"/>
              </w:rPr>
              <w:tab/>
            </w:r>
            <w:r w:rsidRPr="00440856">
              <w:rPr>
                <w:rStyle w:val="Hyperlink"/>
              </w:rPr>
              <w:t>Carryover amounts from the 2012–17 regulatory control period</w:t>
            </w:r>
            <w:r>
              <w:rPr>
                <w:webHidden/>
              </w:rPr>
              <w:tab/>
            </w:r>
            <w:r>
              <w:rPr>
                <w:webHidden/>
              </w:rPr>
              <w:fldChar w:fldCharType="begin"/>
            </w:r>
            <w:r>
              <w:rPr>
                <w:webHidden/>
              </w:rPr>
              <w:instrText xml:space="preserve"> PAGEREF _Toc462826353 \h </w:instrText>
            </w:r>
            <w:r>
              <w:rPr>
                <w:webHidden/>
              </w:rPr>
            </w:r>
            <w:r>
              <w:rPr>
                <w:webHidden/>
              </w:rPr>
              <w:fldChar w:fldCharType="separate"/>
            </w:r>
            <w:r>
              <w:rPr>
                <w:webHidden/>
              </w:rPr>
              <w:t>9-7</w:t>
            </w:r>
            <w:r>
              <w:rPr>
                <w:webHidden/>
              </w:rPr>
              <w:fldChar w:fldCharType="end"/>
            </w:r>
          </w:hyperlink>
        </w:p>
        <w:p w:rsidR="00861EA6" w:rsidRDefault="00861EA6">
          <w:pPr>
            <w:pStyle w:val="TOC3"/>
            <w:rPr>
              <w:rFonts w:asciiTheme="minorHAnsi" w:eastAsiaTheme="minorEastAsia" w:hAnsiTheme="minorHAnsi"/>
              <w:lang w:eastAsia="en-AU"/>
            </w:rPr>
          </w:pPr>
          <w:hyperlink w:anchor="_Toc462826354" w:history="1">
            <w:r w:rsidRPr="00440856">
              <w:rPr>
                <w:rStyle w:val="Hyperlink"/>
              </w:rPr>
              <w:t>9.2.2</w:t>
            </w:r>
            <w:r>
              <w:rPr>
                <w:rFonts w:asciiTheme="minorHAnsi" w:eastAsiaTheme="minorEastAsia" w:hAnsiTheme="minorHAnsi"/>
                <w:lang w:eastAsia="en-AU"/>
              </w:rPr>
              <w:tab/>
            </w:r>
            <w:r w:rsidRPr="00440856">
              <w:rPr>
                <w:rStyle w:val="Hyperlink"/>
              </w:rPr>
              <w:t>Application of the EBSS in the 2017–19 regulatory control period</w:t>
            </w:r>
            <w:r>
              <w:rPr>
                <w:webHidden/>
              </w:rPr>
              <w:tab/>
            </w:r>
            <w:r>
              <w:rPr>
                <w:webHidden/>
              </w:rPr>
              <w:fldChar w:fldCharType="begin"/>
            </w:r>
            <w:r>
              <w:rPr>
                <w:webHidden/>
              </w:rPr>
              <w:instrText xml:space="preserve"> PAGEREF _Toc462826354 \h </w:instrText>
            </w:r>
            <w:r>
              <w:rPr>
                <w:webHidden/>
              </w:rPr>
            </w:r>
            <w:r>
              <w:rPr>
                <w:webHidden/>
              </w:rPr>
              <w:fldChar w:fldCharType="separate"/>
            </w:r>
            <w:r>
              <w:rPr>
                <w:webHidden/>
              </w:rPr>
              <w:t>9-8</w:t>
            </w:r>
            <w:r>
              <w:rPr>
                <w:webHidden/>
              </w:rPr>
              <w:fldChar w:fldCharType="end"/>
            </w:r>
          </w:hyperlink>
        </w:p>
        <w:p w:rsidR="00861EA6" w:rsidRDefault="00861EA6">
          <w:pPr>
            <w:pStyle w:val="TOC2"/>
            <w:rPr>
              <w:rFonts w:asciiTheme="minorHAnsi" w:eastAsiaTheme="minorEastAsia" w:hAnsiTheme="minorHAnsi"/>
              <w:b w:val="0"/>
              <w:color w:val="auto"/>
              <w:sz w:val="22"/>
              <w:lang w:eastAsia="en-AU"/>
            </w:rPr>
          </w:pPr>
          <w:hyperlink w:anchor="_Toc462826355" w:history="1">
            <w:r w:rsidRPr="00440856">
              <w:rPr>
                <w:rStyle w:val="Hyperlink"/>
              </w:rPr>
              <w:t>9.3</w:t>
            </w:r>
            <w:r>
              <w:rPr>
                <w:rFonts w:asciiTheme="minorHAnsi" w:eastAsiaTheme="minorEastAsia" w:hAnsiTheme="minorHAnsi"/>
                <w:b w:val="0"/>
                <w:color w:val="auto"/>
                <w:sz w:val="22"/>
                <w:lang w:eastAsia="en-AU"/>
              </w:rPr>
              <w:tab/>
            </w:r>
            <w:r w:rsidRPr="00440856">
              <w:rPr>
                <w:rStyle w:val="Hyperlink"/>
              </w:rPr>
              <w:t>AER’s assessment approach</w:t>
            </w:r>
            <w:r>
              <w:rPr>
                <w:webHidden/>
              </w:rPr>
              <w:tab/>
            </w:r>
            <w:r>
              <w:rPr>
                <w:webHidden/>
              </w:rPr>
              <w:fldChar w:fldCharType="begin"/>
            </w:r>
            <w:r>
              <w:rPr>
                <w:webHidden/>
              </w:rPr>
              <w:instrText xml:space="preserve"> PAGEREF _Toc462826355 \h </w:instrText>
            </w:r>
            <w:r>
              <w:rPr>
                <w:webHidden/>
              </w:rPr>
            </w:r>
            <w:r>
              <w:rPr>
                <w:webHidden/>
              </w:rPr>
              <w:fldChar w:fldCharType="separate"/>
            </w:r>
            <w:r>
              <w:rPr>
                <w:webHidden/>
              </w:rPr>
              <w:t>9-8</w:t>
            </w:r>
            <w:r>
              <w:rPr>
                <w:webHidden/>
              </w:rPr>
              <w:fldChar w:fldCharType="end"/>
            </w:r>
          </w:hyperlink>
        </w:p>
        <w:p w:rsidR="00861EA6" w:rsidRDefault="00861EA6">
          <w:pPr>
            <w:pStyle w:val="TOC3"/>
            <w:rPr>
              <w:rFonts w:asciiTheme="minorHAnsi" w:eastAsiaTheme="minorEastAsia" w:hAnsiTheme="minorHAnsi"/>
              <w:lang w:eastAsia="en-AU"/>
            </w:rPr>
          </w:pPr>
          <w:hyperlink w:anchor="_Toc462826356" w:history="1">
            <w:r w:rsidRPr="00440856">
              <w:rPr>
                <w:rStyle w:val="Hyperlink"/>
              </w:rPr>
              <w:t>9.3.1</w:t>
            </w:r>
            <w:r>
              <w:rPr>
                <w:rFonts w:asciiTheme="minorHAnsi" w:eastAsiaTheme="minorEastAsia" w:hAnsiTheme="minorHAnsi"/>
                <w:lang w:eastAsia="en-AU"/>
              </w:rPr>
              <w:tab/>
            </w:r>
            <w:r w:rsidRPr="00440856">
              <w:rPr>
                <w:rStyle w:val="Hyperlink"/>
              </w:rPr>
              <w:t>Interrelationships</w:t>
            </w:r>
            <w:r>
              <w:rPr>
                <w:webHidden/>
              </w:rPr>
              <w:tab/>
            </w:r>
            <w:r>
              <w:rPr>
                <w:webHidden/>
              </w:rPr>
              <w:fldChar w:fldCharType="begin"/>
            </w:r>
            <w:r>
              <w:rPr>
                <w:webHidden/>
              </w:rPr>
              <w:instrText xml:space="preserve"> PAGEREF _Toc462826356 \h </w:instrText>
            </w:r>
            <w:r>
              <w:rPr>
                <w:webHidden/>
              </w:rPr>
            </w:r>
            <w:r>
              <w:rPr>
                <w:webHidden/>
              </w:rPr>
              <w:fldChar w:fldCharType="separate"/>
            </w:r>
            <w:r>
              <w:rPr>
                <w:webHidden/>
              </w:rPr>
              <w:t>9-9</w:t>
            </w:r>
            <w:r>
              <w:rPr>
                <w:webHidden/>
              </w:rPr>
              <w:fldChar w:fldCharType="end"/>
            </w:r>
          </w:hyperlink>
        </w:p>
        <w:p w:rsidR="00861EA6" w:rsidRDefault="00861EA6">
          <w:pPr>
            <w:pStyle w:val="TOC2"/>
            <w:rPr>
              <w:rFonts w:asciiTheme="minorHAnsi" w:eastAsiaTheme="minorEastAsia" w:hAnsiTheme="minorHAnsi"/>
              <w:b w:val="0"/>
              <w:color w:val="auto"/>
              <w:sz w:val="22"/>
              <w:lang w:eastAsia="en-AU"/>
            </w:rPr>
          </w:pPr>
          <w:hyperlink w:anchor="_Toc462826357" w:history="1">
            <w:r w:rsidRPr="00440856">
              <w:rPr>
                <w:rStyle w:val="Hyperlink"/>
              </w:rPr>
              <w:t>9.4</w:t>
            </w:r>
            <w:r>
              <w:rPr>
                <w:rFonts w:asciiTheme="minorHAnsi" w:eastAsiaTheme="minorEastAsia" w:hAnsiTheme="minorHAnsi"/>
                <w:b w:val="0"/>
                <w:color w:val="auto"/>
                <w:sz w:val="22"/>
                <w:lang w:eastAsia="en-AU"/>
              </w:rPr>
              <w:tab/>
            </w:r>
            <w:r w:rsidRPr="00440856">
              <w:rPr>
                <w:rStyle w:val="Hyperlink"/>
              </w:rPr>
              <w:t>Reasons for draft decision</w:t>
            </w:r>
            <w:r>
              <w:rPr>
                <w:webHidden/>
              </w:rPr>
              <w:tab/>
            </w:r>
            <w:r>
              <w:rPr>
                <w:webHidden/>
              </w:rPr>
              <w:fldChar w:fldCharType="begin"/>
            </w:r>
            <w:r>
              <w:rPr>
                <w:webHidden/>
              </w:rPr>
              <w:instrText xml:space="preserve"> PAGEREF _Toc462826357 \h </w:instrText>
            </w:r>
            <w:r>
              <w:rPr>
                <w:webHidden/>
              </w:rPr>
            </w:r>
            <w:r>
              <w:rPr>
                <w:webHidden/>
              </w:rPr>
              <w:fldChar w:fldCharType="separate"/>
            </w:r>
            <w:r>
              <w:rPr>
                <w:webHidden/>
              </w:rPr>
              <w:t>9-10</w:t>
            </w:r>
            <w:r>
              <w:rPr>
                <w:webHidden/>
              </w:rPr>
              <w:fldChar w:fldCharType="end"/>
            </w:r>
          </w:hyperlink>
        </w:p>
        <w:p w:rsidR="00861EA6" w:rsidRDefault="00861EA6">
          <w:pPr>
            <w:pStyle w:val="TOC3"/>
            <w:rPr>
              <w:rFonts w:asciiTheme="minorHAnsi" w:eastAsiaTheme="minorEastAsia" w:hAnsiTheme="minorHAnsi"/>
              <w:lang w:eastAsia="en-AU"/>
            </w:rPr>
          </w:pPr>
          <w:hyperlink w:anchor="_Toc462826358" w:history="1">
            <w:r w:rsidRPr="00440856">
              <w:rPr>
                <w:rStyle w:val="Hyperlink"/>
              </w:rPr>
              <w:t>9.4.1</w:t>
            </w:r>
            <w:r>
              <w:rPr>
                <w:rFonts w:asciiTheme="minorHAnsi" w:eastAsiaTheme="minorEastAsia" w:hAnsiTheme="minorHAnsi"/>
                <w:lang w:eastAsia="en-AU"/>
              </w:rPr>
              <w:tab/>
            </w:r>
            <w:r w:rsidRPr="00440856">
              <w:rPr>
                <w:rStyle w:val="Hyperlink"/>
              </w:rPr>
              <w:t>Carryover amounts from the 2012–17 regulatory control period</w:t>
            </w:r>
            <w:r>
              <w:rPr>
                <w:webHidden/>
              </w:rPr>
              <w:tab/>
            </w:r>
            <w:r>
              <w:rPr>
                <w:webHidden/>
              </w:rPr>
              <w:fldChar w:fldCharType="begin"/>
            </w:r>
            <w:r>
              <w:rPr>
                <w:webHidden/>
              </w:rPr>
              <w:instrText xml:space="preserve"> PAGEREF _Toc462826358 \h </w:instrText>
            </w:r>
            <w:r>
              <w:rPr>
                <w:webHidden/>
              </w:rPr>
            </w:r>
            <w:r>
              <w:rPr>
                <w:webHidden/>
              </w:rPr>
              <w:fldChar w:fldCharType="separate"/>
            </w:r>
            <w:r>
              <w:rPr>
                <w:webHidden/>
              </w:rPr>
              <w:t>9-10</w:t>
            </w:r>
            <w:r>
              <w:rPr>
                <w:webHidden/>
              </w:rPr>
              <w:fldChar w:fldCharType="end"/>
            </w:r>
          </w:hyperlink>
        </w:p>
        <w:p w:rsidR="00861EA6" w:rsidRDefault="00861EA6">
          <w:pPr>
            <w:pStyle w:val="TOC3"/>
            <w:rPr>
              <w:rFonts w:asciiTheme="minorHAnsi" w:eastAsiaTheme="minorEastAsia" w:hAnsiTheme="minorHAnsi"/>
              <w:lang w:eastAsia="en-AU"/>
            </w:rPr>
          </w:pPr>
          <w:hyperlink w:anchor="_Toc462826359" w:history="1">
            <w:r w:rsidRPr="00440856">
              <w:rPr>
                <w:rStyle w:val="Hyperlink"/>
              </w:rPr>
              <w:t>9.4.2</w:t>
            </w:r>
            <w:r>
              <w:rPr>
                <w:rFonts w:asciiTheme="minorHAnsi" w:eastAsiaTheme="minorEastAsia" w:hAnsiTheme="minorHAnsi"/>
                <w:lang w:eastAsia="en-AU"/>
              </w:rPr>
              <w:tab/>
            </w:r>
            <w:r w:rsidRPr="00440856">
              <w:rPr>
                <w:rStyle w:val="Hyperlink"/>
              </w:rPr>
              <w:t>Application of the EBSS in the 2017–19 regulatory control period</w:t>
            </w:r>
            <w:r>
              <w:rPr>
                <w:webHidden/>
              </w:rPr>
              <w:tab/>
            </w:r>
            <w:r>
              <w:rPr>
                <w:webHidden/>
              </w:rPr>
              <w:fldChar w:fldCharType="begin"/>
            </w:r>
            <w:r>
              <w:rPr>
                <w:webHidden/>
              </w:rPr>
              <w:instrText xml:space="preserve"> PAGEREF _Toc462826359 \h </w:instrText>
            </w:r>
            <w:r>
              <w:rPr>
                <w:webHidden/>
              </w:rPr>
            </w:r>
            <w:r>
              <w:rPr>
                <w:webHidden/>
              </w:rPr>
              <w:fldChar w:fldCharType="separate"/>
            </w:r>
            <w:r>
              <w:rPr>
                <w:webHidden/>
              </w:rPr>
              <w:t>9-13</w:t>
            </w:r>
            <w:r>
              <w:rPr>
                <w:webHidden/>
              </w:rPr>
              <w:fldChar w:fldCharType="end"/>
            </w:r>
          </w:hyperlink>
        </w:p>
        <w:p w:rsidR="00CE2A23" w:rsidRDefault="00CD283C" w:rsidP="00CD283C">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0" w:name="_Toc404700925"/>
      <w:bookmarkStart w:id="11" w:name="_Toc462826349"/>
      <w:r>
        <w:lastRenderedPageBreak/>
        <w:t>Shortened forms</w:t>
      </w:r>
      <w:bookmarkEnd w:id="10"/>
      <w:bookmarkEnd w:id="11"/>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CCP</w:t>
            </w:r>
          </w:p>
        </w:tc>
        <w:tc>
          <w:tcPr>
            <w:tcW w:w="4353" w:type="dxa"/>
          </w:tcPr>
          <w:p w:rsidR="004523B2" w:rsidRPr="004523B2" w:rsidRDefault="004523B2" w:rsidP="004523B2">
            <w:pPr>
              <w:pStyle w:val="AERtabletextleft"/>
              <w:rPr>
                <w:rStyle w:val="AERtextsize8"/>
              </w:rPr>
            </w:pPr>
            <w:r w:rsidRPr="00712239">
              <w:rPr>
                <w:rStyle w:val="AERtextsize8"/>
              </w:rPr>
              <w:t>Consumer Challenge Panel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c>
          <w:tcPr>
            <w:tcW w:w="4340" w:type="dxa"/>
          </w:tcPr>
          <w:p w:rsidR="004523B2" w:rsidRPr="004523B2" w:rsidRDefault="004523B2" w:rsidP="004523B2">
            <w:pPr>
              <w:pStyle w:val="AERtabletextleft"/>
              <w:rPr>
                <w:rStyle w:val="AERtextsize8"/>
              </w:rPr>
            </w:pPr>
            <w:proofErr w:type="spellStart"/>
            <w:r w:rsidRPr="00712239">
              <w:rPr>
                <w:rStyle w:val="AERtextsize8"/>
              </w:rPr>
              <w:t>DUoS</w:t>
            </w:r>
            <w:proofErr w:type="spellEnd"/>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lastRenderedPageBreak/>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w:t>
            </w:r>
            <w:proofErr w:type="spellStart"/>
            <w:r w:rsidRPr="00712239">
              <w:rPr>
                <w:rStyle w:val="AERtextsize8"/>
              </w:rPr>
              <w:t>Lintner</w:t>
            </w:r>
            <w:proofErr w:type="spellEnd"/>
            <w:r w:rsidRPr="00712239">
              <w:rPr>
                <w:rStyle w:val="AERtextsize8"/>
              </w:rPr>
              <w:t xml:space="preserve"> capital asset pricing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441F4E" w:rsidP="00441F4E">
      <w:pPr>
        <w:pStyle w:val="Heading1"/>
      </w:pPr>
      <w:bookmarkStart w:id="12" w:name="_Toc416278154"/>
      <w:bookmarkStart w:id="13" w:name="_Toc416346517"/>
      <w:bookmarkStart w:id="14" w:name="_Toc416278157"/>
      <w:bookmarkStart w:id="15" w:name="_Toc416346520"/>
      <w:bookmarkStart w:id="16" w:name="_Toc416278160"/>
      <w:bookmarkStart w:id="17" w:name="_Toc416346523"/>
      <w:bookmarkStart w:id="18" w:name="_Toc416278163"/>
      <w:bookmarkStart w:id="19" w:name="_Toc416346526"/>
      <w:bookmarkStart w:id="20" w:name="_Toc416278166"/>
      <w:bookmarkStart w:id="21" w:name="_Toc416346529"/>
      <w:bookmarkStart w:id="22" w:name="_Toc416278169"/>
      <w:bookmarkStart w:id="23" w:name="_Toc416346532"/>
      <w:bookmarkStart w:id="24" w:name="_Toc416278172"/>
      <w:bookmarkStart w:id="25" w:name="_Toc416346535"/>
      <w:bookmarkStart w:id="26" w:name="_Toc416278175"/>
      <w:bookmarkStart w:id="27" w:name="_Toc416346538"/>
      <w:bookmarkStart w:id="28" w:name="_Toc416278178"/>
      <w:bookmarkStart w:id="29" w:name="_Toc416346541"/>
      <w:bookmarkStart w:id="30" w:name="_Toc416278181"/>
      <w:bookmarkStart w:id="31" w:name="_Toc416346544"/>
      <w:bookmarkStart w:id="32" w:name="_Toc416278184"/>
      <w:bookmarkStart w:id="33" w:name="_Toc416346547"/>
      <w:bookmarkStart w:id="34" w:name="_Toc416278187"/>
      <w:bookmarkStart w:id="35" w:name="_Toc416346550"/>
      <w:bookmarkStart w:id="36" w:name="_Toc416278190"/>
      <w:bookmarkStart w:id="37" w:name="_Toc416346553"/>
      <w:bookmarkStart w:id="38" w:name="_Toc416278193"/>
      <w:bookmarkStart w:id="39" w:name="_Toc416346556"/>
      <w:bookmarkStart w:id="40" w:name="_Toc416278196"/>
      <w:bookmarkStart w:id="41" w:name="_Toc416346559"/>
      <w:bookmarkStart w:id="42" w:name="_Toc416278199"/>
      <w:bookmarkStart w:id="43" w:name="_Toc416346562"/>
      <w:bookmarkStart w:id="44" w:name="_Toc416278202"/>
      <w:bookmarkStart w:id="45" w:name="_Toc416346565"/>
      <w:bookmarkStart w:id="46" w:name="_Toc416278205"/>
      <w:bookmarkStart w:id="47" w:name="_Toc416346568"/>
      <w:bookmarkStart w:id="48" w:name="_Toc416278208"/>
      <w:bookmarkStart w:id="49" w:name="_Toc416346571"/>
      <w:bookmarkStart w:id="50" w:name="_Toc416278211"/>
      <w:bookmarkStart w:id="51" w:name="_Toc416346574"/>
      <w:bookmarkStart w:id="52" w:name="_Toc416278214"/>
      <w:bookmarkStart w:id="53" w:name="_Toc416346577"/>
      <w:bookmarkStart w:id="54" w:name="_Toc416278217"/>
      <w:bookmarkStart w:id="55" w:name="_Toc416346580"/>
      <w:bookmarkStart w:id="56" w:name="_Toc416278220"/>
      <w:bookmarkStart w:id="57" w:name="_Toc416346583"/>
      <w:bookmarkStart w:id="58" w:name="_Toc416278223"/>
      <w:bookmarkStart w:id="59" w:name="_Toc416346586"/>
      <w:bookmarkStart w:id="60" w:name="_Toc416278226"/>
      <w:bookmarkStart w:id="61" w:name="_Toc416346589"/>
      <w:bookmarkStart w:id="62" w:name="_Toc416278229"/>
      <w:bookmarkStart w:id="63" w:name="_Toc416346592"/>
      <w:bookmarkStart w:id="64" w:name="_Toc416278232"/>
      <w:bookmarkStart w:id="65" w:name="_Toc416346595"/>
      <w:bookmarkStart w:id="66" w:name="_Toc416278235"/>
      <w:bookmarkStart w:id="67" w:name="_Toc416346598"/>
      <w:bookmarkStart w:id="68" w:name="_Toc416278238"/>
      <w:bookmarkStart w:id="69" w:name="_Toc416346601"/>
      <w:bookmarkStart w:id="70" w:name="_Toc462826350"/>
      <w:bookmarkEnd w:id="0"/>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r>
        <w:lastRenderedPageBreak/>
        <w:t>Efficiency benefit</w:t>
      </w:r>
      <w:r w:rsidR="00F2722C">
        <w:t xml:space="preserve"> sharing</w:t>
      </w:r>
      <w:r w:rsidR="00CC058C">
        <w:t xml:space="preserve"> scheme</w:t>
      </w:r>
      <w:bookmarkEnd w:id="70"/>
    </w:p>
    <w:p w:rsidR="00C232E3" w:rsidRPr="0030169A" w:rsidRDefault="00C232E3" w:rsidP="00C232E3">
      <w:pPr>
        <w:numPr>
          <w:ilvl w:val="0"/>
          <w:numId w:val="24"/>
        </w:numPr>
      </w:pPr>
      <w:r w:rsidRPr="00BD6729">
        <w:rPr>
          <w:rStyle w:val="AERbody"/>
        </w:rPr>
        <w:t xml:space="preserve">The efficiency benefit sharing scheme (EBSS) </w:t>
      </w:r>
      <w:r w:rsidR="00095F15">
        <w:rPr>
          <w:rStyle w:val="AERbody"/>
        </w:rPr>
        <w:t>aims to</w:t>
      </w:r>
      <w:r w:rsidR="00095F15" w:rsidRPr="00BD6729">
        <w:rPr>
          <w:rStyle w:val="AERbody"/>
        </w:rPr>
        <w:t xml:space="preserve"> </w:t>
      </w:r>
      <w:r w:rsidRPr="00BD6729">
        <w:rPr>
          <w:rStyle w:val="AERbody"/>
        </w:rPr>
        <w:t>provide a</w:t>
      </w:r>
      <w:r>
        <w:rPr>
          <w:rStyle w:val="AERbody"/>
        </w:rPr>
        <w:t xml:space="preserve">n </w:t>
      </w:r>
      <w:r w:rsidRPr="00BD6729">
        <w:rPr>
          <w:rStyle w:val="AERbody"/>
        </w:rPr>
        <w:t xml:space="preserve">incentive for </w:t>
      </w:r>
      <w:r>
        <w:rPr>
          <w:rStyle w:val="AERbody"/>
        </w:rPr>
        <w:t>service providers</w:t>
      </w:r>
      <w:r w:rsidRPr="00BD6729">
        <w:rPr>
          <w:rStyle w:val="AERbody"/>
        </w:rPr>
        <w:t xml:space="preserve"> to pursue efficiency improve</w:t>
      </w:r>
      <w:r>
        <w:rPr>
          <w:rStyle w:val="AERbody"/>
        </w:rPr>
        <w:t xml:space="preserve">ments in </w:t>
      </w:r>
      <w:r w:rsidR="00C04039">
        <w:t>operating expenditure (</w:t>
      </w:r>
      <w:r>
        <w:rPr>
          <w:rStyle w:val="AERbody"/>
        </w:rPr>
        <w:t>opex</w:t>
      </w:r>
      <w:r w:rsidR="00C04039">
        <w:rPr>
          <w:rStyle w:val="AERbody"/>
        </w:rPr>
        <w:t>)</w:t>
      </w:r>
      <w:r w:rsidR="00DD6240">
        <w:t xml:space="preserve"> </w:t>
      </w:r>
      <w:r w:rsidR="00095F15">
        <w:t>and to share efficiency gains between network service providers and network users. It is intrinsically linked to our forecasting approach for opex.</w:t>
      </w:r>
    </w:p>
    <w:p w:rsidR="005106D1" w:rsidRPr="005106D1" w:rsidRDefault="005106D1" w:rsidP="005106D1">
      <w:pPr>
        <w:pStyle w:val="ListParagraph"/>
        <w:numPr>
          <w:ilvl w:val="0"/>
          <w:numId w:val="24"/>
        </w:numPr>
      </w:pPr>
      <w:r w:rsidRPr="005106D1">
        <w:t>To encourage a service provider to become more efficient, under an ex</w:t>
      </w:r>
      <w:r w:rsidR="00C04039">
        <w:t xml:space="preserve"> </w:t>
      </w:r>
      <w:r w:rsidRPr="005106D1">
        <w:t>ante framework, a service provider retains any efficiency gains it makes until the end of the regulatory control period when its opex forecast is reset. The EBSS allows the service provider to retain any efficiency gains it makes for a total of six years, regardless of the year in which the gains are made.</w:t>
      </w:r>
      <w:r w:rsidRPr="005106D1">
        <w:rPr>
          <w:rStyle w:val="FootnoteReference"/>
        </w:rPr>
        <w:footnoteReference w:id="1"/>
      </w:r>
      <w:r w:rsidRPr="005106D1">
        <w:t xml:space="preserve"> This provides a continuous incentive for service providers to pursue efficiency gains over the regulatory control period. It also discourages a service provider from incurring opex in the expected base year to receive a higher opex allowance in the following regulatory control period.</w:t>
      </w:r>
    </w:p>
    <w:p w:rsidR="00C232E3" w:rsidRDefault="00C232E3" w:rsidP="00C232E3">
      <w:r>
        <w:t>During the 2012</w:t>
      </w:r>
      <w:r w:rsidRPr="0030169A">
        <w:t>–</w:t>
      </w:r>
      <w:r>
        <w:t xml:space="preserve">17 regulatory control </w:t>
      </w:r>
      <w:proofErr w:type="gramStart"/>
      <w:r>
        <w:t>period</w:t>
      </w:r>
      <w:proofErr w:type="gramEnd"/>
      <w:r w:rsidR="00C04039">
        <w:t>,</w:t>
      </w:r>
      <w:r>
        <w:t xml:space="preserve"> TasNetworks</w:t>
      </w:r>
      <w:r w:rsidRPr="0030169A">
        <w:t xml:space="preserve"> operated under</w:t>
      </w:r>
      <w:r>
        <w:t xml:space="preserve"> the Electricity distribution network service providers' EBSS released in June 2008.</w:t>
      </w:r>
      <w:r>
        <w:rPr>
          <w:rStyle w:val="FootnoteReference"/>
        </w:rPr>
        <w:footnoteReference w:id="2"/>
      </w:r>
    </w:p>
    <w:p w:rsidR="00C232E3" w:rsidRPr="00200EB4" w:rsidRDefault="00C232E3" w:rsidP="00C232E3">
      <w:pPr>
        <w:pStyle w:val="Heading2"/>
      </w:pPr>
      <w:bookmarkStart w:id="71" w:name="_Toc403138096"/>
      <w:bookmarkStart w:id="72" w:name="_Toc417636182"/>
      <w:bookmarkStart w:id="73" w:name="_Toc424111942"/>
      <w:bookmarkStart w:id="74" w:name="_Toc433036270"/>
      <w:bookmarkStart w:id="75" w:name="_Toc462826351"/>
      <w:r>
        <w:t>Draft</w:t>
      </w:r>
      <w:r w:rsidRPr="00200EB4">
        <w:t xml:space="preserve"> decision</w:t>
      </w:r>
      <w:bookmarkEnd w:id="71"/>
      <w:bookmarkEnd w:id="72"/>
      <w:bookmarkEnd w:id="73"/>
      <w:bookmarkEnd w:id="74"/>
      <w:bookmarkEnd w:id="75"/>
    </w:p>
    <w:p w:rsidR="005B5FC0" w:rsidRDefault="00D0212D" w:rsidP="000E0ED0">
      <w:r>
        <w:t>We have determined</w:t>
      </w:r>
      <w:r w:rsidR="00C232E3">
        <w:t xml:space="preserve"> an EBSS carryover amount </w:t>
      </w:r>
      <w:r w:rsidR="00C232E3" w:rsidRPr="00D8267E">
        <w:t>of $</w:t>
      </w:r>
      <w:r w:rsidR="004000AE" w:rsidRPr="0002678F">
        <w:t>18.1</w:t>
      </w:r>
      <w:r w:rsidR="00F03DDE" w:rsidRPr="0002678F">
        <w:t xml:space="preserve"> </w:t>
      </w:r>
      <w:r w:rsidR="00C232E3" w:rsidRPr="0002678F">
        <w:t>million</w:t>
      </w:r>
      <w:r w:rsidR="00C232E3">
        <w:t xml:space="preserve"> ($2016–17) from the application of the EBSS during the 2012–17</w:t>
      </w:r>
      <w:r w:rsidR="00C232E3" w:rsidRPr="00BA7C17">
        <w:t xml:space="preserve"> regulatory control </w:t>
      </w:r>
      <w:proofErr w:type="gramStart"/>
      <w:r w:rsidR="00C232E3" w:rsidRPr="00BA7C17">
        <w:t>period</w:t>
      </w:r>
      <w:proofErr w:type="gramEnd"/>
      <w:r w:rsidR="00C232E3" w:rsidRPr="00BA7C17">
        <w:t>.</w:t>
      </w:r>
      <w:r w:rsidR="00C232E3">
        <w:rPr>
          <w:rStyle w:val="FootnoteReference"/>
        </w:rPr>
        <w:footnoteReference w:id="3"/>
      </w:r>
      <w:r w:rsidR="00C232E3" w:rsidRPr="00BA7C17">
        <w:t xml:space="preserve"> </w:t>
      </w:r>
      <w:r w:rsidR="00B92F73">
        <w:t>This is $23</w:t>
      </w:r>
      <w:r w:rsidR="00D8267E">
        <w:t>.0</w:t>
      </w:r>
      <w:r w:rsidR="00B92F73">
        <w:t xml:space="preserve"> million </w:t>
      </w:r>
      <w:r w:rsidR="00D8267E">
        <w:t xml:space="preserve">($2016–17) </w:t>
      </w:r>
      <w:r w:rsidR="00B92F73">
        <w:t xml:space="preserve">less than TasNetworks' proposal. </w:t>
      </w:r>
      <w:r w:rsidR="00D8267E">
        <w:t>The primary reason for this difference is that TasNetworks</w:t>
      </w:r>
      <w:r w:rsidR="005B5FC0">
        <w:t>'</w:t>
      </w:r>
      <w:r w:rsidR="00D8267E">
        <w:t xml:space="preserve"> </w:t>
      </w:r>
      <w:r w:rsidR="005B5FC0">
        <w:t xml:space="preserve">EBSS </w:t>
      </w:r>
      <w:r w:rsidR="005B5FC0" w:rsidRPr="005B5FC0">
        <w:t>calculations assume year 4 (2015–16) is used as the base year to forecast</w:t>
      </w:r>
      <w:r w:rsidR="005B5FC0">
        <w:t xml:space="preserve"> opex</w:t>
      </w:r>
      <w:r w:rsidR="005B5FC0" w:rsidRPr="005B5FC0">
        <w:t>. However, TasNetworks used year 3 (2014–15) to forecast opex</w:t>
      </w:r>
      <w:r w:rsidR="000E0ED0">
        <w:t>.</w:t>
      </w:r>
      <w:r w:rsidR="00650817">
        <w:t xml:space="preserve"> </w:t>
      </w:r>
    </w:p>
    <w:p w:rsidR="00C232E3" w:rsidRDefault="00C232E3" w:rsidP="00C232E3">
      <w:r w:rsidRPr="00BA7C17">
        <w:t xml:space="preserve">Our </w:t>
      </w:r>
      <w:r w:rsidR="00845A1B">
        <w:t>draft</w:t>
      </w:r>
      <w:r w:rsidRPr="00BA7C17">
        <w:t xml:space="preserve"> decision for the EBSS</w:t>
      </w:r>
      <w:r>
        <w:t xml:space="preserve"> carryover amounts from the 2012–17</w:t>
      </w:r>
      <w:r w:rsidRPr="00BA7C17">
        <w:t xml:space="preserve"> </w:t>
      </w:r>
      <w:r>
        <w:t xml:space="preserve">regulatory control </w:t>
      </w:r>
      <w:proofErr w:type="gramStart"/>
      <w:r w:rsidRPr="00BA7C17">
        <w:t>period</w:t>
      </w:r>
      <w:proofErr w:type="gramEnd"/>
      <w:r w:rsidRPr="00BA7C17">
        <w:t xml:space="preserve"> is outlined in</w:t>
      </w:r>
      <w:r>
        <w:t xml:space="preserve"> </w:t>
      </w:r>
      <w:r w:rsidR="000E0ED0">
        <w:fldChar w:fldCharType="begin"/>
      </w:r>
      <w:r w:rsidR="000E0ED0">
        <w:instrText xml:space="preserve"> REF  _Ref406741455 \* Lower \h </w:instrText>
      </w:r>
      <w:r w:rsidR="000E0ED0">
        <w:fldChar w:fldCharType="separate"/>
      </w:r>
      <w:r w:rsidR="00861EA6">
        <w:t xml:space="preserve">table </w:t>
      </w:r>
      <w:r w:rsidR="00861EA6">
        <w:rPr>
          <w:noProof/>
        </w:rPr>
        <w:t>9</w:t>
      </w:r>
      <w:r w:rsidR="00861EA6">
        <w:t>.</w:t>
      </w:r>
      <w:r w:rsidR="00861EA6">
        <w:rPr>
          <w:noProof/>
        </w:rPr>
        <w:t>1</w:t>
      </w:r>
      <w:r w:rsidR="000E0ED0">
        <w:fldChar w:fldCharType="end"/>
      </w:r>
      <w:r>
        <w:t>.</w:t>
      </w:r>
    </w:p>
    <w:p w:rsidR="00C232E3" w:rsidRPr="00BA7C17" w:rsidRDefault="00C232E3" w:rsidP="00C232E3">
      <w:pPr>
        <w:pStyle w:val="Caption"/>
      </w:pPr>
      <w:bookmarkStart w:id="76" w:name="_Ref406741455"/>
      <w:proofErr w:type="gramStart"/>
      <w:r>
        <w:t xml:space="preserve">Table </w:t>
      </w:r>
      <w:proofErr w:type="gramEnd"/>
      <w:r w:rsidR="00861EA6">
        <w:fldChar w:fldCharType="begin"/>
      </w:r>
      <w:r w:rsidR="00861EA6">
        <w:instrText xml:space="preserve"> STYLEREF 1 \s </w:instrText>
      </w:r>
      <w:r w:rsidR="00861EA6">
        <w:fldChar w:fldCharType="separate"/>
      </w:r>
      <w:r w:rsidR="00861EA6">
        <w:rPr>
          <w:noProof/>
        </w:rPr>
        <w:t>9</w:t>
      </w:r>
      <w:r w:rsidR="00861EA6">
        <w:rPr>
          <w:noProof/>
        </w:rPr>
        <w:fldChar w:fldCharType="end"/>
      </w:r>
      <w:proofErr w:type="gramStart"/>
      <w:r w:rsidR="008A6F08">
        <w:t>.</w:t>
      </w:r>
      <w:proofErr w:type="gramEnd"/>
      <w:r w:rsidR="00861EA6">
        <w:fldChar w:fldCharType="begin"/>
      </w:r>
      <w:r w:rsidR="00861EA6">
        <w:instrText xml:space="preserve"> SEQ Table \* </w:instrText>
      </w:r>
      <w:r w:rsidR="00861EA6">
        <w:instrText xml:space="preserve">ARABIC \s 1 </w:instrText>
      </w:r>
      <w:r w:rsidR="00861EA6">
        <w:fldChar w:fldCharType="separate"/>
      </w:r>
      <w:r w:rsidR="00861EA6">
        <w:rPr>
          <w:noProof/>
        </w:rPr>
        <w:t>1</w:t>
      </w:r>
      <w:r w:rsidR="00861EA6">
        <w:rPr>
          <w:noProof/>
        </w:rPr>
        <w:fldChar w:fldCharType="end"/>
      </w:r>
      <w:bookmarkEnd w:id="76"/>
      <w:r>
        <w:tab/>
      </w:r>
      <w:r w:rsidR="001E5AED">
        <w:t>D</w:t>
      </w:r>
      <w:r>
        <w:t xml:space="preserve">raft decision on TasNetworks' EBSS carryover amounts </w:t>
      </w:r>
      <w:r w:rsidR="001E5AED">
        <w:br/>
      </w:r>
      <w:r>
        <w:t>($ million, 2016–17)</w:t>
      </w:r>
    </w:p>
    <w:tbl>
      <w:tblPr>
        <w:tblStyle w:val="AERtable-numbers"/>
        <w:tblW w:w="0" w:type="auto"/>
        <w:tblLook w:val="04A0" w:firstRow="1" w:lastRow="0" w:firstColumn="1" w:lastColumn="0" w:noHBand="0" w:noVBand="1"/>
      </w:tblPr>
      <w:tblGrid>
        <w:gridCol w:w="2518"/>
        <w:gridCol w:w="1984"/>
        <w:gridCol w:w="1985"/>
        <w:gridCol w:w="1985"/>
      </w:tblGrid>
      <w:tr w:rsidR="00C232E3" w:rsidRPr="000E0ED0" w:rsidTr="009E48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C232E3" w:rsidRPr="000E0ED0" w:rsidRDefault="00C232E3" w:rsidP="000E0ED0"/>
        </w:tc>
        <w:tc>
          <w:tcPr>
            <w:tcW w:w="1984" w:type="dxa"/>
          </w:tcPr>
          <w:p w:rsidR="00C232E3" w:rsidRPr="000E0ED0" w:rsidRDefault="00C232E3" w:rsidP="00493ADD">
            <w:pPr>
              <w:cnfStyle w:val="100000000000" w:firstRow="1" w:lastRow="0" w:firstColumn="0" w:lastColumn="0" w:oddVBand="0" w:evenVBand="0" w:oddHBand="0" w:evenHBand="0" w:firstRowFirstColumn="0" w:firstRowLastColumn="0" w:lastRowFirstColumn="0" w:lastRowLastColumn="0"/>
            </w:pPr>
            <w:r w:rsidRPr="000E0ED0">
              <w:t>2017</w:t>
            </w:r>
            <w:r w:rsidR="00493ADD">
              <w:t>–</w:t>
            </w:r>
            <w:r w:rsidRPr="000E0ED0">
              <w:t>18</w:t>
            </w:r>
          </w:p>
        </w:tc>
        <w:tc>
          <w:tcPr>
            <w:tcW w:w="1985" w:type="dxa"/>
          </w:tcPr>
          <w:p w:rsidR="00C232E3" w:rsidRPr="000E0ED0" w:rsidRDefault="00C232E3" w:rsidP="00493ADD">
            <w:pPr>
              <w:cnfStyle w:val="100000000000" w:firstRow="1" w:lastRow="0" w:firstColumn="0" w:lastColumn="0" w:oddVBand="0" w:evenVBand="0" w:oddHBand="0" w:evenHBand="0" w:firstRowFirstColumn="0" w:firstRowLastColumn="0" w:lastRowFirstColumn="0" w:lastRowLastColumn="0"/>
            </w:pPr>
            <w:r w:rsidRPr="000E0ED0">
              <w:t>2018</w:t>
            </w:r>
            <w:r w:rsidR="00493ADD">
              <w:t>–</w:t>
            </w:r>
            <w:r w:rsidRPr="000E0ED0">
              <w:t>19</w:t>
            </w:r>
          </w:p>
        </w:tc>
        <w:tc>
          <w:tcPr>
            <w:tcW w:w="1985" w:type="dxa"/>
          </w:tcPr>
          <w:p w:rsidR="00C232E3" w:rsidRPr="000E0ED0" w:rsidRDefault="00C232E3" w:rsidP="000E0ED0">
            <w:pPr>
              <w:cnfStyle w:val="100000000000" w:firstRow="1" w:lastRow="0" w:firstColumn="0" w:lastColumn="0" w:oddVBand="0" w:evenVBand="0" w:oddHBand="0" w:evenHBand="0" w:firstRowFirstColumn="0" w:firstRowLastColumn="0" w:lastRowFirstColumn="0" w:lastRowLastColumn="0"/>
            </w:pPr>
            <w:r w:rsidRPr="000E0ED0">
              <w:t>Total</w:t>
            </w:r>
          </w:p>
        </w:tc>
      </w:tr>
      <w:tr w:rsidR="00C232E3" w:rsidRPr="000E0ED0" w:rsidTr="009E48E5">
        <w:tc>
          <w:tcPr>
            <w:cnfStyle w:val="001000000000" w:firstRow="0" w:lastRow="0" w:firstColumn="1" w:lastColumn="0" w:oddVBand="0" w:evenVBand="0" w:oddHBand="0" w:evenHBand="0" w:firstRowFirstColumn="0" w:firstRowLastColumn="0" w:lastRowFirstColumn="0" w:lastRowLastColumn="0"/>
            <w:tcW w:w="2518" w:type="dxa"/>
          </w:tcPr>
          <w:p w:rsidR="00C232E3" w:rsidRPr="000E0ED0" w:rsidRDefault="00C232E3" w:rsidP="000E0ED0">
            <w:r w:rsidRPr="000E0ED0">
              <w:t>TasNetworks' propos</w:t>
            </w:r>
            <w:r w:rsidR="000E0ED0" w:rsidRPr="000E0ED0">
              <w:t>al</w:t>
            </w:r>
          </w:p>
        </w:tc>
        <w:tc>
          <w:tcPr>
            <w:tcW w:w="1984" w:type="dxa"/>
          </w:tcPr>
          <w:p w:rsidR="00C232E3" w:rsidRPr="000E0ED0" w:rsidRDefault="00C705A3" w:rsidP="000E0ED0">
            <w:pPr>
              <w:cnfStyle w:val="000000000000" w:firstRow="0" w:lastRow="0" w:firstColumn="0" w:lastColumn="0" w:oddVBand="0" w:evenVBand="0" w:oddHBand="0" w:evenHBand="0" w:firstRowFirstColumn="0" w:firstRowLastColumn="0" w:lastRowFirstColumn="0" w:lastRowLastColumn="0"/>
            </w:pPr>
            <w:r w:rsidRPr="000E0ED0">
              <w:t>20.6</w:t>
            </w:r>
          </w:p>
        </w:tc>
        <w:tc>
          <w:tcPr>
            <w:tcW w:w="1985" w:type="dxa"/>
          </w:tcPr>
          <w:p w:rsidR="00C232E3" w:rsidRPr="000E0ED0" w:rsidRDefault="00C705A3" w:rsidP="000E0ED0">
            <w:pPr>
              <w:cnfStyle w:val="000000000000" w:firstRow="0" w:lastRow="0" w:firstColumn="0" w:lastColumn="0" w:oddVBand="0" w:evenVBand="0" w:oddHBand="0" w:evenHBand="0" w:firstRowFirstColumn="0" w:firstRowLastColumn="0" w:lastRowFirstColumn="0" w:lastRowLastColumn="0"/>
            </w:pPr>
            <w:r w:rsidRPr="000E0ED0">
              <w:t>20.6</w:t>
            </w:r>
          </w:p>
        </w:tc>
        <w:tc>
          <w:tcPr>
            <w:tcW w:w="1985" w:type="dxa"/>
          </w:tcPr>
          <w:p w:rsidR="00C232E3" w:rsidRPr="000E0ED0" w:rsidRDefault="00C705A3" w:rsidP="000E0ED0">
            <w:pPr>
              <w:cnfStyle w:val="000000000000" w:firstRow="0" w:lastRow="0" w:firstColumn="0" w:lastColumn="0" w:oddVBand="0" w:evenVBand="0" w:oddHBand="0" w:evenHBand="0" w:firstRowFirstColumn="0" w:firstRowLastColumn="0" w:lastRowFirstColumn="0" w:lastRowLastColumn="0"/>
              <w:rPr>
                <w:rStyle w:val="Strong"/>
              </w:rPr>
            </w:pPr>
            <w:r w:rsidRPr="000E0ED0">
              <w:rPr>
                <w:rStyle w:val="Strong"/>
              </w:rPr>
              <w:t>41.1</w:t>
            </w:r>
          </w:p>
        </w:tc>
      </w:tr>
      <w:tr w:rsidR="00C232E3" w:rsidRPr="000E0ED0" w:rsidTr="009E48E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C232E3" w:rsidRPr="000E0ED0" w:rsidRDefault="00C232E3" w:rsidP="000E0ED0">
            <w:r w:rsidRPr="000E0ED0">
              <w:t>Draft decision</w:t>
            </w:r>
          </w:p>
        </w:tc>
        <w:tc>
          <w:tcPr>
            <w:tcW w:w="1984" w:type="dxa"/>
          </w:tcPr>
          <w:p w:rsidR="00C232E3" w:rsidRPr="000E0ED0" w:rsidRDefault="009E48E5" w:rsidP="00BE12C0">
            <w:pPr>
              <w:cnfStyle w:val="000000010000" w:firstRow="0" w:lastRow="0" w:firstColumn="0" w:lastColumn="0" w:oddVBand="0" w:evenVBand="0" w:oddHBand="0" w:evenHBand="1" w:firstRowFirstColumn="0" w:firstRowLastColumn="0" w:lastRowFirstColumn="0" w:lastRowLastColumn="0"/>
            </w:pPr>
            <w:r>
              <w:t>9.</w:t>
            </w:r>
            <w:r w:rsidR="00BE12C0">
              <w:t>0</w:t>
            </w:r>
          </w:p>
        </w:tc>
        <w:tc>
          <w:tcPr>
            <w:tcW w:w="1985" w:type="dxa"/>
          </w:tcPr>
          <w:p w:rsidR="00C232E3" w:rsidRPr="000E0ED0" w:rsidRDefault="009E48E5" w:rsidP="00BE12C0">
            <w:pPr>
              <w:cnfStyle w:val="000000010000" w:firstRow="0" w:lastRow="0" w:firstColumn="0" w:lastColumn="0" w:oddVBand="0" w:evenVBand="0" w:oddHBand="0" w:evenHBand="1" w:firstRowFirstColumn="0" w:firstRowLastColumn="0" w:lastRowFirstColumn="0" w:lastRowLastColumn="0"/>
            </w:pPr>
            <w:r>
              <w:t>9.</w:t>
            </w:r>
            <w:r w:rsidR="00BE12C0">
              <w:t>0</w:t>
            </w:r>
          </w:p>
        </w:tc>
        <w:tc>
          <w:tcPr>
            <w:tcW w:w="1985" w:type="dxa"/>
          </w:tcPr>
          <w:p w:rsidR="00C232E3" w:rsidRPr="000E0ED0" w:rsidRDefault="009E48E5" w:rsidP="000E0ED0">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18.1</w:t>
            </w:r>
          </w:p>
        </w:tc>
      </w:tr>
    </w:tbl>
    <w:p w:rsidR="00C232E3" w:rsidRDefault="00C232E3" w:rsidP="00C232E3">
      <w:pPr>
        <w:pStyle w:val="AERtablesource"/>
      </w:pPr>
      <w:r w:rsidRPr="00BA7C17">
        <w:t xml:space="preserve">Source: </w:t>
      </w:r>
      <w:r w:rsidR="00845A1B">
        <w:t>TasNetworks</w:t>
      </w:r>
      <w:r w:rsidRPr="00D20E85">
        <w:t xml:space="preserve">, </w:t>
      </w:r>
      <w:r w:rsidRPr="00D20E85">
        <w:rPr>
          <w:rStyle w:val="AERtextitalic"/>
        </w:rPr>
        <w:t>Regulatory proposal</w:t>
      </w:r>
      <w:r w:rsidR="00845A1B">
        <w:rPr>
          <w:rStyle w:val="AERtextitalic"/>
        </w:rPr>
        <w:t xml:space="preserve"> 2017–19</w:t>
      </w:r>
      <w:r>
        <w:t xml:space="preserve">, </w:t>
      </w:r>
      <w:r w:rsidR="00C705A3">
        <w:t>PTRM</w:t>
      </w:r>
      <w:r w:rsidR="009E48E5">
        <w:t>; AER analysis.</w:t>
      </w:r>
      <w:r w:rsidR="007949EA">
        <w:t xml:space="preserve"> Totals may not add up due to rounding.</w:t>
      </w:r>
    </w:p>
    <w:p w:rsidR="005B5FC0" w:rsidRPr="005B5FC0" w:rsidRDefault="005B5FC0" w:rsidP="005B5FC0">
      <w:pPr>
        <w:pStyle w:val="ListParagraph"/>
        <w:numPr>
          <w:ilvl w:val="0"/>
          <w:numId w:val="24"/>
        </w:numPr>
      </w:pPr>
      <w:r w:rsidRPr="005B5FC0">
        <w:lastRenderedPageBreak/>
        <w:t>In our final decision we will update estimated opex with actual opex for 2015–16. This may change the carryover amount</w:t>
      </w:r>
      <w:r w:rsidR="00B00567">
        <w:t>s</w:t>
      </w:r>
      <w:r w:rsidRPr="005B5FC0">
        <w:t xml:space="preserve"> we determine in the final decision.</w:t>
      </w:r>
    </w:p>
    <w:p w:rsidR="004373C9" w:rsidRDefault="00624A7A" w:rsidP="00C232E3">
      <w:pPr>
        <w:numPr>
          <w:ilvl w:val="0"/>
          <w:numId w:val="24"/>
        </w:numPr>
      </w:pPr>
      <w:r>
        <w:rPr>
          <w:rStyle w:val="AERbody"/>
        </w:rPr>
        <w:t>Looking forward, o</w:t>
      </w:r>
      <w:r w:rsidR="00C232E3" w:rsidRPr="001D6F12">
        <w:rPr>
          <w:rStyle w:val="AERbody"/>
        </w:rPr>
        <w:t xml:space="preserve">ur </w:t>
      </w:r>
      <w:r w:rsidR="00C232E3">
        <w:rPr>
          <w:rStyle w:val="AERbody"/>
        </w:rPr>
        <w:t>draft</w:t>
      </w:r>
      <w:r w:rsidR="00C232E3" w:rsidRPr="001D6F12">
        <w:rPr>
          <w:rStyle w:val="AERbody"/>
        </w:rPr>
        <w:t xml:space="preserve"> </w:t>
      </w:r>
      <w:r w:rsidR="00C232E3">
        <w:rPr>
          <w:rStyle w:val="AERbody"/>
        </w:rPr>
        <w:t>decision</w:t>
      </w:r>
      <w:r w:rsidR="00C232E3" w:rsidRPr="001D6F12">
        <w:rPr>
          <w:rStyle w:val="AERbody"/>
        </w:rPr>
        <w:t xml:space="preserve"> is to apply </w:t>
      </w:r>
      <w:r w:rsidR="00C232E3">
        <w:rPr>
          <w:rStyle w:val="AERbody"/>
        </w:rPr>
        <w:t>version two of the</w:t>
      </w:r>
      <w:r w:rsidR="00C232E3" w:rsidRPr="001D6F12">
        <w:rPr>
          <w:rStyle w:val="AERbody"/>
        </w:rPr>
        <w:t xml:space="preserve"> EBSS to </w:t>
      </w:r>
      <w:r w:rsidR="00C232E3">
        <w:rPr>
          <w:rStyle w:val="AERbody"/>
        </w:rPr>
        <w:t>TasNetworks</w:t>
      </w:r>
      <w:r w:rsidR="00C232E3" w:rsidRPr="001D6F12">
        <w:rPr>
          <w:rStyle w:val="AERbody"/>
        </w:rPr>
        <w:t xml:space="preserve"> in the </w:t>
      </w:r>
      <w:r w:rsidR="00C232E3">
        <w:t>2017–19</w:t>
      </w:r>
      <w:r w:rsidR="00C232E3" w:rsidRPr="00BD4587">
        <w:t xml:space="preserve"> </w:t>
      </w:r>
      <w:r w:rsidR="00C232E3" w:rsidRPr="001D6F12">
        <w:rPr>
          <w:rStyle w:val="AERbody"/>
        </w:rPr>
        <w:t>regulatory control period.</w:t>
      </w:r>
      <w:r w:rsidR="00C232E3">
        <w:rPr>
          <w:rStyle w:val="FootnoteReference"/>
        </w:rPr>
        <w:footnoteReference w:id="4"/>
      </w:r>
      <w:r w:rsidR="00C232E3">
        <w:rPr>
          <w:rStyle w:val="AERbody"/>
        </w:rPr>
        <w:t xml:space="preserve"> </w:t>
      </w:r>
      <w:r w:rsidR="004373C9" w:rsidRPr="00175243">
        <w:t xml:space="preserve">This is consistent with our </w:t>
      </w:r>
      <w:r w:rsidR="00C06ED1">
        <w:t>f</w:t>
      </w:r>
      <w:r w:rsidR="004373C9" w:rsidRPr="00175243">
        <w:t xml:space="preserve">inal framework and approach paper and </w:t>
      </w:r>
      <w:r w:rsidR="004373C9">
        <w:t>TasNetworks'</w:t>
      </w:r>
      <w:r w:rsidR="004373C9" w:rsidRPr="00175243">
        <w:t xml:space="preserve"> proposal.</w:t>
      </w:r>
      <w:r w:rsidR="00D95A1D">
        <w:rPr>
          <w:rStyle w:val="FootnoteReference"/>
        </w:rPr>
        <w:footnoteReference w:id="5"/>
      </w:r>
      <w:r w:rsidR="004373C9" w:rsidRPr="00175243">
        <w:t xml:space="preserve"> </w:t>
      </w:r>
      <w:r w:rsidR="000E0ED0">
        <w:t>W</w:t>
      </w:r>
      <w:r w:rsidR="004373C9">
        <w:t>hen we apply the EBSS w</w:t>
      </w:r>
      <w:r w:rsidR="00C232E3" w:rsidRPr="00BD4587">
        <w:t xml:space="preserve">e will exclude the cost categories listed in section </w:t>
      </w:r>
      <w:r w:rsidR="00861EA6">
        <w:fldChar w:fldCharType="begin"/>
      </w:r>
      <w:r w:rsidR="00861EA6">
        <w:instrText xml:space="preserve"> REF _Ref462826446 \r \h </w:instrText>
      </w:r>
      <w:r w:rsidR="00861EA6">
        <w:fldChar w:fldCharType="separate"/>
      </w:r>
      <w:r w:rsidR="00861EA6">
        <w:t>9.4.2</w:t>
      </w:r>
      <w:r w:rsidR="00861EA6">
        <w:fldChar w:fldCharType="end"/>
      </w:r>
      <w:r w:rsidR="00861EA6">
        <w:t xml:space="preserve"> </w:t>
      </w:r>
      <w:bookmarkStart w:id="77" w:name="_GoBack"/>
      <w:bookmarkEnd w:id="77"/>
      <w:r w:rsidR="00C232E3" w:rsidRPr="00BD4587">
        <w:t xml:space="preserve">from </w:t>
      </w:r>
      <w:r w:rsidR="005A26E6">
        <w:t>the scheme</w:t>
      </w:r>
      <w:r w:rsidR="00C232E3">
        <w:t xml:space="preserve">. </w:t>
      </w:r>
    </w:p>
    <w:p w:rsidR="00C232E3" w:rsidRDefault="00C232E3" w:rsidP="00C232E3">
      <w:pPr>
        <w:numPr>
          <w:ilvl w:val="0"/>
          <w:numId w:val="24"/>
        </w:numPr>
      </w:pPr>
      <w:r>
        <w:fldChar w:fldCharType="begin"/>
      </w:r>
      <w:r>
        <w:instrText xml:space="preserve"> REF _Ref402360609 \h </w:instrText>
      </w:r>
      <w:r>
        <w:fldChar w:fldCharType="separate"/>
      </w:r>
      <w:r w:rsidR="00861EA6">
        <w:t xml:space="preserve">Table </w:t>
      </w:r>
      <w:r w:rsidR="00861EA6">
        <w:rPr>
          <w:noProof/>
        </w:rPr>
        <w:t>9</w:t>
      </w:r>
      <w:r w:rsidR="00861EA6">
        <w:t>.</w:t>
      </w:r>
      <w:r w:rsidR="00861EA6">
        <w:rPr>
          <w:noProof/>
        </w:rPr>
        <w:t>2</w:t>
      </w:r>
      <w:r>
        <w:fldChar w:fldCharType="end"/>
      </w:r>
      <w:r>
        <w:t xml:space="preserve"> sets</w:t>
      </w:r>
      <w:r w:rsidRPr="006F6CCB">
        <w:t xml:space="preserve"> out our </w:t>
      </w:r>
      <w:r w:rsidR="00845A1B">
        <w:t>draft</w:t>
      </w:r>
      <w:r w:rsidRPr="006F6CCB">
        <w:t xml:space="preserve"> decision on </w:t>
      </w:r>
      <w:r w:rsidR="004373C9">
        <w:t xml:space="preserve">the target opex for the EBSS (total opex less excluded categories) we will use to calculate efficiency gains in the 2017–19 regulatory control </w:t>
      </w:r>
      <w:proofErr w:type="gramStart"/>
      <w:r w:rsidR="004373C9">
        <w:t>period</w:t>
      </w:r>
      <w:proofErr w:type="gramEnd"/>
      <w:r w:rsidR="00B00567">
        <w:t xml:space="preserve">, </w:t>
      </w:r>
      <w:r w:rsidR="004373C9">
        <w:t xml:space="preserve">subject to further adjustments allowed by the EBSS. </w:t>
      </w:r>
    </w:p>
    <w:p w:rsidR="00C232E3" w:rsidRPr="003F5EF6" w:rsidRDefault="00C232E3" w:rsidP="00C232E3">
      <w:pPr>
        <w:pStyle w:val="Caption"/>
      </w:pPr>
      <w:bookmarkStart w:id="78" w:name="_Ref402360609"/>
      <w:proofErr w:type="gramStart"/>
      <w:r>
        <w:t xml:space="preserve">Table </w:t>
      </w:r>
      <w:proofErr w:type="gramEnd"/>
      <w:r w:rsidR="00861EA6">
        <w:fldChar w:fldCharType="begin"/>
      </w:r>
      <w:r w:rsidR="00861EA6">
        <w:instrText xml:space="preserve"> STYLEREF 1 \s </w:instrText>
      </w:r>
      <w:r w:rsidR="00861EA6">
        <w:fldChar w:fldCharType="separate"/>
      </w:r>
      <w:r w:rsidR="00861EA6">
        <w:rPr>
          <w:noProof/>
        </w:rPr>
        <w:t>9</w:t>
      </w:r>
      <w:r w:rsidR="00861EA6">
        <w:rPr>
          <w:noProof/>
        </w:rPr>
        <w:fldChar w:fldCharType="end"/>
      </w:r>
      <w:proofErr w:type="gramStart"/>
      <w:r w:rsidR="008A6F08">
        <w:t>.</w:t>
      </w:r>
      <w:proofErr w:type="gramEnd"/>
      <w:r w:rsidR="00861EA6">
        <w:fldChar w:fldCharType="begin"/>
      </w:r>
      <w:r w:rsidR="00861EA6">
        <w:instrText xml:space="preserve"> SEQ Table \* ARABIC \s 1 </w:instrText>
      </w:r>
      <w:r w:rsidR="00861EA6">
        <w:fldChar w:fldCharType="separate"/>
      </w:r>
      <w:r w:rsidR="00861EA6">
        <w:rPr>
          <w:noProof/>
        </w:rPr>
        <w:t>2</w:t>
      </w:r>
      <w:r w:rsidR="00861EA6">
        <w:rPr>
          <w:noProof/>
        </w:rPr>
        <w:fldChar w:fldCharType="end"/>
      </w:r>
      <w:bookmarkEnd w:id="78"/>
      <w:r>
        <w:tab/>
      </w:r>
      <w:r w:rsidR="00B00567">
        <w:t>F</w:t>
      </w:r>
      <w:r>
        <w:t xml:space="preserve">orecast opex for </w:t>
      </w:r>
      <w:r w:rsidR="00B00567">
        <w:t xml:space="preserve">the </w:t>
      </w:r>
      <w:r>
        <w:t>EBSS ($ million, 2016–17)</w:t>
      </w:r>
    </w:p>
    <w:tbl>
      <w:tblPr>
        <w:tblStyle w:val="AERtable-numbers"/>
        <w:tblW w:w="4873" w:type="pct"/>
        <w:tblLook w:val="04A0" w:firstRow="1" w:lastRow="0" w:firstColumn="1" w:lastColumn="0" w:noHBand="0" w:noVBand="1"/>
      </w:tblPr>
      <w:tblGrid>
        <w:gridCol w:w="3936"/>
        <w:gridCol w:w="1134"/>
        <w:gridCol w:w="1701"/>
        <w:gridCol w:w="1701"/>
      </w:tblGrid>
      <w:tr w:rsidR="00C232E3" w:rsidRPr="000E0ED0" w:rsidTr="00B959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3" w:type="pct"/>
          </w:tcPr>
          <w:p w:rsidR="00C232E3" w:rsidRPr="000E0ED0" w:rsidRDefault="00C232E3" w:rsidP="000E0ED0"/>
        </w:tc>
        <w:tc>
          <w:tcPr>
            <w:tcW w:w="669" w:type="pct"/>
          </w:tcPr>
          <w:p w:rsidR="00C232E3" w:rsidRPr="000E0ED0" w:rsidRDefault="00C232E3" w:rsidP="000E0ED0">
            <w:pPr>
              <w:cnfStyle w:val="100000000000" w:firstRow="1" w:lastRow="0" w:firstColumn="0" w:lastColumn="0" w:oddVBand="0" w:evenVBand="0" w:oddHBand="0" w:evenHBand="0" w:firstRowFirstColumn="0" w:firstRowLastColumn="0" w:lastRowFirstColumn="0" w:lastRowLastColumn="0"/>
            </w:pPr>
            <w:r w:rsidRPr="000E0ED0">
              <w:t>2017</w:t>
            </w:r>
            <w:r w:rsidR="000E0ED0">
              <w:t>–</w:t>
            </w:r>
            <w:r w:rsidRPr="000E0ED0">
              <w:t>18</w:t>
            </w:r>
          </w:p>
        </w:tc>
        <w:tc>
          <w:tcPr>
            <w:tcW w:w="1004" w:type="pct"/>
          </w:tcPr>
          <w:p w:rsidR="00C232E3" w:rsidRPr="000E0ED0" w:rsidRDefault="00C232E3" w:rsidP="000E0ED0">
            <w:pPr>
              <w:cnfStyle w:val="100000000000" w:firstRow="1" w:lastRow="0" w:firstColumn="0" w:lastColumn="0" w:oddVBand="0" w:evenVBand="0" w:oddHBand="0" w:evenHBand="0" w:firstRowFirstColumn="0" w:firstRowLastColumn="0" w:lastRowFirstColumn="0" w:lastRowLastColumn="0"/>
            </w:pPr>
            <w:r w:rsidRPr="000E0ED0">
              <w:t>2018</w:t>
            </w:r>
            <w:r w:rsidR="000E0ED0">
              <w:t>–</w:t>
            </w:r>
            <w:r w:rsidRPr="000E0ED0">
              <w:t>19</w:t>
            </w:r>
          </w:p>
        </w:tc>
        <w:tc>
          <w:tcPr>
            <w:tcW w:w="1004" w:type="pct"/>
          </w:tcPr>
          <w:p w:rsidR="00C232E3" w:rsidRPr="000E0ED0" w:rsidRDefault="00C232E3" w:rsidP="000E0ED0">
            <w:pPr>
              <w:cnfStyle w:val="100000000000" w:firstRow="1" w:lastRow="0" w:firstColumn="0" w:lastColumn="0" w:oddVBand="0" w:evenVBand="0" w:oddHBand="0" w:evenHBand="0" w:firstRowFirstColumn="0" w:firstRowLastColumn="0" w:lastRowFirstColumn="0" w:lastRowLastColumn="0"/>
            </w:pPr>
            <w:r w:rsidRPr="000E0ED0">
              <w:t>Total</w:t>
            </w:r>
          </w:p>
        </w:tc>
      </w:tr>
      <w:tr w:rsidR="00493ADD" w:rsidRPr="000E0ED0" w:rsidTr="00735817">
        <w:tc>
          <w:tcPr>
            <w:cnfStyle w:val="001000000000" w:firstRow="0" w:lastRow="0" w:firstColumn="1" w:lastColumn="0" w:oddVBand="0" w:evenVBand="0" w:oddHBand="0" w:evenHBand="0" w:firstRowFirstColumn="0" w:firstRowLastColumn="0" w:lastRowFirstColumn="0" w:lastRowLastColumn="0"/>
            <w:tcW w:w="2323" w:type="pct"/>
          </w:tcPr>
          <w:p w:rsidR="00493ADD" w:rsidRPr="00735817" w:rsidRDefault="00493ADD" w:rsidP="00493ADD">
            <w:pPr>
              <w:rPr>
                <w:rStyle w:val="Strong"/>
              </w:rPr>
            </w:pPr>
            <w:r w:rsidRPr="00735817">
              <w:rPr>
                <w:rStyle w:val="Strong"/>
              </w:rPr>
              <w:t>Forecast opex</w:t>
            </w:r>
          </w:p>
        </w:tc>
        <w:tc>
          <w:tcPr>
            <w:tcW w:w="669" w:type="pct"/>
            <w:vAlign w:val="top"/>
          </w:tcPr>
          <w:p w:rsidR="00493ADD" w:rsidRPr="00735817"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735817">
              <w:rPr>
                <w:rStyle w:val="Strong"/>
              </w:rPr>
              <w:t>62.3</w:t>
            </w:r>
          </w:p>
        </w:tc>
        <w:tc>
          <w:tcPr>
            <w:tcW w:w="1004" w:type="pct"/>
            <w:vAlign w:val="top"/>
          </w:tcPr>
          <w:p w:rsidR="00493ADD" w:rsidRPr="00735817"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735817">
              <w:rPr>
                <w:rStyle w:val="Strong"/>
              </w:rPr>
              <w:t>60.8</w:t>
            </w:r>
          </w:p>
        </w:tc>
        <w:tc>
          <w:tcPr>
            <w:tcW w:w="1004" w:type="pct"/>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493ADD">
              <w:rPr>
                <w:rStyle w:val="Strong"/>
              </w:rPr>
              <w:t>123.1</w:t>
            </w:r>
          </w:p>
        </w:tc>
      </w:tr>
      <w:tr w:rsidR="00493ADD" w:rsidRPr="000E0ED0" w:rsidTr="0073581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3" w:type="pct"/>
          </w:tcPr>
          <w:p w:rsidR="00493ADD" w:rsidRPr="00493ADD" w:rsidRDefault="00493ADD" w:rsidP="00493ADD">
            <w:r w:rsidRPr="00493ADD">
              <w:t>Less exclusions</w:t>
            </w:r>
          </w:p>
        </w:tc>
        <w:tc>
          <w:tcPr>
            <w:tcW w:w="669" w:type="pct"/>
            <w:vAlign w:val="top"/>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pPr>
          </w:p>
        </w:tc>
        <w:tc>
          <w:tcPr>
            <w:tcW w:w="1004" w:type="pct"/>
            <w:vAlign w:val="top"/>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pPr>
          </w:p>
        </w:tc>
        <w:tc>
          <w:tcPr>
            <w:tcW w:w="1004" w:type="pct"/>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rPr>
                <w:rStyle w:val="Strong"/>
              </w:rPr>
            </w:pPr>
          </w:p>
        </w:tc>
      </w:tr>
      <w:tr w:rsidR="00493ADD" w:rsidRPr="000E0ED0" w:rsidTr="00735817">
        <w:tc>
          <w:tcPr>
            <w:cnfStyle w:val="001000000000" w:firstRow="0" w:lastRow="0" w:firstColumn="1" w:lastColumn="0" w:oddVBand="0" w:evenVBand="0" w:oddHBand="0" w:evenHBand="0" w:firstRowFirstColumn="0" w:firstRowLastColumn="0" w:lastRowFirstColumn="0" w:lastRowLastColumn="0"/>
            <w:tcW w:w="2323" w:type="pct"/>
          </w:tcPr>
          <w:p w:rsidR="00493ADD" w:rsidRPr="00493ADD" w:rsidRDefault="00493ADD" w:rsidP="00493ADD">
            <w:r w:rsidRPr="00493ADD">
              <w:t xml:space="preserve">     Debt raising costs</w:t>
            </w:r>
          </w:p>
        </w:tc>
        <w:tc>
          <w:tcPr>
            <w:tcW w:w="669" w:type="pct"/>
            <w:vAlign w:val="top"/>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pPr>
            <w:r w:rsidRPr="00493ADD">
              <w:t>1.1</w:t>
            </w:r>
          </w:p>
        </w:tc>
        <w:tc>
          <w:tcPr>
            <w:tcW w:w="1004" w:type="pct"/>
            <w:vAlign w:val="top"/>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pPr>
            <w:r w:rsidRPr="00493ADD">
              <w:t>1.1</w:t>
            </w:r>
          </w:p>
        </w:tc>
        <w:tc>
          <w:tcPr>
            <w:tcW w:w="1004" w:type="pct"/>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493ADD">
              <w:rPr>
                <w:rStyle w:val="Strong"/>
              </w:rPr>
              <w:t>–2.2</w:t>
            </w:r>
          </w:p>
        </w:tc>
      </w:tr>
      <w:tr w:rsidR="00493ADD" w:rsidRPr="000E0ED0" w:rsidTr="0073581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3" w:type="pct"/>
          </w:tcPr>
          <w:p w:rsidR="00493ADD" w:rsidRPr="00493ADD" w:rsidRDefault="00493ADD" w:rsidP="00493ADD">
            <w:r w:rsidRPr="00493ADD">
              <w:t xml:space="preserve">     GSL payments</w:t>
            </w:r>
          </w:p>
        </w:tc>
        <w:tc>
          <w:tcPr>
            <w:tcW w:w="669" w:type="pct"/>
            <w:vAlign w:val="top"/>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pPr>
            <w:r w:rsidRPr="00493ADD">
              <w:t>1.6</w:t>
            </w:r>
          </w:p>
        </w:tc>
        <w:tc>
          <w:tcPr>
            <w:tcW w:w="1004" w:type="pct"/>
            <w:vAlign w:val="top"/>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pPr>
            <w:r w:rsidRPr="00493ADD">
              <w:t>1.6</w:t>
            </w:r>
          </w:p>
        </w:tc>
        <w:tc>
          <w:tcPr>
            <w:tcW w:w="1004" w:type="pct"/>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rPr>
                <w:rStyle w:val="Strong"/>
              </w:rPr>
            </w:pPr>
            <w:r w:rsidRPr="00493ADD">
              <w:rPr>
                <w:rStyle w:val="Strong"/>
              </w:rPr>
              <w:t>–3.2</w:t>
            </w:r>
          </w:p>
        </w:tc>
      </w:tr>
      <w:tr w:rsidR="00493ADD" w:rsidRPr="000E0ED0" w:rsidTr="00735817">
        <w:tc>
          <w:tcPr>
            <w:cnfStyle w:val="001000000000" w:firstRow="0" w:lastRow="0" w:firstColumn="1" w:lastColumn="0" w:oddVBand="0" w:evenVBand="0" w:oddHBand="0" w:evenHBand="0" w:firstRowFirstColumn="0" w:firstRowLastColumn="0" w:lastRowFirstColumn="0" w:lastRowLastColumn="0"/>
            <w:tcW w:w="2323" w:type="pct"/>
          </w:tcPr>
          <w:p w:rsidR="00493ADD" w:rsidRPr="00493ADD" w:rsidRDefault="00493ADD" w:rsidP="00493ADD">
            <w:r w:rsidRPr="00493ADD">
              <w:t xml:space="preserve">     DMIA</w:t>
            </w:r>
          </w:p>
        </w:tc>
        <w:tc>
          <w:tcPr>
            <w:tcW w:w="669" w:type="pct"/>
            <w:vAlign w:val="top"/>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pPr>
            <w:r w:rsidRPr="00493ADD">
              <w:rPr>
                <w:rStyle w:val="Strong"/>
              </w:rPr>
              <w:t>–</w:t>
            </w:r>
          </w:p>
        </w:tc>
        <w:tc>
          <w:tcPr>
            <w:tcW w:w="1004" w:type="pct"/>
            <w:vAlign w:val="top"/>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pPr>
            <w:r w:rsidRPr="00493ADD">
              <w:rPr>
                <w:rStyle w:val="Strong"/>
              </w:rPr>
              <w:t>–</w:t>
            </w:r>
          </w:p>
        </w:tc>
        <w:tc>
          <w:tcPr>
            <w:tcW w:w="1004" w:type="pct"/>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493ADD">
              <w:rPr>
                <w:rStyle w:val="Strong"/>
              </w:rPr>
              <w:t>–</w:t>
            </w:r>
          </w:p>
        </w:tc>
      </w:tr>
      <w:tr w:rsidR="00493ADD" w:rsidRPr="000E0ED0" w:rsidTr="0073581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3" w:type="pct"/>
          </w:tcPr>
          <w:p w:rsidR="00493ADD" w:rsidRPr="00493ADD" w:rsidRDefault="00493ADD" w:rsidP="00493ADD">
            <w:r w:rsidRPr="00493ADD">
              <w:t xml:space="preserve">     Electrical safety inspection levy payments</w:t>
            </w:r>
          </w:p>
        </w:tc>
        <w:tc>
          <w:tcPr>
            <w:tcW w:w="669" w:type="pct"/>
            <w:vAlign w:val="top"/>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pPr>
            <w:r w:rsidRPr="00493ADD">
              <w:t>2.0</w:t>
            </w:r>
          </w:p>
        </w:tc>
        <w:tc>
          <w:tcPr>
            <w:tcW w:w="1004" w:type="pct"/>
            <w:vAlign w:val="top"/>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pPr>
            <w:r w:rsidRPr="00493ADD">
              <w:t>2.0</w:t>
            </w:r>
          </w:p>
        </w:tc>
        <w:tc>
          <w:tcPr>
            <w:tcW w:w="1004" w:type="pct"/>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rPr>
                <w:rStyle w:val="Strong"/>
              </w:rPr>
            </w:pPr>
            <w:r w:rsidRPr="00493ADD">
              <w:rPr>
                <w:rStyle w:val="Strong"/>
              </w:rPr>
              <w:t>–4.1</w:t>
            </w:r>
          </w:p>
        </w:tc>
      </w:tr>
      <w:tr w:rsidR="00493ADD" w:rsidRPr="000E0ED0" w:rsidTr="00735817">
        <w:tc>
          <w:tcPr>
            <w:cnfStyle w:val="001000000000" w:firstRow="0" w:lastRow="0" w:firstColumn="1" w:lastColumn="0" w:oddVBand="0" w:evenVBand="0" w:oddHBand="0" w:evenHBand="0" w:firstRowFirstColumn="0" w:firstRowLastColumn="0" w:lastRowFirstColumn="0" w:lastRowLastColumn="0"/>
            <w:tcW w:w="2323" w:type="pct"/>
          </w:tcPr>
          <w:p w:rsidR="00493ADD" w:rsidRPr="00493ADD" w:rsidRDefault="00493ADD" w:rsidP="00493ADD">
            <w:r w:rsidRPr="00493ADD">
              <w:t xml:space="preserve">     NEM levy payments</w:t>
            </w:r>
          </w:p>
        </w:tc>
        <w:tc>
          <w:tcPr>
            <w:tcW w:w="669" w:type="pct"/>
            <w:vAlign w:val="top"/>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pPr>
            <w:r w:rsidRPr="00493ADD">
              <w:t>0.4</w:t>
            </w:r>
          </w:p>
        </w:tc>
        <w:tc>
          <w:tcPr>
            <w:tcW w:w="1004" w:type="pct"/>
            <w:vAlign w:val="top"/>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pPr>
            <w:r w:rsidRPr="00493ADD">
              <w:t>0.4</w:t>
            </w:r>
          </w:p>
        </w:tc>
        <w:tc>
          <w:tcPr>
            <w:tcW w:w="1004" w:type="pct"/>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493ADD">
              <w:rPr>
                <w:rStyle w:val="Strong"/>
              </w:rPr>
              <w:t>–0.8</w:t>
            </w:r>
          </w:p>
        </w:tc>
      </w:tr>
      <w:tr w:rsidR="00493ADD" w:rsidRPr="000E0ED0" w:rsidTr="0073581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23" w:type="pct"/>
          </w:tcPr>
          <w:p w:rsidR="00493ADD" w:rsidRPr="00493ADD" w:rsidRDefault="00493ADD" w:rsidP="00493ADD">
            <w:r w:rsidRPr="00493ADD">
              <w:t xml:space="preserve">     NEM and retail contestability opex</w:t>
            </w:r>
          </w:p>
        </w:tc>
        <w:tc>
          <w:tcPr>
            <w:tcW w:w="669" w:type="pct"/>
            <w:vAlign w:val="top"/>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pPr>
            <w:r w:rsidRPr="00493ADD">
              <w:t>1.3</w:t>
            </w:r>
          </w:p>
        </w:tc>
        <w:tc>
          <w:tcPr>
            <w:tcW w:w="1004" w:type="pct"/>
            <w:vAlign w:val="top"/>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pPr>
            <w:r w:rsidRPr="00493ADD">
              <w:t>1.3</w:t>
            </w:r>
          </w:p>
        </w:tc>
        <w:tc>
          <w:tcPr>
            <w:tcW w:w="1004" w:type="pct"/>
          </w:tcPr>
          <w:p w:rsidR="00493ADD" w:rsidRPr="00493ADD" w:rsidRDefault="00493ADD" w:rsidP="00493ADD">
            <w:pPr>
              <w:cnfStyle w:val="000000010000" w:firstRow="0" w:lastRow="0" w:firstColumn="0" w:lastColumn="0" w:oddVBand="0" w:evenVBand="0" w:oddHBand="0" w:evenHBand="1" w:firstRowFirstColumn="0" w:firstRowLastColumn="0" w:lastRowFirstColumn="0" w:lastRowLastColumn="0"/>
              <w:rPr>
                <w:rStyle w:val="Strong"/>
              </w:rPr>
            </w:pPr>
            <w:r w:rsidRPr="00493ADD">
              <w:rPr>
                <w:rStyle w:val="Strong"/>
              </w:rPr>
              <w:t>–2.5</w:t>
            </w:r>
          </w:p>
        </w:tc>
      </w:tr>
      <w:tr w:rsidR="00493ADD" w:rsidRPr="000E0ED0" w:rsidTr="00735817">
        <w:tc>
          <w:tcPr>
            <w:cnfStyle w:val="001000000000" w:firstRow="0" w:lastRow="0" w:firstColumn="1" w:lastColumn="0" w:oddVBand="0" w:evenVBand="0" w:oddHBand="0" w:evenHBand="0" w:firstRowFirstColumn="0" w:firstRowLastColumn="0" w:lastRowFirstColumn="0" w:lastRowLastColumn="0"/>
            <w:tcW w:w="2323" w:type="pct"/>
          </w:tcPr>
          <w:p w:rsidR="00493ADD" w:rsidRPr="00493ADD" w:rsidRDefault="00493ADD" w:rsidP="00493ADD">
            <w:pPr>
              <w:rPr>
                <w:rStyle w:val="Strong"/>
              </w:rPr>
            </w:pPr>
            <w:r w:rsidRPr="00493ADD">
              <w:rPr>
                <w:rStyle w:val="Strong"/>
              </w:rPr>
              <w:t>Forecast opex for the EBSS target</w:t>
            </w:r>
          </w:p>
        </w:tc>
        <w:tc>
          <w:tcPr>
            <w:tcW w:w="669" w:type="pct"/>
            <w:vAlign w:val="top"/>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735817">
              <w:rPr>
                <w:rStyle w:val="Strong"/>
              </w:rPr>
              <w:t>55.9</w:t>
            </w:r>
          </w:p>
        </w:tc>
        <w:tc>
          <w:tcPr>
            <w:tcW w:w="1004" w:type="pct"/>
            <w:vAlign w:val="top"/>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735817">
              <w:rPr>
                <w:rStyle w:val="Strong"/>
              </w:rPr>
              <w:t>54.4</w:t>
            </w:r>
          </w:p>
        </w:tc>
        <w:tc>
          <w:tcPr>
            <w:tcW w:w="1004" w:type="pct"/>
          </w:tcPr>
          <w:p w:rsidR="00493ADD" w:rsidRPr="00493ADD" w:rsidRDefault="00493ADD" w:rsidP="00493ADD">
            <w:pPr>
              <w:cnfStyle w:val="000000000000" w:firstRow="0" w:lastRow="0" w:firstColumn="0" w:lastColumn="0" w:oddVBand="0" w:evenVBand="0" w:oddHBand="0" w:evenHBand="0" w:firstRowFirstColumn="0" w:firstRowLastColumn="0" w:lastRowFirstColumn="0" w:lastRowLastColumn="0"/>
              <w:rPr>
                <w:rStyle w:val="Strong"/>
              </w:rPr>
            </w:pPr>
            <w:r w:rsidRPr="00493ADD">
              <w:rPr>
                <w:rStyle w:val="Strong"/>
              </w:rPr>
              <w:t>110.3</w:t>
            </w:r>
          </w:p>
        </w:tc>
      </w:tr>
    </w:tbl>
    <w:p w:rsidR="00493ADD" w:rsidRDefault="00493ADD" w:rsidP="00C232E3">
      <w:pPr>
        <w:pStyle w:val="AERtablesource"/>
      </w:pPr>
      <w:r>
        <w:t>Note:</w:t>
      </w:r>
      <w:r>
        <w:tab/>
        <w:t>Numbers may not add up to total due to rounding.</w:t>
      </w:r>
    </w:p>
    <w:p w:rsidR="00C232E3" w:rsidRDefault="00C232E3" w:rsidP="00C232E3">
      <w:pPr>
        <w:pStyle w:val="AERtablesource"/>
      </w:pPr>
      <w:r w:rsidRPr="000540F7">
        <w:t xml:space="preserve">Source: </w:t>
      </w:r>
      <w:r>
        <w:tab/>
      </w:r>
      <w:r w:rsidRPr="000540F7">
        <w:t>AER analysis</w:t>
      </w:r>
      <w:r>
        <w:t xml:space="preserve">. </w:t>
      </w:r>
    </w:p>
    <w:p w:rsidR="00C232E3" w:rsidRPr="006E608B" w:rsidRDefault="00C232E3" w:rsidP="00C232E3">
      <w:pPr>
        <w:pStyle w:val="Heading2"/>
      </w:pPr>
      <w:bookmarkStart w:id="79" w:name="_Toc403138097"/>
      <w:bookmarkStart w:id="80" w:name="_Toc417636183"/>
      <w:bookmarkStart w:id="81" w:name="_Toc424111943"/>
      <w:bookmarkStart w:id="82" w:name="_Toc433036271"/>
      <w:bookmarkStart w:id="83" w:name="_Toc462826352"/>
      <w:r>
        <w:t>TasNetworks'</w:t>
      </w:r>
      <w:r w:rsidRPr="006E608B">
        <w:t xml:space="preserve"> proposal</w:t>
      </w:r>
      <w:bookmarkEnd w:id="79"/>
      <w:bookmarkEnd w:id="80"/>
      <w:bookmarkEnd w:id="81"/>
      <w:bookmarkEnd w:id="82"/>
      <w:bookmarkEnd w:id="83"/>
    </w:p>
    <w:p w:rsidR="00C232E3" w:rsidRPr="00C232E3" w:rsidRDefault="00C232E3" w:rsidP="00C232E3">
      <w:pPr>
        <w:pStyle w:val="Heading3"/>
      </w:pPr>
      <w:bookmarkStart w:id="84" w:name="_Toc417636184"/>
      <w:bookmarkStart w:id="85" w:name="_Toc433036272"/>
      <w:bookmarkStart w:id="86" w:name="_Toc462826353"/>
      <w:r w:rsidRPr="0093132E">
        <w:t>Carryover</w:t>
      </w:r>
      <w:r w:rsidRPr="00C232E3">
        <w:t xml:space="preserve"> am</w:t>
      </w:r>
      <w:r>
        <w:t xml:space="preserve">ounts </w:t>
      </w:r>
      <w:r w:rsidR="00C705A3">
        <w:t>from</w:t>
      </w:r>
      <w:r>
        <w:t xml:space="preserve"> the 2012–17</w:t>
      </w:r>
      <w:r w:rsidRPr="00C232E3">
        <w:t xml:space="preserve"> regulatory control period</w:t>
      </w:r>
      <w:bookmarkEnd w:id="84"/>
      <w:bookmarkEnd w:id="85"/>
      <w:bookmarkEnd w:id="86"/>
    </w:p>
    <w:p w:rsidR="00C232E3" w:rsidRDefault="00C232E3" w:rsidP="00C232E3">
      <w:pPr>
        <w:rPr>
          <w:rStyle w:val="AERbody"/>
        </w:rPr>
      </w:pPr>
      <w:r>
        <w:rPr>
          <w:rStyle w:val="AERbody"/>
        </w:rPr>
        <w:t>TasNetworks</w:t>
      </w:r>
      <w:r w:rsidRPr="0093132E">
        <w:rPr>
          <w:rStyle w:val="AERbody"/>
        </w:rPr>
        <w:t xml:space="preserve"> propose</w:t>
      </w:r>
      <w:r w:rsidR="00D01449">
        <w:rPr>
          <w:rStyle w:val="AERbody"/>
        </w:rPr>
        <w:t>d</w:t>
      </w:r>
      <w:r>
        <w:rPr>
          <w:rStyle w:val="AERbody"/>
        </w:rPr>
        <w:t xml:space="preserve"> </w:t>
      </w:r>
      <w:r w:rsidR="004373C9">
        <w:rPr>
          <w:rStyle w:val="AERbody"/>
        </w:rPr>
        <w:t xml:space="preserve">we include an EBSS increment of </w:t>
      </w:r>
      <w:r>
        <w:rPr>
          <w:rStyle w:val="AERbody"/>
        </w:rPr>
        <w:t>$</w:t>
      </w:r>
      <w:r w:rsidR="006E2D37">
        <w:rPr>
          <w:rStyle w:val="AERbody"/>
        </w:rPr>
        <w:t>41.1</w:t>
      </w:r>
      <w:r>
        <w:rPr>
          <w:rStyle w:val="AERbody"/>
        </w:rPr>
        <w:t xml:space="preserve"> million</w:t>
      </w:r>
      <w:r w:rsidRPr="0093132E">
        <w:rPr>
          <w:rStyle w:val="AERbody"/>
        </w:rPr>
        <w:t xml:space="preserve"> </w:t>
      </w:r>
      <w:r>
        <w:t>($2016–17</w:t>
      </w:r>
      <w:r w:rsidRPr="00D77205">
        <w:t>)</w:t>
      </w:r>
      <w:r>
        <w:t xml:space="preserve"> </w:t>
      </w:r>
      <w:r w:rsidR="004373C9">
        <w:rPr>
          <w:rStyle w:val="AERbody"/>
        </w:rPr>
        <w:t>in</w:t>
      </w:r>
      <w:r w:rsidRPr="0093132E">
        <w:rPr>
          <w:rStyle w:val="AERbody"/>
        </w:rPr>
        <w:t xml:space="preserve"> i</w:t>
      </w:r>
      <w:r>
        <w:rPr>
          <w:rStyle w:val="AERbody"/>
        </w:rPr>
        <w:t xml:space="preserve">ts regulated revenue </w:t>
      </w:r>
      <w:r w:rsidR="004373C9">
        <w:rPr>
          <w:rStyle w:val="AERbody"/>
        </w:rPr>
        <w:t>for</w:t>
      </w:r>
      <w:r>
        <w:rPr>
          <w:rStyle w:val="AERbody"/>
        </w:rPr>
        <w:t xml:space="preserve"> the 2017–19</w:t>
      </w:r>
      <w:r w:rsidRPr="0093132E">
        <w:rPr>
          <w:rStyle w:val="AERbody"/>
        </w:rPr>
        <w:t xml:space="preserve"> </w:t>
      </w:r>
      <w:r>
        <w:rPr>
          <w:rStyle w:val="AERbody"/>
        </w:rPr>
        <w:t xml:space="preserve">regulatory control </w:t>
      </w:r>
      <w:proofErr w:type="gramStart"/>
      <w:r w:rsidRPr="0093132E">
        <w:rPr>
          <w:rStyle w:val="AERbody"/>
        </w:rPr>
        <w:t>period</w:t>
      </w:r>
      <w:proofErr w:type="gramEnd"/>
      <w:r w:rsidR="005A26E6">
        <w:rPr>
          <w:rStyle w:val="AERbody"/>
        </w:rPr>
        <w:t>,</w:t>
      </w:r>
      <w:r w:rsidR="00D01449">
        <w:rPr>
          <w:rStyle w:val="AERbody"/>
        </w:rPr>
        <w:t xml:space="preserve"> from applying the EBSS in the 2012–17 regulatory control period</w:t>
      </w:r>
      <w:r>
        <w:rPr>
          <w:rStyle w:val="AERbody"/>
        </w:rPr>
        <w:t>.</w:t>
      </w:r>
      <w:r w:rsidR="006E2D37">
        <w:rPr>
          <w:rStyle w:val="FootnoteReference"/>
        </w:rPr>
        <w:footnoteReference w:id="6"/>
      </w:r>
    </w:p>
    <w:p w:rsidR="00677E87" w:rsidRDefault="00C232E3" w:rsidP="00C232E3">
      <w:pPr>
        <w:rPr>
          <w:rStyle w:val="AERbody"/>
        </w:rPr>
      </w:pPr>
      <w:r>
        <w:rPr>
          <w:rStyle w:val="AERbody"/>
        </w:rPr>
        <w:lastRenderedPageBreak/>
        <w:t xml:space="preserve">TasNetworks excluded </w:t>
      </w:r>
      <w:r w:rsidR="004373C9">
        <w:rPr>
          <w:rStyle w:val="AERbody"/>
        </w:rPr>
        <w:t>the following categories of expenditure, as set out in</w:t>
      </w:r>
      <w:r w:rsidR="00D01449">
        <w:rPr>
          <w:rStyle w:val="AERbody"/>
        </w:rPr>
        <w:t xml:space="preserve"> its distribution determination:</w:t>
      </w:r>
    </w:p>
    <w:p w:rsidR="00677E87" w:rsidRDefault="004373C9" w:rsidP="00677E87">
      <w:pPr>
        <w:pStyle w:val="AERbulletlistfirststyle"/>
        <w:rPr>
          <w:rStyle w:val="AERbody"/>
        </w:rPr>
      </w:pPr>
      <w:r>
        <w:rPr>
          <w:rStyle w:val="AERbody"/>
        </w:rPr>
        <w:t>debt raising costs</w:t>
      </w:r>
    </w:p>
    <w:p w:rsidR="00677E87" w:rsidRDefault="00677E87" w:rsidP="00677E87">
      <w:pPr>
        <w:pStyle w:val="AERbulletlistfirststyle"/>
        <w:rPr>
          <w:rStyle w:val="AERbody"/>
        </w:rPr>
      </w:pPr>
      <w:r>
        <w:rPr>
          <w:rStyle w:val="AERbody"/>
        </w:rPr>
        <w:t>guarante</w:t>
      </w:r>
      <w:r w:rsidR="004373C9">
        <w:rPr>
          <w:rStyle w:val="AERbody"/>
        </w:rPr>
        <w:t>ed service level (GSL) payments</w:t>
      </w:r>
      <w:r>
        <w:rPr>
          <w:rStyle w:val="AERbody"/>
        </w:rPr>
        <w:t xml:space="preserve"> </w:t>
      </w:r>
    </w:p>
    <w:p w:rsidR="00677E87" w:rsidRDefault="00C232E3" w:rsidP="00677E87">
      <w:pPr>
        <w:pStyle w:val="AERbulletlistfirststyle"/>
        <w:rPr>
          <w:rStyle w:val="AERbody"/>
        </w:rPr>
      </w:pPr>
      <w:r>
        <w:rPr>
          <w:rStyle w:val="AERbody"/>
        </w:rPr>
        <w:t>the demand managem</w:t>
      </w:r>
      <w:r w:rsidR="00677E87">
        <w:rPr>
          <w:rStyle w:val="AERbody"/>
        </w:rPr>
        <w:t>ent innovation allowance (DMIA)</w:t>
      </w:r>
      <w:r>
        <w:rPr>
          <w:rStyle w:val="AERbody"/>
        </w:rPr>
        <w:t xml:space="preserve"> </w:t>
      </w:r>
    </w:p>
    <w:p w:rsidR="00677E87" w:rsidRDefault="00677E87" w:rsidP="00677E87">
      <w:pPr>
        <w:pStyle w:val="AERbulletlistfirststyle"/>
        <w:rPr>
          <w:rStyle w:val="AERbody"/>
        </w:rPr>
      </w:pPr>
      <w:r>
        <w:rPr>
          <w:rStyle w:val="AERbody"/>
        </w:rPr>
        <w:t>non-network alternatives</w:t>
      </w:r>
    </w:p>
    <w:p w:rsidR="00677E87" w:rsidRDefault="001B31D9" w:rsidP="00677E87">
      <w:pPr>
        <w:pStyle w:val="AERbulletlistfirststyle"/>
        <w:rPr>
          <w:rStyle w:val="AERbody"/>
        </w:rPr>
      </w:pPr>
      <w:r>
        <w:rPr>
          <w:rStyle w:val="AERbody"/>
        </w:rPr>
        <w:t xml:space="preserve">electrical safety </w:t>
      </w:r>
      <w:r w:rsidR="00677E87">
        <w:rPr>
          <w:rStyle w:val="AERbody"/>
        </w:rPr>
        <w:t>inspection</w:t>
      </w:r>
      <w:r w:rsidR="004373C9">
        <w:rPr>
          <w:rStyle w:val="AERbody"/>
        </w:rPr>
        <w:t xml:space="preserve"> levy payments</w:t>
      </w:r>
    </w:p>
    <w:p w:rsidR="00677E87" w:rsidRDefault="001B31D9" w:rsidP="00677E87">
      <w:pPr>
        <w:pStyle w:val="AERbulletlistfirststyle"/>
        <w:rPr>
          <w:rStyle w:val="AERbody"/>
        </w:rPr>
      </w:pPr>
      <w:r>
        <w:rPr>
          <w:rStyle w:val="AERbody"/>
        </w:rPr>
        <w:t xml:space="preserve">national energy market </w:t>
      </w:r>
      <w:r w:rsidR="00677E87">
        <w:rPr>
          <w:rStyle w:val="AERbody"/>
        </w:rPr>
        <w:t xml:space="preserve">(NEM) </w:t>
      </w:r>
      <w:r w:rsidR="004373C9">
        <w:rPr>
          <w:rStyle w:val="AERbody"/>
        </w:rPr>
        <w:t>levy payments</w:t>
      </w:r>
      <w:r>
        <w:rPr>
          <w:rStyle w:val="AERbody"/>
        </w:rPr>
        <w:t xml:space="preserve"> </w:t>
      </w:r>
    </w:p>
    <w:p w:rsidR="00677E87" w:rsidRDefault="001B31D9" w:rsidP="00677E87">
      <w:pPr>
        <w:pStyle w:val="AERbulletlistfirststyle"/>
        <w:rPr>
          <w:rStyle w:val="AERbody"/>
        </w:rPr>
      </w:pPr>
      <w:r>
        <w:rPr>
          <w:rStyle w:val="AERbody"/>
        </w:rPr>
        <w:t xml:space="preserve">NEM and retail </w:t>
      </w:r>
      <w:r w:rsidR="00677E87">
        <w:rPr>
          <w:rStyle w:val="AERbody"/>
        </w:rPr>
        <w:t>contestability</w:t>
      </w:r>
      <w:r>
        <w:rPr>
          <w:rStyle w:val="AERbody"/>
        </w:rPr>
        <w:t xml:space="preserve"> opex</w:t>
      </w:r>
    </w:p>
    <w:p w:rsidR="00C232E3" w:rsidRDefault="00677E87" w:rsidP="00677E87">
      <w:pPr>
        <w:pStyle w:val="AERbulletlistfirststyle"/>
        <w:rPr>
          <w:rStyle w:val="AERbody"/>
        </w:rPr>
      </w:pPr>
      <w:proofErr w:type="gramStart"/>
      <w:r>
        <w:rPr>
          <w:rStyle w:val="AERbody"/>
        </w:rPr>
        <w:t>movements</w:t>
      </w:r>
      <w:proofErr w:type="gramEnd"/>
      <w:r>
        <w:rPr>
          <w:rStyle w:val="AERbody"/>
        </w:rPr>
        <w:t xml:space="preserve"> in provisions</w:t>
      </w:r>
      <w:r w:rsidR="00C232E3">
        <w:rPr>
          <w:rStyle w:val="AERbody"/>
        </w:rPr>
        <w:t>.</w:t>
      </w:r>
      <w:r w:rsidR="00C232E3">
        <w:rPr>
          <w:rStyle w:val="FootnoteReference"/>
        </w:rPr>
        <w:footnoteReference w:id="7"/>
      </w:r>
    </w:p>
    <w:p w:rsidR="00C232E3" w:rsidRPr="00C232E3" w:rsidRDefault="00C232E3" w:rsidP="00C232E3">
      <w:pPr>
        <w:pStyle w:val="Heading3"/>
      </w:pPr>
      <w:bookmarkStart w:id="87" w:name="_Toc417636185"/>
      <w:bookmarkStart w:id="88" w:name="_Toc433036273"/>
      <w:bookmarkStart w:id="89" w:name="_Toc462826354"/>
      <w:r w:rsidRPr="00D06BEA">
        <w:t>Ap</w:t>
      </w:r>
      <w:r w:rsidRPr="00C232E3">
        <w:t>p</w:t>
      </w:r>
      <w:r>
        <w:t>lication of the EBSS in the 2017–19</w:t>
      </w:r>
      <w:r w:rsidRPr="00C232E3">
        <w:t xml:space="preserve"> regulatory control period</w:t>
      </w:r>
      <w:bookmarkEnd w:id="87"/>
      <w:bookmarkEnd w:id="88"/>
      <w:bookmarkEnd w:id="89"/>
    </w:p>
    <w:p w:rsidR="00C232E3" w:rsidRDefault="00C232E3" w:rsidP="00C232E3">
      <w:pPr>
        <w:numPr>
          <w:ilvl w:val="0"/>
          <w:numId w:val="24"/>
        </w:numPr>
      </w:pPr>
      <w:r>
        <w:t>TasNetworks propose</w:t>
      </w:r>
      <w:r w:rsidR="009A02D4">
        <w:t>d</w:t>
      </w:r>
      <w:r>
        <w:t xml:space="preserve"> </w:t>
      </w:r>
      <w:r w:rsidR="005A26E6">
        <w:t xml:space="preserve">we apply </w:t>
      </w:r>
      <w:r>
        <w:t>version two of the scheme apply in the 2017–19 regulatory control period. It proposed we exclude the following cost categories from the scheme:</w:t>
      </w:r>
    </w:p>
    <w:p w:rsidR="00C232E3" w:rsidRDefault="001B31D9" w:rsidP="00C232E3">
      <w:pPr>
        <w:pStyle w:val="AERbulletlistfirststyle"/>
      </w:pPr>
      <w:r>
        <w:t>superannuation costs for defined benefits schemes</w:t>
      </w:r>
    </w:p>
    <w:p w:rsidR="001B31D9" w:rsidRDefault="00677E87" w:rsidP="00C232E3">
      <w:pPr>
        <w:pStyle w:val="AERbulletlistfirststyle"/>
      </w:pPr>
      <w:r>
        <w:t>DMIA</w:t>
      </w:r>
    </w:p>
    <w:p w:rsidR="00C232E3" w:rsidRDefault="001B31D9" w:rsidP="00C232E3">
      <w:pPr>
        <w:pStyle w:val="AERbulletlistfirststyle"/>
      </w:pPr>
      <w:r>
        <w:t>non-network alternatives</w:t>
      </w:r>
    </w:p>
    <w:p w:rsidR="001B31D9" w:rsidRDefault="008B157A" w:rsidP="00C232E3">
      <w:pPr>
        <w:pStyle w:val="AERbulletlistfirststyle"/>
      </w:pPr>
      <w:r>
        <w:t>e</w:t>
      </w:r>
      <w:r w:rsidR="001B31D9">
        <w:t xml:space="preserve">lectrical </w:t>
      </w:r>
      <w:r w:rsidR="00677E87">
        <w:t>safety</w:t>
      </w:r>
      <w:r w:rsidR="001B31D9">
        <w:t xml:space="preserve"> inspection levy payments</w:t>
      </w:r>
    </w:p>
    <w:p w:rsidR="001B31D9" w:rsidRDefault="00677E87" w:rsidP="00C232E3">
      <w:pPr>
        <w:pStyle w:val="AERbulletlistfirststyle"/>
      </w:pPr>
      <w:r>
        <w:t>NEM</w:t>
      </w:r>
      <w:r w:rsidR="001B31D9">
        <w:t xml:space="preserve"> levy payments</w:t>
      </w:r>
    </w:p>
    <w:p w:rsidR="001B31D9" w:rsidRDefault="008B157A" w:rsidP="00C232E3">
      <w:pPr>
        <w:pStyle w:val="AERbulletlistfirststyle"/>
      </w:pPr>
      <w:r>
        <w:t>d</w:t>
      </w:r>
      <w:r w:rsidR="001B31D9">
        <w:t>ebt raising costs</w:t>
      </w:r>
    </w:p>
    <w:p w:rsidR="001B31D9" w:rsidRDefault="00677E87" w:rsidP="00C232E3">
      <w:pPr>
        <w:pStyle w:val="AERbulletlistfirststyle"/>
      </w:pPr>
      <w:r>
        <w:t>GSL</w:t>
      </w:r>
      <w:r w:rsidR="001B31D9">
        <w:t xml:space="preserve"> payments</w:t>
      </w:r>
    </w:p>
    <w:p w:rsidR="00C232E3" w:rsidRDefault="00677E87" w:rsidP="00C232E3">
      <w:pPr>
        <w:pStyle w:val="AERbulletlistfirststyle"/>
      </w:pPr>
      <w:proofErr w:type="gramStart"/>
      <w:r>
        <w:t>s</w:t>
      </w:r>
      <w:r w:rsidR="001B31D9">
        <w:t>elf-insurance</w:t>
      </w:r>
      <w:proofErr w:type="gramEnd"/>
      <w:r w:rsidR="001B31D9">
        <w:t xml:space="preserve"> costs</w:t>
      </w:r>
      <w:r w:rsidR="00C232E3">
        <w:t>.</w:t>
      </w:r>
      <w:r w:rsidR="00C232E3" w:rsidRPr="006E608B">
        <w:rPr>
          <w:rStyle w:val="FootnoteReference"/>
        </w:rPr>
        <w:footnoteReference w:id="8"/>
      </w:r>
    </w:p>
    <w:p w:rsidR="001B31D9" w:rsidRPr="001B31D9" w:rsidRDefault="001B31D9" w:rsidP="001B31D9">
      <w:r>
        <w:t xml:space="preserve">TasNetworks </w:t>
      </w:r>
      <w:r w:rsidR="00220D51">
        <w:t xml:space="preserve">also </w:t>
      </w:r>
      <w:r>
        <w:t xml:space="preserve">proposed we remove movement in provisions and </w:t>
      </w:r>
      <w:r w:rsidR="00220D51">
        <w:t xml:space="preserve">recognised </w:t>
      </w:r>
      <w:r>
        <w:t>pass throughs</w:t>
      </w:r>
      <w:r w:rsidR="00220D51">
        <w:t xml:space="preserve"> events from forecast and actual opex.</w:t>
      </w:r>
    </w:p>
    <w:p w:rsidR="00C232E3" w:rsidRPr="006E608B" w:rsidRDefault="00C232E3" w:rsidP="00C232E3">
      <w:pPr>
        <w:pStyle w:val="Heading2"/>
      </w:pPr>
      <w:bookmarkStart w:id="90" w:name="_Toc403138098"/>
      <w:bookmarkStart w:id="91" w:name="_Toc417636186"/>
      <w:bookmarkStart w:id="92" w:name="_Toc424111944"/>
      <w:bookmarkStart w:id="93" w:name="_Toc433036274"/>
      <w:bookmarkStart w:id="94" w:name="_Toc462826355"/>
      <w:r>
        <w:t>AER’s assessment approach</w:t>
      </w:r>
      <w:bookmarkEnd w:id="90"/>
      <w:bookmarkEnd w:id="91"/>
      <w:bookmarkEnd w:id="92"/>
      <w:bookmarkEnd w:id="93"/>
      <w:bookmarkEnd w:id="94"/>
    </w:p>
    <w:p w:rsidR="00C232E3" w:rsidRPr="002D16B9" w:rsidRDefault="00C232E3" w:rsidP="00C232E3">
      <w:pPr>
        <w:numPr>
          <w:ilvl w:val="0"/>
          <w:numId w:val="24"/>
        </w:numPr>
      </w:pPr>
      <w:bookmarkStart w:id="95" w:name="_Toc387916854"/>
      <w:r>
        <w:t>Under t</w:t>
      </w:r>
      <w:r w:rsidRPr="002D16B9">
        <w:t xml:space="preserve">he National Electricity Rules (NER) </w:t>
      </w:r>
      <w:r>
        <w:t xml:space="preserve">we must </w:t>
      </w:r>
      <w:r w:rsidR="009A02D4">
        <w:t>determine</w:t>
      </w:r>
      <w:r w:rsidRPr="002D16B9">
        <w:t xml:space="preserve">: </w:t>
      </w:r>
    </w:p>
    <w:p w:rsidR="00C232E3" w:rsidRPr="002D16B9" w:rsidRDefault="00C232E3" w:rsidP="00C232E3">
      <w:pPr>
        <w:pStyle w:val="ListNumber"/>
        <w:numPr>
          <w:ilvl w:val="1"/>
          <w:numId w:val="24"/>
        </w:numPr>
      </w:pPr>
      <w:proofErr w:type="gramStart"/>
      <w:r>
        <w:t>t</w:t>
      </w:r>
      <w:r w:rsidRPr="002D16B9">
        <w:t>he</w:t>
      </w:r>
      <w:proofErr w:type="gramEnd"/>
      <w:r w:rsidRPr="002D16B9">
        <w:t xml:space="preserve"> </w:t>
      </w:r>
      <w:r w:rsidRPr="00061D4E">
        <w:t xml:space="preserve">revenue increments or decrements for each year </w:t>
      </w:r>
      <w:r>
        <w:t xml:space="preserve">of the 2017–19 regulatory control period </w:t>
      </w:r>
      <w:r w:rsidRPr="00061D4E">
        <w:t xml:space="preserve">arising from the application of the EBSS during the </w:t>
      </w:r>
      <w:r>
        <w:br/>
        <w:t>2012–17</w:t>
      </w:r>
      <w:r w:rsidRPr="00061D4E">
        <w:t xml:space="preserve"> </w:t>
      </w:r>
      <w:r>
        <w:t xml:space="preserve">regulatory control </w:t>
      </w:r>
      <w:r w:rsidRPr="00061D4E">
        <w:t>period</w:t>
      </w:r>
      <w:r>
        <w:t>.</w:t>
      </w:r>
      <w:r>
        <w:rPr>
          <w:rStyle w:val="FootnoteReference"/>
        </w:rPr>
        <w:footnoteReference w:id="9"/>
      </w:r>
      <w:r w:rsidRPr="002D16B9">
        <w:t xml:space="preserve"> </w:t>
      </w:r>
    </w:p>
    <w:p w:rsidR="00C232E3" w:rsidRDefault="00C232E3" w:rsidP="00C232E3">
      <w:pPr>
        <w:pStyle w:val="ListNumber"/>
        <w:numPr>
          <w:ilvl w:val="1"/>
          <w:numId w:val="24"/>
        </w:numPr>
      </w:pPr>
      <w:proofErr w:type="gramStart"/>
      <w:r>
        <w:lastRenderedPageBreak/>
        <w:t>how</w:t>
      </w:r>
      <w:proofErr w:type="gramEnd"/>
      <w:r>
        <w:t xml:space="preserve"> </w:t>
      </w:r>
      <w:r w:rsidRPr="002D16B9">
        <w:t>the EBSS will a</w:t>
      </w:r>
      <w:r>
        <w:t>pply to TasNetworks in the 2017–19</w:t>
      </w:r>
      <w:r w:rsidRPr="002D16B9">
        <w:t xml:space="preserve"> </w:t>
      </w:r>
      <w:r>
        <w:t xml:space="preserve">regulatory control </w:t>
      </w:r>
      <w:r w:rsidRPr="002D16B9">
        <w:t>period.</w:t>
      </w:r>
      <w:r>
        <w:rPr>
          <w:rStyle w:val="FootnoteReference"/>
        </w:rPr>
        <w:footnoteReference w:id="10"/>
      </w:r>
    </w:p>
    <w:p w:rsidR="00C232E3" w:rsidRDefault="00C232E3" w:rsidP="00C232E3">
      <w:pPr>
        <w:numPr>
          <w:ilvl w:val="0"/>
          <w:numId w:val="24"/>
        </w:numPr>
      </w:pPr>
      <w:r>
        <w:rPr>
          <w:rStyle w:val="AERbody"/>
        </w:rPr>
        <w:t>The EBSS must provide for a fair sharing between service providers and network users of opex efficiency gains and efficiency losses.</w:t>
      </w:r>
      <w:r>
        <w:rPr>
          <w:rStyle w:val="FootnoteReference"/>
        </w:rPr>
        <w:footnoteReference w:id="11"/>
      </w:r>
      <w:r>
        <w:rPr>
          <w:rStyle w:val="AERbody"/>
        </w:rPr>
        <w:t xml:space="preserve"> We must also have regard to the following </w:t>
      </w:r>
      <w:r w:rsidR="00FC7BA2">
        <w:rPr>
          <w:rStyle w:val="AERbody"/>
        </w:rPr>
        <w:t xml:space="preserve">matters </w:t>
      </w:r>
      <w:r>
        <w:rPr>
          <w:rStyle w:val="AERbody"/>
        </w:rPr>
        <w:t>when implementing the EBSS</w:t>
      </w:r>
      <w:r>
        <w:t>:</w:t>
      </w:r>
      <w:r>
        <w:rPr>
          <w:rStyle w:val="FootnoteReference"/>
        </w:rPr>
        <w:footnoteReference w:id="12"/>
      </w:r>
    </w:p>
    <w:p w:rsidR="00C232E3" w:rsidRPr="006E608B" w:rsidRDefault="00C232E3" w:rsidP="00C232E3">
      <w:pPr>
        <w:pStyle w:val="AERbulletlistfirststyle"/>
      </w:pPr>
      <w:r>
        <w:t>the need to ensure that benefits to electricity consumers likely to result from the scheme are sufficient to warrant any reward or penalty under the scheme</w:t>
      </w:r>
    </w:p>
    <w:p w:rsidR="00C232E3" w:rsidRPr="006E608B" w:rsidRDefault="00C232E3" w:rsidP="00C232E3">
      <w:pPr>
        <w:pStyle w:val="AERbulletlistfirststyle"/>
      </w:pPr>
      <w:r w:rsidRPr="007439B9">
        <w:t xml:space="preserve">the need to provide </w:t>
      </w:r>
      <w:r>
        <w:t>the network service provider</w:t>
      </w:r>
      <w:r w:rsidRPr="006E608B">
        <w:t xml:space="preserve"> with continuous incentives to reduce opex </w:t>
      </w:r>
    </w:p>
    <w:p w:rsidR="00C232E3" w:rsidRPr="006E608B" w:rsidRDefault="00C232E3" w:rsidP="00C232E3">
      <w:pPr>
        <w:pStyle w:val="AERbulletlistfirststyle"/>
      </w:pPr>
      <w:r w:rsidRPr="007439B9">
        <w:t xml:space="preserve">the desirability of both rewarding the </w:t>
      </w:r>
      <w:r w:rsidRPr="006E608B">
        <w:t xml:space="preserve">service providers for efficiency gains and penalising them for efficiency losses </w:t>
      </w:r>
    </w:p>
    <w:p w:rsidR="00C232E3" w:rsidRPr="006E608B" w:rsidRDefault="00C232E3" w:rsidP="00C232E3">
      <w:pPr>
        <w:pStyle w:val="AERbulletlistfirststyle"/>
      </w:pPr>
      <w:r w:rsidRPr="007439B9">
        <w:t>any incentives that service providers may have to capitalise expenditure</w:t>
      </w:r>
    </w:p>
    <w:p w:rsidR="00C232E3" w:rsidRDefault="00C232E3" w:rsidP="00C232E3">
      <w:pPr>
        <w:pStyle w:val="AERbulletlistfirststyle"/>
      </w:pPr>
      <w:proofErr w:type="gramStart"/>
      <w:r w:rsidRPr="00DC57D9">
        <w:t>the</w:t>
      </w:r>
      <w:proofErr w:type="gramEnd"/>
      <w:r w:rsidRPr="00DC57D9">
        <w:t xml:space="preserve"> possible effects of the scheme on incentives for the implementation of non–network alternatives.</w:t>
      </w:r>
      <w:bookmarkEnd w:id="95"/>
    </w:p>
    <w:p w:rsidR="00B131EF" w:rsidRPr="00B131EF" w:rsidRDefault="00B131EF" w:rsidP="00B131EF">
      <w:r>
        <w:t>Our final framework and approach paper for TasNetworks sets out how we had regard to these matters in our decision to apply version two of the EBSS to Powerlink.</w:t>
      </w:r>
      <w:r>
        <w:rPr>
          <w:rStyle w:val="FootnoteReference"/>
        </w:rPr>
        <w:footnoteReference w:id="13"/>
      </w:r>
    </w:p>
    <w:p w:rsidR="00C232E3" w:rsidRPr="00C232E3" w:rsidRDefault="00C232E3" w:rsidP="00C232E3">
      <w:pPr>
        <w:pStyle w:val="Heading3"/>
      </w:pPr>
      <w:bookmarkStart w:id="96" w:name="_Toc403138099"/>
      <w:bookmarkStart w:id="97" w:name="_Ref411244321"/>
      <w:bookmarkStart w:id="98" w:name="_Toc417636187"/>
      <w:bookmarkStart w:id="99" w:name="_Toc424111945"/>
      <w:bookmarkStart w:id="100" w:name="_Toc433036275"/>
      <w:bookmarkStart w:id="101" w:name="_Toc462826356"/>
      <w:r>
        <w:t>Interrelationships</w:t>
      </w:r>
      <w:bookmarkEnd w:id="96"/>
      <w:bookmarkEnd w:id="97"/>
      <w:bookmarkEnd w:id="98"/>
      <w:bookmarkEnd w:id="99"/>
      <w:bookmarkEnd w:id="100"/>
      <w:bookmarkEnd w:id="101"/>
    </w:p>
    <w:p w:rsidR="00C232E3" w:rsidRPr="00567FCA" w:rsidRDefault="00C232E3" w:rsidP="00C232E3">
      <w:r w:rsidRPr="00567FCA">
        <w:t xml:space="preserve">The EBSS is intrinsically linked to our opex revealed cost forecasting approach. </w:t>
      </w:r>
      <w:r w:rsidR="00BE12C0">
        <w:t xml:space="preserve">Under our revealed cost forecasting approach we base our forecast on a service provider's audited actual opex in a single year. </w:t>
      </w:r>
      <w:r w:rsidRPr="00567FCA">
        <w:t>Under this opex forecasting approach, the EBSS has two functions:</w:t>
      </w:r>
    </w:p>
    <w:p w:rsidR="00C232E3" w:rsidRPr="006E608B" w:rsidRDefault="00BE12C0" w:rsidP="00C232E3">
      <w:pPr>
        <w:pStyle w:val="AERbulletlistfirststyle"/>
      </w:pPr>
      <w:r>
        <w:t>it</w:t>
      </w:r>
      <w:r w:rsidRPr="00567FCA">
        <w:t xml:space="preserve"> </w:t>
      </w:r>
      <w:r w:rsidR="00C232E3" w:rsidRPr="00567FCA">
        <w:t>mitigate</w:t>
      </w:r>
      <w:r>
        <w:t>s</w:t>
      </w:r>
      <w:r w:rsidR="00C232E3" w:rsidRPr="00567FCA">
        <w:t xml:space="preserve"> the incentive to increase opex in the expected 'base year' to increase forecast opex for the following regulatory control period</w:t>
      </w:r>
    </w:p>
    <w:p w:rsidR="00C232E3" w:rsidRPr="006E608B" w:rsidRDefault="00BE12C0" w:rsidP="00C232E3">
      <w:pPr>
        <w:pStyle w:val="AERbulletlistfirststyle"/>
      </w:pPr>
      <w:proofErr w:type="gramStart"/>
      <w:r>
        <w:t>it</w:t>
      </w:r>
      <w:proofErr w:type="gramEnd"/>
      <w:r w:rsidRPr="00567FCA">
        <w:t xml:space="preserve"> </w:t>
      </w:r>
      <w:r w:rsidR="00C232E3" w:rsidRPr="00567FCA">
        <w:t>provide</w:t>
      </w:r>
      <w:r>
        <w:t>s</w:t>
      </w:r>
      <w:r w:rsidR="00C232E3" w:rsidRPr="00567FCA">
        <w:t xml:space="preserve"> a continuous incentive to make efficiency gains</w:t>
      </w:r>
      <w:r w:rsidR="00C5130B">
        <w:t>—that is,</w:t>
      </w:r>
      <w:r w:rsidR="00C232E3" w:rsidRPr="00567FCA">
        <w:t xml:space="preserve"> service providers receive the same reward for an underspend and the same penalty for an overspend in each year of the regulatory control period.</w:t>
      </w:r>
    </w:p>
    <w:p w:rsidR="00624A7A" w:rsidRDefault="00B131EF" w:rsidP="00C232E3">
      <w:pPr>
        <w:rPr>
          <w:rStyle w:val="AERbody"/>
        </w:rPr>
      </w:pPr>
      <w:r>
        <w:rPr>
          <w:rStyle w:val="AERbody"/>
        </w:rPr>
        <w:t>Furthermore, when we assess a service provider</w:t>
      </w:r>
      <w:r w:rsidR="00460C29">
        <w:rPr>
          <w:rStyle w:val="AERbody"/>
        </w:rPr>
        <w:t>'</w:t>
      </w:r>
      <w:r>
        <w:rPr>
          <w:rStyle w:val="AERbody"/>
        </w:rPr>
        <w:t xml:space="preserve">s opex proposal, we are to have regard to </w:t>
      </w:r>
      <w:r w:rsidRPr="00462CE4">
        <w:rPr>
          <w:rStyle w:val="AERbody"/>
        </w:rPr>
        <w:t xml:space="preserve">whether the </w:t>
      </w:r>
      <w:r>
        <w:rPr>
          <w:rStyle w:val="AERbody"/>
        </w:rPr>
        <w:t>opex forecast is consistent with any incentive schemes that apply to the service provider, including the EBSS.</w:t>
      </w:r>
      <w:r>
        <w:rPr>
          <w:rStyle w:val="FootnoteReference"/>
        </w:rPr>
        <w:footnoteReference w:id="14"/>
      </w:r>
      <w:r>
        <w:rPr>
          <w:rStyle w:val="AERbody"/>
        </w:rPr>
        <w:t xml:space="preserve"> </w:t>
      </w:r>
      <w:r w:rsidR="00624A7A">
        <w:rPr>
          <w:rStyle w:val="AERbody"/>
        </w:rPr>
        <w:t xml:space="preserve"> </w:t>
      </w:r>
    </w:p>
    <w:p w:rsidR="00C06ED1" w:rsidRDefault="00C06ED1" w:rsidP="00C232E3">
      <w:pPr>
        <w:rPr>
          <w:rStyle w:val="AERbody"/>
        </w:rPr>
      </w:pPr>
    </w:p>
    <w:p w:rsidR="00C06ED1" w:rsidRDefault="00C06ED1" w:rsidP="00C232E3">
      <w:pPr>
        <w:rPr>
          <w:rStyle w:val="AERbody"/>
        </w:rPr>
      </w:pPr>
    </w:p>
    <w:p w:rsidR="00C232E3" w:rsidRPr="006E608B" w:rsidRDefault="00C232E3" w:rsidP="00C232E3">
      <w:pPr>
        <w:pStyle w:val="Heading2"/>
      </w:pPr>
      <w:bookmarkStart w:id="102" w:name="_Toc403138100"/>
      <w:bookmarkStart w:id="103" w:name="_Toc417636188"/>
      <w:bookmarkStart w:id="104" w:name="_Toc424111946"/>
      <w:bookmarkStart w:id="105" w:name="_Toc433036276"/>
      <w:bookmarkStart w:id="106" w:name="_Toc462826357"/>
      <w:r>
        <w:t>Reasons for draft decision</w:t>
      </w:r>
      <w:bookmarkEnd w:id="102"/>
      <w:bookmarkEnd w:id="103"/>
      <w:bookmarkEnd w:id="104"/>
      <w:bookmarkEnd w:id="105"/>
      <w:bookmarkEnd w:id="106"/>
      <w:r>
        <w:t xml:space="preserve"> </w:t>
      </w:r>
    </w:p>
    <w:p w:rsidR="00C232E3" w:rsidRPr="0030169A" w:rsidRDefault="00C232E3" w:rsidP="00C232E3">
      <w:pPr>
        <w:rPr>
          <w:rStyle w:val="AERbody"/>
        </w:rPr>
      </w:pPr>
      <w:r w:rsidRPr="0030169A">
        <w:rPr>
          <w:rStyle w:val="AERbody"/>
        </w:rPr>
        <w:t>This section provides the reasons for the carryover amounts that arise from a</w:t>
      </w:r>
      <w:r>
        <w:rPr>
          <w:rStyle w:val="AERbody"/>
        </w:rPr>
        <w:t>pplying the EBSS during the 201</w:t>
      </w:r>
      <w:r w:rsidR="00D0212D">
        <w:rPr>
          <w:rStyle w:val="AERbody"/>
        </w:rPr>
        <w:t>2</w:t>
      </w:r>
      <w:r>
        <w:rPr>
          <w:rStyle w:val="AERbody"/>
        </w:rPr>
        <w:t>–1</w:t>
      </w:r>
      <w:r w:rsidR="00D0212D">
        <w:rPr>
          <w:rStyle w:val="AERbody"/>
        </w:rPr>
        <w:t>7</w:t>
      </w:r>
      <w:r w:rsidRPr="0030169A">
        <w:rPr>
          <w:rStyle w:val="AERbody"/>
        </w:rPr>
        <w:t xml:space="preserve"> regulatory control </w:t>
      </w:r>
      <w:proofErr w:type="gramStart"/>
      <w:r w:rsidRPr="0030169A">
        <w:rPr>
          <w:rStyle w:val="AERbody"/>
        </w:rPr>
        <w:t>period</w:t>
      </w:r>
      <w:proofErr w:type="gramEnd"/>
      <w:r w:rsidRPr="0030169A">
        <w:rPr>
          <w:rStyle w:val="AERbody"/>
        </w:rPr>
        <w:t>, and how we</w:t>
      </w:r>
      <w:r>
        <w:rPr>
          <w:rStyle w:val="AERbody"/>
        </w:rPr>
        <w:t xml:space="preserve"> will apply the EBSS in the 201</w:t>
      </w:r>
      <w:r w:rsidR="00E65087">
        <w:rPr>
          <w:rStyle w:val="AERbody"/>
        </w:rPr>
        <w:t>7</w:t>
      </w:r>
      <w:r>
        <w:rPr>
          <w:rStyle w:val="AERbody"/>
        </w:rPr>
        <w:t>–</w:t>
      </w:r>
      <w:r w:rsidR="00E65087">
        <w:rPr>
          <w:rStyle w:val="AERbody"/>
        </w:rPr>
        <w:t>19</w:t>
      </w:r>
      <w:r w:rsidRPr="0030169A">
        <w:rPr>
          <w:rStyle w:val="AERbody"/>
        </w:rPr>
        <w:t xml:space="preserve"> </w:t>
      </w:r>
      <w:r>
        <w:rPr>
          <w:rStyle w:val="AERbody"/>
        </w:rPr>
        <w:t xml:space="preserve">regulatory control </w:t>
      </w:r>
      <w:r w:rsidRPr="0030169A">
        <w:rPr>
          <w:rStyle w:val="AERbody"/>
        </w:rPr>
        <w:t>period.</w:t>
      </w:r>
    </w:p>
    <w:p w:rsidR="00C232E3" w:rsidRPr="00C232E3" w:rsidRDefault="00C232E3" w:rsidP="00C232E3">
      <w:pPr>
        <w:pStyle w:val="Heading3"/>
      </w:pPr>
      <w:bookmarkStart w:id="107" w:name="_Ref396474023"/>
      <w:bookmarkStart w:id="108" w:name="_Toc404160290"/>
      <w:bookmarkStart w:id="109" w:name="_Toc417636189"/>
      <w:bookmarkStart w:id="110" w:name="_Toc424111947"/>
      <w:bookmarkStart w:id="111" w:name="_Toc433036277"/>
      <w:bookmarkStart w:id="112" w:name="_Toc462826358"/>
      <w:r>
        <w:t>Carryover amounts from the 2012–17</w:t>
      </w:r>
      <w:r w:rsidRPr="00C232E3">
        <w:t xml:space="preserve"> regulatory control period</w:t>
      </w:r>
      <w:bookmarkEnd w:id="107"/>
      <w:bookmarkEnd w:id="108"/>
      <w:bookmarkEnd w:id="109"/>
      <w:bookmarkEnd w:id="110"/>
      <w:bookmarkEnd w:id="111"/>
      <w:bookmarkEnd w:id="112"/>
    </w:p>
    <w:p w:rsidR="007E3A15" w:rsidRDefault="00C232E3" w:rsidP="00C232E3">
      <w:r>
        <w:t>W</w:t>
      </w:r>
      <w:r w:rsidRPr="005D1B25">
        <w:t xml:space="preserve">e </w:t>
      </w:r>
      <w:r w:rsidR="003656B3">
        <w:t>determine</w:t>
      </w:r>
      <w:r>
        <w:t xml:space="preserve"> TasNetworks should receive EBSS carryover amounts </w:t>
      </w:r>
      <w:r w:rsidR="000B3636">
        <w:t xml:space="preserve">totalling </w:t>
      </w:r>
      <w:r w:rsidRPr="0002678F">
        <w:t>$</w:t>
      </w:r>
      <w:r w:rsidR="004000AE" w:rsidRPr="0002678F">
        <w:t>18.1</w:t>
      </w:r>
      <w:r w:rsidR="000B3636" w:rsidRPr="0002678F">
        <w:t> </w:t>
      </w:r>
      <w:r w:rsidRPr="0002678F">
        <w:t>million</w:t>
      </w:r>
      <w:r>
        <w:t xml:space="preserve"> ($2016–17) from </w:t>
      </w:r>
      <w:r w:rsidR="00D01449">
        <w:t>applying</w:t>
      </w:r>
      <w:r>
        <w:t xml:space="preserve"> the EBSS during the 2012–17</w:t>
      </w:r>
      <w:r w:rsidRPr="003C3CBA">
        <w:t xml:space="preserve"> regulatory control period</w:t>
      </w:r>
      <w:r>
        <w:t xml:space="preserve">. </w:t>
      </w:r>
      <w:r w:rsidR="00307776">
        <w:t>We calculated this</w:t>
      </w:r>
      <w:r w:rsidR="00255F98">
        <w:t xml:space="preserve"> </w:t>
      </w:r>
      <w:r>
        <w:t>in accordance with the EBSS</w:t>
      </w:r>
      <w:r w:rsidR="000B3636">
        <w:t xml:space="preserve"> that applied to TasNetworks</w:t>
      </w:r>
      <w:r>
        <w:t>.</w:t>
      </w:r>
      <w:r>
        <w:rPr>
          <w:rStyle w:val="FootnoteReference"/>
        </w:rPr>
        <w:footnoteReference w:id="15"/>
      </w:r>
      <w:r w:rsidR="007E3A15">
        <w:t xml:space="preserve"> </w:t>
      </w:r>
    </w:p>
    <w:p w:rsidR="003B5894" w:rsidRDefault="00A66DDF" w:rsidP="003B5894">
      <w:r>
        <w:t>In our final decision, w</w:t>
      </w:r>
      <w:r w:rsidR="003B5894">
        <w:t>e will update TasNetworks' EBSS carryover amounts using:</w:t>
      </w:r>
    </w:p>
    <w:p w:rsidR="003B5894" w:rsidRDefault="003B5894" w:rsidP="003B5894">
      <w:pPr>
        <w:pStyle w:val="AERbulletlistfirststyle"/>
      </w:pPr>
      <w:r>
        <w:t>actual audited opex for 2015–16</w:t>
      </w:r>
    </w:p>
    <w:p w:rsidR="003B5894" w:rsidRDefault="003B5894" w:rsidP="003B5894">
      <w:pPr>
        <w:pStyle w:val="AERbulletlistfirststyle"/>
      </w:pPr>
      <w:r>
        <w:t xml:space="preserve">the latest forecast of CPI for June 2017 in the RBA's </w:t>
      </w:r>
      <w:r w:rsidRPr="009E48E5">
        <w:rPr>
          <w:rStyle w:val="AERtextitalic"/>
        </w:rPr>
        <w:t>Statement on monetary policy</w:t>
      </w:r>
    </w:p>
    <w:p w:rsidR="003B5894" w:rsidRDefault="003B5894" w:rsidP="003B5894">
      <w:pPr>
        <w:pStyle w:val="AERbulletlistfirststyle"/>
      </w:pPr>
      <w:proofErr w:type="gramStart"/>
      <w:r>
        <w:t>the</w:t>
      </w:r>
      <w:proofErr w:type="gramEnd"/>
      <w:r>
        <w:t xml:space="preserve"> rate of return we determine in our final decision.</w:t>
      </w:r>
    </w:p>
    <w:p w:rsidR="00C232E3" w:rsidRDefault="00C232E3" w:rsidP="00C232E3">
      <w:pPr>
        <w:numPr>
          <w:ilvl w:val="0"/>
          <w:numId w:val="24"/>
        </w:numPr>
      </w:pPr>
      <w:r>
        <w:t>In the 2012–17</w:t>
      </w:r>
      <w:r w:rsidRPr="00135689">
        <w:t xml:space="preserve"> </w:t>
      </w:r>
      <w:r>
        <w:t xml:space="preserve">regulatory control </w:t>
      </w:r>
      <w:proofErr w:type="gramStart"/>
      <w:r>
        <w:t>period</w:t>
      </w:r>
      <w:proofErr w:type="gramEnd"/>
      <w:r>
        <w:t>, TasNetworks was subject to t</w:t>
      </w:r>
      <w:r w:rsidRPr="000C2EF1">
        <w:rPr>
          <w:rStyle w:val="AERbody"/>
        </w:rPr>
        <w:t xml:space="preserve">he </w:t>
      </w:r>
      <w:r>
        <w:t>Electricity distribution network service providers</w:t>
      </w:r>
      <w:r w:rsidR="00460C29">
        <w:t>'</w:t>
      </w:r>
      <w:r>
        <w:t xml:space="preserve"> EBSS</w:t>
      </w:r>
      <w:r w:rsidRPr="009120D0">
        <w:t>.</w:t>
      </w:r>
      <w:r>
        <w:rPr>
          <w:rStyle w:val="FootnoteReference"/>
        </w:rPr>
        <w:footnoteReference w:id="16"/>
      </w:r>
      <w:r>
        <w:t xml:space="preserve"> </w:t>
      </w:r>
      <w:r w:rsidR="0070694A">
        <w:t xml:space="preserve">We calculate the EBSS carryover amounts </w:t>
      </w:r>
      <w:r>
        <w:t>based on the difference between:</w:t>
      </w:r>
    </w:p>
    <w:p w:rsidR="00C232E3" w:rsidRPr="004D7706" w:rsidRDefault="00C232E3" w:rsidP="00C232E3">
      <w:pPr>
        <w:pStyle w:val="AERbulletlistfirststyle"/>
      </w:pPr>
      <w:r>
        <w:t>approved forecast opex which is set out in our determination for TasNetworks for the 2012–17</w:t>
      </w:r>
      <w:r w:rsidRPr="004D7706">
        <w:t xml:space="preserve"> regulatory control period</w:t>
      </w:r>
      <w:r>
        <w:t xml:space="preserve"> </w:t>
      </w:r>
    </w:p>
    <w:p w:rsidR="00C232E3" w:rsidRPr="004D7706" w:rsidRDefault="000B3636" w:rsidP="00C232E3">
      <w:pPr>
        <w:pStyle w:val="AERbulletlistfirststyle"/>
      </w:pPr>
      <w:proofErr w:type="gramStart"/>
      <w:r>
        <w:t>audited</w:t>
      </w:r>
      <w:proofErr w:type="gramEnd"/>
      <w:r>
        <w:t xml:space="preserve"> </w:t>
      </w:r>
      <w:r w:rsidR="00C232E3">
        <w:t>actual opex for the regulatory years from 2012–13 to 2015–16</w:t>
      </w:r>
      <w:r w:rsidR="00C232E3" w:rsidRPr="004D7706">
        <w:t xml:space="preserve"> less excluded cost categories.</w:t>
      </w:r>
    </w:p>
    <w:p w:rsidR="00C232E3" w:rsidRDefault="0070694A" w:rsidP="00C232E3">
      <w:pPr>
        <w:numPr>
          <w:ilvl w:val="0"/>
          <w:numId w:val="24"/>
        </w:numPr>
        <w:rPr>
          <w:rStyle w:val="AERbody"/>
        </w:rPr>
      </w:pPr>
      <w:r>
        <w:rPr>
          <w:rStyle w:val="AERbody"/>
        </w:rPr>
        <w:t>We set out the</w:t>
      </w:r>
      <w:r w:rsidR="00255F98">
        <w:rPr>
          <w:rStyle w:val="AERbody"/>
        </w:rPr>
        <w:t xml:space="preserve"> </w:t>
      </w:r>
      <w:r w:rsidR="00C232E3" w:rsidRPr="008D4C45">
        <w:rPr>
          <w:rStyle w:val="AERbody"/>
        </w:rPr>
        <w:t>formul</w:t>
      </w:r>
      <w:r w:rsidR="00C232E3">
        <w:rPr>
          <w:rStyle w:val="AERbody"/>
        </w:rPr>
        <w:t>a</w:t>
      </w:r>
      <w:r w:rsidR="00A17C6F">
        <w:rPr>
          <w:rStyle w:val="AERbody"/>
        </w:rPr>
        <w:t>s</w:t>
      </w:r>
      <w:r w:rsidR="00C232E3" w:rsidRPr="008D4C45">
        <w:rPr>
          <w:rStyle w:val="AERbody"/>
        </w:rPr>
        <w:t xml:space="preserve"> for calculating the carryover amounts</w:t>
      </w:r>
      <w:r w:rsidR="00C06ED1" w:rsidRPr="00C06ED1">
        <w:rPr>
          <w:rStyle w:val="AERbody"/>
        </w:rPr>
        <w:t xml:space="preserve"> </w:t>
      </w:r>
      <w:r w:rsidR="00C06ED1">
        <w:rPr>
          <w:rStyle w:val="AERbody"/>
        </w:rPr>
        <w:t>in the scheme</w:t>
      </w:r>
      <w:r w:rsidR="00A66DDF">
        <w:rPr>
          <w:rStyle w:val="AERbody"/>
        </w:rPr>
        <w:t xml:space="preserve"> itself</w:t>
      </w:r>
      <w:r w:rsidR="00C232E3" w:rsidRPr="008D4C45">
        <w:rPr>
          <w:rStyle w:val="AERbody"/>
        </w:rPr>
        <w:t>.</w:t>
      </w:r>
      <w:r w:rsidR="00C232E3">
        <w:rPr>
          <w:rStyle w:val="FootnoteReference"/>
        </w:rPr>
        <w:footnoteReference w:id="17"/>
      </w:r>
    </w:p>
    <w:p w:rsidR="007E3A15" w:rsidRPr="007E3A15" w:rsidRDefault="007E3A15" w:rsidP="007E3A15">
      <w:pPr>
        <w:pStyle w:val="ListParagraph"/>
        <w:numPr>
          <w:ilvl w:val="0"/>
          <w:numId w:val="24"/>
        </w:numPr>
      </w:pPr>
      <w:bookmarkStart w:id="113" w:name="_Ref458515193"/>
      <w:r w:rsidRPr="007E3A15">
        <w:t xml:space="preserve">We reviewed how TasNetworks calculated its proposed EBSS carryover </w:t>
      </w:r>
      <w:r w:rsidR="005B5A8A">
        <w:t>and,</w:t>
      </w:r>
      <w:r w:rsidRPr="007E3A15">
        <w:t xml:space="preserve"> </w:t>
      </w:r>
      <w:r w:rsidR="005B5A8A">
        <w:t>i</w:t>
      </w:r>
      <w:r w:rsidRPr="007E3A15">
        <w:t xml:space="preserve">n consultation with TasNetworks, identified </w:t>
      </w:r>
      <w:r>
        <w:t>several issues</w:t>
      </w:r>
      <w:r w:rsidR="005B5A8A">
        <w:t xml:space="preserve">. The main issue is </w:t>
      </w:r>
      <w:r w:rsidRPr="007E3A15">
        <w:t xml:space="preserve">that </w:t>
      </w:r>
      <w:r w:rsidR="005B5A8A">
        <w:t>TasNetworks'</w:t>
      </w:r>
      <w:r w:rsidRPr="007E3A15">
        <w:t xml:space="preserve"> calculations assumed it had used 2015–16 as the base year to forecast opex when in fact it used 2014–15. </w:t>
      </w:r>
      <w:r w:rsidR="005B5A8A">
        <w:t>We discuss each of the</w:t>
      </w:r>
      <w:r w:rsidRPr="007E3A15">
        <w:t xml:space="preserve"> issue</w:t>
      </w:r>
      <w:r w:rsidR="005B5A8A">
        <w:t>s</w:t>
      </w:r>
      <w:r w:rsidRPr="007E3A15">
        <w:t xml:space="preserve"> in more detail below.</w:t>
      </w:r>
    </w:p>
    <w:p w:rsidR="008E47A6" w:rsidRPr="00735817" w:rsidRDefault="00D01449" w:rsidP="00735817">
      <w:pPr>
        <w:spacing w:line="240" w:lineRule="auto"/>
        <w:rPr>
          <w:b/>
          <w:bCs/>
          <w:color w:val="076A92" w:themeColor="text1"/>
          <w:sz w:val="24"/>
          <w:szCs w:val="18"/>
        </w:rPr>
      </w:pPr>
      <w:r>
        <w:fldChar w:fldCharType="begin"/>
      </w:r>
      <w:r>
        <w:instrText xml:space="preserve"> REF _Ref459303940 \h </w:instrText>
      </w:r>
      <w:r>
        <w:fldChar w:fldCharType="separate"/>
      </w:r>
      <w:r w:rsidR="00861EA6">
        <w:t xml:space="preserve">Table </w:t>
      </w:r>
      <w:r w:rsidR="00861EA6">
        <w:rPr>
          <w:noProof/>
        </w:rPr>
        <w:t>9</w:t>
      </w:r>
      <w:r w:rsidR="00861EA6">
        <w:t>.</w:t>
      </w:r>
      <w:r w:rsidR="00861EA6">
        <w:rPr>
          <w:noProof/>
        </w:rPr>
        <w:t>3</w:t>
      </w:r>
      <w:r>
        <w:fldChar w:fldCharType="end"/>
      </w:r>
      <w:r>
        <w:t xml:space="preserve"> </w:t>
      </w:r>
      <w:r w:rsidR="003D70E0" w:rsidRPr="003D70E0">
        <w:t>compares our forecast carryover amounts with TasNetworks</w:t>
      </w:r>
      <w:r w:rsidR="00F62612">
        <w:t>'</w:t>
      </w:r>
      <w:r w:rsidR="003D70E0" w:rsidRPr="003D70E0">
        <w:t xml:space="preserve"> proposed carryover amounts.</w:t>
      </w:r>
      <w:r w:rsidR="003D70E0">
        <w:t xml:space="preserve"> Normally the carryover amounts accrue over a five year period, however</w:t>
      </w:r>
      <w:r w:rsidR="009A02D4">
        <w:t>,</w:t>
      </w:r>
      <w:r w:rsidR="003D70E0">
        <w:t xml:space="preserve"> because the </w:t>
      </w:r>
      <w:r w:rsidR="000B3636">
        <w:t xml:space="preserve">2017–19 </w:t>
      </w:r>
      <w:r w:rsidR="003D70E0">
        <w:t xml:space="preserve">regulatory control </w:t>
      </w:r>
      <w:proofErr w:type="gramStart"/>
      <w:r w:rsidR="003D70E0">
        <w:t>period</w:t>
      </w:r>
      <w:proofErr w:type="gramEnd"/>
      <w:r w:rsidR="003D70E0">
        <w:t xml:space="preserve"> is only two years</w:t>
      </w:r>
      <w:r w:rsidR="00F62612">
        <w:t>,</w:t>
      </w:r>
      <w:r w:rsidR="003D70E0">
        <w:t xml:space="preserve"> both we and TasNetworks calculated </w:t>
      </w:r>
      <w:r w:rsidR="000B3636">
        <w:t xml:space="preserve">a </w:t>
      </w:r>
      <w:r w:rsidR="003D70E0">
        <w:t xml:space="preserve">net present value equivalent </w:t>
      </w:r>
      <w:r w:rsidR="000B3636">
        <w:t xml:space="preserve">amount </w:t>
      </w:r>
      <w:r w:rsidR="003D70E0">
        <w:t>over two years.</w:t>
      </w:r>
      <w:r w:rsidR="008E47A6">
        <w:br w:type="page"/>
      </w:r>
    </w:p>
    <w:p w:rsidR="003D70E0" w:rsidRDefault="003D70E0" w:rsidP="003D70E0">
      <w:pPr>
        <w:pStyle w:val="Caption"/>
        <w:numPr>
          <w:ilvl w:val="0"/>
          <w:numId w:val="24"/>
        </w:numPr>
      </w:pPr>
      <w:bookmarkStart w:id="114" w:name="_Ref459303940"/>
      <w:r>
        <w:lastRenderedPageBreak/>
        <w:t xml:space="preserve">Table </w:t>
      </w:r>
      <w:r w:rsidR="00861EA6">
        <w:fldChar w:fldCharType="begin"/>
      </w:r>
      <w:r w:rsidR="00861EA6">
        <w:instrText xml:space="preserve"> STYLEREF 1 \s </w:instrText>
      </w:r>
      <w:r w:rsidR="00861EA6">
        <w:fldChar w:fldCharType="separate"/>
      </w:r>
      <w:r w:rsidR="00861EA6">
        <w:rPr>
          <w:noProof/>
        </w:rPr>
        <w:t>9</w:t>
      </w:r>
      <w:r w:rsidR="00861EA6">
        <w:rPr>
          <w:noProof/>
        </w:rPr>
        <w:fldChar w:fldCharType="end"/>
      </w:r>
      <w:r>
        <w:t>.</w:t>
      </w:r>
      <w:r w:rsidR="00861EA6">
        <w:fldChar w:fldCharType="begin"/>
      </w:r>
      <w:r w:rsidR="00861EA6">
        <w:instrText xml:space="preserve"> SEQ Table \* ARABIC \s 1 </w:instrText>
      </w:r>
      <w:r w:rsidR="00861EA6">
        <w:fldChar w:fldCharType="separate"/>
      </w:r>
      <w:r w:rsidR="00861EA6">
        <w:rPr>
          <w:noProof/>
        </w:rPr>
        <w:t>3</w:t>
      </w:r>
      <w:r w:rsidR="00861EA6">
        <w:rPr>
          <w:noProof/>
        </w:rPr>
        <w:fldChar w:fldCharType="end"/>
      </w:r>
      <w:bookmarkEnd w:id="113"/>
      <w:bookmarkEnd w:id="114"/>
      <w:r>
        <w:tab/>
        <w:t>EBSS carryover amounts</w:t>
      </w:r>
    </w:p>
    <w:tbl>
      <w:tblPr>
        <w:tblStyle w:val="AERtable-numbers"/>
        <w:tblW w:w="5000" w:type="pct"/>
        <w:tblLayout w:type="fixed"/>
        <w:tblLook w:val="04A0" w:firstRow="1" w:lastRow="0" w:firstColumn="1" w:lastColumn="0" w:noHBand="0" w:noVBand="1"/>
      </w:tblPr>
      <w:tblGrid>
        <w:gridCol w:w="2239"/>
        <w:gridCol w:w="922"/>
        <w:gridCol w:w="922"/>
        <w:gridCol w:w="922"/>
        <w:gridCol w:w="923"/>
        <w:gridCol w:w="921"/>
        <w:gridCol w:w="921"/>
        <w:gridCol w:w="923"/>
      </w:tblGrid>
      <w:tr w:rsidR="00EF220D" w:rsidTr="00EF22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pct"/>
          </w:tcPr>
          <w:p w:rsidR="005C18F3" w:rsidRDefault="005C18F3" w:rsidP="003D70E0"/>
        </w:tc>
        <w:tc>
          <w:tcPr>
            <w:tcW w:w="530" w:type="pct"/>
          </w:tcPr>
          <w:p w:rsidR="005C18F3" w:rsidRDefault="005C18F3" w:rsidP="003D70E0">
            <w:pPr>
              <w:cnfStyle w:val="100000000000" w:firstRow="1" w:lastRow="0" w:firstColumn="0" w:lastColumn="0" w:oddVBand="0" w:evenVBand="0" w:oddHBand="0" w:evenHBand="0" w:firstRowFirstColumn="0" w:firstRowLastColumn="0" w:lastRowFirstColumn="0" w:lastRowLastColumn="0"/>
            </w:pPr>
            <w:r>
              <w:t>2017–18</w:t>
            </w:r>
          </w:p>
        </w:tc>
        <w:tc>
          <w:tcPr>
            <w:tcW w:w="530" w:type="pct"/>
          </w:tcPr>
          <w:p w:rsidR="005C18F3" w:rsidRDefault="005C18F3" w:rsidP="003D70E0">
            <w:pPr>
              <w:cnfStyle w:val="100000000000" w:firstRow="1" w:lastRow="0" w:firstColumn="0" w:lastColumn="0" w:oddVBand="0" w:evenVBand="0" w:oddHBand="0" w:evenHBand="0" w:firstRowFirstColumn="0" w:firstRowLastColumn="0" w:lastRowFirstColumn="0" w:lastRowLastColumn="0"/>
            </w:pPr>
            <w:r>
              <w:t>2018–19</w:t>
            </w:r>
          </w:p>
        </w:tc>
        <w:tc>
          <w:tcPr>
            <w:tcW w:w="530" w:type="pct"/>
          </w:tcPr>
          <w:p w:rsidR="005C18F3" w:rsidRDefault="005C18F3" w:rsidP="003D70E0">
            <w:pPr>
              <w:cnfStyle w:val="100000000000" w:firstRow="1" w:lastRow="0" w:firstColumn="0" w:lastColumn="0" w:oddVBand="0" w:evenVBand="0" w:oddHBand="0" w:evenHBand="0" w:firstRowFirstColumn="0" w:firstRowLastColumn="0" w:lastRowFirstColumn="0" w:lastRowLastColumn="0"/>
            </w:pPr>
            <w:r>
              <w:t>2019–20</w:t>
            </w:r>
          </w:p>
        </w:tc>
        <w:tc>
          <w:tcPr>
            <w:tcW w:w="531" w:type="pct"/>
          </w:tcPr>
          <w:p w:rsidR="005C18F3" w:rsidRDefault="005C18F3" w:rsidP="003D70E0">
            <w:pPr>
              <w:cnfStyle w:val="100000000000" w:firstRow="1" w:lastRow="0" w:firstColumn="0" w:lastColumn="0" w:oddVBand="0" w:evenVBand="0" w:oddHBand="0" w:evenHBand="0" w:firstRowFirstColumn="0" w:firstRowLastColumn="0" w:lastRowFirstColumn="0" w:lastRowLastColumn="0"/>
            </w:pPr>
            <w:r>
              <w:t>2010–21</w:t>
            </w:r>
          </w:p>
        </w:tc>
        <w:tc>
          <w:tcPr>
            <w:tcW w:w="530" w:type="pct"/>
          </w:tcPr>
          <w:p w:rsidR="005C18F3" w:rsidRDefault="005C18F3" w:rsidP="003D70E0">
            <w:pPr>
              <w:cnfStyle w:val="100000000000" w:firstRow="1" w:lastRow="0" w:firstColumn="0" w:lastColumn="0" w:oddVBand="0" w:evenVBand="0" w:oddHBand="0" w:evenHBand="0" w:firstRowFirstColumn="0" w:firstRowLastColumn="0" w:lastRowFirstColumn="0" w:lastRowLastColumn="0"/>
            </w:pPr>
            <w:r>
              <w:t>2021–22</w:t>
            </w:r>
          </w:p>
        </w:tc>
        <w:tc>
          <w:tcPr>
            <w:tcW w:w="530" w:type="pct"/>
          </w:tcPr>
          <w:p w:rsidR="005C18F3" w:rsidRDefault="005C18F3" w:rsidP="003D70E0">
            <w:pPr>
              <w:cnfStyle w:val="100000000000" w:firstRow="1" w:lastRow="0" w:firstColumn="0" w:lastColumn="0" w:oddVBand="0" w:evenVBand="0" w:oddHBand="0" w:evenHBand="0" w:firstRowFirstColumn="0" w:firstRowLastColumn="0" w:lastRowFirstColumn="0" w:lastRowLastColumn="0"/>
            </w:pPr>
            <w:r>
              <w:t>Total</w:t>
            </w:r>
          </w:p>
        </w:tc>
        <w:tc>
          <w:tcPr>
            <w:tcW w:w="531" w:type="pct"/>
          </w:tcPr>
          <w:p w:rsidR="005C18F3" w:rsidRDefault="005C18F3" w:rsidP="003D70E0">
            <w:pPr>
              <w:cnfStyle w:val="100000000000" w:firstRow="1" w:lastRow="0" w:firstColumn="0" w:lastColumn="0" w:oddVBand="0" w:evenVBand="0" w:oddHBand="0" w:evenHBand="0" w:firstRowFirstColumn="0" w:firstRowLastColumn="0" w:lastRowFirstColumn="0" w:lastRowLastColumn="0"/>
            </w:pPr>
            <w:r>
              <w:t>NPV</w:t>
            </w:r>
          </w:p>
        </w:tc>
      </w:tr>
      <w:tr w:rsidR="00EF220D" w:rsidTr="00EF220D">
        <w:tc>
          <w:tcPr>
            <w:cnfStyle w:val="001000000000" w:firstRow="0" w:lastRow="0" w:firstColumn="1" w:lastColumn="0" w:oddVBand="0" w:evenVBand="0" w:oddHBand="0" w:evenHBand="0" w:firstRowFirstColumn="0" w:firstRowLastColumn="0" w:lastRowFirstColumn="0" w:lastRowLastColumn="0"/>
            <w:tcW w:w="1287" w:type="pct"/>
          </w:tcPr>
          <w:p w:rsidR="005C18F3" w:rsidRPr="008A6F08" w:rsidRDefault="005C18F3" w:rsidP="003D70E0">
            <w:r w:rsidRPr="008A6F08">
              <w:t>TasNetworks' proposal</w:t>
            </w:r>
          </w:p>
        </w:tc>
        <w:tc>
          <w:tcPr>
            <w:tcW w:w="530"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14.0 </w:t>
            </w:r>
          </w:p>
        </w:tc>
        <w:tc>
          <w:tcPr>
            <w:tcW w:w="530"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9.2 </w:t>
            </w:r>
          </w:p>
        </w:tc>
        <w:tc>
          <w:tcPr>
            <w:tcW w:w="530"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14.5 </w:t>
            </w:r>
          </w:p>
        </w:tc>
        <w:tc>
          <w:tcPr>
            <w:tcW w:w="531"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5.1 </w:t>
            </w:r>
          </w:p>
        </w:tc>
        <w:tc>
          <w:tcPr>
            <w:tcW w:w="530"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 </w:t>
            </w:r>
          </w:p>
        </w:tc>
        <w:tc>
          <w:tcPr>
            <w:tcW w:w="530" w:type="pct"/>
          </w:tcPr>
          <w:p w:rsidR="005C18F3" w:rsidRPr="00977DFB" w:rsidRDefault="005C18F3" w:rsidP="0070694A">
            <w:pPr>
              <w:cnfStyle w:val="000000000000" w:firstRow="0" w:lastRow="0" w:firstColumn="0" w:lastColumn="0" w:oddVBand="0" w:evenVBand="0" w:oddHBand="0" w:evenHBand="0" w:firstRowFirstColumn="0" w:firstRowLastColumn="0" w:lastRowFirstColumn="0" w:lastRowLastColumn="0"/>
              <w:rPr>
                <w:rStyle w:val="Strong"/>
              </w:rPr>
            </w:pPr>
            <w:r w:rsidRPr="00977DFB">
              <w:rPr>
                <w:rStyle w:val="Strong"/>
              </w:rPr>
              <w:t>42.8</w:t>
            </w:r>
          </w:p>
        </w:tc>
        <w:tc>
          <w:tcPr>
            <w:tcW w:w="531" w:type="pct"/>
          </w:tcPr>
          <w:p w:rsidR="005C18F3" w:rsidRPr="00977DFB" w:rsidRDefault="00847EE3" w:rsidP="0070694A">
            <w:pPr>
              <w:cnfStyle w:val="000000000000" w:firstRow="0" w:lastRow="0" w:firstColumn="0" w:lastColumn="0" w:oddVBand="0" w:evenVBand="0" w:oddHBand="0" w:evenHBand="0" w:firstRowFirstColumn="0" w:firstRowLastColumn="0" w:lastRowFirstColumn="0" w:lastRowLastColumn="0"/>
              <w:rPr>
                <w:rStyle w:val="Strong"/>
              </w:rPr>
            </w:pPr>
            <w:r>
              <w:rPr>
                <w:rStyle w:val="Strong"/>
              </w:rPr>
              <w:t>39.1</w:t>
            </w:r>
          </w:p>
        </w:tc>
      </w:tr>
      <w:tr w:rsidR="00EF220D" w:rsidTr="00EF220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pct"/>
          </w:tcPr>
          <w:p w:rsidR="005C18F3" w:rsidRPr="003B6AFB" w:rsidRDefault="005C18F3" w:rsidP="003D70E0">
            <w:r w:rsidRPr="003B6AFB">
              <w:t xml:space="preserve">TasNetworks' proposal, </w:t>
            </w:r>
            <w:r w:rsidR="00EF220D">
              <w:br/>
            </w:r>
            <w:r w:rsidRPr="003B6AFB">
              <w:t>two year equivalent</w:t>
            </w:r>
          </w:p>
        </w:tc>
        <w:tc>
          <w:tcPr>
            <w:tcW w:w="530" w:type="pct"/>
            <w:vAlign w:val="top"/>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r w:rsidRPr="0070694A">
              <w:t xml:space="preserve"> 20.6 </w:t>
            </w:r>
          </w:p>
        </w:tc>
        <w:tc>
          <w:tcPr>
            <w:tcW w:w="530" w:type="pct"/>
            <w:vAlign w:val="top"/>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r w:rsidRPr="0070694A">
              <w:t xml:space="preserve"> 20.6 </w:t>
            </w:r>
          </w:p>
        </w:tc>
        <w:tc>
          <w:tcPr>
            <w:tcW w:w="530" w:type="pct"/>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p>
        </w:tc>
        <w:tc>
          <w:tcPr>
            <w:tcW w:w="531" w:type="pct"/>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p>
        </w:tc>
        <w:tc>
          <w:tcPr>
            <w:tcW w:w="530" w:type="pct"/>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p>
        </w:tc>
        <w:tc>
          <w:tcPr>
            <w:tcW w:w="530" w:type="pct"/>
          </w:tcPr>
          <w:p w:rsidR="005C18F3" w:rsidRPr="00977DFB" w:rsidRDefault="005C18F3" w:rsidP="0070694A">
            <w:pPr>
              <w:cnfStyle w:val="000000010000" w:firstRow="0" w:lastRow="0" w:firstColumn="0" w:lastColumn="0" w:oddVBand="0" w:evenVBand="0" w:oddHBand="0" w:evenHBand="1" w:firstRowFirstColumn="0" w:firstRowLastColumn="0" w:lastRowFirstColumn="0" w:lastRowLastColumn="0"/>
              <w:rPr>
                <w:rStyle w:val="Strong"/>
              </w:rPr>
            </w:pPr>
            <w:r w:rsidRPr="00977DFB">
              <w:rPr>
                <w:rStyle w:val="Strong"/>
              </w:rPr>
              <w:t>41.1</w:t>
            </w:r>
          </w:p>
        </w:tc>
        <w:tc>
          <w:tcPr>
            <w:tcW w:w="531" w:type="pct"/>
          </w:tcPr>
          <w:p w:rsidR="005C18F3" w:rsidRPr="00977DFB" w:rsidRDefault="00847EE3" w:rsidP="0070694A">
            <w:pPr>
              <w:cnfStyle w:val="000000010000" w:firstRow="0" w:lastRow="0" w:firstColumn="0" w:lastColumn="0" w:oddVBand="0" w:evenVBand="0" w:oddHBand="0" w:evenHBand="1" w:firstRowFirstColumn="0" w:firstRowLastColumn="0" w:lastRowFirstColumn="0" w:lastRowLastColumn="0"/>
              <w:rPr>
                <w:rStyle w:val="Strong"/>
              </w:rPr>
            </w:pPr>
            <w:r>
              <w:rPr>
                <w:rStyle w:val="Strong"/>
              </w:rPr>
              <w:t>39.1</w:t>
            </w:r>
          </w:p>
        </w:tc>
      </w:tr>
      <w:tr w:rsidR="00EF220D" w:rsidTr="00EF220D">
        <w:tc>
          <w:tcPr>
            <w:cnfStyle w:val="001000000000" w:firstRow="0" w:lastRow="0" w:firstColumn="1" w:lastColumn="0" w:oddVBand="0" w:evenVBand="0" w:oddHBand="0" w:evenHBand="0" w:firstRowFirstColumn="0" w:firstRowLastColumn="0" w:lastRowFirstColumn="0" w:lastRowLastColumn="0"/>
            <w:tcW w:w="1287" w:type="pct"/>
          </w:tcPr>
          <w:p w:rsidR="005C18F3" w:rsidRPr="003B6AFB" w:rsidRDefault="005C18F3" w:rsidP="003D70E0">
            <w:r w:rsidRPr="003B6AFB">
              <w:t>Draft decision</w:t>
            </w:r>
          </w:p>
        </w:tc>
        <w:tc>
          <w:tcPr>
            <w:tcW w:w="530"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8.9 </w:t>
            </w:r>
          </w:p>
        </w:tc>
        <w:tc>
          <w:tcPr>
            <w:tcW w:w="530"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4.5 </w:t>
            </w:r>
          </w:p>
        </w:tc>
        <w:tc>
          <w:tcPr>
            <w:tcW w:w="530"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9.3 </w:t>
            </w:r>
          </w:p>
        </w:tc>
        <w:tc>
          <w:tcPr>
            <w:tcW w:w="531"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 </w:t>
            </w:r>
          </w:p>
        </w:tc>
        <w:tc>
          <w:tcPr>
            <w:tcW w:w="530" w:type="pct"/>
            <w:vAlign w:val="top"/>
          </w:tcPr>
          <w:p w:rsidR="005C18F3" w:rsidRPr="0070694A" w:rsidRDefault="005C18F3" w:rsidP="0070694A">
            <w:pPr>
              <w:cnfStyle w:val="000000000000" w:firstRow="0" w:lastRow="0" w:firstColumn="0" w:lastColumn="0" w:oddVBand="0" w:evenVBand="0" w:oddHBand="0" w:evenHBand="0" w:firstRowFirstColumn="0" w:firstRowLastColumn="0" w:lastRowFirstColumn="0" w:lastRowLastColumn="0"/>
            </w:pPr>
            <w:r w:rsidRPr="0070694A">
              <w:t xml:space="preserve">–4.8 </w:t>
            </w:r>
          </w:p>
        </w:tc>
        <w:tc>
          <w:tcPr>
            <w:tcW w:w="530" w:type="pct"/>
          </w:tcPr>
          <w:p w:rsidR="005C18F3" w:rsidRPr="00977DFB" w:rsidDel="005C18F3" w:rsidRDefault="00D8267E" w:rsidP="0070694A">
            <w:pPr>
              <w:cnfStyle w:val="000000000000" w:firstRow="0" w:lastRow="0" w:firstColumn="0" w:lastColumn="0" w:oddVBand="0" w:evenVBand="0" w:oddHBand="0" w:evenHBand="0" w:firstRowFirstColumn="0" w:firstRowLastColumn="0" w:lastRowFirstColumn="0" w:lastRowLastColumn="0"/>
              <w:rPr>
                <w:rStyle w:val="Strong"/>
              </w:rPr>
            </w:pPr>
            <w:r w:rsidRPr="00977DFB">
              <w:rPr>
                <w:rStyle w:val="Strong"/>
              </w:rPr>
              <w:t>17.9</w:t>
            </w:r>
          </w:p>
        </w:tc>
        <w:tc>
          <w:tcPr>
            <w:tcW w:w="531" w:type="pct"/>
          </w:tcPr>
          <w:p w:rsidR="005C18F3" w:rsidRPr="00977DFB" w:rsidRDefault="005C18F3" w:rsidP="0070694A">
            <w:pPr>
              <w:cnfStyle w:val="000000000000" w:firstRow="0" w:lastRow="0" w:firstColumn="0" w:lastColumn="0" w:oddVBand="0" w:evenVBand="0" w:oddHBand="0" w:evenHBand="0" w:firstRowFirstColumn="0" w:firstRowLastColumn="0" w:lastRowFirstColumn="0" w:lastRowLastColumn="0"/>
              <w:rPr>
                <w:rStyle w:val="Strong"/>
              </w:rPr>
            </w:pPr>
            <w:r w:rsidRPr="00977DFB">
              <w:rPr>
                <w:rStyle w:val="Strong"/>
              </w:rPr>
              <w:t>17.3</w:t>
            </w:r>
          </w:p>
        </w:tc>
      </w:tr>
      <w:tr w:rsidR="00EF220D" w:rsidTr="00EF220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pct"/>
          </w:tcPr>
          <w:p w:rsidR="005C18F3" w:rsidRPr="003B6AFB" w:rsidRDefault="005C18F3" w:rsidP="003D70E0">
            <w:r w:rsidRPr="003B6AFB">
              <w:t xml:space="preserve">Draft decision, </w:t>
            </w:r>
            <w:r w:rsidR="00EF220D">
              <w:br/>
            </w:r>
            <w:r w:rsidRPr="003B6AFB">
              <w:t>two year equivalent</w:t>
            </w:r>
          </w:p>
        </w:tc>
        <w:tc>
          <w:tcPr>
            <w:tcW w:w="530" w:type="pct"/>
            <w:vAlign w:val="top"/>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r w:rsidRPr="0070694A">
              <w:t>9.0</w:t>
            </w:r>
          </w:p>
        </w:tc>
        <w:tc>
          <w:tcPr>
            <w:tcW w:w="530" w:type="pct"/>
            <w:vAlign w:val="top"/>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r w:rsidRPr="0070694A">
              <w:t>9.0</w:t>
            </w:r>
          </w:p>
        </w:tc>
        <w:tc>
          <w:tcPr>
            <w:tcW w:w="530" w:type="pct"/>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p>
        </w:tc>
        <w:tc>
          <w:tcPr>
            <w:tcW w:w="531" w:type="pct"/>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p>
        </w:tc>
        <w:tc>
          <w:tcPr>
            <w:tcW w:w="530" w:type="pct"/>
          </w:tcPr>
          <w:p w:rsidR="005C18F3" w:rsidRPr="0070694A" w:rsidRDefault="005C18F3" w:rsidP="0070694A">
            <w:pPr>
              <w:cnfStyle w:val="000000010000" w:firstRow="0" w:lastRow="0" w:firstColumn="0" w:lastColumn="0" w:oddVBand="0" w:evenVBand="0" w:oddHBand="0" w:evenHBand="1" w:firstRowFirstColumn="0" w:firstRowLastColumn="0" w:lastRowFirstColumn="0" w:lastRowLastColumn="0"/>
            </w:pPr>
          </w:p>
        </w:tc>
        <w:tc>
          <w:tcPr>
            <w:tcW w:w="530" w:type="pct"/>
          </w:tcPr>
          <w:p w:rsidR="005C18F3" w:rsidRPr="00977DFB" w:rsidDel="005C18F3" w:rsidRDefault="005C18F3" w:rsidP="0070694A">
            <w:pPr>
              <w:cnfStyle w:val="000000010000" w:firstRow="0" w:lastRow="0" w:firstColumn="0" w:lastColumn="0" w:oddVBand="0" w:evenVBand="0" w:oddHBand="0" w:evenHBand="1" w:firstRowFirstColumn="0" w:firstRowLastColumn="0" w:lastRowFirstColumn="0" w:lastRowLastColumn="0"/>
              <w:rPr>
                <w:rStyle w:val="Strong"/>
              </w:rPr>
            </w:pPr>
            <w:r w:rsidRPr="00977DFB">
              <w:rPr>
                <w:rStyle w:val="Strong"/>
              </w:rPr>
              <w:t>18.1</w:t>
            </w:r>
          </w:p>
        </w:tc>
        <w:tc>
          <w:tcPr>
            <w:tcW w:w="531" w:type="pct"/>
          </w:tcPr>
          <w:p w:rsidR="005C18F3" w:rsidRPr="00977DFB" w:rsidRDefault="005C18F3" w:rsidP="0070694A">
            <w:pPr>
              <w:cnfStyle w:val="000000010000" w:firstRow="0" w:lastRow="0" w:firstColumn="0" w:lastColumn="0" w:oddVBand="0" w:evenVBand="0" w:oddHBand="0" w:evenHBand="1" w:firstRowFirstColumn="0" w:firstRowLastColumn="0" w:lastRowFirstColumn="0" w:lastRowLastColumn="0"/>
              <w:rPr>
                <w:rStyle w:val="Strong"/>
              </w:rPr>
            </w:pPr>
            <w:r w:rsidRPr="00977DFB">
              <w:rPr>
                <w:rStyle w:val="Strong"/>
              </w:rPr>
              <w:t>17.3</w:t>
            </w:r>
          </w:p>
        </w:tc>
      </w:tr>
    </w:tbl>
    <w:p w:rsidR="005C18F3" w:rsidRDefault="005C18F3" w:rsidP="003D70E0">
      <w:pPr>
        <w:pStyle w:val="AERtablesource"/>
        <w:numPr>
          <w:ilvl w:val="0"/>
          <w:numId w:val="24"/>
        </w:numPr>
      </w:pPr>
      <w:r>
        <w:t>Note:</w:t>
      </w:r>
      <w:r>
        <w:tab/>
        <w:t>Based on a real discount rate of 2.96 per cent, consistent with our draft decision on the rate of return.</w:t>
      </w:r>
      <w:r w:rsidR="007949EA">
        <w:t xml:space="preserve"> Numbers may not add up to totals due to rounding.</w:t>
      </w:r>
    </w:p>
    <w:p w:rsidR="003D70E0" w:rsidRPr="008A6F08" w:rsidRDefault="003D70E0" w:rsidP="003D70E0">
      <w:pPr>
        <w:pStyle w:val="AERtablesource"/>
        <w:numPr>
          <w:ilvl w:val="0"/>
          <w:numId w:val="24"/>
        </w:numPr>
      </w:pPr>
      <w:r>
        <w:t xml:space="preserve">Source: </w:t>
      </w:r>
      <w:r>
        <w:tab/>
        <w:t xml:space="preserve">TasNetworks, </w:t>
      </w:r>
      <w:r w:rsidRPr="006E2D37">
        <w:rPr>
          <w:rStyle w:val="AERtextitalic"/>
        </w:rPr>
        <w:t>Regulatory proposal and proposed PTRM</w:t>
      </w:r>
      <w:r>
        <w:t>; AER analysis.</w:t>
      </w:r>
    </w:p>
    <w:p w:rsidR="00C232E3" w:rsidRDefault="00C232E3" w:rsidP="00C232E3">
      <w:r>
        <w:t xml:space="preserve">The EBSS carryover we </w:t>
      </w:r>
      <w:r w:rsidRPr="000B3636">
        <w:t xml:space="preserve">calculated </w:t>
      </w:r>
      <w:r w:rsidRPr="00977DFB">
        <w:t>($</w:t>
      </w:r>
      <w:r w:rsidR="004000AE" w:rsidRPr="00977DFB">
        <w:t>18.1</w:t>
      </w:r>
      <w:r w:rsidRPr="00977DFB">
        <w:t xml:space="preserve"> million</w:t>
      </w:r>
      <w:r w:rsidR="004000AE" w:rsidRPr="00977DFB">
        <w:t xml:space="preserve"> or $1</w:t>
      </w:r>
      <w:r w:rsidR="00EF220D" w:rsidRPr="00977DFB">
        <w:t>7.3</w:t>
      </w:r>
      <w:r w:rsidR="004000AE" w:rsidRPr="00977DFB">
        <w:t xml:space="preserve"> million </w:t>
      </w:r>
      <w:r w:rsidR="004000AE" w:rsidRPr="000B3636">
        <w:t>in</w:t>
      </w:r>
      <w:r w:rsidR="004000AE">
        <w:t xml:space="preserve"> NPV terms</w:t>
      </w:r>
      <w:r>
        <w:t>) is lower than the carryover TasNetworks proposed ($</w:t>
      </w:r>
      <w:r w:rsidR="009E48E5">
        <w:t>41.1</w:t>
      </w:r>
      <w:r>
        <w:t xml:space="preserve"> million</w:t>
      </w:r>
      <w:r w:rsidR="004000AE">
        <w:t xml:space="preserve"> or </w:t>
      </w:r>
      <w:r w:rsidR="004000AE" w:rsidRPr="00847EE3">
        <w:t>$</w:t>
      </w:r>
      <w:r w:rsidR="00847EE3" w:rsidRPr="00733D63">
        <w:t>39.1</w:t>
      </w:r>
      <w:r w:rsidR="004000AE" w:rsidRPr="00847EE3">
        <w:t xml:space="preserve"> million</w:t>
      </w:r>
      <w:r w:rsidR="004000AE">
        <w:t xml:space="preserve"> in NPV terms</w:t>
      </w:r>
      <w:r>
        <w:t xml:space="preserve">) for </w:t>
      </w:r>
      <w:r w:rsidR="00255F98">
        <w:t xml:space="preserve">four </w:t>
      </w:r>
      <w:r>
        <w:t>reasons:</w:t>
      </w:r>
    </w:p>
    <w:p w:rsidR="00255F98" w:rsidRDefault="00255F98" w:rsidP="002C38EA">
      <w:pPr>
        <w:pStyle w:val="ListNumber"/>
      </w:pPr>
      <w:r>
        <w:t>we used a different estimate of 2016–17 opex</w:t>
      </w:r>
      <w:r w:rsidR="000B3636">
        <w:t>, which changed the incremental gain for 2016–17</w:t>
      </w:r>
    </w:p>
    <w:p w:rsidR="00255F98" w:rsidRDefault="00255F98" w:rsidP="002C38EA">
      <w:pPr>
        <w:pStyle w:val="ListNumber"/>
      </w:pPr>
      <w:r>
        <w:t>we calculated the incremental gain for 2012–13 differently</w:t>
      </w:r>
    </w:p>
    <w:p w:rsidR="00255F98" w:rsidRDefault="00255F98" w:rsidP="002C38EA">
      <w:pPr>
        <w:pStyle w:val="ListNumber"/>
      </w:pPr>
      <w:r>
        <w:t>we used different values of inflation</w:t>
      </w:r>
    </w:p>
    <w:p w:rsidR="00255F98" w:rsidRDefault="00EF220D" w:rsidP="002C38EA">
      <w:pPr>
        <w:pStyle w:val="ListNumber"/>
      </w:pPr>
      <w:proofErr w:type="gramStart"/>
      <w:r>
        <w:t>we</w:t>
      </w:r>
      <w:proofErr w:type="gramEnd"/>
      <w:r>
        <w:t xml:space="preserve"> used a different discount rate to calculate two years of carryover payments equal in NPV terms</w:t>
      </w:r>
      <w:r w:rsidR="00255F98">
        <w:t>.</w:t>
      </w:r>
    </w:p>
    <w:p w:rsidR="009E48E5" w:rsidRDefault="00255F98" w:rsidP="00EF220D">
      <w:bookmarkStart w:id="115" w:name="_Ref398823659"/>
      <w:bookmarkStart w:id="116" w:name="_Toc404160291"/>
      <w:bookmarkStart w:id="117" w:name="_Toc417636193"/>
      <w:bookmarkStart w:id="118" w:name="_Toc424111948"/>
      <w:r>
        <w:t>We discuss these issues below.</w:t>
      </w:r>
    </w:p>
    <w:p w:rsidR="00566506" w:rsidRPr="00670CE0" w:rsidRDefault="00566506" w:rsidP="00566506">
      <w:pPr>
        <w:pStyle w:val="HeadingBoldItalic"/>
      </w:pPr>
      <w:r>
        <w:t>Estimate of 2016–17 'actual' opex</w:t>
      </w:r>
      <w:r w:rsidRPr="00670CE0">
        <w:t xml:space="preserve"> </w:t>
      </w:r>
    </w:p>
    <w:p w:rsidR="00566506" w:rsidRDefault="00566506" w:rsidP="00566506">
      <w:r w:rsidRPr="00FA04DA">
        <w:t>When we determine EBSS carryover amounts we typically do not know actual audited opex for the final year of the current regulatory control period</w:t>
      </w:r>
      <w:r>
        <w:t>, in this case 2016–17</w:t>
      </w:r>
      <w:r w:rsidRPr="00FA04DA">
        <w:t xml:space="preserve">. Consequently we need to estimate this to calculate gains or losses for </w:t>
      </w:r>
      <w:r>
        <w:t>2016–17</w:t>
      </w:r>
      <w:r w:rsidRPr="00FA04DA">
        <w:t xml:space="preserve">. To ensure consistency with the opex forecast </w:t>
      </w:r>
      <w:r>
        <w:t>this</w:t>
      </w:r>
      <w:r w:rsidRPr="00FA04DA">
        <w:t xml:space="preserve"> estimate should reflect the same level of efficiency as in the base year.</w:t>
      </w:r>
    </w:p>
    <w:p w:rsidR="00566506" w:rsidRDefault="00566506" w:rsidP="00566506">
      <w:r>
        <w:t>Version one of the distribution EBSS specifies that we will estimate final (fifth) year opex as:</w:t>
      </w:r>
    </w:p>
    <w:p w:rsidR="00566506" w:rsidRPr="00A94981" w:rsidRDefault="00861EA6" w:rsidP="00A94981">
      <m:oMathPara>
        <m:oMath>
          <m:sSubSup>
            <m:sSubSupPr>
              <m:ctrlPr>
                <w:rPr>
                  <w:rFonts w:ascii="Cambria Math" w:hAnsi="Cambria Math"/>
                </w:rPr>
              </m:ctrlPr>
            </m:sSubSupPr>
            <m:e>
              <m:r>
                <w:rPr>
                  <w:rFonts w:ascii="Cambria Math" w:hAnsi="Cambria Math"/>
                </w:rPr>
                <m:t>A</m:t>
              </m:r>
            </m:e>
            <m:sub>
              <m:r>
                <m:rPr>
                  <m:sty m:val="p"/>
                </m:rPr>
                <w:rPr>
                  <w:rFonts w:ascii="Cambria Math" w:hAnsi="Cambria Math"/>
                </w:rPr>
                <m:t>5</m:t>
              </m:r>
            </m:sub>
            <m:sup>
              <m:r>
                <m:rPr>
                  <m:sty m:val="p"/>
                </m:rPr>
                <w:rPr>
                  <w:rFonts w:ascii="Cambria Math" w:hAnsi="Cambria Math"/>
                </w:rPr>
                <m:t>*</m:t>
              </m:r>
            </m:sup>
          </m:sSubSup>
          <m:r>
            <m:rPr>
              <m:sty m:val="p"/>
            </m:rPr>
            <w:rPr>
              <w:rFonts w:ascii="Cambria Math" w:hAnsi="Cambria Math"/>
            </w:rPr>
            <m:t>=</m:t>
          </m:r>
          <m:sSub>
            <m:sSubPr>
              <m:ctrlPr>
                <w:rPr>
                  <w:rFonts w:ascii="Cambria Math" w:hAnsi="Cambria Math"/>
                </w:rPr>
              </m:ctrlPr>
            </m:sSubPr>
            <m:e>
              <m:r>
                <w:rPr>
                  <w:rFonts w:ascii="Cambria Math" w:hAnsi="Cambria Math"/>
                </w:rPr>
                <m:t>F</m:t>
              </m:r>
            </m:e>
            <m:sub>
              <m:r>
                <m:rPr>
                  <m:sty m:val="p"/>
                </m:rPr>
                <w:rPr>
                  <w:rFonts w:ascii="Cambria Math" w:hAnsi="Cambria Math"/>
                </w:rPr>
                <m:t>5</m:t>
              </m:r>
            </m:sub>
          </m:sSub>
          <m:r>
            <m:rPr>
              <m:sty m:val="p"/>
            </m:rPr>
            <w:rPr>
              <w:rFonts w:ascii="Cambria Math" w:hAnsi="Cambria Math"/>
            </w:rPr>
            <m:t>-</m:t>
          </m:r>
          <m:d>
            <m:dPr>
              <m:ctrlPr>
                <w:rPr>
                  <w:rFonts w:ascii="Cambria Math" w:hAnsi="Cambria Math"/>
                </w:rPr>
              </m:ctrlPr>
            </m:dPr>
            <m:e>
              <m:sSub>
                <m:sSubPr>
                  <m:ctrlPr>
                    <w:rPr>
                      <w:rFonts w:ascii="Cambria Math" w:hAnsi="Cambria Math"/>
                    </w:rPr>
                  </m:ctrlPr>
                </m:sSubPr>
                <m:e>
                  <m:r>
                    <w:rPr>
                      <w:rFonts w:ascii="Cambria Math" w:hAnsi="Cambria Math"/>
                    </w:rPr>
                    <m:t>F</m:t>
                  </m:r>
                </m:e>
                <m:sub>
                  <m:r>
                    <w:rPr>
                      <w:rFonts w:ascii="Cambria Math" w:hAnsi="Cambria Math"/>
                    </w:rPr>
                    <m:t>f</m:t>
                  </m:r>
                </m:sub>
              </m:sSub>
              <m:r>
                <m:rPr>
                  <m:sty m:val="p"/>
                </m:rPr>
                <w:rPr>
                  <w:rFonts w:ascii="Cambria Math" w:hAnsi="Cambria Math"/>
                </w:rPr>
                <m:t>-</m:t>
              </m:r>
              <m:sSub>
                <m:sSubPr>
                  <m:ctrlPr>
                    <w:rPr>
                      <w:rFonts w:ascii="Cambria Math" w:hAnsi="Cambria Math"/>
                    </w:rPr>
                  </m:ctrlPr>
                </m:sSubPr>
                <m:e>
                  <m:r>
                    <w:rPr>
                      <w:rFonts w:ascii="Cambria Math" w:hAnsi="Cambria Math"/>
                    </w:rPr>
                    <m:t>A</m:t>
                  </m:r>
                </m:e>
                <m:sub>
                  <m:r>
                    <w:rPr>
                      <w:rFonts w:ascii="Cambria Math" w:hAnsi="Cambria Math"/>
                    </w:rPr>
                    <m:t>f</m:t>
                  </m:r>
                </m:sub>
              </m:sSub>
            </m:e>
          </m:d>
        </m:oMath>
      </m:oMathPara>
    </w:p>
    <w:p w:rsidR="00566506" w:rsidRPr="00FA04DA" w:rsidRDefault="00566506" w:rsidP="00566506">
      <w:proofErr w:type="gramStart"/>
      <w:r>
        <w:t>where</w:t>
      </w:r>
      <w:proofErr w:type="gramEnd"/>
      <w:r>
        <w:t xml:space="preserve"> </w:t>
      </w:r>
      <m:oMath>
        <m:sSub>
          <m:sSubPr>
            <m:ctrlPr>
              <w:rPr>
                <w:rFonts w:ascii="Cambria Math" w:hAnsi="Cambria Math"/>
              </w:rPr>
            </m:ctrlPr>
          </m:sSubPr>
          <m:e>
            <m:r>
              <w:rPr>
                <w:rFonts w:ascii="Cambria Math" w:hAnsi="Cambria Math"/>
              </w:rPr>
              <m:t>F</m:t>
            </m:r>
          </m:e>
          <m:sub>
            <m:r>
              <w:rPr>
                <w:rFonts w:ascii="Cambria Math" w:hAnsi="Cambria Math"/>
              </w:rPr>
              <m:t>f</m:t>
            </m:r>
          </m:sub>
        </m:sSub>
      </m:oMath>
      <w:r>
        <w:t xml:space="preserve"> and </w:t>
      </w:r>
      <m:oMath>
        <m:sSub>
          <m:sSubPr>
            <m:ctrlPr>
              <w:rPr>
                <w:rFonts w:ascii="Cambria Math" w:hAnsi="Cambria Math"/>
              </w:rPr>
            </m:ctrlPr>
          </m:sSubPr>
          <m:e>
            <m:r>
              <w:rPr>
                <w:rFonts w:ascii="Cambria Math" w:hAnsi="Cambria Math"/>
              </w:rPr>
              <m:t>A</m:t>
            </m:r>
          </m:e>
          <m:sub>
            <m:r>
              <w:rPr>
                <w:rFonts w:ascii="Cambria Math" w:hAnsi="Cambria Math"/>
              </w:rPr>
              <m:t>f</m:t>
            </m:r>
          </m:sub>
        </m:sSub>
      </m:oMath>
      <w:r w:rsidRPr="00546F35">
        <w:t xml:space="preserve"> are the forecast and actual opex figures respectively </w:t>
      </w:r>
      <w:r>
        <w:t xml:space="preserve">for </w:t>
      </w:r>
      <w:r w:rsidRPr="00546F35">
        <w:t>the base</w:t>
      </w:r>
      <w:r>
        <w:t xml:space="preserve"> </w:t>
      </w:r>
      <w:r w:rsidRPr="00546F35">
        <w:t xml:space="preserve">year </w:t>
      </w:r>
      <w:r>
        <w:t xml:space="preserve">used to forecast opex for the </w:t>
      </w:r>
      <w:r w:rsidRPr="002631F4">
        <w:t>following regulatory control period</w:t>
      </w:r>
      <w:r>
        <w:t>.</w:t>
      </w:r>
    </w:p>
    <w:p w:rsidR="00830A6E" w:rsidRDefault="00566506" w:rsidP="00566506">
      <w:r>
        <w:t xml:space="preserve">TasNetworks used forecast and actual opex in 2015–16 to estimate its opex for </w:t>
      </w:r>
      <w:r w:rsidR="00D01449">
        <w:br/>
      </w:r>
      <w:r>
        <w:t>2016–17. However, this was not the base year it used to forecast opex, which was 2014</w:t>
      </w:r>
      <w:r w:rsidR="00830A6E">
        <w:t>–</w:t>
      </w:r>
      <w:r>
        <w:t xml:space="preserve">15. </w:t>
      </w:r>
    </w:p>
    <w:p w:rsidR="00566506" w:rsidRPr="00FA04DA" w:rsidRDefault="00830A6E" w:rsidP="00566506">
      <w:r>
        <w:lastRenderedPageBreak/>
        <w:t xml:space="preserve">Consequently, </w:t>
      </w:r>
      <w:r w:rsidR="00566506">
        <w:t>TasNetworks would be rewarded twice for the incremental efficiency gain its makes in 2015–16</w:t>
      </w:r>
      <w:r w:rsidR="00F62612">
        <w:t xml:space="preserve"> – o</w:t>
      </w:r>
      <w:r w:rsidR="00566506">
        <w:t xml:space="preserve">nce through the EBSS and a second time through </w:t>
      </w:r>
      <w:r w:rsidR="000B3636">
        <w:t xml:space="preserve">its </w:t>
      </w:r>
      <w:r w:rsidR="00566506">
        <w:t>opex forecast</w:t>
      </w:r>
      <w:r w:rsidR="000B3636">
        <w:t>,</w:t>
      </w:r>
      <w:r w:rsidR="00566506">
        <w:t xml:space="preserve"> which does not reflect those efficiency gains because it is based on opex in 2014–15.</w:t>
      </w:r>
    </w:p>
    <w:p w:rsidR="004D3DDF" w:rsidRDefault="00CF2D79" w:rsidP="00566506">
      <w:r>
        <w:t>C</w:t>
      </w:r>
      <w:r w:rsidR="00566506">
        <w:t>orrecting this error</w:t>
      </w:r>
      <w:r w:rsidR="00566506" w:rsidRPr="00FA04DA">
        <w:t xml:space="preserve"> </w:t>
      </w:r>
      <w:r w:rsidR="00566506">
        <w:t xml:space="preserve">reduces </w:t>
      </w:r>
      <w:r w:rsidR="00566506" w:rsidRPr="00FA04DA">
        <w:t xml:space="preserve">the EBSS carryover </w:t>
      </w:r>
      <w:r w:rsidR="00ED7A48">
        <w:t xml:space="preserve">by </w:t>
      </w:r>
      <w:r w:rsidR="00566506" w:rsidRPr="00FA04DA">
        <w:t>$2</w:t>
      </w:r>
      <w:r w:rsidR="00ED7A48">
        <w:t>0.4</w:t>
      </w:r>
      <w:r w:rsidR="00566506" w:rsidRPr="00FA04DA">
        <w:t xml:space="preserve"> million</w:t>
      </w:r>
      <w:r w:rsidR="00ED7A48">
        <w:t xml:space="preserve"> ($2016–17)</w:t>
      </w:r>
      <w:r w:rsidR="00566506" w:rsidRPr="00FA04DA">
        <w:t>.</w:t>
      </w:r>
    </w:p>
    <w:p w:rsidR="00D17D3B" w:rsidRDefault="00D17D3B" w:rsidP="00566506">
      <w:r>
        <w:t xml:space="preserve">We </w:t>
      </w:r>
      <w:r w:rsidR="00A42F23">
        <w:t>engaged with</w:t>
      </w:r>
      <w:r>
        <w:t xml:space="preserve"> TasNetworks </w:t>
      </w:r>
      <w:r w:rsidR="00A42F23">
        <w:t>to clarify th</w:t>
      </w:r>
      <w:r w:rsidR="00460C29">
        <w:t>is</w:t>
      </w:r>
      <w:r w:rsidR="00A42F23">
        <w:t xml:space="preserve"> issue</w:t>
      </w:r>
      <w:r>
        <w:t>.</w:t>
      </w:r>
      <w:r>
        <w:rPr>
          <w:rStyle w:val="FootnoteReference"/>
        </w:rPr>
        <w:footnoteReference w:id="18"/>
      </w:r>
      <w:r>
        <w:t xml:space="preserve"> </w:t>
      </w:r>
    </w:p>
    <w:p w:rsidR="00255F98" w:rsidRDefault="00255F98" w:rsidP="00255F98">
      <w:pPr>
        <w:pStyle w:val="HeadingBoldItalic"/>
      </w:pPr>
      <w:r>
        <w:t>First year incremental efficiency gain</w:t>
      </w:r>
    </w:p>
    <w:p w:rsidR="004D3DDF" w:rsidRDefault="00CF2D79" w:rsidP="00CF2D79">
      <w:r>
        <w:t>The EBSS that applied to TasNetworks has two different equations for calculating the incremental efficiency gains in the first year of the regulatory control period. The one that should be used depends o</w:t>
      </w:r>
      <w:r w:rsidR="00FC7BA2">
        <w:t>n</w:t>
      </w:r>
      <w:r>
        <w:t xml:space="preserve"> whether the EBSS is being applied for the first time or not. </w:t>
      </w:r>
    </w:p>
    <w:p w:rsidR="00CF2D79" w:rsidRDefault="00CF2D79" w:rsidP="00CF2D79">
      <w:r>
        <w:t xml:space="preserve">The 2012–17 regulatory control </w:t>
      </w:r>
      <w:proofErr w:type="gramStart"/>
      <w:r>
        <w:t>period</w:t>
      </w:r>
      <w:proofErr w:type="gramEnd"/>
      <w:r>
        <w:t xml:space="preserve"> was the first time TasNetworks has had the EBSS applied to it. However, to calculate its incremental efficiency gain for 2012</w:t>
      </w:r>
      <w:r w:rsidR="00830A6E">
        <w:t>–</w:t>
      </w:r>
      <w:r>
        <w:t>13 TasNetworks used the equation that should be used when the EBSS has previously been applied.</w:t>
      </w:r>
    </w:p>
    <w:p w:rsidR="00CF2D79" w:rsidRDefault="00CF2D79" w:rsidP="00CF2D79">
      <w:r>
        <w:t xml:space="preserve">Using the correct formula for the incremental gain in </w:t>
      </w:r>
      <w:r w:rsidR="00FE085E">
        <w:t xml:space="preserve">2012–13 reduces the </w:t>
      </w:r>
      <w:r w:rsidR="00FE085E" w:rsidRPr="00FA04DA">
        <w:t xml:space="preserve">EBSS carryover </w:t>
      </w:r>
      <w:r w:rsidR="00FE085E">
        <w:t xml:space="preserve">by </w:t>
      </w:r>
      <w:r w:rsidR="00FE085E" w:rsidRPr="00FA04DA">
        <w:t>$</w:t>
      </w:r>
      <w:r w:rsidR="00FE085E">
        <w:t>0.6</w:t>
      </w:r>
      <w:r w:rsidR="00FE085E" w:rsidRPr="00FA04DA">
        <w:t xml:space="preserve"> million</w:t>
      </w:r>
      <w:r w:rsidR="00FE085E">
        <w:t xml:space="preserve"> ($2016–17)</w:t>
      </w:r>
      <w:r w:rsidR="00FE085E" w:rsidRPr="00FA04DA">
        <w:t>.</w:t>
      </w:r>
    </w:p>
    <w:p w:rsidR="00255F98" w:rsidRDefault="00FC2060" w:rsidP="00255F98">
      <w:pPr>
        <w:pStyle w:val="HeadingBoldItalic"/>
      </w:pPr>
      <w:r>
        <w:t xml:space="preserve">CPI adjustment </w:t>
      </w:r>
    </w:p>
    <w:p w:rsidR="003F06AB" w:rsidRPr="00FC2060" w:rsidRDefault="00B50561" w:rsidP="003F06AB">
      <w:r>
        <w:t>To calculate EBSS carryovers</w:t>
      </w:r>
      <w:r w:rsidR="00460C29">
        <w:t>,</w:t>
      </w:r>
      <w:r>
        <w:t xml:space="preserve"> TasNetworks converted </w:t>
      </w:r>
      <w:r w:rsidRPr="00B50561">
        <w:t xml:space="preserve">nominal </w:t>
      </w:r>
      <w:r>
        <w:t>dollar amounts</w:t>
      </w:r>
      <w:r w:rsidRPr="00B50561">
        <w:t xml:space="preserve"> to real 2016–17 dollars using a lagged CPI index (September quarter CPI).</w:t>
      </w:r>
      <w:r w:rsidR="00EF7DB4">
        <w:rPr>
          <w:rStyle w:val="FootnoteReference"/>
        </w:rPr>
        <w:footnoteReference w:id="19"/>
      </w:r>
      <w:r w:rsidRPr="00B50561">
        <w:t xml:space="preserve"> </w:t>
      </w:r>
      <w:r w:rsidR="003F06AB">
        <w:t>However, w</w:t>
      </w:r>
      <w:r w:rsidR="00EF7DB4">
        <w:t>e have used</w:t>
      </w:r>
      <w:r w:rsidRPr="00B50561">
        <w:t xml:space="preserve"> unlagged </w:t>
      </w:r>
      <w:r w:rsidR="00EF7DB4">
        <w:t>June</w:t>
      </w:r>
      <w:r w:rsidRPr="00B50561">
        <w:t xml:space="preserve"> quarter CPI</w:t>
      </w:r>
      <w:r w:rsidR="00FC7BA2">
        <w:t xml:space="preserve"> in order </w:t>
      </w:r>
      <w:r w:rsidRPr="00B50561">
        <w:t>to be consistent with our opex model.</w:t>
      </w:r>
      <w:r w:rsidR="003F06AB">
        <w:t xml:space="preserve"> </w:t>
      </w:r>
    </w:p>
    <w:p w:rsidR="00B50561" w:rsidRPr="00B50561" w:rsidRDefault="00EF7DB4" w:rsidP="00B50561">
      <w:r>
        <w:t>I</w:t>
      </w:r>
      <w:r w:rsidRPr="00B50561">
        <w:t>t is important we use the same CPI adjustments for both</w:t>
      </w:r>
      <w:r>
        <w:t xml:space="preserve"> b</w:t>
      </w:r>
      <w:r w:rsidR="00B50561" w:rsidRPr="00B50561">
        <w:t>ecause of the interaction between the carryover amounts accrued in 201</w:t>
      </w:r>
      <w:r>
        <w:t>2</w:t>
      </w:r>
      <w:r w:rsidR="00B50561" w:rsidRPr="00B50561">
        <w:t>–17 and the starting point for</w:t>
      </w:r>
      <w:r>
        <w:t xml:space="preserve"> the opex forecast for 2017–</w:t>
      </w:r>
      <w:r w:rsidR="00460C29">
        <w:t>19</w:t>
      </w:r>
      <w:r>
        <w:t>.</w:t>
      </w:r>
    </w:p>
    <w:p w:rsidR="00B50561" w:rsidRPr="00B50561" w:rsidRDefault="00B50561" w:rsidP="00B50561">
      <w:r w:rsidRPr="00B50561">
        <w:t xml:space="preserve">When we set the opex forecast from the 2014–15 base year, the reward (penalty) </w:t>
      </w:r>
      <w:r w:rsidR="00EF7DB4">
        <w:t xml:space="preserve">TasNetworks </w:t>
      </w:r>
      <w:r w:rsidRPr="00B50561">
        <w:t xml:space="preserve">is paid for any underspend (overspend) in the base year needs to be consistent with the impact that underspend (overspend) has on the opex forecast. For example, if </w:t>
      </w:r>
      <w:r w:rsidR="00EF7DB4">
        <w:t xml:space="preserve">TasNetworks </w:t>
      </w:r>
      <w:r w:rsidRPr="00B50561">
        <w:t>delivers lower opex in the base year it will:</w:t>
      </w:r>
    </w:p>
    <w:p w:rsidR="00B50561" w:rsidRDefault="00EF7DB4" w:rsidP="00EF7DB4">
      <w:pPr>
        <w:pStyle w:val="AERbulletlistfirststyle"/>
      </w:pPr>
      <w:r>
        <w:t>increase its incremental gain in the base year, i</w:t>
      </w:r>
      <w:r w:rsidR="00B50561" w:rsidRPr="00B50561">
        <w:t>ncreas</w:t>
      </w:r>
      <w:r>
        <w:t>ing its</w:t>
      </w:r>
      <w:r w:rsidR="00B50561" w:rsidRPr="00B50561">
        <w:t xml:space="preserve"> EBSS carryover </w:t>
      </w:r>
    </w:p>
    <w:p w:rsidR="00EF7DB4" w:rsidRPr="00EF7DB4" w:rsidRDefault="00EF7DB4" w:rsidP="00EF7DB4">
      <w:pPr>
        <w:pStyle w:val="AERbulletlistfirststyle"/>
      </w:pPr>
      <w:proofErr w:type="gramStart"/>
      <w:r w:rsidRPr="00EF7DB4">
        <w:t>reduce</w:t>
      </w:r>
      <w:proofErr w:type="gramEnd"/>
      <w:r w:rsidRPr="00EF7DB4">
        <w:t xml:space="preserve"> the starting point for the opex forecast, reducing the total opex forecast.</w:t>
      </w:r>
    </w:p>
    <w:p w:rsidR="00B50561" w:rsidRDefault="00EF7DB4" w:rsidP="00EF7DB4">
      <w:r w:rsidRPr="00EF7DB4">
        <w:t xml:space="preserve">The size of the EBSS reward should correspond to the </w:t>
      </w:r>
      <w:r w:rsidR="001234D5">
        <w:t>reduction in base opex</w:t>
      </w:r>
      <w:r w:rsidRPr="00EF7DB4">
        <w:t xml:space="preserve">. However, if the CPI used to calculate the efficiency gains is not the same as the CPI </w:t>
      </w:r>
      <w:r w:rsidRPr="00EF7DB4">
        <w:lastRenderedPageBreak/>
        <w:t xml:space="preserve">used to establish the </w:t>
      </w:r>
      <w:r w:rsidR="001234D5">
        <w:t>base year used to forecast opex</w:t>
      </w:r>
      <w:r w:rsidRPr="00EF7DB4">
        <w:t xml:space="preserve">, this will not be the case and </w:t>
      </w:r>
      <w:r>
        <w:t xml:space="preserve">TasNetworks </w:t>
      </w:r>
      <w:r w:rsidRPr="00EF7DB4">
        <w:t>may get a windfall gain or loss as a result.</w:t>
      </w:r>
      <w:r w:rsidR="00FC7BA2">
        <w:t xml:space="preserve"> As noted above, i</w:t>
      </w:r>
      <w:r w:rsidRPr="00EF7DB4">
        <w:t xml:space="preserve">n implementing the EBSS we must </w:t>
      </w:r>
      <w:r w:rsidR="00FC7BA2">
        <w:t xml:space="preserve">have regard to the need to </w:t>
      </w:r>
      <w:r w:rsidRPr="00EF7DB4">
        <w:t>ensure that benefits to consumers likely to result from the scheme are sufficient to warrant any reward or penalty distributors earn under the scheme.</w:t>
      </w:r>
      <w:r>
        <w:rPr>
          <w:rStyle w:val="FootnoteReference"/>
        </w:rPr>
        <w:footnoteReference w:id="20"/>
      </w:r>
      <w:r w:rsidRPr="00EF7DB4">
        <w:t xml:space="preserve"> </w:t>
      </w:r>
      <w:r>
        <w:t>This may not be the case if we use different CPI values for the EBSS as we do for forecasting opex.</w:t>
      </w:r>
    </w:p>
    <w:p w:rsidR="003F06AB" w:rsidRDefault="003F06AB" w:rsidP="003F06AB">
      <w:r>
        <w:t xml:space="preserve">Using the correct CPI values increases the </w:t>
      </w:r>
      <w:r w:rsidRPr="00FA04DA">
        <w:t xml:space="preserve">EBSS carryover </w:t>
      </w:r>
      <w:r>
        <w:t xml:space="preserve">by </w:t>
      </w:r>
      <w:r w:rsidRPr="00FA04DA">
        <w:t>$</w:t>
      </w:r>
      <w:r>
        <w:t>0.9</w:t>
      </w:r>
      <w:r w:rsidRPr="00FA04DA">
        <w:t xml:space="preserve"> million</w:t>
      </w:r>
      <w:r>
        <w:t xml:space="preserve"> </w:t>
      </w:r>
      <w:r w:rsidR="003B5894">
        <w:br/>
      </w:r>
      <w:r>
        <w:t>($2016–17)</w:t>
      </w:r>
      <w:r w:rsidRPr="00FA04DA">
        <w:t>.</w:t>
      </w:r>
      <w:r w:rsidR="00EB7ED1">
        <w:t xml:space="preserve"> We also note that we require inflation values through to June 2017 </w:t>
      </w:r>
      <w:r w:rsidR="00FC7BA2">
        <w:t xml:space="preserve">to </w:t>
      </w:r>
      <w:r w:rsidR="00EB7ED1">
        <w:t xml:space="preserve">calculate the EBSS carryover amounts. We will update our estimate of CPI for June 2017 in our final decision using the RBA's inflation forecast in its most recent </w:t>
      </w:r>
      <w:r w:rsidR="00EB7ED1" w:rsidRPr="00EB7ED1">
        <w:rPr>
          <w:rStyle w:val="AERtextitalic"/>
        </w:rPr>
        <w:t>Statement on monetary policy</w:t>
      </w:r>
      <w:r w:rsidR="00EB7ED1">
        <w:t>.</w:t>
      </w:r>
    </w:p>
    <w:p w:rsidR="00255F98" w:rsidRDefault="00255F98" w:rsidP="00255F98">
      <w:pPr>
        <w:pStyle w:val="HeadingBoldItalic"/>
      </w:pPr>
      <w:r>
        <w:t>Net present value adjustment</w:t>
      </w:r>
    </w:p>
    <w:p w:rsidR="003C749B" w:rsidRDefault="00070F79" w:rsidP="00070F79">
      <w:r>
        <w:t>Through the application of the EBSS during the 2012–17 regulatory control period</w:t>
      </w:r>
      <w:r w:rsidR="00830A6E">
        <w:t>,</w:t>
      </w:r>
      <w:r>
        <w:t xml:space="preserve"> TasNetworks has accrued carryover amounts for each of the years from 2017–18 to 2021–22 inclusive. TasNetworks</w:t>
      </w:r>
      <w:r w:rsidR="002D4D06">
        <w:t>'</w:t>
      </w:r>
      <w:r>
        <w:t xml:space="preserve"> next regulatory control period, however, is only two years long. Consequently we have converted the calculated carryover amounts to two equal amounts, for 2017–18 and 2018–19, with a net present value equal to the five carryover amounts determined. TasNetworks also did this in its regulatory proposal.  </w:t>
      </w:r>
    </w:p>
    <w:p w:rsidR="004D3DDF" w:rsidRDefault="00070F79" w:rsidP="00070F79">
      <w:r>
        <w:t>We updated TasNetworks' calculation to reflect the carryover amounts we determine</w:t>
      </w:r>
      <w:r w:rsidR="00D01449">
        <w:t>d</w:t>
      </w:r>
      <w:r>
        <w:t xml:space="preserve"> and to reflect the rate of return we determined in this draft decision. We will update the net present value calculation </w:t>
      </w:r>
      <w:r w:rsidR="00F9560B">
        <w:t>in our final decision using</w:t>
      </w:r>
      <w:r>
        <w:t xml:space="preserve"> the rate of return we </w:t>
      </w:r>
      <w:r w:rsidR="00B431E8">
        <w:t xml:space="preserve">determine in </w:t>
      </w:r>
      <w:r w:rsidR="00F9560B">
        <w:t>that</w:t>
      </w:r>
      <w:r w:rsidR="00B431E8">
        <w:t xml:space="preserve"> decision.</w:t>
      </w:r>
    </w:p>
    <w:p w:rsidR="00965BEA" w:rsidRDefault="00965BEA" w:rsidP="00965BEA">
      <w:pPr>
        <w:pStyle w:val="Heading3"/>
      </w:pPr>
      <w:bookmarkStart w:id="119" w:name="_Toc462826359"/>
      <w:bookmarkStart w:id="120" w:name="_Ref462826446"/>
      <w:r>
        <w:t>Application of the EBSS in the 2017–19 regulatory control period</w:t>
      </w:r>
      <w:bookmarkEnd w:id="119"/>
      <w:bookmarkEnd w:id="120"/>
    </w:p>
    <w:bookmarkEnd w:id="115"/>
    <w:bookmarkEnd w:id="116"/>
    <w:bookmarkEnd w:id="117"/>
    <w:bookmarkEnd w:id="118"/>
    <w:p w:rsidR="00C232E3" w:rsidRDefault="00FF2413" w:rsidP="00C232E3">
      <w:pPr>
        <w:rPr>
          <w:rStyle w:val="AERbody"/>
        </w:rPr>
      </w:pPr>
      <w:r>
        <w:rPr>
          <w:rStyle w:val="AERbody"/>
        </w:rPr>
        <w:t xml:space="preserve">Looking </w:t>
      </w:r>
      <w:r w:rsidR="003656B3">
        <w:rPr>
          <w:rStyle w:val="AERbody"/>
        </w:rPr>
        <w:t>forward, w</w:t>
      </w:r>
      <w:r w:rsidR="00C232E3" w:rsidRPr="00A95046">
        <w:rPr>
          <w:rStyle w:val="AERbody"/>
        </w:rPr>
        <w:t>e will apply version two of the EBSS</w:t>
      </w:r>
      <w:r w:rsidR="00C232E3">
        <w:rPr>
          <w:rStyle w:val="AERbody"/>
        </w:rPr>
        <w:t xml:space="preserve"> </w:t>
      </w:r>
      <w:r w:rsidR="00C232E3" w:rsidRPr="00A95046">
        <w:rPr>
          <w:rStyle w:val="AERbody"/>
        </w:rPr>
        <w:t xml:space="preserve">to </w:t>
      </w:r>
      <w:r w:rsidR="004D3DDF">
        <w:rPr>
          <w:rStyle w:val="AERbody"/>
        </w:rPr>
        <w:t>TasNetworks</w:t>
      </w:r>
      <w:r w:rsidR="00FC7BA2">
        <w:rPr>
          <w:rStyle w:val="AERbody"/>
        </w:rPr>
        <w:t xml:space="preserve"> </w:t>
      </w:r>
      <w:r w:rsidR="00733D63">
        <w:rPr>
          <w:rStyle w:val="AERbody"/>
        </w:rPr>
        <w:t xml:space="preserve">in </w:t>
      </w:r>
      <w:r w:rsidR="00FC7BA2">
        <w:rPr>
          <w:rStyle w:val="AERbody"/>
        </w:rPr>
        <w:t>the 2017</w:t>
      </w:r>
      <w:r w:rsidR="003656B3">
        <w:rPr>
          <w:rStyle w:val="AERbody"/>
        </w:rPr>
        <w:t>–</w:t>
      </w:r>
      <w:r w:rsidR="00FC7BA2">
        <w:rPr>
          <w:rStyle w:val="AERbody"/>
        </w:rPr>
        <w:t>19 regulatory control period</w:t>
      </w:r>
      <w:r w:rsidR="00C232E3">
        <w:rPr>
          <w:rStyle w:val="AERbody"/>
        </w:rPr>
        <w:t>.</w:t>
      </w:r>
      <w:r w:rsidR="00C232E3">
        <w:rPr>
          <w:rStyle w:val="FootnoteReference"/>
        </w:rPr>
        <w:footnoteReference w:id="21"/>
      </w:r>
      <w:r w:rsidR="00C232E3" w:rsidRPr="00A95046">
        <w:t xml:space="preserve"> We consider the EBSS is needed to provide </w:t>
      </w:r>
      <w:r w:rsidR="00245A27">
        <w:t>TasNetworks</w:t>
      </w:r>
      <w:r w:rsidR="00C232E3" w:rsidRPr="00A95046">
        <w:t xml:space="preserve"> with a continuous incentive to pursue efficiency gains </w:t>
      </w:r>
      <w:r w:rsidR="00C232E3" w:rsidRPr="00A95046">
        <w:rPr>
          <w:rStyle w:val="AERbody"/>
        </w:rPr>
        <w:t>during the</w:t>
      </w:r>
      <w:r w:rsidR="00C232E3">
        <w:rPr>
          <w:rStyle w:val="AERbody"/>
        </w:rPr>
        <w:t xml:space="preserve"> </w:t>
      </w:r>
      <w:r w:rsidR="00C232E3" w:rsidRPr="00A95046">
        <w:rPr>
          <w:rStyle w:val="AERbody"/>
        </w:rPr>
        <w:t>201</w:t>
      </w:r>
      <w:r w:rsidR="00245A27">
        <w:rPr>
          <w:rStyle w:val="AERbody"/>
        </w:rPr>
        <w:t>7</w:t>
      </w:r>
      <w:r w:rsidR="00C232E3" w:rsidRPr="00A95046">
        <w:rPr>
          <w:rStyle w:val="AERbody"/>
        </w:rPr>
        <w:t>–</w:t>
      </w:r>
      <w:r w:rsidR="00245A27">
        <w:rPr>
          <w:rStyle w:val="AERbody"/>
        </w:rPr>
        <w:t>19</w:t>
      </w:r>
      <w:r w:rsidR="00C232E3">
        <w:rPr>
          <w:rStyle w:val="AERbody"/>
        </w:rPr>
        <w:t xml:space="preserve"> regulatory control</w:t>
      </w:r>
      <w:r w:rsidR="00C232E3" w:rsidRPr="00A95046">
        <w:rPr>
          <w:rStyle w:val="AERbody"/>
        </w:rPr>
        <w:t xml:space="preserve"> </w:t>
      </w:r>
      <w:proofErr w:type="gramStart"/>
      <w:r w:rsidR="00C232E3" w:rsidRPr="00A95046">
        <w:rPr>
          <w:rStyle w:val="AERbody"/>
        </w:rPr>
        <w:t>period</w:t>
      </w:r>
      <w:proofErr w:type="gramEnd"/>
      <w:r w:rsidR="00C232E3" w:rsidRPr="00A95046">
        <w:rPr>
          <w:rStyle w:val="AERbody"/>
        </w:rPr>
        <w:t>. As we typically rely on a</w:t>
      </w:r>
      <w:r w:rsidR="00C232E3">
        <w:rPr>
          <w:rStyle w:val="AERbody"/>
        </w:rPr>
        <w:t xml:space="preserve"> single year</w:t>
      </w:r>
      <w:r w:rsidR="00C232E3" w:rsidRPr="00A95046">
        <w:rPr>
          <w:rStyle w:val="AERbody"/>
        </w:rPr>
        <w:t xml:space="preserve"> revealed cost approach to forecasting opex, we consider the EBSS is also needed to provide </w:t>
      </w:r>
      <w:r w:rsidR="00245A27">
        <w:rPr>
          <w:rStyle w:val="AERbody"/>
        </w:rPr>
        <w:t>TasNetworks</w:t>
      </w:r>
      <w:r w:rsidR="00C232E3" w:rsidRPr="00A95046">
        <w:rPr>
          <w:rStyle w:val="AERbody"/>
        </w:rPr>
        <w:t xml:space="preserve"> with an incentive not to increase its opex in the expected base year.</w:t>
      </w:r>
    </w:p>
    <w:p w:rsidR="00C232E3" w:rsidRDefault="00C232E3" w:rsidP="00C232E3">
      <w:r w:rsidRPr="00A95046">
        <w:t xml:space="preserve">Version </w:t>
      </w:r>
      <w:r>
        <w:t>two</w:t>
      </w:r>
      <w:r w:rsidRPr="00A95046">
        <w:t xml:space="preserve"> of the EBSS specifies our approach to determining the length of the carryover period, calculating the incremental efficiency gains</w:t>
      </w:r>
      <w:r>
        <w:t>,</w:t>
      </w:r>
      <w:r w:rsidRPr="00A95046">
        <w:t xml:space="preserve"> and adjusting forecast or actual opex when calculating carryover amounts. </w:t>
      </w:r>
      <w:r>
        <w:t>These are detailed below.</w:t>
      </w:r>
    </w:p>
    <w:p w:rsidR="00861EA6" w:rsidRDefault="00861EA6" w:rsidP="00C232E3">
      <w:pPr>
        <w:pStyle w:val="HeadingBoldBlue"/>
      </w:pPr>
      <w:bookmarkStart w:id="121" w:name="_Toc417636194"/>
    </w:p>
    <w:p w:rsidR="00C232E3" w:rsidRDefault="00C232E3" w:rsidP="00C232E3">
      <w:pPr>
        <w:pStyle w:val="HeadingBoldBlue"/>
      </w:pPr>
      <w:r>
        <w:t>Length of carryover period</w:t>
      </w:r>
      <w:bookmarkEnd w:id="121"/>
    </w:p>
    <w:p w:rsidR="00C232E3" w:rsidRDefault="00C232E3" w:rsidP="00C232E3">
      <w:pPr>
        <w:numPr>
          <w:ilvl w:val="0"/>
          <w:numId w:val="24"/>
        </w:numPr>
      </w:pPr>
      <w:r>
        <w:lastRenderedPageBreak/>
        <w:t>The length of t</w:t>
      </w:r>
      <w:r w:rsidR="00245A27">
        <w:t>he carryover period for the 2017–19</w:t>
      </w:r>
      <w:r>
        <w:t xml:space="preserve"> regulatory control </w:t>
      </w:r>
      <w:proofErr w:type="gramStart"/>
      <w:r>
        <w:t>period</w:t>
      </w:r>
      <w:proofErr w:type="gramEnd"/>
      <w:r>
        <w:t xml:space="preserve"> </w:t>
      </w:r>
      <w:r w:rsidR="005B60F3">
        <w:t xml:space="preserve">should </w:t>
      </w:r>
      <w:r>
        <w:t xml:space="preserve">be </w:t>
      </w:r>
      <w:r w:rsidR="00213CD0">
        <w:t xml:space="preserve">the same length as the regulatory control period commencing </w:t>
      </w:r>
      <w:r w:rsidR="00EF220D">
        <w:t xml:space="preserve">on 1 July </w:t>
      </w:r>
      <w:r w:rsidR="00213CD0">
        <w:t>2019</w:t>
      </w:r>
      <w:r>
        <w:t xml:space="preserve">. This aligns the EBSS carryover period with the total length of </w:t>
      </w:r>
      <w:r w:rsidR="00245A27">
        <w:t>TasNetworks'</w:t>
      </w:r>
      <w:r>
        <w:t xml:space="preserve"> regulatory control period</w:t>
      </w:r>
      <w:r w:rsidR="00EF220D">
        <w:t xml:space="preserve"> and ensures </w:t>
      </w:r>
      <w:r w:rsidR="00A604A3">
        <w:t xml:space="preserve">continuous </w:t>
      </w:r>
      <w:r w:rsidR="00EF220D">
        <w:t>incentives</w:t>
      </w:r>
      <w:r>
        <w:t>.</w:t>
      </w:r>
      <w:r w:rsidR="002B6A7A">
        <w:rPr>
          <w:rStyle w:val="FootnoteReference"/>
        </w:rPr>
        <w:footnoteReference w:id="22"/>
      </w:r>
      <w:r>
        <w:t xml:space="preserve"> </w:t>
      </w:r>
    </w:p>
    <w:p w:rsidR="00C232E3" w:rsidRDefault="00C232E3" w:rsidP="00C232E3">
      <w:pPr>
        <w:pStyle w:val="HeadingBoldBlue"/>
      </w:pPr>
      <w:bookmarkStart w:id="122" w:name="_Toc417636195"/>
      <w:r>
        <w:t>Incremental efficiency gains</w:t>
      </w:r>
      <w:bookmarkEnd w:id="122"/>
    </w:p>
    <w:p w:rsidR="00C232E3" w:rsidRDefault="00C232E3" w:rsidP="00C232E3">
      <w:pPr>
        <w:numPr>
          <w:ilvl w:val="0"/>
          <w:numId w:val="24"/>
        </w:numPr>
      </w:pPr>
      <w:r>
        <w:t>We will calculate incremental efficiency gains differently depending on whether they are in:</w:t>
      </w:r>
    </w:p>
    <w:p w:rsidR="00C232E3" w:rsidRPr="006E608B" w:rsidRDefault="00C232E3" w:rsidP="00C232E3">
      <w:pPr>
        <w:pStyle w:val="AERbulletlistfirststyle"/>
      </w:pPr>
      <w:r>
        <w:t>the first regulatory year</w:t>
      </w:r>
    </w:p>
    <w:p w:rsidR="00C232E3" w:rsidRPr="006E608B" w:rsidRDefault="00C232E3" w:rsidP="00C232E3">
      <w:pPr>
        <w:pStyle w:val="AERbulletlistfirststyle"/>
      </w:pPr>
      <w:proofErr w:type="gramStart"/>
      <w:r>
        <w:t>the</w:t>
      </w:r>
      <w:proofErr w:type="gramEnd"/>
      <w:r>
        <w:t xml:space="preserve"> second regulatory year to the penultimate regulatory year</w:t>
      </w:r>
      <w:r w:rsidR="00A9410E">
        <w:t>.</w:t>
      </w:r>
    </w:p>
    <w:p w:rsidR="0070694A" w:rsidRDefault="0070694A" w:rsidP="00C232E3">
      <w:pPr>
        <w:numPr>
          <w:ilvl w:val="0"/>
          <w:numId w:val="24"/>
        </w:numPr>
      </w:pPr>
      <w:r>
        <w:t>We will estimate actual opex for the final regulatory year.</w:t>
      </w:r>
    </w:p>
    <w:p w:rsidR="00C232E3" w:rsidRDefault="00C232E3" w:rsidP="00C232E3">
      <w:pPr>
        <w:numPr>
          <w:ilvl w:val="0"/>
          <w:numId w:val="24"/>
        </w:numPr>
      </w:pPr>
      <w:r>
        <w:t>We will do this according to the formulas set out in version two of the EBSS.</w:t>
      </w:r>
      <w:r>
        <w:rPr>
          <w:rStyle w:val="FootnoteReference"/>
        </w:rPr>
        <w:footnoteReference w:id="23"/>
      </w:r>
      <w:r>
        <w:t xml:space="preserve"> </w:t>
      </w:r>
    </w:p>
    <w:p w:rsidR="00C232E3" w:rsidRDefault="00C232E3" w:rsidP="00C232E3">
      <w:pPr>
        <w:pStyle w:val="HeadingBoldBlue"/>
      </w:pPr>
      <w:bookmarkStart w:id="123" w:name="_Toc417636196"/>
      <w:r>
        <w:t>Adjustments to forecast or actual opex when calculating carryover amounts</w:t>
      </w:r>
      <w:bookmarkEnd w:id="123"/>
    </w:p>
    <w:p w:rsidR="00C232E3" w:rsidRDefault="00C232E3" w:rsidP="00C232E3">
      <w:pPr>
        <w:numPr>
          <w:ilvl w:val="0"/>
          <w:numId w:val="24"/>
        </w:numPr>
      </w:pPr>
      <w:r w:rsidRPr="00E43204">
        <w:t xml:space="preserve">The EBSS allows </w:t>
      </w:r>
      <w:r w:rsidR="00EF220D">
        <w:t xml:space="preserve">us to </w:t>
      </w:r>
      <w:r w:rsidRPr="00E43204">
        <w:t>exclu</w:t>
      </w:r>
      <w:r w:rsidR="00EF220D">
        <w:t>de</w:t>
      </w:r>
      <w:r w:rsidRPr="00E43204">
        <w:t xml:space="preserve"> categories of costs </w:t>
      </w:r>
      <w:r w:rsidR="00EF220D">
        <w:t>that</w:t>
      </w:r>
      <w:r w:rsidRPr="00E43204">
        <w:t xml:space="preserve"> we do not </w:t>
      </w:r>
      <w:r>
        <w:t>forecast using</w:t>
      </w:r>
      <w:r w:rsidRPr="00E43204">
        <w:t xml:space="preserve"> a single year revealed cost forecasting approach. This is designed to fair</w:t>
      </w:r>
      <w:r>
        <w:t>ly</w:t>
      </w:r>
      <w:r w:rsidRPr="00E43204">
        <w:t xml:space="preserve"> shar</w:t>
      </w:r>
      <w:r>
        <w:t>e</w:t>
      </w:r>
      <w:r w:rsidRPr="00E43204">
        <w:t xml:space="preserve"> efficiency gains and losses. For instance</w:t>
      </w:r>
      <w:r>
        <w:t>,</w:t>
      </w:r>
      <w:r w:rsidRPr="00E43204">
        <w:t xml:space="preserve"> where a </w:t>
      </w:r>
      <w:r>
        <w:t>service provider</w:t>
      </w:r>
      <w:r w:rsidRPr="00E43204">
        <w:t xml:space="preserve"> achieves efficiency improvements, </w:t>
      </w:r>
      <w:r>
        <w:t>it</w:t>
      </w:r>
      <w:r w:rsidRPr="00E43204">
        <w:t xml:space="preserve"> receive</w:t>
      </w:r>
      <w:r>
        <w:t>s</w:t>
      </w:r>
      <w:r w:rsidRPr="00E43204">
        <w:t xml:space="preserve"> a benefit through the EBSS</w:t>
      </w:r>
      <w:r>
        <w:t xml:space="preserve"> and c</w:t>
      </w:r>
      <w:r w:rsidRPr="00E43204">
        <w:t>onsumers receive a benefit through lower forecast opex in the next period. This is the way consumer</w:t>
      </w:r>
      <w:r>
        <w:t>s</w:t>
      </w:r>
      <w:r w:rsidRPr="00E43204">
        <w:t xml:space="preserve"> and </w:t>
      </w:r>
      <w:r>
        <w:t>the service provider</w:t>
      </w:r>
      <w:r w:rsidRPr="00E43204">
        <w:t xml:space="preserve"> share in the benefits of an efficiency improvement.</w:t>
      </w:r>
    </w:p>
    <w:p w:rsidR="00C232E3" w:rsidRPr="001A52DA" w:rsidRDefault="00C232E3" w:rsidP="00C232E3">
      <w:pPr>
        <w:numPr>
          <w:ilvl w:val="0"/>
          <w:numId w:val="24"/>
        </w:numPr>
      </w:pPr>
      <w:r w:rsidRPr="001A52DA">
        <w:t>If we do not use a single year revealed cost forecasting approach, lower actual opex will not necessarily be passed through to consumers. Consumer</w:t>
      </w:r>
      <w:r>
        <w:t>s</w:t>
      </w:r>
      <w:r w:rsidRPr="001A52DA">
        <w:t xml:space="preserve"> should not pay for EBSS benefits where </w:t>
      </w:r>
      <w:r>
        <w:t>they</w:t>
      </w:r>
      <w:r w:rsidRPr="001A52DA">
        <w:t xml:space="preserve"> do not receive the benefits of a lower </w:t>
      </w:r>
      <w:r>
        <w:t xml:space="preserve">opex </w:t>
      </w:r>
      <w:r w:rsidRPr="001A52DA">
        <w:t>forecast.</w:t>
      </w:r>
    </w:p>
    <w:p w:rsidR="00C232E3" w:rsidRDefault="00C232E3" w:rsidP="00C232E3">
      <w:pPr>
        <w:numPr>
          <w:ilvl w:val="0"/>
          <w:numId w:val="24"/>
        </w:numPr>
      </w:pPr>
      <w:r>
        <w:t xml:space="preserve">We </w:t>
      </w:r>
      <w:r w:rsidR="00EF220D">
        <w:t>will</w:t>
      </w:r>
      <w:r>
        <w:t xml:space="preserve"> exclude the following categories of costs from the EBSS:</w:t>
      </w:r>
    </w:p>
    <w:p w:rsidR="00C232E3" w:rsidRDefault="00C232E3" w:rsidP="00C232E3">
      <w:pPr>
        <w:pStyle w:val="AERbulletlistfirststyle"/>
      </w:pPr>
      <w:r>
        <w:t>debt raising costs</w:t>
      </w:r>
    </w:p>
    <w:p w:rsidR="00C232E3" w:rsidRDefault="00C232E3" w:rsidP="00C232E3">
      <w:pPr>
        <w:pStyle w:val="AERbulletlistfirststyle"/>
      </w:pPr>
      <w:r>
        <w:t>DMIA</w:t>
      </w:r>
    </w:p>
    <w:p w:rsidR="00AD7A1D" w:rsidRDefault="00C232E3" w:rsidP="00C232E3">
      <w:pPr>
        <w:pStyle w:val="AERbulletlistfirststyle"/>
      </w:pPr>
      <w:r>
        <w:t>GSL payments</w:t>
      </w:r>
    </w:p>
    <w:p w:rsidR="00AD7A1D" w:rsidRPr="00AD7A1D" w:rsidRDefault="000F5223" w:rsidP="00AD7A1D">
      <w:pPr>
        <w:pStyle w:val="AERbulletlistfirststyle"/>
      </w:pPr>
      <w:r>
        <w:t>e</w:t>
      </w:r>
      <w:r w:rsidR="00AD7A1D" w:rsidRPr="00AD7A1D">
        <w:t>lectrical safety inspection levy payments</w:t>
      </w:r>
    </w:p>
    <w:p w:rsidR="00C232E3" w:rsidRDefault="00AD7A1D" w:rsidP="00AD7A1D">
      <w:pPr>
        <w:pStyle w:val="AERbulletlistfirststyle"/>
      </w:pPr>
      <w:r w:rsidRPr="00AD7A1D">
        <w:t>NEM levy payments</w:t>
      </w:r>
      <w:r w:rsidR="00245A27">
        <w:t>.</w:t>
      </w:r>
    </w:p>
    <w:p w:rsidR="00C232E3" w:rsidRDefault="00C232E3" w:rsidP="00C232E3">
      <w:pPr>
        <w:rPr>
          <w:rStyle w:val="AERbody"/>
        </w:rPr>
      </w:pPr>
      <w:r>
        <w:rPr>
          <w:rStyle w:val="AERbody"/>
        </w:rPr>
        <w:t xml:space="preserve">We agree with </w:t>
      </w:r>
      <w:r w:rsidR="00245A27">
        <w:rPr>
          <w:rStyle w:val="AERbody"/>
        </w:rPr>
        <w:t>TasNetworks'</w:t>
      </w:r>
      <w:r w:rsidRPr="003907F1">
        <w:rPr>
          <w:rStyle w:val="AERbody"/>
        </w:rPr>
        <w:t xml:space="preserve"> </w:t>
      </w:r>
      <w:r w:rsidR="00EF220D">
        <w:rPr>
          <w:rStyle w:val="AERbody"/>
        </w:rPr>
        <w:t xml:space="preserve">that we should exclude these cost categories from the EBSS because they are not </w:t>
      </w:r>
      <w:r w:rsidRPr="007E3163">
        <w:rPr>
          <w:rStyle w:val="AERbody"/>
        </w:rPr>
        <w:t>forecast</w:t>
      </w:r>
      <w:r>
        <w:rPr>
          <w:rStyle w:val="AERbody"/>
        </w:rPr>
        <w:t xml:space="preserve"> </w:t>
      </w:r>
      <w:r w:rsidRPr="007E3163">
        <w:rPr>
          <w:rStyle w:val="AERbody"/>
        </w:rPr>
        <w:t>based on revealed expenditure</w:t>
      </w:r>
      <w:r w:rsidR="00AD7A1D">
        <w:rPr>
          <w:rStyle w:val="AERbody"/>
        </w:rPr>
        <w:t xml:space="preserve"> in a single year</w:t>
      </w:r>
      <w:r w:rsidR="000A3BBF">
        <w:rPr>
          <w:rStyle w:val="AERbody"/>
        </w:rPr>
        <w:t>.</w:t>
      </w:r>
    </w:p>
    <w:p w:rsidR="00C232E3" w:rsidRDefault="00C232E3" w:rsidP="00C232E3">
      <w:r>
        <w:t xml:space="preserve">We </w:t>
      </w:r>
      <w:r w:rsidR="002743F3">
        <w:t>will not</w:t>
      </w:r>
      <w:r>
        <w:t xml:space="preserve"> exclude the following categories</w:t>
      </w:r>
      <w:r w:rsidRPr="008711B1">
        <w:t xml:space="preserve"> </w:t>
      </w:r>
      <w:r w:rsidR="002743F3">
        <w:t xml:space="preserve">of opex </w:t>
      </w:r>
      <w:r>
        <w:t>from the EBSS:</w:t>
      </w:r>
    </w:p>
    <w:p w:rsidR="00245A27" w:rsidRDefault="006E13B3" w:rsidP="00C232E3">
      <w:pPr>
        <w:pStyle w:val="AERbulletlistfirststyle"/>
      </w:pPr>
      <w:r>
        <w:lastRenderedPageBreak/>
        <w:t>s</w:t>
      </w:r>
      <w:r w:rsidR="007C00BB">
        <w:t>uperannuation costs for defined benefit schemes</w:t>
      </w:r>
    </w:p>
    <w:p w:rsidR="00245A27" w:rsidRDefault="006E13B3" w:rsidP="00C232E3">
      <w:pPr>
        <w:pStyle w:val="AERbulletlistfirststyle"/>
      </w:pPr>
      <w:r>
        <w:t>s</w:t>
      </w:r>
      <w:r w:rsidR="007C00BB">
        <w:t>elf-insurance</w:t>
      </w:r>
    </w:p>
    <w:p w:rsidR="00245A27" w:rsidRDefault="006E13B3" w:rsidP="00C232E3">
      <w:pPr>
        <w:pStyle w:val="AERbulletlistfirststyle"/>
      </w:pPr>
      <w:proofErr w:type="gramStart"/>
      <w:r>
        <w:t>n</w:t>
      </w:r>
      <w:r w:rsidR="00CE0223">
        <w:t>on-network</w:t>
      </w:r>
      <w:proofErr w:type="gramEnd"/>
      <w:r w:rsidR="00CE0223">
        <w:t xml:space="preserve"> alternatives.</w:t>
      </w:r>
    </w:p>
    <w:p w:rsidR="006E13B3" w:rsidRDefault="00C232E3" w:rsidP="00C232E3">
      <w:r>
        <w:t xml:space="preserve">As </w:t>
      </w:r>
      <w:r w:rsidR="002743F3">
        <w:t xml:space="preserve">we have </w:t>
      </w:r>
      <w:r>
        <w:t>outlined in attachment 7</w:t>
      </w:r>
      <w:r w:rsidR="0070694A">
        <w:t>,</w:t>
      </w:r>
      <w:r>
        <w:t xml:space="preserve"> </w:t>
      </w:r>
      <w:r w:rsidR="002743F3">
        <w:t xml:space="preserve">we prefer </w:t>
      </w:r>
      <w:r w:rsidRPr="0025686D">
        <w:t>to forecast total opex using a single year revealed cost</w:t>
      </w:r>
      <w:r w:rsidR="002743F3">
        <w:t xml:space="preserve"> approach</w:t>
      </w:r>
      <w:r w:rsidRPr="0025686D">
        <w:t xml:space="preserve">. </w:t>
      </w:r>
      <w:r w:rsidR="00245A27">
        <w:t>TasNetworks</w:t>
      </w:r>
      <w:r w:rsidRPr="0025686D">
        <w:t xml:space="preserve"> </w:t>
      </w:r>
      <w:r w:rsidR="002743F3">
        <w:t>adopted a similar</w:t>
      </w:r>
      <w:r w:rsidR="002743F3" w:rsidRPr="0025686D">
        <w:t xml:space="preserve"> </w:t>
      </w:r>
      <w:r w:rsidRPr="0025686D">
        <w:t xml:space="preserve">forecasting approach. </w:t>
      </w:r>
      <w:r w:rsidR="006E13B3">
        <w:t>Because these costs are included in our total opex forecast based on revealed expenditure in a single year, there is</w:t>
      </w:r>
      <w:r w:rsidR="006E13B3" w:rsidRPr="0025686D">
        <w:t xml:space="preserve"> no reason to exclude </w:t>
      </w:r>
      <w:r w:rsidR="006E13B3">
        <w:t>them</w:t>
      </w:r>
      <w:r w:rsidR="006E13B3" w:rsidRPr="0025686D">
        <w:t xml:space="preserve"> from the EBSS</w:t>
      </w:r>
      <w:r w:rsidRPr="0025686D">
        <w:t>.</w:t>
      </w:r>
    </w:p>
    <w:p w:rsidR="006E13B3" w:rsidRDefault="006E13B3" w:rsidP="006E13B3">
      <w:r>
        <w:t xml:space="preserve">By including costs such as self-insurance </w:t>
      </w:r>
      <w:r w:rsidR="00213CD0">
        <w:t xml:space="preserve">and superannuation costs </w:t>
      </w:r>
      <w:r>
        <w:t>in the EBSS, uncontrollable cost decreases or increases are shared between service providers and consumers in the same way as any efficiency gain or loss (that is, approximately 30:70 with a five year carryover period). If we exclude such costs, the service provider's share of cost decreases or increases differs across the regulatory control period. We do not consider cost increases should be shared differently between service providers and consumers in different regulatory years.</w:t>
      </w:r>
    </w:p>
    <w:p w:rsidR="00C232E3" w:rsidRPr="0025686D" w:rsidRDefault="0026381D" w:rsidP="00C232E3">
      <w:r>
        <w:t>Non-network alternative expenditure is a means of deferring capital (network) expenditure. Previously we have excluded non-network alternative costs from the EBSS because of the imbalance between opex and capex incentive schemes. However, with the introduction of the capex expenditure sharing scheme (CESS), this is no longer the case. Including non-network alternative costs in the EBSS maintains the balanced incentive for TasNetworks to consider demand management and other forms of non-network alternative expenditure as an efficient substitute to network solutions.</w:t>
      </w:r>
      <w:r w:rsidR="002B6A7A">
        <w:rPr>
          <w:rStyle w:val="FootnoteReference"/>
        </w:rPr>
        <w:footnoteReference w:id="24"/>
      </w:r>
    </w:p>
    <w:p w:rsidR="00E32E0B" w:rsidRPr="003F54B9" w:rsidRDefault="00E32E0B" w:rsidP="00E32E0B">
      <w:pPr>
        <w:numPr>
          <w:ilvl w:val="0"/>
          <w:numId w:val="24"/>
        </w:numPr>
      </w:pPr>
      <w:r>
        <w:t xml:space="preserve">In addition to the excluded cost categories, we will </w:t>
      </w:r>
      <w:r w:rsidRPr="006F6CCB">
        <w:t>adjust actual opex to rever</w:t>
      </w:r>
      <w:r>
        <w:t>se any movements in provisions. Consistent with the approach we applied in implementing the EBSS for the 2012–17 regulatory control period, for regulatory purposes we consider actual opex net of movement in provisions best reflects the actual opex incurred by the service provider during the regulatory control period.</w:t>
      </w:r>
    </w:p>
    <w:p w:rsidR="00C232E3" w:rsidRDefault="00E52E54" w:rsidP="00C232E3">
      <w:r>
        <w:t>Consistent with version two of the EBSS w</w:t>
      </w:r>
      <w:r w:rsidR="00E32E0B">
        <w:t>e</w:t>
      </w:r>
      <w:r w:rsidR="00C232E3">
        <w:t xml:space="preserve"> will also: </w:t>
      </w:r>
    </w:p>
    <w:p w:rsidR="00C232E3" w:rsidRPr="006E608B" w:rsidRDefault="00C232E3" w:rsidP="00C232E3">
      <w:pPr>
        <w:pStyle w:val="AERbulletlistfirststyle"/>
      </w:pPr>
      <w:proofErr w:type="gramStart"/>
      <w:r w:rsidRPr="00A95046">
        <w:t>adjust</w:t>
      </w:r>
      <w:proofErr w:type="gramEnd"/>
      <w:r w:rsidRPr="00A95046">
        <w:t xml:space="preserve"> forecast opex to add (subtract) any approved revenue increments (decrements) made after the initial regulatory determination. This may include approved pass through amounts</w:t>
      </w:r>
    </w:p>
    <w:p w:rsidR="00C232E3" w:rsidRPr="006E608B" w:rsidRDefault="00C232E3" w:rsidP="00C232E3">
      <w:pPr>
        <w:pStyle w:val="AERbulletlistfirststyle"/>
      </w:pPr>
      <w:r w:rsidRPr="00A95046">
        <w:t>adjust actual opex to add capitalised opex that has been excluded</w:t>
      </w:r>
      <w:r w:rsidRPr="006E608B">
        <w:t xml:space="preserve"> from the RAB</w:t>
      </w:r>
      <w:r w:rsidR="002B6A7A">
        <w:rPr>
          <w:rStyle w:val="FootnoteReference"/>
        </w:rPr>
        <w:footnoteReference w:id="25"/>
      </w:r>
      <w:r w:rsidRPr="006E608B">
        <w:t xml:space="preserve"> </w:t>
      </w:r>
    </w:p>
    <w:p w:rsidR="00C232E3" w:rsidRPr="006E608B" w:rsidRDefault="00C232E3" w:rsidP="00C232E3">
      <w:pPr>
        <w:pStyle w:val="AERbulletlistfirststyle"/>
      </w:pPr>
      <w:proofErr w:type="gramStart"/>
      <w:r w:rsidRPr="00A95046">
        <w:t>exclude</w:t>
      </w:r>
      <w:proofErr w:type="gramEnd"/>
      <w:r w:rsidRPr="00A95046">
        <w:t xml:space="preserve"> categories of opex not forecast using a single year revealed cost approach for the regulatory control period beginning in 20</w:t>
      </w:r>
      <w:r w:rsidR="00845A1B">
        <w:t>19–20</w:t>
      </w:r>
      <w:r w:rsidRPr="006E608B">
        <w:t xml:space="preserve"> where doing so better achieves the requirements of clause </w:t>
      </w:r>
      <w:r>
        <w:t>6.5.8</w:t>
      </w:r>
      <w:r w:rsidRPr="006E608B">
        <w:t xml:space="preserve"> of the NER.</w:t>
      </w:r>
      <w:r w:rsidR="00E52E54">
        <w:rPr>
          <w:rStyle w:val="FootnoteReference"/>
        </w:rPr>
        <w:footnoteReference w:id="26"/>
      </w:r>
    </w:p>
    <w:sectPr w:rsidR="00C232E3" w:rsidRPr="006E608B" w:rsidSect="00CF42AA">
      <w:headerReference w:type="default" r:id="rId19"/>
      <w:footerReference w:type="even" r:id="rId20"/>
      <w:footerReference w:type="default" r:id="rId21"/>
      <w:footerReference w:type="first" r:id="rId22"/>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3ADD" w:rsidRPr="00290C63" w:rsidRDefault="00493ADD" w:rsidP="00290C63">
      <w:r>
        <w:separator/>
      </w:r>
    </w:p>
    <w:p w:rsidR="00493ADD" w:rsidRDefault="00493ADD"/>
  </w:endnote>
  <w:endnote w:type="continuationSeparator" w:id="0">
    <w:p w:rsidR="00493ADD" w:rsidRPr="00290C63" w:rsidRDefault="00493ADD" w:rsidP="00290C63">
      <w:r>
        <w:continuationSeparator/>
      </w:r>
    </w:p>
    <w:p w:rsidR="00493ADD" w:rsidRDefault="00493A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ADD" w:rsidRPr="00290C63" w:rsidRDefault="00493ADD"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00861EA6">
      <w:rPr>
        <w:rStyle w:val="PageNumber"/>
        <w:noProof/>
      </w:rPr>
      <w:t>9-15</w:t>
    </w:r>
    <w:r w:rsidRPr="00290C63">
      <w:rPr>
        <w:rStyle w:val="PageNumber"/>
      </w:rPr>
      <w:fldChar w:fldCharType="end"/>
    </w:r>
    <w:r w:rsidRPr="00290C63">
      <w:rPr>
        <w:rStyle w:val="PageNumber"/>
      </w:rPr>
      <w:tab/>
      <w:t>Xxx report—month/year</w:t>
    </w:r>
  </w:p>
  <w:p w:rsidR="00493ADD" w:rsidRDefault="00493ADD"/>
  <w:p w:rsidR="00493ADD" w:rsidRDefault="00493ADD"/>
  <w:p w:rsidR="00493ADD" w:rsidRDefault="00493ADD"/>
  <w:p w:rsidR="00493ADD" w:rsidRDefault="00493ADD"/>
  <w:p w:rsidR="00493ADD" w:rsidRDefault="00493ADD"/>
  <w:p w:rsidR="00493ADD" w:rsidRDefault="00493ADD"/>
  <w:p w:rsidR="00493ADD" w:rsidRDefault="00493AD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3244554"/>
      <w:docPartObj>
        <w:docPartGallery w:val="Page Numbers (Bottom of Page)"/>
        <w:docPartUnique/>
      </w:docPartObj>
    </w:sdtPr>
    <w:sdtEndPr>
      <w:rPr>
        <w:noProof/>
        <w:szCs w:val="16"/>
      </w:rPr>
    </w:sdtEndPr>
    <w:sdtContent>
      <w:p w:rsidR="00493ADD" w:rsidRPr="009B6F84" w:rsidRDefault="00493ADD">
        <w:pPr>
          <w:pStyle w:val="Footer"/>
          <w:rPr>
            <w:sz w:val="20"/>
          </w:rPr>
        </w:pPr>
        <w:r>
          <w:fldChar w:fldCharType="begin"/>
        </w:r>
        <w:r>
          <w:instrText xml:space="preserve"> PAGE   \* MERGEFORMAT </w:instrText>
        </w:r>
        <w:r>
          <w:fldChar w:fldCharType="separate"/>
        </w:r>
        <w:r w:rsidR="00861EA6">
          <w:rPr>
            <w:noProof/>
          </w:rPr>
          <w:t>9-2</w:t>
        </w:r>
        <w:r>
          <w:rPr>
            <w:noProof/>
          </w:rPr>
          <w:fldChar w:fldCharType="end"/>
        </w:r>
        <w:r>
          <w:rPr>
            <w:noProof/>
          </w:rPr>
          <w:t xml:space="preserve">  </w:t>
        </w:r>
        <w:r>
          <w:t>Attachment 9 – EBSS</w:t>
        </w:r>
        <w:r w:rsidRPr="004523B2">
          <w:t xml:space="preserve"> | </w:t>
        </w:r>
        <w:r>
          <w:t>TasNetworks distribution draft determination</w:t>
        </w:r>
        <w:r w:rsidRPr="004523B2">
          <w:t xml:space="preserve"> 201</w:t>
        </w:r>
        <w:r>
          <w:t>7</w:t>
        </w:r>
        <w:r w:rsidRPr="004523B2">
          <w:t>–</w:t>
        </w:r>
        <w:r>
          <w:t>19</w:t>
        </w:r>
      </w:p>
    </w:sdtContent>
  </w:sdt>
  <w:p w:rsidR="00493ADD" w:rsidRDefault="00493AD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ADD" w:rsidRPr="00290C63" w:rsidRDefault="00493ADD"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00861EA6">
      <w:rPr>
        <w:noProof/>
      </w:rPr>
      <w:t>9-15</w:t>
    </w:r>
    <w:r w:rsidRPr="00290C63">
      <w:fldChar w:fldCharType="end"/>
    </w:r>
  </w:p>
  <w:p w:rsidR="00493ADD" w:rsidRDefault="00493ADD">
    <w:pPr>
      <w:pStyle w:val="Footer"/>
    </w:pPr>
  </w:p>
  <w:p w:rsidR="00493ADD" w:rsidRDefault="00493ADD"/>
  <w:p w:rsidR="00493ADD" w:rsidRDefault="00493ADD"/>
  <w:p w:rsidR="00493ADD" w:rsidRDefault="00493ADD"/>
  <w:p w:rsidR="00493ADD" w:rsidRDefault="00493ADD"/>
  <w:p w:rsidR="00493ADD" w:rsidRDefault="00493ADD"/>
  <w:p w:rsidR="00493ADD" w:rsidRDefault="00493ADD"/>
  <w:p w:rsidR="00493ADD" w:rsidRDefault="00493ADD"/>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ADD" w:rsidRPr="00290C63" w:rsidRDefault="00493ADD"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00861EA6">
      <w:rPr>
        <w:rStyle w:val="PageNumber"/>
        <w:noProof/>
      </w:rPr>
      <w:t>9-15</w:t>
    </w:r>
    <w:r w:rsidRPr="00290C63">
      <w:rPr>
        <w:rStyle w:val="PageNumber"/>
      </w:rPr>
      <w:fldChar w:fldCharType="end"/>
    </w:r>
    <w:r w:rsidRPr="00290C63">
      <w:rPr>
        <w:rStyle w:val="PageNumber"/>
      </w:rPr>
      <w:tab/>
      <w:t>Xxx report—month/year</w:t>
    </w:r>
  </w:p>
  <w:p w:rsidR="00493ADD" w:rsidRDefault="00493ADD"/>
  <w:p w:rsidR="00493ADD" w:rsidRDefault="00493ADD"/>
  <w:p w:rsidR="00493ADD" w:rsidRDefault="00493ADD"/>
  <w:p w:rsidR="00493ADD" w:rsidRDefault="00493ADD"/>
  <w:p w:rsidR="00493ADD" w:rsidRDefault="00493ADD"/>
  <w:p w:rsidR="00493ADD" w:rsidRDefault="00493ADD"/>
  <w:p w:rsidR="00493ADD" w:rsidRDefault="00493ADD"/>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0901426"/>
      <w:docPartObj>
        <w:docPartGallery w:val="Page Numbers (Bottom of Page)"/>
        <w:docPartUnique/>
      </w:docPartObj>
    </w:sdtPr>
    <w:sdtEndPr>
      <w:rPr>
        <w:noProof/>
        <w:szCs w:val="16"/>
      </w:rPr>
    </w:sdtEndPr>
    <w:sdtContent>
      <w:p w:rsidR="00493ADD" w:rsidRPr="009B6F84" w:rsidRDefault="00493ADD">
        <w:pPr>
          <w:pStyle w:val="Footer"/>
          <w:rPr>
            <w:sz w:val="20"/>
          </w:rPr>
        </w:pPr>
        <w:r>
          <w:fldChar w:fldCharType="begin"/>
        </w:r>
        <w:r>
          <w:instrText xml:space="preserve"> PAGE   \* MERGEFORMAT </w:instrText>
        </w:r>
        <w:r>
          <w:fldChar w:fldCharType="separate"/>
        </w:r>
        <w:r w:rsidR="00861EA6">
          <w:rPr>
            <w:noProof/>
          </w:rPr>
          <w:t>9-7</w:t>
        </w:r>
        <w:r>
          <w:rPr>
            <w:noProof/>
          </w:rPr>
          <w:fldChar w:fldCharType="end"/>
        </w:r>
        <w:r>
          <w:rPr>
            <w:noProof/>
          </w:rPr>
          <w:t xml:space="preserve">  </w:t>
        </w:r>
        <w:r>
          <w:t>Attachment 9 – EBSS</w:t>
        </w:r>
        <w:r w:rsidRPr="004523B2">
          <w:t xml:space="preserve"> | </w:t>
        </w:r>
        <w:r>
          <w:t>TasNetworks distribution draft determination</w:t>
        </w:r>
        <w:r w:rsidRPr="004523B2">
          <w:t xml:space="preserve"> 201</w:t>
        </w:r>
        <w:r>
          <w:t>7</w:t>
        </w:r>
        <w:r w:rsidRPr="004523B2">
          <w:t>–</w:t>
        </w:r>
        <w:r>
          <w:t>19</w:t>
        </w:r>
      </w:p>
    </w:sdtContent>
  </w:sdt>
  <w:p w:rsidR="00493ADD" w:rsidRDefault="00493ADD">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ADD" w:rsidRPr="00290C63" w:rsidRDefault="00493ADD"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00861EA6">
      <w:rPr>
        <w:noProof/>
      </w:rPr>
      <w:t>9-15</w:t>
    </w:r>
    <w:r w:rsidRPr="00290C63">
      <w:fldChar w:fldCharType="end"/>
    </w:r>
  </w:p>
  <w:p w:rsidR="00493ADD" w:rsidRDefault="00493ADD">
    <w:pPr>
      <w:pStyle w:val="Footer"/>
    </w:pPr>
  </w:p>
  <w:p w:rsidR="00493ADD" w:rsidRDefault="00493ADD"/>
  <w:p w:rsidR="00493ADD" w:rsidRDefault="00493ADD"/>
  <w:p w:rsidR="00493ADD" w:rsidRDefault="00493ADD"/>
  <w:p w:rsidR="00493ADD" w:rsidRDefault="00493ADD"/>
  <w:p w:rsidR="00493ADD" w:rsidRDefault="00493ADD"/>
  <w:p w:rsidR="00493ADD" w:rsidRDefault="00493ADD"/>
  <w:p w:rsidR="00493ADD" w:rsidRDefault="00493AD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3ADD" w:rsidRPr="00290C63" w:rsidRDefault="00493ADD" w:rsidP="00290C63">
      <w:r>
        <w:separator/>
      </w:r>
    </w:p>
    <w:p w:rsidR="00493ADD" w:rsidRDefault="00493ADD"/>
  </w:footnote>
  <w:footnote w:type="continuationSeparator" w:id="0">
    <w:p w:rsidR="00493ADD" w:rsidRPr="00290C63" w:rsidRDefault="00493ADD" w:rsidP="00290C63">
      <w:r>
        <w:continuationSeparator/>
      </w:r>
    </w:p>
    <w:p w:rsidR="00493ADD" w:rsidRDefault="00493ADD"/>
  </w:footnote>
  <w:footnote w:id="1">
    <w:p w:rsidR="00493ADD" w:rsidRDefault="00493ADD" w:rsidP="005106D1">
      <w:pPr>
        <w:pStyle w:val="FootnoteText"/>
      </w:pPr>
      <w:r>
        <w:rPr>
          <w:rStyle w:val="FootnoteReference"/>
        </w:rPr>
        <w:footnoteRef/>
      </w:r>
      <w:r>
        <w:t xml:space="preserve"> </w:t>
      </w:r>
      <w:r>
        <w:tab/>
        <w:t>The service provider keeps any efficiency gains in the year it makes them. The service provider then keeps those gains for the length of the carryover period. The carryover length is usually five years so the service provider keeps efficiency gains for a total of six years.</w:t>
      </w:r>
    </w:p>
  </w:footnote>
  <w:footnote w:id="2">
    <w:p w:rsidR="00493ADD" w:rsidRDefault="00493ADD" w:rsidP="00C232E3">
      <w:pPr>
        <w:pStyle w:val="FootnoteText"/>
      </w:pPr>
      <w:r>
        <w:rPr>
          <w:rStyle w:val="FootnoteReference"/>
        </w:rPr>
        <w:footnoteRef/>
      </w:r>
      <w:r>
        <w:t xml:space="preserve"> </w:t>
      </w:r>
      <w:r>
        <w:tab/>
      </w:r>
      <w:proofErr w:type="gramStart"/>
      <w:r>
        <w:t xml:space="preserve">AER, </w:t>
      </w:r>
      <w:r w:rsidRPr="00F20F95">
        <w:rPr>
          <w:rStyle w:val="AERtextitalic"/>
        </w:rPr>
        <w:t>Electricity distribution network service providers</w:t>
      </w:r>
      <w:r>
        <w:rPr>
          <w:rStyle w:val="AERtextitalic"/>
        </w:rPr>
        <w:t>—Efficiency benefit sharing scheme</w:t>
      </w:r>
      <w:r>
        <w:t>, June 2008.</w:t>
      </w:r>
      <w:proofErr w:type="gramEnd"/>
      <w:r>
        <w:t xml:space="preserve"> </w:t>
      </w:r>
    </w:p>
    <w:p w:rsidR="00493ADD" w:rsidRDefault="00493ADD" w:rsidP="00C232E3">
      <w:pPr>
        <w:pStyle w:val="FootnoteText"/>
      </w:pPr>
      <w:r>
        <w:tab/>
        <w:t xml:space="preserve">AER, </w:t>
      </w:r>
      <w:r w:rsidRPr="00B9590D">
        <w:rPr>
          <w:rStyle w:val="AERtextitalic"/>
        </w:rPr>
        <w:t>Aurora, distribution determination 2012–17 - attachments</w:t>
      </w:r>
      <w:r>
        <w:rPr>
          <w:rStyle w:val="AERtextitalic"/>
        </w:rPr>
        <w:t>, final decision</w:t>
      </w:r>
      <w:r w:rsidRPr="00B9590D">
        <w:rPr>
          <w:rStyle w:val="AERtextitalic"/>
        </w:rPr>
        <w:t>,</w:t>
      </w:r>
      <w:r>
        <w:t xml:space="preserve"> April 2012, p. 273.</w:t>
      </w:r>
    </w:p>
  </w:footnote>
  <w:footnote w:id="3">
    <w:p w:rsidR="00493ADD" w:rsidRDefault="00493ADD" w:rsidP="00C232E3">
      <w:pPr>
        <w:pStyle w:val="FootnoteText"/>
      </w:pPr>
      <w:r>
        <w:rPr>
          <w:rStyle w:val="FootnoteReference"/>
        </w:rPr>
        <w:footnoteRef/>
      </w:r>
      <w:r>
        <w:t xml:space="preserve"> </w:t>
      </w:r>
      <w:r>
        <w:tab/>
      </w:r>
      <w:proofErr w:type="gramStart"/>
      <w:r>
        <w:t xml:space="preserve">AER, </w:t>
      </w:r>
      <w:r w:rsidRPr="00F20F95">
        <w:rPr>
          <w:rStyle w:val="AERtextitalic"/>
        </w:rPr>
        <w:t>Electricity distribution network service providers</w:t>
      </w:r>
      <w:r>
        <w:rPr>
          <w:rStyle w:val="AERtextitalic"/>
        </w:rPr>
        <w:t>—Efficiency benefit sharing scheme</w:t>
      </w:r>
      <w:r>
        <w:t>, June 2008.</w:t>
      </w:r>
      <w:proofErr w:type="gramEnd"/>
    </w:p>
  </w:footnote>
  <w:footnote w:id="4">
    <w:p w:rsidR="00493ADD" w:rsidRDefault="00493ADD" w:rsidP="00C232E3">
      <w:pPr>
        <w:pStyle w:val="FootnoteText"/>
      </w:pPr>
      <w:r>
        <w:rPr>
          <w:rStyle w:val="FootnoteReference"/>
        </w:rPr>
        <w:footnoteRef/>
      </w:r>
      <w:r>
        <w:t xml:space="preserve"> </w:t>
      </w:r>
      <w:r>
        <w:tab/>
      </w:r>
      <w:proofErr w:type="gramStart"/>
      <w:r>
        <w:t xml:space="preserve">AER, </w:t>
      </w:r>
      <w:r w:rsidRPr="00EA74C7">
        <w:rPr>
          <w:rStyle w:val="AERtextitalic"/>
        </w:rPr>
        <w:t>Efficiency benefit sharing scheme for electricity network service providers</w:t>
      </w:r>
      <w:r>
        <w:t>, November 2013.</w:t>
      </w:r>
      <w:proofErr w:type="gramEnd"/>
    </w:p>
  </w:footnote>
  <w:footnote w:id="5">
    <w:p w:rsidR="00493ADD" w:rsidRDefault="00493ADD">
      <w:pPr>
        <w:pStyle w:val="FootnoteText"/>
      </w:pPr>
      <w:r>
        <w:rPr>
          <w:rStyle w:val="FootnoteReference"/>
        </w:rPr>
        <w:footnoteRef/>
      </w:r>
      <w:r>
        <w:t xml:space="preserve"> </w:t>
      </w:r>
      <w:r>
        <w:tab/>
        <w:t xml:space="preserve">AER, </w:t>
      </w:r>
      <w:r w:rsidRPr="00D95A1D">
        <w:rPr>
          <w:rStyle w:val="AERtextitalic"/>
        </w:rPr>
        <w:t>Final Framework and approach for TasNetworks</w:t>
      </w:r>
      <w:r>
        <w:t>, July 2015, pp. 65</w:t>
      </w:r>
      <w:r w:rsidR="00735817">
        <w:t>–</w:t>
      </w:r>
      <w:r>
        <w:t>69;</w:t>
      </w:r>
    </w:p>
    <w:p w:rsidR="00493ADD" w:rsidRDefault="00493ADD">
      <w:pPr>
        <w:pStyle w:val="FootnoteText"/>
      </w:pPr>
      <w:r>
        <w:tab/>
      </w:r>
      <w:proofErr w:type="gramStart"/>
      <w:r>
        <w:t xml:space="preserve">TasNetworks, </w:t>
      </w:r>
      <w:r w:rsidRPr="00FE6880">
        <w:rPr>
          <w:rStyle w:val="AERtextitalic"/>
        </w:rPr>
        <w:t>Re</w:t>
      </w:r>
      <w:r>
        <w:rPr>
          <w:rStyle w:val="AERtextitalic"/>
        </w:rPr>
        <w:t>gulatory</w:t>
      </w:r>
      <w:r w:rsidRPr="00FE6880">
        <w:rPr>
          <w:rStyle w:val="AERtextitalic"/>
        </w:rPr>
        <w:t xml:space="preserve"> proposal</w:t>
      </w:r>
      <w:r>
        <w:t>, January 2016, p. 123.</w:t>
      </w:r>
      <w:proofErr w:type="gramEnd"/>
      <w:r>
        <w:t xml:space="preserve"> </w:t>
      </w:r>
    </w:p>
  </w:footnote>
  <w:footnote w:id="6">
    <w:p w:rsidR="00493ADD" w:rsidRDefault="00493ADD">
      <w:pPr>
        <w:pStyle w:val="FootnoteText"/>
      </w:pPr>
      <w:r>
        <w:rPr>
          <w:rStyle w:val="FootnoteReference"/>
        </w:rPr>
        <w:footnoteRef/>
      </w:r>
      <w:r>
        <w:t xml:space="preserve"> </w:t>
      </w:r>
      <w:r>
        <w:tab/>
        <w:t xml:space="preserve">TasNetworks included an EBSS carryover of $41.1 million in its proposed PTRM. </w:t>
      </w:r>
    </w:p>
  </w:footnote>
  <w:footnote w:id="7">
    <w:p w:rsidR="00493ADD" w:rsidRDefault="00493ADD" w:rsidP="00C232E3">
      <w:pPr>
        <w:pStyle w:val="FootnoteText"/>
      </w:pPr>
      <w:r>
        <w:rPr>
          <w:rStyle w:val="FootnoteReference"/>
        </w:rPr>
        <w:footnoteRef/>
      </w:r>
      <w:r>
        <w:t xml:space="preserve"> </w:t>
      </w:r>
      <w:r>
        <w:tab/>
        <w:t xml:space="preserve">TasNetworks, </w:t>
      </w:r>
      <w:r w:rsidRPr="00FE6880">
        <w:rPr>
          <w:rStyle w:val="AERtextitalic"/>
        </w:rPr>
        <w:t>Re</w:t>
      </w:r>
      <w:r>
        <w:rPr>
          <w:rStyle w:val="AERtextitalic"/>
        </w:rPr>
        <w:t>gulatory</w:t>
      </w:r>
      <w:r w:rsidRPr="00FE6880">
        <w:rPr>
          <w:rStyle w:val="AERtextitalic"/>
        </w:rPr>
        <w:t xml:space="preserve"> proposal</w:t>
      </w:r>
      <w:r>
        <w:rPr>
          <w:rStyle w:val="AERtextitalic"/>
        </w:rPr>
        <w:t xml:space="preserve">, </w:t>
      </w:r>
      <w:r w:rsidRPr="00220D51">
        <w:rPr>
          <w:rStyle w:val="AERtextitalic"/>
        </w:rPr>
        <w:t>proposed EBSS model</w:t>
      </w:r>
      <w:r>
        <w:rPr>
          <w:rStyle w:val="AERtextitalic"/>
        </w:rPr>
        <w:t>,</w:t>
      </w:r>
      <w:r>
        <w:t xml:space="preserve"> January 2016.</w:t>
      </w:r>
    </w:p>
  </w:footnote>
  <w:footnote w:id="8">
    <w:p w:rsidR="00493ADD" w:rsidRDefault="00493ADD" w:rsidP="00C232E3">
      <w:pPr>
        <w:pStyle w:val="FootnoteText"/>
      </w:pPr>
      <w:r>
        <w:rPr>
          <w:rStyle w:val="FootnoteReference"/>
        </w:rPr>
        <w:footnoteRef/>
      </w:r>
      <w:r>
        <w:t xml:space="preserve"> </w:t>
      </w:r>
      <w:r>
        <w:tab/>
      </w:r>
      <w:proofErr w:type="gramStart"/>
      <w:r>
        <w:t xml:space="preserve">TasNetworks, </w:t>
      </w:r>
      <w:r w:rsidRPr="00FE6880">
        <w:rPr>
          <w:rStyle w:val="AERtextitalic"/>
        </w:rPr>
        <w:t>Re</w:t>
      </w:r>
      <w:r>
        <w:rPr>
          <w:rStyle w:val="AERtextitalic"/>
        </w:rPr>
        <w:t>gulatory</w:t>
      </w:r>
      <w:r w:rsidRPr="00FE6880">
        <w:rPr>
          <w:rStyle w:val="AERtextitalic"/>
        </w:rPr>
        <w:t xml:space="preserve"> proposal</w:t>
      </w:r>
      <w:r>
        <w:t>, January 2016, p. 124.</w:t>
      </w:r>
      <w:proofErr w:type="gramEnd"/>
    </w:p>
  </w:footnote>
  <w:footnote w:id="9">
    <w:p w:rsidR="00493ADD" w:rsidRDefault="00493ADD" w:rsidP="00C232E3">
      <w:pPr>
        <w:pStyle w:val="FootnoteText"/>
      </w:pPr>
      <w:r>
        <w:rPr>
          <w:rStyle w:val="FootnoteReference"/>
        </w:rPr>
        <w:footnoteRef/>
      </w:r>
      <w:r>
        <w:t xml:space="preserve"> </w:t>
      </w:r>
      <w:r>
        <w:tab/>
        <w:t>NER, cl. 6.4.3(a</w:t>
      </w:r>
      <w:proofErr w:type="gramStart"/>
      <w:r>
        <w:t>)(</w:t>
      </w:r>
      <w:proofErr w:type="gramEnd"/>
      <w:r>
        <w:t>5).</w:t>
      </w:r>
    </w:p>
  </w:footnote>
  <w:footnote w:id="10">
    <w:p w:rsidR="00493ADD" w:rsidRDefault="00493ADD" w:rsidP="00C232E3">
      <w:pPr>
        <w:pStyle w:val="FootnoteText"/>
      </w:pPr>
      <w:r>
        <w:rPr>
          <w:rStyle w:val="FootnoteReference"/>
        </w:rPr>
        <w:footnoteRef/>
      </w:r>
      <w:r>
        <w:t xml:space="preserve"> </w:t>
      </w:r>
      <w:r>
        <w:tab/>
        <w:t>NER, cl. 6.3.2(a</w:t>
      </w:r>
      <w:proofErr w:type="gramStart"/>
      <w:r>
        <w:t>)(</w:t>
      </w:r>
      <w:proofErr w:type="gramEnd"/>
      <w:r>
        <w:t>3); cl. 6.12.1(9).</w:t>
      </w:r>
    </w:p>
  </w:footnote>
  <w:footnote w:id="11">
    <w:p w:rsidR="00493ADD" w:rsidRDefault="00493ADD" w:rsidP="00C232E3">
      <w:pPr>
        <w:pStyle w:val="FootnoteText"/>
      </w:pPr>
      <w:r>
        <w:rPr>
          <w:rStyle w:val="FootnoteReference"/>
        </w:rPr>
        <w:footnoteRef/>
      </w:r>
      <w:r>
        <w:t xml:space="preserve"> </w:t>
      </w:r>
      <w:r>
        <w:tab/>
      </w:r>
      <w:proofErr w:type="gramStart"/>
      <w:r>
        <w:t>NER, cl. 6.5.8(a).</w:t>
      </w:r>
      <w:proofErr w:type="gramEnd"/>
    </w:p>
  </w:footnote>
  <w:footnote w:id="12">
    <w:p w:rsidR="00493ADD" w:rsidRDefault="00493ADD" w:rsidP="00C232E3">
      <w:pPr>
        <w:pStyle w:val="FootnoteText"/>
      </w:pPr>
      <w:r>
        <w:rPr>
          <w:rStyle w:val="FootnoteReference"/>
        </w:rPr>
        <w:footnoteRef/>
      </w:r>
      <w:r>
        <w:t xml:space="preserve"> </w:t>
      </w:r>
      <w:r>
        <w:tab/>
      </w:r>
      <w:proofErr w:type="gramStart"/>
      <w:r>
        <w:t>NER, cl. 6.5.8(c).</w:t>
      </w:r>
      <w:proofErr w:type="gramEnd"/>
    </w:p>
  </w:footnote>
  <w:footnote w:id="13">
    <w:p w:rsidR="00493ADD" w:rsidRDefault="00493ADD" w:rsidP="00B131EF">
      <w:pPr>
        <w:pStyle w:val="FootnoteText"/>
      </w:pPr>
      <w:r>
        <w:rPr>
          <w:rStyle w:val="FootnoteReference"/>
        </w:rPr>
        <w:footnoteRef/>
      </w:r>
      <w:r>
        <w:t xml:space="preserve"> </w:t>
      </w:r>
      <w:r>
        <w:tab/>
      </w:r>
      <w:r w:rsidRPr="00AB474F">
        <w:rPr>
          <w:rStyle w:val="AERtextitalic"/>
        </w:rPr>
        <w:t>Final Framework and Approach for TasNetworks</w:t>
      </w:r>
      <w:r>
        <w:t>, June 2015, pp. 66–67.</w:t>
      </w:r>
    </w:p>
  </w:footnote>
  <w:footnote w:id="14">
    <w:p w:rsidR="00493ADD" w:rsidRDefault="00493ADD" w:rsidP="00B131EF">
      <w:pPr>
        <w:pStyle w:val="FootnoteText"/>
      </w:pPr>
      <w:r>
        <w:rPr>
          <w:rStyle w:val="FootnoteReference"/>
        </w:rPr>
        <w:footnoteRef/>
      </w:r>
      <w:r>
        <w:t xml:space="preserve"> </w:t>
      </w:r>
      <w:r>
        <w:tab/>
        <w:t xml:space="preserve">NER, cl. </w:t>
      </w:r>
      <w:proofErr w:type="gramStart"/>
      <w:r>
        <w:t>6A.6.6(</w:t>
      </w:r>
      <w:proofErr w:type="gramEnd"/>
      <w:r>
        <w:t>e)(8).</w:t>
      </w:r>
    </w:p>
  </w:footnote>
  <w:footnote w:id="15">
    <w:p w:rsidR="00493ADD" w:rsidRDefault="00493ADD" w:rsidP="00C232E3">
      <w:pPr>
        <w:pStyle w:val="FootnoteText"/>
      </w:pPr>
      <w:r>
        <w:rPr>
          <w:rStyle w:val="FootnoteReference"/>
        </w:rPr>
        <w:footnoteRef/>
      </w:r>
      <w:r>
        <w:t xml:space="preserve"> </w:t>
      </w:r>
      <w:r>
        <w:tab/>
      </w:r>
      <w:proofErr w:type="gramStart"/>
      <w:r>
        <w:t xml:space="preserve">AER, </w:t>
      </w:r>
      <w:r w:rsidRPr="006F0324">
        <w:rPr>
          <w:rStyle w:val="AERtextitalic"/>
        </w:rPr>
        <w:t>E</w:t>
      </w:r>
      <w:r>
        <w:rPr>
          <w:rStyle w:val="AERtextitalic"/>
        </w:rPr>
        <w:t>lectricity distribution network service providers - E</w:t>
      </w:r>
      <w:r w:rsidRPr="006F0324">
        <w:rPr>
          <w:rStyle w:val="AERtextitalic"/>
        </w:rPr>
        <w:t>fficiency benefit sharing scheme</w:t>
      </w:r>
      <w:r>
        <w:t>, June 2008, pp. 4</w:t>
      </w:r>
      <w:r>
        <w:rPr>
          <w:rFonts w:cs="Arial"/>
        </w:rPr>
        <w:t>−</w:t>
      </w:r>
      <w:r>
        <w:t>6.</w:t>
      </w:r>
      <w:proofErr w:type="gramEnd"/>
    </w:p>
  </w:footnote>
  <w:footnote w:id="16">
    <w:p w:rsidR="00493ADD" w:rsidRDefault="00493ADD" w:rsidP="00C232E3">
      <w:pPr>
        <w:pStyle w:val="FootnoteText"/>
      </w:pPr>
      <w:r>
        <w:rPr>
          <w:rStyle w:val="FootnoteReference"/>
        </w:rPr>
        <w:footnoteRef/>
      </w:r>
      <w:r>
        <w:t xml:space="preserve"> </w:t>
      </w:r>
      <w:r>
        <w:tab/>
      </w:r>
      <w:proofErr w:type="gramStart"/>
      <w:r>
        <w:t xml:space="preserve">AER, </w:t>
      </w:r>
      <w:r w:rsidRPr="006F0324">
        <w:rPr>
          <w:rStyle w:val="AERtextitalic"/>
        </w:rPr>
        <w:t>E</w:t>
      </w:r>
      <w:r>
        <w:rPr>
          <w:rStyle w:val="AERtextitalic"/>
        </w:rPr>
        <w:t>lectricity distribution network service providers - E</w:t>
      </w:r>
      <w:r w:rsidRPr="006F0324">
        <w:rPr>
          <w:rStyle w:val="AERtextitalic"/>
        </w:rPr>
        <w:t>fficiency benefit sharing scheme</w:t>
      </w:r>
      <w:r>
        <w:t>, June 2008.</w:t>
      </w:r>
      <w:proofErr w:type="gramEnd"/>
    </w:p>
  </w:footnote>
  <w:footnote w:id="17">
    <w:p w:rsidR="00493ADD" w:rsidRDefault="00493ADD" w:rsidP="00C232E3">
      <w:pPr>
        <w:pStyle w:val="FootnoteText"/>
      </w:pPr>
      <w:r>
        <w:rPr>
          <w:rStyle w:val="FootnoteReference"/>
        </w:rPr>
        <w:footnoteRef/>
      </w:r>
      <w:r>
        <w:t xml:space="preserve"> </w:t>
      </w:r>
      <w:r>
        <w:tab/>
      </w:r>
      <w:proofErr w:type="gramStart"/>
      <w:r>
        <w:t xml:space="preserve">AER, </w:t>
      </w:r>
      <w:r w:rsidRPr="006F0324">
        <w:rPr>
          <w:rStyle w:val="AERtextitalic"/>
        </w:rPr>
        <w:t>E</w:t>
      </w:r>
      <w:r>
        <w:rPr>
          <w:rStyle w:val="AERtextitalic"/>
        </w:rPr>
        <w:t>lectricity distribution network service providers - E</w:t>
      </w:r>
      <w:r w:rsidRPr="006F0324">
        <w:rPr>
          <w:rStyle w:val="AERtextitalic"/>
        </w:rPr>
        <w:t>fficiency benefit sharing scheme</w:t>
      </w:r>
      <w:r>
        <w:t>, June 2008, pp. 5</w:t>
      </w:r>
      <w:r>
        <w:rPr>
          <w:rFonts w:cs="Arial"/>
        </w:rPr>
        <w:t>−</w:t>
      </w:r>
      <w:r>
        <w:t>6.</w:t>
      </w:r>
      <w:proofErr w:type="gramEnd"/>
    </w:p>
  </w:footnote>
  <w:footnote w:id="18">
    <w:p w:rsidR="00493ADD" w:rsidRPr="00D17D3B" w:rsidRDefault="00493ADD" w:rsidP="00D17D3B">
      <w:pPr>
        <w:pStyle w:val="FootnoteText"/>
        <w:rPr>
          <w:rStyle w:val="Emphasis"/>
        </w:rPr>
      </w:pPr>
      <w:r>
        <w:rPr>
          <w:rStyle w:val="FootnoteReference"/>
        </w:rPr>
        <w:footnoteRef/>
      </w:r>
      <w:r>
        <w:t xml:space="preserve"> </w:t>
      </w:r>
      <w:r>
        <w:tab/>
        <w:t xml:space="preserve">TasNetworks, response to AER information request #IR15, </w:t>
      </w:r>
      <w:r w:rsidRPr="00D17D3B">
        <w:rPr>
          <w:rStyle w:val="Emphasis"/>
        </w:rPr>
        <w:t>TasNetworks respons</w:t>
      </w:r>
      <w:r>
        <w:rPr>
          <w:rStyle w:val="Emphasis"/>
        </w:rPr>
        <w:t>e to questions raised by the AER,</w:t>
      </w:r>
      <w:r w:rsidRPr="00D17D3B">
        <w:rPr>
          <w:rStyle w:val="Emphasis"/>
          <w:i w:val="0"/>
          <w:iCs w:val="0"/>
        </w:rPr>
        <w:t xml:space="preserve"> 12 August 2016.</w:t>
      </w:r>
      <w:r w:rsidRPr="00D17D3B">
        <w:rPr>
          <w:rStyle w:val="Emphasis"/>
        </w:rPr>
        <w:t xml:space="preserve">  </w:t>
      </w:r>
    </w:p>
  </w:footnote>
  <w:footnote w:id="19">
    <w:p w:rsidR="00493ADD" w:rsidRDefault="00493ADD">
      <w:pPr>
        <w:pStyle w:val="FootnoteText"/>
      </w:pPr>
      <w:r>
        <w:rPr>
          <w:rStyle w:val="FootnoteReference"/>
        </w:rPr>
        <w:footnoteRef/>
      </w:r>
      <w:r>
        <w:t xml:space="preserve"> </w:t>
      </w:r>
      <w:r>
        <w:tab/>
      </w:r>
      <w:proofErr w:type="gramStart"/>
      <w:r>
        <w:t xml:space="preserve">TasNetworks, </w:t>
      </w:r>
      <w:r w:rsidRPr="00FE6880">
        <w:rPr>
          <w:rStyle w:val="AERtextitalic"/>
        </w:rPr>
        <w:t>Re</w:t>
      </w:r>
      <w:r>
        <w:rPr>
          <w:rStyle w:val="AERtextitalic"/>
        </w:rPr>
        <w:t>gulatory</w:t>
      </w:r>
      <w:r w:rsidRPr="00FE6880">
        <w:rPr>
          <w:rStyle w:val="AERtextitalic"/>
        </w:rPr>
        <w:t xml:space="preserve"> proposal</w:t>
      </w:r>
      <w:r>
        <w:rPr>
          <w:rStyle w:val="AERtextitalic"/>
        </w:rPr>
        <w:t xml:space="preserve">, EBSS model, </w:t>
      </w:r>
      <w:r>
        <w:t>January 2016.</w:t>
      </w:r>
      <w:proofErr w:type="gramEnd"/>
    </w:p>
  </w:footnote>
  <w:footnote w:id="20">
    <w:p w:rsidR="00493ADD" w:rsidRDefault="00493ADD">
      <w:pPr>
        <w:pStyle w:val="FootnoteText"/>
      </w:pPr>
      <w:r>
        <w:rPr>
          <w:rStyle w:val="FootnoteReference"/>
        </w:rPr>
        <w:footnoteRef/>
      </w:r>
      <w:r>
        <w:t xml:space="preserve"> </w:t>
      </w:r>
      <w:r>
        <w:tab/>
        <w:t>NER, clause 6.5.8(c</w:t>
      </w:r>
      <w:proofErr w:type="gramStart"/>
      <w:r>
        <w:t>)(</w:t>
      </w:r>
      <w:proofErr w:type="gramEnd"/>
      <w:r>
        <w:t>1).</w:t>
      </w:r>
    </w:p>
  </w:footnote>
  <w:footnote w:id="21">
    <w:p w:rsidR="00493ADD" w:rsidRDefault="00493ADD" w:rsidP="00C232E3">
      <w:pPr>
        <w:pStyle w:val="FootnoteText"/>
      </w:pPr>
      <w:r>
        <w:rPr>
          <w:rStyle w:val="FootnoteReference"/>
        </w:rPr>
        <w:footnoteRef/>
      </w:r>
      <w:r>
        <w:t xml:space="preserve"> </w:t>
      </w:r>
      <w:r>
        <w:tab/>
      </w:r>
      <w:proofErr w:type="gramStart"/>
      <w:r>
        <w:t xml:space="preserve">AER, </w:t>
      </w:r>
      <w:r w:rsidRPr="00EA74C7">
        <w:rPr>
          <w:rStyle w:val="AERtextitalic"/>
        </w:rPr>
        <w:t>Efficiency benefit sharing scheme for electricity network service providers</w:t>
      </w:r>
      <w:r>
        <w:t>, November 2013.</w:t>
      </w:r>
      <w:proofErr w:type="gramEnd"/>
    </w:p>
  </w:footnote>
  <w:footnote w:id="22">
    <w:p w:rsidR="00493ADD" w:rsidRDefault="00493ADD">
      <w:pPr>
        <w:pStyle w:val="FootnoteText"/>
      </w:pPr>
      <w:r>
        <w:rPr>
          <w:rStyle w:val="FootnoteReference"/>
        </w:rPr>
        <w:footnoteRef/>
      </w:r>
      <w:r>
        <w:t xml:space="preserve"> </w:t>
      </w:r>
      <w:r>
        <w:tab/>
        <w:t>NER, cl. 6.5.8(c</w:t>
      </w:r>
      <w:proofErr w:type="gramStart"/>
      <w:r>
        <w:t>)(</w:t>
      </w:r>
      <w:proofErr w:type="gramEnd"/>
      <w:r>
        <w:t>2).</w:t>
      </w:r>
    </w:p>
  </w:footnote>
  <w:footnote w:id="23">
    <w:p w:rsidR="00493ADD" w:rsidRDefault="00493ADD" w:rsidP="00C232E3">
      <w:pPr>
        <w:pStyle w:val="FootnoteText"/>
      </w:pPr>
      <w:r>
        <w:rPr>
          <w:rStyle w:val="FootnoteReference"/>
        </w:rPr>
        <w:footnoteRef/>
      </w:r>
      <w:r>
        <w:t xml:space="preserve"> </w:t>
      </w:r>
      <w:r>
        <w:tab/>
      </w:r>
      <w:proofErr w:type="gramStart"/>
      <w:r>
        <w:t xml:space="preserve">AER, </w:t>
      </w:r>
      <w:r w:rsidRPr="00EA74C7">
        <w:rPr>
          <w:rStyle w:val="AERtextitalic"/>
        </w:rPr>
        <w:t>Efficiency benefit sharing scheme for electricity network service providers</w:t>
      </w:r>
      <w:r>
        <w:t>, November 2013, pp. 7–9.</w:t>
      </w:r>
      <w:proofErr w:type="gramEnd"/>
    </w:p>
  </w:footnote>
  <w:footnote w:id="24">
    <w:p w:rsidR="00493ADD" w:rsidRDefault="00493ADD">
      <w:pPr>
        <w:pStyle w:val="FootnoteText"/>
      </w:pPr>
      <w:r>
        <w:rPr>
          <w:rStyle w:val="FootnoteReference"/>
        </w:rPr>
        <w:footnoteRef/>
      </w:r>
      <w:r>
        <w:t xml:space="preserve"> </w:t>
      </w:r>
      <w:r>
        <w:tab/>
        <w:t>NER, cl. 6.5.8(c</w:t>
      </w:r>
      <w:proofErr w:type="gramStart"/>
      <w:r>
        <w:t>)(</w:t>
      </w:r>
      <w:proofErr w:type="gramEnd"/>
      <w:r>
        <w:t>5) requires us to have regard to the possible effects of the scheme on incentives for the implementation of non-network alternatives.</w:t>
      </w:r>
    </w:p>
  </w:footnote>
  <w:footnote w:id="25">
    <w:p w:rsidR="00493ADD" w:rsidRDefault="00493ADD">
      <w:pPr>
        <w:pStyle w:val="FootnoteText"/>
      </w:pPr>
      <w:r>
        <w:rPr>
          <w:rStyle w:val="FootnoteReference"/>
        </w:rPr>
        <w:footnoteRef/>
      </w:r>
      <w:r>
        <w:t xml:space="preserve"> </w:t>
      </w:r>
      <w:r>
        <w:tab/>
        <w:t>NER, cl. 6.5.8(c</w:t>
      </w:r>
      <w:proofErr w:type="gramStart"/>
      <w:r>
        <w:t>)(</w:t>
      </w:r>
      <w:proofErr w:type="gramEnd"/>
      <w:r>
        <w:t xml:space="preserve">5) requires us to have regard to any incentives the service provider may have to capitalise expenditure. </w:t>
      </w:r>
    </w:p>
  </w:footnote>
  <w:footnote w:id="26">
    <w:p w:rsidR="00493ADD" w:rsidRDefault="00493ADD" w:rsidP="00E52E54">
      <w:pPr>
        <w:pStyle w:val="FootnoteText"/>
      </w:pPr>
      <w:r>
        <w:rPr>
          <w:rStyle w:val="FootnoteReference"/>
        </w:rPr>
        <w:footnoteRef/>
      </w:r>
      <w:r>
        <w:t xml:space="preserve"> </w:t>
      </w:r>
      <w:r>
        <w:tab/>
      </w:r>
      <w:proofErr w:type="gramStart"/>
      <w:r>
        <w:t xml:space="preserve">AER, </w:t>
      </w:r>
      <w:r w:rsidRPr="00EA74C7">
        <w:rPr>
          <w:rStyle w:val="AERtextitalic"/>
        </w:rPr>
        <w:t>Efficiency benefit sharing scheme for electricity network service providers</w:t>
      </w:r>
      <w:r>
        <w:t>, November 2013, p. 9.</w:t>
      </w:r>
      <w:proofErr w:type="gramEnd"/>
    </w:p>
    <w:p w:rsidR="00493ADD" w:rsidRDefault="00493ADD" w:rsidP="005B60F3">
      <w:pPr>
        <w:pStyle w:val="FootnoteText"/>
        <w:ind w:left="0" w:firstLine="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81D" w:rsidRDefault="0066581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81D" w:rsidRDefault="006658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81D" w:rsidRDefault="0066581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ADD" w:rsidRPr="00965BEA" w:rsidRDefault="00493ADD" w:rsidP="00965BE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39ACCE80"/>
    <w:lvl w:ilvl="0">
      <w:start w:val="9"/>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0">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30"/>
  </w:num>
  <w:num w:numId="29">
    <w:abstractNumId w:val="20"/>
  </w:num>
  <w:num w:numId="30">
    <w:abstractNumId w:val="9"/>
  </w:num>
  <w:num w:numId="31">
    <w:abstractNumId w:val="29"/>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7"/>
    <w:lvlOverride w:ilvl="3">
      <w:lvl w:ilvl="3">
        <w:start w:val="1"/>
        <w:numFmt w:val="decimal"/>
        <w:lvlText w:val="%2.%3.%4"/>
        <w:lvlJc w:val="left"/>
        <w:pPr>
          <w:tabs>
            <w:tab w:val="num" w:pos="0"/>
          </w:tabs>
          <w:ind w:left="0" w:hanging="851"/>
        </w:pPr>
        <w:rPr>
          <w:rFonts w:hint="default"/>
        </w:rPr>
      </w:lvl>
    </w:lvlOverride>
  </w:num>
  <w:num w:numId="33">
    <w:abstractNumId w:val="13"/>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A7xxjvboXMTba85EXR2JQ53pWeSshEgO3bUaK74W2kg=" w:saltValue="qVkOg67mDX+oK9HpO/BHcA==" w:algorithmName="SHA-256"/>
  <w:defaultTabStop w:val="340"/>
  <w:characterSpacingControl w:val="doNotCompress"/>
  <w:hdrShapeDefaults>
    <o:shapedefaults v:ext="edit" spidmax="268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mleco\aer - draft decision tasnetworks distribution determination - attachment 9 - ebss - september 2016 (D2015-00170967[V02]).docx"/>
  </w:docVars>
  <w:rsids>
    <w:rsidRoot w:val="00961A4A"/>
    <w:rsid w:val="000051DC"/>
    <w:rsid w:val="0000658F"/>
    <w:rsid w:val="0001507B"/>
    <w:rsid w:val="00020016"/>
    <w:rsid w:val="00021202"/>
    <w:rsid w:val="00021C2B"/>
    <w:rsid w:val="0002498B"/>
    <w:rsid w:val="0002517F"/>
    <w:rsid w:val="00026187"/>
    <w:rsid w:val="000266FC"/>
    <w:rsid w:val="0002678F"/>
    <w:rsid w:val="000273B3"/>
    <w:rsid w:val="00027E2D"/>
    <w:rsid w:val="0003578C"/>
    <w:rsid w:val="00044DA3"/>
    <w:rsid w:val="000474DF"/>
    <w:rsid w:val="00055A67"/>
    <w:rsid w:val="000601FE"/>
    <w:rsid w:val="00063247"/>
    <w:rsid w:val="0006624E"/>
    <w:rsid w:val="00070F79"/>
    <w:rsid w:val="00070F9F"/>
    <w:rsid w:val="0007137B"/>
    <w:rsid w:val="00073B74"/>
    <w:rsid w:val="00076416"/>
    <w:rsid w:val="000805A8"/>
    <w:rsid w:val="0008190B"/>
    <w:rsid w:val="000836D9"/>
    <w:rsid w:val="00085663"/>
    <w:rsid w:val="00085EBF"/>
    <w:rsid w:val="00091B15"/>
    <w:rsid w:val="00095186"/>
    <w:rsid w:val="00095F15"/>
    <w:rsid w:val="000A0E71"/>
    <w:rsid w:val="000A1C0C"/>
    <w:rsid w:val="000A3020"/>
    <w:rsid w:val="000A3BBF"/>
    <w:rsid w:val="000A4840"/>
    <w:rsid w:val="000A62C1"/>
    <w:rsid w:val="000A6A79"/>
    <w:rsid w:val="000A6C7B"/>
    <w:rsid w:val="000B0A7B"/>
    <w:rsid w:val="000B1173"/>
    <w:rsid w:val="000B3636"/>
    <w:rsid w:val="000B5827"/>
    <w:rsid w:val="000B7037"/>
    <w:rsid w:val="000C02D1"/>
    <w:rsid w:val="000C0C63"/>
    <w:rsid w:val="000C2B40"/>
    <w:rsid w:val="000C44E8"/>
    <w:rsid w:val="000C5255"/>
    <w:rsid w:val="000D07A7"/>
    <w:rsid w:val="000D122C"/>
    <w:rsid w:val="000D75B0"/>
    <w:rsid w:val="000E0ED0"/>
    <w:rsid w:val="000E1819"/>
    <w:rsid w:val="000E4821"/>
    <w:rsid w:val="000E4AA9"/>
    <w:rsid w:val="000E6C72"/>
    <w:rsid w:val="000E7F39"/>
    <w:rsid w:val="000F5223"/>
    <w:rsid w:val="00100EA2"/>
    <w:rsid w:val="00101AA1"/>
    <w:rsid w:val="00102338"/>
    <w:rsid w:val="00104566"/>
    <w:rsid w:val="00104FF6"/>
    <w:rsid w:val="001114AA"/>
    <w:rsid w:val="00115743"/>
    <w:rsid w:val="00116EB2"/>
    <w:rsid w:val="0012132C"/>
    <w:rsid w:val="001219D8"/>
    <w:rsid w:val="001234D5"/>
    <w:rsid w:val="00124609"/>
    <w:rsid w:val="00126A4C"/>
    <w:rsid w:val="001270E3"/>
    <w:rsid w:val="00132D43"/>
    <w:rsid w:val="00133366"/>
    <w:rsid w:val="00133F47"/>
    <w:rsid w:val="00134029"/>
    <w:rsid w:val="00142C2D"/>
    <w:rsid w:val="00144C96"/>
    <w:rsid w:val="0014573B"/>
    <w:rsid w:val="001463A3"/>
    <w:rsid w:val="0015073A"/>
    <w:rsid w:val="001573E4"/>
    <w:rsid w:val="00160756"/>
    <w:rsid w:val="00161DC8"/>
    <w:rsid w:val="00166760"/>
    <w:rsid w:val="00166C69"/>
    <w:rsid w:val="0017232E"/>
    <w:rsid w:val="00174102"/>
    <w:rsid w:val="001754EE"/>
    <w:rsid w:val="00180157"/>
    <w:rsid w:val="001809BC"/>
    <w:rsid w:val="00180E97"/>
    <w:rsid w:val="001820B4"/>
    <w:rsid w:val="00184351"/>
    <w:rsid w:val="00184AC8"/>
    <w:rsid w:val="00185BA5"/>
    <w:rsid w:val="00185CB9"/>
    <w:rsid w:val="00185DBE"/>
    <w:rsid w:val="00186ADC"/>
    <w:rsid w:val="00186F77"/>
    <w:rsid w:val="001877A4"/>
    <w:rsid w:val="001926A4"/>
    <w:rsid w:val="00192AD5"/>
    <w:rsid w:val="00194597"/>
    <w:rsid w:val="00194E00"/>
    <w:rsid w:val="0019745E"/>
    <w:rsid w:val="00197B16"/>
    <w:rsid w:val="001A530D"/>
    <w:rsid w:val="001A5FB3"/>
    <w:rsid w:val="001A7155"/>
    <w:rsid w:val="001B31D9"/>
    <w:rsid w:val="001B45A0"/>
    <w:rsid w:val="001B680E"/>
    <w:rsid w:val="001C08C0"/>
    <w:rsid w:val="001C44A8"/>
    <w:rsid w:val="001D055E"/>
    <w:rsid w:val="001E1B3F"/>
    <w:rsid w:val="001E5AED"/>
    <w:rsid w:val="001E7161"/>
    <w:rsid w:val="001F05A4"/>
    <w:rsid w:val="001F3D4A"/>
    <w:rsid w:val="001F492E"/>
    <w:rsid w:val="001F64EF"/>
    <w:rsid w:val="001F6DA3"/>
    <w:rsid w:val="002010BC"/>
    <w:rsid w:val="002016E7"/>
    <w:rsid w:val="002029FF"/>
    <w:rsid w:val="00202E03"/>
    <w:rsid w:val="002033B9"/>
    <w:rsid w:val="00204366"/>
    <w:rsid w:val="002043D0"/>
    <w:rsid w:val="0020492C"/>
    <w:rsid w:val="00204EC9"/>
    <w:rsid w:val="00206505"/>
    <w:rsid w:val="0020743F"/>
    <w:rsid w:val="00213CD0"/>
    <w:rsid w:val="00216C93"/>
    <w:rsid w:val="00220D51"/>
    <w:rsid w:val="00223051"/>
    <w:rsid w:val="00224DB9"/>
    <w:rsid w:val="0022569A"/>
    <w:rsid w:val="0023005C"/>
    <w:rsid w:val="00231012"/>
    <w:rsid w:val="00233775"/>
    <w:rsid w:val="0023414B"/>
    <w:rsid w:val="00243635"/>
    <w:rsid w:val="00245A27"/>
    <w:rsid w:val="00247079"/>
    <w:rsid w:val="00251745"/>
    <w:rsid w:val="002552BA"/>
    <w:rsid w:val="00255F98"/>
    <w:rsid w:val="00260016"/>
    <w:rsid w:val="002617BC"/>
    <w:rsid w:val="0026381D"/>
    <w:rsid w:val="00263AC0"/>
    <w:rsid w:val="00264264"/>
    <w:rsid w:val="0026689B"/>
    <w:rsid w:val="0026772D"/>
    <w:rsid w:val="002730B2"/>
    <w:rsid w:val="002743F3"/>
    <w:rsid w:val="00274C7E"/>
    <w:rsid w:val="002777CF"/>
    <w:rsid w:val="002810F2"/>
    <w:rsid w:val="00286874"/>
    <w:rsid w:val="00290C63"/>
    <w:rsid w:val="00291A99"/>
    <w:rsid w:val="00293B6D"/>
    <w:rsid w:val="00294B08"/>
    <w:rsid w:val="0029518C"/>
    <w:rsid w:val="002963DD"/>
    <w:rsid w:val="00296B65"/>
    <w:rsid w:val="002A7DEF"/>
    <w:rsid w:val="002B0696"/>
    <w:rsid w:val="002B6A7A"/>
    <w:rsid w:val="002C0222"/>
    <w:rsid w:val="002C1499"/>
    <w:rsid w:val="002C233C"/>
    <w:rsid w:val="002C38EA"/>
    <w:rsid w:val="002C517B"/>
    <w:rsid w:val="002D3509"/>
    <w:rsid w:val="002D4D06"/>
    <w:rsid w:val="002D5457"/>
    <w:rsid w:val="002D72E8"/>
    <w:rsid w:val="002D79AD"/>
    <w:rsid w:val="002E268F"/>
    <w:rsid w:val="002E78DD"/>
    <w:rsid w:val="002E7B22"/>
    <w:rsid w:val="002F12EC"/>
    <w:rsid w:val="002F7986"/>
    <w:rsid w:val="00301B40"/>
    <w:rsid w:val="00301C82"/>
    <w:rsid w:val="003029EE"/>
    <w:rsid w:val="00304D38"/>
    <w:rsid w:val="00305CC8"/>
    <w:rsid w:val="00307776"/>
    <w:rsid w:val="00307F6D"/>
    <w:rsid w:val="00314D83"/>
    <w:rsid w:val="0031571F"/>
    <w:rsid w:val="003177A2"/>
    <w:rsid w:val="00317E02"/>
    <w:rsid w:val="003271B5"/>
    <w:rsid w:val="00327A1E"/>
    <w:rsid w:val="00327E28"/>
    <w:rsid w:val="00331264"/>
    <w:rsid w:val="00334C8D"/>
    <w:rsid w:val="00336E45"/>
    <w:rsid w:val="003378BD"/>
    <w:rsid w:val="003424EA"/>
    <w:rsid w:val="00342C2F"/>
    <w:rsid w:val="003436EB"/>
    <w:rsid w:val="00343A18"/>
    <w:rsid w:val="00345744"/>
    <w:rsid w:val="003518B3"/>
    <w:rsid w:val="00353E79"/>
    <w:rsid w:val="003600F1"/>
    <w:rsid w:val="00364EA0"/>
    <w:rsid w:val="003656B3"/>
    <w:rsid w:val="00366981"/>
    <w:rsid w:val="00367525"/>
    <w:rsid w:val="00370678"/>
    <w:rsid w:val="0037214E"/>
    <w:rsid w:val="00372C85"/>
    <w:rsid w:val="00373845"/>
    <w:rsid w:val="003744E3"/>
    <w:rsid w:val="00375F71"/>
    <w:rsid w:val="00376219"/>
    <w:rsid w:val="0037663E"/>
    <w:rsid w:val="0037699E"/>
    <w:rsid w:val="00377A29"/>
    <w:rsid w:val="00377C69"/>
    <w:rsid w:val="003817B2"/>
    <w:rsid w:val="0038415D"/>
    <w:rsid w:val="0038461C"/>
    <w:rsid w:val="003846F1"/>
    <w:rsid w:val="00390E6A"/>
    <w:rsid w:val="00393ABE"/>
    <w:rsid w:val="00395DB6"/>
    <w:rsid w:val="00397398"/>
    <w:rsid w:val="003A371A"/>
    <w:rsid w:val="003A59CD"/>
    <w:rsid w:val="003A6B00"/>
    <w:rsid w:val="003A7747"/>
    <w:rsid w:val="003B30B2"/>
    <w:rsid w:val="003B484F"/>
    <w:rsid w:val="003B504B"/>
    <w:rsid w:val="003B5179"/>
    <w:rsid w:val="003B5894"/>
    <w:rsid w:val="003B685C"/>
    <w:rsid w:val="003B6AFB"/>
    <w:rsid w:val="003B7FBA"/>
    <w:rsid w:val="003C6537"/>
    <w:rsid w:val="003C6A13"/>
    <w:rsid w:val="003C749B"/>
    <w:rsid w:val="003C764A"/>
    <w:rsid w:val="003C78BA"/>
    <w:rsid w:val="003D41F1"/>
    <w:rsid w:val="003D42AB"/>
    <w:rsid w:val="003D5B94"/>
    <w:rsid w:val="003D70E0"/>
    <w:rsid w:val="003E0D3A"/>
    <w:rsid w:val="003E3AAB"/>
    <w:rsid w:val="003E7FE9"/>
    <w:rsid w:val="003F06AB"/>
    <w:rsid w:val="003F07D4"/>
    <w:rsid w:val="003F174D"/>
    <w:rsid w:val="003F2329"/>
    <w:rsid w:val="004000AE"/>
    <w:rsid w:val="00400FD2"/>
    <w:rsid w:val="00403711"/>
    <w:rsid w:val="00404C52"/>
    <w:rsid w:val="004073EB"/>
    <w:rsid w:val="004156D5"/>
    <w:rsid w:val="00415BA9"/>
    <w:rsid w:val="00415F31"/>
    <w:rsid w:val="0041691D"/>
    <w:rsid w:val="0042000C"/>
    <w:rsid w:val="0042090E"/>
    <w:rsid w:val="00421F27"/>
    <w:rsid w:val="004238D8"/>
    <w:rsid w:val="00423A77"/>
    <w:rsid w:val="004324F4"/>
    <w:rsid w:val="00434544"/>
    <w:rsid w:val="004373C9"/>
    <w:rsid w:val="00441F4E"/>
    <w:rsid w:val="004459F8"/>
    <w:rsid w:val="00445D43"/>
    <w:rsid w:val="00446CD2"/>
    <w:rsid w:val="004523B2"/>
    <w:rsid w:val="0045777E"/>
    <w:rsid w:val="00460C29"/>
    <w:rsid w:val="00465258"/>
    <w:rsid w:val="00471BC6"/>
    <w:rsid w:val="00476221"/>
    <w:rsid w:val="004766F5"/>
    <w:rsid w:val="00477395"/>
    <w:rsid w:val="00480B4B"/>
    <w:rsid w:val="004838D8"/>
    <w:rsid w:val="00485DC4"/>
    <w:rsid w:val="00493ADD"/>
    <w:rsid w:val="00494D04"/>
    <w:rsid w:val="004A40BA"/>
    <w:rsid w:val="004A43D1"/>
    <w:rsid w:val="004A492B"/>
    <w:rsid w:val="004B4412"/>
    <w:rsid w:val="004B6269"/>
    <w:rsid w:val="004C348C"/>
    <w:rsid w:val="004C462E"/>
    <w:rsid w:val="004C6CA3"/>
    <w:rsid w:val="004C7F5E"/>
    <w:rsid w:val="004D343C"/>
    <w:rsid w:val="004D372A"/>
    <w:rsid w:val="004D3DDF"/>
    <w:rsid w:val="004D55BA"/>
    <w:rsid w:val="004D720C"/>
    <w:rsid w:val="004E0FA7"/>
    <w:rsid w:val="004E22EC"/>
    <w:rsid w:val="004F0BFA"/>
    <w:rsid w:val="004F13DA"/>
    <w:rsid w:val="004F4D69"/>
    <w:rsid w:val="004F6883"/>
    <w:rsid w:val="004F6A0E"/>
    <w:rsid w:val="004F6BB3"/>
    <w:rsid w:val="005009CD"/>
    <w:rsid w:val="00504E5F"/>
    <w:rsid w:val="005106D1"/>
    <w:rsid w:val="0051337E"/>
    <w:rsid w:val="00513FA7"/>
    <w:rsid w:val="0051768F"/>
    <w:rsid w:val="00522DC2"/>
    <w:rsid w:val="00530128"/>
    <w:rsid w:val="00532467"/>
    <w:rsid w:val="005332A9"/>
    <w:rsid w:val="0053603C"/>
    <w:rsid w:val="00537871"/>
    <w:rsid w:val="00540ECE"/>
    <w:rsid w:val="00542FE9"/>
    <w:rsid w:val="00544598"/>
    <w:rsid w:val="00544C8D"/>
    <w:rsid w:val="00544DFD"/>
    <w:rsid w:val="00556B1E"/>
    <w:rsid w:val="00564A4D"/>
    <w:rsid w:val="0056598C"/>
    <w:rsid w:val="00566506"/>
    <w:rsid w:val="00566E0B"/>
    <w:rsid w:val="00567BA5"/>
    <w:rsid w:val="00571B35"/>
    <w:rsid w:val="00571B43"/>
    <w:rsid w:val="00571D57"/>
    <w:rsid w:val="00573A3B"/>
    <w:rsid w:val="00577716"/>
    <w:rsid w:val="00577A09"/>
    <w:rsid w:val="005829C2"/>
    <w:rsid w:val="00584D8F"/>
    <w:rsid w:val="00587A18"/>
    <w:rsid w:val="00587ADE"/>
    <w:rsid w:val="005A0BEC"/>
    <w:rsid w:val="005A26E6"/>
    <w:rsid w:val="005A404D"/>
    <w:rsid w:val="005B0018"/>
    <w:rsid w:val="005B1E3C"/>
    <w:rsid w:val="005B5A8A"/>
    <w:rsid w:val="005B5FC0"/>
    <w:rsid w:val="005B60F3"/>
    <w:rsid w:val="005B6518"/>
    <w:rsid w:val="005B704A"/>
    <w:rsid w:val="005B72D7"/>
    <w:rsid w:val="005C045F"/>
    <w:rsid w:val="005C16FE"/>
    <w:rsid w:val="005C18F3"/>
    <w:rsid w:val="005C1FAB"/>
    <w:rsid w:val="005C21A4"/>
    <w:rsid w:val="005C26CC"/>
    <w:rsid w:val="005C4463"/>
    <w:rsid w:val="005D3D88"/>
    <w:rsid w:val="005D48C4"/>
    <w:rsid w:val="005D6208"/>
    <w:rsid w:val="005D6366"/>
    <w:rsid w:val="005D7BA2"/>
    <w:rsid w:val="005E36C2"/>
    <w:rsid w:val="005E4AF4"/>
    <w:rsid w:val="005F387E"/>
    <w:rsid w:val="00601E0B"/>
    <w:rsid w:val="0060258B"/>
    <w:rsid w:val="00610EF9"/>
    <w:rsid w:val="00611353"/>
    <w:rsid w:val="00612F4F"/>
    <w:rsid w:val="00614EA0"/>
    <w:rsid w:val="00615C6B"/>
    <w:rsid w:val="00617D4C"/>
    <w:rsid w:val="00621DCE"/>
    <w:rsid w:val="00621FC5"/>
    <w:rsid w:val="00624A7A"/>
    <w:rsid w:val="00624F2C"/>
    <w:rsid w:val="00630D4D"/>
    <w:rsid w:val="00632D6D"/>
    <w:rsid w:val="00636569"/>
    <w:rsid w:val="00636EF9"/>
    <w:rsid w:val="00642C3E"/>
    <w:rsid w:val="00644A01"/>
    <w:rsid w:val="00650817"/>
    <w:rsid w:val="00651E2D"/>
    <w:rsid w:val="00652324"/>
    <w:rsid w:val="006577FB"/>
    <w:rsid w:val="0066104A"/>
    <w:rsid w:val="00663066"/>
    <w:rsid w:val="00663DAD"/>
    <w:rsid w:val="00664206"/>
    <w:rsid w:val="006649E7"/>
    <w:rsid w:val="0066581D"/>
    <w:rsid w:val="00666634"/>
    <w:rsid w:val="00671692"/>
    <w:rsid w:val="00675E20"/>
    <w:rsid w:val="00676679"/>
    <w:rsid w:val="00677E87"/>
    <w:rsid w:val="00683C89"/>
    <w:rsid w:val="00691B53"/>
    <w:rsid w:val="00696E32"/>
    <w:rsid w:val="00697D0B"/>
    <w:rsid w:val="006A12BA"/>
    <w:rsid w:val="006A4739"/>
    <w:rsid w:val="006A66A1"/>
    <w:rsid w:val="006B032D"/>
    <w:rsid w:val="006B2395"/>
    <w:rsid w:val="006B40AC"/>
    <w:rsid w:val="006B4CF9"/>
    <w:rsid w:val="006B797C"/>
    <w:rsid w:val="006B7AC8"/>
    <w:rsid w:val="006C1736"/>
    <w:rsid w:val="006C329B"/>
    <w:rsid w:val="006C6303"/>
    <w:rsid w:val="006D550F"/>
    <w:rsid w:val="006D6146"/>
    <w:rsid w:val="006D7F7E"/>
    <w:rsid w:val="006E0CFF"/>
    <w:rsid w:val="006E13B3"/>
    <w:rsid w:val="006E2D37"/>
    <w:rsid w:val="006F0D92"/>
    <w:rsid w:val="006F267D"/>
    <w:rsid w:val="0070011E"/>
    <w:rsid w:val="00701CAB"/>
    <w:rsid w:val="007023BB"/>
    <w:rsid w:val="00704DD7"/>
    <w:rsid w:val="0070694A"/>
    <w:rsid w:val="00707563"/>
    <w:rsid w:val="00715F61"/>
    <w:rsid w:val="00722132"/>
    <w:rsid w:val="007228F7"/>
    <w:rsid w:val="0072348C"/>
    <w:rsid w:val="00724A37"/>
    <w:rsid w:val="007303C3"/>
    <w:rsid w:val="00731188"/>
    <w:rsid w:val="00733D63"/>
    <w:rsid w:val="007356CC"/>
    <w:rsid w:val="00735817"/>
    <w:rsid w:val="007368E6"/>
    <w:rsid w:val="007375DF"/>
    <w:rsid w:val="007413E8"/>
    <w:rsid w:val="007429BE"/>
    <w:rsid w:val="00743223"/>
    <w:rsid w:val="00743349"/>
    <w:rsid w:val="0074403A"/>
    <w:rsid w:val="00746E01"/>
    <w:rsid w:val="00751DCD"/>
    <w:rsid w:val="00755084"/>
    <w:rsid w:val="00757364"/>
    <w:rsid w:val="00757BDF"/>
    <w:rsid w:val="007609D0"/>
    <w:rsid w:val="00761454"/>
    <w:rsid w:val="0076193D"/>
    <w:rsid w:val="00763E5D"/>
    <w:rsid w:val="00767740"/>
    <w:rsid w:val="00767B5E"/>
    <w:rsid w:val="00775460"/>
    <w:rsid w:val="00777EE6"/>
    <w:rsid w:val="00782EEA"/>
    <w:rsid w:val="00786CA4"/>
    <w:rsid w:val="007909B4"/>
    <w:rsid w:val="00790E86"/>
    <w:rsid w:val="007949D7"/>
    <w:rsid w:val="007949EA"/>
    <w:rsid w:val="0079769A"/>
    <w:rsid w:val="007A0143"/>
    <w:rsid w:val="007A34C2"/>
    <w:rsid w:val="007A396C"/>
    <w:rsid w:val="007A4B02"/>
    <w:rsid w:val="007B0BE3"/>
    <w:rsid w:val="007B1816"/>
    <w:rsid w:val="007B186E"/>
    <w:rsid w:val="007B25DC"/>
    <w:rsid w:val="007B2C72"/>
    <w:rsid w:val="007B3789"/>
    <w:rsid w:val="007B651F"/>
    <w:rsid w:val="007B7BB5"/>
    <w:rsid w:val="007C00BB"/>
    <w:rsid w:val="007C1C53"/>
    <w:rsid w:val="007C284C"/>
    <w:rsid w:val="007C4B82"/>
    <w:rsid w:val="007C74BB"/>
    <w:rsid w:val="007C7F64"/>
    <w:rsid w:val="007D0A95"/>
    <w:rsid w:val="007D0EB5"/>
    <w:rsid w:val="007D456E"/>
    <w:rsid w:val="007D5837"/>
    <w:rsid w:val="007E3A15"/>
    <w:rsid w:val="007E4904"/>
    <w:rsid w:val="007E4CB5"/>
    <w:rsid w:val="007E4DAE"/>
    <w:rsid w:val="007F066B"/>
    <w:rsid w:val="007F4EAB"/>
    <w:rsid w:val="007F5B16"/>
    <w:rsid w:val="007F7C9D"/>
    <w:rsid w:val="008033C4"/>
    <w:rsid w:val="00804E1D"/>
    <w:rsid w:val="00806731"/>
    <w:rsid w:val="00806C88"/>
    <w:rsid w:val="0081034E"/>
    <w:rsid w:val="00810806"/>
    <w:rsid w:val="00815882"/>
    <w:rsid w:val="00820454"/>
    <w:rsid w:val="00822AC7"/>
    <w:rsid w:val="00822E86"/>
    <w:rsid w:val="00830A6E"/>
    <w:rsid w:val="008319C1"/>
    <w:rsid w:val="008344F6"/>
    <w:rsid w:val="0083510F"/>
    <w:rsid w:val="00837BF3"/>
    <w:rsid w:val="008415DE"/>
    <w:rsid w:val="008420DE"/>
    <w:rsid w:val="00845865"/>
    <w:rsid w:val="00845A1B"/>
    <w:rsid w:val="0084799B"/>
    <w:rsid w:val="00847EE3"/>
    <w:rsid w:val="00850C90"/>
    <w:rsid w:val="00851209"/>
    <w:rsid w:val="0085171F"/>
    <w:rsid w:val="00861EA6"/>
    <w:rsid w:val="008658A1"/>
    <w:rsid w:val="0086716A"/>
    <w:rsid w:val="00870613"/>
    <w:rsid w:val="0087380F"/>
    <w:rsid w:val="0087648F"/>
    <w:rsid w:val="00876612"/>
    <w:rsid w:val="0087718C"/>
    <w:rsid w:val="00882BB1"/>
    <w:rsid w:val="008837AC"/>
    <w:rsid w:val="008909DC"/>
    <w:rsid w:val="00894255"/>
    <w:rsid w:val="008945AD"/>
    <w:rsid w:val="008A019F"/>
    <w:rsid w:val="008A0645"/>
    <w:rsid w:val="008A1C02"/>
    <w:rsid w:val="008A370D"/>
    <w:rsid w:val="008A587D"/>
    <w:rsid w:val="008A6F08"/>
    <w:rsid w:val="008B157A"/>
    <w:rsid w:val="008B16B0"/>
    <w:rsid w:val="008B1BD5"/>
    <w:rsid w:val="008B35CD"/>
    <w:rsid w:val="008B4093"/>
    <w:rsid w:val="008B5FCC"/>
    <w:rsid w:val="008B7F36"/>
    <w:rsid w:val="008C357F"/>
    <w:rsid w:val="008C5486"/>
    <w:rsid w:val="008D1661"/>
    <w:rsid w:val="008D27E0"/>
    <w:rsid w:val="008D5F90"/>
    <w:rsid w:val="008D6800"/>
    <w:rsid w:val="008D72F1"/>
    <w:rsid w:val="008E1691"/>
    <w:rsid w:val="008E4089"/>
    <w:rsid w:val="008E47A6"/>
    <w:rsid w:val="008E5AFF"/>
    <w:rsid w:val="008E7031"/>
    <w:rsid w:val="008E77DE"/>
    <w:rsid w:val="008F040C"/>
    <w:rsid w:val="008F07A3"/>
    <w:rsid w:val="008F3322"/>
    <w:rsid w:val="008F3519"/>
    <w:rsid w:val="008F3A0D"/>
    <w:rsid w:val="009001B6"/>
    <w:rsid w:val="00900E1B"/>
    <w:rsid w:val="0090131F"/>
    <w:rsid w:val="00907683"/>
    <w:rsid w:val="009132B7"/>
    <w:rsid w:val="00916A2C"/>
    <w:rsid w:val="009233EE"/>
    <w:rsid w:val="00930B1A"/>
    <w:rsid w:val="00932612"/>
    <w:rsid w:val="009327DC"/>
    <w:rsid w:val="009338D9"/>
    <w:rsid w:val="009339BD"/>
    <w:rsid w:val="009356CF"/>
    <w:rsid w:val="00945E53"/>
    <w:rsid w:val="009460AA"/>
    <w:rsid w:val="00951978"/>
    <w:rsid w:val="00952C8B"/>
    <w:rsid w:val="00954DFB"/>
    <w:rsid w:val="00961A4A"/>
    <w:rsid w:val="00965BEA"/>
    <w:rsid w:val="009661DE"/>
    <w:rsid w:val="00972C7C"/>
    <w:rsid w:val="009776F4"/>
    <w:rsid w:val="00977DFB"/>
    <w:rsid w:val="00982DA2"/>
    <w:rsid w:val="00983C25"/>
    <w:rsid w:val="0098466D"/>
    <w:rsid w:val="009856B7"/>
    <w:rsid w:val="009859D6"/>
    <w:rsid w:val="00985C86"/>
    <w:rsid w:val="009A02D4"/>
    <w:rsid w:val="009A5FC3"/>
    <w:rsid w:val="009B6F84"/>
    <w:rsid w:val="009B74B0"/>
    <w:rsid w:val="009C0152"/>
    <w:rsid w:val="009C1A74"/>
    <w:rsid w:val="009C3D42"/>
    <w:rsid w:val="009C491E"/>
    <w:rsid w:val="009D0DF1"/>
    <w:rsid w:val="009D22D6"/>
    <w:rsid w:val="009D2C84"/>
    <w:rsid w:val="009D3906"/>
    <w:rsid w:val="009D5E35"/>
    <w:rsid w:val="009D6B46"/>
    <w:rsid w:val="009E35B6"/>
    <w:rsid w:val="009E48E5"/>
    <w:rsid w:val="009E5ABC"/>
    <w:rsid w:val="009F3BBA"/>
    <w:rsid w:val="009F43B4"/>
    <w:rsid w:val="009F4940"/>
    <w:rsid w:val="009F5BA1"/>
    <w:rsid w:val="00A02A88"/>
    <w:rsid w:val="00A04012"/>
    <w:rsid w:val="00A046FA"/>
    <w:rsid w:val="00A0562E"/>
    <w:rsid w:val="00A0726D"/>
    <w:rsid w:val="00A073AE"/>
    <w:rsid w:val="00A12204"/>
    <w:rsid w:val="00A12750"/>
    <w:rsid w:val="00A13CB0"/>
    <w:rsid w:val="00A1561F"/>
    <w:rsid w:val="00A16544"/>
    <w:rsid w:val="00A17C6F"/>
    <w:rsid w:val="00A30BF5"/>
    <w:rsid w:val="00A31BE6"/>
    <w:rsid w:val="00A32FBB"/>
    <w:rsid w:val="00A40068"/>
    <w:rsid w:val="00A40733"/>
    <w:rsid w:val="00A40BE9"/>
    <w:rsid w:val="00A428EE"/>
    <w:rsid w:val="00A42F23"/>
    <w:rsid w:val="00A443C2"/>
    <w:rsid w:val="00A44652"/>
    <w:rsid w:val="00A4478A"/>
    <w:rsid w:val="00A44852"/>
    <w:rsid w:val="00A50502"/>
    <w:rsid w:val="00A50598"/>
    <w:rsid w:val="00A5087B"/>
    <w:rsid w:val="00A53409"/>
    <w:rsid w:val="00A53796"/>
    <w:rsid w:val="00A53848"/>
    <w:rsid w:val="00A56945"/>
    <w:rsid w:val="00A56A6E"/>
    <w:rsid w:val="00A57D04"/>
    <w:rsid w:val="00A604A3"/>
    <w:rsid w:val="00A60A26"/>
    <w:rsid w:val="00A61598"/>
    <w:rsid w:val="00A61777"/>
    <w:rsid w:val="00A63646"/>
    <w:rsid w:val="00A63914"/>
    <w:rsid w:val="00A66DDF"/>
    <w:rsid w:val="00A84A99"/>
    <w:rsid w:val="00A84F46"/>
    <w:rsid w:val="00A85E87"/>
    <w:rsid w:val="00A86AEA"/>
    <w:rsid w:val="00A871F4"/>
    <w:rsid w:val="00A9410E"/>
    <w:rsid w:val="00A9431A"/>
    <w:rsid w:val="00A94981"/>
    <w:rsid w:val="00A95988"/>
    <w:rsid w:val="00A959DF"/>
    <w:rsid w:val="00A97A1B"/>
    <w:rsid w:val="00AA2927"/>
    <w:rsid w:val="00AA2F04"/>
    <w:rsid w:val="00AA4182"/>
    <w:rsid w:val="00AB2CB8"/>
    <w:rsid w:val="00AB4617"/>
    <w:rsid w:val="00AB474F"/>
    <w:rsid w:val="00AB5EEC"/>
    <w:rsid w:val="00AC1B2C"/>
    <w:rsid w:val="00AC3264"/>
    <w:rsid w:val="00AC46AD"/>
    <w:rsid w:val="00AC4D2D"/>
    <w:rsid w:val="00AC58EC"/>
    <w:rsid w:val="00AC7282"/>
    <w:rsid w:val="00AC7961"/>
    <w:rsid w:val="00AD314E"/>
    <w:rsid w:val="00AD5FCD"/>
    <w:rsid w:val="00AD6B48"/>
    <w:rsid w:val="00AD7A1D"/>
    <w:rsid w:val="00AD7A3A"/>
    <w:rsid w:val="00AE1BF1"/>
    <w:rsid w:val="00AE23AB"/>
    <w:rsid w:val="00AE58FB"/>
    <w:rsid w:val="00AE5AF0"/>
    <w:rsid w:val="00AE663D"/>
    <w:rsid w:val="00AE73B3"/>
    <w:rsid w:val="00AF07E7"/>
    <w:rsid w:val="00AF0DD2"/>
    <w:rsid w:val="00AF31E1"/>
    <w:rsid w:val="00AF3BBA"/>
    <w:rsid w:val="00AF4231"/>
    <w:rsid w:val="00B00567"/>
    <w:rsid w:val="00B00B0E"/>
    <w:rsid w:val="00B00B26"/>
    <w:rsid w:val="00B02385"/>
    <w:rsid w:val="00B02F9D"/>
    <w:rsid w:val="00B05766"/>
    <w:rsid w:val="00B13048"/>
    <w:rsid w:val="00B131EF"/>
    <w:rsid w:val="00B13883"/>
    <w:rsid w:val="00B1716D"/>
    <w:rsid w:val="00B17A1D"/>
    <w:rsid w:val="00B207A0"/>
    <w:rsid w:val="00B21C21"/>
    <w:rsid w:val="00B22F54"/>
    <w:rsid w:val="00B24A7E"/>
    <w:rsid w:val="00B25C0C"/>
    <w:rsid w:val="00B304B5"/>
    <w:rsid w:val="00B308A9"/>
    <w:rsid w:val="00B31047"/>
    <w:rsid w:val="00B33148"/>
    <w:rsid w:val="00B348B3"/>
    <w:rsid w:val="00B35CDF"/>
    <w:rsid w:val="00B403C2"/>
    <w:rsid w:val="00B405A1"/>
    <w:rsid w:val="00B431E8"/>
    <w:rsid w:val="00B4438A"/>
    <w:rsid w:val="00B45AA2"/>
    <w:rsid w:val="00B479CA"/>
    <w:rsid w:val="00B50561"/>
    <w:rsid w:val="00B5084F"/>
    <w:rsid w:val="00B514DD"/>
    <w:rsid w:val="00B52AF0"/>
    <w:rsid w:val="00B53D5F"/>
    <w:rsid w:val="00B54051"/>
    <w:rsid w:val="00B561BD"/>
    <w:rsid w:val="00B56E03"/>
    <w:rsid w:val="00B62765"/>
    <w:rsid w:val="00B65DF5"/>
    <w:rsid w:val="00B7679F"/>
    <w:rsid w:val="00B77159"/>
    <w:rsid w:val="00B8080B"/>
    <w:rsid w:val="00B82223"/>
    <w:rsid w:val="00B87BA5"/>
    <w:rsid w:val="00B87C39"/>
    <w:rsid w:val="00B92F73"/>
    <w:rsid w:val="00B93891"/>
    <w:rsid w:val="00B9562D"/>
    <w:rsid w:val="00B9590D"/>
    <w:rsid w:val="00BA21DA"/>
    <w:rsid w:val="00BA2B60"/>
    <w:rsid w:val="00BA3C93"/>
    <w:rsid w:val="00BA4665"/>
    <w:rsid w:val="00BA7FD7"/>
    <w:rsid w:val="00BB1681"/>
    <w:rsid w:val="00BB2FB2"/>
    <w:rsid w:val="00BB3304"/>
    <w:rsid w:val="00BB6551"/>
    <w:rsid w:val="00BC41A6"/>
    <w:rsid w:val="00BC4A10"/>
    <w:rsid w:val="00BD30F4"/>
    <w:rsid w:val="00BD3446"/>
    <w:rsid w:val="00BD59CF"/>
    <w:rsid w:val="00BE12C0"/>
    <w:rsid w:val="00BE1312"/>
    <w:rsid w:val="00BE1F1B"/>
    <w:rsid w:val="00BE3F89"/>
    <w:rsid w:val="00BE47B5"/>
    <w:rsid w:val="00BE5FCE"/>
    <w:rsid w:val="00C0079E"/>
    <w:rsid w:val="00C04039"/>
    <w:rsid w:val="00C0572A"/>
    <w:rsid w:val="00C06ED1"/>
    <w:rsid w:val="00C13EBD"/>
    <w:rsid w:val="00C1631B"/>
    <w:rsid w:val="00C163AB"/>
    <w:rsid w:val="00C170F0"/>
    <w:rsid w:val="00C232E3"/>
    <w:rsid w:val="00C25962"/>
    <w:rsid w:val="00C25FA6"/>
    <w:rsid w:val="00C3099D"/>
    <w:rsid w:val="00C33011"/>
    <w:rsid w:val="00C33695"/>
    <w:rsid w:val="00C362C1"/>
    <w:rsid w:val="00C41950"/>
    <w:rsid w:val="00C42C3B"/>
    <w:rsid w:val="00C447AD"/>
    <w:rsid w:val="00C47DF2"/>
    <w:rsid w:val="00C5130B"/>
    <w:rsid w:val="00C51672"/>
    <w:rsid w:val="00C538A9"/>
    <w:rsid w:val="00C53B5A"/>
    <w:rsid w:val="00C53CB4"/>
    <w:rsid w:val="00C53E41"/>
    <w:rsid w:val="00C54909"/>
    <w:rsid w:val="00C54AF3"/>
    <w:rsid w:val="00C54F5A"/>
    <w:rsid w:val="00C569B4"/>
    <w:rsid w:val="00C57DDE"/>
    <w:rsid w:val="00C61468"/>
    <w:rsid w:val="00C61A97"/>
    <w:rsid w:val="00C61E44"/>
    <w:rsid w:val="00C64FF3"/>
    <w:rsid w:val="00C662AD"/>
    <w:rsid w:val="00C67A92"/>
    <w:rsid w:val="00C705A3"/>
    <w:rsid w:val="00C71280"/>
    <w:rsid w:val="00C717BF"/>
    <w:rsid w:val="00C76178"/>
    <w:rsid w:val="00C84560"/>
    <w:rsid w:val="00C86679"/>
    <w:rsid w:val="00C8792F"/>
    <w:rsid w:val="00C90472"/>
    <w:rsid w:val="00C91D6E"/>
    <w:rsid w:val="00CA489E"/>
    <w:rsid w:val="00CB0279"/>
    <w:rsid w:val="00CB666B"/>
    <w:rsid w:val="00CB734B"/>
    <w:rsid w:val="00CC058C"/>
    <w:rsid w:val="00CC41B6"/>
    <w:rsid w:val="00CC7ADA"/>
    <w:rsid w:val="00CC7F1D"/>
    <w:rsid w:val="00CD0A88"/>
    <w:rsid w:val="00CD125D"/>
    <w:rsid w:val="00CD283C"/>
    <w:rsid w:val="00CD3641"/>
    <w:rsid w:val="00CD66EA"/>
    <w:rsid w:val="00CD7432"/>
    <w:rsid w:val="00CE0223"/>
    <w:rsid w:val="00CE0FA5"/>
    <w:rsid w:val="00CE2A23"/>
    <w:rsid w:val="00CE31C8"/>
    <w:rsid w:val="00CE484B"/>
    <w:rsid w:val="00CE7CBA"/>
    <w:rsid w:val="00CF0DEE"/>
    <w:rsid w:val="00CF2D79"/>
    <w:rsid w:val="00CF42AA"/>
    <w:rsid w:val="00CF51B6"/>
    <w:rsid w:val="00CF5EAA"/>
    <w:rsid w:val="00CF6AE3"/>
    <w:rsid w:val="00CF77BB"/>
    <w:rsid w:val="00D006AE"/>
    <w:rsid w:val="00D00905"/>
    <w:rsid w:val="00D010C1"/>
    <w:rsid w:val="00D01449"/>
    <w:rsid w:val="00D01CF0"/>
    <w:rsid w:val="00D0212D"/>
    <w:rsid w:val="00D0442A"/>
    <w:rsid w:val="00D12A7B"/>
    <w:rsid w:val="00D12ADB"/>
    <w:rsid w:val="00D15E63"/>
    <w:rsid w:val="00D17D3B"/>
    <w:rsid w:val="00D25A39"/>
    <w:rsid w:val="00D27CFA"/>
    <w:rsid w:val="00D310FA"/>
    <w:rsid w:val="00D325C6"/>
    <w:rsid w:val="00D37213"/>
    <w:rsid w:val="00D4360D"/>
    <w:rsid w:val="00D470A5"/>
    <w:rsid w:val="00D5607F"/>
    <w:rsid w:val="00D61388"/>
    <w:rsid w:val="00D61A54"/>
    <w:rsid w:val="00D62108"/>
    <w:rsid w:val="00D64AA4"/>
    <w:rsid w:val="00D64DEA"/>
    <w:rsid w:val="00D64F84"/>
    <w:rsid w:val="00D663CD"/>
    <w:rsid w:val="00D6726A"/>
    <w:rsid w:val="00D7001B"/>
    <w:rsid w:val="00D7160D"/>
    <w:rsid w:val="00D7168E"/>
    <w:rsid w:val="00D71E57"/>
    <w:rsid w:val="00D72D27"/>
    <w:rsid w:val="00D7786B"/>
    <w:rsid w:val="00D80893"/>
    <w:rsid w:val="00D82519"/>
    <w:rsid w:val="00D8267E"/>
    <w:rsid w:val="00D84854"/>
    <w:rsid w:val="00D924AE"/>
    <w:rsid w:val="00D92CF1"/>
    <w:rsid w:val="00D92D38"/>
    <w:rsid w:val="00D950F5"/>
    <w:rsid w:val="00D95A1D"/>
    <w:rsid w:val="00D97379"/>
    <w:rsid w:val="00DA1092"/>
    <w:rsid w:val="00DA4752"/>
    <w:rsid w:val="00DA4C09"/>
    <w:rsid w:val="00DA61F3"/>
    <w:rsid w:val="00DA7CB3"/>
    <w:rsid w:val="00DB0D00"/>
    <w:rsid w:val="00DB0F93"/>
    <w:rsid w:val="00DB1A67"/>
    <w:rsid w:val="00DB3721"/>
    <w:rsid w:val="00DB5074"/>
    <w:rsid w:val="00DC0281"/>
    <w:rsid w:val="00DC1930"/>
    <w:rsid w:val="00DC1C76"/>
    <w:rsid w:val="00DC4DBF"/>
    <w:rsid w:val="00DC4E19"/>
    <w:rsid w:val="00DC65FE"/>
    <w:rsid w:val="00DC7981"/>
    <w:rsid w:val="00DD4C07"/>
    <w:rsid w:val="00DD577D"/>
    <w:rsid w:val="00DD5ADC"/>
    <w:rsid w:val="00DD6240"/>
    <w:rsid w:val="00DE1093"/>
    <w:rsid w:val="00DE4EFA"/>
    <w:rsid w:val="00DE5520"/>
    <w:rsid w:val="00DE563D"/>
    <w:rsid w:val="00DE7AB5"/>
    <w:rsid w:val="00DF0152"/>
    <w:rsid w:val="00DF1958"/>
    <w:rsid w:val="00E04818"/>
    <w:rsid w:val="00E06442"/>
    <w:rsid w:val="00E06952"/>
    <w:rsid w:val="00E11E61"/>
    <w:rsid w:val="00E157B2"/>
    <w:rsid w:val="00E16055"/>
    <w:rsid w:val="00E2332D"/>
    <w:rsid w:val="00E23993"/>
    <w:rsid w:val="00E2574F"/>
    <w:rsid w:val="00E25951"/>
    <w:rsid w:val="00E25B8C"/>
    <w:rsid w:val="00E31CF6"/>
    <w:rsid w:val="00E32E0B"/>
    <w:rsid w:val="00E34A4A"/>
    <w:rsid w:val="00E35AFC"/>
    <w:rsid w:val="00E41D39"/>
    <w:rsid w:val="00E47131"/>
    <w:rsid w:val="00E50A02"/>
    <w:rsid w:val="00E52E54"/>
    <w:rsid w:val="00E54106"/>
    <w:rsid w:val="00E54697"/>
    <w:rsid w:val="00E57A08"/>
    <w:rsid w:val="00E63631"/>
    <w:rsid w:val="00E64C2A"/>
    <w:rsid w:val="00E65087"/>
    <w:rsid w:val="00E65C85"/>
    <w:rsid w:val="00E66199"/>
    <w:rsid w:val="00E70526"/>
    <w:rsid w:val="00E754B4"/>
    <w:rsid w:val="00E755EC"/>
    <w:rsid w:val="00E7624D"/>
    <w:rsid w:val="00E81724"/>
    <w:rsid w:val="00E819A4"/>
    <w:rsid w:val="00E833FA"/>
    <w:rsid w:val="00E84B74"/>
    <w:rsid w:val="00E87066"/>
    <w:rsid w:val="00E966BF"/>
    <w:rsid w:val="00EA0C04"/>
    <w:rsid w:val="00EA3D42"/>
    <w:rsid w:val="00EA6B1B"/>
    <w:rsid w:val="00EB1CBD"/>
    <w:rsid w:val="00EB3A34"/>
    <w:rsid w:val="00EB3C3F"/>
    <w:rsid w:val="00EB45B5"/>
    <w:rsid w:val="00EB7ED1"/>
    <w:rsid w:val="00EC04F1"/>
    <w:rsid w:val="00EC237F"/>
    <w:rsid w:val="00EC573A"/>
    <w:rsid w:val="00ED35C8"/>
    <w:rsid w:val="00ED3968"/>
    <w:rsid w:val="00ED7323"/>
    <w:rsid w:val="00ED7A48"/>
    <w:rsid w:val="00EE28F3"/>
    <w:rsid w:val="00EE50D1"/>
    <w:rsid w:val="00EE7614"/>
    <w:rsid w:val="00EF220D"/>
    <w:rsid w:val="00EF5110"/>
    <w:rsid w:val="00EF5890"/>
    <w:rsid w:val="00EF76BA"/>
    <w:rsid w:val="00EF7DB4"/>
    <w:rsid w:val="00F0231A"/>
    <w:rsid w:val="00F03463"/>
    <w:rsid w:val="00F036B7"/>
    <w:rsid w:val="00F03DDE"/>
    <w:rsid w:val="00F0700F"/>
    <w:rsid w:val="00F07F1F"/>
    <w:rsid w:val="00F10411"/>
    <w:rsid w:val="00F10A9A"/>
    <w:rsid w:val="00F11B2D"/>
    <w:rsid w:val="00F121C2"/>
    <w:rsid w:val="00F1485B"/>
    <w:rsid w:val="00F15882"/>
    <w:rsid w:val="00F170C7"/>
    <w:rsid w:val="00F171E0"/>
    <w:rsid w:val="00F20BD3"/>
    <w:rsid w:val="00F2722C"/>
    <w:rsid w:val="00F322E9"/>
    <w:rsid w:val="00F3231B"/>
    <w:rsid w:val="00F33808"/>
    <w:rsid w:val="00F373A5"/>
    <w:rsid w:val="00F37864"/>
    <w:rsid w:val="00F404F9"/>
    <w:rsid w:val="00F4442D"/>
    <w:rsid w:val="00F44B0A"/>
    <w:rsid w:val="00F47559"/>
    <w:rsid w:val="00F50B30"/>
    <w:rsid w:val="00F51F5F"/>
    <w:rsid w:val="00F52D75"/>
    <w:rsid w:val="00F55582"/>
    <w:rsid w:val="00F57647"/>
    <w:rsid w:val="00F62612"/>
    <w:rsid w:val="00F62A14"/>
    <w:rsid w:val="00F644AB"/>
    <w:rsid w:val="00F64C7B"/>
    <w:rsid w:val="00F676DD"/>
    <w:rsid w:val="00F67AB6"/>
    <w:rsid w:val="00F70028"/>
    <w:rsid w:val="00F70434"/>
    <w:rsid w:val="00F713FB"/>
    <w:rsid w:val="00F72F21"/>
    <w:rsid w:val="00F72FEA"/>
    <w:rsid w:val="00F75A26"/>
    <w:rsid w:val="00F76706"/>
    <w:rsid w:val="00F77D6D"/>
    <w:rsid w:val="00F80206"/>
    <w:rsid w:val="00F83034"/>
    <w:rsid w:val="00F83FAD"/>
    <w:rsid w:val="00F844C6"/>
    <w:rsid w:val="00F92FA6"/>
    <w:rsid w:val="00F9353B"/>
    <w:rsid w:val="00F937F1"/>
    <w:rsid w:val="00F952A0"/>
    <w:rsid w:val="00F9560B"/>
    <w:rsid w:val="00FA31B1"/>
    <w:rsid w:val="00FA3320"/>
    <w:rsid w:val="00FA3C7F"/>
    <w:rsid w:val="00FA6246"/>
    <w:rsid w:val="00FB24ED"/>
    <w:rsid w:val="00FB3304"/>
    <w:rsid w:val="00FB5005"/>
    <w:rsid w:val="00FB60FE"/>
    <w:rsid w:val="00FB74E2"/>
    <w:rsid w:val="00FB778B"/>
    <w:rsid w:val="00FC2060"/>
    <w:rsid w:val="00FC331C"/>
    <w:rsid w:val="00FC7BA2"/>
    <w:rsid w:val="00FD5614"/>
    <w:rsid w:val="00FD5E78"/>
    <w:rsid w:val="00FE085E"/>
    <w:rsid w:val="00FE0BE1"/>
    <w:rsid w:val="00FE11BB"/>
    <w:rsid w:val="00FE1DE9"/>
    <w:rsid w:val="00FE36AF"/>
    <w:rsid w:val="00FE39C2"/>
    <w:rsid w:val="00FE3C32"/>
    <w:rsid w:val="00FE64AE"/>
    <w:rsid w:val="00FF24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68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hyperlink" Target="mailto:AERInquiry@aer.gov.a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header" Target="header4.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footer" Target="footer6.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648449A-0C8F-44BA-BE9E-688AE57F5B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64EFE467.dotm</Template>
  <TotalTime>0</TotalTime>
  <Pages>17</Pages>
  <Words>3716</Words>
  <Characters>21184</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24851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2016-09-28T01:42:00Z</dcterms:created>
  <dcterms:modified xsi:type="dcterms:W3CDTF">2016-09-28T01:45:00Z</dcterms:modified>
</cp:coreProperties>
</file>