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37A9CB3" wp14:editId="41DA7E5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7C0137">
            <w:t>DRAFT</w:t>
          </w:r>
          <w:r w:rsidR="00DA4752">
            <w:t xml:space="preserve"> DECISION</w:t>
          </w:r>
        </w:p>
        <w:p w:rsidR="007C0137" w:rsidRDefault="00A06085" w:rsidP="008F07A3">
          <w:pPr>
            <w:pStyle w:val="ReportSubtitle"/>
          </w:pPr>
          <w:r>
            <w:t xml:space="preserve">ActewAGL </w:t>
          </w:r>
          <w:r w:rsidR="007C0137">
            <w:t>D</w:t>
          </w:r>
          <w:r w:rsidR="0070011E">
            <w:t>istribution</w:t>
          </w:r>
          <w:r w:rsidR="00415F31">
            <w:t xml:space="preserve"> </w:t>
          </w:r>
        </w:p>
        <w:p w:rsidR="00415F31" w:rsidRDefault="007C0137" w:rsidP="008F07A3">
          <w:pPr>
            <w:pStyle w:val="ReportSubtitle"/>
          </w:pPr>
          <w: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D60F9">
            <w:t>1</w:t>
          </w:r>
          <w:r w:rsidR="00DA4752">
            <w:t xml:space="preserve"> </w:t>
          </w:r>
          <w:r w:rsidR="00415F31">
            <w:rPr>
              <w:rFonts w:cs="Arial"/>
            </w:rPr>
            <w:t>–</w:t>
          </w:r>
          <w:r w:rsidR="00DA4752">
            <w:t xml:space="preserve"> </w:t>
          </w:r>
          <w:r w:rsidR="00BD60F9">
            <w:t>Services covered by the access arrangement</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6039715"/>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7C0137">
        <w:t>draft</w:t>
      </w:r>
      <w:r w:rsidR="00415F31">
        <w:t xml:space="preserve"> decision on </w:t>
      </w:r>
      <w:r w:rsidR="005B140A">
        <w:t>ActewAGL</w:t>
      </w:r>
      <w:r w:rsidR="004F242A">
        <w:t xml:space="preserve"> Distribution</w:t>
      </w:r>
      <w:r w:rsidR="005C0A7F">
        <w:t>'s</w:t>
      </w:r>
      <w:r w:rsidR="00415F31">
        <w:t xml:space="preserve"> </w:t>
      </w:r>
      <w:r w:rsidR="007C0137">
        <w:t>access arrangement</w:t>
      </w:r>
      <w:r w:rsidR="00415F31">
        <w:t xml:space="preserve"> </w:t>
      </w:r>
      <w:r w:rsidR="007C0137">
        <w:t xml:space="preserve">for </w:t>
      </w:r>
      <w:r w:rsidR="00415F31">
        <w:t>201</w:t>
      </w:r>
      <w:r w:rsidR="005C0A7F">
        <w:t>6</w:t>
      </w:r>
      <w:r w:rsidR="00415F31" w:rsidRPr="00D904FA">
        <w:t>–</w:t>
      </w:r>
      <w:r w:rsidR="005B140A">
        <w:t>21.</w:t>
      </w:r>
      <w:r w:rsidR="00415F31">
        <w:t xml:space="preserve"> It should be read with </w:t>
      </w:r>
      <w:r w:rsidR="005C0A7F">
        <w:t xml:space="preserve">all </w:t>
      </w:r>
      <w:r w:rsidR="00415F31">
        <w:t xml:space="preserve">other parts of the </w:t>
      </w:r>
      <w:r w:rsidR="007C0137">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7C0137">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603971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E2CE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39715" w:history="1">
            <w:r w:rsidR="007E2CE9" w:rsidRPr="00D16916">
              <w:rPr>
                <w:rStyle w:val="Hyperlink"/>
              </w:rPr>
              <w:t>Note</w:t>
            </w:r>
            <w:r w:rsidR="007E2CE9">
              <w:rPr>
                <w:webHidden/>
              </w:rPr>
              <w:tab/>
            </w:r>
            <w:r w:rsidR="007E2CE9">
              <w:rPr>
                <w:webHidden/>
              </w:rPr>
              <w:fldChar w:fldCharType="begin"/>
            </w:r>
            <w:r w:rsidR="007E2CE9">
              <w:rPr>
                <w:webHidden/>
              </w:rPr>
              <w:instrText xml:space="preserve"> PAGEREF _Toc436039715 \h </w:instrText>
            </w:r>
            <w:r w:rsidR="007E2CE9">
              <w:rPr>
                <w:webHidden/>
              </w:rPr>
            </w:r>
            <w:r w:rsidR="007E2CE9">
              <w:rPr>
                <w:webHidden/>
              </w:rPr>
              <w:fldChar w:fldCharType="separate"/>
            </w:r>
            <w:r w:rsidR="007E2CE9">
              <w:rPr>
                <w:webHidden/>
              </w:rPr>
              <w:t>1-2</w:t>
            </w:r>
            <w:r w:rsidR="007E2CE9">
              <w:rPr>
                <w:webHidden/>
              </w:rPr>
              <w:fldChar w:fldCharType="end"/>
            </w:r>
          </w:hyperlink>
        </w:p>
        <w:p w:rsidR="007E2CE9" w:rsidRDefault="007E2CE9">
          <w:pPr>
            <w:pStyle w:val="TOC1"/>
            <w:rPr>
              <w:rFonts w:asciiTheme="minorHAnsi" w:eastAsiaTheme="minorEastAsia" w:hAnsiTheme="minorHAnsi"/>
              <w:b w:val="0"/>
              <w:color w:val="auto"/>
              <w:sz w:val="22"/>
              <w:lang w:val="en-AU" w:eastAsia="en-AU"/>
            </w:rPr>
          </w:pPr>
          <w:hyperlink w:anchor="_Toc436039716" w:history="1">
            <w:r w:rsidRPr="00D16916">
              <w:rPr>
                <w:rStyle w:val="Hyperlink"/>
              </w:rPr>
              <w:t>Contents</w:t>
            </w:r>
            <w:r>
              <w:rPr>
                <w:webHidden/>
              </w:rPr>
              <w:tab/>
            </w:r>
            <w:r>
              <w:rPr>
                <w:webHidden/>
              </w:rPr>
              <w:fldChar w:fldCharType="begin"/>
            </w:r>
            <w:r>
              <w:rPr>
                <w:webHidden/>
              </w:rPr>
              <w:instrText xml:space="preserve"> PAGEREF _Toc436039716 \h </w:instrText>
            </w:r>
            <w:r>
              <w:rPr>
                <w:webHidden/>
              </w:rPr>
            </w:r>
            <w:r>
              <w:rPr>
                <w:webHidden/>
              </w:rPr>
              <w:fldChar w:fldCharType="separate"/>
            </w:r>
            <w:r>
              <w:rPr>
                <w:webHidden/>
              </w:rPr>
              <w:t>1-3</w:t>
            </w:r>
            <w:r>
              <w:rPr>
                <w:webHidden/>
              </w:rPr>
              <w:fldChar w:fldCharType="end"/>
            </w:r>
          </w:hyperlink>
        </w:p>
        <w:p w:rsidR="007E2CE9" w:rsidRDefault="007E2CE9">
          <w:pPr>
            <w:pStyle w:val="TOC1"/>
            <w:rPr>
              <w:rFonts w:asciiTheme="minorHAnsi" w:eastAsiaTheme="minorEastAsia" w:hAnsiTheme="minorHAnsi"/>
              <w:b w:val="0"/>
              <w:color w:val="auto"/>
              <w:sz w:val="22"/>
              <w:lang w:val="en-AU" w:eastAsia="en-AU"/>
            </w:rPr>
          </w:pPr>
          <w:hyperlink w:anchor="_Toc436039717" w:history="1">
            <w:r w:rsidRPr="00D16916">
              <w:rPr>
                <w:rStyle w:val="Hyperlink"/>
              </w:rPr>
              <w:t>Shortened forms</w:t>
            </w:r>
            <w:r>
              <w:rPr>
                <w:webHidden/>
              </w:rPr>
              <w:tab/>
            </w:r>
            <w:r>
              <w:rPr>
                <w:webHidden/>
              </w:rPr>
              <w:fldChar w:fldCharType="begin"/>
            </w:r>
            <w:r>
              <w:rPr>
                <w:webHidden/>
              </w:rPr>
              <w:instrText xml:space="preserve"> PAGEREF _Toc436039717 \h </w:instrText>
            </w:r>
            <w:r>
              <w:rPr>
                <w:webHidden/>
              </w:rPr>
            </w:r>
            <w:r>
              <w:rPr>
                <w:webHidden/>
              </w:rPr>
              <w:fldChar w:fldCharType="separate"/>
            </w:r>
            <w:r>
              <w:rPr>
                <w:webHidden/>
              </w:rPr>
              <w:t>1-4</w:t>
            </w:r>
            <w:r>
              <w:rPr>
                <w:webHidden/>
              </w:rPr>
              <w:fldChar w:fldCharType="end"/>
            </w:r>
          </w:hyperlink>
        </w:p>
        <w:p w:rsidR="007E2CE9" w:rsidRDefault="007E2CE9">
          <w:pPr>
            <w:pStyle w:val="TOC1"/>
            <w:rPr>
              <w:rFonts w:asciiTheme="minorHAnsi" w:eastAsiaTheme="minorEastAsia" w:hAnsiTheme="minorHAnsi"/>
              <w:b w:val="0"/>
              <w:color w:val="auto"/>
              <w:sz w:val="22"/>
              <w:lang w:val="en-AU" w:eastAsia="en-AU"/>
            </w:rPr>
          </w:pPr>
          <w:hyperlink w:anchor="_Toc436039718" w:history="1">
            <w:r w:rsidRPr="00D16916">
              <w:rPr>
                <w:rStyle w:val="Hyperlink"/>
              </w:rPr>
              <w:t>1</w:t>
            </w:r>
            <w:r>
              <w:rPr>
                <w:rFonts w:asciiTheme="minorHAnsi" w:eastAsiaTheme="minorEastAsia" w:hAnsiTheme="minorHAnsi"/>
                <w:b w:val="0"/>
                <w:color w:val="auto"/>
                <w:sz w:val="22"/>
                <w:lang w:val="en-AU" w:eastAsia="en-AU"/>
              </w:rPr>
              <w:tab/>
            </w:r>
            <w:r w:rsidRPr="00D16916">
              <w:rPr>
                <w:rStyle w:val="Hyperlink"/>
              </w:rPr>
              <w:t>Services covered by the access arrangement</w:t>
            </w:r>
            <w:r>
              <w:rPr>
                <w:webHidden/>
              </w:rPr>
              <w:tab/>
            </w:r>
            <w:r>
              <w:rPr>
                <w:webHidden/>
              </w:rPr>
              <w:fldChar w:fldCharType="begin"/>
            </w:r>
            <w:r>
              <w:rPr>
                <w:webHidden/>
              </w:rPr>
              <w:instrText xml:space="preserve"> PAGEREF _Toc436039718 \h </w:instrText>
            </w:r>
            <w:r>
              <w:rPr>
                <w:webHidden/>
              </w:rPr>
            </w:r>
            <w:r>
              <w:rPr>
                <w:webHidden/>
              </w:rPr>
              <w:fldChar w:fldCharType="separate"/>
            </w:r>
            <w:r>
              <w:rPr>
                <w:webHidden/>
              </w:rPr>
              <w:t>1-6</w:t>
            </w:r>
            <w:r>
              <w:rPr>
                <w:webHidden/>
              </w:rPr>
              <w:fldChar w:fldCharType="end"/>
            </w:r>
          </w:hyperlink>
        </w:p>
        <w:p w:rsidR="007E2CE9" w:rsidRDefault="007E2CE9">
          <w:pPr>
            <w:pStyle w:val="TOC2"/>
            <w:rPr>
              <w:rFonts w:asciiTheme="minorHAnsi" w:eastAsiaTheme="minorEastAsia" w:hAnsiTheme="minorHAnsi"/>
              <w:b w:val="0"/>
              <w:color w:val="auto"/>
              <w:sz w:val="22"/>
              <w:lang w:eastAsia="en-AU"/>
            </w:rPr>
          </w:pPr>
          <w:hyperlink w:anchor="_Toc436039719" w:history="1">
            <w:r w:rsidRPr="00D16916">
              <w:rPr>
                <w:rStyle w:val="Hyperlink"/>
              </w:rPr>
              <w:t>1.1</w:t>
            </w:r>
            <w:r>
              <w:rPr>
                <w:rFonts w:asciiTheme="minorHAnsi" w:eastAsiaTheme="minorEastAsia" w:hAnsiTheme="minorHAnsi"/>
                <w:b w:val="0"/>
                <w:color w:val="auto"/>
                <w:sz w:val="22"/>
                <w:lang w:eastAsia="en-AU"/>
              </w:rPr>
              <w:tab/>
            </w:r>
            <w:r w:rsidRPr="00D16916">
              <w:rPr>
                <w:rStyle w:val="Hyperlink"/>
              </w:rPr>
              <w:t>Draft decision</w:t>
            </w:r>
            <w:r>
              <w:rPr>
                <w:webHidden/>
              </w:rPr>
              <w:tab/>
            </w:r>
            <w:r>
              <w:rPr>
                <w:webHidden/>
              </w:rPr>
              <w:fldChar w:fldCharType="begin"/>
            </w:r>
            <w:r>
              <w:rPr>
                <w:webHidden/>
              </w:rPr>
              <w:instrText xml:space="preserve"> PAGEREF _Toc436039719 \h </w:instrText>
            </w:r>
            <w:r>
              <w:rPr>
                <w:webHidden/>
              </w:rPr>
            </w:r>
            <w:r>
              <w:rPr>
                <w:webHidden/>
              </w:rPr>
              <w:fldChar w:fldCharType="separate"/>
            </w:r>
            <w:r>
              <w:rPr>
                <w:webHidden/>
              </w:rPr>
              <w:t>1-6</w:t>
            </w:r>
            <w:r>
              <w:rPr>
                <w:webHidden/>
              </w:rPr>
              <w:fldChar w:fldCharType="end"/>
            </w:r>
          </w:hyperlink>
        </w:p>
        <w:p w:rsidR="007E2CE9" w:rsidRDefault="007E2CE9">
          <w:pPr>
            <w:pStyle w:val="TOC2"/>
            <w:rPr>
              <w:rFonts w:asciiTheme="minorHAnsi" w:eastAsiaTheme="minorEastAsia" w:hAnsiTheme="minorHAnsi"/>
              <w:b w:val="0"/>
              <w:color w:val="auto"/>
              <w:sz w:val="22"/>
              <w:lang w:eastAsia="en-AU"/>
            </w:rPr>
          </w:pPr>
          <w:hyperlink w:anchor="_Toc436039720" w:history="1">
            <w:r w:rsidRPr="00D16916">
              <w:rPr>
                <w:rStyle w:val="Hyperlink"/>
              </w:rPr>
              <w:t>1.2</w:t>
            </w:r>
            <w:r>
              <w:rPr>
                <w:rFonts w:asciiTheme="minorHAnsi" w:eastAsiaTheme="minorEastAsia" w:hAnsiTheme="minorHAnsi"/>
                <w:b w:val="0"/>
                <w:color w:val="auto"/>
                <w:sz w:val="22"/>
                <w:lang w:eastAsia="en-AU"/>
              </w:rPr>
              <w:tab/>
            </w:r>
            <w:r w:rsidRPr="00D16916">
              <w:rPr>
                <w:rStyle w:val="Hyperlink"/>
              </w:rPr>
              <w:t>ActewAGL's proposal</w:t>
            </w:r>
            <w:r>
              <w:rPr>
                <w:webHidden/>
              </w:rPr>
              <w:tab/>
            </w:r>
            <w:r>
              <w:rPr>
                <w:webHidden/>
              </w:rPr>
              <w:fldChar w:fldCharType="begin"/>
            </w:r>
            <w:r>
              <w:rPr>
                <w:webHidden/>
              </w:rPr>
              <w:instrText xml:space="preserve"> PAGEREF _Toc436039720 \h </w:instrText>
            </w:r>
            <w:r>
              <w:rPr>
                <w:webHidden/>
              </w:rPr>
            </w:r>
            <w:r>
              <w:rPr>
                <w:webHidden/>
              </w:rPr>
              <w:fldChar w:fldCharType="separate"/>
            </w:r>
            <w:r>
              <w:rPr>
                <w:webHidden/>
              </w:rPr>
              <w:t>1-6</w:t>
            </w:r>
            <w:r>
              <w:rPr>
                <w:webHidden/>
              </w:rPr>
              <w:fldChar w:fldCharType="end"/>
            </w:r>
          </w:hyperlink>
        </w:p>
        <w:p w:rsidR="007E2CE9" w:rsidRDefault="007E2CE9">
          <w:pPr>
            <w:pStyle w:val="TOC2"/>
            <w:rPr>
              <w:rFonts w:asciiTheme="minorHAnsi" w:eastAsiaTheme="minorEastAsia" w:hAnsiTheme="minorHAnsi"/>
              <w:b w:val="0"/>
              <w:color w:val="auto"/>
              <w:sz w:val="22"/>
              <w:lang w:eastAsia="en-AU"/>
            </w:rPr>
          </w:pPr>
          <w:hyperlink w:anchor="_Toc436039721" w:history="1">
            <w:r w:rsidRPr="00D16916">
              <w:rPr>
                <w:rStyle w:val="Hyperlink"/>
              </w:rPr>
              <w:t>1.3</w:t>
            </w:r>
            <w:r>
              <w:rPr>
                <w:rFonts w:asciiTheme="minorHAnsi" w:eastAsiaTheme="minorEastAsia" w:hAnsiTheme="minorHAnsi"/>
                <w:b w:val="0"/>
                <w:color w:val="auto"/>
                <w:sz w:val="22"/>
                <w:lang w:eastAsia="en-AU"/>
              </w:rPr>
              <w:tab/>
            </w:r>
            <w:r w:rsidRPr="00D16916">
              <w:rPr>
                <w:rStyle w:val="Hyperlink"/>
              </w:rPr>
              <w:t>AER’s assessment approach</w:t>
            </w:r>
            <w:r>
              <w:rPr>
                <w:webHidden/>
              </w:rPr>
              <w:tab/>
            </w:r>
            <w:r>
              <w:rPr>
                <w:webHidden/>
              </w:rPr>
              <w:fldChar w:fldCharType="begin"/>
            </w:r>
            <w:r>
              <w:rPr>
                <w:webHidden/>
              </w:rPr>
              <w:instrText xml:space="preserve"> PAGEREF _Toc436039721 \h </w:instrText>
            </w:r>
            <w:r>
              <w:rPr>
                <w:webHidden/>
              </w:rPr>
            </w:r>
            <w:r>
              <w:rPr>
                <w:webHidden/>
              </w:rPr>
              <w:fldChar w:fldCharType="separate"/>
            </w:r>
            <w:r>
              <w:rPr>
                <w:webHidden/>
              </w:rPr>
              <w:t>1-7</w:t>
            </w:r>
            <w:r>
              <w:rPr>
                <w:webHidden/>
              </w:rPr>
              <w:fldChar w:fldCharType="end"/>
            </w:r>
          </w:hyperlink>
        </w:p>
        <w:p w:rsidR="007E2CE9" w:rsidRDefault="007E2CE9">
          <w:pPr>
            <w:pStyle w:val="TOC2"/>
            <w:rPr>
              <w:rFonts w:asciiTheme="minorHAnsi" w:eastAsiaTheme="minorEastAsia" w:hAnsiTheme="minorHAnsi"/>
              <w:b w:val="0"/>
              <w:color w:val="auto"/>
              <w:sz w:val="22"/>
              <w:lang w:eastAsia="en-AU"/>
            </w:rPr>
          </w:pPr>
          <w:hyperlink w:anchor="_Toc436039722" w:history="1">
            <w:r w:rsidRPr="00D16916">
              <w:rPr>
                <w:rStyle w:val="Hyperlink"/>
              </w:rPr>
              <w:t>1.4</w:t>
            </w:r>
            <w:r>
              <w:rPr>
                <w:rFonts w:asciiTheme="minorHAnsi" w:eastAsiaTheme="minorEastAsia" w:hAnsiTheme="minorHAnsi"/>
                <w:b w:val="0"/>
                <w:color w:val="auto"/>
                <w:sz w:val="22"/>
                <w:lang w:eastAsia="en-AU"/>
              </w:rPr>
              <w:tab/>
            </w:r>
            <w:r w:rsidRPr="00D16916">
              <w:rPr>
                <w:rStyle w:val="Hyperlink"/>
              </w:rPr>
              <w:t>Reasons for draft decision</w:t>
            </w:r>
            <w:r>
              <w:rPr>
                <w:webHidden/>
              </w:rPr>
              <w:tab/>
            </w:r>
            <w:r>
              <w:rPr>
                <w:webHidden/>
              </w:rPr>
              <w:fldChar w:fldCharType="begin"/>
            </w:r>
            <w:r>
              <w:rPr>
                <w:webHidden/>
              </w:rPr>
              <w:instrText xml:space="preserve"> PAGEREF _Toc436039722 \h </w:instrText>
            </w:r>
            <w:r>
              <w:rPr>
                <w:webHidden/>
              </w:rPr>
            </w:r>
            <w:r>
              <w:rPr>
                <w:webHidden/>
              </w:rPr>
              <w:fldChar w:fldCharType="separate"/>
            </w:r>
            <w:r>
              <w:rPr>
                <w:webHidden/>
              </w:rPr>
              <w:t>1-8</w:t>
            </w:r>
            <w:r>
              <w:rPr>
                <w:webHidden/>
              </w:rPr>
              <w:fldChar w:fldCharType="end"/>
            </w:r>
          </w:hyperlink>
        </w:p>
        <w:p w:rsidR="007E2CE9" w:rsidRDefault="007E2CE9">
          <w:pPr>
            <w:pStyle w:val="TOC3"/>
            <w:rPr>
              <w:rFonts w:asciiTheme="minorHAnsi" w:eastAsiaTheme="minorEastAsia" w:hAnsiTheme="minorHAnsi"/>
              <w:lang w:eastAsia="en-AU"/>
            </w:rPr>
          </w:pPr>
          <w:hyperlink w:anchor="_Toc436039723" w:history="1">
            <w:r w:rsidRPr="00D16916">
              <w:rPr>
                <w:rStyle w:val="Hyperlink"/>
              </w:rPr>
              <w:t>1.4.1</w:t>
            </w:r>
            <w:r>
              <w:rPr>
                <w:rFonts w:asciiTheme="minorHAnsi" w:eastAsiaTheme="minorEastAsia" w:hAnsiTheme="minorHAnsi"/>
                <w:lang w:eastAsia="en-AU"/>
              </w:rPr>
              <w:tab/>
            </w:r>
            <w:r w:rsidRPr="00D16916">
              <w:rPr>
                <w:rStyle w:val="Hyperlink"/>
              </w:rPr>
              <w:t>Reference services</w:t>
            </w:r>
            <w:r>
              <w:rPr>
                <w:webHidden/>
              </w:rPr>
              <w:tab/>
            </w:r>
            <w:r>
              <w:rPr>
                <w:webHidden/>
              </w:rPr>
              <w:fldChar w:fldCharType="begin"/>
            </w:r>
            <w:r>
              <w:rPr>
                <w:webHidden/>
              </w:rPr>
              <w:instrText xml:space="preserve"> PAGEREF _Toc436039723 \h </w:instrText>
            </w:r>
            <w:r>
              <w:rPr>
                <w:webHidden/>
              </w:rPr>
            </w:r>
            <w:r>
              <w:rPr>
                <w:webHidden/>
              </w:rPr>
              <w:fldChar w:fldCharType="separate"/>
            </w:r>
            <w:r>
              <w:rPr>
                <w:webHidden/>
              </w:rPr>
              <w:t>1-8</w:t>
            </w:r>
            <w:r>
              <w:rPr>
                <w:webHidden/>
              </w:rPr>
              <w:fldChar w:fldCharType="end"/>
            </w:r>
          </w:hyperlink>
        </w:p>
        <w:p w:rsidR="007E2CE9" w:rsidRDefault="007E2CE9">
          <w:pPr>
            <w:pStyle w:val="TOC3"/>
            <w:rPr>
              <w:rFonts w:asciiTheme="minorHAnsi" w:eastAsiaTheme="minorEastAsia" w:hAnsiTheme="minorHAnsi"/>
              <w:lang w:eastAsia="en-AU"/>
            </w:rPr>
          </w:pPr>
          <w:hyperlink w:anchor="_Toc436039724" w:history="1">
            <w:r w:rsidRPr="00D16916">
              <w:rPr>
                <w:rStyle w:val="Hyperlink"/>
              </w:rPr>
              <w:t>1.4.2</w:t>
            </w:r>
            <w:r>
              <w:rPr>
                <w:rFonts w:asciiTheme="minorHAnsi" w:eastAsiaTheme="minorEastAsia" w:hAnsiTheme="minorHAnsi"/>
                <w:lang w:eastAsia="en-AU"/>
              </w:rPr>
              <w:tab/>
            </w:r>
            <w:r w:rsidRPr="00D16916">
              <w:rPr>
                <w:rStyle w:val="Hyperlink"/>
              </w:rPr>
              <w:t>Non–reference services</w:t>
            </w:r>
            <w:r>
              <w:rPr>
                <w:webHidden/>
              </w:rPr>
              <w:tab/>
            </w:r>
            <w:r>
              <w:rPr>
                <w:webHidden/>
              </w:rPr>
              <w:fldChar w:fldCharType="begin"/>
            </w:r>
            <w:r>
              <w:rPr>
                <w:webHidden/>
              </w:rPr>
              <w:instrText xml:space="preserve"> PAGEREF _Toc436039724 \h </w:instrText>
            </w:r>
            <w:r>
              <w:rPr>
                <w:webHidden/>
              </w:rPr>
            </w:r>
            <w:r>
              <w:rPr>
                <w:webHidden/>
              </w:rPr>
              <w:fldChar w:fldCharType="separate"/>
            </w:r>
            <w:r>
              <w:rPr>
                <w:webHidden/>
              </w:rPr>
              <w:t>1-10</w:t>
            </w:r>
            <w:r>
              <w:rPr>
                <w:webHidden/>
              </w:rPr>
              <w:fldChar w:fldCharType="end"/>
            </w:r>
          </w:hyperlink>
        </w:p>
        <w:p w:rsidR="00DE563D" w:rsidRDefault="00091B15" w:rsidP="00091B15">
          <w:pPr>
            <w:pStyle w:val="TOC1"/>
          </w:pPr>
          <w:r>
            <w:rPr>
              <w:color w:val="auto"/>
              <w:sz w:val="22"/>
            </w:rPr>
            <w:fldChar w:fldCharType="end"/>
          </w:r>
        </w:p>
      </w:sdtContent>
    </w:sdt>
    <w:p w:rsidR="00DE563D" w:rsidRDefault="00DE563D">
      <w:pPr>
        <w:spacing w:line="240" w:lineRule="auto"/>
      </w:pPr>
    </w:p>
    <w:p w:rsidR="00301F7B" w:rsidRDefault="00DE563D" w:rsidP="00DE772C">
      <w:pPr>
        <w:pStyle w:val="UnnumberedHeading"/>
        <w:numPr>
          <w:ilvl w:val="0"/>
          <w:numId w:val="23"/>
        </w:numPr>
      </w:pPr>
      <w:bookmarkStart w:id="8" w:name="_Toc404700925"/>
      <w:bookmarkStart w:id="9" w:name="_Toc436039717"/>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E655DA"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Shortened form</w:t>
            </w:r>
          </w:p>
        </w:tc>
        <w:tc>
          <w:tcPr>
            <w:tcW w:w="5041" w:type="dxa"/>
          </w:tcPr>
          <w:p w:rsidR="00E655DA" w:rsidRDefault="00E655DA" w:rsidP="00E655DA">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AA</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Access Arrangement</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AAI</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AER</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ASA</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Asset Services Agreement</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ATO</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Australian Tax Office</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capex</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CAPM</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CCP</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CESS</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CMF</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construction management fee</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CPI</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DAMS</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DRP</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EBSS</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EIL</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 xml:space="preserve">Energy Industry </w:t>
            </w:r>
            <w:r w:rsidRPr="00E655DA">
              <w:t>Levy</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ERP</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Expenditure Guideline</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gamma</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Value of Imputation Credits</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GSL</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Guaranteed Service Level</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GTA</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ICRC</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MRP</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NECF</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NERL</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National Energy Retail Law</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NERR</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NGL</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NGO</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NGR</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NPV</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net present value</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opex</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lastRenderedPageBreak/>
              <w:t>PFP</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partial factor productivity</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PPI</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PTRM</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RBA</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RFM</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RIN</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RoLR</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retailer of last resort</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RSA</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 xml:space="preserve">Reference Service </w:t>
            </w:r>
            <w:r w:rsidRPr="00E655DA">
              <w:t>Agreement</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RPP</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SLCAPM</w:t>
            </w:r>
          </w:p>
        </w:tc>
        <w:tc>
          <w:tcPr>
            <w:tcW w:w="5041" w:type="dxa"/>
          </w:tcPr>
          <w:p w:rsidR="00E655DA" w:rsidRDefault="00E655DA" w:rsidP="00E655DA">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STTM</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Short Term Trading Market</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TAB</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Tax asset base</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UAFG</w:t>
            </w:r>
          </w:p>
        </w:tc>
        <w:tc>
          <w:tcPr>
            <w:tcW w:w="5041" w:type="dxa"/>
          </w:tcPr>
          <w:p w:rsidR="00E655DA" w:rsidRPr="00E655DA" w:rsidRDefault="00E655DA" w:rsidP="00E655DA">
            <w:pPr>
              <w:cnfStyle w:val="000000000000" w:firstRow="0" w:lastRow="0" w:firstColumn="0" w:lastColumn="0" w:oddVBand="0" w:evenVBand="0" w:oddHBand="0" w:evenHBand="0" w:firstRowFirstColumn="0" w:firstRowLastColumn="0" w:lastRowFirstColumn="0" w:lastRowLastColumn="0"/>
            </w:pPr>
            <w:r>
              <w:t>Unaccounted for gas</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UNFT</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 xml:space="preserve">Utilities Network </w:t>
            </w:r>
            <w:r w:rsidRPr="00E655DA">
              <w:t>Facilities Tax</w:t>
            </w:r>
          </w:p>
        </w:tc>
      </w:tr>
      <w:tr w:rsidR="00E655DA" w:rsidTr="000C0557">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WACC</w:t>
            </w:r>
          </w:p>
        </w:tc>
        <w:tc>
          <w:tcPr>
            <w:tcW w:w="5041" w:type="dxa"/>
          </w:tcPr>
          <w:p w:rsidR="00E655DA" w:rsidRDefault="00E655DA" w:rsidP="00E655DA">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E655DA"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655DA" w:rsidRDefault="00E655DA" w:rsidP="00E655DA">
            <w:pPr>
              <w:numPr>
                <w:ilvl w:val="0"/>
                <w:numId w:val="24"/>
              </w:numPr>
            </w:pPr>
            <w:r>
              <w:t>WPI</w:t>
            </w:r>
          </w:p>
        </w:tc>
        <w:tc>
          <w:tcPr>
            <w:tcW w:w="5041" w:type="dxa"/>
          </w:tcPr>
          <w:p w:rsidR="00E655DA" w:rsidRPr="00E655DA" w:rsidRDefault="00E655DA" w:rsidP="00E655DA">
            <w:pPr>
              <w:cnfStyle w:val="000000010000" w:firstRow="0" w:lastRow="0" w:firstColumn="0" w:lastColumn="0" w:oddVBand="0" w:evenVBand="0" w:oddHBand="0" w:evenHBand="1" w:firstRowFirstColumn="0" w:firstRowLastColumn="0" w:lastRowFirstColumn="0" w:lastRowLastColumn="0"/>
            </w:pPr>
            <w:r>
              <w:t>Wage Price Index</w:t>
            </w:r>
          </w:p>
        </w:tc>
      </w:tr>
    </w:tbl>
    <w:p w:rsidR="00A95108" w:rsidRDefault="00A95108" w:rsidP="00A95108"/>
    <w:p w:rsidR="00DE563D" w:rsidRDefault="00BD60F9" w:rsidP="00BD60F9">
      <w:pPr>
        <w:pStyle w:val="Heading1"/>
      </w:pPr>
      <w:bookmarkStart w:id="10" w:name="_Toc436039718"/>
      <w:r>
        <w:lastRenderedPageBreak/>
        <w:t>Services covered by the access arrangement</w:t>
      </w:r>
      <w:bookmarkEnd w:id="10"/>
    </w:p>
    <w:p w:rsidR="00E23AB2" w:rsidRDefault="00E23AB2" w:rsidP="00E23AB2">
      <w:r>
        <w:t>The NGR requires the access arrangement to identify:</w:t>
      </w:r>
    </w:p>
    <w:p w:rsidR="00E23AB2" w:rsidRDefault="00E23AB2" w:rsidP="00E23AB2">
      <w:pPr>
        <w:pStyle w:val="AERbulletlistfirststyle"/>
      </w:pPr>
      <w:r>
        <w:t>the pipeline which the access arrangement relates to, and</w:t>
      </w:r>
    </w:p>
    <w:p w:rsidR="00E23AB2" w:rsidRPr="00E23AB2" w:rsidRDefault="00E23AB2" w:rsidP="00E23AB2">
      <w:pPr>
        <w:pStyle w:val="AERbulletlistfirststyle"/>
      </w:pPr>
      <w:r>
        <w:t>the services which ActewAGL proposes to offer to provide by means of that pipeline.</w:t>
      </w:r>
      <w:r>
        <w:rPr>
          <w:rStyle w:val="FootnoteReference"/>
        </w:rPr>
        <w:footnoteReference w:id="1"/>
      </w:r>
    </w:p>
    <w:p w:rsidR="009A5113" w:rsidRDefault="007C0137" w:rsidP="009A5113">
      <w:pPr>
        <w:pStyle w:val="Heading2"/>
      </w:pPr>
      <w:bookmarkStart w:id="11" w:name="_Toc408404320"/>
      <w:bookmarkStart w:id="12" w:name="_Toc436039719"/>
      <w:r>
        <w:t>Draft</w:t>
      </w:r>
      <w:r w:rsidR="009A5113" w:rsidRPr="0074565D">
        <w:t xml:space="preserve"> decision</w:t>
      </w:r>
      <w:bookmarkEnd w:id="11"/>
      <w:bookmarkEnd w:id="12"/>
    </w:p>
    <w:p w:rsidR="00AF5F5D" w:rsidRDefault="00E23AB2" w:rsidP="00E23AB2">
      <w:r w:rsidRPr="00E23AB2">
        <w:t xml:space="preserve">We accept </w:t>
      </w:r>
      <w:r>
        <w:t>ActewAGL’s</w:t>
      </w:r>
      <w:r w:rsidRPr="00E23AB2">
        <w:t xml:space="preserve"> proposal as it is compliant with the NGR.</w:t>
      </w:r>
      <w:r>
        <w:rPr>
          <w:rStyle w:val="FootnoteReference"/>
        </w:rPr>
        <w:footnoteReference w:id="2"/>
      </w:r>
      <w:r w:rsidR="00FF504E">
        <w:t xml:space="preserve"> However, we </w:t>
      </w:r>
      <w:r w:rsidR="00DF31ED">
        <w:t xml:space="preserve">note ActewAGL’s proposal has included the ancillary reference services in the singular haulage reference service. </w:t>
      </w:r>
      <w:r w:rsidR="00945754">
        <w:t>O</w:t>
      </w:r>
      <w:r w:rsidR="00DF31ED">
        <w:t xml:space="preserve">ur draft decision </w:t>
      </w:r>
      <w:r w:rsidR="00DF31ED" w:rsidRPr="00DF31ED">
        <w:t>has not separated the ancillary reference services from the singular haulage reference service</w:t>
      </w:r>
      <w:r w:rsidR="000E110E">
        <w:t>. Nevertheless</w:t>
      </w:r>
      <w:r w:rsidR="00DF31ED" w:rsidRPr="00DF31ED">
        <w:t xml:space="preserve"> we may review our draft decision </w:t>
      </w:r>
      <w:r w:rsidR="000E110E">
        <w:t xml:space="preserve">after seeking stakeholder feedback and further information from </w:t>
      </w:r>
      <w:r w:rsidR="001E165F">
        <w:t>ActewAGL,</w:t>
      </w:r>
      <w:r w:rsidR="001E165F" w:rsidRPr="00DF31ED">
        <w:t xml:space="preserve"> when</w:t>
      </w:r>
      <w:r w:rsidR="00DF31ED" w:rsidRPr="00DF31ED">
        <w:t xml:space="preserve"> making the final determination. </w:t>
      </w:r>
    </w:p>
    <w:p w:rsidR="00945754" w:rsidRDefault="00945754" w:rsidP="00E23AB2">
      <w:r>
        <w:t>Our reasons for our draft decision are set out below.</w:t>
      </w:r>
    </w:p>
    <w:p w:rsidR="009A5113" w:rsidRDefault="005B140A" w:rsidP="009A5113">
      <w:pPr>
        <w:pStyle w:val="Heading2"/>
      </w:pPr>
      <w:bookmarkStart w:id="13" w:name="_Toc436039720"/>
      <w:r>
        <w:t>ActewAGL</w:t>
      </w:r>
      <w:r w:rsidR="005C0A7F">
        <w:t>'s proposal</w:t>
      </w:r>
      <w:bookmarkEnd w:id="13"/>
    </w:p>
    <w:p w:rsidR="00E23AB2" w:rsidRDefault="007E2172" w:rsidP="00E23AB2">
      <w:r>
        <w:t>ActewAGL propose</w:t>
      </w:r>
      <w:r w:rsidR="00593155">
        <w:t>s</w:t>
      </w:r>
      <w:r>
        <w:t xml:space="preserve"> to offer the following services on its network over the 2016–21 access arrangement period:</w:t>
      </w:r>
    </w:p>
    <w:p w:rsidR="007E2172" w:rsidRDefault="00912932" w:rsidP="003474D6">
      <w:pPr>
        <w:pStyle w:val="AERbulletlistfirststyle"/>
      </w:pPr>
      <w:r>
        <w:t>one reference service</w:t>
      </w:r>
      <w:r w:rsidR="003474D6">
        <w:t xml:space="preserve"> (</w:t>
      </w:r>
      <w:r w:rsidR="003474D6" w:rsidRPr="003474D6">
        <w:t>a pipeline service that is likely to be sought by a significant part of the market</w:t>
      </w:r>
      <w:r w:rsidR="003474D6">
        <w:t>)</w:t>
      </w:r>
      <w:r>
        <w:t>—</w:t>
      </w:r>
      <w:r w:rsidR="00C05D89">
        <w:t xml:space="preserve">being </w:t>
      </w:r>
      <w:r>
        <w:t>the haulage reference service, and</w:t>
      </w:r>
    </w:p>
    <w:p w:rsidR="00912932" w:rsidRDefault="00912932" w:rsidP="00912932">
      <w:pPr>
        <w:pStyle w:val="AERbulletlistfirststyle"/>
      </w:pPr>
      <w:r>
        <w:t>two non–reference services</w:t>
      </w:r>
      <w:r w:rsidR="003474D6">
        <w:t xml:space="preserve"> (a pipeline service that is not likely to be sought by a significant part of the market)</w:t>
      </w:r>
      <w:r>
        <w:t>:</w:t>
      </w:r>
    </w:p>
    <w:p w:rsidR="00912932" w:rsidRDefault="00912932" w:rsidP="00912932">
      <w:pPr>
        <w:pStyle w:val="AERbulletlistsecondstyle"/>
      </w:pPr>
      <w:r>
        <w:t>the interconnection of embedded network service, and</w:t>
      </w:r>
    </w:p>
    <w:p w:rsidR="00912932" w:rsidRDefault="00912932" w:rsidP="00912932">
      <w:pPr>
        <w:pStyle w:val="AERbulletlistsecondstyle"/>
      </w:pPr>
      <w:r>
        <w:t>negotiated services.</w:t>
      </w:r>
      <w:r w:rsidR="00B7372B">
        <w:rPr>
          <w:rStyle w:val="FootnoteReference"/>
        </w:rPr>
        <w:footnoteReference w:id="3"/>
      </w:r>
    </w:p>
    <w:p w:rsidR="00912932" w:rsidRDefault="00912932" w:rsidP="00912932">
      <w:r>
        <w:t>ActewAGL’s proposed haulage reference service includes:</w:t>
      </w:r>
    </w:p>
    <w:p w:rsidR="00912932" w:rsidRDefault="00912932" w:rsidP="00912932">
      <w:pPr>
        <w:pStyle w:val="AERbulletlistfirststyle"/>
      </w:pPr>
      <w:r>
        <w:t>receiving gas injected</w:t>
      </w:r>
      <w:r w:rsidR="003474D6">
        <w:t xml:space="preserve"> into the pipeline</w:t>
      </w:r>
      <w:r>
        <w:t xml:space="preserve"> </w:t>
      </w:r>
      <w:r w:rsidR="00B7372B">
        <w:t>from a different gas pipeline or other gas facility (the point of injection is referred to as the receipt point)</w:t>
      </w:r>
    </w:p>
    <w:p w:rsidR="00B7372B" w:rsidRDefault="00B7372B" w:rsidP="00912932">
      <w:pPr>
        <w:pStyle w:val="AERbulletlistfirststyle"/>
      </w:pPr>
      <w:r>
        <w:t>transportation of gas</w:t>
      </w:r>
      <w:r w:rsidR="003474D6">
        <w:t xml:space="preserve"> on the pipeline</w:t>
      </w:r>
      <w:r>
        <w:t xml:space="preserve"> from a receipt point to </w:t>
      </w:r>
      <w:r w:rsidR="00813BDF">
        <w:t>a delivery</w:t>
      </w:r>
      <w:r>
        <w:t xml:space="preserve"> point</w:t>
      </w:r>
    </w:p>
    <w:p w:rsidR="00B7372B" w:rsidRDefault="00B7372B" w:rsidP="00912932">
      <w:pPr>
        <w:pStyle w:val="AERbulletlistfirststyle"/>
      </w:pPr>
      <w:r>
        <w:t xml:space="preserve">allowing the withdrawal of gas </w:t>
      </w:r>
      <w:r w:rsidR="00C05D89">
        <w:t>from</w:t>
      </w:r>
      <w:r w:rsidR="003474D6">
        <w:t xml:space="preserve"> the pipeline at</w:t>
      </w:r>
      <w:r w:rsidR="00C05D89">
        <w:t xml:space="preserve"> </w:t>
      </w:r>
      <w:r>
        <w:t>a delivery point</w:t>
      </w:r>
    </w:p>
    <w:p w:rsidR="00B7372B" w:rsidRDefault="00B7372B" w:rsidP="00912932">
      <w:pPr>
        <w:pStyle w:val="AERbulletlistfirststyle"/>
      </w:pPr>
      <w:r>
        <w:t>meter reading and associated data services, and the provision and maintenance of a standard metering installation, and</w:t>
      </w:r>
    </w:p>
    <w:p w:rsidR="00B7372B" w:rsidRDefault="00B7372B" w:rsidP="00912932">
      <w:pPr>
        <w:pStyle w:val="AERbulletlistfirststyle"/>
      </w:pPr>
      <w:r>
        <w:lastRenderedPageBreak/>
        <w:t>other</w:t>
      </w:r>
      <w:r w:rsidR="00A774F7">
        <w:t xml:space="preserve"> specific</w:t>
      </w:r>
      <w:r>
        <w:t xml:space="preserve"> network user requested activities</w:t>
      </w:r>
      <w:r w:rsidR="00A774F7">
        <w:t xml:space="preserve"> (ancillary reference services)</w:t>
      </w:r>
      <w:r>
        <w:t>, being:</w:t>
      </w:r>
    </w:p>
    <w:p w:rsidR="00B7372B" w:rsidRDefault="00B7372B" w:rsidP="00B7372B">
      <w:pPr>
        <w:pStyle w:val="AERbulletlistsecondstyle"/>
      </w:pPr>
      <w:r>
        <w:t>special meter reads</w:t>
      </w:r>
    </w:p>
    <w:p w:rsidR="00B7372B" w:rsidRDefault="00B7372B" w:rsidP="00B7372B">
      <w:pPr>
        <w:pStyle w:val="AERbulletlistsecondstyle"/>
      </w:pPr>
      <w:r>
        <w:t>disconnections</w:t>
      </w:r>
    </w:p>
    <w:p w:rsidR="00B7372B" w:rsidRDefault="00B7372B" w:rsidP="00B7372B">
      <w:pPr>
        <w:pStyle w:val="AERbulletlistsecondstyle"/>
      </w:pPr>
      <w:r>
        <w:t>reconnections</w:t>
      </w:r>
    </w:p>
    <w:p w:rsidR="00B7372B" w:rsidRDefault="00B7372B" w:rsidP="00B7372B">
      <w:pPr>
        <w:pStyle w:val="AERbulletlistsecondstyle"/>
      </w:pPr>
      <w:r>
        <w:t>decommissioning and meter removals</w:t>
      </w:r>
    </w:p>
    <w:p w:rsidR="00B7372B" w:rsidRDefault="00B7372B" w:rsidP="00B7372B">
      <w:pPr>
        <w:pStyle w:val="AERbulletlistsecondstyle"/>
      </w:pPr>
      <w:r>
        <w:t>request for service.</w:t>
      </w:r>
    </w:p>
    <w:p w:rsidR="00665555" w:rsidRDefault="00665555" w:rsidP="00665555">
      <w:r>
        <w:t xml:space="preserve">Of these </w:t>
      </w:r>
      <w:r w:rsidR="00C05D89">
        <w:t>user requested ancillary</w:t>
      </w:r>
      <w:r w:rsidR="00A774F7">
        <w:t xml:space="preserve"> reference</w:t>
      </w:r>
      <w:r w:rsidR="00C05D89">
        <w:t xml:space="preserve"> </w:t>
      </w:r>
      <w:r>
        <w:t>services</w:t>
      </w:r>
      <w:r w:rsidR="00C05D89">
        <w:t>,</w:t>
      </w:r>
      <w:r>
        <w:t xml:space="preserve"> only </w:t>
      </w:r>
      <w:r w:rsidR="00C05D89">
        <w:t xml:space="preserve">decommissioning and meter removals is a </w:t>
      </w:r>
      <w:r>
        <w:t>new service for the 2016–21 access arrangement period.</w:t>
      </w:r>
      <w:r>
        <w:rPr>
          <w:rStyle w:val="FootnoteReference"/>
        </w:rPr>
        <w:footnoteReference w:id="4"/>
      </w:r>
      <w:r>
        <w:t xml:space="preserve"> </w:t>
      </w:r>
      <w:r w:rsidR="00C05D89">
        <w:t xml:space="preserve">The activity associated with undertaking this service includes </w:t>
      </w:r>
      <w:r>
        <w:t>two components:</w:t>
      </w:r>
    </w:p>
    <w:p w:rsidR="00665555" w:rsidRDefault="00665555" w:rsidP="00665555">
      <w:pPr>
        <w:pStyle w:val="AERbulletlistfirststyle"/>
      </w:pPr>
      <w:r>
        <w:t>temporarily stop the flow of gas at a delivery point, and</w:t>
      </w:r>
    </w:p>
    <w:p w:rsidR="00665555" w:rsidRPr="00665555" w:rsidRDefault="00665555" w:rsidP="00665555">
      <w:pPr>
        <w:pStyle w:val="AERbulletlistfirststyle"/>
      </w:pPr>
      <w:r>
        <w:t>permanently remove gas equipment which will allow the withdrawal of gas at a delivery point.</w:t>
      </w:r>
    </w:p>
    <w:p w:rsidR="009A5113" w:rsidRDefault="009A5113" w:rsidP="009A5113">
      <w:pPr>
        <w:pStyle w:val="Heading2"/>
      </w:pPr>
      <w:bookmarkStart w:id="14" w:name="_Toc408404322"/>
      <w:bookmarkStart w:id="15" w:name="_Toc436039721"/>
      <w:r w:rsidRPr="0074565D">
        <w:t>AER’s assessment approach</w:t>
      </w:r>
      <w:bookmarkEnd w:id="14"/>
      <w:bookmarkEnd w:id="15"/>
    </w:p>
    <w:p w:rsidR="00E23AB2" w:rsidRDefault="00E23AB2" w:rsidP="00E23AB2">
      <w:r>
        <w:t>ActewAGL is required</w:t>
      </w:r>
      <w:r w:rsidR="00032C40">
        <w:t xml:space="preserve"> by the NGR</w:t>
      </w:r>
      <w:r>
        <w:t xml:space="preserve"> to specify all reference services in its access arrangement proposal.</w:t>
      </w:r>
      <w:r w:rsidR="003474D6">
        <w:rPr>
          <w:rStyle w:val="FootnoteReference"/>
        </w:rPr>
        <w:footnoteReference w:id="5"/>
      </w:r>
      <w:r>
        <w:t xml:space="preserve"> A reference service is a pipeline service that is likely to be sought by </w:t>
      </w:r>
      <w:r w:rsidR="00C05D89">
        <w:t xml:space="preserve">a </w:t>
      </w:r>
      <w:r>
        <w:t>significant part of the market. A pipeline service is a:</w:t>
      </w:r>
    </w:p>
    <w:p w:rsidR="00E23AB2" w:rsidRDefault="00E23AB2" w:rsidP="00E23AB2">
      <w:pPr>
        <w:pStyle w:val="AERbulletlistfirststyle"/>
      </w:pPr>
      <w:r>
        <w:t>service provided by means of a pipeline, including a:</w:t>
      </w:r>
    </w:p>
    <w:p w:rsidR="00E23AB2" w:rsidRDefault="00E23AB2" w:rsidP="00E23AB2">
      <w:pPr>
        <w:pStyle w:val="AERbulletlistsecondstyle"/>
      </w:pPr>
      <w:r>
        <w:t>haulage service</w:t>
      </w:r>
    </w:p>
    <w:p w:rsidR="00E23AB2" w:rsidRDefault="00E23AB2" w:rsidP="00E23AB2">
      <w:pPr>
        <w:pStyle w:val="AERbulletlistsecondstyle"/>
      </w:pPr>
      <w:r>
        <w:t>service facilitating the interconnection of pipelines</w:t>
      </w:r>
    </w:p>
    <w:p w:rsidR="00E23AB2" w:rsidRDefault="00E23AB2" w:rsidP="00E23AB2">
      <w:pPr>
        <w:pStyle w:val="AERbulletlistfirststyle"/>
      </w:pPr>
      <w:r>
        <w:t xml:space="preserve">service ancillary to </w:t>
      </w:r>
      <w:r w:rsidR="00C05D89">
        <w:t xml:space="preserve">either of the above listed </w:t>
      </w:r>
      <w:r>
        <w:t>services.</w:t>
      </w:r>
    </w:p>
    <w:p w:rsidR="00E23AB2" w:rsidRDefault="00032C40" w:rsidP="00E23AB2">
      <w:r>
        <w:t>ActewAGL’s proposed</w:t>
      </w:r>
      <w:r w:rsidR="00E23AB2">
        <w:t xml:space="preserve"> reference service </w:t>
      </w:r>
      <w:r>
        <w:t xml:space="preserve">is also required to </w:t>
      </w:r>
      <w:r w:rsidR="00E23AB2">
        <w:t>be consistent with the National Gas Objective.</w:t>
      </w:r>
      <w:r w:rsidR="00E23AB2">
        <w:rPr>
          <w:rStyle w:val="FootnoteReference"/>
        </w:rPr>
        <w:footnoteReference w:id="6"/>
      </w:r>
    </w:p>
    <w:p w:rsidR="00E23AB2" w:rsidRDefault="00E23AB2" w:rsidP="00E23AB2">
      <w:r>
        <w:t>Our approach to assessing these</w:t>
      </w:r>
      <w:r w:rsidR="00032C40">
        <w:t xml:space="preserve"> </w:t>
      </w:r>
      <w:r>
        <w:t>requirements is to identify:</w:t>
      </w:r>
    </w:p>
    <w:p w:rsidR="00E23AB2" w:rsidRDefault="00E23AB2" w:rsidP="00E23AB2">
      <w:pPr>
        <w:pStyle w:val="AERbulletlistfirststyle"/>
      </w:pPr>
      <w:r>
        <w:t xml:space="preserve">the covered pipeline under the </w:t>
      </w:r>
      <w:r w:rsidR="00032C40">
        <w:t>current</w:t>
      </w:r>
      <w:r>
        <w:t xml:space="preserve"> access arrangement</w:t>
      </w:r>
    </w:p>
    <w:p w:rsidR="00E23AB2" w:rsidRDefault="00E23AB2" w:rsidP="00E23AB2">
      <w:pPr>
        <w:pStyle w:val="AERbulletlistfirststyle"/>
      </w:pPr>
      <w:r>
        <w:t>any extensions or expansions that were completed during the earlier access arrangement and which are taken to be ‘covered’ under that access arrangement’s extension and expansion requirements.</w:t>
      </w:r>
    </w:p>
    <w:p w:rsidR="00E23AB2" w:rsidRPr="00E23AB2" w:rsidRDefault="00E23AB2" w:rsidP="00E23AB2">
      <w:r>
        <w:t>The next step is to review the service provider’s description of the pipeline services and reference services.</w:t>
      </w:r>
    </w:p>
    <w:p w:rsidR="009A5113" w:rsidRDefault="009A5113" w:rsidP="009A5113">
      <w:pPr>
        <w:pStyle w:val="Heading2"/>
      </w:pPr>
      <w:bookmarkStart w:id="16" w:name="_Toc408404324"/>
      <w:bookmarkStart w:id="17" w:name="_Toc436039722"/>
      <w:r w:rsidRPr="0074565D">
        <w:lastRenderedPageBreak/>
        <w:t xml:space="preserve">Reasons for </w:t>
      </w:r>
      <w:r w:rsidR="007C0137">
        <w:t>draft</w:t>
      </w:r>
      <w:r w:rsidR="00651CB2" w:rsidRPr="0074565D">
        <w:t xml:space="preserve"> </w:t>
      </w:r>
      <w:r w:rsidRPr="0074565D">
        <w:t>decision</w:t>
      </w:r>
      <w:bookmarkEnd w:id="16"/>
      <w:bookmarkEnd w:id="17"/>
    </w:p>
    <w:p w:rsidR="00032C40" w:rsidRDefault="00032C40" w:rsidP="00E23AB2">
      <w:r>
        <w:t xml:space="preserve">Our assessment considers </w:t>
      </w:r>
      <w:r w:rsidR="00E23AB2">
        <w:t>ActewAGL has</w:t>
      </w:r>
      <w:r w:rsidR="00AF5F5D">
        <w:t xml:space="preserve"> </w:t>
      </w:r>
      <w:r w:rsidR="00E23AB2">
        <w:t xml:space="preserve">complied with the NGR’s services requirements as outlined in </w:t>
      </w:r>
      <w:r w:rsidR="001B565E">
        <w:fldChar w:fldCharType="begin"/>
      </w:r>
      <w:r w:rsidR="001B565E">
        <w:instrText xml:space="preserve"> REF _Ref434486698 \h </w:instrText>
      </w:r>
      <w:r w:rsidR="001B565E">
        <w:fldChar w:fldCharType="separate"/>
      </w:r>
      <w:r w:rsidR="008B2E8A">
        <w:t xml:space="preserve">Table </w:t>
      </w:r>
      <w:r w:rsidR="008B2E8A">
        <w:rPr>
          <w:noProof/>
        </w:rPr>
        <w:t>1</w:t>
      </w:r>
      <w:r w:rsidR="008B2E8A">
        <w:t>.</w:t>
      </w:r>
      <w:r w:rsidR="008B2E8A">
        <w:rPr>
          <w:noProof/>
        </w:rPr>
        <w:t>1</w:t>
      </w:r>
      <w:r w:rsidR="001B565E">
        <w:fldChar w:fldCharType="end"/>
      </w:r>
      <w:r w:rsidR="00AF5F5D">
        <w:t xml:space="preserve"> and section </w:t>
      </w:r>
      <w:r w:rsidR="00AF5F5D">
        <w:fldChar w:fldCharType="begin"/>
      </w:r>
      <w:r w:rsidR="00AF5F5D">
        <w:instrText xml:space="preserve"> REF _Ref434486718 \r \h </w:instrText>
      </w:r>
      <w:r w:rsidR="00AF5F5D">
        <w:fldChar w:fldCharType="separate"/>
      </w:r>
      <w:r w:rsidR="008B2E8A">
        <w:t>1.4.1</w:t>
      </w:r>
      <w:r w:rsidR="00AF5F5D">
        <w:fldChar w:fldCharType="end"/>
      </w:r>
      <w:r w:rsidR="00AF5F5D">
        <w:t>.</w:t>
      </w:r>
      <w:r w:rsidR="000F2299" w:rsidDel="000F2299">
        <w:t xml:space="preserve"> </w:t>
      </w:r>
      <w:r>
        <w:t>We note ActewAGL’s proposed reference services for the 2016–21 access arrangement is generally consistent with thos</w:t>
      </w:r>
      <w:r w:rsidR="00BB6381">
        <w:t>e</w:t>
      </w:r>
      <w:r w:rsidR="00813BDF">
        <w:t xml:space="preserve"> reference services</w:t>
      </w:r>
      <w:r w:rsidR="00BB6381">
        <w:t xml:space="preserve"> we found compliant with NGR for</w:t>
      </w:r>
      <w:r>
        <w:t xml:space="preserve"> the current access arrangement.</w:t>
      </w:r>
    </w:p>
    <w:p w:rsidR="00E23AB2" w:rsidRDefault="00E23AB2" w:rsidP="00E23AB2">
      <w:pPr>
        <w:pStyle w:val="Caption"/>
      </w:pPr>
      <w:bookmarkStart w:id="18" w:name="_Ref434486698"/>
      <w:r>
        <w:t xml:space="preserve">Table </w:t>
      </w:r>
      <w:fldSimple w:instr=" STYLEREF 1 \s ">
        <w:r w:rsidR="008B2E8A">
          <w:rPr>
            <w:noProof/>
          </w:rPr>
          <w:t>1</w:t>
        </w:r>
      </w:fldSimple>
      <w:r>
        <w:t>.</w:t>
      </w:r>
      <w:fldSimple w:instr=" SEQ Table \* ARABIC \s 1 ">
        <w:r w:rsidR="008B2E8A">
          <w:rPr>
            <w:noProof/>
          </w:rPr>
          <w:t>1</w:t>
        </w:r>
      </w:fldSimple>
      <w:bookmarkEnd w:id="18"/>
      <w:r>
        <w:tab/>
        <w:t>Assessment of ActewAGL’s compliance with the NGR</w:t>
      </w:r>
    </w:p>
    <w:tbl>
      <w:tblPr>
        <w:tblStyle w:val="AERtable-text0"/>
        <w:tblW w:w="0" w:type="auto"/>
        <w:tblLook w:val="04A0" w:firstRow="1" w:lastRow="0" w:firstColumn="1" w:lastColumn="0" w:noHBand="0" w:noVBand="1"/>
      </w:tblPr>
      <w:tblGrid>
        <w:gridCol w:w="5211"/>
        <w:gridCol w:w="3482"/>
      </w:tblGrid>
      <w:tr w:rsidR="00E23AB2" w:rsidRPr="00E23AB2" w:rsidTr="00E23AB2">
        <w:trPr>
          <w:cnfStyle w:val="100000000000" w:firstRow="1" w:lastRow="0" w:firstColumn="0" w:lastColumn="0" w:oddVBand="0" w:evenVBand="0" w:oddHBand="0" w:evenHBand="0" w:firstRowFirstColumn="0" w:firstRowLastColumn="0" w:lastRowFirstColumn="0" w:lastRowLastColumn="0"/>
        </w:trPr>
        <w:tc>
          <w:tcPr>
            <w:tcW w:w="5211" w:type="dxa"/>
          </w:tcPr>
          <w:p w:rsidR="00E23AB2" w:rsidRPr="00E23AB2" w:rsidRDefault="00E23AB2" w:rsidP="00E23AB2">
            <w:r w:rsidRPr="00E23AB2">
              <w:t>NGR requ</w:t>
            </w:r>
            <w:r>
              <w:t>ire</w:t>
            </w:r>
            <w:r w:rsidRPr="00E23AB2">
              <w:t>ments</w:t>
            </w:r>
          </w:p>
        </w:tc>
        <w:tc>
          <w:tcPr>
            <w:tcW w:w="3482" w:type="dxa"/>
          </w:tcPr>
          <w:p w:rsidR="00E23AB2" w:rsidRPr="00E23AB2" w:rsidRDefault="00E23AB2" w:rsidP="00E23AB2">
            <w:r>
              <w:t>AER assessment</w:t>
            </w:r>
          </w:p>
        </w:tc>
      </w:tr>
      <w:tr w:rsidR="00E23AB2" w:rsidRPr="00E23AB2" w:rsidTr="00E23AB2">
        <w:tc>
          <w:tcPr>
            <w:tcW w:w="5211" w:type="dxa"/>
          </w:tcPr>
          <w:p w:rsidR="00E23AB2" w:rsidRDefault="00E23AB2" w:rsidP="00EA6418">
            <w:r>
              <w:t>A full access arrangement must:</w:t>
            </w:r>
          </w:p>
        </w:tc>
        <w:tc>
          <w:tcPr>
            <w:tcW w:w="3482" w:type="dxa"/>
          </w:tcPr>
          <w:p w:rsidR="00E23AB2" w:rsidRPr="00E23AB2" w:rsidRDefault="00E23AB2" w:rsidP="00E23AB2"/>
        </w:tc>
      </w:tr>
      <w:tr w:rsidR="00E23AB2" w:rsidRPr="00E23AB2" w:rsidTr="00E23AB2">
        <w:trPr>
          <w:cnfStyle w:val="000000010000" w:firstRow="0" w:lastRow="0" w:firstColumn="0" w:lastColumn="0" w:oddVBand="0" w:evenVBand="0" w:oddHBand="0" w:evenHBand="1" w:firstRowFirstColumn="0" w:firstRowLastColumn="0" w:lastRowFirstColumn="0" w:lastRowLastColumn="0"/>
        </w:trPr>
        <w:tc>
          <w:tcPr>
            <w:tcW w:w="5211" w:type="dxa"/>
          </w:tcPr>
          <w:p w:rsidR="00E23AB2" w:rsidRDefault="00E23AB2" w:rsidP="00EA6418">
            <w:r>
              <w:t xml:space="preserve">identify the pipeline to which the access arrangement relates and include a reference to a website at which a description of the pipeline can be inspected—NGR clause 48.1(a) </w:t>
            </w:r>
          </w:p>
        </w:tc>
        <w:tc>
          <w:tcPr>
            <w:tcW w:w="3482" w:type="dxa"/>
          </w:tcPr>
          <w:p w:rsidR="00E23AB2" w:rsidRPr="00E23AB2" w:rsidRDefault="005C6051" w:rsidP="00E23AB2">
            <w:r>
              <w:t xml:space="preserve">Compliant. Section 1 </w:t>
            </w:r>
            <w:r w:rsidR="009300C6">
              <w:t>of the ActewAGL access arrangement proposal.</w:t>
            </w:r>
          </w:p>
        </w:tc>
      </w:tr>
      <w:tr w:rsidR="00E23AB2" w:rsidRPr="00E23AB2" w:rsidTr="00E23AB2">
        <w:tc>
          <w:tcPr>
            <w:tcW w:w="5211" w:type="dxa"/>
          </w:tcPr>
          <w:p w:rsidR="00E23AB2" w:rsidRDefault="00E23AB2" w:rsidP="00EA6418">
            <w:r w:rsidRPr="00D83C34">
              <w:t>describe the pipeline services the service provider propose to offer to provide by means of the pipeline — NGR clause 48.1(b)</w:t>
            </w:r>
          </w:p>
        </w:tc>
        <w:tc>
          <w:tcPr>
            <w:tcW w:w="3482" w:type="dxa"/>
          </w:tcPr>
          <w:p w:rsidR="00E23AB2" w:rsidRPr="00E23AB2" w:rsidRDefault="00BB6381" w:rsidP="00E23AB2">
            <w:r>
              <w:t>Compliant. Section</w:t>
            </w:r>
            <w:r w:rsidR="009300C6">
              <w:t xml:space="preserve"> 2 of the ActewAGL access arrangement proposal.</w:t>
            </w:r>
          </w:p>
        </w:tc>
      </w:tr>
      <w:tr w:rsidR="00E23AB2" w:rsidRPr="00E23AB2" w:rsidTr="00E23AB2">
        <w:trPr>
          <w:cnfStyle w:val="000000010000" w:firstRow="0" w:lastRow="0" w:firstColumn="0" w:lastColumn="0" w:oddVBand="0" w:evenVBand="0" w:oddHBand="0" w:evenHBand="1" w:firstRowFirstColumn="0" w:firstRowLastColumn="0" w:lastRowFirstColumn="0" w:lastRowLastColumn="0"/>
        </w:trPr>
        <w:tc>
          <w:tcPr>
            <w:tcW w:w="5211" w:type="dxa"/>
          </w:tcPr>
          <w:p w:rsidR="00E23AB2" w:rsidRDefault="00E23AB2" w:rsidP="00EA6418">
            <w:r w:rsidRPr="00D83C34">
              <w:t>specify the reference services — NGR 48.1(c)</w:t>
            </w:r>
          </w:p>
        </w:tc>
        <w:tc>
          <w:tcPr>
            <w:tcW w:w="3482" w:type="dxa"/>
          </w:tcPr>
          <w:p w:rsidR="00E23AB2" w:rsidRPr="00E23AB2" w:rsidRDefault="00B44AA9" w:rsidP="00E23AB2">
            <w:r w:rsidRPr="00B44AA9">
              <w:t>Compliant. Section 2 of the ActewAGL access arrangement proposal.</w:t>
            </w:r>
          </w:p>
        </w:tc>
      </w:tr>
      <w:tr w:rsidR="00E23AB2" w:rsidRPr="00E23AB2" w:rsidTr="00E23AB2">
        <w:tc>
          <w:tcPr>
            <w:tcW w:w="5211" w:type="dxa"/>
          </w:tcPr>
          <w:p w:rsidR="00E23AB2" w:rsidRDefault="00E23AB2" w:rsidP="00EA6418">
            <w:r>
              <w:t>specify for each reference service:</w:t>
            </w:r>
          </w:p>
          <w:p w:rsidR="00E23AB2" w:rsidRDefault="00E23AB2" w:rsidP="00EA6418">
            <w:r>
              <w:t>(i) the reference tariff; and</w:t>
            </w:r>
          </w:p>
          <w:p w:rsidR="00E23AB2" w:rsidRDefault="00E23AB2" w:rsidP="00EA6418">
            <w:r>
              <w:t>(ii) the other terms and conditions on which the reference service will be provided</w:t>
            </w:r>
          </w:p>
          <w:p w:rsidR="00E23AB2" w:rsidRDefault="00E23AB2" w:rsidP="00EA6418">
            <w:r>
              <w:t>— NGR clause 48.1(d)</w:t>
            </w:r>
          </w:p>
        </w:tc>
        <w:tc>
          <w:tcPr>
            <w:tcW w:w="3482" w:type="dxa"/>
          </w:tcPr>
          <w:p w:rsidR="00E23AB2" w:rsidRPr="00E23AB2" w:rsidRDefault="009300C6" w:rsidP="00E23AB2">
            <w:r w:rsidRPr="009300C6">
              <w:t>Compliant. Section 2</w:t>
            </w:r>
            <w:r w:rsidR="00B44AA9">
              <w:t xml:space="preserve"> and schedule 3</w:t>
            </w:r>
            <w:r w:rsidRPr="009300C6">
              <w:t xml:space="preserve"> of the ActewAGL access arrangement proposal.</w:t>
            </w:r>
          </w:p>
        </w:tc>
      </w:tr>
      <w:tr w:rsidR="00E23AB2" w:rsidRPr="00E23AB2" w:rsidTr="00E23AB2">
        <w:trPr>
          <w:cnfStyle w:val="000000010000" w:firstRow="0" w:lastRow="0" w:firstColumn="0" w:lastColumn="0" w:oddVBand="0" w:evenVBand="0" w:oddHBand="0" w:evenHBand="1" w:firstRowFirstColumn="0" w:firstRowLastColumn="0" w:lastRowFirstColumn="0" w:lastRowLastColumn="0"/>
        </w:trPr>
        <w:tc>
          <w:tcPr>
            <w:tcW w:w="5211" w:type="dxa"/>
          </w:tcPr>
          <w:p w:rsidR="00E23AB2" w:rsidRDefault="00E23AB2" w:rsidP="00EA6418">
            <w:r w:rsidRPr="00D83C34">
              <w:t>if the access arrangement is to contain queuing requirements – set out the queuing requirements — NGR clause 48.1(e)</w:t>
            </w:r>
          </w:p>
        </w:tc>
        <w:tc>
          <w:tcPr>
            <w:tcW w:w="3482" w:type="dxa"/>
          </w:tcPr>
          <w:p w:rsidR="00E23AB2" w:rsidRPr="00E23AB2" w:rsidRDefault="00DE30EC" w:rsidP="00E23AB2">
            <w:r>
              <w:t>Compliant. Section 12 of the ActewAGL access arrangement proposal.</w:t>
            </w:r>
          </w:p>
        </w:tc>
      </w:tr>
      <w:tr w:rsidR="00E23AB2" w:rsidRPr="00E23AB2" w:rsidTr="00E23AB2">
        <w:tc>
          <w:tcPr>
            <w:tcW w:w="5211" w:type="dxa"/>
          </w:tcPr>
          <w:p w:rsidR="00E23AB2" w:rsidRDefault="00E23AB2" w:rsidP="00EA6418">
            <w:r w:rsidRPr="008E1110">
              <w:t>set out the capacity trading requirements — NGR clause 48.1(f)</w:t>
            </w:r>
          </w:p>
        </w:tc>
        <w:tc>
          <w:tcPr>
            <w:tcW w:w="3482" w:type="dxa"/>
          </w:tcPr>
          <w:p w:rsidR="00E23AB2" w:rsidRPr="00E23AB2" w:rsidRDefault="00DE30EC" w:rsidP="00E23AB2">
            <w:r>
              <w:t>Compliant. Section 10 of the ActewAGL access arrangement proposal.</w:t>
            </w:r>
          </w:p>
        </w:tc>
      </w:tr>
      <w:tr w:rsidR="00E23AB2" w:rsidRPr="00E23AB2" w:rsidTr="00E23AB2">
        <w:trPr>
          <w:cnfStyle w:val="000000010000" w:firstRow="0" w:lastRow="0" w:firstColumn="0" w:lastColumn="0" w:oddVBand="0" w:evenVBand="0" w:oddHBand="0" w:evenHBand="1" w:firstRowFirstColumn="0" w:firstRowLastColumn="0" w:lastRowFirstColumn="0" w:lastRowLastColumn="0"/>
        </w:trPr>
        <w:tc>
          <w:tcPr>
            <w:tcW w:w="5211" w:type="dxa"/>
          </w:tcPr>
          <w:p w:rsidR="00E23AB2" w:rsidRDefault="00E23AB2" w:rsidP="00EA6418">
            <w:r w:rsidRPr="008E1110">
              <w:t>set out the extension and expansion requirements — NGR</w:t>
            </w:r>
            <w:r>
              <w:t> clause </w:t>
            </w:r>
            <w:r w:rsidRPr="008E1110">
              <w:t>48.1(g)</w:t>
            </w:r>
          </w:p>
        </w:tc>
        <w:tc>
          <w:tcPr>
            <w:tcW w:w="3482" w:type="dxa"/>
          </w:tcPr>
          <w:p w:rsidR="00E23AB2" w:rsidRPr="00E23AB2" w:rsidRDefault="00DE30EC" w:rsidP="00E23AB2">
            <w:r>
              <w:t>Compliant. Section 9 of the ActewAGL access arrangement proposal.</w:t>
            </w:r>
          </w:p>
        </w:tc>
      </w:tr>
      <w:tr w:rsidR="00E23AB2" w:rsidRPr="00E23AB2" w:rsidTr="00E23AB2">
        <w:tc>
          <w:tcPr>
            <w:tcW w:w="5211" w:type="dxa"/>
          </w:tcPr>
          <w:p w:rsidR="00E23AB2" w:rsidRDefault="00E23AB2" w:rsidP="00EA6418">
            <w:r w:rsidRPr="008E1110">
              <w:t>state the terms and conditions for charging receipt and delivery points — NGR clause 48.1(h)</w:t>
            </w:r>
          </w:p>
        </w:tc>
        <w:tc>
          <w:tcPr>
            <w:tcW w:w="3482" w:type="dxa"/>
          </w:tcPr>
          <w:p w:rsidR="00E23AB2" w:rsidRPr="00E23AB2" w:rsidRDefault="00DE30EC" w:rsidP="00E23AB2">
            <w:r>
              <w:t>Compliant. Section 11 of the ActewAGL access arrangement proposal.</w:t>
            </w:r>
          </w:p>
        </w:tc>
      </w:tr>
      <w:tr w:rsidR="00E23AB2" w:rsidRPr="00E23AB2" w:rsidTr="00E23AB2">
        <w:trPr>
          <w:cnfStyle w:val="000000010000" w:firstRow="0" w:lastRow="0" w:firstColumn="0" w:lastColumn="0" w:oddVBand="0" w:evenVBand="0" w:oddHBand="0" w:evenHBand="1" w:firstRowFirstColumn="0" w:firstRowLastColumn="0" w:lastRowFirstColumn="0" w:lastRowLastColumn="0"/>
        </w:trPr>
        <w:tc>
          <w:tcPr>
            <w:tcW w:w="5211" w:type="dxa"/>
          </w:tcPr>
          <w:p w:rsidR="00E23AB2" w:rsidRDefault="00E23AB2" w:rsidP="00EA6418">
            <w:r w:rsidRPr="008E1110">
              <w:t>if there is to be a review submission date – state the review submission date and the revision commencement date — NGR</w:t>
            </w:r>
            <w:r>
              <w:t> </w:t>
            </w:r>
            <w:r w:rsidRPr="008E1110">
              <w:t>clause</w:t>
            </w:r>
            <w:r>
              <w:t> </w:t>
            </w:r>
            <w:r w:rsidRPr="008E1110">
              <w:t>48.1(i)</w:t>
            </w:r>
          </w:p>
        </w:tc>
        <w:tc>
          <w:tcPr>
            <w:tcW w:w="3482" w:type="dxa"/>
          </w:tcPr>
          <w:p w:rsidR="00E23AB2" w:rsidRPr="00E23AB2" w:rsidRDefault="00DE30EC" w:rsidP="00E23AB2">
            <w:r>
              <w:t xml:space="preserve">Compliant. Section </w:t>
            </w:r>
            <w:r w:rsidR="00B44AA9">
              <w:t>1 of the ActewAGL access arrangement proposal.</w:t>
            </w:r>
          </w:p>
        </w:tc>
      </w:tr>
      <w:tr w:rsidR="00E23AB2" w:rsidRPr="00E23AB2" w:rsidTr="00E23AB2">
        <w:tc>
          <w:tcPr>
            <w:tcW w:w="5211" w:type="dxa"/>
          </w:tcPr>
          <w:p w:rsidR="00E23AB2" w:rsidRDefault="00E23AB2" w:rsidP="00EA6418">
            <w:r w:rsidRPr="008E1110">
              <w:t>if there is to be an expire date – state the expiry date — NGR 48.1(j)</w:t>
            </w:r>
          </w:p>
        </w:tc>
        <w:tc>
          <w:tcPr>
            <w:tcW w:w="3482" w:type="dxa"/>
          </w:tcPr>
          <w:p w:rsidR="00E23AB2" w:rsidRPr="00E23AB2" w:rsidRDefault="00B44AA9" w:rsidP="00E23AB2">
            <w:r>
              <w:t>Not applicable.</w:t>
            </w:r>
          </w:p>
        </w:tc>
      </w:tr>
    </w:tbl>
    <w:p w:rsidR="00E23AB2" w:rsidRDefault="00E23AB2" w:rsidP="00E23AB2">
      <w:pPr>
        <w:pStyle w:val="AERtablesource"/>
      </w:pPr>
      <w:r>
        <w:t xml:space="preserve"> Source:</w:t>
      </w:r>
      <w:r>
        <w:tab/>
        <w:t xml:space="preserve">AER analysis; </w:t>
      </w:r>
      <w:r w:rsidRPr="00E23AB2">
        <w:t>NGR, r. 48.1</w:t>
      </w:r>
      <w:r>
        <w:t xml:space="preserve">; </w:t>
      </w:r>
      <w:r w:rsidR="00B44AA9">
        <w:t xml:space="preserve">ActewAGL, </w:t>
      </w:r>
      <w:r w:rsidR="00B44AA9" w:rsidRPr="008A27F9">
        <w:rPr>
          <w:rStyle w:val="AERtextitalic"/>
        </w:rPr>
        <w:t>Access arrangement for the ACT Queanbeyan and Palerang gas distribution network 1 July 2016 to 30 June 2021</w:t>
      </w:r>
      <w:r w:rsidR="008A27F9">
        <w:t xml:space="preserve">, </w:t>
      </w:r>
      <w:r w:rsidR="00B44AA9" w:rsidRPr="00B44AA9">
        <w:t>July 2015</w:t>
      </w:r>
      <w:r w:rsidR="008A27F9">
        <w:t>.</w:t>
      </w:r>
    </w:p>
    <w:p w:rsidR="00E23AB2" w:rsidRDefault="00E23AB2" w:rsidP="00E23AB2">
      <w:pPr>
        <w:pStyle w:val="Heading3"/>
      </w:pPr>
      <w:bookmarkStart w:id="19" w:name="_Ref434486718"/>
      <w:bookmarkStart w:id="20" w:name="_Toc436039723"/>
      <w:r>
        <w:t>Reference services</w:t>
      </w:r>
      <w:bookmarkEnd w:id="19"/>
      <w:bookmarkEnd w:id="20"/>
    </w:p>
    <w:p w:rsidR="00DF31ED" w:rsidRDefault="008A27F9" w:rsidP="00ED2C24">
      <w:r>
        <w:t>We</w:t>
      </w:r>
      <w:r w:rsidR="00ED2C24">
        <w:t xml:space="preserve"> accept the reference services ActewAGL proposes to offer on its network over the 2016–21 access arrangement period. We consider that a significant part of the market is likely to seek the reference services provided by ActewAGL</w:t>
      </w:r>
      <w:r w:rsidR="000F2299">
        <w:t>, as per past practice</w:t>
      </w:r>
      <w:r w:rsidR="00ED2C24">
        <w:t>. This means they must be covered by the access arrangement.</w:t>
      </w:r>
      <w:r w:rsidR="00DF31ED">
        <w:t xml:space="preserve"> We also note the </w:t>
      </w:r>
      <w:r w:rsidR="00ED2C24">
        <w:lastRenderedPageBreak/>
        <w:t>proposed singular haulage reference service is</w:t>
      </w:r>
      <w:r w:rsidR="00DF31ED">
        <w:t xml:space="preserve"> an amalgamation of </w:t>
      </w:r>
      <w:r w:rsidR="00ED2C24">
        <w:t>the seven reference services offered by ActewAGL during the 2010–15 access arrangement period.</w:t>
      </w:r>
    </w:p>
    <w:p w:rsidR="000E110E" w:rsidRDefault="00ED2C24" w:rsidP="00ED2C24">
      <w:r>
        <w:t xml:space="preserve">However, we note ActewAGL has included in the haulage reference service the ancillary reference services and their associated revenues. As the ancillary reference services are customer requested services, the associated costs and revenues are difficult to forecast with accuracy. Therefore </w:t>
      </w:r>
      <w:r w:rsidR="000E110E">
        <w:t xml:space="preserve">combining </w:t>
      </w:r>
      <w:r>
        <w:t xml:space="preserve">these costs and revenues together with the other haulage reference services </w:t>
      </w:r>
      <w:r w:rsidR="000E110E">
        <w:t xml:space="preserve">will </w:t>
      </w:r>
      <w:r>
        <w:t>reduce the cost reflectivity of the ancillary reference services and potential</w:t>
      </w:r>
      <w:r w:rsidR="000E110E">
        <w:t>ly lead to</w:t>
      </w:r>
      <w:r>
        <w:t xml:space="preserve"> double recovery of the costs.</w:t>
      </w:r>
    </w:p>
    <w:p w:rsidR="00E23AB2" w:rsidRDefault="00A774F7" w:rsidP="00ED2C24">
      <w:r>
        <w:t>This draft</w:t>
      </w:r>
      <w:r w:rsidR="00ED2C24">
        <w:t xml:space="preserve"> decision has not separated the ancillary reference services from the singular haulage reference service</w:t>
      </w:r>
      <w:r w:rsidR="00DF31ED">
        <w:t xml:space="preserve"> as we currently have insufficient information to demonstrate a compelling reason to do so. However, we will seek further information from ActewAGL on these services and revenues and </w:t>
      </w:r>
      <w:r w:rsidR="00D34F3C">
        <w:t xml:space="preserve">review this position in </w:t>
      </w:r>
      <w:r w:rsidR="000E110E">
        <w:t xml:space="preserve">our </w:t>
      </w:r>
      <w:r w:rsidR="00ED2C24">
        <w:t xml:space="preserve">final determination. We invite stakeholders’ </w:t>
      </w:r>
      <w:r w:rsidR="000E110E">
        <w:t>feedback on</w:t>
      </w:r>
      <w:r w:rsidR="00ED2C24">
        <w:t xml:space="preserve"> this issue</w:t>
      </w:r>
      <w:r w:rsidR="000E110E">
        <w:t xml:space="preserve"> and whether a combined service has any material impact on them in terms of cost reflectivity or otherwise.</w:t>
      </w:r>
    </w:p>
    <w:p w:rsidR="00747AF9" w:rsidRPr="00747AF9" w:rsidRDefault="00747AF9" w:rsidP="00747AF9">
      <w:r w:rsidRPr="00747AF9">
        <w:t>We</w:t>
      </w:r>
      <w:r>
        <w:t xml:space="preserve"> also</w:t>
      </w:r>
      <w:r w:rsidRPr="00747AF9">
        <w:t xml:space="preserve"> note the Consumer Challenge Panel put forward that—consistent with electricity—the provision and maintenance of meters, meter reading and associated data services should be separated from the haulage reference services to encourage competition.</w:t>
      </w:r>
      <w:r w:rsidRPr="00747AF9">
        <w:rPr>
          <w:rStyle w:val="FootnoteReference"/>
        </w:rPr>
        <w:footnoteReference w:id="7"/>
      </w:r>
      <w:r w:rsidRPr="00747AF9">
        <w:t xml:space="preserve"> We do accept that an aggregated reference service </w:t>
      </w:r>
      <w:r>
        <w:t>(ActewAGL</w:t>
      </w:r>
      <w:r w:rsidRPr="00747AF9">
        <w:t xml:space="preserve">’s preferred approach) may not be conducive to contestability. However, we have found no compelling reasons to reject </w:t>
      </w:r>
      <w:r>
        <w:t>ActewAGL</w:t>
      </w:r>
      <w:r w:rsidRPr="00747AF9">
        <w:t>’s proposal. We note:</w:t>
      </w:r>
    </w:p>
    <w:p w:rsidR="00747AF9" w:rsidRPr="00747AF9" w:rsidRDefault="00747AF9" w:rsidP="00747AF9">
      <w:pPr>
        <w:pStyle w:val="AERbulletlistfirststyle"/>
      </w:pPr>
      <w:r w:rsidRPr="00747AF9">
        <w:t xml:space="preserve">The market to implement gas meter reading contestability in </w:t>
      </w:r>
      <w:r>
        <w:t>ActewAGL's network</w:t>
      </w:r>
      <w:r w:rsidRPr="00747AF9">
        <w:t xml:space="preserve"> has not changed over the current access arrangement period and we have not seen any evidence that it may change in the next five years.</w:t>
      </w:r>
    </w:p>
    <w:p w:rsidR="00747AF9" w:rsidRPr="00747AF9" w:rsidRDefault="00747AF9" w:rsidP="00747AF9">
      <w:pPr>
        <w:pStyle w:val="AERbulletlistfirststyle"/>
      </w:pPr>
      <w:r w:rsidRPr="00747AF9">
        <w:t xml:space="preserve">One significant driver of electricity metering contestability has been a desire to foster a competitive rollout of more efficient tariffs and metering arrangements to mass market electricity customers. </w:t>
      </w:r>
      <w:r>
        <w:t>Although apart from some networks undertaking metering trials, t</w:t>
      </w:r>
      <w:r w:rsidRPr="00747AF9">
        <w:t>here is no equivalent gas network or retail imperative for time of use pricing and associated behavioural change. The problem of peak demand does not exist to the same degree in gas as it does for electricity.</w:t>
      </w:r>
    </w:p>
    <w:p w:rsidR="00747AF9" w:rsidRPr="00747AF9" w:rsidRDefault="00747AF9" w:rsidP="00747AF9">
      <w:r w:rsidRPr="00747AF9">
        <w:t xml:space="preserve">However, if the market for metering services begins to develop substantively in coming years and disaggregation of services is considered warranted, this can be proposed (and considered by us) at that time. We also note the aggregation of the service does not lead to aggregation of the underlying costs. Therefore we are satisfied there is no double recovery of the costs for these services. </w:t>
      </w:r>
      <w:r>
        <w:t>For these reasons we accept ActewAGL</w:t>
      </w:r>
      <w:r w:rsidRPr="00747AF9">
        <w:t>’s proposal.</w:t>
      </w:r>
    </w:p>
    <w:p w:rsidR="00747AF9" w:rsidRDefault="00747AF9" w:rsidP="00ED2C24">
      <w:r w:rsidRPr="00747AF9">
        <w:lastRenderedPageBreak/>
        <w:t>Nonetheless, if stakeholders can provide to us compelling reasons not to include these metering services in the haulage reference services, we may review our draft decision position when making the final determination.</w:t>
      </w:r>
    </w:p>
    <w:p w:rsidR="00E23AB2" w:rsidRPr="00E23AB2" w:rsidRDefault="00E23AB2" w:rsidP="00E23AB2">
      <w:pPr>
        <w:pStyle w:val="Heading3"/>
      </w:pPr>
      <w:bookmarkStart w:id="21" w:name="_Toc436039724"/>
      <w:r>
        <w:t>Non–reference services</w:t>
      </w:r>
      <w:bookmarkEnd w:id="21"/>
    </w:p>
    <w:p w:rsidR="00D34F3C" w:rsidRPr="00474EC7" w:rsidRDefault="00D77051" w:rsidP="002C3E60">
      <w:pPr>
        <w:pStyle w:val="AERbulletlistfirststyle"/>
        <w:numPr>
          <w:ilvl w:val="0"/>
          <w:numId w:val="0"/>
        </w:numPr>
      </w:pPr>
      <w:r>
        <w:t xml:space="preserve">Similar to </w:t>
      </w:r>
      <w:r w:rsidR="0028515F">
        <w:t>its</w:t>
      </w:r>
      <w:r>
        <w:t xml:space="preserve"> 2010</w:t>
      </w:r>
      <w:r w:rsidR="002C3E60">
        <w:t>–</w:t>
      </w:r>
      <w:r>
        <w:t xml:space="preserve">15 access arrangement, </w:t>
      </w:r>
      <w:r w:rsidR="00160A94">
        <w:t xml:space="preserve">ActewAGL has proposed </w:t>
      </w:r>
      <w:r>
        <w:t>the interconnection of embedded network services and negotiated services as non-reference services.</w:t>
      </w:r>
      <w:r w:rsidRPr="00D77051">
        <w:rPr>
          <w:rStyle w:val="AERsuperscript"/>
        </w:rPr>
        <w:footnoteReference w:id="8"/>
      </w:r>
      <w:r>
        <w:t xml:space="preserve"> </w:t>
      </w:r>
      <w:r w:rsidR="00154576">
        <w:t xml:space="preserve">The AER </w:t>
      </w:r>
      <w:r w:rsidR="00853D05">
        <w:t>agrees</w:t>
      </w:r>
      <w:r w:rsidR="00154576" w:rsidRPr="00154576">
        <w:t xml:space="preserve"> that </w:t>
      </w:r>
      <w:r>
        <w:t>these services</w:t>
      </w:r>
      <w:r w:rsidR="00154576" w:rsidRPr="00154576">
        <w:t xml:space="preserve"> are n</w:t>
      </w:r>
      <w:r w:rsidR="00853D05">
        <w:t xml:space="preserve">on-reference services as they are not likely </w:t>
      </w:r>
      <w:r w:rsidR="00154576">
        <w:t xml:space="preserve">to be sought by a significant part of the market and </w:t>
      </w:r>
      <w:r w:rsidR="0028515F">
        <w:t>should not be specified as</w:t>
      </w:r>
      <w:r>
        <w:t xml:space="preserve"> </w:t>
      </w:r>
      <w:r w:rsidR="0028515F">
        <w:t>reference s</w:t>
      </w:r>
      <w:r>
        <w:t>ervices</w:t>
      </w:r>
      <w:r w:rsidR="00154576">
        <w:t>.</w:t>
      </w:r>
      <w:r w:rsidR="00154576" w:rsidRPr="00154576">
        <w:rPr>
          <w:rStyle w:val="FootnoteReference"/>
        </w:rPr>
        <w:footnoteReference w:id="9"/>
      </w:r>
      <w:r w:rsidR="00154576" w:rsidRPr="00154576">
        <w:t xml:space="preserve">  </w:t>
      </w:r>
    </w:p>
    <w:sectPr w:rsidR="00D34F3C"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80596A">
          <w:rPr>
            <w:noProof/>
          </w:rPr>
          <w:t>1-1</w:t>
        </w:r>
        <w:r w:rsidRPr="00CA52A2">
          <w:fldChar w:fldCharType="end"/>
        </w:r>
        <w:r w:rsidR="00B015D3">
          <w:t xml:space="preserve">          Attachment </w:t>
        </w:r>
        <w:r w:rsidR="00BD60F9">
          <w:t>1</w:t>
        </w:r>
        <w:r w:rsidR="00CF6EDE">
          <w:t xml:space="preserve"> </w:t>
        </w:r>
        <w:r w:rsidRPr="00CA52A2">
          <w:t xml:space="preserve">– </w:t>
        </w:r>
        <w:r w:rsidR="00BD60F9">
          <w:t>Services covered by the access arrangement</w:t>
        </w:r>
        <w:r w:rsidR="00392FEC">
          <w:t xml:space="preserve"> </w:t>
        </w:r>
        <w:r w:rsidRPr="00CA52A2">
          <w:t xml:space="preserve">| </w:t>
        </w:r>
        <w:r w:rsidR="007C0137">
          <w:t>Draft decision</w:t>
        </w:r>
        <w:r w:rsidR="00246350">
          <w:t>:</w:t>
        </w:r>
        <w:r w:rsidR="007C0137">
          <w:t xml:space="preserve"> </w:t>
        </w:r>
        <w:r w:rsidR="00EE77FA">
          <w:t>ActewAGL</w:t>
        </w:r>
        <w:r w:rsidR="004F242A">
          <w:t xml:space="preserve"> Distribution </w:t>
        </w:r>
        <w:r w:rsidR="007C0137">
          <w:t>Access Arrangement</w:t>
        </w:r>
        <w:r w:rsidR="001B7D00">
          <w:t xml:space="preserve"> 2016</w:t>
        </w:r>
        <w:r w:rsidRPr="00CA52A2">
          <w:t>–</w:t>
        </w:r>
        <w:r w:rsidR="001B7D00">
          <w:t>2</w:t>
        </w:r>
        <w:r w:rsidR="00EE77FA">
          <w:t>1</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E23AB2" w:rsidRDefault="00E23AB2">
      <w:pPr>
        <w:pStyle w:val="FootnoteText"/>
      </w:pPr>
      <w:r>
        <w:rPr>
          <w:rStyle w:val="FootnoteReference"/>
        </w:rPr>
        <w:footnoteRef/>
      </w:r>
      <w:r>
        <w:t xml:space="preserve"> </w:t>
      </w:r>
      <w:r>
        <w:tab/>
      </w:r>
      <w:r w:rsidRPr="00E23AB2">
        <w:t>NGR, r</w:t>
      </w:r>
      <w:r w:rsidR="001B565E">
        <w:t>r</w:t>
      </w:r>
      <w:r w:rsidRPr="00E23AB2">
        <w:t>. 48(1)(a)</w:t>
      </w:r>
      <w:r w:rsidR="001B565E">
        <w:t>,</w:t>
      </w:r>
      <w:r w:rsidR="001B565E" w:rsidRPr="001B565E">
        <w:t xml:space="preserve"> </w:t>
      </w:r>
      <w:r w:rsidR="001B565E" w:rsidRPr="00E23AB2">
        <w:t>48(1)</w:t>
      </w:r>
      <w:r w:rsidRPr="00E23AB2">
        <w:t xml:space="preserve"> (b).</w:t>
      </w:r>
    </w:p>
  </w:footnote>
  <w:footnote w:id="2">
    <w:p w:rsidR="00E23AB2" w:rsidRDefault="00E23AB2">
      <w:pPr>
        <w:pStyle w:val="FootnoteText"/>
      </w:pPr>
      <w:r>
        <w:rPr>
          <w:rStyle w:val="FootnoteReference"/>
        </w:rPr>
        <w:footnoteRef/>
      </w:r>
      <w:r>
        <w:t xml:space="preserve"> </w:t>
      </w:r>
      <w:r>
        <w:tab/>
        <w:t>NGR, r. 48(1).</w:t>
      </w:r>
    </w:p>
  </w:footnote>
  <w:footnote w:id="3">
    <w:p w:rsidR="00B7372B" w:rsidRDefault="00B7372B">
      <w:pPr>
        <w:pStyle w:val="FootnoteText"/>
      </w:pPr>
      <w:r>
        <w:rPr>
          <w:rStyle w:val="FootnoteReference"/>
        </w:rPr>
        <w:footnoteRef/>
      </w:r>
      <w:r>
        <w:t xml:space="preserve"> </w:t>
      </w:r>
      <w:r>
        <w:tab/>
        <w:t xml:space="preserve">ActewAGL, </w:t>
      </w:r>
      <w:r w:rsidRPr="003F2695">
        <w:rPr>
          <w:rStyle w:val="AERtextitalic"/>
        </w:rPr>
        <w:t xml:space="preserve">2016–20 access arrangement period: Attachment </w:t>
      </w:r>
      <w:r>
        <w:rPr>
          <w:rStyle w:val="AERtextitalic"/>
        </w:rPr>
        <w:t>2</w:t>
      </w:r>
      <w:r w:rsidRPr="003F2695">
        <w:rPr>
          <w:rStyle w:val="AERtextitalic"/>
        </w:rPr>
        <w:t xml:space="preserve">: </w:t>
      </w:r>
      <w:r>
        <w:rPr>
          <w:rStyle w:val="AERtextitalic"/>
        </w:rPr>
        <w:t>Services policy</w:t>
      </w:r>
      <w:r>
        <w:t>, June 2015, pp. 8–9.</w:t>
      </w:r>
    </w:p>
  </w:footnote>
  <w:footnote w:id="4">
    <w:p w:rsidR="00665555" w:rsidRDefault="00665555">
      <w:pPr>
        <w:pStyle w:val="FootnoteText"/>
      </w:pPr>
      <w:r>
        <w:rPr>
          <w:rStyle w:val="FootnoteReference"/>
        </w:rPr>
        <w:footnoteRef/>
      </w:r>
      <w:r>
        <w:t xml:space="preserve"> </w:t>
      </w:r>
      <w:r>
        <w:tab/>
        <w:t xml:space="preserve">ActewAGL, </w:t>
      </w:r>
      <w:r w:rsidRPr="003F2695">
        <w:rPr>
          <w:rStyle w:val="AERtextitalic"/>
        </w:rPr>
        <w:t xml:space="preserve">2016–20 access arrangement period: Attachment </w:t>
      </w:r>
      <w:r>
        <w:rPr>
          <w:rStyle w:val="AERtextitalic"/>
        </w:rPr>
        <w:t>2</w:t>
      </w:r>
      <w:r w:rsidRPr="003F2695">
        <w:rPr>
          <w:rStyle w:val="AERtextitalic"/>
        </w:rPr>
        <w:t xml:space="preserve">: </w:t>
      </w:r>
      <w:r>
        <w:rPr>
          <w:rStyle w:val="AERtextitalic"/>
        </w:rPr>
        <w:t>Services policy</w:t>
      </w:r>
      <w:r>
        <w:t>, June 2015, pp. 9–10.</w:t>
      </w:r>
    </w:p>
  </w:footnote>
  <w:footnote w:id="5">
    <w:p w:rsidR="003474D6" w:rsidRDefault="003474D6">
      <w:pPr>
        <w:pStyle w:val="FootnoteText"/>
      </w:pPr>
      <w:r>
        <w:rPr>
          <w:rStyle w:val="FootnoteReference"/>
        </w:rPr>
        <w:footnoteRef/>
      </w:r>
      <w:r>
        <w:t xml:space="preserve"> </w:t>
      </w:r>
      <w:r>
        <w:tab/>
        <w:t>NGR, r. 48.</w:t>
      </w:r>
    </w:p>
  </w:footnote>
  <w:footnote w:id="6">
    <w:p w:rsidR="00E23AB2" w:rsidRDefault="00E23AB2">
      <w:pPr>
        <w:pStyle w:val="FootnoteText"/>
      </w:pPr>
      <w:r>
        <w:rPr>
          <w:rStyle w:val="FootnoteReference"/>
        </w:rPr>
        <w:footnoteRef/>
      </w:r>
      <w:r>
        <w:t xml:space="preserve"> </w:t>
      </w:r>
      <w:r>
        <w:tab/>
      </w:r>
      <w:r w:rsidRPr="00E23AB2">
        <w:t>NGR, r. 100(a).</w:t>
      </w:r>
    </w:p>
  </w:footnote>
  <w:footnote w:id="7">
    <w:p w:rsidR="00747AF9" w:rsidRDefault="00747AF9" w:rsidP="00747AF9">
      <w:pPr>
        <w:pStyle w:val="FootnoteText"/>
      </w:pPr>
      <w:r>
        <w:rPr>
          <w:rStyle w:val="FootnoteReference"/>
        </w:rPr>
        <w:footnoteRef/>
      </w:r>
      <w:r>
        <w:t xml:space="preserve"> </w:t>
      </w:r>
      <w:r>
        <w:tab/>
        <w:t xml:space="preserve">Consumer Challenge Panel, </w:t>
      </w:r>
      <w:r w:rsidRPr="00D309A6">
        <w:rPr>
          <w:rStyle w:val="AERtextitalic"/>
        </w:rPr>
        <w:t>Advice to AER from Consumer Channel Panel sub</w:t>
      </w:r>
      <w:r w:rsidRPr="00D309A6">
        <w:rPr>
          <w:rStyle w:val="AERtextitalic"/>
        </w:rPr>
        <w:noBreakHyphen/>
        <w:t>panel 8 regard</w:t>
      </w:r>
      <w:r>
        <w:rPr>
          <w:rStyle w:val="AERtextitalic"/>
        </w:rPr>
        <w:t>ing ActewAGL Distribution (AAD</w:t>
      </w:r>
      <w:r w:rsidRPr="00D309A6">
        <w:rPr>
          <w:rStyle w:val="AERtextitalic"/>
        </w:rPr>
        <w:t>) access arrangement 2016–2021 proposal</w:t>
      </w:r>
      <w:r>
        <w:t>, 26 August 2015, p. 12.</w:t>
      </w:r>
    </w:p>
  </w:footnote>
  <w:footnote w:id="8">
    <w:p w:rsidR="00D77051" w:rsidRDefault="00D77051" w:rsidP="00D77051">
      <w:pPr>
        <w:pStyle w:val="FootnoteText"/>
      </w:pPr>
      <w:r>
        <w:rPr>
          <w:rStyle w:val="FootnoteReference"/>
        </w:rPr>
        <w:footnoteRef/>
      </w:r>
      <w:r>
        <w:t xml:space="preserve"> </w:t>
      </w:r>
      <w:r>
        <w:tab/>
        <w:t xml:space="preserve">ActewAGL, </w:t>
      </w:r>
      <w:r w:rsidRPr="003F2695">
        <w:rPr>
          <w:rStyle w:val="AERtextitalic"/>
        </w:rPr>
        <w:t xml:space="preserve">2016–20 access arrangement period: Attachment </w:t>
      </w:r>
      <w:r>
        <w:rPr>
          <w:rStyle w:val="AERtextitalic"/>
        </w:rPr>
        <w:t>2</w:t>
      </w:r>
      <w:r w:rsidRPr="003F2695">
        <w:rPr>
          <w:rStyle w:val="AERtextitalic"/>
        </w:rPr>
        <w:t xml:space="preserve">: </w:t>
      </w:r>
      <w:r>
        <w:rPr>
          <w:rStyle w:val="AERtextitalic"/>
        </w:rPr>
        <w:t>Services policy</w:t>
      </w:r>
      <w:r>
        <w:t>, June 2015, pp. 8–9.</w:t>
      </w:r>
    </w:p>
  </w:footnote>
  <w:footnote w:id="9">
    <w:p w:rsidR="00154576" w:rsidRDefault="00154576" w:rsidP="00154576">
      <w:pPr>
        <w:pStyle w:val="FootnoteText"/>
      </w:pPr>
      <w:r>
        <w:rPr>
          <w:rStyle w:val="FootnoteReference"/>
        </w:rPr>
        <w:footnoteRef/>
      </w:r>
      <w:r>
        <w:t xml:space="preserve"> </w:t>
      </w:r>
      <w:r>
        <w:tab/>
        <w:t>NGR, r.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80596A">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80596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D3490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6mi+NuD34Zip+fRO88g6Aqi1wtHfelhkotO6sA7DUU=" w:saltValue="OaDWhLx71zh7TL5FNlDI4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21202"/>
    <w:rsid w:val="00021C2B"/>
    <w:rsid w:val="0002517F"/>
    <w:rsid w:val="00026495"/>
    <w:rsid w:val="00032C40"/>
    <w:rsid w:val="0003578C"/>
    <w:rsid w:val="000401AF"/>
    <w:rsid w:val="00063247"/>
    <w:rsid w:val="00070F9F"/>
    <w:rsid w:val="0007137B"/>
    <w:rsid w:val="00085663"/>
    <w:rsid w:val="00085EBF"/>
    <w:rsid w:val="00091B15"/>
    <w:rsid w:val="000A3020"/>
    <w:rsid w:val="000A6C7B"/>
    <w:rsid w:val="000C2B40"/>
    <w:rsid w:val="000D06C1"/>
    <w:rsid w:val="000D122C"/>
    <w:rsid w:val="000D3016"/>
    <w:rsid w:val="000E110E"/>
    <w:rsid w:val="000E1819"/>
    <w:rsid w:val="000E4821"/>
    <w:rsid w:val="000E6C72"/>
    <w:rsid w:val="000F0B2B"/>
    <w:rsid w:val="000F2299"/>
    <w:rsid w:val="000F3E72"/>
    <w:rsid w:val="000F48B1"/>
    <w:rsid w:val="00101A63"/>
    <w:rsid w:val="00116EB2"/>
    <w:rsid w:val="00124609"/>
    <w:rsid w:val="00126A4C"/>
    <w:rsid w:val="00142AB6"/>
    <w:rsid w:val="0014573B"/>
    <w:rsid w:val="00154576"/>
    <w:rsid w:val="001573E4"/>
    <w:rsid w:val="00160756"/>
    <w:rsid w:val="00160A94"/>
    <w:rsid w:val="0017232E"/>
    <w:rsid w:val="00174102"/>
    <w:rsid w:val="001754EE"/>
    <w:rsid w:val="00180157"/>
    <w:rsid w:val="00185CB9"/>
    <w:rsid w:val="00186F77"/>
    <w:rsid w:val="001926A4"/>
    <w:rsid w:val="00192AD5"/>
    <w:rsid w:val="001B45A0"/>
    <w:rsid w:val="001B565E"/>
    <w:rsid w:val="001B7D00"/>
    <w:rsid w:val="001D055E"/>
    <w:rsid w:val="001E165F"/>
    <w:rsid w:val="001E2845"/>
    <w:rsid w:val="001F05A4"/>
    <w:rsid w:val="001F492E"/>
    <w:rsid w:val="001F6DA3"/>
    <w:rsid w:val="002010BC"/>
    <w:rsid w:val="002016E7"/>
    <w:rsid w:val="00201F98"/>
    <w:rsid w:val="00202E03"/>
    <w:rsid w:val="0020478D"/>
    <w:rsid w:val="0020492C"/>
    <w:rsid w:val="00205121"/>
    <w:rsid w:val="00224DB9"/>
    <w:rsid w:val="00227DCE"/>
    <w:rsid w:val="0023276C"/>
    <w:rsid w:val="00233775"/>
    <w:rsid w:val="002368F6"/>
    <w:rsid w:val="00246350"/>
    <w:rsid w:val="00251745"/>
    <w:rsid w:val="002636BF"/>
    <w:rsid w:val="00263AC0"/>
    <w:rsid w:val="00264264"/>
    <w:rsid w:val="0026772D"/>
    <w:rsid w:val="0028515F"/>
    <w:rsid w:val="00286874"/>
    <w:rsid w:val="00290C63"/>
    <w:rsid w:val="00296B65"/>
    <w:rsid w:val="002A7DEF"/>
    <w:rsid w:val="002B1003"/>
    <w:rsid w:val="002B573C"/>
    <w:rsid w:val="002C233C"/>
    <w:rsid w:val="002C3E60"/>
    <w:rsid w:val="002D72E8"/>
    <w:rsid w:val="002E7B22"/>
    <w:rsid w:val="002F7986"/>
    <w:rsid w:val="00301B40"/>
    <w:rsid w:val="00301F7B"/>
    <w:rsid w:val="003029EE"/>
    <w:rsid w:val="0030370B"/>
    <w:rsid w:val="00305CC8"/>
    <w:rsid w:val="00307F6D"/>
    <w:rsid w:val="003177A2"/>
    <w:rsid w:val="003271B5"/>
    <w:rsid w:val="00327A1E"/>
    <w:rsid w:val="00331264"/>
    <w:rsid w:val="00334C8D"/>
    <w:rsid w:val="00343A18"/>
    <w:rsid w:val="00344473"/>
    <w:rsid w:val="003474D6"/>
    <w:rsid w:val="003518B3"/>
    <w:rsid w:val="003846F1"/>
    <w:rsid w:val="00392FEC"/>
    <w:rsid w:val="003931A7"/>
    <w:rsid w:val="003B484F"/>
    <w:rsid w:val="003B7FBA"/>
    <w:rsid w:val="003F174D"/>
    <w:rsid w:val="003F7442"/>
    <w:rsid w:val="00415F31"/>
    <w:rsid w:val="00423A77"/>
    <w:rsid w:val="0045777E"/>
    <w:rsid w:val="00474EC7"/>
    <w:rsid w:val="00480B4B"/>
    <w:rsid w:val="00485DC4"/>
    <w:rsid w:val="004A43D1"/>
    <w:rsid w:val="004B355D"/>
    <w:rsid w:val="004B4412"/>
    <w:rsid w:val="004C348C"/>
    <w:rsid w:val="004D55BA"/>
    <w:rsid w:val="004E22EC"/>
    <w:rsid w:val="004F242A"/>
    <w:rsid w:val="004F6A0E"/>
    <w:rsid w:val="00530128"/>
    <w:rsid w:val="00532467"/>
    <w:rsid w:val="00537FD6"/>
    <w:rsid w:val="00564A4D"/>
    <w:rsid w:val="0056588A"/>
    <w:rsid w:val="00567BA5"/>
    <w:rsid w:val="00571B35"/>
    <w:rsid w:val="00571D57"/>
    <w:rsid w:val="00577A09"/>
    <w:rsid w:val="005829C2"/>
    <w:rsid w:val="00584D8F"/>
    <w:rsid w:val="00586819"/>
    <w:rsid w:val="00593155"/>
    <w:rsid w:val="0059704C"/>
    <w:rsid w:val="005A404D"/>
    <w:rsid w:val="005B140A"/>
    <w:rsid w:val="005B1E3C"/>
    <w:rsid w:val="005B3FB7"/>
    <w:rsid w:val="005B704A"/>
    <w:rsid w:val="005C0A7F"/>
    <w:rsid w:val="005C26CC"/>
    <w:rsid w:val="005C4C9C"/>
    <w:rsid w:val="005C6051"/>
    <w:rsid w:val="005D0555"/>
    <w:rsid w:val="005D7BA2"/>
    <w:rsid w:val="005E130E"/>
    <w:rsid w:val="005E36C2"/>
    <w:rsid w:val="006007DE"/>
    <w:rsid w:val="00600B92"/>
    <w:rsid w:val="00601169"/>
    <w:rsid w:val="00601638"/>
    <w:rsid w:val="00610EF9"/>
    <w:rsid w:val="00612F4F"/>
    <w:rsid w:val="00615C6B"/>
    <w:rsid w:val="00621DCE"/>
    <w:rsid w:val="00630D59"/>
    <w:rsid w:val="00632D6D"/>
    <w:rsid w:val="00641774"/>
    <w:rsid w:val="00642C3E"/>
    <w:rsid w:val="00651C3A"/>
    <w:rsid w:val="00651CB2"/>
    <w:rsid w:val="006560CA"/>
    <w:rsid w:val="0066104A"/>
    <w:rsid w:val="00663DAD"/>
    <w:rsid w:val="00665555"/>
    <w:rsid w:val="00665649"/>
    <w:rsid w:val="006672AA"/>
    <w:rsid w:val="00675E20"/>
    <w:rsid w:val="00676679"/>
    <w:rsid w:val="00683C89"/>
    <w:rsid w:val="00691D9A"/>
    <w:rsid w:val="006B2395"/>
    <w:rsid w:val="006B45A4"/>
    <w:rsid w:val="006B4CF9"/>
    <w:rsid w:val="006B785B"/>
    <w:rsid w:val="006B7AC8"/>
    <w:rsid w:val="006C1736"/>
    <w:rsid w:val="006C4798"/>
    <w:rsid w:val="006D550F"/>
    <w:rsid w:val="006D7DDF"/>
    <w:rsid w:val="006F274F"/>
    <w:rsid w:val="006F3AD1"/>
    <w:rsid w:val="006F3FC8"/>
    <w:rsid w:val="0070011E"/>
    <w:rsid w:val="00701CAB"/>
    <w:rsid w:val="00707563"/>
    <w:rsid w:val="0072348C"/>
    <w:rsid w:val="00724A37"/>
    <w:rsid w:val="007303C3"/>
    <w:rsid w:val="00741C46"/>
    <w:rsid w:val="00741E23"/>
    <w:rsid w:val="007429BE"/>
    <w:rsid w:val="00743223"/>
    <w:rsid w:val="00746E01"/>
    <w:rsid w:val="00747AF9"/>
    <w:rsid w:val="00747EEA"/>
    <w:rsid w:val="00757364"/>
    <w:rsid w:val="00757BDF"/>
    <w:rsid w:val="007609D0"/>
    <w:rsid w:val="00763E5D"/>
    <w:rsid w:val="00767740"/>
    <w:rsid w:val="00777EE6"/>
    <w:rsid w:val="00782EEA"/>
    <w:rsid w:val="007B186E"/>
    <w:rsid w:val="007B2C72"/>
    <w:rsid w:val="007C0137"/>
    <w:rsid w:val="007C1C53"/>
    <w:rsid w:val="007C74BB"/>
    <w:rsid w:val="007D456E"/>
    <w:rsid w:val="007E2172"/>
    <w:rsid w:val="007E2CE9"/>
    <w:rsid w:val="007E4904"/>
    <w:rsid w:val="007E4CB5"/>
    <w:rsid w:val="007F066B"/>
    <w:rsid w:val="007F213A"/>
    <w:rsid w:val="007F75C4"/>
    <w:rsid w:val="008033C4"/>
    <w:rsid w:val="0080596A"/>
    <w:rsid w:val="00806C88"/>
    <w:rsid w:val="0081034E"/>
    <w:rsid w:val="00813BDF"/>
    <w:rsid w:val="008221F2"/>
    <w:rsid w:val="00825985"/>
    <w:rsid w:val="008344F6"/>
    <w:rsid w:val="0083510F"/>
    <w:rsid w:val="008408C5"/>
    <w:rsid w:val="00851209"/>
    <w:rsid w:val="00853D05"/>
    <w:rsid w:val="0085722A"/>
    <w:rsid w:val="00864B35"/>
    <w:rsid w:val="00882481"/>
    <w:rsid w:val="008837AC"/>
    <w:rsid w:val="008850E3"/>
    <w:rsid w:val="008A27F9"/>
    <w:rsid w:val="008A587D"/>
    <w:rsid w:val="008B2E8A"/>
    <w:rsid w:val="008B35CD"/>
    <w:rsid w:val="008B5FCC"/>
    <w:rsid w:val="008B7544"/>
    <w:rsid w:val="008C3374"/>
    <w:rsid w:val="008C5486"/>
    <w:rsid w:val="008C54AB"/>
    <w:rsid w:val="008C708B"/>
    <w:rsid w:val="008D1661"/>
    <w:rsid w:val="008D6800"/>
    <w:rsid w:val="008E7031"/>
    <w:rsid w:val="008E77DE"/>
    <w:rsid w:val="008F07A3"/>
    <w:rsid w:val="008F34DD"/>
    <w:rsid w:val="009001B6"/>
    <w:rsid w:val="00900E1B"/>
    <w:rsid w:val="00901C3C"/>
    <w:rsid w:val="00912932"/>
    <w:rsid w:val="009233EE"/>
    <w:rsid w:val="009272AD"/>
    <w:rsid w:val="009277DC"/>
    <w:rsid w:val="009300C6"/>
    <w:rsid w:val="00945754"/>
    <w:rsid w:val="009460AA"/>
    <w:rsid w:val="00951978"/>
    <w:rsid w:val="00961A4A"/>
    <w:rsid w:val="009661DE"/>
    <w:rsid w:val="00983C25"/>
    <w:rsid w:val="009856B7"/>
    <w:rsid w:val="00985C86"/>
    <w:rsid w:val="009A5113"/>
    <w:rsid w:val="009A5FC3"/>
    <w:rsid w:val="009B6F84"/>
    <w:rsid w:val="009B74B0"/>
    <w:rsid w:val="009D3906"/>
    <w:rsid w:val="009D6B46"/>
    <w:rsid w:val="009F3F1C"/>
    <w:rsid w:val="009F4940"/>
    <w:rsid w:val="009F5BA1"/>
    <w:rsid w:val="00A02A88"/>
    <w:rsid w:val="00A0562E"/>
    <w:rsid w:val="00A06085"/>
    <w:rsid w:val="00A0726D"/>
    <w:rsid w:val="00A32FBB"/>
    <w:rsid w:val="00A428EE"/>
    <w:rsid w:val="00A4478A"/>
    <w:rsid w:val="00A44852"/>
    <w:rsid w:val="00A4650A"/>
    <w:rsid w:val="00A50502"/>
    <w:rsid w:val="00A57D04"/>
    <w:rsid w:val="00A60A26"/>
    <w:rsid w:val="00A61598"/>
    <w:rsid w:val="00A774F7"/>
    <w:rsid w:val="00A84A99"/>
    <w:rsid w:val="00A84F46"/>
    <w:rsid w:val="00A871F4"/>
    <w:rsid w:val="00A95108"/>
    <w:rsid w:val="00A97615"/>
    <w:rsid w:val="00AC1B2C"/>
    <w:rsid w:val="00AC3264"/>
    <w:rsid w:val="00AE1BF1"/>
    <w:rsid w:val="00AF0DD2"/>
    <w:rsid w:val="00AF5F5D"/>
    <w:rsid w:val="00AF60DF"/>
    <w:rsid w:val="00B015D3"/>
    <w:rsid w:val="00B0209D"/>
    <w:rsid w:val="00B07CEA"/>
    <w:rsid w:val="00B13048"/>
    <w:rsid w:val="00B1716D"/>
    <w:rsid w:val="00B17A1D"/>
    <w:rsid w:val="00B207A0"/>
    <w:rsid w:val="00B44582"/>
    <w:rsid w:val="00B44AA9"/>
    <w:rsid w:val="00B514DD"/>
    <w:rsid w:val="00B51F3F"/>
    <w:rsid w:val="00B52AF0"/>
    <w:rsid w:val="00B561BD"/>
    <w:rsid w:val="00B56E03"/>
    <w:rsid w:val="00B61EDF"/>
    <w:rsid w:val="00B7372B"/>
    <w:rsid w:val="00B757A6"/>
    <w:rsid w:val="00B8080B"/>
    <w:rsid w:val="00B82223"/>
    <w:rsid w:val="00B87BA5"/>
    <w:rsid w:val="00B87C39"/>
    <w:rsid w:val="00B910C7"/>
    <w:rsid w:val="00B9562D"/>
    <w:rsid w:val="00BA4665"/>
    <w:rsid w:val="00BB2FB2"/>
    <w:rsid w:val="00BB3304"/>
    <w:rsid w:val="00BB6381"/>
    <w:rsid w:val="00BB7528"/>
    <w:rsid w:val="00BC398F"/>
    <w:rsid w:val="00BD310B"/>
    <w:rsid w:val="00BD3446"/>
    <w:rsid w:val="00BD60F9"/>
    <w:rsid w:val="00BE1F1B"/>
    <w:rsid w:val="00BE47B5"/>
    <w:rsid w:val="00C04223"/>
    <w:rsid w:val="00C05D89"/>
    <w:rsid w:val="00C17EE0"/>
    <w:rsid w:val="00C25FA6"/>
    <w:rsid w:val="00C42ACA"/>
    <w:rsid w:val="00C538A9"/>
    <w:rsid w:val="00C53B5A"/>
    <w:rsid w:val="00C54F5A"/>
    <w:rsid w:val="00C569B4"/>
    <w:rsid w:val="00C56A3E"/>
    <w:rsid w:val="00C67A92"/>
    <w:rsid w:val="00C70D86"/>
    <w:rsid w:val="00C72904"/>
    <w:rsid w:val="00C7497E"/>
    <w:rsid w:val="00C84560"/>
    <w:rsid w:val="00C84F52"/>
    <w:rsid w:val="00C86679"/>
    <w:rsid w:val="00CA489E"/>
    <w:rsid w:val="00CA52A2"/>
    <w:rsid w:val="00CB0279"/>
    <w:rsid w:val="00CB666B"/>
    <w:rsid w:val="00CC7F1D"/>
    <w:rsid w:val="00CE484B"/>
    <w:rsid w:val="00CF0DEE"/>
    <w:rsid w:val="00CF6EDE"/>
    <w:rsid w:val="00D006AE"/>
    <w:rsid w:val="00D01CF0"/>
    <w:rsid w:val="00D01EFD"/>
    <w:rsid w:val="00D0442A"/>
    <w:rsid w:val="00D17683"/>
    <w:rsid w:val="00D34F3C"/>
    <w:rsid w:val="00D45694"/>
    <w:rsid w:val="00D61388"/>
    <w:rsid w:val="00D61A54"/>
    <w:rsid w:val="00D64DEA"/>
    <w:rsid w:val="00D7168E"/>
    <w:rsid w:val="00D71E57"/>
    <w:rsid w:val="00D75AA2"/>
    <w:rsid w:val="00D77051"/>
    <w:rsid w:val="00D80893"/>
    <w:rsid w:val="00D832A6"/>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30EC"/>
    <w:rsid w:val="00DE4EFA"/>
    <w:rsid w:val="00DE5520"/>
    <w:rsid w:val="00DE563D"/>
    <w:rsid w:val="00DE5E2E"/>
    <w:rsid w:val="00DE772C"/>
    <w:rsid w:val="00DF17C5"/>
    <w:rsid w:val="00DF312A"/>
    <w:rsid w:val="00DF31ED"/>
    <w:rsid w:val="00E04818"/>
    <w:rsid w:val="00E06442"/>
    <w:rsid w:val="00E06BCF"/>
    <w:rsid w:val="00E1001C"/>
    <w:rsid w:val="00E2394F"/>
    <w:rsid w:val="00E23993"/>
    <w:rsid w:val="00E23AB2"/>
    <w:rsid w:val="00E257D6"/>
    <w:rsid w:val="00E25B8C"/>
    <w:rsid w:val="00E51D65"/>
    <w:rsid w:val="00E6200B"/>
    <w:rsid w:val="00E655DA"/>
    <w:rsid w:val="00E65C85"/>
    <w:rsid w:val="00E66199"/>
    <w:rsid w:val="00E711C7"/>
    <w:rsid w:val="00E755EC"/>
    <w:rsid w:val="00E7624D"/>
    <w:rsid w:val="00E767D2"/>
    <w:rsid w:val="00E85251"/>
    <w:rsid w:val="00EA3D42"/>
    <w:rsid w:val="00EA6B1B"/>
    <w:rsid w:val="00EB5BC8"/>
    <w:rsid w:val="00EB606C"/>
    <w:rsid w:val="00EC04F1"/>
    <w:rsid w:val="00ED0EC2"/>
    <w:rsid w:val="00ED2C24"/>
    <w:rsid w:val="00ED7323"/>
    <w:rsid w:val="00EE28F3"/>
    <w:rsid w:val="00EE50D1"/>
    <w:rsid w:val="00EE77FA"/>
    <w:rsid w:val="00EF5110"/>
    <w:rsid w:val="00F0334E"/>
    <w:rsid w:val="00F04B3C"/>
    <w:rsid w:val="00F10411"/>
    <w:rsid w:val="00F15882"/>
    <w:rsid w:val="00F171E0"/>
    <w:rsid w:val="00F20BD3"/>
    <w:rsid w:val="00F2526A"/>
    <w:rsid w:val="00F373A5"/>
    <w:rsid w:val="00F47559"/>
    <w:rsid w:val="00F61176"/>
    <w:rsid w:val="00F64C7B"/>
    <w:rsid w:val="00F65B25"/>
    <w:rsid w:val="00F676DD"/>
    <w:rsid w:val="00F71667"/>
    <w:rsid w:val="00F75A26"/>
    <w:rsid w:val="00F76706"/>
    <w:rsid w:val="00F768C8"/>
    <w:rsid w:val="00F77F4F"/>
    <w:rsid w:val="00F81B8D"/>
    <w:rsid w:val="00F83FAD"/>
    <w:rsid w:val="00F8653A"/>
    <w:rsid w:val="00F92349"/>
    <w:rsid w:val="00F952A0"/>
    <w:rsid w:val="00FA3C7F"/>
    <w:rsid w:val="00FB4402"/>
    <w:rsid w:val="00FB60FE"/>
    <w:rsid w:val="00FB74E2"/>
    <w:rsid w:val="00FC71DC"/>
    <w:rsid w:val="00FD2ED2"/>
    <w:rsid w:val="00FD5614"/>
    <w:rsid w:val="00FD5E78"/>
    <w:rsid w:val="00FE0BE1"/>
    <w:rsid w:val="00FE1DE9"/>
    <w:rsid w:val="00FE344F"/>
    <w:rsid w:val="00FE36AF"/>
    <w:rsid w:val="00FE39C2"/>
    <w:rsid w:val="00FE3C32"/>
    <w:rsid w:val="00FE64AE"/>
    <w:rsid w:val="00FF5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93555799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1224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292F6-D55B-4B6D-BACB-87B9908A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11</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2015-11-23T00:03:00Z</dcterms:created>
  <dcterms:modified xsi:type="dcterms:W3CDTF">2015-11-23T00:05:00Z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8430264</vt:lpwstr>
  </property>
  <property fmtid="{D5CDD505-2E9C-101B-9397-08002B2CF9AE}" pid="3" name="_MarkAsFinal">
    <vt:bool>true</vt:bool>
  </property>
</Properties>
</file>