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455F1BD" wp14:editId="6027BD8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1E67A0">
            <w:t>DRAFT</w:t>
          </w:r>
          <w:r w:rsidR="00DA4752">
            <w:t xml:space="preserve"> DECISION</w:t>
          </w:r>
        </w:p>
        <w:p w:rsidR="001E67A0" w:rsidRDefault="00A06085" w:rsidP="008F07A3">
          <w:pPr>
            <w:pStyle w:val="ReportSubtitle"/>
          </w:pPr>
          <w:r>
            <w:t xml:space="preserve">ActewAGL </w:t>
          </w:r>
          <w:r w:rsidR="001E67A0">
            <w:t>D</w:t>
          </w:r>
          <w:r w:rsidR="0070011E">
            <w:t>istribution</w:t>
          </w:r>
        </w:p>
        <w:p w:rsidR="00415F31" w:rsidRDefault="001E67A0"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5B140A">
            <w:t>1</w:t>
          </w:r>
          <w:r w:rsidR="00DA4752">
            <w:t xml:space="preserve"> </w:t>
          </w:r>
          <w:r w:rsidR="00415F31">
            <w:rPr>
              <w:rFonts w:cs="Arial"/>
            </w:rPr>
            <w:t>–</w:t>
          </w:r>
          <w:r w:rsidR="00DA4752">
            <w:t xml:space="preserve"> </w:t>
          </w:r>
          <w:r w:rsidR="005B140A">
            <w:t>Reference tariff variation mechanism</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5449721"/>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1E67A0">
        <w:t>draft</w:t>
      </w:r>
      <w:r w:rsidR="00415F31">
        <w:t xml:space="preserve"> decision on </w:t>
      </w:r>
      <w:r w:rsidR="005B140A">
        <w:t>ActewAGL</w:t>
      </w:r>
      <w:r w:rsidR="00375F60">
        <w:t xml:space="preserve"> Distribution</w:t>
      </w:r>
      <w:r w:rsidR="005C0A7F">
        <w:t>'s</w:t>
      </w:r>
      <w:r w:rsidR="00415F31">
        <w:t xml:space="preserve"> </w:t>
      </w:r>
      <w:r w:rsidR="001E67A0">
        <w:t>access</w:t>
      </w:r>
      <w:r w:rsidR="00415F31">
        <w:t xml:space="preserve"> </w:t>
      </w:r>
      <w:r w:rsidR="001E67A0">
        <w:t xml:space="preserve">arrangement for </w:t>
      </w:r>
      <w:r w:rsidR="00415F31">
        <w:t>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1E67A0">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1E67A0">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544972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D71F6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5449721" w:history="1">
            <w:r w:rsidR="00D71F6C" w:rsidRPr="000143C1">
              <w:rPr>
                <w:rStyle w:val="Hyperlink"/>
              </w:rPr>
              <w:t>Note</w:t>
            </w:r>
            <w:r w:rsidR="00D71F6C">
              <w:rPr>
                <w:webHidden/>
              </w:rPr>
              <w:tab/>
            </w:r>
            <w:r w:rsidR="00D71F6C">
              <w:rPr>
                <w:webHidden/>
              </w:rPr>
              <w:fldChar w:fldCharType="begin"/>
            </w:r>
            <w:r w:rsidR="00D71F6C">
              <w:rPr>
                <w:webHidden/>
              </w:rPr>
              <w:instrText xml:space="preserve"> PAGEREF _Toc435449721 \h </w:instrText>
            </w:r>
            <w:r w:rsidR="00D71F6C">
              <w:rPr>
                <w:webHidden/>
              </w:rPr>
            </w:r>
            <w:r w:rsidR="00D71F6C">
              <w:rPr>
                <w:webHidden/>
              </w:rPr>
              <w:fldChar w:fldCharType="separate"/>
            </w:r>
            <w:r w:rsidR="00C513FD">
              <w:rPr>
                <w:webHidden/>
              </w:rPr>
              <w:t>11-2</w:t>
            </w:r>
            <w:r w:rsidR="00D71F6C">
              <w:rPr>
                <w:webHidden/>
              </w:rPr>
              <w:fldChar w:fldCharType="end"/>
            </w:r>
          </w:hyperlink>
        </w:p>
        <w:p w:rsidR="00D71F6C" w:rsidRDefault="00C948D1">
          <w:pPr>
            <w:pStyle w:val="TOC1"/>
            <w:rPr>
              <w:rFonts w:asciiTheme="minorHAnsi" w:eastAsiaTheme="minorEastAsia" w:hAnsiTheme="minorHAnsi"/>
              <w:b w:val="0"/>
              <w:color w:val="auto"/>
              <w:sz w:val="22"/>
              <w:lang w:val="en-AU" w:eastAsia="en-AU"/>
            </w:rPr>
          </w:pPr>
          <w:hyperlink w:anchor="_Toc435449722" w:history="1">
            <w:r w:rsidR="00D71F6C" w:rsidRPr="000143C1">
              <w:rPr>
                <w:rStyle w:val="Hyperlink"/>
              </w:rPr>
              <w:t>Contents</w:t>
            </w:r>
            <w:r w:rsidR="00D71F6C">
              <w:rPr>
                <w:webHidden/>
              </w:rPr>
              <w:tab/>
            </w:r>
            <w:r w:rsidR="00D71F6C">
              <w:rPr>
                <w:webHidden/>
              </w:rPr>
              <w:fldChar w:fldCharType="begin"/>
            </w:r>
            <w:r w:rsidR="00D71F6C">
              <w:rPr>
                <w:webHidden/>
              </w:rPr>
              <w:instrText xml:space="preserve"> PAGEREF _Toc435449722 \h </w:instrText>
            </w:r>
            <w:r w:rsidR="00D71F6C">
              <w:rPr>
                <w:webHidden/>
              </w:rPr>
            </w:r>
            <w:r w:rsidR="00D71F6C">
              <w:rPr>
                <w:webHidden/>
              </w:rPr>
              <w:fldChar w:fldCharType="separate"/>
            </w:r>
            <w:r w:rsidR="00C513FD">
              <w:rPr>
                <w:webHidden/>
              </w:rPr>
              <w:t>11-3</w:t>
            </w:r>
            <w:r w:rsidR="00D71F6C">
              <w:rPr>
                <w:webHidden/>
              </w:rPr>
              <w:fldChar w:fldCharType="end"/>
            </w:r>
          </w:hyperlink>
        </w:p>
        <w:p w:rsidR="00D71F6C" w:rsidRDefault="00C948D1">
          <w:pPr>
            <w:pStyle w:val="TOC1"/>
            <w:rPr>
              <w:rFonts w:asciiTheme="minorHAnsi" w:eastAsiaTheme="minorEastAsia" w:hAnsiTheme="minorHAnsi"/>
              <w:b w:val="0"/>
              <w:color w:val="auto"/>
              <w:sz w:val="22"/>
              <w:lang w:val="en-AU" w:eastAsia="en-AU"/>
            </w:rPr>
          </w:pPr>
          <w:hyperlink w:anchor="_Toc435449723" w:history="1">
            <w:r w:rsidR="00D71F6C" w:rsidRPr="000143C1">
              <w:rPr>
                <w:rStyle w:val="Hyperlink"/>
              </w:rPr>
              <w:t>Shortened forms</w:t>
            </w:r>
            <w:r w:rsidR="00D71F6C">
              <w:rPr>
                <w:webHidden/>
              </w:rPr>
              <w:tab/>
            </w:r>
            <w:r w:rsidR="00D71F6C">
              <w:rPr>
                <w:webHidden/>
              </w:rPr>
              <w:fldChar w:fldCharType="begin"/>
            </w:r>
            <w:r w:rsidR="00D71F6C">
              <w:rPr>
                <w:webHidden/>
              </w:rPr>
              <w:instrText xml:space="preserve"> PAGEREF _Toc435449723 \h </w:instrText>
            </w:r>
            <w:r w:rsidR="00D71F6C">
              <w:rPr>
                <w:webHidden/>
              </w:rPr>
            </w:r>
            <w:r w:rsidR="00D71F6C">
              <w:rPr>
                <w:webHidden/>
              </w:rPr>
              <w:fldChar w:fldCharType="separate"/>
            </w:r>
            <w:r w:rsidR="00C513FD">
              <w:rPr>
                <w:webHidden/>
              </w:rPr>
              <w:t>11-4</w:t>
            </w:r>
            <w:r w:rsidR="00D71F6C">
              <w:rPr>
                <w:webHidden/>
              </w:rPr>
              <w:fldChar w:fldCharType="end"/>
            </w:r>
          </w:hyperlink>
        </w:p>
        <w:p w:rsidR="00D71F6C" w:rsidRDefault="00C948D1">
          <w:pPr>
            <w:pStyle w:val="TOC1"/>
            <w:rPr>
              <w:rFonts w:asciiTheme="minorHAnsi" w:eastAsiaTheme="minorEastAsia" w:hAnsiTheme="minorHAnsi"/>
              <w:b w:val="0"/>
              <w:color w:val="auto"/>
              <w:sz w:val="22"/>
              <w:lang w:val="en-AU" w:eastAsia="en-AU"/>
            </w:rPr>
          </w:pPr>
          <w:hyperlink w:anchor="_Toc435449724" w:history="1">
            <w:r w:rsidR="00D71F6C" w:rsidRPr="000143C1">
              <w:rPr>
                <w:rStyle w:val="Hyperlink"/>
              </w:rPr>
              <w:t>11</w:t>
            </w:r>
            <w:r w:rsidR="00D71F6C">
              <w:rPr>
                <w:rFonts w:asciiTheme="minorHAnsi" w:eastAsiaTheme="minorEastAsia" w:hAnsiTheme="minorHAnsi"/>
                <w:b w:val="0"/>
                <w:color w:val="auto"/>
                <w:sz w:val="22"/>
                <w:lang w:val="en-AU" w:eastAsia="en-AU"/>
              </w:rPr>
              <w:tab/>
            </w:r>
            <w:r w:rsidR="00D71F6C" w:rsidRPr="000143C1">
              <w:rPr>
                <w:rStyle w:val="Hyperlink"/>
              </w:rPr>
              <w:t>Reference tariff variation mechanism</w:t>
            </w:r>
            <w:r w:rsidR="00D71F6C">
              <w:rPr>
                <w:webHidden/>
              </w:rPr>
              <w:tab/>
            </w:r>
            <w:r w:rsidR="00D71F6C">
              <w:rPr>
                <w:webHidden/>
              </w:rPr>
              <w:fldChar w:fldCharType="begin"/>
            </w:r>
            <w:r w:rsidR="00D71F6C">
              <w:rPr>
                <w:webHidden/>
              </w:rPr>
              <w:instrText xml:space="preserve"> PAGEREF _Toc435449724 \h </w:instrText>
            </w:r>
            <w:r w:rsidR="00D71F6C">
              <w:rPr>
                <w:webHidden/>
              </w:rPr>
            </w:r>
            <w:r w:rsidR="00D71F6C">
              <w:rPr>
                <w:webHidden/>
              </w:rPr>
              <w:fldChar w:fldCharType="separate"/>
            </w:r>
            <w:r w:rsidR="00C513FD">
              <w:rPr>
                <w:webHidden/>
              </w:rPr>
              <w:t>11-6</w:t>
            </w:r>
            <w:r w:rsidR="00D71F6C">
              <w:rPr>
                <w:webHidden/>
              </w:rPr>
              <w:fldChar w:fldCharType="end"/>
            </w:r>
          </w:hyperlink>
        </w:p>
        <w:p w:rsidR="00D71F6C" w:rsidRDefault="00C948D1">
          <w:pPr>
            <w:pStyle w:val="TOC2"/>
            <w:tabs>
              <w:tab w:val="left" w:pos="1276"/>
            </w:tabs>
            <w:rPr>
              <w:rFonts w:asciiTheme="minorHAnsi" w:eastAsiaTheme="minorEastAsia" w:hAnsiTheme="minorHAnsi"/>
              <w:b w:val="0"/>
              <w:color w:val="auto"/>
              <w:sz w:val="22"/>
              <w:lang w:eastAsia="en-AU"/>
            </w:rPr>
          </w:pPr>
          <w:hyperlink w:anchor="_Toc435449725" w:history="1">
            <w:r w:rsidR="00D71F6C" w:rsidRPr="000143C1">
              <w:rPr>
                <w:rStyle w:val="Hyperlink"/>
              </w:rPr>
              <w:t>11.1</w:t>
            </w:r>
            <w:r w:rsidR="00D71F6C">
              <w:rPr>
                <w:rFonts w:asciiTheme="minorHAnsi" w:eastAsiaTheme="minorEastAsia" w:hAnsiTheme="minorHAnsi"/>
                <w:b w:val="0"/>
                <w:color w:val="auto"/>
                <w:sz w:val="22"/>
                <w:lang w:eastAsia="en-AU"/>
              </w:rPr>
              <w:tab/>
            </w:r>
            <w:r w:rsidR="00D71F6C" w:rsidRPr="000143C1">
              <w:rPr>
                <w:rStyle w:val="Hyperlink"/>
              </w:rPr>
              <w:t>Draft decision</w:t>
            </w:r>
            <w:r w:rsidR="00D71F6C">
              <w:rPr>
                <w:webHidden/>
              </w:rPr>
              <w:tab/>
            </w:r>
            <w:r w:rsidR="00D71F6C">
              <w:rPr>
                <w:webHidden/>
              </w:rPr>
              <w:fldChar w:fldCharType="begin"/>
            </w:r>
            <w:r w:rsidR="00D71F6C">
              <w:rPr>
                <w:webHidden/>
              </w:rPr>
              <w:instrText xml:space="preserve"> PAGEREF _Toc435449725 \h </w:instrText>
            </w:r>
            <w:r w:rsidR="00D71F6C">
              <w:rPr>
                <w:webHidden/>
              </w:rPr>
            </w:r>
            <w:r w:rsidR="00D71F6C">
              <w:rPr>
                <w:webHidden/>
              </w:rPr>
              <w:fldChar w:fldCharType="separate"/>
            </w:r>
            <w:r w:rsidR="00C513FD">
              <w:rPr>
                <w:webHidden/>
              </w:rPr>
              <w:t>11-6</w:t>
            </w:r>
            <w:r w:rsidR="00D71F6C">
              <w:rPr>
                <w:webHidden/>
              </w:rPr>
              <w:fldChar w:fldCharType="end"/>
            </w:r>
          </w:hyperlink>
        </w:p>
        <w:p w:rsidR="00D71F6C" w:rsidRDefault="00C948D1">
          <w:pPr>
            <w:pStyle w:val="TOC2"/>
            <w:tabs>
              <w:tab w:val="left" w:pos="1276"/>
            </w:tabs>
            <w:rPr>
              <w:rFonts w:asciiTheme="minorHAnsi" w:eastAsiaTheme="minorEastAsia" w:hAnsiTheme="minorHAnsi"/>
              <w:b w:val="0"/>
              <w:color w:val="auto"/>
              <w:sz w:val="22"/>
              <w:lang w:eastAsia="en-AU"/>
            </w:rPr>
          </w:pPr>
          <w:hyperlink w:anchor="_Toc435449726" w:history="1">
            <w:r w:rsidR="00D71F6C" w:rsidRPr="000143C1">
              <w:rPr>
                <w:rStyle w:val="Hyperlink"/>
              </w:rPr>
              <w:t>11.2</w:t>
            </w:r>
            <w:r w:rsidR="00D71F6C">
              <w:rPr>
                <w:rFonts w:asciiTheme="minorHAnsi" w:eastAsiaTheme="minorEastAsia" w:hAnsiTheme="minorHAnsi"/>
                <w:b w:val="0"/>
                <w:color w:val="auto"/>
                <w:sz w:val="22"/>
                <w:lang w:eastAsia="en-AU"/>
              </w:rPr>
              <w:tab/>
            </w:r>
            <w:r w:rsidR="00D71F6C" w:rsidRPr="000143C1">
              <w:rPr>
                <w:rStyle w:val="Hyperlink"/>
              </w:rPr>
              <w:t>ActewAGL Distribution’s proposal</w:t>
            </w:r>
            <w:r w:rsidR="00D71F6C">
              <w:rPr>
                <w:webHidden/>
              </w:rPr>
              <w:tab/>
            </w:r>
            <w:r w:rsidR="00D71F6C">
              <w:rPr>
                <w:webHidden/>
              </w:rPr>
              <w:fldChar w:fldCharType="begin"/>
            </w:r>
            <w:r w:rsidR="00D71F6C">
              <w:rPr>
                <w:webHidden/>
              </w:rPr>
              <w:instrText xml:space="preserve"> PAGEREF _Toc435449726 \h </w:instrText>
            </w:r>
            <w:r w:rsidR="00D71F6C">
              <w:rPr>
                <w:webHidden/>
              </w:rPr>
            </w:r>
            <w:r w:rsidR="00D71F6C">
              <w:rPr>
                <w:webHidden/>
              </w:rPr>
              <w:fldChar w:fldCharType="separate"/>
            </w:r>
            <w:r w:rsidR="00C513FD">
              <w:rPr>
                <w:webHidden/>
              </w:rPr>
              <w:t>11-6</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27" w:history="1">
            <w:r w:rsidR="00D71F6C" w:rsidRPr="000143C1">
              <w:rPr>
                <w:rStyle w:val="Hyperlink"/>
              </w:rPr>
              <w:t>11.2.1</w:t>
            </w:r>
            <w:r w:rsidR="00D71F6C">
              <w:rPr>
                <w:rFonts w:asciiTheme="minorHAnsi" w:eastAsiaTheme="minorEastAsia" w:hAnsiTheme="minorHAnsi"/>
                <w:lang w:eastAsia="en-AU"/>
              </w:rPr>
              <w:tab/>
            </w:r>
            <w:r w:rsidR="00D71F6C" w:rsidRPr="000143C1">
              <w:rPr>
                <w:rStyle w:val="Hyperlink"/>
              </w:rPr>
              <w:t>Cost pass through events</w:t>
            </w:r>
            <w:r w:rsidR="00D71F6C">
              <w:rPr>
                <w:webHidden/>
              </w:rPr>
              <w:tab/>
            </w:r>
            <w:r w:rsidR="00D71F6C">
              <w:rPr>
                <w:webHidden/>
              </w:rPr>
              <w:fldChar w:fldCharType="begin"/>
            </w:r>
            <w:r w:rsidR="00D71F6C">
              <w:rPr>
                <w:webHidden/>
              </w:rPr>
              <w:instrText xml:space="preserve"> PAGEREF _Toc435449727 \h </w:instrText>
            </w:r>
            <w:r w:rsidR="00D71F6C">
              <w:rPr>
                <w:webHidden/>
              </w:rPr>
            </w:r>
            <w:r w:rsidR="00D71F6C">
              <w:rPr>
                <w:webHidden/>
              </w:rPr>
              <w:fldChar w:fldCharType="separate"/>
            </w:r>
            <w:r w:rsidR="00C513FD">
              <w:rPr>
                <w:webHidden/>
              </w:rPr>
              <w:t>11-7</w:t>
            </w:r>
            <w:r w:rsidR="00D71F6C">
              <w:rPr>
                <w:webHidden/>
              </w:rPr>
              <w:fldChar w:fldCharType="end"/>
            </w:r>
          </w:hyperlink>
        </w:p>
        <w:p w:rsidR="00D71F6C" w:rsidRDefault="00C948D1">
          <w:pPr>
            <w:pStyle w:val="TOC2"/>
            <w:tabs>
              <w:tab w:val="left" w:pos="1276"/>
            </w:tabs>
            <w:rPr>
              <w:rFonts w:asciiTheme="minorHAnsi" w:eastAsiaTheme="minorEastAsia" w:hAnsiTheme="minorHAnsi"/>
              <w:b w:val="0"/>
              <w:color w:val="auto"/>
              <w:sz w:val="22"/>
              <w:lang w:eastAsia="en-AU"/>
            </w:rPr>
          </w:pPr>
          <w:hyperlink w:anchor="_Toc435449728" w:history="1">
            <w:r w:rsidR="00D71F6C" w:rsidRPr="000143C1">
              <w:rPr>
                <w:rStyle w:val="Hyperlink"/>
              </w:rPr>
              <w:t>11.3</w:t>
            </w:r>
            <w:r w:rsidR="00D71F6C">
              <w:rPr>
                <w:rFonts w:asciiTheme="minorHAnsi" w:eastAsiaTheme="minorEastAsia" w:hAnsiTheme="minorHAnsi"/>
                <w:b w:val="0"/>
                <w:color w:val="auto"/>
                <w:sz w:val="22"/>
                <w:lang w:eastAsia="en-AU"/>
              </w:rPr>
              <w:tab/>
            </w:r>
            <w:r w:rsidR="00D71F6C" w:rsidRPr="000143C1">
              <w:rPr>
                <w:rStyle w:val="Hyperlink"/>
              </w:rPr>
              <w:t>AER’s assessment approach</w:t>
            </w:r>
            <w:r w:rsidR="00D71F6C">
              <w:rPr>
                <w:webHidden/>
              </w:rPr>
              <w:tab/>
            </w:r>
            <w:r w:rsidR="00D71F6C">
              <w:rPr>
                <w:webHidden/>
              </w:rPr>
              <w:fldChar w:fldCharType="begin"/>
            </w:r>
            <w:r w:rsidR="00D71F6C">
              <w:rPr>
                <w:webHidden/>
              </w:rPr>
              <w:instrText xml:space="preserve"> PAGEREF _Toc435449728 \h </w:instrText>
            </w:r>
            <w:r w:rsidR="00D71F6C">
              <w:rPr>
                <w:webHidden/>
              </w:rPr>
            </w:r>
            <w:r w:rsidR="00D71F6C">
              <w:rPr>
                <w:webHidden/>
              </w:rPr>
              <w:fldChar w:fldCharType="separate"/>
            </w:r>
            <w:r w:rsidR="00C513FD">
              <w:rPr>
                <w:webHidden/>
              </w:rPr>
              <w:t>11-10</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29" w:history="1">
            <w:r w:rsidR="00D71F6C" w:rsidRPr="000143C1">
              <w:rPr>
                <w:rStyle w:val="Hyperlink"/>
              </w:rPr>
              <w:t>11.3.1</w:t>
            </w:r>
            <w:r w:rsidR="00D71F6C">
              <w:rPr>
                <w:rFonts w:asciiTheme="minorHAnsi" w:eastAsiaTheme="minorEastAsia" w:hAnsiTheme="minorHAnsi"/>
                <w:lang w:eastAsia="en-AU"/>
              </w:rPr>
              <w:tab/>
            </w:r>
            <w:r w:rsidR="00D71F6C" w:rsidRPr="000143C1">
              <w:rPr>
                <w:rStyle w:val="Hyperlink"/>
              </w:rPr>
              <w:t>Cost pass through reference tariff variation mechanism</w:t>
            </w:r>
            <w:r w:rsidR="00D71F6C">
              <w:rPr>
                <w:webHidden/>
              </w:rPr>
              <w:tab/>
            </w:r>
            <w:r w:rsidR="00D71F6C">
              <w:rPr>
                <w:webHidden/>
              </w:rPr>
              <w:fldChar w:fldCharType="begin"/>
            </w:r>
            <w:r w:rsidR="00D71F6C">
              <w:rPr>
                <w:webHidden/>
              </w:rPr>
              <w:instrText xml:space="preserve"> PAGEREF _Toc435449729 \h </w:instrText>
            </w:r>
            <w:r w:rsidR="00D71F6C">
              <w:rPr>
                <w:webHidden/>
              </w:rPr>
            </w:r>
            <w:r w:rsidR="00D71F6C">
              <w:rPr>
                <w:webHidden/>
              </w:rPr>
              <w:fldChar w:fldCharType="separate"/>
            </w:r>
            <w:r w:rsidR="00C513FD">
              <w:rPr>
                <w:webHidden/>
              </w:rPr>
              <w:t>11-11</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30" w:history="1">
            <w:r w:rsidR="00D71F6C" w:rsidRPr="000143C1">
              <w:rPr>
                <w:rStyle w:val="Hyperlink"/>
              </w:rPr>
              <w:t>11.3.2</w:t>
            </w:r>
            <w:r w:rsidR="00D71F6C">
              <w:rPr>
                <w:rFonts w:asciiTheme="minorHAnsi" w:eastAsiaTheme="minorEastAsia" w:hAnsiTheme="minorHAnsi"/>
                <w:lang w:eastAsia="en-AU"/>
              </w:rPr>
              <w:tab/>
            </w:r>
            <w:r w:rsidR="00D71F6C" w:rsidRPr="000143C1">
              <w:rPr>
                <w:rStyle w:val="Hyperlink"/>
              </w:rPr>
              <w:t>Interrelationships</w:t>
            </w:r>
            <w:r w:rsidR="00D71F6C">
              <w:rPr>
                <w:webHidden/>
              </w:rPr>
              <w:tab/>
            </w:r>
            <w:r w:rsidR="00D71F6C">
              <w:rPr>
                <w:webHidden/>
              </w:rPr>
              <w:fldChar w:fldCharType="begin"/>
            </w:r>
            <w:r w:rsidR="00D71F6C">
              <w:rPr>
                <w:webHidden/>
              </w:rPr>
              <w:instrText xml:space="preserve"> PAGEREF _Toc435449730 \h </w:instrText>
            </w:r>
            <w:r w:rsidR="00D71F6C">
              <w:rPr>
                <w:webHidden/>
              </w:rPr>
            </w:r>
            <w:r w:rsidR="00D71F6C">
              <w:rPr>
                <w:webHidden/>
              </w:rPr>
              <w:fldChar w:fldCharType="separate"/>
            </w:r>
            <w:r w:rsidR="00C513FD">
              <w:rPr>
                <w:webHidden/>
              </w:rPr>
              <w:t>11-14</w:t>
            </w:r>
            <w:r w:rsidR="00D71F6C">
              <w:rPr>
                <w:webHidden/>
              </w:rPr>
              <w:fldChar w:fldCharType="end"/>
            </w:r>
          </w:hyperlink>
        </w:p>
        <w:p w:rsidR="00D71F6C" w:rsidRDefault="00C948D1">
          <w:pPr>
            <w:pStyle w:val="TOC2"/>
            <w:tabs>
              <w:tab w:val="left" w:pos="1276"/>
            </w:tabs>
            <w:rPr>
              <w:rFonts w:asciiTheme="minorHAnsi" w:eastAsiaTheme="minorEastAsia" w:hAnsiTheme="minorHAnsi"/>
              <w:b w:val="0"/>
              <w:color w:val="auto"/>
              <w:sz w:val="22"/>
              <w:lang w:eastAsia="en-AU"/>
            </w:rPr>
          </w:pPr>
          <w:hyperlink w:anchor="_Toc435449731" w:history="1">
            <w:r w:rsidR="00D71F6C" w:rsidRPr="000143C1">
              <w:rPr>
                <w:rStyle w:val="Hyperlink"/>
              </w:rPr>
              <w:t>11.4</w:t>
            </w:r>
            <w:r w:rsidR="00D71F6C">
              <w:rPr>
                <w:rFonts w:asciiTheme="minorHAnsi" w:eastAsiaTheme="minorEastAsia" w:hAnsiTheme="minorHAnsi"/>
                <w:b w:val="0"/>
                <w:color w:val="auto"/>
                <w:sz w:val="22"/>
                <w:lang w:eastAsia="en-AU"/>
              </w:rPr>
              <w:tab/>
            </w:r>
            <w:r w:rsidR="00D71F6C" w:rsidRPr="000143C1">
              <w:rPr>
                <w:rStyle w:val="Hyperlink"/>
              </w:rPr>
              <w:t>Reasons for draft decision</w:t>
            </w:r>
            <w:r w:rsidR="00D71F6C">
              <w:rPr>
                <w:webHidden/>
              </w:rPr>
              <w:tab/>
            </w:r>
            <w:r w:rsidR="00D71F6C">
              <w:rPr>
                <w:webHidden/>
              </w:rPr>
              <w:fldChar w:fldCharType="begin"/>
            </w:r>
            <w:r w:rsidR="00D71F6C">
              <w:rPr>
                <w:webHidden/>
              </w:rPr>
              <w:instrText xml:space="preserve"> PAGEREF _Toc435449731 \h </w:instrText>
            </w:r>
            <w:r w:rsidR="00D71F6C">
              <w:rPr>
                <w:webHidden/>
              </w:rPr>
            </w:r>
            <w:r w:rsidR="00D71F6C">
              <w:rPr>
                <w:webHidden/>
              </w:rPr>
              <w:fldChar w:fldCharType="separate"/>
            </w:r>
            <w:r w:rsidR="00C513FD">
              <w:rPr>
                <w:webHidden/>
              </w:rPr>
              <w:t>11-14</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32" w:history="1">
            <w:r w:rsidR="00D71F6C" w:rsidRPr="000143C1">
              <w:rPr>
                <w:rStyle w:val="Hyperlink"/>
              </w:rPr>
              <w:t>11.4.1</w:t>
            </w:r>
            <w:r w:rsidR="00D71F6C">
              <w:rPr>
                <w:rFonts w:asciiTheme="minorHAnsi" w:eastAsiaTheme="minorEastAsia" w:hAnsiTheme="minorHAnsi"/>
                <w:lang w:eastAsia="en-AU"/>
              </w:rPr>
              <w:tab/>
            </w:r>
            <w:r w:rsidR="00D71F6C" w:rsidRPr="000143C1">
              <w:rPr>
                <w:rStyle w:val="Hyperlink"/>
              </w:rPr>
              <w:t>Annual reference tariff variation mechanism</w:t>
            </w:r>
            <w:r w:rsidR="00D71F6C">
              <w:rPr>
                <w:webHidden/>
              </w:rPr>
              <w:tab/>
            </w:r>
            <w:r w:rsidR="00D71F6C">
              <w:rPr>
                <w:webHidden/>
              </w:rPr>
              <w:fldChar w:fldCharType="begin"/>
            </w:r>
            <w:r w:rsidR="00D71F6C">
              <w:rPr>
                <w:webHidden/>
              </w:rPr>
              <w:instrText xml:space="preserve"> PAGEREF _Toc435449732 \h </w:instrText>
            </w:r>
            <w:r w:rsidR="00D71F6C">
              <w:rPr>
                <w:webHidden/>
              </w:rPr>
            </w:r>
            <w:r w:rsidR="00D71F6C">
              <w:rPr>
                <w:webHidden/>
              </w:rPr>
              <w:fldChar w:fldCharType="separate"/>
            </w:r>
            <w:r w:rsidR="00C513FD">
              <w:rPr>
                <w:webHidden/>
              </w:rPr>
              <w:t>11-14</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40" w:history="1">
            <w:r w:rsidR="00D71F6C" w:rsidRPr="000143C1">
              <w:rPr>
                <w:rStyle w:val="Hyperlink"/>
              </w:rPr>
              <w:t>11.4.2</w:t>
            </w:r>
            <w:r w:rsidR="00D71F6C">
              <w:rPr>
                <w:rFonts w:asciiTheme="minorHAnsi" w:eastAsiaTheme="minorEastAsia" w:hAnsiTheme="minorHAnsi"/>
                <w:lang w:eastAsia="en-AU"/>
              </w:rPr>
              <w:tab/>
            </w:r>
            <w:r w:rsidR="00D71F6C" w:rsidRPr="000143C1">
              <w:rPr>
                <w:rStyle w:val="Hyperlink"/>
              </w:rPr>
              <w:t>Cost pass through events</w:t>
            </w:r>
            <w:r w:rsidR="00D71F6C">
              <w:rPr>
                <w:webHidden/>
              </w:rPr>
              <w:tab/>
            </w:r>
            <w:r w:rsidR="00D71F6C">
              <w:rPr>
                <w:webHidden/>
              </w:rPr>
              <w:fldChar w:fldCharType="begin"/>
            </w:r>
            <w:r w:rsidR="00D71F6C">
              <w:rPr>
                <w:webHidden/>
              </w:rPr>
              <w:instrText xml:space="preserve"> PAGEREF _Toc435449740 \h </w:instrText>
            </w:r>
            <w:r w:rsidR="00D71F6C">
              <w:rPr>
                <w:webHidden/>
              </w:rPr>
            </w:r>
            <w:r w:rsidR="00D71F6C">
              <w:rPr>
                <w:webHidden/>
              </w:rPr>
              <w:fldChar w:fldCharType="separate"/>
            </w:r>
            <w:r w:rsidR="00C513FD">
              <w:rPr>
                <w:webHidden/>
              </w:rPr>
              <w:t>11-23</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41" w:history="1">
            <w:r w:rsidR="00D71F6C" w:rsidRPr="000143C1">
              <w:rPr>
                <w:rStyle w:val="Hyperlink"/>
              </w:rPr>
              <w:t>11.4.3</w:t>
            </w:r>
            <w:r w:rsidR="00D71F6C">
              <w:rPr>
                <w:rFonts w:asciiTheme="minorHAnsi" w:eastAsiaTheme="minorEastAsia" w:hAnsiTheme="minorHAnsi"/>
                <w:lang w:eastAsia="en-AU"/>
              </w:rPr>
              <w:tab/>
            </w:r>
            <w:r w:rsidR="00D71F6C" w:rsidRPr="000143C1">
              <w:rPr>
                <w:rStyle w:val="Hyperlink"/>
              </w:rPr>
              <w:t>Fixed principles for cost pass through events</w:t>
            </w:r>
            <w:r w:rsidR="00D71F6C">
              <w:rPr>
                <w:webHidden/>
              </w:rPr>
              <w:tab/>
            </w:r>
            <w:r w:rsidR="00D71F6C">
              <w:rPr>
                <w:webHidden/>
              </w:rPr>
              <w:fldChar w:fldCharType="begin"/>
            </w:r>
            <w:r w:rsidR="00D71F6C">
              <w:rPr>
                <w:webHidden/>
              </w:rPr>
              <w:instrText xml:space="preserve"> PAGEREF _Toc435449741 \h </w:instrText>
            </w:r>
            <w:r w:rsidR="00D71F6C">
              <w:rPr>
                <w:webHidden/>
              </w:rPr>
            </w:r>
            <w:r w:rsidR="00D71F6C">
              <w:rPr>
                <w:webHidden/>
              </w:rPr>
              <w:fldChar w:fldCharType="separate"/>
            </w:r>
            <w:r w:rsidR="00C513FD">
              <w:rPr>
                <w:webHidden/>
              </w:rPr>
              <w:t>11-38</w:t>
            </w:r>
            <w:r w:rsidR="00D71F6C">
              <w:rPr>
                <w:webHidden/>
              </w:rPr>
              <w:fldChar w:fldCharType="end"/>
            </w:r>
          </w:hyperlink>
        </w:p>
        <w:p w:rsidR="00D71F6C" w:rsidRDefault="00C948D1">
          <w:pPr>
            <w:pStyle w:val="TOC3"/>
            <w:rPr>
              <w:rFonts w:asciiTheme="minorHAnsi" w:eastAsiaTheme="minorEastAsia" w:hAnsiTheme="minorHAnsi"/>
              <w:lang w:eastAsia="en-AU"/>
            </w:rPr>
          </w:pPr>
          <w:hyperlink w:anchor="_Toc435449742" w:history="1">
            <w:r w:rsidR="00D71F6C" w:rsidRPr="000143C1">
              <w:rPr>
                <w:rStyle w:val="Hyperlink"/>
              </w:rPr>
              <w:t>11.4.4</w:t>
            </w:r>
            <w:r w:rsidR="00D71F6C">
              <w:rPr>
                <w:rFonts w:asciiTheme="minorHAnsi" w:eastAsiaTheme="minorEastAsia" w:hAnsiTheme="minorHAnsi"/>
                <w:lang w:eastAsia="en-AU"/>
              </w:rPr>
              <w:tab/>
            </w:r>
            <w:r w:rsidR="00D71F6C" w:rsidRPr="000143C1">
              <w:rPr>
                <w:rStyle w:val="Hyperlink"/>
              </w:rPr>
              <w:t>Cost pass through application and approval process</w:t>
            </w:r>
            <w:r w:rsidR="00D71F6C">
              <w:rPr>
                <w:webHidden/>
              </w:rPr>
              <w:tab/>
            </w:r>
            <w:r w:rsidR="00D71F6C">
              <w:rPr>
                <w:webHidden/>
              </w:rPr>
              <w:fldChar w:fldCharType="begin"/>
            </w:r>
            <w:r w:rsidR="00D71F6C">
              <w:rPr>
                <w:webHidden/>
              </w:rPr>
              <w:instrText xml:space="preserve"> PAGEREF _Toc435449742 \h </w:instrText>
            </w:r>
            <w:r w:rsidR="00D71F6C">
              <w:rPr>
                <w:webHidden/>
              </w:rPr>
            </w:r>
            <w:r w:rsidR="00D71F6C">
              <w:rPr>
                <w:webHidden/>
              </w:rPr>
              <w:fldChar w:fldCharType="separate"/>
            </w:r>
            <w:r w:rsidR="00C513FD">
              <w:rPr>
                <w:webHidden/>
              </w:rPr>
              <w:t>11-39</w:t>
            </w:r>
            <w:r w:rsidR="00D71F6C">
              <w:rPr>
                <w:webHidden/>
              </w:rPr>
              <w:fldChar w:fldCharType="end"/>
            </w:r>
          </w:hyperlink>
        </w:p>
        <w:p w:rsidR="00D71F6C" w:rsidRDefault="00C948D1">
          <w:pPr>
            <w:pStyle w:val="TOC2"/>
            <w:tabs>
              <w:tab w:val="left" w:pos="1276"/>
            </w:tabs>
            <w:rPr>
              <w:rFonts w:asciiTheme="minorHAnsi" w:eastAsiaTheme="minorEastAsia" w:hAnsiTheme="minorHAnsi"/>
              <w:b w:val="0"/>
              <w:color w:val="auto"/>
              <w:sz w:val="22"/>
              <w:lang w:eastAsia="en-AU"/>
            </w:rPr>
          </w:pPr>
          <w:hyperlink w:anchor="_Toc435449743" w:history="1">
            <w:r w:rsidR="00D71F6C" w:rsidRPr="000143C1">
              <w:rPr>
                <w:rStyle w:val="Hyperlink"/>
              </w:rPr>
              <w:t>11.5</w:t>
            </w:r>
            <w:r w:rsidR="00D71F6C">
              <w:rPr>
                <w:rFonts w:asciiTheme="minorHAnsi" w:eastAsiaTheme="minorEastAsia" w:hAnsiTheme="minorHAnsi"/>
                <w:b w:val="0"/>
                <w:color w:val="auto"/>
                <w:sz w:val="22"/>
                <w:lang w:eastAsia="en-AU"/>
              </w:rPr>
              <w:tab/>
            </w:r>
            <w:r w:rsidR="00D71F6C" w:rsidRPr="000143C1">
              <w:rPr>
                <w:rStyle w:val="Hyperlink"/>
              </w:rPr>
              <w:t>Revisions to ActewAGL's proposed access arrangement</w:t>
            </w:r>
            <w:r w:rsidR="00D71F6C">
              <w:rPr>
                <w:webHidden/>
              </w:rPr>
              <w:tab/>
            </w:r>
            <w:r w:rsidR="00D71F6C">
              <w:rPr>
                <w:webHidden/>
              </w:rPr>
              <w:fldChar w:fldCharType="begin"/>
            </w:r>
            <w:r w:rsidR="00D71F6C">
              <w:rPr>
                <w:webHidden/>
              </w:rPr>
              <w:instrText xml:space="preserve"> PAGEREF _Toc435449743 \h </w:instrText>
            </w:r>
            <w:r w:rsidR="00D71F6C">
              <w:rPr>
                <w:webHidden/>
              </w:rPr>
            </w:r>
            <w:r w:rsidR="00D71F6C">
              <w:rPr>
                <w:webHidden/>
              </w:rPr>
              <w:fldChar w:fldCharType="separate"/>
            </w:r>
            <w:r w:rsidR="00C513FD">
              <w:rPr>
                <w:webHidden/>
              </w:rPr>
              <w:t>11-39</w:t>
            </w:r>
            <w:r w:rsidR="00D71F6C">
              <w:rPr>
                <w:webHidden/>
              </w:rPr>
              <w:fldChar w:fldCharType="end"/>
            </w:r>
          </w:hyperlink>
        </w:p>
        <w:p w:rsidR="00DE563D" w:rsidRDefault="00091B15" w:rsidP="00BA2A33">
          <w: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5449723"/>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3371C3"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Shortened form</w:t>
            </w:r>
          </w:p>
        </w:tc>
        <w:tc>
          <w:tcPr>
            <w:tcW w:w="5041" w:type="dxa"/>
          </w:tcPr>
          <w:p w:rsidR="003371C3" w:rsidRDefault="003371C3" w:rsidP="003371C3">
            <w:pPr>
              <w:numPr>
                <w:ilvl w:val="0"/>
                <w:numId w:val="44"/>
              </w:numPr>
              <w:cnfStyle w:val="100000000000" w:firstRow="1" w:lastRow="0" w:firstColumn="0" w:lastColumn="0" w:oddVBand="0" w:evenVBand="0" w:oddHBand="0" w:evenHBand="0" w:firstRowFirstColumn="0" w:firstRowLastColumn="0" w:lastRowFirstColumn="0" w:lastRowLastColumn="0"/>
            </w:pPr>
            <w:r>
              <w:t>Extended form</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AA</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Access Arrangement</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AAI</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AER</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ASA</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Asset Services Agreement</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ATO</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Australian Tax Office</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capex</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capital expenditure</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CAPM</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CCP</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Consumer Challenge Panel</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CESS</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CMF</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construction management fee</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CPI</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consumer price index</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DAMS</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DRP</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debt risk premium</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EBSS</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EIL</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Energy Industry Levy</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ERP</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equity risk premium</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Expenditure Guideline</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gamma</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Value of Imputation Credits</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GSL</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Guaranteed Service Level</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GTA</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ICRC</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MRP</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market risk premium</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NECF</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NERL</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National Energy Retail Law</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NERR</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NGL</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national gas law</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NGO</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national gas objective</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NGR</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national gas rules</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NPV</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net present value</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opex</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operating expenditure</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lastRenderedPageBreak/>
              <w:t>PFP</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partial factor productivity</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PPI</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PTRM</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post-tax revenue model</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RBA</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Reserve Bank of Australia</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RFM</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roll forward model</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RIN</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RoLR</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retailer of last resort</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RSA</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Reference Service Agreement</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RPP</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SLCAPM</w:t>
            </w:r>
          </w:p>
        </w:tc>
        <w:tc>
          <w:tcPr>
            <w:tcW w:w="5041" w:type="dxa"/>
          </w:tcPr>
          <w:p w:rsidR="003371C3" w:rsidRDefault="003371C3" w:rsidP="003371C3">
            <w:pPr>
              <w:numPr>
                <w:ilvl w:val="0"/>
                <w:numId w:val="4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STTM</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Short Term Trading Market</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TAB</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Tax asset base</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UAFG</w:t>
            </w:r>
          </w:p>
        </w:tc>
        <w:tc>
          <w:tcPr>
            <w:tcW w:w="5041" w:type="dxa"/>
          </w:tcPr>
          <w:p w:rsidR="003371C3" w:rsidRDefault="003371C3" w:rsidP="000C0557">
            <w:pPr>
              <w:cnfStyle w:val="000000000000" w:firstRow="0" w:lastRow="0" w:firstColumn="0" w:lastColumn="0" w:oddVBand="0" w:evenVBand="0" w:oddHBand="0" w:evenHBand="0" w:firstRowFirstColumn="0" w:firstRowLastColumn="0" w:lastRowFirstColumn="0" w:lastRowLastColumn="0"/>
            </w:pPr>
            <w:r>
              <w:t>Unaccounted for gas</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UNFT</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3371C3" w:rsidTr="000C0557">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WACC</w:t>
            </w:r>
          </w:p>
        </w:tc>
        <w:tc>
          <w:tcPr>
            <w:tcW w:w="5041" w:type="dxa"/>
          </w:tcPr>
          <w:p w:rsidR="003371C3" w:rsidRDefault="003371C3" w:rsidP="003371C3">
            <w:pPr>
              <w:numPr>
                <w:ilvl w:val="0"/>
                <w:numId w:val="4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3371C3"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71C3" w:rsidRDefault="003371C3" w:rsidP="003371C3">
            <w:pPr>
              <w:numPr>
                <w:ilvl w:val="0"/>
                <w:numId w:val="44"/>
              </w:numPr>
            </w:pPr>
            <w:r>
              <w:t>WPI</w:t>
            </w:r>
          </w:p>
        </w:tc>
        <w:tc>
          <w:tcPr>
            <w:tcW w:w="5041" w:type="dxa"/>
          </w:tcPr>
          <w:p w:rsidR="003371C3" w:rsidRDefault="003371C3" w:rsidP="000C0557">
            <w:pPr>
              <w:cnfStyle w:val="000000010000" w:firstRow="0" w:lastRow="0" w:firstColumn="0" w:lastColumn="0" w:oddVBand="0" w:evenVBand="0" w:oddHBand="0" w:evenHBand="1" w:firstRowFirstColumn="0" w:firstRowLastColumn="0" w:lastRowFirstColumn="0" w:lastRowLastColumn="0"/>
            </w:pPr>
            <w:r>
              <w:t>Wage Price Index</w:t>
            </w:r>
          </w:p>
        </w:tc>
      </w:tr>
    </w:tbl>
    <w:p w:rsidR="003371C3" w:rsidRPr="003371C3" w:rsidRDefault="003371C3" w:rsidP="003371C3"/>
    <w:p w:rsidR="00DE563D" w:rsidRDefault="00F76B46" w:rsidP="005B140A">
      <w:pPr>
        <w:pStyle w:val="Heading1"/>
      </w:pPr>
      <w:bookmarkStart w:id="10" w:name="_Toc435449724"/>
      <w:r>
        <w:lastRenderedPageBreak/>
        <w:t>Reference tariff variation mechanism</w:t>
      </w:r>
      <w:bookmarkEnd w:id="10"/>
    </w:p>
    <w:p w:rsidR="004673CC" w:rsidRDefault="004673CC" w:rsidP="004673CC">
      <w:r>
        <w:t>This attachment sets out the AER’s consideration of the reference tariff variation mechanism proposed by ActewAGL</w:t>
      </w:r>
      <w:r w:rsidR="00044BBC">
        <w:t xml:space="preserve"> Distribution</w:t>
      </w:r>
      <w:r w:rsidR="009664A2">
        <w:t xml:space="preserve"> (ActewAGL)</w:t>
      </w:r>
      <w:r>
        <w:t xml:space="preserve">. The reference tariff variation mechanism: </w:t>
      </w:r>
    </w:p>
    <w:p w:rsidR="008F2CFF" w:rsidRPr="008F2CFF" w:rsidRDefault="008F2CFF" w:rsidP="008F2CFF">
      <w:pPr>
        <w:pStyle w:val="AERbulletlistfirststyle"/>
      </w:pPr>
      <w:r>
        <w:t xml:space="preserve">permits </w:t>
      </w:r>
      <w:r w:rsidRPr="008F2CFF">
        <w:t>building block revenues to be recovered smoothly over the access arrangement period, subject to any differences between forecast and actual demand</w:t>
      </w:r>
    </w:p>
    <w:p w:rsidR="008F2CFF" w:rsidRPr="008F2CFF" w:rsidRDefault="008F2CFF" w:rsidP="008F2CFF">
      <w:pPr>
        <w:pStyle w:val="AERbulletlistfirststyle"/>
      </w:pPr>
      <w:r>
        <w:t>a</w:t>
      </w:r>
      <w:r w:rsidRPr="008F2CFF">
        <w:t>ccounts for actual inflation</w:t>
      </w:r>
    </w:p>
    <w:p w:rsidR="008F2CFF" w:rsidRPr="008F2CFF" w:rsidRDefault="008F2CFF" w:rsidP="008F2CFF">
      <w:pPr>
        <w:pStyle w:val="AERbulletlistfirststyle"/>
      </w:pPr>
      <w:r>
        <w:t>a</w:t>
      </w:r>
      <w:r w:rsidRPr="008F2CFF">
        <w:t>ccommodates other reference tariff adjustments that may be required, such as for an approved cost pass through event</w:t>
      </w:r>
    </w:p>
    <w:p w:rsidR="008F2CFF" w:rsidRDefault="008F2CFF" w:rsidP="008F2CFF">
      <w:pPr>
        <w:pStyle w:val="AERbulletlistfirststyle"/>
      </w:pPr>
      <w:r>
        <w:t xml:space="preserve">sets </w:t>
      </w:r>
      <w:r w:rsidRPr="008F2CFF">
        <w:t>administrative procedures for the approval of any proposed changes to reference tariffs.</w:t>
      </w:r>
    </w:p>
    <w:p w:rsidR="009A5113" w:rsidRDefault="001E67A0" w:rsidP="009A5113">
      <w:pPr>
        <w:pStyle w:val="Heading2"/>
      </w:pPr>
      <w:bookmarkStart w:id="11" w:name="_Toc408404320"/>
      <w:bookmarkStart w:id="12" w:name="_Toc435449725"/>
      <w:r>
        <w:t>Draft</w:t>
      </w:r>
      <w:r w:rsidR="009A5113" w:rsidRPr="0074565D">
        <w:t xml:space="preserve"> decision</w:t>
      </w:r>
      <w:bookmarkEnd w:id="11"/>
      <w:bookmarkEnd w:id="12"/>
    </w:p>
    <w:p w:rsidR="004673CC" w:rsidRDefault="004673CC" w:rsidP="004673CC">
      <w:r>
        <w:t xml:space="preserve">We </w:t>
      </w:r>
      <w:r w:rsidR="007D20F2">
        <w:t>do</w:t>
      </w:r>
      <w:r>
        <w:t xml:space="preserve"> not accept </w:t>
      </w:r>
      <w:r w:rsidR="009664A2">
        <w:t>ActewAGL</w:t>
      </w:r>
      <w:r>
        <w:t xml:space="preserve">'s proposed reference tariff variation mechanism for the 2016–21 access arrangement period. We consider that some elements of </w:t>
      </w:r>
      <w:r w:rsidR="009664A2">
        <w:t>ActewAGL</w:t>
      </w:r>
      <w:r>
        <w:t xml:space="preserve">'s proposed reference tariff variation mechanism are not consistent with the </w:t>
      </w:r>
      <w:r w:rsidR="0089203E">
        <w:t>National Gas Law (</w:t>
      </w:r>
      <w:r>
        <w:t>NGL</w:t>
      </w:r>
      <w:r w:rsidR="0089203E">
        <w:t>)</w:t>
      </w:r>
      <w:r>
        <w:t>. In particular:</w:t>
      </w:r>
    </w:p>
    <w:p w:rsidR="008F2CFF" w:rsidRDefault="008F2CFF" w:rsidP="004673CC">
      <w:pPr>
        <w:pStyle w:val="AERbulletlistfirststyle"/>
      </w:pPr>
      <w:r w:rsidRPr="008F2CFF">
        <w:t xml:space="preserve">the proposed initial reference tariffs and X factors must be revised to reflect the changes to the forecast total revenue </w:t>
      </w:r>
      <w:r w:rsidR="00C8604F">
        <w:t>approved in</w:t>
      </w:r>
      <w:r w:rsidRPr="008F2CFF">
        <w:t xml:space="preserve"> this draft decision</w:t>
      </w:r>
    </w:p>
    <w:p w:rsidR="00F439BB" w:rsidRPr="00F439BB" w:rsidRDefault="00F439BB" w:rsidP="00F439BB">
      <w:pPr>
        <w:pStyle w:val="AERbulletlistfirststyle"/>
      </w:pPr>
      <w:r w:rsidRPr="00F439BB">
        <w:t>we do not accept definitions for certain parameters within the control and rebalancing mechanisms</w:t>
      </w:r>
    </w:p>
    <w:p w:rsidR="00BB2110" w:rsidRDefault="009B4B4A" w:rsidP="009B4B4A">
      <w:pPr>
        <w:pStyle w:val="AERbulletlistfirststyle"/>
      </w:pPr>
      <w:r>
        <w:t xml:space="preserve">we do not accept the </w:t>
      </w:r>
      <w:r w:rsidRPr="009B4B4A">
        <w:t>proposal to vary reference tariffs during a financial year to apply at a date prior to the start of the next financial year</w:t>
      </w:r>
    </w:p>
    <w:p w:rsidR="004673CC" w:rsidRDefault="00BB2110" w:rsidP="009B4B4A">
      <w:pPr>
        <w:pStyle w:val="AERbulletlistfirststyle"/>
      </w:pPr>
      <w:r>
        <w:t>we do not accept all of ActewAGL’s proposed pass through events</w:t>
      </w:r>
      <w:r w:rsidR="009B4B4A">
        <w:t>.</w:t>
      </w:r>
    </w:p>
    <w:p w:rsidR="00E25BE1" w:rsidRPr="004673CC" w:rsidRDefault="00E25BE1" w:rsidP="00E25BE1">
      <w:pPr>
        <w:pStyle w:val="AERbulletlistfirststyle"/>
        <w:numPr>
          <w:ilvl w:val="0"/>
          <w:numId w:val="0"/>
        </w:numPr>
        <w:ind w:left="357" w:hanging="357"/>
      </w:pPr>
      <w:r>
        <w:t xml:space="preserve">Our reasons for this decision are discussed below. </w:t>
      </w:r>
    </w:p>
    <w:p w:rsidR="009A5113" w:rsidRDefault="005B140A" w:rsidP="009A5113">
      <w:pPr>
        <w:pStyle w:val="Heading2"/>
      </w:pPr>
      <w:bookmarkStart w:id="13" w:name="_Toc435449726"/>
      <w:r>
        <w:t>ActewAGL</w:t>
      </w:r>
      <w:r w:rsidR="00044BBC">
        <w:t>’s</w:t>
      </w:r>
      <w:r w:rsidR="005C0A7F">
        <w:t xml:space="preserve"> proposal</w:t>
      </w:r>
      <w:bookmarkEnd w:id="13"/>
    </w:p>
    <w:p w:rsidR="007D20F2" w:rsidRDefault="009664A2" w:rsidP="007D20F2">
      <w:r>
        <w:t>ActewAGL</w:t>
      </w:r>
      <w:r w:rsidR="00F439BB">
        <w:t xml:space="preserve"> proposed the following revisions to the reference tariff variation mechanism and cost pass through events to that in the current access arrangement:</w:t>
      </w:r>
    </w:p>
    <w:p w:rsidR="00F439BB" w:rsidRDefault="00E1176E" w:rsidP="00E1176E">
      <w:pPr>
        <w:pStyle w:val="AERbulletlistfirststyle"/>
      </w:pPr>
      <w:r>
        <w:t>replace the fi</w:t>
      </w:r>
      <w:r w:rsidR="0089203E">
        <w:t xml:space="preserve">xed schedule of tariffs with a </w:t>
      </w:r>
      <w:r>
        <w:t>weighted average price cap tariff variation mechanism</w:t>
      </w:r>
    </w:p>
    <w:p w:rsidR="00E1176E" w:rsidRDefault="00E1176E" w:rsidP="00E1176E">
      <w:pPr>
        <w:pStyle w:val="AERbulletlistfirststyle"/>
      </w:pPr>
      <w:r>
        <w:t>'refresh' the cost pass through events</w:t>
      </w:r>
    </w:p>
    <w:p w:rsidR="00E1176E" w:rsidRDefault="00E1176E" w:rsidP="00954349">
      <w:pPr>
        <w:pStyle w:val="AERbulletlistfirststyle"/>
      </w:pPr>
      <w:r>
        <w:t xml:space="preserve">streamline the process for adjusting tariffs due to changes in uncontrolled costs through an automatic adjustment factor in the </w:t>
      </w:r>
      <w:r w:rsidR="00954349" w:rsidRPr="00954349">
        <w:t>weighted average price cap</w:t>
      </w:r>
      <w:r>
        <w:t xml:space="preserve"> formula</w:t>
      </w:r>
    </w:p>
    <w:p w:rsidR="00E1176E" w:rsidRPr="007D20F2" w:rsidRDefault="00E1176E" w:rsidP="00E1176E">
      <w:pPr>
        <w:pStyle w:val="AERbulletlistfirststyle"/>
      </w:pPr>
      <w:r>
        <w:lastRenderedPageBreak/>
        <w:t>align the tariff variation process with other access arrangements and the National Electricity Rules.</w:t>
      </w:r>
      <w:r>
        <w:rPr>
          <w:rStyle w:val="FootnoteReference"/>
        </w:rPr>
        <w:footnoteReference w:id="1"/>
      </w:r>
    </w:p>
    <w:p w:rsidR="00933E99" w:rsidRDefault="00933E99" w:rsidP="00933E99">
      <w:pPr>
        <w:pStyle w:val="Heading3"/>
      </w:pPr>
      <w:bookmarkStart w:id="14" w:name="_Toc435449727"/>
      <w:r>
        <w:t>Cost pass through events</w:t>
      </w:r>
      <w:bookmarkEnd w:id="14"/>
      <w:r>
        <w:t xml:space="preserve"> </w:t>
      </w:r>
    </w:p>
    <w:p w:rsidR="00933E99" w:rsidRDefault="00933E99" w:rsidP="00933E99">
      <w:r>
        <w:t xml:space="preserve">The inclusion of a pass through mechanism recognises a service provider can be exposed to risks beyond its control, which may have a material impact on costs. A cost pass through enables a </w:t>
      </w:r>
      <w:r w:rsidR="00BD108D">
        <w:t>service provider</w:t>
      </w:r>
      <w:r>
        <w:t xml:space="preserve"> to recover (or pass through) the costs of defined unpredictable, high cost events. </w:t>
      </w:r>
    </w:p>
    <w:p w:rsidR="00933E99" w:rsidRPr="00933E99" w:rsidRDefault="009664A2" w:rsidP="00933E99">
      <w:r>
        <w:t>ActewAGL</w:t>
      </w:r>
      <w:r w:rsidR="00933E99">
        <w:t>’s propose</w:t>
      </w:r>
      <w:r w:rsidR="00BD108D">
        <w:t>d</w:t>
      </w:r>
      <w:r w:rsidR="00933E99">
        <w:t xml:space="preserve"> pass through events are set out in </w:t>
      </w:r>
      <w:r w:rsidR="009915AF">
        <w:fldChar w:fldCharType="begin"/>
      </w:r>
      <w:r w:rsidR="009915AF">
        <w:instrText xml:space="preserve"> REF _Ref435448970 \h </w:instrText>
      </w:r>
      <w:r w:rsidR="009915AF">
        <w:fldChar w:fldCharType="separate"/>
      </w:r>
      <w:r w:rsidR="009915AF">
        <w:t xml:space="preserve">Table </w:t>
      </w:r>
      <w:r w:rsidR="009915AF">
        <w:rPr>
          <w:noProof/>
        </w:rPr>
        <w:t>11</w:t>
      </w:r>
      <w:r w:rsidR="009915AF">
        <w:t>.</w:t>
      </w:r>
      <w:r w:rsidR="009915AF">
        <w:rPr>
          <w:noProof/>
        </w:rPr>
        <w:t>1</w:t>
      </w:r>
      <w:r w:rsidR="009915AF">
        <w:fldChar w:fldCharType="end"/>
      </w:r>
      <w:r w:rsidR="00933E99">
        <w:t xml:space="preserve">. </w:t>
      </w:r>
    </w:p>
    <w:p w:rsidR="00933E99" w:rsidRDefault="00933E99" w:rsidP="00933E99">
      <w:pPr>
        <w:pStyle w:val="Tabletitle"/>
      </w:pPr>
      <w:r>
        <w:t>Table 11.1</w:t>
      </w:r>
      <w:r>
        <w:tab/>
      </w:r>
      <w:r w:rsidR="009664A2">
        <w:t>ActewAGL</w:t>
      </w:r>
      <w:r>
        <w:t xml:space="preserve">’s proposed pass through events </w:t>
      </w:r>
    </w:p>
    <w:tbl>
      <w:tblPr>
        <w:tblStyle w:val="AERtable-text1"/>
        <w:tblW w:w="0" w:type="auto"/>
        <w:tblInd w:w="0" w:type="dxa"/>
        <w:tblLook w:val="04A0" w:firstRow="1" w:lastRow="0" w:firstColumn="1" w:lastColumn="0" w:noHBand="0" w:noVBand="1"/>
      </w:tblPr>
      <w:tblGrid>
        <w:gridCol w:w="2660"/>
        <w:gridCol w:w="6033"/>
      </w:tblGrid>
      <w:tr w:rsidR="00933E99" w:rsidTr="009915AF">
        <w:trPr>
          <w:cnfStyle w:val="100000000000" w:firstRow="1" w:lastRow="0" w:firstColumn="0" w:lastColumn="0" w:oddVBand="0" w:evenVBand="0" w:oddHBand="0" w:evenHBand="0" w:firstRowFirstColumn="0" w:firstRowLastColumn="0" w:lastRowFirstColumn="0" w:lastRowLastColumn="0"/>
          <w:tblHeader/>
        </w:trPr>
        <w:tc>
          <w:tcPr>
            <w:tcW w:w="2660" w:type="dxa"/>
          </w:tcPr>
          <w:p w:rsidR="00933E99" w:rsidRPr="00933E99" w:rsidRDefault="00933E99" w:rsidP="00933E99">
            <w:pPr>
              <w:pStyle w:val="TableHeading"/>
              <w:rPr>
                <w:sz w:val="22"/>
                <w:szCs w:val="22"/>
              </w:rPr>
            </w:pPr>
            <w:r w:rsidRPr="00933E99">
              <w:rPr>
                <w:sz w:val="22"/>
                <w:szCs w:val="22"/>
              </w:rPr>
              <w:t xml:space="preserve">Proposed event </w:t>
            </w:r>
          </w:p>
        </w:tc>
        <w:tc>
          <w:tcPr>
            <w:tcW w:w="6033" w:type="dxa"/>
          </w:tcPr>
          <w:p w:rsidR="00933E99" w:rsidRPr="00933E99" w:rsidRDefault="00933E99" w:rsidP="00933E99">
            <w:pPr>
              <w:pStyle w:val="TableHeading"/>
              <w:rPr>
                <w:sz w:val="22"/>
                <w:szCs w:val="22"/>
              </w:rPr>
            </w:pPr>
            <w:r w:rsidRPr="00933E99">
              <w:rPr>
                <w:sz w:val="22"/>
                <w:szCs w:val="22"/>
              </w:rPr>
              <w:t xml:space="preserve">Proposed definition </w:t>
            </w:r>
          </w:p>
        </w:tc>
      </w:tr>
      <w:tr w:rsidR="00933E99" w:rsidTr="000B75B6">
        <w:tc>
          <w:tcPr>
            <w:tcW w:w="2660" w:type="dxa"/>
          </w:tcPr>
          <w:p w:rsidR="00933E99" w:rsidRPr="000B75B6" w:rsidRDefault="00DB7545" w:rsidP="0024329D">
            <w:pPr>
              <w:pStyle w:val="Tabletext"/>
              <w:rPr>
                <w:rStyle w:val="AERbody"/>
                <w:rFonts w:asciiTheme="majorHAnsi" w:hAnsiTheme="majorHAnsi" w:cstheme="majorHAnsi"/>
                <w:sz w:val="18"/>
                <w:szCs w:val="18"/>
              </w:rPr>
            </w:pPr>
            <w:r w:rsidRPr="000B75B6">
              <w:rPr>
                <w:rStyle w:val="AERbody"/>
                <w:rFonts w:asciiTheme="majorHAnsi" w:hAnsiTheme="majorHAnsi" w:cstheme="majorHAnsi"/>
                <w:sz w:val="18"/>
                <w:szCs w:val="18"/>
              </w:rPr>
              <w:t xml:space="preserve">Regulatory Change Event </w:t>
            </w:r>
          </w:p>
        </w:tc>
        <w:tc>
          <w:tcPr>
            <w:tcW w:w="6033" w:type="dxa"/>
          </w:tcPr>
          <w:p w:rsidR="00933E99"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Regulatory Change Event means a change in a regulatory obligation or requirement that affects the manner in which the ActewAGL provides the Reference Service.</w:t>
            </w:r>
          </w:p>
        </w:tc>
      </w:tr>
      <w:tr w:rsidR="00933E99" w:rsidTr="000B75B6">
        <w:trPr>
          <w:cnfStyle w:val="000000010000" w:firstRow="0" w:lastRow="0" w:firstColumn="0" w:lastColumn="0" w:oddVBand="0" w:evenVBand="0" w:oddHBand="0" w:evenHBand="1" w:firstRowFirstColumn="0" w:firstRowLastColumn="0" w:lastRowFirstColumn="0" w:lastRowLastColumn="0"/>
        </w:trPr>
        <w:tc>
          <w:tcPr>
            <w:tcW w:w="2660" w:type="dxa"/>
          </w:tcPr>
          <w:p w:rsidR="00933E99" w:rsidRPr="000B75B6" w:rsidRDefault="00DB7545"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Service Standard Event</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Service Standard Event means a legislative or administrative act or decision that has the effect of:</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varying the manner in which ActewAGL is required to provide the Reference Service; or</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imposing, removing or varying the minimum service standards applicable to the Reference Service; or</w:t>
            </w:r>
          </w:p>
          <w:p w:rsidR="00933E99"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(c) altering the nature or scope of the Reference Service provided by ActewAGL.</w:t>
            </w:r>
          </w:p>
        </w:tc>
      </w:tr>
      <w:tr w:rsidR="00933E99" w:rsidTr="000B75B6">
        <w:tc>
          <w:tcPr>
            <w:tcW w:w="2660" w:type="dxa"/>
          </w:tcPr>
          <w:p w:rsidR="00933E99" w:rsidRPr="000B75B6" w:rsidRDefault="00DB7545"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Short Term Trading Market Event </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Short Term Trading Market Event occurs if ActewAGL participates in the Short Term Trading Market, resulting in:</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changes in costs that ActewAGL incurs directly or indirectly (including under statute or contract); or</w:t>
            </w:r>
          </w:p>
          <w:p w:rsidR="00933E99"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the need to change services provided to accommodate the market, leading to additional costs.</w:t>
            </w:r>
          </w:p>
        </w:tc>
      </w:tr>
      <w:tr w:rsidR="00DB7545" w:rsidTr="000B75B6">
        <w:trPr>
          <w:cnfStyle w:val="000000010000" w:firstRow="0" w:lastRow="0" w:firstColumn="0" w:lastColumn="0" w:oddVBand="0" w:evenVBand="0" w:oddHBand="0" w:evenHBand="1" w:firstRowFirstColumn="0" w:firstRowLastColumn="0" w:lastRowFirstColumn="0" w:lastRowLastColumn="0"/>
        </w:trPr>
        <w:tc>
          <w:tcPr>
            <w:tcW w:w="2660" w:type="dxa"/>
          </w:tcPr>
          <w:p w:rsidR="00DB7545" w:rsidRPr="000B75B6" w:rsidRDefault="00DB7545"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Supply Curtailment Event </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Supply Curtailment Event means the occurrence of a period when insufficient gas is delivered to ActewAGL's gas network due to reasons beyond ActewAGL's control, and gas cannot be supplied to meet demand requirements as represented by ActewAGL's forecasts used to derive the Reference Tariffs in this Access Arrangement, resulting in:</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supply restrictions directed under the Utilities (Gas Restrictions) Regulations 2005 (ACT); and/or</w:t>
            </w:r>
          </w:p>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widespread domestic load shedding, gas rationing or curtailment within ActewAGL's Network.</w:t>
            </w:r>
          </w:p>
        </w:tc>
      </w:tr>
      <w:tr w:rsidR="00DB7545" w:rsidTr="000B75B6">
        <w:tc>
          <w:tcPr>
            <w:tcW w:w="2660" w:type="dxa"/>
          </w:tcPr>
          <w:p w:rsidR="00DB7545" w:rsidRPr="000B75B6" w:rsidRDefault="00DB7545" w:rsidP="0024329D">
            <w:pPr>
              <w:pStyle w:val="Tabletext"/>
              <w:rPr>
                <w:rFonts w:asciiTheme="majorHAnsi" w:hAnsiTheme="majorHAnsi" w:cstheme="majorHAnsi"/>
                <w:sz w:val="18"/>
                <w:szCs w:val="18"/>
              </w:rPr>
            </w:pPr>
            <w:r w:rsidRPr="000B75B6">
              <w:rPr>
                <w:rFonts w:asciiTheme="majorHAnsi" w:hAnsiTheme="majorHAnsi" w:cstheme="majorHAnsi"/>
                <w:sz w:val="18"/>
                <w:szCs w:val="18"/>
              </w:rPr>
              <w:lastRenderedPageBreak/>
              <w:t>General Pass Through Event</w:t>
            </w:r>
          </w:p>
        </w:tc>
        <w:tc>
          <w:tcPr>
            <w:tcW w:w="6033" w:type="dxa"/>
          </w:tcPr>
          <w:p w:rsidR="0024329D" w:rsidRPr="000B75B6" w:rsidRDefault="001538EA" w:rsidP="0024329D">
            <w:pPr>
              <w:pStyle w:val="Tabletext"/>
              <w:rPr>
                <w:rFonts w:asciiTheme="majorHAnsi" w:hAnsiTheme="majorHAnsi" w:cstheme="majorHAnsi"/>
                <w:sz w:val="18"/>
                <w:szCs w:val="18"/>
              </w:rPr>
            </w:pPr>
            <w:r>
              <w:rPr>
                <w:rFonts w:asciiTheme="majorHAnsi" w:hAnsiTheme="majorHAnsi" w:cstheme="majorHAnsi"/>
                <w:sz w:val="18"/>
                <w:szCs w:val="18"/>
              </w:rPr>
              <w:t xml:space="preserve">General Pass </w:t>
            </w:r>
            <w:r w:rsidR="0024329D" w:rsidRPr="000B75B6">
              <w:rPr>
                <w:rFonts w:asciiTheme="majorHAnsi" w:hAnsiTheme="majorHAnsi" w:cstheme="majorHAnsi"/>
                <w:sz w:val="18"/>
                <w:szCs w:val="18"/>
              </w:rPr>
              <w:t>Through Event means an event that:</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was not reasonably foreseeable at the time this Access Arrangement is approved by the Relevant Regulator under the National Gas Rules;</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(b) could not have been efficiently and economically insured against on reasonable commercial terms or </w:t>
            </w:r>
            <w:r w:rsidR="00A345DA" w:rsidRPr="000B75B6">
              <w:rPr>
                <w:rFonts w:asciiTheme="majorHAnsi" w:hAnsiTheme="majorHAnsi" w:cstheme="majorHAnsi"/>
                <w:sz w:val="18"/>
                <w:szCs w:val="18"/>
              </w:rPr>
              <w:t>self-insured</w:t>
            </w:r>
            <w:r w:rsidRPr="000B75B6">
              <w:rPr>
                <w:rFonts w:asciiTheme="majorHAnsi" w:hAnsiTheme="majorHAnsi" w:cstheme="majorHAnsi"/>
                <w:sz w:val="18"/>
                <w:szCs w:val="18"/>
              </w:rPr>
              <w:t>, at the time this Access Arrangement is approved by the Relevant Regulator under the National Gas Rules;</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(c) could not have been prevented, nor any increase in costs as a result thereof substantially mitigated, by ActewAGL using reasonable endeavours; and</w:t>
            </w:r>
          </w:p>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(d) does not fall within any other category of Cost Pass-Through Event.</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For the purposes of this definition, an event will be considered unforeseeable if, at the time the Relevant Regulator makes its final decision in respect of this Access Arrangement, regardless of whether the occurrence of the event was a possibility, there was no reasonable basis for the Relevant Regulator to conclude the event was more likely than not to occur during the Applicable Access Arrangement Period.</w:t>
            </w:r>
          </w:p>
        </w:tc>
      </w:tr>
      <w:tr w:rsidR="00DB7545" w:rsidTr="000B75B6">
        <w:trPr>
          <w:cnfStyle w:val="000000010000" w:firstRow="0" w:lastRow="0" w:firstColumn="0" w:lastColumn="0" w:oddVBand="0" w:evenVBand="0" w:oddHBand="0" w:evenHBand="1" w:firstRowFirstColumn="0" w:firstRowLastColumn="0" w:lastRowFirstColumn="0" w:lastRowLastColumn="0"/>
        </w:trPr>
        <w:tc>
          <w:tcPr>
            <w:tcW w:w="2660" w:type="dxa"/>
          </w:tcPr>
          <w:p w:rsidR="00DB7545" w:rsidRPr="000B75B6" w:rsidRDefault="00DB7545"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Insurance Cap Event </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Insurance Cap Event means the occurrence of an event whereby:</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ActewAGL makes a claim or claims under a relevant insurance policy that satisfies the conditions of insurance under that policy; and</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ActewAGL incurs costs beyond the actual policy limit of the relevant insurance policy as a result of the event that gives rise to the relevant claim.</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For the purposes of this definition:</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(c) A relevant insurance policy is an insurance policy held during the Applicable Access Arrangement Period or a previous period in which access to the Network was regulated; and</w:t>
            </w:r>
          </w:p>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(d) ActewAGL will be deemed to have made a claim on a relevant insurance policy if a claim is made by a related party of ActewAGL in relation to any aspect of the Network or ActewAGL's business.</w:t>
            </w:r>
          </w:p>
        </w:tc>
      </w:tr>
      <w:tr w:rsidR="00DB7545" w:rsidTr="000B75B6">
        <w:tc>
          <w:tcPr>
            <w:tcW w:w="2660" w:type="dxa"/>
          </w:tcPr>
          <w:p w:rsidR="00DB7545" w:rsidRPr="000B75B6" w:rsidRDefault="00DB7545"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Insurer Credit Risk Event </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Insurer Credit Risk Event means the occurrence of an event whereby an insurer becomes insolvent and, as a result, ActewAGL:</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incurs higher or lower costs for insurance premiums than would have otherwise applied;</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is subject to a materially higher or lower claim limit or a materially higher or lower deductible than would have otherwise applied under the relevant policy; or</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(c) incurs additional costs associated with self-funding an insurance claim, which would otherwise have been covered by the insolvent insurer.</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Note for the avoidance of doubt, in making a determination on an Insurer Credit Risk Event pursuant to clause 7.11 of this Access Arrangement, the AER will have regard to, amongst other things:</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(a) the Service Provider's attempts to mitigate and prevent the event from occurring by reviewing and considering the insurer's track record, </w:t>
            </w:r>
            <w:r w:rsidRPr="000B75B6">
              <w:rPr>
                <w:rFonts w:asciiTheme="majorHAnsi" w:hAnsiTheme="majorHAnsi" w:cstheme="majorHAnsi"/>
                <w:sz w:val="18"/>
                <w:szCs w:val="18"/>
              </w:rPr>
              <w:lastRenderedPageBreak/>
              <w:t>size, credit rating and reputation; and</w:t>
            </w:r>
          </w:p>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in the event that a claim would have been made after the insurance provider became insolvent, whether the Service Provider had reasonable opportunity to insure the risk with a different provider.</w:t>
            </w:r>
          </w:p>
        </w:tc>
      </w:tr>
      <w:tr w:rsidR="00DB7545" w:rsidTr="000B75B6">
        <w:trPr>
          <w:cnfStyle w:val="000000010000" w:firstRow="0" w:lastRow="0" w:firstColumn="0" w:lastColumn="0" w:oddVBand="0" w:evenVBand="0" w:oddHBand="0" w:evenHBand="1" w:firstRowFirstColumn="0" w:firstRowLastColumn="0" w:lastRowFirstColumn="0" w:lastRowLastColumn="0"/>
        </w:trPr>
        <w:tc>
          <w:tcPr>
            <w:tcW w:w="2660" w:type="dxa"/>
          </w:tcPr>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lastRenderedPageBreak/>
              <w:t xml:space="preserve">Terrorism Event </w:t>
            </w:r>
          </w:p>
        </w:tc>
        <w:tc>
          <w:tcPr>
            <w:tcW w:w="6033" w:type="dxa"/>
          </w:tcPr>
          <w:p w:rsidR="007235B4"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Terrorism Event means an act (including, but not limited to, the use of force or violence, the threat of force or violence, attacks or other disruptive activities against, or the deliberate introduction of harmful code or viruses to, computer systems, computer networks, data and/or communication systems, or the threat of such attacks or disruptive activities, or of the deliberate introduction of such harmful code or viruses)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Note for the avoidance of doubt, in making a determination on a Terrorism Event pursuant to clause7.11 of this Access Arrangement, the AER will have regard to, amongst other things:</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whether the Service Provider has insurance against the event;</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the level of insurance that an efficient and prudent service provider would obtain in respect of the event; and</w:t>
            </w:r>
          </w:p>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(c) whether a declaration has been made by a relevant government authority that a terrorism event has occurred.</w:t>
            </w:r>
          </w:p>
        </w:tc>
      </w:tr>
      <w:tr w:rsidR="00DB7545" w:rsidTr="000B75B6">
        <w:tc>
          <w:tcPr>
            <w:tcW w:w="2660" w:type="dxa"/>
          </w:tcPr>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Natural Disaster Event </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Natural Disaster Event means any fire, flood, earthquake or other natural disaster that increases the costs to the Service Provider in providing the Reference Service, provided the fire, flood or other event was not a consequence of the negligent acts or omissions of the Service Provider.</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For the purposes of this definition, the term 'major' means an event that is serious and significant.</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Note for the avoidance of doubt, in making a determination on a Natural Disaster Event pursuant to clause 7.11 of this Access Arrangement, the AER will have regard to, amongst other things:</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(a) whether the Service Provider has insurance against the event;</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the level of insurance that an efficient and prudent service provider would obtain in respect of the event; and</w:t>
            </w:r>
          </w:p>
          <w:p w:rsidR="00DB7545"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(c) whether a relevant government authority has made a declaration that a natural disaster has occurred.</w:t>
            </w:r>
          </w:p>
        </w:tc>
      </w:tr>
      <w:tr w:rsidR="0024329D" w:rsidTr="000B75B6">
        <w:trPr>
          <w:cnfStyle w:val="000000010000" w:firstRow="0" w:lastRow="0" w:firstColumn="0" w:lastColumn="0" w:oddVBand="0" w:evenVBand="0" w:oddHBand="0" w:evenHBand="1" w:firstRowFirstColumn="0" w:firstRowLastColumn="0" w:lastRowFirstColumn="0" w:lastRowLastColumn="0"/>
        </w:trPr>
        <w:tc>
          <w:tcPr>
            <w:tcW w:w="2660"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Network User Failure Event </w:t>
            </w:r>
          </w:p>
        </w:tc>
        <w:tc>
          <w:tcPr>
            <w:tcW w:w="6033" w:type="dxa"/>
          </w:tcPr>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Network User Failure Event means the occurrence of an event whereby a User becomes insolvent or is unable to continue to supply gas to its customers, and those customers are transferred to another User. Notwithstanding the definition of Change in Cost, the Change in Cost associated with a Network User Failure Event is deemed to:</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 xml:space="preserve">(a) include amounts that ActewAGL is entitled to be paid (but which are or will be unpaid as a result of a Network User Failure Event) for the provision of the Reference Service, including the revenue impact ActewAGL sustains or will sustain as a result of those unpaid amounts; </w:t>
            </w:r>
            <w:r w:rsidRPr="000B75B6">
              <w:rPr>
                <w:rFonts w:asciiTheme="majorHAnsi" w:hAnsiTheme="majorHAnsi" w:cstheme="majorHAnsi"/>
                <w:sz w:val="18"/>
                <w:szCs w:val="18"/>
              </w:rPr>
              <w:lastRenderedPageBreak/>
              <w:t>and</w:t>
            </w:r>
          </w:p>
          <w:p w:rsidR="0024329D" w:rsidRPr="000B75B6" w:rsidRDefault="0024329D" w:rsidP="0024329D">
            <w:pPr>
              <w:pStyle w:val="Tabletext"/>
              <w:rPr>
                <w:rFonts w:asciiTheme="majorHAnsi" w:hAnsiTheme="majorHAnsi" w:cstheme="majorHAnsi"/>
                <w:sz w:val="18"/>
                <w:szCs w:val="18"/>
              </w:rPr>
            </w:pPr>
            <w:r w:rsidRPr="000B75B6">
              <w:rPr>
                <w:rFonts w:asciiTheme="majorHAnsi" w:hAnsiTheme="majorHAnsi" w:cstheme="majorHAnsi"/>
                <w:sz w:val="18"/>
                <w:szCs w:val="18"/>
              </w:rPr>
              <w:t>(b) exclude costs that could be the subject of a pass through amount pursuant to rule 531 of the National Gas Rules or section 167 of the National Energy Retail Law.</w:t>
            </w:r>
          </w:p>
        </w:tc>
      </w:tr>
    </w:tbl>
    <w:p w:rsidR="0024329D" w:rsidRPr="00C652D4" w:rsidRDefault="00933E99" w:rsidP="00C513FD">
      <w:pPr>
        <w:pStyle w:val="AERtablesource"/>
        <w:rPr>
          <w:rStyle w:val="AERbody"/>
          <w:rFonts w:eastAsia="Calibri"/>
          <w:sz w:val="18"/>
          <w:szCs w:val="18"/>
          <w:lang w:eastAsia="en-AU"/>
        </w:rPr>
      </w:pPr>
      <w:r w:rsidRPr="00C652D4">
        <w:rPr>
          <w:rStyle w:val="AERbody"/>
          <w:sz w:val="18"/>
          <w:szCs w:val="18"/>
        </w:rPr>
        <w:lastRenderedPageBreak/>
        <w:t>Source:</w:t>
      </w:r>
      <w:r w:rsidRPr="00C652D4">
        <w:rPr>
          <w:rStyle w:val="AERbody"/>
          <w:sz w:val="18"/>
          <w:szCs w:val="18"/>
        </w:rPr>
        <w:tab/>
        <w:t>ActewAGL</w:t>
      </w:r>
      <w:r w:rsidR="001A39D1" w:rsidRPr="00C652D4">
        <w:rPr>
          <w:rStyle w:val="AERbody"/>
          <w:sz w:val="18"/>
          <w:szCs w:val="18"/>
        </w:rPr>
        <w:t xml:space="preserve"> Distribution</w:t>
      </w:r>
      <w:r w:rsidRPr="00C652D4">
        <w:rPr>
          <w:rStyle w:val="AERbody"/>
          <w:sz w:val="18"/>
          <w:szCs w:val="18"/>
        </w:rPr>
        <w:t xml:space="preserve">, </w:t>
      </w:r>
      <w:r w:rsidR="0089203E">
        <w:rPr>
          <w:rStyle w:val="AERbody"/>
          <w:i/>
          <w:sz w:val="18"/>
          <w:szCs w:val="18"/>
        </w:rPr>
        <w:t>2016</w:t>
      </w:r>
      <w:r w:rsidR="0089203E">
        <w:rPr>
          <w:rStyle w:val="AERbody"/>
        </w:rPr>
        <w:t>–</w:t>
      </w:r>
      <w:r w:rsidRPr="00C652D4">
        <w:rPr>
          <w:rStyle w:val="AERbody"/>
          <w:i/>
          <w:sz w:val="18"/>
          <w:szCs w:val="18"/>
        </w:rPr>
        <w:t>21 Access Arrangement Information</w:t>
      </w:r>
      <w:r w:rsidRPr="00C652D4">
        <w:rPr>
          <w:rStyle w:val="AERbody"/>
          <w:sz w:val="18"/>
          <w:szCs w:val="18"/>
        </w:rPr>
        <w:t>, Attachment 13, pp</w:t>
      </w:r>
      <w:r w:rsidR="0024329D" w:rsidRPr="00C652D4">
        <w:rPr>
          <w:rStyle w:val="AERbody"/>
          <w:sz w:val="18"/>
          <w:szCs w:val="18"/>
        </w:rPr>
        <w:t xml:space="preserve"> 19</w:t>
      </w:r>
      <w:r w:rsidR="003C73E8">
        <w:rPr>
          <w:rStyle w:val="AERbody"/>
        </w:rPr>
        <w:t>–</w:t>
      </w:r>
      <w:r w:rsidR="0024329D" w:rsidRPr="00C652D4">
        <w:rPr>
          <w:rStyle w:val="AERbody"/>
          <w:sz w:val="18"/>
          <w:szCs w:val="18"/>
        </w:rPr>
        <w:t xml:space="preserve">21. </w:t>
      </w:r>
    </w:p>
    <w:p w:rsidR="009A5113" w:rsidRDefault="009A5113" w:rsidP="009A5113">
      <w:pPr>
        <w:pStyle w:val="Heading2"/>
      </w:pPr>
      <w:bookmarkStart w:id="15" w:name="_Toc408404322"/>
      <w:bookmarkStart w:id="16" w:name="_Ref427740036"/>
      <w:bookmarkStart w:id="17" w:name="_Ref427740935"/>
      <w:bookmarkStart w:id="18" w:name="_Toc435449728"/>
      <w:r w:rsidRPr="0074565D">
        <w:t>AER’s assessment approach</w:t>
      </w:r>
      <w:bookmarkEnd w:id="15"/>
      <w:bookmarkEnd w:id="16"/>
      <w:bookmarkEnd w:id="17"/>
      <w:bookmarkEnd w:id="18"/>
    </w:p>
    <w:p w:rsidR="00FB0FFF" w:rsidRDefault="00FB0FFF" w:rsidP="00FB0FFF">
      <w:r>
        <w:t>Under the N</w:t>
      </w:r>
      <w:r w:rsidR="009915AF">
        <w:t xml:space="preserve">ational </w:t>
      </w:r>
      <w:r>
        <w:t>G</w:t>
      </w:r>
      <w:r w:rsidR="009915AF">
        <w:t xml:space="preserve">as </w:t>
      </w:r>
      <w:r>
        <w:t>R</w:t>
      </w:r>
      <w:r w:rsidR="009915AF">
        <w:t>ules (NGR)</w:t>
      </w:r>
      <w:r>
        <w:t>, a reference tariff variation mechanism for an access arrangement:</w:t>
      </w:r>
    </w:p>
    <w:p w:rsidR="00FB0FFF" w:rsidRDefault="0024329D" w:rsidP="00FB0FFF">
      <w:pPr>
        <w:pStyle w:val="AERbulletlistfirststyle"/>
      </w:pPr>
      <w:r>
        <w:t>m</w:t>
      </w:r>
      <w:r w:rsidR="00FB0FFF">
        <w:t>ust be designed to equalise (in present value terms):</w:t>
      </w:r>
    </w:p>
    <w:p w:rsidR="00FB0FFF" w:rsidRDefault="00FB0FFF" w:rsidP="00FB0FFF">
      <w:pPr>
        <w:pStyle w:val="AERbulletlistthirdstyle"/>
      </w:pPr>
      <w:r>
        <w:t>forecast revenue from reference services over the access arrangement period, and</w:t>
      </w:r>
    </w:p>
    <w:p w:rsidR="00FB0FFF" w:rsidRDefault="00FB0FFF" w:rsidP="00FB0FFF">
      <w:pPr>
        <w:pStyle w:val="AERbulletlistthirdstyle"/>
      </w:pPr>
      <w:r>
        <w:t>the portion of total revenue allocated to reference services for the access arrangement period.</w:t>
      </w:r>
    </w:p>
    <w:p w:rsidR="00FB0FFF" w:rsidRDefault="00726B6E" w:rsidP="00FB0FFF">
      <w:pPr>
        <w:pStyle w:val="AERbulletlistfirststyle"/>
      </w:pPr>
      <w:r>
        <w:t>may provide for variation of a reference tariff:</w:t>
      </w:r>
    </w:p>
    <w:p w:rsidR="00726B6E" w:rsidRDefault="00726B6E" w:rsidP="00726B6E">
      <w:pPr>
        <w:pStyle w:val="AERbulletlistthirdstyle"/>
      </w:pPr>
      <w:r>
        <w:t>in accordance with a schedule of fixed tariffs, or</w:t>
      </w:r>
    </w:p>
    <w:p w:rsidR="00726B6E" w:rsidRDefault="00726B6E" w:rsidP="00726B6E">
      <w:pPr>
        <w:pStyle w:val="AERbulletlistthirdstyle"/>
      </w:pPr>
      <w:r>
        <w:t>in accordance with a formula set out in the access arrangement, or</w:t>
      </w:r>
    </w:p>
    <w:p w:rsidR="00726B6E" w:rsidRDefault="00726B6E" w:rsidP="00726B6E">
      <w:pPr>
        <w:pStyle w:val="AERbulletlistthirdstyle"/>
      </w:pPr>
      <w:r>
        <w:t>as a result of a cost pass through for a defined event, or</w:t>
      </w:r>
    </w:p>
    <w:p w:rsidR="00726B6E" w:rsidRDefault="00726B6E" w:rsidP="00726B6E">
      <w:pPr>
        <w:pStyle w:val="AERbulletlistthirdstyle"/>
      </w:pPr>
      <w:r>
        <w:t>by the combination of two or more of these operations.</w:t>
      </w:r>
      <w:r>
        <w:rPr>
          <w:rStyle w:val="FootnoteReference"/>
        </w:rPr>
        <w:footnoteReference w:id="2"/>
      </w:r>
    </w:p>
    <w:p w:rsidR="00FB0FFF" w:rsidRDefault="00626239" w:rsidP="00626239">
      <w:r>
        <w:t>A formula for varying reference tariffs may (for example) provide for variable caps on the revenue to be derived from a particular combination of reference services; or tariff basket price control; or revenue yield control; or a combination of all or any of these factors.</w:t>
      </w:r>
      <w:r>
        <w:rPr>
          <w:rStyle w:val="FootnoteReference"/>
        </w:rPr>
        <w:footnoteReference w:id="3"/>
      </w:r>
      <w:r>
        <w:t xml:space="preserve"> However, the reference tariff variation mechanism must give us adequate oversight and powers to approve reference tariff variations.</w:t>
      </w:r>
      <w:r>
        <w:rPr>
          <w:rStyle w:val="FootnoteReference"/>
        </w:rPr>
        <w:footnoteReference w:id="4"/>
      </w:r>
    </w:p>
    <w:p w:rsidR="00626239" w:rsidRDefault="00626239" w:rsidP="00FB0FFF">
      <w:r>
        <w:t>We must have regard to various factors in deciding whether an access arrangement’s reference tariff variation mechanism is appropriate. These are:</w:t>
      </w:r>
    </w:p>
    <w:p w:rsidR="00626239" w:rsidRDefault="00626239" w:rsidP="00626239">
      <w:pPr>
        <w:pStyle w:val="AERbulletlistfirststyle"/>
      </w:pPr>
      <w:r>
        <w:t>the need for efficient reference tariff structures</w:t>
      </w:r>
    </w:p>
    <w:p w:rsidR="00626239" w:rsidRDefault="00626239" w:rsidP="00626239">
      <w:pPr>
        <w:pStyle w:val="AERbulletlistfirststyle"/>
      </w:pPr>
      <w:r>
        <w:t>the possible effects of the reference tariff variation mechanism on administrative costs</w:t>
      </w:r>
    </w:p>
    <w:p w:rsidR="00626239" w:rsidRDefault="00626239" w:rsidP="00626239">
      <w:pPr>
        <w:pStyle w:val="AERbulletlistfirststyle"/>
      </w:pPr>
      <w:r>
        <w:t xml:space="preserve">the regulatory arrangements (if any) applicable to the relevant reference services before the commencement of the proposed reference tariff variation mechanism </w:t>
      </w:r>
    </w:p>
    <w:p w:rsidR="00626239" w:rsidRDefault="00626239" w:rsidP="00626239">
      <w:pPr>
        <w:pStyle w:val="AERbulletlistfirststyle"/>
      </w:pPr>
      <w:r>
        <w:lastRenderedPageBreak/>
        <w:t>the desirability of consistency between regulatory arrangements for similar services</w:t>
      </w:r>
    </w:p>
    <w:p w:rsidR="00626239" w:rsidRDefault="00626239" w:rsidP="00626239">
      <w:pPr>
        <w:pStyle w:val="AERbulletlistfirststyle"/>
      </w:pPr>
      <w:r>
        <w:t xml:space="preserve">any other relevant factor. </w:t>
      </w:r>
      <w:r>
        <w:rPr>
          <w:rStyle w:val="FootnoteReference"/>
        </w:rPr>
        <w:footnoteReference w:id="5"/>
      </w:r>
    </w:p>
    <w:p w:rsidR="00626239" w:rsidRDefault="00626239" w:rsidP="00626239">
      <w:r>
        <w:t xml:space="preserve">Having regard to these, we considered the implications of the proposed reference tariff variation mechanism for efficient tariff structures and administrative costs on natural gas consumers, potential users and </w:t>
      </w:r>
      <w:r w:rsidR="009664A2">
        <w:t>ActewAGL</w:t>
      </w:r>
      <w:r>
        <w:t>. In doing so we took into account the nature and scope of pipeline reference services to which reference tariffs are applicable. Our assessment also included a comparison of:</w:t>
      </w:r>
    </w:p>
    <w:p w:rsidR="00626239" w:rsidRDefault="00626239" w:rsidP="00626239">
      <w:pPr>
        <w:pStyle w:val="AERbulletlistfirststyle"/>
      </w:pPr>
      <w:r>
        <w:t>the proposed reference tariff variation mechanism arrangements with</w:t>
      </w:r>
      <w:r w:rsidR="002E3E9D">
        <w:t xml:space="preserve"> those in</w:t>
      </w:r>
      <w:r>
        <w:t xml:space="preserve"> </w:t>
      </w:r>
      <w:r w:rsidR="009664A2">
        <w:t>ActewAGL</w:t>
      </w:r>
      <w:r>
        <w:t>'s current</w:t>
      </w:r>
      <w:r w:rsidR="002E3E9D">
        <w:t xml:space="preserve"> access</w:t>
      </w:r>
      <w:r>
        <w:t xml:space="preserve"> arrangements</w:t>
      </w:r>
    </w:p>
    <w:p w:rsidR="00626239" w:rsidRDefault="00626239" w:rsidP="00626239">
      <w:pPr>
        <w:pStyle w:val="AERbulletlistfirststyle"/>
      </w:pPr>
      <w:r>
        <w:t>other recent gas access arrangement</w:t>
      </w:r>
      <w:r w:rsidR="00BD108D">
        <w:t xml:space="preserve"> decisions </w:t>
      </w:r>
      <w:r w:rsidR="002E3E9D">
        <w:t>(</w:t>
      </w:r>
      <w:r w:rsidR="00BD108D">
        <w:t>and electricity determinations under the NER</w:t>
      </w:r>
      <w:r w:rsidR="002E3E9D">
        <w:t>)</w:t>
      </w:r>
    </w:p>
    <w:p w:rsidR="00626239" w:rsidRDefault="00626239" w:rsidP="002E3E9D">
      <w:pPr>
        <w:pStyle w:val="AERbulletlistfirststyle"/>
      </w:pPr>
      <w:r w:rsidRPr="00A345DA">
        <w:rPr>
          <w:rStyle w:val="AERbody"/>
        </w:rPr>
        <w:t>consistency</w:t>
      </w:r>
      <w:r>
        <w:t xml:space="preserve"> in approach across the provision of similar services.</w:t>
      </w:r>
    </w:p>
    <w:p w:rsidR="00626239" w:rsidRDefault="00626239" w:rsidP="00626239">
      <w:r>
        <w:t>We as</w:t>
      </w:r>
      <w:r w:rsidR="00C51CEC">
        <w:t xml:space="preserve">sessed the potential impact of </w:t>
      </w:r>
      <w:r w:rsidR="009664A2">
        <w:t>ActewAGL</w:t>
      </w:r>
      <w:r>
        <w:t>'s proposal on incentives for pipeline operation in a manner consistent with the national gas objectives and with the revenue and pricing principles.</w:t>
      </w:r>
      <w:r w:rsidR="00C51CEC">
        <w:rPr>
          <w:rStyle w:val="FootnoteReference"/>
        </w:rPr>
        <w:footnoteReference w:id="6"/>
      </w:r>
      <w:r>
        <w:t xml:space="preserve"> We also judged the implications of </w:t>
      </w:r>
      <w:r w:rsidR="009664A2">
        <w:t>ActewAGL</w:t>
      </w:r>
      <w:r>
        <w:t>'s proposed reference tariff variation mechanism for effective risk management that would be in the long term interests of consumers of natural gas.</w:t>
      </w:r>
    </w:p>
    <w:p w:rsidR="00DD2029" w:rsidRDefault="00DD2029" w:rsidP="00DD2029">
      <w:pPr>
        <w:pStyle w:val="Heading3"/>
      </w:pPr>
      <w:bookmarkStart w:id="19" w:name="_Toc435449729"/>
      <w:r>
        <w:t>Cost pass through reference tariff variation mechanism</w:t>
      </w:r>
      <w:bookmarkEnd w:id="19"/>
      <w:r>
        <w:t xml:space="preserve"> </w:t>
      </w:r>
    </w:p>
    <w:p w:rsidR="00DD2029" w:rsidRDefault="00DD2029" w:rsidP="00DD2029">
      <w:r>
        <w:t xml:space="preserve">This section </w:t>
      </w:r>
      <w:r w:rsidR="00AD7D8B">
        <w:t>discussing our</w:t>
      </w:r>
      <w:r>
        <w:t xml:space="preserve"> approach to assessing cost pass throughs</w:t>
      </w:r>
      <w:r w:rsidR="00AD7D8B">
        <w:t xml:space="preserve"> should</w:t>
      </w:r>
      <w:r>
        <w:t xml:space="preserve"> be read in conjunction with the information directly above in section</w:t>
      </w:r>
      <w:r w:rsidR="00BD108D">
        <w:t xml:space="preserve"> </w:t>
      </w:r>
      <w:r w:rsidR="00BD108D">
        <w:fldChar w:fldCharType="begin"/>
      </w:r>
      <w:r w:rsidR="00BD108D">
        <w:instrText xml:space="preserve"> REF _Ref427740036 \r \h </w:instrText>
      </w:r>
      <w:r w:rsidR="00BD108D">
        <w:fldChar w:fldCharType="separate"/>
      </w:r>
      <w:r w:rsidR="009915AF">
        <w:t>11.3</w:t>
      </w:r>
      <w:r w:rsidR="00BD108D">
        <w:fldChar w:fldCharType="end"/>
      </w:r>
      <w:r>
        <w:t xml:space="preserve">. </w:t>
      </w:r>
    </w:p>
    <w:p w:rsidR="00DD2029" w:rsidRPr="00DD2029" w:rsidRDefault="00DD2029" w:rsidP="00DD2029">
      <w:r>
        <w:t>Pass through events transfer financial risks fr</w:t>
      </w:r>
      <w:r w:rsidR="00BD108D">
        <w:t>o</w:t>
      </w:r>
      <w:r>
        <w:t>m service providers to consumers. Generally, if</w:t>
      </w:r>
      <w:r w:rsidR="00AD7D8B">
        <w:t xml:space="preserve"> we concur that any</w:t>
      </w:r>
      <w:r>
        <w:t xml:space="preserve"> of the pass through events occurs</w:t>
      </w:r>
      <w:r w:rsidR="00AD7D8B">
        <w:t xml:space="preserve"> during the access arrangement period</w:t>
      </w:r>
      <w:r>
        <w:t>, the</w:t>
      </w:r>
      <w:r w:rsidR="00AD7D8B">
        <w:t xml:space="preserve"> approved</w:t>
      </w:r>
      <w:r>
        <w:t xml:space="preserve"> costs of the event are passed through to consumers and network charges increase accordingly. </w:t>
      </w:r>
    </w:p>
    <w:p w:rsidR="00626239" w:rsidRDefault="00DD2029" w:rsidP="00DD2029">
      <w:r>
        <w:t>In deciding on the appropriateness of a proposed cost pass through event we must consider the factors in r. 97(3) and assess its consistency with the NGO. We have full discretion to withhold approval to an element of a reference tariff variation mechanism if we believe a preferable alternative exists.</w:t>
      </w:r>
      <w:r>
        <w:rPr>
          <w:rStyle w:val="FootnoteReference"/>
        </w:rPr>
        <w:footnoteReference w:id="7"/>
      </w:r>
    </w:p>
    <w:p w:rsidR="00626239" w:rsidRDefault="00DD2029" w:rsidP="00DD2029">
      <w:r>
        <w:t>Our approach to assessing pass throughs includes taking into account the Revenue and Pricing Principles, providing the service provider with a reasonable opportunity to recover at least the efficient costs the operator incurs,</w:t>
      </w:r>
      <w:r>
        <w:rPr>
          <w:rStyle w:val="FootnoteReference"/>
        </w:rPr>
        <w:footnoteReference w:id="8"/>
      </w:r>
      <w:r>
        <w:t xml:space="preserve"> while also providing effective </w:t>
      </w:r>
      <w:r>
        <w:lastRenderedPageBreak/>
        <w:t>incentives t</w:t>
      </w:r>
      <w:r w:rsidR="00BE7FC3">
        <w:t>o promote economic efficiency.</w:t>
      </w:r>
      <w:r w:rsidR="00BE7FC3">
        <w:rPr>
          <w:rStyle w:val="FootnoteReference"/>
        </w:rPr>
        <w:footnoteReference w:id="9"/>
      </w:r>
      <w:r>
        <w:t xml:space="preserve"> It promotes a balance between the economic costs and risks for promoting efficient investm</w:t>
      </w:r>
      <w:r w:rsidR="00BE7FC3">
        <w:t>ent.</w:t>
      </w:r>
      <w:r w:rsidR="00BE7FC3">
        <w:rPr>
          <w:rStyle w:val="FootnoteReference"/>
        </w:rPr>
        <w:footnoteReference w:id="10"/>
      </w:r>
    </w:p>
    <w:p w:rsidR="00BE7FC3" w:rsidRDefault="00BE7FC3" w:rsidP="00BE7FC3">
      <w:r>
        <w:t xml:space="preserve">We </w:t>
      </w:r>
      <w:r w:rsidR="00AD7D8B">
        <w:t xml:space="preserve">had regard to the </w:t>
      </w:r>
      <w:r>
        <w:t>criteria used by us in previous decisions</w:t>
      </w:r>
      <w:r>
        <w:rPr>
          <w:rStyle w:val="FootnoteReference"/>
        </w:rPr>
        <w:footnoteReference w:id="11"/>
      </w:r>
      <w:r>
        <w:t xml:space="preserve"> to assess pass throughs against both the NGO and the National Electricity Objective (NEO).</w:t>
      </w:r>
      <w:r>
        <w:rPr>
          <w:rStyle w:val="FootnoteReference"/>
        </w:rPr>
        <w:footnoteReference w:id="12"/>
      </w:r>
      <w:r>
        <w:t xml:space="preserve"> In 2012 these criteria were </w:t>
      </w:r>
      <w:r w:rsidR="00BD108D">
        <w:t xml:space="preserve">incorporated </w:t>
      </w:r>
      <w:r>
        <w:t xml:space="preserve">into the National Electricity Rules (NER) as nominated pass through event considerations. </w:t>
      </w:r>
      <w:r w:rsidR="00BD108D">
        <w:t>W</w:t>
      </w:r>
      <w:r>
        <w:t>e consider these same criteria remain relevant as general principles to help determine whether a proposed cost pass through event for a gas network is consistent with the NGO.</w:t>
      </w:r>
      <w:r w:rsidR="00BD108D">
        <w:rPr>
          <w:rStyle w:val="FootnoteReference"/>
        </w:rPr>
        <w:footnoteReference w:id="13"/>
      </w:r>
    </w:p>
    <w:p w:rsidR="00BE7FC3" w:rsidRDefault="00BE7FC3" w:rsidP="00BE7FC3">
      <w:r>
        <w:t>The criteria</w:t>
      </w:r>
      <w:r w:rsidR="00AD7D8B">
        <w:t xml:space="preserve"> to which</w:t>
      </w:r>
      <w:r>
        <w:t xml:space="preserve"> we have had regard to</w:t>
      </w:r>
      <w:r w:rsidR="00AD7D8B">
        <w:t xml:space="preserve"> </w:t>
      </w:r>
      <w:r>
        <w:t>(as adopted by the AEMC as nominated pass through event considerations in the NER) are:</w:t>
      </w:r>
      <w:r>
        <w:rPr>
          <w:rStyle w:val="FootnoteReference"/>
        </w:rPr>
        <w:footnoteReference w:id="14"/>
      </w:r>
      <w:r>
        <w:t xml:space="preserve"> </w:t>
      </w:r>
    </w:p>
    <w:p w:rsidR="00BE7FC3" w:rsidRDefault="00BE7FC3" w:rsidP="00BE7FC3">
      <w:pPr>
        <w:autoSpaceDE w:val="0"/>
        <w:autoSpaceDN w:val="0"/>
        <w:adjustRightInd w:val="0"/>
        <w:spacing w:before="0" w:line="240" w:lineRule="auto"/>
        <w:rPr>
          <w:rFonts w:cs="Arial"/>
          <w:sz w:val="16"/>
          <w:szCs w:val="16"/>
        </w:rPr>
      </w:pPr>
    </w:p>
    <w:p w:rsidR="00BE7FC3" w:rsidRPr="00760E22" w:rsidRDefault="00BE7FC3" w:rsidP="00154198">
      <w:pPr>
        <w:autoSpaceDE w:val="0"/>
        <w:autoSpaceDN w:val="0"/>
        <w:adjustRightInd w:val="0"/>
        <w:spacing w:before="0" w:line="240" w:lineRule="auto"/>
        <w:ind w:left="680"/>
        <w:rPr>
          <w:rFonts w:cs="Arial"/>
          <w:sz w:val="20"/>
          <w:szCs w:val="20"/>
        </w:rPr>
      </w:pPr>
      <w:r w:rsidRPr="00760E22">
        <w:rPr>
          <w:rFonts w:cs="Arial"/>
          <w:sz w:val="20"/>
          <w:szCs w:val="20"/>
        </w:rPr>
        <w:t xml:space="preserve">The </w:t>
      </w:r>
      <w:r w:rsidRPr="00760E22">
        <w:rPr>
          <w:rFonts w:cs="Arial"/>
          <w:i/>
          <w:iCs/>
          <w:sz w:val="20"/>
          <w:szCs w:val="20"/>
        </w:rPr>
        <w:t xml:space="preserve">nominated pass through event considerations </w:t>
      </w:r>
      <w:r w:rsidRPr="00760E22">
        <w:rPr>
          <w:rFonts w:cs="Arial"/>
          <w:sz w:val="20"/>
          <w:szCs w:val="20"/>
        </w:rPr>
        <w:t>are:</w:t>
      </w:r>
    </w:p>
    <w:p w:rsidR="00BE7FC3" w:rsidRPr="00760E22" w:rsidRDefault="00BE7FC3" w:rsidP="00154198">
      <w:pPr>
        <w:pStyle w:val="ListParagraph"/>
        <w:numPr>
          <w:ilvl w:val="5"/>
          <w:numId w:val="24"/>
        </w:numPr>
        <w:tabs>
          <w:tab w:val="clear" w:pos="811"/>
          <w:tab w:val="num" w:pos="4211"/>
        </w:tabs>
        <w:autoSpaceDE w:val="0"/>
        <w:autoSpaceDN w:val="0"/>
        <w:adjustRightInd w:val="0"/>
        <w:spacing w:before="0" w:line="240" w:lineRule="auto"/>
        <w:ind w:left="1491"/>
        <w:rPr>
          <w:rFonts w:cs="Arial"/>
          <w:sz w:val="20"/>
          <w:szCs w:val="20"/>
        </w:rPr>
      </w:pPr>
      <w:r w:rsidRPr="00760E22">
        <w:rPr>
          <w:rFonts w:cs="Arial"/>
          <w:sz w:val="20"/>
          <w:szCs w:val="20"/>
        </w:rPr>
        <w:t xml:space="preserve">whether the event proposed is an event covered by a category of </w:t>
      </w:r>
      <w:r w:rsidRPr="00760E22">
        <w:rPr>
          <w:rFonts w:cs="Arial"/>
          <w:i/>
          <w:iCs/>
          <w:sz w:val="20"/>
          <w:szCs w:val="20"/>
        </w:rPr>
        <w:t xml:space="preserve">pass through event </w:t>
      </w:r>
      <w:r w:rsidRPr="00760E22">
        <w:rPr>
          <w:rFonts w:cs="Arial"/>
          <w:sz w:val="20"/>
          <w:szCs w:val="20"/>
        </w:rPr>
        <w:t>specified in clause 6.6.1(a1)(1) to(4) (in the case of a distribution determination) or clause</w:t>
      </w:r>
      <w:r w:rsidRPr="00760E22">
        <w:rPr>
          <w:rFonts w:cs="Arial"/>
          <w:i/>
          <w:iCs/>
          <w:sz w:val="20"/>
          <w:szCs w:val="20"/>
        </w:rPr>
        <w:t xml:space="preserve"> </w:t>
      </w:r>
      <w:r w:rsidRPr="00760E22">
        <w:rPr>
          <w:rFonts w:cs="Arial"/>
          <w:sz w:val="20"/>
          <w:szCs w:val="20"/>
        </w:rPr>
        <w:t xml:space="preserve">6A.7.3(a1)(1) to(4) (in the case of a </w:t>
      </w:r>
      <w:r w:rsidRPr="00760E22">
        <w:rPr>
          <w:rFonts w:cs="Arial"/>
          <w:i/>
          <w:iCs/>
          <w:sz w:val="20"/>
          <w:szCs w:val="20"/>
        </w:rPr>
        <w:t>transmission determination</w:t>
      </w:r>
      <w:r w:rsidRPr="00760E22">
        <w:rPr>
          <w:rFonts w:cs="Arial"/>
          <w:sz w:val="20"/>
          <w:szCs w:val="20"/>
        </w:rPr>
        <w:t>);</w:t>
      </w:r>
    </w:p>
    <w:p w:rsidR="00BE7FC3" w:rsidRPr="00760E22" w:rsidRDefault="00BE7FC3" w:rsidP="00154198">
      <w:pPr>
        <w:pStyle w:val="ListParagraph"/>
        <w:numPr>
          <w:ilvl w:val="5"/>
          <w:numId w:val="24"/>
        </w:numPr>
        <w:tabs>
          <w:tab w:val="clear" w:pos="811"/>
          <w:tab w:val="num" w:pos="3531"/>
        </w:tabs>
        <w:autoSpaceDE w:val="0"/>
        <w:autoSpaceDN w:val="0"/>
        <w:adjustRightInd w:val="0"/>
        <w:spacing w:before="0" w:line="240" w:lineRule="auto"/>
        <w:ind w:left="1491"/>
        <w:rPr>
          <w:rFonts w:cs="Arial"/>
          <w:sz w:val="20"/>
          <w:szCs w:val="20"/>
        </w:rPr>
      </w:pPr>
      <w:r w:rsidRPr="00760E22">
        <w:rPr>
          <w:rFonts w:cs="Arial"/>
          <w:sz w:val="20"/>
          <w:szCs w:val="20"/>
        </w:rPr>
        <w:t>whether the nature or type of event can be clearly identified at the time the determination is made for the service provider;</w:t>
      </w:r>
    </w:p>
    <w:p w:rsidR="00BE7FC3" w:rsidRPr="00760E22" w:rsidRDefault="00BE7FC3" w:rsidP="00154198">
      <w:pPr>
        <w:pStyle w:val="ListParagraph"/>
        <w:numPr>
          <w:ilvl w:val="5"/>
          <w:numId w:val="24"/>
        </w:numPr>
        <w:tabs>
          <w:tab w:val="clear" w:pos="811"/>
          <w:tab w:val="num" w:pos="2851"/>
        </w:tabs>
        <w:autoSpaceDE w:val="0"/>
        <w:autoSpaceDN w:val="0"/>
        <w:adjustRightInd w:val="0"/>
        <w:spacing w:before="0" w:line="240" w:lineRule="auto"/>
        <w:ind w:left="1491"/>
        <w:rPr>
          <w:rFonts w:cs="Arial"/>
          <w:sz w:val="20"/>
          <w:szCs w:val="20"/>
        </w:rPr>
      </w:pPr>
      <w:r w:rsidRPr="00760E22">
        <w:rPr>
          <w:rFonts w:cs="Arial"/>
          <w:sz w:val="20"/>
          <w:szCs w:val="20"/>
        </w:rPr>
        <w:t>whether a prudent service provider could reasonably prevent an event of that nature or type from occurring or substantially mitigate the cost impact of such an event;</w:t>
      </w:r>
    </w:p>
    <w:p w:rsidR="00BE7FC3" w:rsidRPr="00760E22" w:rsidRDefault="00BE7FC3" w:rsidP="00154198">
      <w:pPr>
        <w:pStyle w:val="ListParagraph"/>
        <w:numPr>
          <w:ilvl w:val="5"/>
          <w:numId w:val="24"/>
        </w:numPr>
        <w:tabs>
          <w:tab w:val="clear" w:pos="811"/>
          <w:tab w:val="num" w:pos="2171"/>
        </w:tabs>
        <w:autoSpaceDE w:val="0"/>
        <w:autoSpaceDN w:val="0"/>
        <w:adjustRightInd w:val="0"/>
        <w:spacing w:before="0" w:line="240" w:lineRule="auto"/>
        <w:ind w:left="1491"/>
        <w:rPr>
          <w:rFonts w:cs="Arial"/>
          <w:sz w:val="20"/>
          <w:szCs w:val="20"/>
        </w:rPr>
      </w:pPr>
      <w:r w:rsidRPr="00760E22">
        <w:rPr>
          <w:rFonts w:cs="Arial"/>
          <w:sz w:val="20"/>
          <w:szCs w:val="20"/>
        </w:rPr>
        <w:t>whether the relevant service provider could insure against the event, having regard to:</w:t>
      </w:r>
    </w:p>
    <w:p w:rsidR="00BE7FC3" w:rsidRPr="00760E22" w:rsidRDefault="00BE7FC3" w:rsidP="00154198">
      <w:pPr>
        <w:pStyle w:val="ListParagraph"/>
        <w:numPr>
          <w:ilvl w:val="0"/>
          <w:numId w:val="0"/>
        </w:numPr>
        <w:autoSpaceDE w:val="0"/>
        <w:autoSpaceDN w:val="0"/>
        <w:adjustRightInd w:val="0"/>
        <w:spacing w:before="0" w:line="240" w:lineRule="auto"/>
        <w:ind w:left="1491"/>
        <w:rPr>
          <w:rFonts w:cs="Arial"/>
          <w:sz w:val="20"/>
          <w:szCs w:val="20"/>
        </w:rPr>
      </w:pPr>
    </w:p>
    <w:p w:rsidR="00BE7FC3" w:rsidRPr="003816FB" w:rsidRDefault="00BE7FC3" w:rsidP="003816FB">
      <w:pPr>
        <w:autoSpaceDE w:val="0"/>
        <w:autoSpaceDN w:val="0"/>
        <w:adjustRightInd w:val="0"/>
        <w:spacing w:before="0" w:line="240" w:lineRule="auto"/>
        <w:ind w:left="1700" w:hanging="209"/>
        <w:rPr>
          <w:rFonts w:cs="Arial"/>
          <w:sz w:val="20"/>
          <w:szCs w:val="20"/>
        </w:rPr>
      </w:pPr>
      <w:r w:rsidRPr="003816FB">
        <w:rPr>
          <w:rFonts w:cs="Arial"/>
          <w:sz w:val="20"/>
          <w:szCs w:val="20"/>
        </w:rPr>
        <w:t>(1) the availability (including the extent of availability in terms of liability limits) of insurance against the event on reasonable commercial terms; or</w:t>
      </w:r>
    </w:p>
    <w:p w:rsidR="00BE7FC3" w:rsidRPr="00760E22" w:rsidRDefault="00BE7FC3" w:rsidP="00154198">
      <w:pPr>
        <w:pStyle w:val="ListParagraph"/>
        <w:numPr>
          <w:ilvl w:val="0"/>
          <w:numId w:val="0"/>
        </w:numPr>
        <w:autoSpaceDE w:val="0"/>
        <w:autoSpaceDN w:val="0"/>
        <w:adjustRightInd w:val="0"/>
        <w:spacing w:before="0" w:line="240" w:lineRule="auto"/>
        <w:ind w:left="1491"/>
        <w:rPr>
          <w:rFonts w:cs="Arial"/>
          <w:sz w:val="20"/>
          <w:szCs w:val="20"/>
        </w:rPr>
      </w:pPr>
      <w:r w:rsidRPr="00760E22">
        <w:rPr>
          <w:rFonts w:cs="Arial"/>
          <w:sz w:val="20"/>
          <w:szCs w:val="20"/>
        </w:rPr>
        <w:t>(2) whether the event can be self-insured on the basis that:</w:t>
      </w:r>
    </w:p>
    <w:p w:rsidR="00BE7FC3" w:rsidRPr="00760E22" w:rsidRDefault="00BE7FC3" w:rsidP="00154198">
      <w:pPr>
        <w:autoSpaceDE w:val="0"/>
        <w:autoSpaceDN w:val="0"/>
        <w:adjustRightInd w:val="0"/>
        <w:spacing w:before="0" w:line="240" w:lineRule="auto"/>
        <w:ind w:left="1020" w:hanging="340"/>
        <w:rPr>
          <w:rFonts w:cs="Arial"/>
          <w:sz w:val="20"/>
          <w:szCs w:val="20"/>
        </w:rPr>
      </w:pPr>
      <w:r w:rsidRPr="00760E22">
        <w:rPr>
          <w:rFonts w:cs="Arial"/>
          <w:sz w:val="20"/>
          <w:szCs w:val="20"/>
        </w:rPr>
        <w:tab/>
      </w:r>
      <w:r w:rsidRPr="00760E22">
        <w:rPr>
          <w:rFonts w:cs="Arial"/>
          <w:sz w:val="20"/>
          <w:szCs w:val="20"/>
        </w:rPr>
        <w:tab/>
      </w:r>
      <w:r w:rsidRPr="00760E22">
        <w:rPr>
          <w:rFonts w:cs="Arial"/>
          <w:sz w:val="20"/>
          <w:szCs w:val="20"/>
        </w:rPr>
        <w:tab/>
      </w:r>
      <w:r w:rsidR="003816FB">
        <w:rPr>
          <w:rFonts w:cs="Arial"/>
          <w:sz w:val="20"/>
          <w:szCs w:val="20"/>
        </w:rPr>
        <w:tab/>
      </w:r>
      <w:r w:rsidRPr="00760E22">
        <w:rPr>
          <w:rFonts w:cs="Arial"/>
          <w:sz w:val="20"/>
          <w:szCs w:val="20"/>
        </w:rPr>
        <w:t>(i) it is possible to calculate the self-insurance premium; and</w:t>
      </w:r>
    </w:p>
    <w:p w:rsidR="00BE7FC3" w:rsidRPr="003816FB" w:rsidRDefault="00BE7FC3" w:rsidP="003816FB">
      <w:pPr>
        <w:autoSpaceDE w:val="0"/>
        <w:autoSpaceDN w:val="0"/>
        <w:adjustRightInd w:val="0"/>
        <w:spacing w:before="0" w:line="240" w:lineRule="auto"/>
        <w:ind w:left="2040"/>
        <w:rPr>
          <w:rFonts w:cs="Arial"/>
          <w:sz w:val="20"/>
          <w:szCs w:val="20"/>
        </w:rPr>
      </w:pPr>
      <w:r w:rsidRPr="003816FB">
        <w:rPr>
          <w:rFonts w:cs="Arial"/>
          <w:sz w:val="20"/>
          <w:szCs w:val="20"/>
        </w:rPr>
        <w:t xml:space="preserve">(ii) the potential cost to the relevant service provider would not have a significant impact on the service provider’s ability to provide </w:t>
      </w:r>
      <w:r w:rsidRPr="003816FB">
        <w:rPr>
          <w:rFonts w:cs="Arial"/>
          <w:i/>
          <w:iCs/>
          <w:sz w:val="20"/>
          <w:szCs w:val="20"/>
        </w:rPr>
        <w:t>network services</w:t>
      </w:r>
      <w:r w:rsidRPr="003816FB">
        <w:rPr>
          <w:rFonts w:cs="Arial"/>
          <w:sz w:val="20"/>
          <w:szCs w:val="20"/>
        </w:rPr>
        <w:t>; and.</w:t>
      </w:r>
    </w:p>
    <w:p w:rsidR="00760E22" w:rsidRPr="00760E22" w:rsidRDefault="00760E22" w:rsidP="00154198">
      <w:pPr>
        <w:pStyle w:val="ListParagraph"/>
        <w:numPr>
          <w:ilvl w:val="0"/>
          <w:numId w:val="0"/>
        </w:numPr>
        <w:autoSpaceDE w:val="0"/>
        <w:autoSpaceDN w:val="0"/>
        <w:adjustRightInd w:val="0"/>
        <w:spacing w:before="0" w:line="240" w:lineRule="auto"/>
        <w:ind w:left="1491"/>
        <w:rPr>
          <w:rFonts w:cs="Arial"/>
          <w:sz w:val="20"/>
          <w:szCs w:val="20"/>
        </w:rPr>
      </w:pPr>
    </w:p>
    <w:p w:rsidR="00BE7FC3" w:rsidRPr="00760E22" w:rsidRDefault="00BE7FC3" w:rsidP="00154198">
      <w:pPr>
        <w:autoSpaceDE w:val="0"/>
        <w:autoSpaceDN w:val="0"/>
        <w:adjustRightInd w:val="0"/>
        <w:spacing w:before="0" w:line="240" w:lineRule="auto"/>
        <w:ind w:left="1020"/>
        <w:rPr>
          <w:rFonts w:cs="Arial"/>
          <w:i/>
          <w:iCs/>
          <w:sz w:val="20"/>
          <w:szCs w:val="20"/>
        </w:rPr>
      </w:pPr>
      <w:r w:rsidRPr="00760E22">
        <w:rPr>
          <w:rFonts w:cs="Arial"/>
          <w:sz w:val="20"/>
          <w:szCs w:val="20"/>
        </w:rPr>
        <w:t xml:space="preserve">(e) any other matter the </w:t>
      </w:r>
      <w:r w:rsidRPr="00760E22">
        <w:rPr>
          <w:rFonts w:cs="Arial"/>
          <w:i/>
          <w:iCs/>
          <w:sz w:val="20"/>
          <w:szCs w:val="20"/>
        </w:rPr>
        <w:t xml:space="preserve">AER </w:t>
      </w:r>
      <w:r w:rsidRPr="00760E22">
        <w:rPr>
          <w:rFonts w:cs="Arial"/>
          <w:sz w:val="20"/>
          <w:szCs w:val="20"/>
        </w:rPr>
        <w:t xml:space="preserve">considers relevant and which the </w:t>
      </w:r>
      <w:r w:rsidRPr="00760E22">
        <w:rPr>
          <w:rFonts w:cs="Arial"/>
          <w:i/>
          <w:iCs/>
          <w:sz w:val="20"/>
          <w:szCs w:val="20"/>
        </w:rPr>
        <w:t xml:space="preserve">AER </w:t>
      </w:r>
      <w:r w:rsidRPr="00760E22">
        <w:rPr>
          <w:rFonts w:cs="Arial"/>
          <w:sz w:val="20"/>
          <w:szCs w:val="20"/>
        </w:rPr>
        <w:t xml:space="preserve">has notified </w:t>
      </w:r>
      <w:r w:rsidRPr="00760E22">
        <w:rPr>
          <w:rFonts w:cs="Arial"/>
          <w:i/>
          <w:iCs/>
          <w:sz w:val="20"/>
          <w:szCs w:val="20"/>
        </w:rPr>
        <w:t xml:space="preserve">Network Service Providers </w:t>
      </w:r>
      <w:r w:rsidRPr="00760E22">
        <w:rPr>
          <w:rFonts w:cs="Arial"/>
          <w:sz w:val="20"/>
          <w:szCs w:val="20"/>
        </w:rPr>
        <w:t>is a nominated pass through event consideration.</w:t>
      </w:r>
    </w:p>
    <w:p w:rsidR="00BE7FC3" w:rsidRDefault="00273F74" w:rsidP="00273F74">
      <w:r>
        <w:t xml:space="preserve">Our approach to assessing </w:t>
      </w:r>
      <w:r w:rsidR="00BD108D">
        <w:t xml:space="preserve">proposed </w:t>
      </w:r>
      <w:r>
        <w:t>pass through</w:t>
      </w:r>
      <w:r w:rsidR="00BD108D">
        <w:t xml:space="preserve"> events</w:t>
      </w:r>
      <w:r>
        <w:t xml:space="preserve"> also considers whether it is good regulatory practice, in the context of a national regulatory framework, to achieve consistency across and between</w:t>
      </w:r>
      <w:r w:rsidR="00AD7D8B">
        <w:t xml:space="preserve"> gas and electricity</w:t>
      </w:r>
      <w:r>
        <w:t>.</w:t>
      </w:r>
      <w:r>
        <w:rPr>
          <w:rStyle w:val="FootnoteReference"/>
        </w:rPr>
        <w:footnoteReference w:id="15"/>
      </w:r>
      <w:r>
        <w:t xml:space="preserve"> Our approach also consider</w:t>
      </w:r>
      <w:r w:rsidR="00BD108D">
        <w:t>s</w:t>
      </w:r>
      <w:r>
        <w:t xml:space="preserve"> whether the risk transferred to consumers via the pass through </w:t>
      </w:r>
      <w:r w:rsidR="00BD108D">
        <w:t xml:space="preserve">mechanism </w:t>
      </w:r>
      <w:r>
        <w:t>is appropriate.</w:t>
      </w:r>
      <w:r>
        <w:rPr>
          <w:rStyle w:val="FootnoteReference"/>
        </w:rPr>
        <w:footnoteReference w:id="16"/>
      </w:r>
    </w:p>
    <w:p w:rsidR="00273F74" w:rsidRDefault="00273F74" w:rsidP="00273F74">
      <w:r>
        <w:lastRenderedPageBreak/>
        <w:t>These considerations involve an assessment of the incentives on service providers to manage their risks efficiently. For systematic risks, service providers are compensated through the allowed rate of return. Service providers also face business-specific, or residual, risks. These activities are generally compensated through opex and capex allowances. Beyond this, and where possible, a service provider may manage other risks through a number of other strategies including:</w:t>
      </w:r>
    </w:p>
    <w:p w:rsidR="00273F74" w:rsidRDefault="00273F74" w:rsidP="00273F74">
      <w:pPr>
        <w:pStyle w:val="AERbulletlistfirststyle"/>
      </w:pPr>
      <w:r>
        <w:t>prevention (avoiding risk)</w:t>
      </w:r>
    </w:p>
    <w:p w:rsidR="00273F74" w:rsidRDefault="00273F74" w:rsidP="00273F74">
      <w:pPr>
        <w:pStyle w:val="AERbulletlistfirststyle"/>
      </w:pPr>
      <w:r>
        <w:t>mitigation (reducing the negative effect of probability of the risk)</w:t>
      </w:r>
    </w:p>
    <w:p w:rsidR="00273F74" w:rsidRDefault="00273F74" w:rsidP="00273F74">
      <w:pPr>
        <w:pStyle w:val="AERbulletlistfirststyle"/>
      </w:pPr>
      <w:r>
        <w:t>insurance (transferring the risk to another party)</w:t>
      </w:r>
    </w:p>
    <w:p w:rsidR="00273F74" w:rsidRDefault="00273F74" w:rsidP="00273F74">
      <w:pPr>
        <w:pStyle w:val="AERbulletlistfirststyle"/>
      </w:pPr>
      <w:r>
        <w:t>self-insurance (putting aside funds to manage the likely costs associated with a risky event)</w:t>
      </w:r>
    </w:p>
    <w:p w:rsidR="00433966" w:rsidRDefault="00433966" w:rsidP="00433966">
      <w:pPr>
        <w:pStyle w:val="AERbulletlistfirststyle"/>
        <w:numPr>
          <w:ilvl w:val="0"/>
          <w:numId w:val="0"/>
        </w:numPr>
      </w:pPr>
      <w:r>
        <w:t xml:space="preserve">An efficient </w:t>
      </w:r>
      <w:r w:rsidR="00C716B0">
        <w:t xml:space="preserve">service provider </w:t>
      </w:r>
      <w:r>
        <w:t xml:space="preserve">will manage its risk by employing the most cost effective combination of these strategies. For example, if a cost is reasonably predictable, </w:t>
      </w:r>
      <w:r w:rsidR="00C716B0">
        <w:t xml:space="preserve">a service provider </w:t>
      </w:r>
      <w:r>
        <w:t xml:space="preserve">should factor it into its proposed </w:t>
      </w:r>
      <w:r w:rsidR="00C716B0">
        <w:t xml:space="preserve">operating and capital </w:t>
      </w:r>
      <w:r>
        <w:t>expenditure. In addition, a service provider may invest in its networks to mitigate the impact of certain events occurring. Alternatively, if the probability of events occurring can be readily estimated then the event should be insurable.</w:t>
      </w:r>
    </w:p>
    <w:p w:rsidR="00433966" w:rsidRDefault="00433966" w:rsidP="00433966">
      <w:pPr>
        <w:pStyle w:val="AERbulletlistfirststyle"/>
        <w:numPr>
          <w:ilvl w:val="0"/>
          <w:numId w:val="0"/>
        </w:numPr>
      </w:pPr>
      <w:r>
        <w:t>Pass through events cover those limited circumstances for which the risks cannot be managed efficiently in these ways and for which the service provider should be able to recover its efficient costs.</w:t>
      </w:r>
    </w:p>
    <w:p w:rsidR="00433966" w:rsidRDefault="00433966" w:rsidP="00433966">
      <w:pPr>
        <w:pStyle w:val="AERbulletlistfirststyle"/>
        <w:numPr>
          <w:ilvl w:val="0"/>
          <w:numId w:val="0"/>
        </w:numPr>
      </w:pPr>
      <w:r>
        <w:t>A factor for us to consider, which is reflected in our approach to assessing pass throughs, is who is best placed to manage risk. It is acknowledged practice that the party who is best placed to manage the risk should bear the risk. If the service provider, or customers, are fully exposed to a risk this may lead to adverse outcomes.</w:t>
      </w:r>
    </w:p>
    <w:p w:rsidR="00433966" w:rsidRDefault="00433966" w:rsidP="00433966">
      <w:pPr>
        <w:pStyle w:val="AERbulletlistfirststyle"/>
        <w:numPr>
          <w:ilvl w:val="0"/>
          <w:numId w:val="0"/>
        </w:numPr>
      </w:pPr>
      <w:r>
        <w:t xml:space="preserve">For example, if insurance is not available on commercial terms or self-insurance is not appropriate, a service provider might invest too much in its network. Over the longer term, this is likely to affect efficient costs of operating the network and would not be in the long term interests of consumers. In such circumstances, the consumer may be in the best position to bear the risk if the </w:t>
      </w:r>
      <w:r w:rsidR="009915AF">
        <w:t>unforeseen</w:t>
      </w:r>
      <w:r>
        <w:t xml:space="preserve"> event occurs.</w:t>
      </w:r>
      <w:r>
        <w:rPr>
          <w:rStyle w:val="FootnoteReference"/>
        </w:rPr>
        <w:footnoteReference w:id="17"/>
      </w:r>
      <w:r>
        <w:t xml:space="preserve"> On the other hand, if the service provider is able to pass through all the costs of an </w:t>
      </w:r>
      <w:r w:rsidR="009915AF">
        <w:t>unforeseen</w:t>
      </w:r>
      <w:r>
        <w:t xml:space="preserve"> event, this may dilute the service provider's incentive to take prudent actions upfront to manage these risks.</w:t>
      </w:r>
    </w:p>
    <w:p w:rsidR="00154198" w:rsidRPr="00FB0FFF" w:rsidRDefault="00433966" w:rsidP="00433966">
      <w:pPr>
        <w:pStyle w:val="AERbulletlistfirststyle"/>
        <w:numPr>
          <w:ilvl w:val="0"/>
          <w:numId w:val="0"/>
        </w:numPr>
      </w:pPr>
      <w:r>
        <w:t xml:space="preserve">We considered all of these issues when assessing </w:t>
      </w:r>
      <w:r w:rsidR="009664A2">
        <w:t>ActewAGL</w:t>
      </w:r>
      <w:r>
        <w:t>'s proposed pass through events with the aim of achieving the right balance, in the long term interests of consumers.</w:t>
      </w:r>
    </w:p>
    <w:p w:rsidR="005C0A7F" w:rsidRDefault="005C0A7F" w:rsidP="00C513FD">
      <w:pPr>
        <w:pStyle w:val="Heading3"/>
        <w:keepNext/>
      </w:pPr>
      <w:bookmarkStart w:id="20" w:name="_Toc435449730"/>
      <w:r>
        <w:lastRenderedPageBreak/>
        <w:t>Interrelationships</w:t>
      </w:r>
      <w:bookmarkEnd w:id="20"/>
    </w:p>
    <w:p w:rsidR="00433966" w:rsidRPr="00433966" w:rsidRDefault="00B06F41" w:rsidP="00B06F41">
      <w:r>
        <w:t xml:space="preserve">As mentioned above, pass through events are not the only mechanism in this decision by which </w:t>
      </w:r>
      <w:r w:rsidR="009664A2">
        <w:t>ActewAGL</w:t>
      </w:r>
      <w:r>
        <w:t xml:space="preserve"> can manage its risks. Pass through events are interrelated with other parts of this decision, in particular with the proposed opex and capex allowances and the rate of return. These interrelationships require the AER to balance the incentives </w:t>
      </w:r>
      <w:r w:rsidR="00C716B0">
        <w:t xml:space="preserve">under </w:t>
      </w:r>
      <w:r>
        <w:t>the various parts of its decision.</w:t>
      </w:r>
    </w:p>
    <w:p w:rsidR="009A5113" w:rsidRPr="0074565D" w:rsidRDefault="009A5113" w:rsidP="009A5113">
      <w:pPr>
        <w:pStyle w:val="Heading2"/>
      </w:pPr>
      <w:bookmarkStart w:id="21" w:name="_Toc408404324"/>
      <w:bookmarkStart w:id="22" w:name="_Toc435449731"/>
      <w:r w:rsidRPr="0074565D">
        <w:t xml:space="preserve">Reasons for </w:t>
      </w:r>
      <w:r w:rsidR="001E67A0">
        <w:t>draft</w:t>
      </w:r>
      <w:r w:rsidR="00651CB2" w:rsidRPr="0074565D">
        <w:t xml:space="preserve"> </w:t>
      </w:r>
      <w:r w:rsidRPr="0074565D">
        <w:t>decision</w:t>
      </w:r>
      <w:bookmarkEnd w:id="21"/>
      <w:bookmarkEnd w:id="22"/>
      <w:r w:rsidRPr="0074565D">
        <w:t xml:space="preserve"> </w:t>
      </w:r>
    </w:p>
    <w:p w:rsidR="00071E42" w:rsidRPr="009915AF" w:rsidRDefault="00071E42" w:rsidP="009915AF">
      <w:pPr>
        <w:rPr>
          <w:rStyle w:val="AERbody"/>
        </w:rPr>
      </w:pPr>
      <w:r w:rsidRPr="009915AF">
        <w:rPr>
          <w:rStyle w:val="AERbody"/>
        </w:rPr>
        <w:t xml:space="preserve">We </w:t>
      </w:r>
      <w:r w:rsidR="00F50009" w:rsidRPr="009915AF">
        <w:rPr>
          <w:rStyle w:val="AERbody"/>
        </w:rPr>
        <w:t>do</w:t>
      </w:r>
      <w:r w:rsidRPr="009915AF">
        <w:rPr>
          <w:rStyle w:val="AERbody"/>
        </w:rPr>
        <w:t xml:space="preserve"> not approve </w:t>
      </w:r>
      <w:r w:rsidR="009664A2" w:rsidRPr="009915AF">
        <w:rPr>
          <w:rStyle w:val="AERbody"/>
        </w:rPr>
        <w:t>ActewAGL</w:t>
      </w:r>
      <w:r w:rsidRPr="009915AF">
        <w:rPr>
          <w:rStyle w:val="AERbody"/>
        </w:rPr>
        <w:t xml:space="preserve">'s proposed reference tariff variation mechanism for the 2016–21 access arrangement period. </w:t>
      </w:r>
    </w:p>
    <w:p w:rsidR="00071E42" w:rsidRPr="009915AF" w:rsidRDefault="00071E42" w:rsidP="009915AF">
      <w:pPr>
        <w:rPr>
          <w:rStyle w:val="AERbody"/>
        </w:rPr>
      </w:pPr>
      <w:r w:rsidRPr="009915AF">
        <w:rPr>
          <w:rStyle w:val="AERbody"/>
        </w:rPr>
        <w:t>The reasons for our decision are set out below.</w:t>
      </w:r>
    </w:p>
    <w:p w:rsidR="00071E42" w:rsidRDefault="00071E42" w:rsidP="00071E42">
      <w:pPr>
        <w:pStyle w:val="Heading3"/>
      </w:pPr>
      <w:bookmarkStart w:id="23" w:name="_Toc435449732"/>
      <w:r>
        <w:t>Annual reference tariff variation mechanism</w:t>
      </w:r>
      <w:bookmarkEnd w:id="23"/>
      <w:r>
        <w:t xml:space="preserve"> </w:t>
      </w:r>
    </w:p>
    <w:p w:rsidR="00AD7D8B" w:rsidRDefault="00AD7D8B" w:rsidP="00AD7D8B">
      <w:pPr>
        <w:pStyle w:val="HeadingBoldBlue"/>
      </w:pPr>
      <w:bookmarkStart w:id="24" w:name="_Toc435449733"/>
      <w:r>
        <w:t>Revenue equalisation</w:t>
      </w:r>
      <w:bookmarkEnd w:id="24"/>
    </w:p>
    <w:p w:rsidR="00803F1E" w:rsidRDefault="005649F5" w:rsidP="005649F5">
      <w:r w:rsidRPr="005649F5">
        <w:t>The annual reference tariff variation mechanism must be designed to equalise (in present value terms) the building block costs associated with reference services and the portion of total revenue a</w:t>
      </w:r>
      <w:r w:rsidR="00803F1E">
        <w:t>llocated to reference services.</w:t>
      </w:r>
    </w:p>
    <w:p w:rsidR="005649F5" w:rsidRPr="005649F5" w:rsidRDefault="005649F5" w:rsidP="005649F5">
      <w:r w:rsidRPr="005649F5">
        <w:t>We consider A</w:t>
      </w:r>
      <w:r>
        <w:t>ctewAGL</w:t>
      </w:r>
      <w:r w:rsidRPr="005649F5">
        <w:t>’s proposed annual reference tariff variation formula complies in principle with r</w:t>
      </w:r>
      <w:r w:rsidR="009915AF">
        <w:t>ule</w:t>
      </w:r>
      <w:r w:rsidRPr="005649F5">
        <w:t xml:space="preserve"> 92(2) but the initial reference tariffs must be revised to reflect the draft decision on forecast total revenue and forecast demand. The changes in total revenue and forecast demand are outlined in their respective sections of this draft decision.</w:t>
      </w:r>
      <w:r w:rsidRPr="005649F5">
        <w:rPr>
          <w:rStyle w:val="FootnoteReference"/>
        </w:rPr>
        <w:footnoteReference w:id="18"/>
      </w:r>
    </w:p>
    <w:p w:rsidR="00AD7D8B" w:rsidRDefault="005649F5" w:rsidP="005649F5">
      <w:pPr>
        <w:pStyle w:val="HeadingBoldBlue"/>
      </w:pPr>
      <w:bookmarkStart w:id="25" w:name="_Toc435449734"/>
      <w:r>
        <w:t>Reference tariff variation mechanism</w:t>
      </w:r>
      <w:bookmarkEnd w:id="25"/>
    </w:p>
    <w:p w:rsidR="005649F5" w:rsidRDefault="005649F5" w:rsidP="005649F5">
      <w:r>
        <w:t xml:space="preserve">We accept ActewAGL's proposal to replace the current fixed schedule of tariffs with a weighted average price cap reference tariff variation mechanism. We </w:t>
      </w:r>
      <w:r w:rsidR="008E3D56">
        <w:t xml:space="preserve">note a </w:t>
      </w:r>
      <w:r w:rsidR="00156AE7" w:rsidRPr="00156AE7">
        <w:t>weighted average price cap</w:t>
      </w:r>
      <w:r w:rsidR="008E3D56">
        <w:t xml:space="preserve"> is a form of tariff basket price control which is compliant with NGR.</w:t>
      </w:r>
      <w:r w:rsidR="008E3D56">
        <w:rPr>
          <w:rStyle w:val="FootnoteReference"/>
        </w:rPr>
        <w:footnoteReference w:id="19"/>
      </w:r>
      <w:r w:rsidR="008E3D56">
        <w:t xml:space="preserve"> </w:t>
      </w:r>
      <w:r w:rsidR="007C3CBE">
        <w:t>W</w:t>
      </w:r>
      <w:r w:rsidR="007C3CBE" w:rsidRPr="007C3CBE">
        <w:t>eighted average price cap</w:t>
      </w:r>
      <w:r w:rsidR="007C3CBE">
        <w:t>s</w:t>
      </w:r>
      <w:r w:rsidR="007C3CBE" w:rsidRPr="007C3CBE">
        <w:t xml:space="preserve"> </w:t>
      </w:r>
      <w:r w:rsidR="007D1500">
        <w:t xml:space="preserve">are commonly applied by </w:t>
      </w:r>
      <w:r w:rsidR="008E3D56">
        <w:t>gas distribution networks</w:t>
      </w:r>
      <w:r w:rsidR="007D1500">
        <w:t xml:space="preserve"> in other jurisdictions</w:t>
      </w:r>
      <w:r w:rsidR="008E3D56">
        <w:t>.</w:t>
      </w:r>
      <w:r w:rsidR="007C3CBE" w:rsidRPr="007C3CBE">
        <w:t xml:space="preserve"> We wish to ensure consistency in regulatory approach.</w:t>
      </w:r>
    </w:p>
    <w:p w:rsidR="00C24689" w:rsidRDefault="00C24689" w:rsidP="00C24689">
      <w:r>
        <w:t xml:space="preserve">We note the proposed </w:t>
      </w:r>
      <w:r w:rsidR="007C3CBE" w:rsidRPr="007C3CBE">
        <w:t>weighted average price cap</w:t>
      </w:r>
      <w:r>
        <w:t xml:space="preserve"> includes:</w:t>
      </w:r>
    </w:p>
    <w:p w:rsidR="00C24689" w:rsidRDefault="00C24689" w:rsidP="00C24689">
      <w:pPr>
        <w:pStyle w:val="AERbulletlistfirststyle"/>
      </w:pPr>
      <w:r>
        <w:t>an automatic adjustment factor to account for differences between forecast and actual costs for the following specified uncontrollable events</w:t>
      </w:r>
    </w:p>
    <w:p w:rsidR="00C24689" w:rsidRDefault="00C24689" w:rsidP="00C24689">
      <w:pPr>
        <w:pStyle w:val="AERbulletlistsecondstyle"/>
      </w:pPr>
      <w:r>
        <w:t>license fees</w:t>
      </w:r>
    </w:p>
    <w:p w:rsidR="00C24689" w:rsidRDefault="00C24689" w:rsidP="00C24689">
      <w:pPr>
        <w:pStyle w:val="AERbulletlistsecondstyle"/>
      </w:pPr>
      <w:r>
        <w:t>benchmark unaccounted for gas costs</w:t>
      </w:r>
    </w:p>
    <w:p w:rsidR="00C24689" w:rsidRDefault="00C24689" w:rsidP="00C24689">
      <w:pPr>
        <w:pStyle w:val="AERbulletlistsecondstyle"/>
      </w:pPr>
      <w:r>
        <w:lastRenderedPageBreak/>
        <w:t>carbon costs</w:t>
      </w:r>
    </w:p>
    <w:p w:rsidR="00C24689" w:rsidRDefault="00C24689" w:rsidP="00C24689">
      <w:pPr>
        <w:pStyle w:val="AERbulletlistsecondstyle"/>
      </w:pPr>
      <w:r>
        <w:t>relevant taxes.</w:t>
      </w:r>
    </w:p>
    <w:p w:rsidR="00C24689" w:rsidRDefault="00C24689" w:rsidP="00C24689">
      <w:pPr>
        <w:pStyle w:val="AERbulletlistfirststyle"/>
      </w:pPr>
      <w:r>
        <w:t xml:space="preserve">pass through adjustment </w:t>
      </w:r>
      <w:r w:rsidR="0013776C">
        <w:t>factor</w:t>
      </w:r>
      <w:r>
        <w:t>.</w:t>
      </w:r>
      <w:r>
        <w:rPr>
          <w:rStyle w:val="FootnoteReference"/>
        </w:rPr>
        <w:footnoteReference w:id="20"/>
      </w:r>
    </w:p>
    <w:p w:rsidR="00C24689" w:rsidRPr="00C24689" w:rsidRDefault="0013776C" w:rsidP="00C24689">
      <w:r>
        <w:t>T</w:t>
      </w:r>
      <w:r w:rsidR="00C24689">
        <w:t>his</w:t>
      </w:r>
      <w:r w:rsidR="000252DA">
        <w:t xml:space="preserve"> proposal is consistent with </w:t>
      </w:r>
      <w:r w:rsidR="007C3CBE" w:rsidRPr="007C3CBE">
        <w:t>weighted average price cap</w:t>
      </w:r>
      <w:r w:rsidR="000252DA">
        <w:t xml:space="preserve"> adjustment factors</w:t>
      </w:r>
      <w:r w:rsidR="00C24689">
        <w:t xml:space="preserve"> we approved for other gas distribution networks.</w:t>
      </w:r>
      <w:r w:rsidR="007C3CBE">
        <w:t xml:space="preserve"> The mechanisms for these</w:t>
      </w:r>
      <w:r w:rsidR="000252DA">
        <w:t xml:space="preserve"> adjustment</w:t>
      </w:r>
      <w:r w:rsidR="007C3CBE">
        <w:t>s</w:t>
      </w:r>
      <w:r w:rsidR="000252DA">
        <w:t xml:space="preserve"> are set out below.</w:t>
      </w:r>
    </w:p>
    <w:p w:rsidR="00085C8C" w:rsidRDefault="00085C8C" w:rsidP="00085C8C">
      <w:pPr>
        <w:pStyle w:val="HeadingBoldBlue"/>
      </w:pPr>
      <w:bookmarkStart w:id="26" w:name="_Toc435449735"/>
      <w:r>
        <w:t>Rebalancing constraint</w:t>
      </w:r>
      <w:bookmarkEnd w:id="26"/>
    </w:p>
    <w:p w:rsidR="007D1500" w:rsidRDefault="007D1500" w:rsidP="005649F5">
      <w:r>
        <w:t>We also accept ActewAGL's proposal to include a side constraint</w:t>
      </w:r>
      <w:r w:rsidR="00C75B34">
        <w:t xml:space="preserve"> </w:t>
      </w:r>
      <w:r>
        <w:t xml:space="preserve">(or rebalancing </w:t>
      </w:r>
      <w:r w:rsidR="00803F1E">
        <w:t>control</w:t>
      </w:r>
      <w:r>
        <w:t xml:space="preserve">) in its access arrangement. As noted by ActewAGL, a rebalancing constraint is not required by the NGR but is often applied by the AER when the applicable tariff variation mechanism is a </w:t>
      </w:r>
      <w:r w:rsidR="007C3CBE" w:rsidRPr="007C3CBE">
        <w:t>weighted average price cap</w:t>
      </w:r>
      <w:r>
        <w:t>.</w:t>
      </w:r>
      <w:r>
        <w:rPr>
          <w:rStyle w:val="FootnoteReference"/>
        </w:rPr>
        <w:footnoteReference w:id="21"/>
      </w:r>
      <w:r w:rsidR="00C75B34">
        <w:t xml:space="preserve"> We agree with ActewAGL the application of a rebalancing constraint reduces price volatility and provides additional certainty to customers on annual price movements.</w:t>
      </w:r>
    </w:p>
    <w:p w:rsidR="00C75B34" w:rsidRDefault="00C75B34" w:rsidP="005649F5">
      <w:r>
        <w:t>However, we do not accept ActewAGL's proposal to include an annual 10 per cent adjustment in the r</w:t>
      </w:r>
      <w:r w:rsidR="008027D2">
        <w:t>ebalancing constraint</w:t>
      </w:r>
      <w:r>
        <w:t xml:space="preserve">. ActewAGL proposed 10 per cent as it was approved by the AER for Jemena </w:t>
      </w:r>
      <w:r w:rsidR="008B448A">
        <w:t>Gas Networks (New South Wales)(JGN).</w:t>
      </w:r>
      <w:r w:rsidR="008B448A">
        <w:rPr>
          <w:rStyle w:val="FootnoteReference"/>
        </w:rPr>
        <w:footnoteReference w:id="22"/>
      </w:r>
    </w:p>
    <w:p w:rsidR="00D73CF2" w:rsidRDefault="00D73CF2" w:rsidP="005649F5">
      <w:r>
        <w:t>Our</w:t>
      </w:r>
      <w:r w:rsidR="008B448A">
        <w:t xml:space="preserve"> a</w:t>
      </w:r>
      <w:r>
        <w:t>cceptance of</w:t>
      </w:r>
      <w:r w:rsidR="008B448A">
        <w:t xml:space="preserve"> 10 per cent</w:t>
      </w:r>
      <w:r w:rsidR="007C3CBE">
        <w:t xml:space="preserve"> for JGN</w:t>
      </w:r>
      <w:r w:rsidR="008B448A">
        <w:t xml:space="preserve"> </w:t>
      </w:r>
      <w:r>
        <w:t xml:space="preserve">was due to specific </w:t>
      </w:r>
      <w:r w:rsidR="00085C8C">
        <w:t xml:space="preserve">historical </w:t>
      </w:r>
      <w:r>
        <w:t xml:space="preserve">circumstances </w:t>
      </w:r>
      <w:r w:rsidR="00085C8C">
        <w:t>where</w:t>
      </w:r>
      <w:r>
        <w:t xml:space="preserve"> </w:t>
      </w:r>
      <w:r w:rsidR="008027D2">
        <w:t xml:space="preserve">we considered </w:t>
      </w:r>
      <w:r>
        <w:t xml:space="preserve">that 10 per cent was required to allow </w:t>
      </w:r>
      <w:r w:rsidR="008027D2">
        <w:t xml:space="preserve">it </w:t>
      </w:r>
      <w:r>
        <w:t>to set its reference tariff</w:t>
      </w:r>
      <w:r w:rsidR="008027D2">
        <w:t>s on</w:t>
      </w:r>
      <w:r w:rsidR="00803F1E">
        <w:t xml:space="preserve"> a </w:t>
      </w:r>
      <w:r w:rsidR="008027D2">
        <w:t xml:space="preserve">cost–reflective basis. </w:t>
      </w:r>
      <w:r w:rsidR="007C3CBE">
        <w:t>We considered a</w:t>
      </w:r>
      <w:r w:rsidR="008027D2">
        <w:t>s a 10 per cent adjustment was allowed in the previous access arrangement it could be applied again</w:t>
      </w:r>
      <w:r w:rsidR="00803F1E">
        <w:t xml:space="preserve"> because JGN was still in the process of moving tariffs to cost reflective levels. Moreover,</w:t>
      </w:r>
      <w:r w:rsidR="008027D2">
        <w:t xml:space="preserve"> r</w:t>
      </w:r>
      <w:r w:rsidR="009915AF">
        <w:t>ule</w:t>
      </w:r>
      <w:r w:rsidR="008027D2">
        <w:t xml:space="preserve"> 97(3) of the NGR </w:t>
      </w:r>
      <w:r w:rsidR="00803F1E">
        <w:t>seeks</w:t>
      </w:r>
      <w:r w:rsidR="008027D2">
        <w:t xml:space="preserve"> consistency between regulatory arrangements</w:t>
      </w:r>
      <w:r w:rsidR="00803F1E">
        <w:t xml:space="preserve"> where possible.</w:t>
      </w:r>
      <w:r w:rsidR="009915AF">
        <w:t xml:space="preserve"> Our JGN decision met this rule</w:t>
      </w:r>
      <w:r w:rsidR="008027D2">
        <w:t>.</w:t>
      </w:r>
    </w:p>
    <w:p w:rsidR="008027D2" w:rsidRDefault="008027D2" w:rsidP="00085C8C">
      <w:r>
        <w:t xml:space="preserve">However, </w:t>
      </w:r>
      <w:r w:rsidR="00085C8C">
        <w:t xml:space="preserve">ActewAGL does not have the same circumstances as JGN and we consider 10 per cent is a significant adjustment that could allow price volatility and reduce certainty in customers' prices. Instead, </w:t>
      </w:r>
      <w:r>
        <w:t>our draft decision</w:t>
      </w:r>
      <w:r w:rsidR="00085C8C">
        <w:t xml:space="preserve"> for ActewAGL</w:t>
      </w:r>
      <w:r>
        <w:t xml:space="preserve"> applies a 2 per cent adjustment in the balancing constraint</w:t>
      </w:r>
      <w:r w:rsidR="00085C8C">
        <w:t xml:space="preserve"> which is consistent with the rebalancing constraints</w:t>
      </w:r>
      <w:r>
        <w:t xml:space="preserve"> applied by other gas distribution networks.</w:t>
      </w:r>
      <w:r>
        <w:rPr>
          <w:rStyle w:val="FootnoteReference"/>
        </w:rPr>
        <w:footnoteReference w:id="23"/>
      </w:r>
      <w:r>
        <w:t xml:space="preserve"> We consider </w:t>
      </w:r>
      <w:r w:rsidR="00085C8C">
        <w:lastRenderedPageBreak/>
        <w:t xml:space="preserve">2 per cent a reasonable adjustment and it has regulatory precedence as it is the </w:t>
      </w:r>
      <w:r w:rsidR="00101D37">
        <w:t>re</w:t>
      </w:r>
      <w:r>
        <w:t xml:space="preserve">balancing </w:t>
      </w:r>
      <w:r w:rsidR="00085C8C">
        <w:t xml:space="preserve">constraint </w:t>
      </w:r>
      <w:r w:rsidR="00101D37">
        <w:t xml:space="preserve">adopted </w:t>
      </w:r>
      <w:r w:rsidR="00085C8C">
        <w:t xml:space="preserve">for electricity networks as set out in </w:t>
      </w:r>
      <w:r>
        <w:t>the NER.</w:t>
      </w:r>
      <w:r>
        <w:rPr>
          <w:rStyle w:val="FootnoteReference"/>
        </w:rPr>
        <w:footnoteReference w:id="24"/>
      </w:r>
    </w:p>
    <w:p w:rsidR="0013776C" w:rsidRDefault="0013776C" w:rsidP="009915AF">
      <w:pPr>
        <w:pStyle w:val="HeadingBoldBlue"/>
        <w:keepNext/>
      </w:pPr>
      <w:bookmarkStart w:id="27" w:name="_Toc435449736"/>
      <w:r>
        <w:t>Intra–year variations to reference tariffs</w:t>
      </w:r>
      <w:bookmarkEnd w:id="27"/>
    </w:p>
    <w:p w:rsidR="00101D37" w:rsidRDefault="0013776C" w:rsidP="0013776C">
      <w:r>
        <w:t xml:space="preserve">We do not accept </w:t>
      </w:r>
      <w:r w:rsidR="000417DC">
        <w:t xml:space="preserve">ActewAGL's proposal to vary reference tariffs during a </w:t>
      </w:r>
      <w:r w:rsidR="00335681">
        <w:t>financial</w:t>
      </w:r>
      <w:r w:rsidR="000417DC">
        <w:t xml:space="preserve"> year to apply at a date prior to the start of the next financial year, including for the purpose of passing through an amount relating to a cost pass through event.</w:t>
      </w:r>
      <w:r w:rsidR="00335681">
        <w:rPr>
          <w:rStyle w:val="FootnoteReference"/>
        </w:rPr>
        <w:footnoteReference w:id="25"/>
      </w:r>
    </w:p>
    <w:p w:rsidR="007315EE" w:rsidRDefault="00101D37" w:rsidP="0013776C">
      <w:r>
        <w:t>I</w:t>
      </w:r>
      <w:r w:rsidR="00335681">
        <w:t>ntra–year variations to tariffs create uncertainty for cus</w:t>
      </w:r>
      <w:r>
        <w:t xml:space="preserve">tomers on annual price movements, which is </w:t>
      </w:r>
      <w:r w:rsidR="007315EE">
        <w:t xml:space="preserve">undesirable. </w:t>
      </w:r>
      <w:r>
        <w:t>Once tariffs are set, it is best they are not adjusted until commencement of the following financial year</w:t>
      </w:r>
      <w:r w:rsidR="007315EE">
        <w:t xml:space="preserve">. </w:t>
      </w:r>
      <w:r>
        <w:t>ActewAGL seems to acknowledge the importance tariff certainty for via inclusion of</w:t>
      </w:r>
      <w:r w:rsidR="007315EE">
        <w:t xml:space="preserve"> a rebalancing constraint.</w:t>
      </w:r>
      <w:r w:rsidR="007315EE">
        <w:rPr>
          <w:rStyle w:val="FootnoteReference"/>
        </w:rPr>
        <w:footnoteReference w:id="26"/>
      </w:r>
      <w:r>
        <w:t xml:space="preserve"> Permitting intra-year tariff variations would undermine that very certainty.</w:t>
      </w:r>
    </w:p>
    <w:p w:rsidR="002701AB" w:rsidRDefault="007315EE" w:rsidP="001863DA">
      <w:r>
        <w:t xml:space="preserve">We acknowledge that </w:t>
      </w:r>
      <w:r w:rsidR="0022166F" w:rsidRPr="0022166F">
        <w:t xml:space="preserve">in the past </w:t>
      </w:r>
      <w:r>
        <w:t>we have approved intra–year variations to reference tariffs. However, this has only ever been done in exceptional circumstances</w:t>
      </w:r>
      <w:r w:rsidR="001863DA">
        <w:t xml:space="preserve"> </w:t>
      </w:r>
      <w:r w:rsidR="00101D37">
        <w:t>when judged to be in the long term interests of customers</w:t>
      </w:r>
      <w:r w:rsidR="001863DA">
        <w:t xml:space="preserve">—such as the </w:t>
      </w:r>
      <w:r w:rsidR="002701AB">
        <w:t>removal</w:t>
      </w:r>
      <w:r w:rsidR="001863DA">
        <w:t xml:space="preserve"> of the carbon tax</w:t>
      </w:r>
      <w:r w:rsidR="002701AB">
        <w:t xml:space="preserve"> from tariffs, where special legislative requirements dictated the necessity for the tax's prompt removal.</w:t>
      </w:r>
    </w:p>
    <w:p w:rsidR="000417DC" w:rsidRPr="0013776C" w:rsidRDefault="002701AB" w:rsidP="001863DA">
      <w:r>
        <w:t>Moreover, w</w:t>
      </w:r>
      <w:r w:rsidR="007315EE">
        <w:t xml:space="preserve">e also consider that the pass through factor and </w:t>
      </w:r>
      <w:r w:rsidR="001863DA" w:rsidRPr="007315EE">
        <w:t>automatic adjustment factor</w:t>
      </w:r>
      <w:r w:rsidR="0022166F">
        <w:t xml:space="preserve"> in </w:t>
      </w:r>
      <w:r w:rsidR="001863DA">
        <w:t>ActewAGL</w:t>
      </w:r>
      <w:r w:rsidR="0022166F">
        <w:t>'s weighted average price cap allows annual tariff</w:t>
      </w:r>
      <w:r w:rsidR="001863DA">
        <w:t xml:space="preserve"> adjust</w:t>
      </w:r>
      <w:r w:rsidR="0022166F">
        <w:t>ments</w:t>
      </w:r>
      <w:r w:rsidR="001863DA">
        <w:t xml:space="preserve"> for </w:t>
      </w:r>
      <w:r w:rsidR="001863DA" w:rsidRPr="001863DA">
        <w:t>uncontrollable cost</w:t>
      </w:r>
      <w:r w:rsidR="001863DA">
        <w:t xml:space="preserve">s and cost pass throughs. </w:t>
      </w:r>
      <w:r w:rsidR="0022166F">
        <w:t xml:space="preserve">These adjustments include accounting for the time value of money so that neither ActewAGL nor customers are impacted by the delay in </w:t>
      </w:r>
      <w:r w:rsidR="009E1869">
        <w:t xml:space="preserve">recovering these costs. </w:t>
      </w:r>
      <w:r w:rsidR="001863DA">
        <w:t>Therefore</w:t>
      </w:r>
      <w:r w:rsidR="007315EE">
        <w:t xml:space="preserve">, we do not consider it prudent or necessary to include provision for </w:t>
      </w:r>
      <w:r w:rsidR="001863DA">
        <w:t xml:space="preserve">intra–year variations to reference tariffs in </w:t>
      </w:r>
      <w:r w:rsidR="007315EE">
        <w:t>ActewAGL's access arrangement.</w:t>
      </w:r>
    </w:p>
    <w:p w:rsidR="005649F5" w:rsidRDefault="005649F5" w:rsidP="005649F5">
      <w:pPr>
        <w:pStyle w:val="HeadingBoldBlue"/>
      </w:pPr>
      <w:bookmarkStart w:id="28" w:name="_Toc435449737"/>
      <w:r>
        <w:t>Annual haulage reference tariff variation formula</w:t>
      </w:r>
      <w:bookmarkEnd w:id="28"/>
    </w:p>
    <w:p w:rsidR="005649F5" w:rsidRDefault="005649F5" w:rsidP="005649F5">
      <w:r>
        <w:t>ActewAGL's proposed annual haulage reference tariff variation formula is consistent with that applied by other gas distribution networks. While we generally accept ActewAGL's proposal, we have amended the tariff variation formula…</w:t>
      </w:r>
    </w:p>
    <w:p w:rsidR="002F2DD7" w:rsidRPr="005649F5" w:rsidRDefault="002F2DD7" w:rsidP="005649F5">
      <w:r>
        <w:t xml:space="preserve">The draft decision approved annual haulage reference tariff variation mechanism is set out in </w:t>
      </w:r>
      <w:r>
        <w:fldChar w:fldCharType="begin"/>
      </w:r>
      <w:r>
        <w:instrText xml:space="preserve"> REF  _Ref435107546 \* Lower \h </w:instrText>
      </w:r>
      <w:r>
        <w:fldChar w:fldCharType="separate"/>
      </w:r>
      <w:r w:rsidR="009915AF" w:rsidRPr="00B27249">
        <w:t xml:space="preserve">figure </w:t>
      </w:r>
      <w:r w:rsidR="009915AF">
        <w:rPr>
          <w:noProof/>
        </w:rPr>
        <w:t>11</w:t>
      </w:r>
      <w:r w:rsidR="009915AF">
        <w:t>.</w:t>
      </w:r>
      <w:r w:rsidR="009915AF">
        <w:rPr>
          <w:noProof/>
        </w:rPr>
        <w:t>1</w:t>
      </w:r>
      <w:r>
        <w:fldChar w:fldCharType="end"/>
      </w:r>
      <w:r>
        <w:t xml:space="preserve">. The approved side constraint is set out in </w:t>
      </w:r>
      <w:r>
        <w:fldChar w:fldCharType="begin"/>
      </w:r>
      <w:r>
        <w:instrText xml:space="preserve"> REF  _Ref435107618 \* Lower \h </w:instrText>
      </w:r>
      <w:r>
        <w:fldChar w:fldCharType="separate"/>
      </w:r>
      <w:r w:rsidR="009915AF">
        <w:t xml:space="preserve">figure </w:t>
      </w:r>
      <w:r w:rsidR="009915AF">
        <w:rPr>
          <w:noProof/>
        </w:rPr>
        <w:t>11</w:t>
      </w:r>
      <w:r w:rsidR="009915AF">
        <w:t>.</w:t>
      </w:r>
      <w:r w:rsidR="009915AF">
        <w:rPr>
          <w:noProof/>
        </w:rPr>
        <w:t>2</w:t>
      </w:r>
      <w:r>
        <w:fldChar w:fldCharType="end"/>
      </w:r>
      <w:r>
        <w:t>.</w:t>
      </w:r>
    </w:p>
    <w:p w:rsidR="00B27249" w:rsidRPr="00B27249" w:rsidRDefault="00B27249" w:rsidP="00B27249">
      <w:pPr>
        <w:pStyle w:val="Caption"/>
      </w:pPr>
      <w:bookmarkStart w:id="29" w:name="_Ref435107546"/>
      <w:bookmarkStart w:id="30" w:name="_Ref435366744"/>
      <w:r w:rsidRPr="00B27249">
        <w:lastRenderedPageBreak/>
        <w:t xml:space="preserve">Figure </w:t>
      </w:r>
      <w:r w:rsidR="00C948D1">
        <w:fldChar w:fldCharType="begin"/>
      </w:r>
      <w:r w:rsidR="00C948D1">
        <w:instrText xml:space="preserve"> STYLEREF 1 \s </w:instrText>
      </w:r>
      <w:r w:rsidR="00C948D1">
        <w:fldChar w:fldCharType="separate"/>
      </w:r>
      <w:r w:rsidR="0022166F">
        <w:rPr>
          <w:noProof/>
        </w:rPr>
        <w:t>11</w:t>
      </w:r>
      <w:r w:rsidR="00C948D1">
        <w:rPr>
          <w:noProof/>
        </w:rPr>
        <w:fldChar w:fldCharType="end"/>
      </w:r>
      <w:r w:rsidR="000417DC">
        <w:t>.</w:t>
      </w:r>
      <w:r w:rsidR="00C948D1">
        <w:fldChar w:fldCharType="begin"/>
      </w:r>
      <w:r w:rsidR="00C948D1">
        <w:instrText xml:space="preserve"> SEQ Figure </w:instrText>
      </w:r>
      <w:r w:rsidR="00C948D1">
        <w:instrText xml:space="preserve">\* ARABIC \s 1 </w:instrText>
      </w:r>
      <w:r w:rsidR="00C948D1">
        <w:fldChar w:fldCharType="separate"/>
      </w:r>
      <w:r w:rsidR="0022166F">
        <w:rPr>
          <w:noProof/>
        </w:rPr>
        <w:t>1</w:t>
      </w:r>
      <w:r w:rsidR="00C948D1">
        <w:rPr>
          <w:noProof/>
        </w:rPr>
        <w:fldChar w:fldCharType="end"/>
      </w:r>
      <w:bookmarkEnd w:id="29"/>
      <w:r w:rsidRPr="00B27249">
        <w:tab/>
        <w:t>Annual haulage reference tariff variation formula</w:t>
      </w:r>
      <w:bookmarkEnd w:id="30"/>
    </w:p>
    <w:p w:rsidR="00B27249" w:rsidRDefault="003A6D1C" w:rsidP="00095B2A">
      <w:r w:rsidRPr="00B27249">
        <w:rPr>
          <w:position w:val="-64"/>
        </w:rPr>
        <w:object w:dxaOrig="49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25pt;height:83.5pt" o:ole="">
            <v:imagedata r:id="rId12" o:title=""/>
          </v:shape>
          <o:OLEObject Type="Embed" ProgID="Equation.3" ShapeID="_x0000_i1025" DrawAspect="Content" ObjectID="_1509788553" r:id="rId13"/>
        </w:object>
      </w:r>
      <w:r w:rsidR="00A46EBE">
        <w:tab/>
      </w:r>
      <w:r w:rsidR="00A46EBE">
        <w:tab/>
      </w:r>
      <w:r w:rsidR="00345E86" w:rsidRPr="00345E86">
        <w:rPr>
          <w:position w:val="-6"/>
        </w:rPr>
        <w:object w:dxaOrig="200" w:dyaOrig="220">
          <v:shape id="_x0000_i1026" type="#_x0000_t75" style="width:8.35pt;height:10.45pt" o:ole="">
            <v:imagedata r:id="rId14" o:title=""/>
          </v:shape>
          <o:OLEObject Type="Embed" ProgID="Equation.3" ShapeID="_x0000_i1026" DrawAspect="Content" ObjectID="_1509788554" r:id="rId15"/>
        </w:object>
      </w:r>
      <w:r w:rsidR="00A46EBE">
        <w:t xml:space="preserve"> = 1,…,n.</w:t>
      </w:r>
    </w:p>
    <w:p w:rsidR="00A46EBE" w:rsidRPr="00A46EBE" w:rsidRDefault="00A46EBE" w:rsidP="00A46EBE">
      <w:r w:rsidRPr="00A46EBE">
        <w:t>where:</w:t>
      </w:r>
    </w:p>
    <w:p w:rsidR="00E67F6D" w:rsidRPr="00E67F6D" w:rsidRDefault="00E67F6D" w:rsidP="00E67F6D">
      <w:r w:rsidRPr="00E67F6D">
        <w:rPr>
          <w:position w:val="-12"/>
        </w:rPr>
        <w:object w:dxaOrig="560" w:dyaOrig="380">
          <v:shape id="_x0000_i1027" type="#_x0000_t75" style="width:27.15pt;height:19.85pt" o:ole="">
            <v:imagedata r:id="rId16" o:title=""/>
          </v:shape>
          <o:OLEObject Type="Embed" ProgID="Equation.3" ShapeID="_x0000_i1027" DrawAspect="Content" ObjectID="_1509788555" r:id="rId17"/>
        </w:object>
      </w:r>
      <w:r w:rsidR="00A46EBE" w:rsidRPr="00A46EBE">
        <w:tab/>
      </w:r>
      <w:r w:rsidRPr="00E67F6D">
        <w:t xml:space="preserve">is the annual percentage change in the </w:t>
      </w:r>
      <w:r>
        <w:t>Australian Bureau of Statistics (</w:t>
      </w:r>
      <w:r w:rsidRPr="00E67F6D">
        <w:t>ABS</w:t>
      </w:r>
      <w:r>
        <w:t>)</w:t>
      </w:r>
      <w:r w:rsidRPr="00E67F6D">
        <w:t xml:space="preserve"> CPI All Groups, Weighted A</w:t>
      </w:r>
      <w:r w:rsidR="0089203E">
        <w:t xml:space="preserve">verage of Eight Capital Cities </w:t>
      </w:r>
      <w:r w:rsidRPr="00E67F6D">
        <w:t>from</w:t>
      </w:r>
      <w:r w:rsidR="00D71F6C">
        <w:t xml:space="preserve"> the December quarter in year t-</w:t>
      </w:r>
      <w:r w:rsidRPr="00E67F6D">
        <w:t>2 to</w:t>
      </w:r>
      <w:r w:rsidR="00D71F6C">
        <w:t xml:space="preserve"> the December quarter in year t-</w:t>
      </w:r>
      <w:r w:rsidRPr="00E67F6D">
        <w:t>1, calculated using the following method:</w:t>
      </w:r>
    </w:p>
    <w:p w:rsidR="00E67F6D" w:rsidRPr="00E67F6D" w:rsidRDefault="00E67F6D" w:rsidP="00E67F6D">
      <w:pPr>
        <w:pStyle w:val="ListContinue"/>
      </w:pPr>
      <w:r w:rsidRPr="00E67F6D">
        <w:t xml:space="preserve">The ABS CPI All Groups, Weighted Average of Eight Capital Cities for the December quarter in </w:t>
      </w:r>
      <w:r>
        <w:t>financial</w:t>
      </w:r>
      <w:r w:rsidR="00D71F6C">
        <w:t xml:space="preserve"> year t-</w:t>
      </w:r>
      <w:r w:rsidRPr="00E67F6D">
        <w:t>1</w:t>
      </w:r>
    </w:p>
    <w:p w:rsidR="00E67F6D" w:rsidRPr="00E67F6D" w:rsidRDefault="00E67F6D" w:rsidP="00E67F6D">
      <w:pPr>
        <w:pStyle w:val="ListContinue"/>
      </w:pPr>
      <w:r w:rsidRPr="00E67F6D">
        <w:t>divided by</w:t>
      </w:r>
    </w:p>
    <w:p w:rsidR="00E67F6D" w:rsidRPr="00E67F6D" w:rsidRDefault="00E67F6D" w:rsidP="00E67F6D">
      <w:pPr>
        <w:pStyle w:val="ListContinue"/>
      </w:pPr>
      <w:r w:rsidRPr="00E67F6D">
        <w:t>The ABS CPI All Groups, Weighted Average of Eight Capital Cities for th</w:t>
      </w:r>
      <w:r>
        <w:t>e December quarter in financial</w:t>
      </w:r>
      <w:r w:rsidR="00D71F6C">
        <w:t xml:space="preserve"> year t-</w:t>
      </w:r>
      <w:r w:rsidRPr="00E67F6D">
        <w:t>2</w:t>
      </w:r>
    </w:p>
    <w:p w:rsidR="00E67F6D" w:rsidRDefault="00E67F6D" w:rsidP="00E67F6D">
      <w:pPr>
        <w:pStyle w:val="ListContinue"/>
      </w:pPr>
      <w:r w:rsidRPr="00E67F6D">
        <w:t>minus one.</w:t>
      </w:r>
    </w:p>
    <w:p w:rsidR="00E67F6D" w:rsidRDefault="00E67F6D" w:rsidP="00A46EBE">
      <w:r w:rsidRPr="00E67F6D">
        <w:t>If the ABS does not, or ceases to, publish the index, then CPI will mean an index which the AER considers is the best available alternative index.</w:t>
      </w:r>
    </w:p>
    <w:p w:rsidR="00413B34" w:rsidRDefault="00413B34" w:rsidP="00413B34">
      <w:r w:rsidRPr="00AA41FD">
        <w:object w:dxaOrig="139" w:dyaOrig="240">
          <v:shape id="_x0000_i1028" type="#_x0000_t75" style="width:6.25pt;height:11.5pt" o:ole="">
            <v:imagedata r:id="rId18" o:title=""/>
          </v:shape>
          <o:OLEObject Type="Embed" ProgID="Equation.3" ShapeID="_x0000_i1028" DrawAspect="Content" ObjectID="_1509788556" r:id="rId19"/>
        </w:object>
      </w:r>
      <w:r>
        <w:tab/>
      </w:r>
      <w:r>
        <w:tab/>
        <w:t>is the financial year for which tariffs are being set.</w:t>
      </w:r>
    </w:p>
    <w:p w:rsidR="00A46EBE" w:rsidRPr="00A46EBE" w:rsidRDefault="00E67F6D" w:rsidP="00A46EBE">
      <w:r w:rsidRPr="00E67F6D">
        <w:rPr>
          <w:position w:val="-12"/>
        </w:rPr>
        <w:object w:dxaOrig="360" w:dyaOrig="380">
          <v:shape id="_x0000_i1029" type="#_x0000_t75" style="width:18.8pt;height:19.85pt" o:ole="">
            <v:imagedata r:id="rId20" o:title=""/>
          </v:shape>
          <o:OLEObject Type="Embed" ProgID="Equation.3" ShapeID="_x0000_i1029" DrawAspect="Content" ObjectID="_1509788557" r:id="rId21"/>
        </w:object>
      </w:r>
      <w:r w:rsidR="009E60D7">
        <w:tab/>
        <w:t>i</w:t>
      </w:r>
      <w:r w:rsidR="00A46EBE" w:rsidRPr="00A46EBE">
        <w:t>s the X factor for each financial year</w:t>
      </w:r>
      <w:r w:rsidR="002F2DD7">
        <w:t xml:space="preserve"> of the 2016–21 access arrangement period as </w:t>
      </w:r>
      <w:r w:rsidR="00A46EBE" w:rsidRPr="00A46EBE">
        <w:t>determined in the PTRM as approved in the AER's final decision, and annually revised for the return on debt update calculated for the relevant financial year during the access arrangement period</w:t>
      </w:r>
      <w:r>
        <w:t xml:space="preserve"> in accordance with </w:t>
      </w:r>
      <w:r w:rsidR="002F2DD7">
        <w:t>t</w:t>
      </w:r>
      <w:r w:rsidR="00EA1E07">
        <w:t>hat approved in the</w:t>
      </w:r>
      <w:r w:rsidR="002F2DD7">
        <w:t xml:space="preserve"> AER's final decision</w:t>
      </w:r>
    </w:p>
    <w:p w:rsidR="002F2DD7" w:rsidRDefault="00E67F6D" w:rsidP="00A46EBE">
      <w:r w:rsidRPr="00E67F6D">
        <w:rPr>
          <w:position w:val="-12"/>
        </w:rPr>
        <w:object w:dxaOrig="320" w:dyaOrig="380">
          <v:shape id="_x0000_i1030" type="#_x0000_t75" style="width:15.65pt;height:19.85pt" o:ole="">
            <v:imagedata r:id="rId22" o:title=""/>
          </v:shape>
          <o:OLEObject Type="Embed" ProgID="Equation.3" ShapeID="_x0000_i1030" DrawAspect="Content" ObjectID="_1509788558" r:id="rId23"/>
        </w:object>
      </w:r>
      <w:r w:rsidR="00A46EBE" w:rsidRPr="00A46EBE">
        <w:tab/>
      </w:r>
      <w:r w:rsidR="00A46EBE" w:rsidRPr="00A46EBE">
        <w:tab/>
        <w:t>is the</w:t>
      </w:r>
      <w:r w:rsidR="002F2DD7">
        <w:t xml:space="preserve"> automatic</w:t>
      </w:r>
      <w:r w:rsidR="00A46EBE" w:rsidRPr="00A46EBE">
        <w:t xml:space="preserve"> adjustment factor </w:t>
      </w:r>
      <w:r w:rsidR="002F2DD7">
        <w:t>for financial year t calculated as outlined below</w:t>
      </w:r>
    </w:p>
    <w:p w:rsidR="00A46EBE" w:rsidRPr="00A46EBE" w:rsidRDefault="00AA41FD" w:rsidP="00A46EBE">
      <w:r w:rsidRPr="00AA41FD">
        <w:rPr>
          <w:position w:val="-12"/>
        </w:rPr>
        <w:object w:dxaOrig="480" w:dyaOrig="380">
          <v:shape id="_x0000_i1031" type="#_x0000_t75" style="width:25.05pt;height:19.85pt" o:ole="">
            <v:imagedata r:id="rId24" o:title=""/>
          </v:shape>
          <o:OLEObject Type="Embed" ProgID="Equation.3" ShapeID="_x0000_i1031" DrawAspect="Content" ObjectID="_1509788559" r:id="rId25"/>
        </w:object>
      </w:r>
      <w:r w:rsidR="00A46EBE" w:rsidRPr="00A46EBE">
        <w:tab/>
        <w:t xml:space="preserve">is the cost pass through factor </w:t>
      </w:r>
      <w:r>
        <w:t>for financial year t calculated as outlined below</w:t>
      </w:r>
    </w:p>
    <w:p w:rsidR="00A46EBE" w:rsidRPr="00A46EBE" w:rsidRDefault="00A46EBE" w:rsidP="00A46EBE">
      <w:r w:rsidRPr="00A46EBE">
        <w:object w:dxaOrig="200" w:dyaOrig="220">
          <v:shape id="_x0000_i1032" type="#_x0000_t75" style="width:8.35pt;height:10.45pt" o:ole="">
            <v:imagedata r:id="rId26" o:title=""/>
          </v:shape>
          <o:OLEObject Type="Embed" ProgID="Equation.3" ShapeID="_x0000_i1032" DrawAspect="Content" ObjectID="_1509788560" r:id="rId27"/>
        </w:object>
      </w:r>
      <w:r w:rsidRPr="00A46EBE">
        <w:tab/>
      </w:r>
      <w:r w:rsidRPr="00A46EBE">
        <w:tab/>
        <w:t>is the number of different reference tariffs</w:t>
      </w:r>
    </w:p>
    <w:p w:rsidR="00A46EBE" w:rsidRPr="00A46EBE" w:rsidRDefault="00A46EBE" w:rsidP="00A46EBE">
      <w:r w:rsidRPr="00A46EBE">
        <w:object w:dxaOrig="260" w:dyaOrig="220">
          <v:shape id="_x0000_i1033" type="#_x0000_t75" style="width:11.5pt;height:10.45pt" o:ole="">
            <v:imagedata r:id="rId28" o:title=""/>
          </v:shape>
          <o:OLEObject Type="Embed" ProgID="Equation.3" ShapeID="_x0000_i1033" DrawAspect="Content" ObjectID="_1509788561" r:id="rId29"/>
        </w:object>
      </w:r>
      <w:r w:rsidRPr="00A46EBE">
        <w:tab/>
      </w:r>
      <w:r w:rsidRPr="00A46EBE">
        <w:tab/>
        <w:t>is the different components, elements or variables ("components") comprised within a reference tariff</w:t>
      </w:r>
    </w:p>
    <w:bookmarkStart w:id="31" w:name="_Ref434337317"/>
    <w:p w:rsidR="003A6D1C" w:rsidRDefault="003A6D1C" w:rsidP="003A6D1C">
      <w:r w:rsidRPr="003A6D1C">
        <w:object w:dxaOrig="340" w:dyaOrig="380">
          <v:shape id="_x0000_i1034" type="#_x0000_t75" style="width:17.75pt;height:19.85pt" o:ole="">
            <v:imagedata r:id="rId30" o:title=""/>
          </v:shape>
          <o:OLEObject Type="Embed" ProgID="Equation.3" ShapeID="_x0000_i1034" DrawAspect="Content" ObjectID="_1509788562" r:id="rId31"/>
        </w:object>
      </w:r>
      <w:r>
        <w:tab/>
        <w:t xml:space="preserve">is the proposed component </w:t>
      </w:r>
      <w:r w:rsidRPr="003A6D1C">
        <w:rPr>
          <w:position w:val="-10"/>
        </w:rPr>
        <w:object w:dxaOrig="200" w:dyaOrig="300">
          <v:shape id="_x0000_i1035" type="#_x0000_t75" style="width:8.35pt;height:14.6pt" o:ole="">
            <v:imagedata r:id="rId32" o:title=""/>
          </v:shape>
          <o:OLEObject Type="Embed" ProgID="Equation.3" ShapeID="_x0000_i1035" DrawAspect="Content" ObjectID="_1509788563" r:id="rId33"/>
        </w:object>
      </w:r>
      <w:r>
        <w:t xml:space="preserve"> of reference tariff </w:t>
      </w:r>
      <w:r w:rsidRPr="003A6D1C">
        <w:rPr>
          <w:position w:val="-6"/>
        </w:rPr>
        <w:object w:dxaOrig="139" w:dyaOrig="260">
          <v:shape id="_x0000_i1036" type="#_x0000_t75" style="width:6.25pt;height:12.5pt" o:ole="">
            <v:imagedata r:id="rId34" o:title=""/>
          </v:shape>
          <o:OLEObject Type="Embed" ProgID="Equation.3" ShapeID="_x0000_i1036" DrawAspect="Content" ObjectID="_1509788564" r:id="rId35"/>
        </w:object>
      </w:r>
      <w:r>
        <w:t xml:space="preserve"> in year t</w:t>
      </w:r>
    </w:p>
    <w:p w:rsidR="003A6D1C" w:rsidRDefault="003A6D1C" w:rsidP="003A6D1C">
      <w:r w:rsidRPr="003A6D1C">
        <w:object w:dxaOrig="420" w:dyaOrig="380">
          <v:shape id="_x0000_i1037" type="#_x0000_t75" style="width:21.9pt;height:19.85pt" o:ole="">
            <v:imagedata r:id="rId36" o:title=""/>
          </v:shape>
          <o:OLEObject Type="Embed" ProgID="Equation.3" ShapeID="_x0000_i1037" DrawAspect="Content" ObjectID="_1509788565" r:id="rId37"/>
        </w:object>
      </w:r>
      <w:r>
        <w:tab/>
        <w:t xml:space="preserve">is the prevailing component </w:t>
      </w:r>
      <w:r w:rsidRPr="003A6D1C">
        <w:rPr>
          <w:position w:val="-10"/>
        </w:rPr>
        <w:object w:dxaOrig="200" w:dyaOrig="300">
          <v:shape id="_x0000_i1038" type="#_x0000_t75" style="width:8.35pt;height:14.6pt" o:ole="">
            <v:imagedata r:id="rId38" o:title=""/>
          </v:shape>
          <o:OLEObject Type="Embed" ProgID="Equation.3" ShapeID="_x0000_i1038" DrawAspect="Content" ObjectID="_1509788566" r:id="rId39"/>
        </w:object>
      </w:r>
      <w:r>
        <w:t xml:space="preserve"> of reference tariff </w:t>
      </w:r>
      <w:r w:rsidRPr="003A6D1C">
        <w:rPr>
          <w:position w:val="-6"/>
        </w:rPr>
        <w:object w:dxaOrig="139" w:dyaOrig="260">
          <v:shape id="_x0000_i1039" type="#_x0000_t75" style="width:6.25pt;height:12.5pt" o:ole="">
            <v:imagedata r:id="rId40" o:title=""/>
          </v:shape>
          <o:OLEObject Type="Embed" ProgID="Equation.3" ShapeID="_x0000_i1039" DrawAspect="Content" ObjectID="_1509788567" r:id="rId41"/>
        </w:object>
      </w:r>
      <w:r w:rsidR="00D71F6C">
        <w:t xml:space="preserve"> in year t-</w:t>
      </w:r>
      <w:r>
        <w:t>1</w:t>
      </w:r>
    </w:p>
    <w:p w:rsidR="003A6D1C" w:rsidRDefault="003A6D1C" w:rsidP="003A6D1C">
      <w:r w:rsidRPr="003A6D1C">
        <w:object w:dxaOrig="420" w:dyaOrig="380">
          <v:shape id="_x0000_i1040" type="#_x0000_t75" style="width:21.9pt;height:19.85pt" o:ole="">
            <v:imagedata r:id="rId42" o:title=""/>
          </v:shape>
          <o:OLEObject Type="Embed" ProgID="Equation.3" ShapeID="_x0000_i1040" DrawAspect="Content" ObjectID="_1509788568" r:id="rId43"/>
        </w:object>
      </w:r>
      <w:r>
        <w:tab/>
        <w:t xml:space="preserve">is the audited quantity of component </w:t>
      </w:r>
      <w:r w:rsidRPr="003A6D1C">
        <w:rPr>
          <w:position w:val="-10"/>
        </w:rPr>
        <w:object w:dxaOrig="200" w:dyaOrig="300">
          <v:shape id="_x0000_i1041" type="#_x0000_t75" style="width:8.35pt;height:14.6pt" o:ole="">
            <v:imagedata r:id="rId44" o:title=""/>
          </v:shape>
          <o:OLEObject Type="Embed" ProgID="Equation.3" ShapeID="_x0000_i1041" DrawAspect="Content" ObjectID="_1509788569" r:id="rId45"/>
        </w:object>
      </w:r>
      <w:r>
        <w:t xml:space="preserve"> of reference tariff </w:t>
      </w:r>
      <w:r w:rsidRPr="003A6D1C">
        <w:rPr>
          <w:position w:val="-6"/>
        </w:rPr>
        <w:object w:dxaOrig="139" w:dyaOrig="260">
          <v:shape id="_x0000_i1042" type="#_x0000_t75" style="width:6.25pt;height:12.5pt" o:ole="">
            <v:imagedata r:id="rId46" o:title=""/>
          </v:shape>
          <o:OLEObject Type="Embed" ProgID="Equation.3" ShapeID="_x0000_i1042" DrawAspect="Content" ObjectID="_1509788570" r:id="rId47"/>
        </w:object>
      </w:r>
      <w:r w:rsidR="00D71F6C">
        <w:t xml:space="preserve"> that was sold in year t-</w:t>
      </w:r>
      <w:r>
        <w:t>2 (expressed in the units in which that component is expressed (e.g. GJ)).</w:t>
      </w:r>
    </w:p>
    <w:p w:rsidR="00A46EBE" w:rsidRDefault="00A46EBE" w:rsidP="00A46EBE">
      <w:pPr>
        <w:pStyle w:val="Caption"/>
      </w:pPr>
      <w:bookmarkStart w:id="32" w:name="_Ref435107618"/>
      <w:r>
        <w:t xml:space="preserve">Figure </w:t>
      </w:r>
      <w:r w:rsidR="00C948D1">
        <w:fldChar w:fldCharType="begin"/>
      </w:r>
      <w:r w:rsidR="00C948D1">
        <w:instrText xml:space="preserve"> STYLEREF 1 \s </w:instrText>
      </w:r>
      <w:r w:rsidR="00C948D1">
        <w:fldChar w:fldCharType="separate"/>
      </w:r>
      <w:r w:rsidR="0022166F">
        <w:rPr>
          <w:noProof/>
        </w:rPr>
        <w:t>11</w:t>
      </w:r>
      <w:r w:rsidR="00C948D1">
        <w:rPr>
          <w:noProof/>
        </w:rPr>
        <w:fldChar w:fldCharType="end"/>
      </w:r>
      <w:r w:rsidR="000417DC">
        <w:t>.</w:t>
      </w:r>
      <w:r w:rsidR="00C948D1">
        <w:fldChar w:fldCharType="begin"/>
      </w:r>
      <w:r w:rsidR="00C948D1">
        <w:instrText xml:space="preserve"> SEQ Figure \* ARABIC \s 1 </w:instrText>
      </w:r>
      <w:r w:rsidR="00C948D1">
        <w:fldChar w:fldCharType="separate"/>
      </w:r>
      <w:r w:rsidR="0022166F">
        <w:rPr>
          <w:noProof/>
        </w:rPr>
        <w:t>2</w:t>
      </w:r>
      <w:r w:rsidR="00C948D1">
        <w:rPr>
          <w:noProof/>
        </w:rPr>
        <w:fldChar w:fldCharType="end"/>
      </w:r>
      <w:bookmarkEnd w:id="31"/>
      <w:bookmarkEnd w:id="32"/>
      <w:r>
        <w:t xml:space="preserve"> Rebalancing control formula</w:t>
      </w:r>
    </w:p>
    <w:p w:rsidR="00A46EBE" w:rsidRDefault="00413B34" w:rsidP="00A46EBE">
      <w:r w:rsidRPr="003A6D1C">
        <w:rPr>
          <w:position w:val="-64"/>
        </w:rPr>
        <w:object w:dxaOrig="5780" w:dyaOrig="1400">
          <v:shape id="_x0000_i1043" type="#_x0000_t75" style="width:289.05pt;height:69.9pt" o:ole="">
            <v:imagedata r:id="rId48" o:title=""/>
          </v:shape>
          <o:OLEObject Type="Embed" ProgID="Equation.3" ShapeID="_x0000_i1043" DrawAspect="Content" ObjectID="_1509788571" r:id="rId49"/>
        </w:object>
      </w:r>
      <w:r w:rsidR="00A46EBE">
        <w:tab/>
      </w:r>
      <w:r w:rsidR="00A46EBE">
        <w:tab/>
      </w:r>
      <w:r w:rsidR="00345E86" w:rsidRPr="00345E86">
        <w:rPr>
          <w:position w:val="-6"/>
        </w:rPr>
        <w:object w:dxaOrig="200" w:dyaOrig="220">
          <v:shape id="_x0000_i1044" type="#_x0000_t75" style="width:8.35pt;height:10.45pt" o:ole="">
            <v:imagedata r:id="rId50" o:title=""/>
          </v:shape>
          <o:OLEObject Type="Embed" ProgID="Equation.3" ShapeID="_x0000_i1044" DrawAspect="Content" ObjectID="_1509788572" r:id="rId51"/>
        </w:object>
      </w:r>
      <w:r w:rsidR="00A46EBE">
        <w:t xml:space="preserve"> = 1,…,n.</w:t>
      </w:r>
    </w:p>
    <w:p w:rsidR="00AA41FD" w:rsidRPr="00E67F6D" w:rsidRDefault="00AA41FD" w:rsidP="00AA41FD">
      <w:r w:rsidRPr="00AA41FD">
        <w:rPr>
          <w:position w:val="-12"/>
        </w:rPr>
        <w:object w:dxaOrig="560" w:dyaOrig="380">
          <v:shape id="_x0000_i1045" type="#_x0000_t75" style="width:27.15pt;height:19.85pt" o:ole="">
            <v:imagedata r:id="rId52" o:title=""/>
          </v:shape>
          <o:OLEObject Type="Embed" ProgID="Equation.3" ShapeID="_x0000_i1045" DrawAspect="Content" ObjectID="_1509788573" r:id="rId53"/>
        </w:object>
      </w:r>
      <w:r w:rsidRPr="00A46EBE">
        <w:tab/>
      </w:r>
      <w:r w:rsidRPr="00E67F6D">
        <w:t>is the annual percentage change in the ABS CPI All Groups, Weighted A</w:t>
      </w:r>
      <w:r w:rsidR="0089203E">
        <w:t xml:space="preserve">verage of Eight Capital Cities </w:t>
      </w:r>
      <w:r w:rsidRPr="00E67F6D">
        <w:t>from</w:t>
      </w:r>
      <w:r w:rsidR="00D71F6C">
        <w:t xml:space="preserve"> the December quarter in year t-</w:t>
      </w:r>
      <w:r w:rsidRPr="00E67F6D">
        <w:t>2 to the December quarter in year t</w:t>
      </w:r>
      <w:r w:rsidR="00D71F6C">
        <w:t>-</w:t>
      </w:r>
      <w:r w:rsidRPr="00E67F6D">
        <w:t>1, calculated using the following method:</w:t>
      </w:r>
    </w:p>
    <w:p w:rsidR="00AA41FD" w:rsidRPr="00E67F6D" w:rsidRDefault="00AA41FD" w:rsidP="00AA41FD">
      <w:pPr>
        <w:pStyle w:val="ListContinue"/>
      </w:pPr>
      <w:r w:rsidRPr="00E67F6D">
        <w:t xml:space="preserve">The ABS CPI All Groups, Weighted Average of Eight Capital Cities for the December quarter in </w:t>
      </w:r>
      <w:r>
        <w:t>financial</w:t>
      </w:r>
      <w:r w:rsidRPr="00E67F6D">
        <w:t xml:space="preserve"> year t</w:t>
      </w:r>
      <w:r w:rsidR="00D71F6C">
        <w:t>-</w:t>
      </w:r>
      <w:r w:rsidRPr="00E67F6D">
        <w:t>1</w:t>
      </w:r>
    </w:p>
    <w:p w:rsidR="00AA41FD" w:rsidRPr="00E67F6D" w:rsidRDefault="00AA41FD" w:rsidP="00AA41FD">
      <w:pPr>
        <w:pStyle w:val="ListContinue"/>
      </w:pPr>
      <w:r w:rsidRPr="00E67F6D">
        <w:t>divided by</w:t>
      </w:r>
    </w:p>
    <w:p w:rsidR="00AA41FD" w:rsidRPr="00E67F6D" w:rsidRDefault="00AA41FD" w:rsidP="00AA41FD">
      <w:pPr>
        <w:pStyle w:val="ListContinue"/>
      </w:pPr>
      <w:r w:rsidRPr="00E67F6D">
        <w:t>The ABS CPI All Groups, Weighted Average of Eight Capital Cities for th</w:t>
      </w:r>
      <w:r>
        <w:t>e December quarter in financial</w:t>
      </w:r>
      <w:r w:rsidRPr="00E67F6D">
        <w:t xml:space="preserve"> year t</w:t>
      </w:r>
      <w:r w:rsidR="00D71F6C">
        <w:t>-</w:t>
      </w:r>
      <w:r w:rsidRPr="00E67F6D">
        <w:t>2</w:t>
      </w:r>
    </w:p>
    <w:p w:rsidR="00AA41FD" w:rsidRDefault="00AA41FD" w:rsidP="00AA41FD">
      <w:pPr>
        <w:pStyle w:val="ListContinue"/>
      </w:pPr>
      <w:r w:rsidRPr="00E67F6D">
        <w:t>minus one.</w:t>
      </w:r>
    </w:p>
    <w:p w:rsidR="00AA41FD" w:rsidRDefault="00AA41FD" w:rsidP="00AA41FD">
      <w:r w:rsidRPr="00E67F6D">
        <w:t>If the ABS does not, or ceases to, publish the index, then CPI will mean an index which the AER considers is the best available alternative index.</w:t>
      </w:r>
    </w:p>
    <w:p w:rsidR="00AA41FD" w:rsidRPr="00A46EBE" w:rsidRDefault="00AA41FD" w:rsidP="00AA41FD">
      <w:r w:rsidRPr="00AA41FD">
        <w:object w:dxaOrig="360" w:dyaOrig="380">
          <v:shape id="_x0000_i1046" type="#_x0000_t75" style="width:18.8pt;height:19.85pt" o:ole="">
            <v:imagedata r:id="rId20" o:title=""/>
          </v:shape>
          <o:OLEObject Type="Embed" ProgID="Equation.3" ShapeID="_x0000_i1046" DrawAspect="Content" ObjectID="_1509788574" r:id="rId54"/>
        </w:object>
      </w:r>
      <w:r w:rsidRPr="00A46EBE">
        <w:tab/>
        <w:t>means the X factor for each financial year</w:t>
      </w:r>
      <w:r>
        <w:t xml:space="preserve"> of the 2016–21 access arrangement period as </w:t>
      </w:r>
      <w:r w:rsidRPr="00A46EBE">
        <w:t>determined in the PTRM as approved in the AER's final decision, and annually revised for the return on debt update calculated for the relevant financial year during the access arrangement period</w:t>
      </w:r>
      <w:r>
        <w:t xml:space="preserve"> in accordance with that approved in the AER's final decision</w:t>
      </w:r>
    </w:p>
    <w:p w:rsidR="00AA41FD" w:rsidRDefault="00AA41FD" w:rsidP="00AA41FD">
      <w:r w:rsidRPr="00AA41FD">
        <w:object w:dxaOrig="320" w:dyaOrig="380">
          <v:shape id="_x0000_i1047" type="#_x0000_t75" style="width:15.65pt;height:19.85pt" o:ole="">
            <v:imagedata r:id="rId22" o:title=""/>
          </v:shape>
          <o:OLEObject Type="Embed" ProgID="Equation.3" ShapeID="_x0000_i1047" DrawAspect="Content" ObjectID="_1509788575" r:id="rId55"/>
        </w:object>
      </w:r>
      <w:r w:rsidRPr="00A46EBE">
        <w:tab/>
      </w:r>
      <w:r w:rsidRPr="00A46EBE">
        <w:tab/>
        <w:t>is the</w:t>
      </w:r>
      <w:r>
        <w:t xml:space="preserve"> automatic</w:t>
      </w:r>
      <w:r w:rsidRPr="00A46EBE">
        <w:t xml:space="preserve"> adjustment factor </w:t>
      </w:r>
      <w:r>
        <w:t>for financial year t calculated as outlined below</w:t>
      </w:r>
    </w:p>
    <w:p w:rsidR="00AA41FD" w:rsidRPr="00A46EBE" w:rsidRDefault="00AA41FD" w:rsidP="00AA41FD">
      <w:r w:rsidRPr="00AA41FD">
        <w:object w:dxaOrig="480" w:dyaOrig="380">
          <v:shape id="_x0000_i1048" type="#_x0000_t75" style="width:25.05pt;height:19.85pt" o:ole="">
            <v:imagedata r:id="rId24" o:title=""/>
          </v:shape>
          <o:OLEObject Type="Embed" ProgID="Equation.3" ShapeID="_x0000_i1048" DrawAspect="Content" ObjectID="_1509788576" r:id="rId56"/>
        </w:object>
      </w:r>
      <w:r w:rsidRPr="00A46EBE">
        <w:tab/>
        <w:t xml:space="preserve">is the cost pass through factor </w:t>
      </w:r>
      <w:r>
        <w:t>for financial year t calculated as outlined below</w:t>
      </w:r>
    </w:p>
    <w:p w:rsidR="00A46EBE" w:rsidRPr="00A46EBE" w:rsidRDefault="00A46EBE" w:rsidP="00A46EBE">
      <w:r w:rsidRPr="00A46EBE">
        <w:object w:dxaOrig="200" w:dyaOrig="220">
          <v:shape id="_x0000_i1049" type="#_x0000_t75" style="width:8.35pt;height:10.45pt" o:ole="">
            <v:imagedata r:id="rId26" o:title=""/>
          </v:shape>
          <o:OLEObject Type="Embed" ProgID="Equation.3" ShapeID="_x0000_i1049" DrawAspect="Content" ObjectID="_1509788577" r:id="rId57"/>
        </w:object>
      </w:r>
      <w:r w:rsidRPr="00A46EBE">
        <w:tab/>
      </w:r>
      <w:r w:rsidRPr="00A46EBE">
        <w:tab/>
        <w:t>is the number of different reference tariffs</w:t>
      </w:r>
    </w:p>
    <w:p w:rsidR="00A46EBE" w:rsidRPr="00A46EBE" w:rsidRDefault="00A46EBE" w:rsidP="00A46EBE">
      <w:r w:rsidRPr="00A46EBE">
        <w:object w:dxaOrig="260" w:dyaOrig="220">
          <v:shape id="_x0000_i1050" type="#_x0000_t75" style="width:11.5pt;height:10.45pt" o:ole="">
            <v:imagedata r:id="rId28" o:title=""/>
          </v:shape>
          <o:OLEObject Type="Embed" ProgID="Equation.3" ShapeID="_x0000_i1050" DrawAspect="Content" ObjectID="_1509788578" r:id="rId58"/>
        </w:object>
      </w:r>
      <w:r w:rsidRPr="00A46EBE">
        <w:tab/>
      </w:r>
      <w:r w:rsidRPr="00A46EBE">
        <w:tab/>
        <w:t>is the different components, elements or variables ("components") comprised within a reference tariff</w:t>
      </w:r>
    </w:p>
    <w:p w:rsidR="003A6D1C" w:rsidRDefault="003A6D1C" w:rsidP="003A6D1C">
      <w:r w:rsidRPr="003A6D1C">
        <w:object w:dxaOrig="340" w:dyaOrig="380">
          <v:shape id="_x0000_i1051" type="#_x0000_t75" style="width:17.75pt;height:19.85pt" o:ole="">
            <v:imagedata r:id="rId30" o:title=""/>
          </v:shape>
          <o:OLEObject Type="Embed" ProgID="Equation.3" ShapeID="_x0000_i1051" DrawAspect="Content" ObjectID="_1509788579" r:id="rId59"/>
        </w:object>
      </w:r>
      <w:r>
        <w:tab/>
        <w:t xml:space="preserve">is the proposed component </w:t>
      </w:r>
      <w:r w:rsidRPr="003A6D1C">
        <w:object w:dxaOrig="200" w:dyaOrig="300">
          <v:shape id="_x0000_i1052" type="#_x0000_t75" style="width:8.35pt;height:14.6pt" o:ole="">
            <v:imagedata r:id="rId32" o:title=""/>
          </v:shape>
          <o:OLEObject Type="Embed" ProgID="Equation.3" ShapeID="_x0000_i1052" DrawAspect="Content" ObjectID="_1509788580" r:id="rId60"/>
        </w:object>
      </w:r>
      <w:r>
        <w:t xml:space="preserve"> of reference tariff </w:t>
      </w:r>
      <w:r w:rsidRPr="003A6D1C">
        <w:object w:dxaOrig="139" w:dyaOrig="260">
          <v:shape id="_x0000_i1053" type="#_x0000_t75" style="width:6.25pt;height:12.5pt" o:ole="">
            <v:imagedata r:id="rId34" o:title=""/>
          </v:shape>
          <o:OLEObject Type="Embed" ProgID="Equation.3" ShapeID="_x0000_i1053" DrawAspect="Content" ObjectID="_1509788581" r:id="rId61"/>
        </w:object>
      </w:r>
      <w:r>
        <w:t xml:space="preserve"> in year t</w:t>
      </w:r>
    </w:p>
    <w:p w:rsidR="003A6D1C" w:rsidRDefault="003A6D1C" w:rsidP="003A6D1C">
      <w:r w:rsidRPr="003A6D1C">
        <w:object w:dxaOrig="420" w:dyaOrig="380">
          <v:shape id="_x0000_i1054" type="#_x0000_t75" style="width:21.9pt;height:19.85pt" o:ole="">
            <v:imagedata r:id="rId36" o:title=""/>
          </v:shape>
          <o:OLEObject Type="Embed" ProgID="Equation.3" ShapeID="_x0000_i1054" DrawAspect="Content" ObjectID="_1509788582" r:id="rId62"/>
        </w:object>
      </w:r>
      <w:r>
        <w:tab/>
        <w:t xml:space="preserve">is the prevailing component </w:t>
      </w:r>
      <w:r w:rsidRPr="003A6D1C">
        <w:object w:dxaOrig="200" w:dyaOrig="300">
          <v:shape id="_x0000_i1055" type="#_x0000_t75" style="width:8.35pt;height:14.6pt" o:ole="">
            <v:imagedata r:id="rId38" o:title=""/>
          </v:shape>
          <o:OLEObject Type="Embed" ProgID="Equation.3" ShapeID="_x0000_i1055" DrawAspect="Content" ObjectID="_1509788583" r:id="rId63"/>
        </w:object>
      </w:r>
      <w:r>
        <w:t xml:space="preserve"> of reference tariff </w:t>
      </w:r>
      <w:r w:rsidRPr="003A6D1C">
        <w:object w:dxaOrig="139" w:dyaOrig="260">
          <v:shape id="_x0000_i1056" type="#_x0000_t75" style="width:6.25pt;height:12.5pt" o:ole="">
            <v:imagedata r:id="rId40" o:title=""/>
          </v:shape>
          <o:OLEObject Type="Embed" ProgID="Equation.3" ShapeID="_x0000_i1056" DrawAspect="Content" ObjectID="_1509788584" r:id="rId64"/>
        </w:object>
      </w:r>
      <w:r>
        <w:t xml:space="preserve"> in year t</w:t>
      </w:r>
      <w:r w:rsidR="00D71F6C">
        <w:t>-</w:t>
      </w:r>
      <w:r>
        <w:t>1</w:t>
      </w:r>
    </w:p>
    <w:p w:rsidR="003A6D1C" w:rsidRDefault="003A6D1C" w:rsidP="003A6D1C">
      <w:r w:rsidRPr="003A6D1C">
        <w:object w:dxaOrig="420" w:dyaOrig="380">
          <v:shape id="_x0000_i1057" type="#_x0000_t75" style="width:21.9pt;height:19.85pt" o:ole="">
            <v:imagedata r:id="rId42" o:title=""/>
          </v:shape>
          <o:OLEObject Type="Embed" ProgID="Equation.3" ShapeID="_x0000_i1057" DrawAspect="Content" ObjectID="_1509788585" r:id="rId65"/>
        </w:object>
      </w:r>
      <w:r>
        <w:tab/>
        <w:t xml:space="preserve">is the audited quantity of component </w:t>
      </w:r>
      <w:r w:rsidRPr="003A6D1C">
        <w:object w:dxaOrig="200" w:dyaOrig="300">
          <v:shape id="_x0000_i1058" type="#_x0000_t75" style="width:8.35pt;height:14.6pt" o:ole="">
            <v:imagedata r:id="rId44" o:title=""/>
          </v:shape>
          <o:OLEObject Type="Embed" ProgID="Equation.3" ShapeID="_x0000_i1058" DrawAspect="Content" ObjectID="_1509788586" r:id="rId66"/>
        </w:object>
      </w:r>
      <w:r>
        <w:t xml:space="preserve"> of reference tariff </w:t>
      </w:r>
      <w:r w:rsidRPr="003A6D1C">
        <w:object w:dxaOrig="139" w:dyaOrig="260">
          <v:shape id="_x0000_i1059" type="#_x0000_t75" style="width:6.25pt;height:12.5pt" o:ole="">
            <v:imagedata r:id="rId46" o:title=""/>
          </v:shape>
          <o:OLEObject Type="Embed" ProgID="Equation.3" ShapeID="_x0000_i1059" DrawAspect="Content" ObjectID="_1509788587" r:id="rId67"/>
        </w:object>
      </w:r>
      <w:r>
        <w:t xml:space="preserve"> that was s</w:t>
      </w:r>
      <w:r w:rsidR="00D71F6C">
        <w:t>old in year t-</w:t>
      </w:r>
      <w:r>
        <w:t>2 (expressed in the units in which that component is expressed (e.g. GJ))</w:t>
      </w:r>
    </w:p>
    <w:p w:rsidR="00A46EBE" w:rsidRDefault="00AA41FD" w:rsidP="00095B2A">
      <w:r w:rsidRPr="00AA41FD">
        <w:object w:dxaOrig="139" w:dyaOrig="240">
          <v:shape id="_x0000_i1060" type="#_x0000_t75" style="width:6.25pt;height:11.5pt" o:ole="">
            <v:imagedata r:id="rId18" o:title=""/>
          </v:shape>
          <o:OLEObject Type="Embed" ProgID="Equation.3" ShapeID="_x0000_i1060" DrawAspect="Content" ObjectID="_1509788588" r:id="rId68"/>
        </w:object>
      </w:r>
      <w:r>
        <w:tab/>
      </w:r>
      <w:r>
        <w:tab/>
        <w:t>is the financial year for which tariffs are being set.</w:t>
      </w:r>
    </w:p>
    <w:p w:rsidR="00AA41FD" w:rsidRDefault="00AA41FD" w:rsidP="00AA41FD">
      <w:pPr>
        <w:pStyle w:val="HeadingBoldBlue"/>
      </w:pPr>
      <w:bookmarkStart w:id="33" w:name="_Toc435449738"/>
      <w:r>
        <w:t>Automatic adjustment factor</w:t>
      </w:r>
      <w:bookmarkEnd w:id="33"/>
    </w:p>
    <w:p w:rsidR="00E27811" w:rsidRDefault="00E27811" w:rsidP="00E27811">
      <w:r w:rsidRPr="00E27811">
        <w:t xml:space="preserve">We </w:t>
      </w:r>
      <w:r>
        <w:t xml:space="preserve">accept the inclusion of </w:t>
      </w:r>
      <w:r w:rsidRPr="00E27811">
        <w:t>a symmetrical automatic adjustment factor</w:t>
      </w:r>
      <w:r w:rsidR="007315EE">
        <w:t xml:space="preserve"> in ActewAGL's weighted average price cap</w:t>
      </w:r>
      <w:r w:rsidRPr="00E27811">
        <w:t xml:space="preserve"> to allow it to pass through annual costs or savings across a number of uncontrollable cost categories. This adjustment will lower</w:t>
      </w:r>
      <w:r>
        <w:t xml:space="preserve"> administrative costs because ActewAGL</w:t>
      </w:r>
      <w:r w:rsidRPr="00E27811">
        <w:t xml:space="preserve"> will not have to lodge annual cost pass through applications for licencing fees, </w:t>
      </w:r>
      <w:r>
        <w:t xml:space="preserve">benchmark </w:t>
      </w:r>
      <w:r w:rsidRPr="00E27811">
        <w:t xml:space="preserve">unaccounted for gas </w:t>
      </w:r>
      <w:r>
        <w:t>costs, carbon costs and relevant taxes.</w:t>
      </w:r>
      <w:r>
        <w:rPr>
          <w:rStyle w:val="FootnoteReference"/>
        </w:rPr>
        <w:footnoteReference w:id="27"/>
      </w:r>
      <w:r w:rsidR="00413B34">
        <w:t xml:space="preserve"> Our draft decision formula is set out in </w:t>
      </w:r>
      <w:r w:rsidR="00413B34">
        <w:fldChar w:fldCharType="begin"/>
      </w:r>
      <w:r w:rsidR="00413B34">
        <w:instrText xml:space="preserve"> REF  _Ref435197392 \* Lower \h </w:instrText>
      </w:r>
      <w:r w:rsidR="00413B34">
        <w:fldChar w:fldCharType="separate"/>
      </w:r>
      <w:r w:rsidR="009915AF">
        <w:t xml:space="preserve">figure </w:t>
      </w:r>
      <w:r w:rsidR="009915AF">
        <w:rPr>
          <w:noProof/>
        </w:rPr>
        <w:t>11</w:t>
      </w:r>
      <w:r w:rsidR="009915AF">
        <w:t>.</w:t>
      </w:r>
      <w:r w:rsidR="009915AF">
        <w:rPr>
          <w:noProof/>
        </w:rPr>
        <w:t>3</w:t>
      </w:r>
      <w:r w:rsidR="00413B34">
        <w:fldChar w:fldCharType="end"/>
      </w:r>
      <w:r w:rsidR="00413B34">
        <w:t>.</w:t>
      </w:r>
    </w:p>
    <w:p w:rsidR="00413B34" w:rsidRDefault="00413B34" w:rsidP="00413B34">
      <w:pPr>
        <w:pStyle w:val="Caption"/>
      </w:pPr>
      <w:bookmarkStart w:id="34" w:name="_Ref435197392"/>
      <w:r>
        <w:t xml:space="preserve">Figure </w:t>
      </w:r>
      <w:r w:rsidR="00C948D1">
        <w:fldChar w:fldCharType="begin"/>
      </w:r>
      <w:r w:rsidR="00C948D1">
        <w:instrText xml:space="preserve"> STYLEREF 1 \s </w:instrText>
      </w:r>
      <w:r w:rsidR="00C948D1">
        <w:fldChar w:fldCharType="separate"/>
      </w:r>
      <w:r w:rsidR="0022166F">
        <w:rPr>
          <w:noProof/>
        </w:rPr>
        <w:t>11</w:t>
      </w:r>
      <w:r w:rsidR="00C948D1">
        <w:rPr>
          <w:noProof/>
        </w:rPr>
        <w:fldChar w:fldCharType="end"/>
      </w:r>
      <w:r w:rsidR="000417DC">
        <w:t>.</w:t>
      </w:r>
      <w:r w:rsidR="00C948D1">
        <w:fldChar w:fldCharType="begin"/>
      </w:r>
      <w:r w:rsidR="00C948D1">
        <w:instrText xml:space="preserve"> SEQ Figure \* ARABIC \s 1 </w:instrText>
      </w:r>
      <w:r w:rsidR="00C948D1">
        <w:fldChar w:fldCharType="separate"/>
      </w:r>
      <w:r w:rsidR="0022166F">
        <w:rPr>
          <w:noProof/>
        </w:rPr>
        <w:t>3</w:t>
      </w:r>
      <w:r w:rsidR="00C948D1">
        <w:rPr>
          <w:noProof/>
        </w:rPr>
        <w:fldChar w:fldCharType="end"/>
      </w:r>
      <w:bookmarkEnd w:id="34"/>
      <w:r>
        <w:t xml:space="preserve"> Automatic adjustment factor formula</w:t>
      </w:r>
    </w:p>
    <w:p w:rsidR="00E27811" w:rsidRDefault="00E27811" w:rsidP="00E27811">
      <w:r w:rsidRPr="00B3011C">
        <w:rPr>
          <w:rStyle w:val="AERbody"/>
        </w:rPr>
        <w:object w:dxaOrig="1780" w:dyaOrig="720">
          <v:shape id="_x0000_i1061" type="#_x0000_t75" style="width:89.75pt;height:36.5pt" o:ole="">
            <v:imagedata r:id="rId69" o:title=""/>
          </v:shape>
          <o:OLEObject Type="Embed" ProgID="Equation.3" ShapeID="_x0000_i1061" DrawAspect="Content" ObjectID="_1509788589" r:id="rId70"/>
        </w:object>
      </w:r>
    </w:p>
    <w:p w:rsidR="00E27811" w:rsidRPr="00B3011C" w:rsidRDefault="00413B34" w:rsidP="00E27811">
      <w:pPr>
        <w:rPr>
          <w:rStyle w:val="AERbody"/>
        </w:rPr>
      </w:pPr>
      <w:r>
        <w:rPr>
          <w:rStyle w:val="AERbody"/>
        </w:rPr>
        <w:t>w</w:t>
      </w:r>
      <w:r w:rsidR="00E27811" w:rsidRPr="00B3011C">
        <w:rPr>
          <w:rStyle w:val="AERbody"/>
        </w:rPr>
        <w:t>here:</w:t>
      </w:r>
    </w:p>
    <w:p w:rsidR="00E27811" w:rsidRDefault="00E27811" w:rsidP="00E27811">
      <w:r w:rsidRPr="00E27811">
        <w:rPr>
          <w:position w:val="-12"/>
        </w:rPr>
        <w:object w:dxaOrig="420" w:dyaOrig="360">
          <v:shape id="_x0000_i1062" type="#_x0000_t75" style="width:20.85pt;height:18.8pt" o:ole="">
            <v:imagedata r:id="rId71" o:title=""/>
          </v:shape>
          <o:OLEObject Type="Embed" ProgID="Equation.3" ShapeID="_x0000_i1062" DrawAspect="Content" ObjectID="_1509788590" r:id="rId72"/>
        </w:object>
      </w:r>
      <w:r>
        <w:tab/>
        <w:t>is:</w:t>
      </w:r>
    </w:p>
    <w:p w:rsidR="00E27811" w:rsidRPr="002E597D" w:rsidRDefault="00E27811" w:rsidP="00E27811">
      <w:pPr>
        <w:pStyle w:val="AERnumberedlistsecondstyle"/>
      </w:pPr>
      <w:r>
        <w:t>z</w:t>
      </w:r>
      <w:r w:rsidR="00413B34">
        <w:t>ero when t–</w:t>
      </w:r>
      <w:r>
        <w:t>1 refers to financial year</w:t>
      </w:r>
      <w:r w:rsidR="00413B34">
        <w:t>s</w:t>
      </w:r>
      <w:r>
        <w:t xml:space="preserve"> 2016</w:t>
      </w:r>
      <w:r w:rsidRPr="002E597D">
        <w:t>–1</w:t>
      </w:r>
      <w:r>
        <w:t>7 or 2017–18</w:t>
      </w:r>
      <w:r w:rsidRPr="002E597D">
        <w:t>;or</w:t>
      </w:r>
    </w:p>
    <w:p w:rsidR="00E27811" w:rsidRPr="002E597D" w:rsidRDefault="00E27811" w:rsidP="00E27811">
      <w:pPr>
        <w:pStyle w:val="AERnumberedlistsecondstyle"/>
      </w:pPr>
      <w:r>
        <w:t>v</w:t>
      </w:r>
      <w:r w:rsidRPr="003505DC">
        <w:t>alue of</w:t>
      </w:r>
      <w:r w:rsidRPr="002E597D">
        <w:t xml:space="preserve"> </w:t>
      </w:r>
      <w:r w:rsidR="00413B34" w:rsidRPr="00413B34">
        <w:rPr>
          <w:rStyle w:val="AERbody"/>
        </w:rPr>
        <w:object w:dxaOrig="279" w:dyaOrig="380">
          <v:shape id="_x0000_i1063" type="#_x0000_t75" style="width:13.55pt;height:19.85pt" o:ole="">
            <v:imagedata r:id="rId73" o:title=""/>
          </v:shape>
          <o:OLEObject Type="Embed" ProgID="Equation.3" ShapeID="_x0000_i1063" DrawAspect="Content" ObjectID="_1509788591" r:id="rId74"/>
        </w:object>
      </w:r>
      <w:r w:rsidR="0089203E">
        <w:t xml:space="preserve"> </w:t>
      </w:r>
      <w:r w:rsidRPr="002E597D">
        <w:t xml:space="preserve">determined in the financial year </w:t>
      </w:r>
      <w:r w:rsidRPr="008C1E19">
        <w:rPr>
          <w:rStyle w:val="AERtextitalic"/>
        </w:rPr>
        <w:t>t-1</w:t>
      </w:r>
      <w:r w:rsidRPr="002E597D">
        <w:t xml:space="preserve"> for all other years</w:t>
      </w:r>
    </w:p>
    <w:p w:rsidR="00E27811" w:rsidRDefault="00E27811" w:rsidP="00E27811">
      <w:r>
        <w:t>a</w:t>
      </w:r>
      <w:r w:rsidRPr="003505DC">
        <w:t>nd</w:t>
      </w:r>
    </w:p>
    <w:p w:rsidR="00E27811" w:rsidRDefault="005758C4" w:rsidP="00E27811">
      <w:r w:rsidRPr="00E27811">
        <w:rPr>
          <w:position w:val="-64"/>
        </w:rPr>
        <w:object w:dxaOrig="6020" w:dyaOrig="1060">
          <v:shape id="_x0000_i1064" type="#_x0000_t75" style="width:300.5pt;height:53.2pt" o:ole="">
            <v:imagedata r:id="rId75" o:title=""/>
          </v:shape>
          <o:OLEObject Type="Embed" ProgID="Equation.3" ShapeID="_x0000_i1064" DrawAspect="Content" ObjectID="_1509788592" r:id="rId76"/>
        </w:object>
      </w:r>
    </w:p>
    <w:p w:rsidR="00E27811" w:rsidRDefault="00E27811" w:rsidP="00E27811">
      <w:pPr>
        <w:rPr>
          <w:rStyle w:val="AERbody"/>
        </w:rPr>
      </w:pPr>
      <w:r>
        <w:rPr>
          <w:rStyle w:val="AERbody"/>
        </w:rPr>
        <w:t>w</w:t>
      </w:r>
      <w:r w:rsidRPr="00B3011C">
        <w:rPr>
          <w:rStyle w:val="AERbody"/>
        </w:rPr>
        <w:t>here:</w:t>
      </w:r>
    </w:p>
    <w:p w:rsidR="005758C4" w:rsidRDefault="005758C4" w:rsidP="00E27811">
      <w:pPr>
        <w:rPr>
          <w:rStyle w:val="AERbody"/>
        </w:rPr>
      </w:pPr>
      <w:r w:rsidRPr="00AA41FD">
        <w:object w:dxaOrig="139" w:dyaOrig="240">
          <v:shape id="_x0000_i1065" type="#_x0000_t75" style="width:6.25pt;height:11.5pt" o:ole="">
            <v:imagedata r:id="rId18" o:title=""/>
          </v:shape>
          <o:OLEObject Type="Embed" ProgID="Equation.3" ShapeID="_x0000_i1065" DrawAspect="Content" ObjectID="_1509788593" r:id="rId77"/>
        </w:object>
      </w:r>
      <w:r>
        <w:tab/>
      </w:r>
      <w:r>
        <w:tab/>
        <w:t>is the financial year for which tariffs are being set</w:t>
      </w:r>
    </w:p>
    <w:p w:rsidR="00E27811" w:rsidRPr="00CE017B" w:rsidRDefault="00E27811" w:rsidP="00E27811">
      <w:r w:rsidRPr="00E27811">
        <w:rPr>
          <w:position w:val="-12"/>
        </w:rPr>
        <w:object w:dxaOrig="420" w:dyaOrig="360">
          <v:shape id="_x0000_i1066" type="#_x0000_t75" style="width:19.85pt;height:18.8pt" o:ole="">
            <v:imagedata r:id="rId78" o:title=""/>
          </v:shape>
          <o:OLEObject Type="Embed" ProgID="Equation.3" ShapeID="_x0000_i1066" DrawAspect="Content" ObjectID="_1509788594" r:id="rId79"/>
        </w:object>
      </w:r>
      <w:r w:rsidRPr="00CE017B">
        <w:tab/>
        <w:t xml:space="preserve">is the licence fee factor amount, as defined </w:t>
      </w:r>
      <w:r>
        <w:t xml:space="preserve">below, </w:t>
      </w:r>
      <w:r w:rsidRPr="00CE017B">
        <w:t xml:space="preserve">for financial year </w:t>
      </w:r>
      <w:r w:rsidRPr="009F73FD">
        <w:rPr>
          <w:rStyle w:val="AERtextitalic"/>
        </w:rPr>
        <w:t>t-2</w:t>
      </w:r>
    </w:p>
    <w:p w:rsidR="00E27811" w:rsidRDefault="0022166F" w:rsidP="00E27811">
      <w:pPr>
        <w:rPr>
          <w:rStyle w:val="AERbody"/>
        </w:rPr>
      </w:pPr>
      <w:r w:rsidRPr="0022166F">
        <w:rPr>
          <w:rStyle w:val="AERbody"/>
        </w:rPr>
        <w:object w:dxaOrig="1180" w:dyaOrig="360">
          <v:shape id="_x0000_i1067" type="#_x0000_t75" style="width:59.5pt;height:18.8pt" o:ole="">
            <v:imagedata r:id="rId80" o:title=""/>
          </v:shape>
          <o:OLEObject Type="Embed" ProgID="Equation.3" ShapeID="_x0000_i1067" DrawAspect="Content" ObjectID="_1509788595" r:id="rId81"/>
        </w:object>
      </w:r>
      <w:r w:rsidR="00E27811" w:rsidRPr="00E27811">
        <w:rPr>
          <w:rStyle w:val="AERbody"/>
        </w:rPr>
        <w:t>is as per that set out in this draft decision and u</w:t>
      </w:r>
      <w:r w:rsidR="005758C4">
        <w:rPr>
          <w:rStyle w:val="AERbody"/>
        </w:rPr>
        <w:t>pdated annually within the PTRM</w:t>
      </w:r>
    </w:p>
    <w:p w:rsidR="005758C4" w:rsidRDefault="0022166F" w:rsidP="00E27811">
      <w:pPr>
        <w:rPr>
          <w:rStyle w:val="AERbody"/>
        </w:rPr>
      </w:pPr>
      <w:r w:rsidRPr="0022166F">
        <w:rPr>
          <w:rStyle w:val="AERbody"/>
        </w:rPr>
        <w:object w:dxaOrig="460" w:dyaOrig="360">
          <v:shape id="_x0000_i1068" type="#_x0000_t75" style="width:24pt;height:18.8pt" o:ole="">
            <v:imagedata r:id="rId82" o:title=""/>
          </v:shape>
          <o:OLEObject Type="Embed" ProgID="Equation.3" ShapeID="_x0000_i1068" DrawAspect="Content" ObjectID="_1509788596" r:id="rId83"/>
        </w:object>
      </w:r>
      <w:r w:rsidR="005758C4" w:rsidRPr="00E27811">
        <w:rPr>
          <w:rStyle w:val="AERbody"/>
        </w:rPr>
        <w:t xml:space="preserve"> </w:t>
      </w:r>
      <w:r w:rsidR="005758C4" w:rsidRPr="00E27811">
        <w:rPr>
          <w:rStyle w:val="AERbody"/>
        </w:rPr>
        <w:tab/>
        <w:t>is the UAG factor amount, as defined below, for financial year t-2</w:t>
      </w:r>
    </w:p>
    <w:p w:rsidR="005758C4" w:rsidRDefault="0022166F" w:rsidP="005758C4">
      <w:pPr>
        <w:rPr>
          <w:rStyle w:val="AERbody"/>
        </w:rPr>
      </w:pPr>
      <w:r w:rsidRPr="0022166F">
        <w:rPr>
          <w:rStyle w:val="AERbody"/>
        </w:rPr>
        <w:object w:dxaOrig="440" w:dyaOrig="360">
          <v:shape id="_x0000_i1069" type="#_x0000_t75" style="width:22.95pt;height:18.8pt" o:ole="">
            <v:imagedata r:id="rId84" o:title=""/>
          </v:shape>
          <o:OLEObject Type="Embed" ProgID="Equation.3" ShapeID="_x0000_i1069" DrawAspect="Content" ObjectID="_1509788597" r:id="rId85"/>
        </w:object>
      </w:r>
      <w:r w:rsidR="005758C4" w:rsidRPr="00E27811">
        <w:rPr>
          <w:rStyle w:val="AERbody"/>
        </w:rPr>
        <w:t xml:space="preserve"> </w:t>
      </w:r>
      <w:r w:rsidR="005758C4" w:rsidRPr="00E27811">
        <w:rPr>
          <w:rStyle w:val="AERbody"/>
        </w:rPr>
        <w:tab/>
        <w:t>is the carbon cost factor amount, as defi</w:t>
      </w:r>
      <w:r w:rsidR="0089203E">
        <w:rPr>
          <w:rStyle w:val="AERbody"/>
        </w:rPr>
        <w:t>ned below, for financial year t-</w:t>
      </w:r>
      <w:r w:rsidR="005758C4" w:rsidRPr="00E27811">
        <w:rPr>
          <w:rStyle w:val="AERbody"/>
        </w:rPr>
        <w:t>2</w:t>
      </w:r>
    </w:p>
    <w:p w:rsidR="005758C4" w:rsidRPr="00E27811" w:rsidRDefault="0022166F" w:rsidP="005758C4">
      <w:pPr>
        <w:rPr>
          <w:rStyle w:val="AERbody"/>
        </w:rPr>
      </w:pPr>
      <w:r w:rsidRPr="0022166F">
        <w:rPr>
          <w:rStyle w:val="AERbody"/>
        </w:rPr>
        <w:object w:dxaOrig="400" w:dyaOrig="360">
          <v:shape id="_x0000_i1070" type="#_x0000_t75" style="width:19.85pt;height:18.8pt" o:ole="">
            <v:imagedata r:id="rId86" o:title=""/>
          </v:shape>
          <o:OLEObject Type="Embed" ProgID="Equation.3" ShapeID="_x0000_i1070" DrawAspect="Content" ObjectID="_1509788598" r:id="rId87"/>
        </w:object>
      </w:r>
      <w:r w:rsidR="005758C4" w:rsidRPr="00E27811">
        <w:rPr>
          <w:rStyle w:val="AERbody"/>
        </w:rPr>
        <w:tab/>
        <w:t>is the change in tax factor amount, as defined below, for financial year t-2</w:t>
      </w:r>
    </w:p>
    <w:p w:rsidR="005758C4" w:rsidRPr="00D16963" w:rsidRDefault="0022166F" w:rsidP="005758C4">
      <w:r w:rsidRPr="0022166F">
        <w:rPr>
          <w:position w:val="-12"/>
        </w:rPr>
        <w:object w:dxaOrig="560" w:dyaOrig="380">
          <v:shape id="_x0000_i1071" type="#_x0000_t75" style="width:27.15pt;height:19.85pt" o:ole="">
            <v:imagedata r:id="rId88" o:title=""/>
          </v:shape>
          <o:OLEObject Type="Embed" ProgID="Equation.3" ShapeID="_x0000_i1071" DrawAspect="Content" ObjectID="_1509788599" r:id="rId89"/>
        </w:object>
      </w:r>
      <w:r w:rsidR="005758C4">
        <w:tab/>
      </w:r>
      <w:r w:rsidR="005758C4" w:rsidRPr="00D16963">
        <w:t>is the annual percentage change in the ABS CPI All Groups, Weighted Average of Eight Capital Cities from</w:t>
      </w:r>
      <w:r w:rsidR="00D71F6C">
        <w:t xml:space="preserve"> the December quarter in year t-</w:t>
      </w:r>
      <w:r w:rsidR="005758C4" w:rsidRPr="00D16963">
        <w:t xml:space="preserve">2 to the </w:t>
      </w:r>
      <w:r w:rsidR="00D71F6C">
        <w:t>December quarter in year t-</w:t>
      </w:r>
      <w:r w:rsidR="005758C4" w:rsidRPr="00D16963">
        <w:t>1, calculated using the following method:</w:t>
      </w:r>
    </w:p>
    <w:p w:rsidR="005758C4" w:rsidRPr="00D16963" w:rsidRDefault="005758C4" w:rsidP="005758C4">
      <w:pPr>
        <w:pStyle w:val="ListContinue"/>
      </w:pPr>
      <w:r w:rsidRPr="00D16963">
        <w:t>The ABS CPI All Groups, Weighted Average of Eight Capital Cities for the December quarter in financial year t</w:t>
      </w:r>
      <w:r w:rsidR="00D71F6C">
        <w:t>-</w:t>
      </w:r>
      <w:r w:rsidRPr="00D16963">
        <w:t>1</w:t>
      </w:r>
    </w:p>
    <w:p w:rsidR="005758C4" w:rsidRPr="00D16963" w:rsidRDefault="005758C4" w:rsidP="005758C4">
      <w:pPr>
        <w:pStyle w:val="ListContinue"/>
      </w:pPr>
      <w:r w:rsidRPr="00D16963">
        <w:t>divided by</w:t>
      </w:r>
    </w:p>
    <w:p w:rsidR="005758C4" w:rsidRPr="00D16963" w:rsidRDefault="005758C4" w:rsidP="005758C4">
      <w:pPr>
        <w:pStyle w:val="ListContinue"/>
      </w:pPr>
      <w:r w:rsidRPr="00D16963">
        <w:t>The ABS CPI All Groups, Weighted Average of Eight Capital Cities for the Decem</w:t>
      </w:r>
      <w:r w:rsidR="00D71F6C">
        <w:t>ber quarter in financial year t-</w:t>
      </w:r>
      <w:r w:rsidRPr="00D16963">
        <w:t>2</w:t>
      </w:r>
    </w:p>
    <w:p w:rsidR="005758C4" w:rsidRPr="00D16963" w:rsidRDefault="005758C4" w:rsidP="005758C4">
      <w:pPr>
        <w:pStyle w:val="ListContinue"/>
      </w:pPr>
      <w:r w:rsidRPr="00D16963">
        <w:t xml:space="preserve">minus one. </w:t>
      </w:r>
    </w:p>
    <w:p w:rsidR="005758C4" w:rsidRDefault="005758C4" w:rsidP="005758C4">
      <w:r w:rsidRPr="00D16963">
        <w:t>If the ABS does not, or ceases to, publish the index, then CPI will mean an index which the AER considers is the best available alternative index.</w:t>
      </w:r>
    </w:p>
    <w:p w:rsidR="00E27811" w:rsidRPr="00E27811" w:rsidRDefault="0022166F" w:rsidP="00E27811">
      <w:pPr>
        <w:rPr>
          <w:rStyle w:val="AERbody"/>
        </w:rPr>
      </w:pPr>
      <w:r w:rsidRPr="0022166F">
        <w:rPr>
          <w:rStyle w:val="AERbody"/>
        </w:rPr>
        <w:object w:dxaOrig="660" w:dyaOrig="360">
          <v:shape id="_x0000_i1072" type="#_x0000_t75" style="width:33.4pt;height:18.8pt" o:ole="">
            <v:imagedata r:id="rId90" o:title=""/>
          </v:shape>
          <o:OLEObject Type="Embed" ProgID="Equation.3" ShapeID="_x0000_i1072" DrawAspect="Content" ObjectID="_1509788600" r:id="rId91"/>
        </w:object>
      </w:r>
      <w:r w:rsidR="00E27811" w:rsidRPr="00E27811">
        <w:rPr>
          <w:rStyle w:val="AERbody"/>
        </w:rPr>
        <w:t xml:space="preserve"> is the value of </w:t>
      </w:r>
      <w:r w:rsidRPr="0022166F">
        <w:rPr>
          <w:rStyle w:val="AERbody"/>
        </w:rPr>
        <w:object w:dxaOrig="520" w:dyaOrig="360">
          <v:shape id="_x0000_i1073" type="#_x0000_t75" style="width:26.1pt;height:18.8pt" o:ole="">
            <v:imagedata r:id="rId92" o:title=""/>
          </v:shape>
          <o:OLEObject Type="Embed" ProgID="Equation.3" ShapeID="_x0000_i1073" DrawAspect="Content" ObjectID="_1509788601" r:id="rId93"/>
        </w:object>
      </w:r>
      <w:r w:rsidR="00E27811" w:rsidRPr="00E27811">
        <w:rPr>
          <w:rStyle w:val="AERbody"/>
        </w:rPr>
        <w:t xml:space="preserve">determined </w:t>
      </w:r>
      <w:r w:rsidR="005758C4">
        <w:rPr>
          <w:rStyle w:val="AERbody"/>
        </w:rPr>
        <w:t>for financial year t</w:t>
      </w:r>
      <w:r w:rsidR="00D71F6C">
        <w:rPr>
          <w:rStyle w:val="AERbody"/>
        </w:rPr>
        <w:t>-</w:t>
      </w:r>
      <w:r w:rsidR="005758C4">
        <w:rPr>
          <w:rStyle w:val="AERbody"/>
        </w:rPr>
        <w:t>1</w:t>
      </w:r>
    </w:p>
    <w:p w:rsidR="005758C4" w:rsidRPr="00A46EBE" w:rsidRDefault="005758C4" w:rsidP="005758C4">
      <w:r w:rsidRPr="005758C4">
        <w:rPr>
          <w:position w:val="-12"/>
        </w:rPr>
        <w:object w:dxaOrig="360" w:dyaOrig="380">
          <v:shape id="_x0000_i1074" type="#_x0000_t75" style="width:18.8pt;height:19.85pt" o:ole="">
            <v:imagedata r:id="rId94" o:title=""/>
          </v:shape>
          <o:OLEObject Type="Embed" ProgID="Equation.3" ShapeID="_x0000_i1074" DrawAspect="Content" ObjectID="_1509788602" r:id="rId95"/>
        </w:object>
      </w:r>
      <w:r w:rsidRPr="00A46EBE">
        <w:tab/>
        <w:t>means the X factor for each financial year</w:t>
      </w:r>
      <w:r>
        <w:t xml:space="preserve"> of the 2016–21 access arrangement period as </w:t>
      </w:r>
      <w:r w:rsidRPr="00A46EBE">
        <w:t>determined in the PTRM as approved in the AER's final decision, and annually revised for the return on debt update calculated for the relevant financial year during the access arrangement period</w:t>
      </w:r>
      <w:r>
        <w:t xml:space="preserve"> in accordance with that approved in the AER's final decision</w:t>
      </w:r>
    </w:p>
    <w:p w:rsidR="00380CD9" w:rsidRDefault="00380CD9" w:rsidP="00380CD9">
      <w:r w:rsidRPr="00380CD9">
        <w:rPr>
          <w:position w:val="-12"/>
        </w:rPr>
        <w:object w:dxaOrig="420" w:dyaOrig="380">
          <v:shape id="_x0000_i1075" type="#_x0000_t75" style="width:21.9pt;height:19.85pt" o:ole="">
            <v:imagedata r:id="rId96" o:title=""/>
          </v:shape>
          <o:OLEObject Type="Embed" ProgID="Equation.3" ShapeID="_x0000_i1075" DrawAspect="Content" ObjectID="_1509788603" r:id="rId97"/>
        </w:object>
      </w:r>
      <w:r>
        <w:tab/>
        <w:t xml:space="preserve">is the prevailing component </w:t>
      </w:r>
      <w:r w:rsidRPr="00380CD9">
        <w:rPr>
          <w:position w:val="-10"/>
        </w:rPr>
        <w:object w:dxaOrig="200" w:dyaOrig="300">
          <v:shape id="_x0000_i1076" type="#_x0000_t75" style="width:8.35pt;height:14.6pt" o:ole="">
            <v:imagedata r:id="rId98" o:title=""/>
          </v:shape>
          <o:OLEObject Type="Embed" ProgID="Equation.3" ShapeID="_x0000_i1076" DrawAspect="Content" ObjectID="_1509788604" r:id="rId99"/>
        </w:object>
      </w:r>
      <w:r>
        <w:t xml:space="preserve"> of reference tariff </w:t>
      </w:r>
      <w:r w:rsidRPr="00380CD9">
        <w:rPr>
          <w:position w:val="-6"/>
        </w:rPr>
        <w:object w:dxaOrig="139" w:dyaOrig="260">
          <v:shape id="_x0000_i1077" type="#_x0000_t75" style="width:6.25pt;height:12.5pt" o:ole="">
            <v:imagedata r:id="rId100" o:title=""/>
          </v:shape>
          <o:OLEObject Type="Embed" ProgID="Equation.3" ShapeID="_x0000_i1077" DrawAspect="Content" ObjectID="_1509788605" r:id="rId101"/>
        </w:object>
      </w:r>
      <w:r w:rsidR="00D71F6C">
        <w:t xml:space="preserve"> in year t-</w:t>
      </w:r>
      <w:r>
        <w:t>1</w:t>
      </w:r>
    </w:p>
    <w:p w:rsidR="00380CD9" w:rsidRDefault="00380CD9" w:rsidP="00380CD9">
      <w:r w:rsidRPr="00380CD9">
        <w:rPr>
          <w:position w:val="-12"/>
        </w:rPr>
        <w:object w:dxaOrig="400" w:dyaOrig="380">
          <v:shape id="_x0000_i1078" type="#_x0000_t75" style="width:20.85pt;height:19.85pt" o:ole="">
            <v:imagedata r:id="rId102" o:title=""/>
          </v:shape>
          <o:OLEObject Type="Embed" ProgID="Equation.3" ShapeID="_x0000_i1078" DrawAspect="Content" ObjectID="_1509788606" r:id="rId103"/>
        </w:object>
      </w:r>
      <w:r>
        <w:tab/>
        <w:t xml:space="preserve">is the audited quantity of component </w:t>
      </w:r>
      <w:r w:rsidRPr="00380CD9">
        <w:rPr>
          <w:position w:val="-10"/>
        </w:rPr>
        <w:object w:dxaOrig="200" w:dyaOrig="300">
          <v:shape id="_x0000_i1079" type="#_x0000_t75" style="width:8.35pt;height:14.6pt" o:ole="">
            <v:imagedata r:id="rId104" o:title=""/>
          </v:shape>
          <o:OLEObject Type="Embed" ProgID="Equation.3" ShapeID="_x0000_i1079" DrawAspect="Content" ObjectID="_1509788607" r:id="rId105"/>
        </w:object>
      </w:r>
      <w:r>
        <w:t xml:space="preserve"> of reference tariff </w:t>
      </w:r>
      <w:r w:rsidRPr="00380CD9">
        <w:rPr>
          <w:position w:val="-6"/>
        </w:rPr>
        <w:object w:dxaOrig="139" w:dyaOrig="260">
          <v:shape id="_x0000_i1080" type="#_x0000_t75" style="width:6.25pt;height:12.5pt" o:ole="">
            <v:imagedata r:id="rId106" o:title=""/>
          </v:shape>
          <o:OLEObject Type="Embed" ProgID="Equation.3" ShapeID="_x0000_i1080" DrawAspect="Content" ObjectID="_1509788608" r:id="rId107"/>
        </w:object>
      </w:r>
      <w:r>
        <w:t xml:space="preserve"> that was sold in year t</w:t>
      </w:r>
      <w:r w:rsidR="00D71F6C">
        <w:t>-</w:t>
      </w:r>
      <w:r>
        <w:t>2 (expressed in the units in which that component is expressed (e.g. GJ)).</w:t>
      </w:r>
    </w:p>
    <w:p w:rsidR="00E27811" w:rsidRPr="00380CD9" w:rsidRDefault="00E27811" w:rsidP="00380CD9">
      <w:pPr>
        <w:rPr>
          <w:rStyle w:val="Strong"/>
        </w:rPr>
      </w:pPr>
      <w:r w:rsidRPr="00380CD9">
        <w:rPr>
          <w:rStyle w:val="Strong"/>
        </w:rPr>
        <w:t>Licence fee factor amount</w:t>
      </w:r>
    </w:p>
    <w:p w:rsidR="00E27811" w:rsidRPr="00380CD9" w:rsidRDefault="00E27811" w:rsidP="00380CD9">
      <w:r w:rsidRPr="00380CD9">
        <w:t>The licence fee factor amount for financial year t-2 is to be calculated as follows:</w:t>
      </w:r>
    </w:p>
    <w:p w:rsidR="00380CD9" w:rsidRDefault="00380CD9" w:rsidP="00380CD9">
      <w:pPr>
        <w:pStyle w:val="ListBullet2"/>
        <w:numPr>
          <w:ilvl w:val="5"/>
          <w:numId w:val="46"/>
        </w:numPr>
      </w:pPr>
      <w:r w:rsidRPr="00380CD9">
        <w:t>the actual cost incurred by ActewAGL as a result of any IPART, AEMO,</w:t>
      </w:r>
      <w:r>
        <w:t xml:space="preserve"> </w:t>
      </w:r>
      <w:r w:rsidRPr="00380CD9">
        <w:t xml:space="preserve">EWON, Independent Competition and Regulatory Commission, </w:t>
      </w:r>
      <w:r w:rsidR="00DD0FD9">
        <w:t>AER</w:t>
      </w:r>
      <w:r w:rsidRPr="00380CD9">
        <w:t xml:space="preserve"> or any other relevant regulator, authority or State or</w:t>
      </w:r>
      <w:r>
        <w:t xml:space="preserve"> </w:t>
      </w:r>
      <w:r w:rsidRPr="00380CD9">
        <w:t>Commonwealth Government's authorisation fees, licence fees or statutory</w:t>
      </w:r>
      <w:r>
        <w:t xml:space="preserve"> </w:t>
      </w:r>
      <w:r w:rsidRPr="00380CD9">
        <w:t>charges imposed on ActewAGL which is related to the ownership or</w:t>
      </w:r>
      <w:r>
        <w:t xml:space="preserve"> </w:t>
      </w:r>
      <w:r w:rsidRPr="00380CD9">
        <w:t>operation of t</w:t>
      </w:r>
      <w:r w:rsidR="00D71F6C">
        <w:t>he Network in financial year t-</w:t>
      </w:r>
      <w:r w:rsidRPr="00380CD9">
        <w:t>2 including, without</w:t>
      </w:r>
      <w:r>
        <w:t xml:space="preserve"> </w:t>
      </w:r>
      <w:r w:rsidRPr="00380CD9">
        <w:t>limitation, the AEMO Fee, the Energy Industry Levy and the Utilities</w:t>
      </w:r>
      <w:r>
        <w:t xml:space="preserve"> </w:t>
      </w:r>
      <w:r w:rsidRPr="00380CD9">
        <w:t>(Networks Facilities) Tax,</w:t>
      </w:r>
    </w:p>
    <w:p w:rsidR="00E27811" w:rsidRPr="00E27811" w:rsidRDefault="00E27811" w:rsidP="00380CD9">
      <w:pPr>
        <w:pStyle w:val="ListContinue"/>
      </w:pPr>
      <w:r w:rsidRPr="00027BC5">
        <w:t>minus</w:t>
      </w:r>
    </w:p>
    <w:p w:rsidR="00380CD9" w:rsidRDefault="00380CD9" w:rsidP="00380CD9">
      <w:pPr>
        <w:pStyle w:val="ListBullet2"/>
        <w:numPr>
          <w:ilvl w:val="5"/>
          <w:numId w:val="46"/>
        </w:numPr>
      </w:pPr>
      <w:r w:rsidRPr="00380CD9">
        <w:t>the forecast of the cost incurred by ActewAGL as a result of any IPART,</w:t>
      </w:r>
      <w:r>
        <w:t xml:space="preserve"> </w:t>
      </w:r>
      <w:r w:rsidRPr="00380CD9">
        <w:t>AEMO, EWON, Independent Competition and Regulatory Commission</w:t>
      </w:r>
      <w:r>
        <w:t xml:space="preserve"> </w:t>
      </w:r>
      <w:r w:rsidRPr="00380CD9">
        <w:lastRenderedPageBreak/>
        <w:t>Relevant Regulator or any other relevant regulator, authority or State or</w:t>
      </w:r>
      <w:r>
        <w:t xml:space="preserve"> </w:t>
      </w:r>
      <w:r w:rsidRPr="00380CD9">
        <w:t>Commonwealth Government's authorisation fees, licence fees or statutory</w:t>
      </w:r>
      <w:r>
        <w:t xml:space="preserve"> </w:t>
      </w:r>
      <w:r w:rsidRPr="00380CD9">
        <w:t>charges imposed on ActewAGL which is related to the ownership or</w:t>
      </w:r>
      <w:r>
        <w:t xml:space="preserve"> </w:t>
      </w:r>
      <w:r w:rsidRPr="00380CD9">
        <w:t xml:space="preserve">operation of the Network included in the </w:t>
      </w:r>
      <w:r w:rsidR="00DD0FD9">
        <w:t>AER's</w:t>
      </w:r>
      <w:r w:rsidRPr="00380CD9">
        <w:t xml:space="preserve"> relevant</w:t>
      </w:r>
      <w:r>
        <w:t xml:space="preserve"> </w:t>
      </w:r>
      <w:r w:rsidRPr="00380CD9">
        <w:t>fina</w:t>
      </w:r>
      <w:r w:rsidR="00B01A42">
        <w:t>l decision for f</w:t>
      </w:r>
      <w:r>
        <w:t xml:space="preserve">inancial </w:t>
      </w:r>
      <w:r w:rsidR="00B01A42">
        <w:t>y</w:t>
      </w:r>
      <w:r>
        <w:t>ear t–</w:t>
      </w:r>
      <w:r w:rsidRPr="00380CD9">
        <w:t>2 including, without limitation, the</w:t>
      </w:r>
      <w:r>
        <w:t xml:space="preserve"> </w:t>
      </w:r>
      <w:r w:rsidRPr="00380CD9">
        <w:t>AEMO Fee, the Energy Industry Levy and the Utilities (Network</w:t>
      </w:r>
      <w:r>
        <w:t xml:space="preserve"> </w:t>
      </w:r>
      <w:r w:rsidRPr="00380CD9">
        <w:t>Facilities) Tax.</w:t>
      </w:r>
    </w:p>
    <w:p w:rsidR="00E27811" w:rsidRPr="00380CD9" w:rsidRDefault="00E27811" w:rsidP="00380CD9">
      <w:pPr>
        <w:rPr>
          <w:rStyle w:val="Strong"/>
        </w:rPr>
      </w:pPr>
      <w:r w:rsidRPr="00380CD9">
        <w:rPr>
          <w:rStyle w:val="Strong"/>
        </w:rPr>
        <w:t>UAG factor amount</w:t>
      </w:r>
    </w:p>
    <w:p w:rsidR="00E27811" w:rsidRPr="00B01A42" w:rsidRDefault="00B01A42" w:rsidP="00B01A42">
      <w:r>
        <w:t>T</w:t>
      </w:r>
      <w:r w:rsidR="00E27811" w:rsidRPr="00B01A42">
        <w:t>he UAG factor amount for</w:t>
      </w:r>
      <w:r>
        <w:t xml:space="preserve"> financial year</w:t>
      </w:r>
      <w:r w:rsidR="00E27811" w:rsidRPr="00B01A42">
        <w:t xml:space="preserve"> t</w:t>
      </w:r>
      <w:r w:rsidR="009915AF">
        <w:t>-</w:t>
      </w:r>
      <w:r w:rsidR="00E27811" w:rsidRPr="00B01A42">
        <w:t>2 is to be calculated as follows:</w:t>
      </w:r>
    </w:p>
    <w:p w:rsidR="00DD0FD9" w:rsidRPr="00DD0FD9" w:rsidRDefault="00E27811" w:rsidP="00DD0FD9">
      <w:pPr>
        <w:pStyle w:val="ListBullet2"/>
        <w:rPr>
          <w:rStyle w:val="AERbody"/>
        </w:rPr>
      </w:pPr>
      <w:r w:rsidRPr="00CE0816">
        <w:rPr>
          <w:rStyle w:val="AERbody"/>
        </w:rPr>
        <w:t xml:space="preserve">the </w:t>
      </w:r>
      <w:r w:rsidR="00DD0FD9" w:rsidRPr="00DD0FD9">
        <w:rPr>
          <w:rStyle w:val="AERbody"/>
        </w:rPr>
        <w:t>benchmark cost incurred by ActewAGL for purchases of gas as UAG,</w:t>
      </w:r>
      <w:r w:rsidR="00DD0FD9">
        <w:rPr>
          <w:rStyle w:val="AERbody"/>
        </w:rPr>
        <w:t xml:space="preserve"> </w:t>
      </w:r>
      <w:r w:rsidR="00DD0FD9" w:rsidRPr="00DD0FD9">
        <w:rPr>
          <w:rStyle w:val="AERbody"/>
        </w:rPr>
        <w:t>calculated as the product of:</w:t>
      </w:r>
    </w:p>
    <w:p w:rsidR="00DD0FD9" w:rsidRPr="00DD0FD9" w:rsidRDefault="00DD0FD9" w:rsidP="00DD0FD9">
      <w:pPr>
        <w:pStyle w:val="AERnumberedlistthirdstyle"/>
        <w:rPr>
          <w:rStyle w:val="AERbody"/>
        </w:rPr>
      </w:pPr>
      <w:r w:rsidRPr="00DD0FD9">
        <w:rPr>
          <w:rStyle w:val="AERbody"/>
        </w:rPr>
        <w:t xml:space="preserve">gas receipts in gigajoules for </w:t>
      </w:r>
      <w:r>
        <w:rPr>
          <w:rStyle w:val="AERbody"/>
        </w:rPr>
        <w:t>f</w:t>
      </w:r>
      <w:r w:rsidRPr="00DD0FD9">
        <w:rPr>
          <w:rStyle w:val="AERbody"/>
        </w:rPr>
        <w:t xml:space="preserve">inancial </w:t>
      </w:r>
      <w:r>
        <w:rPr>
          <w:rStyle w:val="AERbody"/>
        </w:rPr>
        <w:t>y</w:t>
      </w:r>
      <w:r w:rsidRPr="00DD0FD9">
        <w:rPr>
          <w:rStyle w:val="AERbody"/>
        </w:rPr>
        <w:t>ear t</w:t>
      </w:r>
      <w:r w:rsidR="009915AF">
        <w:rPr>
          <w:rStyle w:val="AERbody"/>
        </w:rPr>
        <w:t>-</w:t>
      </w:r>
      <w:r w:rsidRPr="00DD0FD9">
        <w:rPr>
          <w:rStyle w:val="AERbody"/>
        </w:rPr>
        <w:t>2;</w:t>
      </w:r>
    </w:p>
    <w:p w:rsidR="00DD0FD9" w:rsidRPr="00DD0FD9" w:rsidRDefault="00DD0FD9" w:rsidP="00DD0FD9">
      <w:pPr>
        <w:pStyle w:val="AERnumberedlistthirdstyle"/>
        <w:rPr>
          <w:rStyle w:val="AERbody"/>
        </w:rPr>
      </w:pPr>
      <w:r w:rsidRPr="00DD0FD9">
        <w:rPr>
          <w:rStyle w:val="AERbody"/>
        </w:rPr>
        <w:t xml:space="preserve">the UAG Cost for </w:t>
      </w:r>
      <w:r>
        <w:rPr>
          <w:rStyle w:val="AERbody"/>
        </w:rPr>
        <w:t>f</w:t>
      </w:r>
      <w:r w:rsidRPr="00DD0FD9">
        <w:rPr>
          <w:rStyle w:val="AERbody"/>
        </w:rPr>
        <w:t xml:space="preserve">inancial </w:t>
      </w:r>
      <w:r>
        <w:rPr>
          <w:rStyle w:val="AERbody"/>
        </w:rPr>
        <w:t>y</w:t>
      </w:r>
      <w:r w:rsidRPr="00DD0FD9">
        <w:rPr>
          <w:rStyle w:val="AERbody"/>
        </w:rPr>
        <w:t>ear t</w:t>
      </w:r>
      <w:r w:rsidR="00D71F6C">
        <w:rPr>
          <w:rStyle w:val="AERbody"/>
        </w:rPr>
        <w:t>-</w:t>
      </w:r>
      <w:r w:rsidRPr="00DD0FD9">
        <w:rPr>
          <w:rStyle w:val="AERbody"/>
        </w:rPr>
        <w:t>2 in $/gigajoule; and</w:t>
      </w:r>
    </w:p>
    <w:p w:rsidR="00DD0FD9" w:rsidRPr="00DD0FD9" w:rsidRDefault="00DD0FD9" w:rsidP="00DD0FD9">
      <w:pPr>
        <w:pStyle w:val="AERnumberedlistthirdstyle"/>
        <w:rPr>
          <w:rStyle w:val="AERbody"/>
        </w:rPr>
      </w:pPr>
      <w:r w:rsidRPr="00DD0FD9">
        <w:rPr>
          <w:rStyle w:val="AERbody"/>
        </w:rPr>
        <w:t>the UAG target rate of 1.96</w:t>
      </w:r>
      <w:r w:rsidR="00156AE7">
        <w:rPr>
          <w:rStyle w:val="AERbody"/>
        </w:rPr>
        <w:t xml:space="preserve"> per cent</w:t>
      </w:r>
      <w:r w:rsidRPr="00DD0FD9">
        <w:rPr>
          <w:rStyle w:val="AERbody"/>
        </w:rPr>
        <w:t>,</w:t>
      </w:r>
    </w:p>
    <w:p w:rsidR="00DD0FD9" w:rsidRPr="00DD0FD9" w:rsidRDefault="00DD0FD9" w:rsidP="00DD0FD9">
      <w:pPr>
        <w:pStyle w:val="ListContinue"/>
      </w:pPr>
      <w:r w:rsidRPr="00DD0FD9">
        <w:t>minus</w:t>
      </w:r>
    </w:p>
    <w:p w:rsidR="00DD0FD9" w:rsidRPr="00DD0FD9" w:rsidRDefault="00DD0FD9" w:rsidP="00DD0FD9">
      <w:pPr>
        <w:pStyle w:val="ListBullet2"/>
        <w:rPr>
          <w:rStyle w:val="AERbody"/>
        </w:rPr>
      </w:pPr>
      <w:r w:rsidRPr="00DD0FD9">
        <w:rPr>
          <w:rStyle w:val="AERbody"/>
        </w:rPr>
        <w:t xml:space="preserve">the forecast of the total UAG costs included in the </w:t>
      </w:r>
      <w:r>
        <w:rPr>
          <w:rStyle w:val="AERbody"/>
        </w:rPr>
        <w:t xml:space="preserve">AER's </w:t>
      </w:r>
      <w:r w:rsidRPr="00DD0FD9">
        <w:rPr>
          <w:rStyle w:val="AERbody"/>
        </w:rPr>
        <w:t xml:space="preserve">relevant final decision for </w:t>
      </w:r>
      <w:r>
        <w:rPr>
          <w:rStyle w:val="AERbody"/>
        </w:rPr>
        <w:t>f</w:t>
      </w:r>
      <w:r w:rsidRPr="00DD0FD9">
        <w:rPr>
          <w:rStyle w:val="AERbody"/>
        </w:rPr>
        <w:t xml:space="preserve">inancial </w:t>
      </w:r>
      <w:r>
        <w:rPr>
          <w:rStyle w:val="AERbody"/>
        </w:rPr>
        <w:t>y</w:t>
      </w:r>
      <w:r w:rsidRPr="00DD0FD9">
        <w:rPr>
          <w:rStyle w:val="AERbody"/>
        </w:rPr>
        <w:t>ear t-2.</w:t>
      </w:r>
    </w:p>
    <w:p w:rsidR="00DD0FD9" w:rsidRDefault="00DD0FD9" w:rsidP="00DD0FD9">
      <w:r>
        <w:t>Reference t</w:t>
      </w:r>
      <w:r w:rsidRPr="00DD0FD9">
        <w:t>ariffs will be adjusted in the event that total UAG costs cease to be a</w:t>
      </w:r>
      <w:r>
        <w:t xml:space="preserve"> n</w:t>
      </w:r>
      <w:r w:rsidRPr="00DD0FD9">
        <w:t>etwork cost during the</w:t>
      </w:r>
      <w:r>
        <w:t xml:space="preserve"> 2016–20</w:t>
      </w:r>
      <w:r w:rsidRPr="00DD0FD9">
        <w:t xml:space="preserve"> </w:t>
      </w:r>
      <w:r>
        <w:t>a</w:t>
      </w:r>
      <w:r w:rsidRPr="00DD0FD9">
        <w:t xml:space="preserve">ccess </w:t>
      </w:r>
      <w:r>
        <w:t>arrangement p</w:t>
      </w:r>
      <w:r w:rsidRPr="00DD0FD9">
        <w:t>eriod.</w:t>
      </w:r>
    </w:p>
    <w:p w:rsidR="00DD0FD9" w:rsidRDefault="00DD0FD9" w:rsidP="00DD0FD9">
      <w:r>
        <w:t>The forecast UAG costs are as follows:</w:t>
      </w:r>
    </w:p>
    <w:p w:rsidR="00DD0FD9" w:rsidRDefault="00DD0FD9" w:rsidP="00DD0FD9">
      <w:pPr>
        <w:pStyle w:val="Caption"/>
      </w:pPr>
      <w:bookmarkStart w:id="35" w:name="_Ref435448970"/>
      <w:r>
        <w:t xml:space="preserve">Table </w:t>
      </w:r>
      <w:r w:rsidR="00C948D1">
        <w:fldChar w:fldCharType="begin"/>
      </w:r>
      <w:r w:rsidR="00C948D1">
        <w:instrText xml:space="preserve"> STYLEREF 1 \s </w:instrText>
      </w:r>
      <w:r w:rsidR="00C948D1">
        <w:fldChar w:fldCharType="separate"/>
      </w:r>
      <w:r w:rsidR="0022166F">
        <w:rPr>
          <w:noProof/>
        </w:rPr>
        <w:t>11</w:t>
      </w:r>
      <w:r w:rsidR="00C948D1">
        <w:rPr>
          <w:noProof/>
        </w:rPr>
        <w:fldChar w:fldCharType="end"/>
      </w:r>
      <w:r>
        <w:t>.</w:t>
      </w:r>
      <w:r>
        <w:fldChar w:fldCharType="begin"/>
      </w:r>
      <w:r>
        <w:instrText xml:space="preserve"> SEQ Table \* ARABIC \s 1 </w:instrText>
      </w:r>
      <w:r>
        <w:fldChar w:fldCharType="separate"/>
      </w:r>
      <w:r w:rsidR="009915AF">
        <w:rPr>
          <w:noProof/>
        </w:rPr>
        <w:t>1</w:t>
      </w:r>
      <w:r>
        <w:fldChar w:fldCharType="end"/>
      </w:r>
      <w:bookmarkEnd w:id="35"/>
      <w:r>
        <w:t xml:space="preserve"> </w:t>
      </w:r>
      <w:r w:rsidR="00156AE7">
        <w:t>AER draft decision f</w:t>
      </w:r>
      <w:r>
        <w:t>orecast</w:t>
      </w:r>
      <w:r w:rsidR="00156AE7">
        <w:t xml:space="preserve"> of the total</w:t>
      </w:r>
      <w:r>
        <w:t xml:space="preserve"> UAG costs</w:t>
      </w:r>
    </w:p>
    <w:tbl>
      <w:tblPr>
        <w:tblStyle w:val="AERtable-numbers"/>
        <w:tblW w:w="0" w:type="auto"/>
        <w:tblLook w:val="04A0" w:firstRow="1" w:lastRow="0" w:firstColumn="1" w:lastColumn="0" w:noHBand="0" w:noVBand="1"/>
      </w:tblPr>
      <w:tblGrid>
        <w:gridCol w:w="2235"/>
        <w:gridCol w:w="1291"/>
        <w:gridCol w:w="1292"/>
        <w:gridCol w:w="1291"/>
        <w:gridCol w:w="1292"/>
        <w:gridCol w:w="1292"/>
      </w:tblGrid>
      <w:tr w:rsidR="00DD0FD9" w:rsidTr="00DD0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0FD9" w:rsidRDefault="00DD0FD9" w:rsidP="00DD0FD9"/>
        </w:tc>
        <w:tc>
          <w:tcPr>
            <w:tcW w:w="1291" w:type="dxa"/>
          </w:tcPr>
          <w:p w:rsidR="00DD0FD9" w:rsidRDefault="00DD0FD9" w:rsidP="00DD0FD9">
            <w:pPr>
              <w:cnfStyle w:val="100000000000" w:firstRow="1" w:lastRow="0" w:firstColumn="0" w:lastColumn="0" w:oddVBand="0" w:evenVBand="0" w:oddHBand="0" w:evenHBand="0" w:firstRowFirstColumn="0" w:firstRowLastColumn="0" w:lastRowFirstColumn="0" w:lastRowLastColumn="0"/>
            </w:pPr>
            <w:r>
              <w:t>2016–17</w:t>
            </w:r>
          </w:p>
        </w:tc>
        <w:tc>
          <w:tcPr>
            <w:tcW w:w="1292" w:type="dxa"/>
          </w:tcPr>
          <w:p w:rsidR="00DD0FD9" w:rsidRDefault="00DD0FD9" w:rsidP="00DD0FD9">
            <w:pPr>
              <w:cnfStyle w:val="100000000000" w:firstRow="1" w:lastRow="0" w:firstColumn="0" w:lastColumn="0" w:oddVBand="0" w:evenVBand="0" w:oddHBand="0" w:evenHBand="0" w:firstRowFirstColumn="0" w:firstRowLastColumn="0" w:lastRowFirstColumn="0" w:lastRowLastColumn="0"/>
            </w:pPr>
            <w:r>
              <w:t>2017–18</w:t>
            </w:r>
          </w:p>
        </w:tc>
        <w:tc>
          <w:tcPr>
            <w:tcW w:w="1291" w:type="dxa"/>
          </w:tcPr>
          <w:p w:rsidR="00DD0FD9" w:rsidRDefault="00DD0FD9" w:rsidP="00DD0FD9">
            <w:pPr>
              <w:cnfStyle w:val="100000000000" w:firstRow="1" w:lastRow="0" w:firstColumn="0" w:lastColumn="0" w:oddVBand="0" w:evenVBand="0" w:oddHBand="0" w:evenHBand="0" w:firstRowFirstColumn="0" w:firstRowLastColumn="0" w:lastRowFirstColumn="0" w:lastRowLastColumn="0"/>
            </w:pPr>
            <w:r>
              <w:t>2018–19</w:t>
            </w:r>
          </w:p>
        </w:tc>
        <w:tc>
          <w:tcPr>
            <w:tcW w:w="1292" w:type="dxa"/>
          </w:tcPr>
          <w:p w:rsidR="00DD0FD9" w:rsidRDefault="00DD0FD9" w:rsidP="00DD0FD9">
            <w:pPr>
              <w:cnfStyle w:val="100000000000" w:firstRow="1" w:lastRow="0" w:firstColumn="0" w:lastColumn="0" w:oddVBand="0" w:evenVBand="0" w:oddHBand="0" w:evenHBand="0" w:firstRowFirstColumn="0" w:firstRowLastColumn="0" w:lastRowFirstColumn="0" w:lastRowLastColumn="0"/>
            </w:pPr>
            <w:r>
              <w:t>2019–20</w:t>
            </w:r>
          </w:p>
        </w:tc>
        <w:tc>
          <w:tcPr>
            <w:tcW w:w="1292" w:type="dxa"/>
          </w:tcPr>
          <w:p w:rsidR="00DD0FD9" w:rsidRDefault="00DD0FD9" w:rsidP="00DD0FD9">
            <w:pPr>
              <w:cnfStyle w:val="100000000000" w:firstRow="1" w:lastRow="0" w:firstColumn="0" w:lastColumn="0" w:oddVBand="0" w:evenVBand="0" w:oddHBand="0" w:evenHBand="0" w:firstRowFirstColumn="0" w:firstRowLastColumn="0" w:lastRowFirstColumn="0" w:lastRowLastColumn="0"/>
            </w:pPr>
            <w:r>
              <w:t>2020–21</w:t>
            </w:r>
          </w:p>
        </w:tc>
      </w:tr>
      <w:tr w:rsidR="00DD0FD9" w:rsidTr="00DD0FD9">
        <w:tc>
          <w:tcPr>
            <w:cnfStyle w:val="001000000000" w:firstRow="0" w:lastRow="0" w:firstColumn="1" w:lastColumn="0" w:oddVBand="0" w:evenVBand="0" w:oddHBand="0" w:evenHBand="0" w:firstRowFirstColumn="0" w:firstRowLastColumn="0" w:lastRowFirstColumn="0" w:lastRowLastColumn="0"/>
            <w:tcW w:w="2235" w:type="dxa"/>
          </w:tcPr>
          <w:p w:rsidR="00DD0FD9" w:rsidRDefault="00DD0FD9" w:rsidP="00DD0FD9">
            <w:r>
              <w:t>Forecast UAG Cost ($million,2014/15)</w:t>
            </w:r>
          </w:p>
        </w:tc>
        <w:tc>
          <w:tcPr>
            <w:tcW w:w="1291" w:type="dxa"/>
          </w:tcPr>
          <w:p w:rsidR="00DD0FD9" w:rsidRDefault="00B83BDB" w:rsidP="00DD0FD9">
            <w:pPr>
              <w:cnfStyle w:val="000000000000" w:firstRow="0" w:lastRow="0" w:firstColumn="0" w:lastColumn="0" w:oddVBand="0" w:evenVBand="0" w:oddHBand="0" w:evenHBand="0" w:firstRowFirstColumn="0" w:firstRowLastColumn="0" w:lastRowFirstColumn="0" w:lastRowLastColumn="0"/>
            </w:pPr>
            <w:r>
              <w:t>1.25</w:t>
            </w:r>
          </w:p>
        </w:tc>
        <w:tc>
          <w:tcPr>
            <w:tcW w:w="1292" w:type="dxa"/>
          </w:tcPr>
          <w:p w:rsidR="00DD0FD9" w:rsidRDefault="00B83BDB" w:rsidP="00DD0FD9">
            <w:pPr>
              <w:cnfStyle w:val="000000000000" w:firstRow="0" w:lastRow="0" w:firstColumn="0" w:lastColumn="0" w:oddVBand="0" w:evenVBand="0" w:oddHBand="0" w:evenHBand="0" w:firstRowFirstColumn="0" w:firstRowLastColumn="0" w:lastRowFirstColumn="0" w:lastRowLastColumn="0"/>
            </w:pPr>
            <w:r>
              <w:t>1.24</w:t>
            </w:r>
          </w:p>
        </w:tc>
        <w:tc>
          <w:tcPr>
            <w:tcW w:w="1291" w:type="dxa"/>
          </w:tcPr>
          <w:p w:rsidR="00DD0FD9" w:rsidRDefault="00B83BDB" w:rsidP="00DD0FD9">
            <w:pPr>
              <w:cnfStyle w:val="000000000000" w:firstRow="0" w:lastRow="0" w:firstColumn="0" w:lastColumn="0" w:oddVBand="0" w:evenVBand="0" w:oddHBand="0" w:evenHBand="0" w:firstRowFirstColumn="0" w:firstRowLastColumn="0" w:lastRowFirstColumn="0" w:lastRowLastColumn="0"/>
            </w:pPr>
            <w:r>
              <w:t>1.22</w:t>
            </w:r>
          </w:p>
        </w:tc>
        <w:tc>
          <w:tcPr>
            <w:tcW w:w="1292" w:type="dxa"/>
          </w:tcPr>
          <w:p w:rsidR="00DD0FD9" w:rsidRDefault="00B83BDB" w:rsidP="00DD0FD9">
            <w:pPr>
              <w:cnfStyle w:val="000000000000" w:firstRow="0" w:lastRow="0" w:firstColumn="0" w:lastColumn="0" w:oddVBand="0" w:evenVBand="0" w:oddHBand="0" w:evenHBand="0" w:firstRowFirstColumn="0" w:firstRowLastColumn="0" w:lastRowFirstColumn="0" w:lastRowLastColumn="0"/>
            </w:pPr>
            <w:r>
              <w:t>1.21</w:t>
            </w:r>
          </w:p>
        </w:tc>
        <w:tc>
          <w:tcPr>
            <w:tcW w:w="1292" w:type="dxa"/>
          </w:tcPr>
          <w:p w:rsidR="00DD0FD9" w:rsidRDefault="00B83BDB" w:rsidP="00DD0FD9">
            <w:pPr>
              <w:cnfStyle w:val="000000000000" w:firstRow="0" w:lastRow="0" w:firstColumn="0" w:lastColumn="0" w:oddVBand="0" w:evenVBand="0" w:oddHBand="0" w:evenHBand="0" w:firstRowFirstColumn="0" w:firstRowLastColumn="0" w:lastRowFirstColumn="0" w:lastRowLastColumn="0"/>
            </w:pPr>
            <w:r>
              <w:t>1.21</w:t>
            </w:r>
          </w:p>
        </w:tc>
      </w:tr>
    </w:tbl>
    <w:p w:rsidR="00DD0FD9" w:rsidRDefault="00DD0FD9" w:rsidP="00DD0FD9">
      <w:pPr>
        <w:pStyle w:val="AERtablesource"/>
      </w:pPr>
      <w:r>
        <w:t>Source:</w:t>
      </w:r>
      <w:r>
        <w:tab/>
        <w:t>AER analysis</w:t>
      </w:r>
      <w:r w:rsidR="00B83BDB">
        <w:t>, see Attachment 7, Table 7.9.</w:t>
      </w:r>
    </w:p>
    <w:p w:rsidR="00E27811" w:rsidRPr="009F4B08" w:rsidRDefault="00E27811" w:rsidP="00E27811">
      <w:pPr>
        <w:rPr>
          <w:rStyle w:val="Strong"/>
        </w:rPr>
      </w:pPr>
      <w:r w:rsidRPr="009F4B08">
        <w:rPr>
          <w:rStyle w:val="Strong"/>
        </w:rPr>
        <w:t>Carbon Cost factor amount</w:t>
      </w:r>
    </w:p>
    <w:p w:rsidR="00E27811" w:rsidRPr="009F4B08" w:rsidRDefault="00E27811" w:rsidP="00E27811">
      <w:r w:rsidRPr="009F4B08">
        <w:t>The</w:t>
      </w:r>
      <w:r w:rsidR="00DD0FD9">
        <w:t xml:space="preserve"> Carbon Cost factor amount for financial y</w:t>
      </w:r>
      <w:r w:rsidRPr="009F4B08">
        <w:t xml:space="preserve">ear </w:t>
      </w:r>
      <w:r w:rsidR="00D71F6C">
        <w:rPr>
          <w:rStyle w:val="AERtextitalic"/>
        </w:rPr>
        <w:t>t-</w:t>
      </w:r>
      <w:r w:rsidRPr="008C1E19">
        <w:rPr>
          <w:rStyle w:val="AERtextitalic"/>
        </w:rPr>
        <w:t>2</w:t>
      </w:r>
      <w:r w:rsidRPr="009F4B08">
        <w:t xml:space="preserve"> is to be calculated as follows:</w:t>
      </w:r>
    </w:p>
    <w:p w:rsidR="00E27811" w:rsidRPr="00DD0FD9" w:rsidRDefault="00E27811" w:rsidP="00DD0FD9">
      <w:pPr>
        <w:pStyle w:val="ListBullet2"/>
        <w:numPr>
          <w:ilvl w:val="0"/>
          <w:numId w:val="47"/>
        </w:numPr>
      </w:pPr>
      <w:r w:rsidRPr="00DD0FD9">
        <w:t xml:space="preserve">the actual cost incurred by the Service Provider as a result of the operation of a Carbon Scheme as approved by the AER, in Financial Year </w:t>
      </w:r>
      <w:r w:rsidRPr="00DD0FD9">
        <w:rPr>
          <w:rStyle w:val="AERtextitalic"/>
          <w:i w:val="0"/>
        </w:rPr>
        <w:t>t-2</w:t>
      </w:r>
      <w:r w:rsidRPr="00DD0FD9">
        <w:t>,</w:t>
      </w:r>
    </w:p>
    <w:p w:rsidR="00E27811" w:rsidRPr="00DD0FD9" w:rsidRDefault="00E27811" w:rsidP="00DD0FD9">
      <w:pPr>
        <w:pStyle w:val="ListContinue"/>
      </w:pPr>
      <w:r w:rsidRPr="00DD0FD9">
        <w:t>minus</w:t>
      </w:r>
    </w:p>
    <w:p w:rsidR="00E27811" w:rsidRPr="00DD0FD9" w:rsidRDefault="00E27811" w:rsidP="00DD0FD9">
      <w:pPr>
        <w:pStyle w:val="ListBullet2"/>
      </w:pPr>
      <w:r w:rsidRPr="00DD0FD9">
        <w:t xml:space="preserve">the forecast of the cost incurred by the </w:t>
      </w:r>
      <w:r w:rsidR="00DD0FD9">
        <w:t>ActewAGL</w:t>
      </w:r>
      <w:r w:rsidRPr="00DD0FD9">
        <w:t xml:space="preserve"> as a result of the operation of a Carbon Scheme as approved by the AER and included in the AER’s releva</w:t>
      </w:r>
      <w:r w:rsidR="00DD0FD9">
        <w:t>nt final decision, in f</w:t>
      </w:r>
      <w:r w:rsidRPr="00DD0FD9">
        <w:t xml:space="preserve">inancial </w:t>
      </w:r>
      <w:r w:rsidR="00DD0FD9">
        <w:t>y</w:t>
      </w:r>
      <w:r w:rsidRPr="00DD0FD9">
        <w:t xml:space="preserve">ear </w:t>
      </w:r>
      <w:r w:rsidRPr="00DD0FD9">
        <w:rPr>
          <w:rStyle w:val="AERtextitalic"/>
          <w:i w:val="0"/>
        </w:rPr>
        <w:t>t</w:t>
      </w:r>
      <w:r w:rsidR="009915AF">
        <w:rPr>
          <w:rStyle w:val="AERtextitalic"/>
          <w:i w:val="0"/>
        </w:rPr>
        <w:t>-</w:t>
      </w:r>
      <w:r w:rsidRPr="00DD0FD9">
        <w:rPr>
          <w:rStyle w:val="AERtextitalic"/>
          <w:i w:val="0"/>
        </w:rPr>
        <w:t>2</w:t>
      </w:r>
      <w:r w:rsidRPr="00DD0FD9">
        <w:t>.</w:t>
      </w:r>
    </w:p>
    <w:p w:rsidR="00E27811" w:rsidRPr="00BA644A" w:rsidRDefault="00E27811" w:rsidP="00E27811">
      <w:pPr>
        <w:rPr>
          <w:rStyle w:val="Strong"/>
        </w:rPr>
      </w:pPr>
      <w:r w:rsidRPr="00BA644A">
        <w:rPr>
          <w:rStyle w:val="Strong"/>
        </w:rPr>
        <w:t>Relevant Tax factor amount</w:t>
      </w:r>
    </w:p>
    <w:p w:rsidR="00E27811" w:rsidRPr="009F4B08" w:rsidRDefault="00E27811" w:rsidP="00E27811">
      <w:r w:rsidRPr="009F4B08">
        <w:t xml:space="preserve">The Relevant Tax factor amount for </w:t>
      </w:r>
      <w:r w:rsidR="000417DC">
        <w:t>f</w:t>
      </w:r>
      <w:r w:rsidRPr="009F4B08">
        <w:t xml:space="preserve">inancial </w:t>
      </w:r>
      <w:r w:rsidR="000417DC">
        <w:t>t</w:t>
      </w:r>
      <w:r w:rsidRPr="009F4B08">
        <w:t xml:space="preserve">ear </w:t>
      </w:r>
      <w:r w:rsidRPr="008C1E19">
        <w:rPr>
          <w:rStyle w:val="AERtextitalic"/>
        </w:rPr>
        <w:t>t</w:t>
      </w:r>
      <w:r w:rsidR="009915AF">
        <w:rPr>
          <w:rStyle w:val="AERtextitalic"/>
        </w:rPr>
        <w:t>-</w:t>
      </w:r>
      <w:r w:rsidRPr="008C1E19">
        <w:rPr>
          <w:rStyle w:val="AERtextitalic"/>
        </w:rPr>
        <w:t>2</w:t>
      </w:r>
      <w:r w:rsidRPr="009F4B08">
        <w:t xml:space="preserve"> is to be calculated as follows:</w:t>
      </w:r>
    </w:p>
    <w:p w:rsidR="00E27811" w:rsidRPr="00DD0FD9" w:rsidRDefault="00E27811" w:rsidP="00DD0FD9">
      <w:pPr>
        <w:pStyle w:val="ListBullet2"/>
        <w:numPr>
          <w:ilvl w:val="0"/>
          <w:numId w:val="48"/>
        </w:numPr>
      </w:pPr>
      <w:r w:rsidRPr="00DD0FD9">
        <w:lastRenderedPageBreak/>
        <w:t xml:space="preserve">the actual cost incurred by the </w:t>
      </w:r>
      <w:r w:rsidR="000417DC">
        <w:t xml:space="preserve">ActewAGL </w:t>
      </w:r>
      <w:r w:rsidRPr="00DD0FD9">
        <w:t xml:space="preserve">in paying any Relevant Tax, in </w:t>
      </w:r>
      <w:r w:rsidR="000417DC">
        <w:t>f</w:t>
      </w:r>
      <w:r w:rsidRPr="00DD0FD9">
        <w:t xml:space="preserve">inancial </w:t>
      </w:r>
      <w:r w:rsidR="000417DC">
        <w:t>y</w:t>
      </w:r>
      <w:r w:rsidRPr="00DD0FD9">
        <w:t xml:space="preserve">ear </w:t>
      </w:r>
      <w:r w:rsidRPr="00DD0FD9">
        <w:rPr>
          <w:rStyle w:val="AERtextitalic"/>
          <w:i w:val="0"/>
        </w:rPr>
        <w:t>t</w:t>
      </w:r>
      <w:r w:rsidR="009915AF">
        <w:rPr>
          <w:rStyle w:val="AERtextitalic"/>
          <w:i w:val="0"/>
        </w:rPr>
        <w:t>-</w:t>
      </w:r>
      <w:r w:rsidRPr="00DD0FD9">
        <w:rPr>
          <w:rStyle w:val="AERtextitalic"/>
          <w:i w:val="0"/>
        </w:rPr>
        <w:t>2</w:t>
      </w:r>
      <w:r w:rsidRPr="00DD0FD9">
        <w:t>,</w:t>
      </w:r>
    </w:p>
    <w:p w:rsidR="00E27811" w:rsidRPr="00DD0FD9" w:rsidRDefault="00E27811" w:rsidP="00DD0FD9">
      <w:pPr>
        <w:pStyle w:val="ListContinue"/>
      </w:pPr>
      <w:r w:rsidRPr="00DD0FD9">
        <w:t>minus</w:t>
      </w:r>
    </w:p>
    <w:p w:rsidR="00E27811" w:rsidRPr="00DD0FD9" w:rsidRDefault="00E27811" w:rsidP="00DD0FD9">
      <w:pPr>
        <w:pStyle w:val="ListBullet2"/>
      </w:pPr>
      <w:r w:rsidRPr="00DD0FD9">
        <w:t xml:space="preserve">the forecast of the cost incurred by the </w:t>
      </w:r>
      <w:r w:rsidR="000417DC">
        <w:t>ActewAGL</w:t>
      </w:r>
      <w:r w:rsidRPr="00DD0FD9">
        <w:t xml:space="preserve"> in paying any Relevant Tax included in the AER</w:t>
      </w:r>
      <w:r w:rsidR="000417DC">
        <w:t>’s relevant final decision, in financial y</w:t>
      </w:r>
      <w:r w:rsidRPr="00DD0FD9">
        <w:t xml:space="preserve">ear </w:t>
      </w:r>
      <w:r w:rsidRPr="00DD0FD9">
        <w:rPr>
          <w:rStyle w:val="AERtextitalic"/>
          <w:i w:val="0"/>
        </w:rPr>
        <w:t>t</w:t>
      </w:r>
      <w:r w:rsidR="009915AF">
        <w:rPr>
          <w:rStyle w:val="AERtextitalic"/>
          <w:i w:val="0"/>
        </w:rPr>
        <w:t>-</w:t>
      </w:r>
      <w:r w:rsidRPr="00DD0FD9">
        <w:rPr>
          <w:rStyle w:val="AERtextitalic"/>
          <w:i w:val="0"/>
        </w:rPr>
        <w:t>2</w:t>
      </w:r>
      <w:r w:rsidRPr="00DD0FD9">
        <w:t>.</w:t>
      </w:r>
    </w:p>
    <w:p w:rsidR="00AA41FD" w:rsidRDefault="00C24689" w:rsidP="00AA41FD">
      <w:pPr>
        <w:pStyle w:val="HeadingBoldBlue"/>
      </w:pPr>
      <w:bookmarkStart w:id="36" w:name="_Toc435449739"/>
      <w:r>
        <w:t>Pass through factor formula</w:t>
      </w:r>
      <w:bookmarkEnd w:id="36"/>
    </w:p>
    <w:p w:rsidR="00CB7059" w:rsidRDefault="00CB7059" w:rsidP="00CB7059">
      <w:r w:rsidRPr="00CB7059">
        <w:t>We approve cost pass through via the tariff basket in the reference tariff control formula using the pass through factor.</w:t>
      </w:r>
      <w:r>
        <w:t xml:space="preserve"> Our draft decision</w:t>
      </w:r>
      <w:r w:rsidR="000417DC">
        <w:t xml:space="preserve"> pass through factor formula is set out in </w:t>
      </w:r>
      <w:r w:rsidR="000417DC">
        <w:fldChar w:fldCharType="begin"/>
      </w:r>
      <w:r w:rsidR="000417DC">
        <w:instrText xml:space="preserve"> REF  _Ref435200100 \* Lower \h </w:instrText>
      </w:r>
      <w:r w:rsidR="000417DC">
        <w:fldChar w:fldCharType="separate"/>
      </w:r>
      <w:r w:rsidR="009915AF">
        <w:t xml:space="preserve">figure </w:t>
      </w:r>
      <w:r w:rsidR="009915AF">
        <w:rPr>
          <w:noProof/>
        </w:rPr>
        <w:t>11</w:t>
      </w:r>
      <w:r w:rsidR="009915AF">
        <w:t>.</w:t>
      </w:r>
      <w:r w:rsidR="009915AF">
        <w:rPr>
          <w:noProof/>
        </w:rPr>
        <w:t>4</w:t>
      </w:r>
      <w:r w:rsidR="000417DC">
        <w:fldChar w:fldCharType="end"/>
      </w:r>
      <w:r w:rsidR="000417DC">
        <w:t>.</w:t>
      </w:r>
    </w:p>
    <w:p w:rsidR="000417DC" w:rsidRDefault="000417DC" w:rsidP="000417DC">
      <w:pPr>
        <w:pStyle w:val="Caption"/>
      </w:pPr>
      <w:bookmarkStart w:id="37" w:name="_Ref435200100"/>
      <w:r>
        <w:t xml:space="preserve">Figure </w:t>
      </w:r>
      <w:r w:rsidR="00C948D1">
        <w:fldChar w:fldCharType="begin"/>
      </w:r>
      <w:r w:rsidR="00C948D1">
        <w:instrText xml:space="preserve"> STYLEREF 1 \s </w:instrText>
      </w:r>
      <w:r w:rsidR="00C948D1">
        <w:fldChar w:fldCharType="separate"/>
      </w:r>
      <w:r w:rsidR="0022166F">
        <w:rPr>
          <w:noProof/>
        </w:rPr>
        <w:t>11</w:t>
      </w:r>
      <w:r w:rsidR="00C948D1">
        <w:rPr>
          <w:noProof/>
        </w:rPr>
        <w:fldChar w:fldCharType="end"/>
      </w:r>
      <w:r>
        <w:t>.</w:t>
      </w:r>
      <w:r>
        <w:fldChar w:fldCharType="begin"/>
      </w:r>
      <w:r>
        <w:instrText xml:space="preserve"> SEQ Figure \* ARABIC \s 1 </w:instrText>
      </w:r>
      <w:r>
        <w:fldChar w:fldCharType="separate"/>
      </w:r>
      <w:r w:rsidR="0022166F">
        <w:rPr>
          <w:noProof/>
        </w:rPr>
        <w:t>4</w:t>
      </w:r>
      <w:r>
        <w:fldChar w:fldCharType="end"/>
      </w:r>
      <w:bookmarkEnd w:id="37"/>
      <w:r>
        <w:t xml:space="preserve"> Pass through factor formula</w:t>
      </w:r>
    </w:p>
    <w:p w:rsidR="00CB7059" w:rsidRPr="00CB7059" w:rsidRDefault="00CB7059" w:rsidP="00CB7059">
      <w:r w:rsidRPr="00CB7059">
        <w:object w:dxaOrig="2120" w:dyaOrig="700">
          <v:shape id="_x0000_i1081" type="#_x0000_t75" style="width:105.4pt;height:36.5pt" o:ole="">
            <v:imagedata r:id="rId108" o:title=""/>
          </v:shape>
          <o:OLEObject Type="Embed" ProgID="Equation.3" ShapeID="_x0000_i1081" DrawAspect="Content" ObjectID="_1509788609" r:id="rId109"/>
        </w:object>
      </w:r>
    </w:p>
    <w:p w:rsidR="00CB7059" w:rsidRPr="00CB7059" w:rsidRDefault="00CB7059" w:rsidP="00CB7059">
      <w:r w:rsidRPr="00CB7059">
        <w:t>where:</w:t>
      </w:r>
    </w:p>
    <w:p w:rsidR="00CB7059" w:rsidRPr="00CB7059" w:rsidRDefault="00CB7059" w:rsidP="00CB7059">
      <w:r w:rsidRPr="00CB7059">
        <w:rPr>
          <w:position w:val="-12"/>
        </w:rPr>
        <w:object w:dxaOrig="400" w:dyaOrig="360">
          <v:shape id="_x0000_i1082" type="#_x0000_t75" style="width:19.85pt;height:18.8pt" o:ole="">
            <v:imagedata r:id="rId110" o:title=""/>
          </v:shape>
          <o:OLEObject Type="Embed" ProgID="Equation.3" ShapeID="_x0000_i1082" DrawAspect="Content" ObjectID="_1509788610" r:id="rId111"/>
        </w:object>
      </w:r>
      <w:r w:rsidRPr="00CB7059">
        <w:tab/>
        <w:t>is:</w:t>
      </w:r>
    </w:p>
    <w:p w:rsidR="00CB7059" w:rsidRPr="00CB7059" w:rsidRDefault="00CB7059" w:rsidP="00EC3BE5">
      <w:pPr>
        <w:pStyle w:val="ListBullet2"/>
        <w:numPr>
          <w:ilvl w:val="0"/>
          <w:numId w:val="43"/>
        </w:numPr>
      </w:pPr>
      <w:r w:rsidRPr="00CB7059">
        <w:t>zero when financial year t–1 refers to financial year 2016–17</w:t>
      </w:r>
    </w:p>
    <w:p w:rsidR="00CB7059" w:rsidRPr="00CB7059" w:rsidRDefault="00CB7059" w:rsidP="00CB7059">
      <w:pPr>
        <w:pStyle w:val="ListBullet2"/>
      </w:pPr>
      <w:r w:rsidRPr="00CB7059">
        <w:t xml:space="preserve">the value of </w:t>
      </w:r>
      <w:r w:rsidRPr="00CB7059">
        <w:rPr>
          <w:position w:val="-12"/>
        </w:rPr>
        <w:object w:dxaOrig="499" w:dyaOrig="360">
          <v:shape id="_x0000_i1083" type="#_x0000_t75" style="width:26.1pt;height:17.75pt" o:ole="">
            <v:imagedata r:id="rId112" o:title=""/>
          </v:shape>
          <o:OLEObject Type="Embed" ProgID="Equation.3" ShapeID="_x0000_i1083" DrawAspect="Content" ObjectID="_1509788611" r:id="rId113"/>
        </w:object>
      </w:r>
      <w:r w:rsidRPr="00CB7059">
        <w:t xml:space="preserve"> determined in the financial year t</w:t>
      </w:r>
      <w:r w:rsidR="009915AF">
        <w:t>-</w:t>
      </w:r>
      <w:r w:rsidRPr="00CB7059">
        <w:t>1 for all other financial years in the access arrangement period</w:t>
      </w:r>
    </w:p>
    <w:p w:rsidR="00CB7059" w:rsidRPr="00CB7059" w:rsidRDefault="00CB7059" w:rsidP="00CB7059">
      <w:r w:rsidRPr="00CB7059">
        <w:t>and</w:t>
      </w:r>
    </w:p>
    <w:p w:rsidR="00CB7059" w:rsidRPr="00CB7059" w:rsidRDefault="00CB7059" w:rsidP="00CB7059">
      <w:r w:rsidRPr="00CB7059">
        <w:object w:dxaOrig="4440" w:dyaOrig="1040">
          <v:shape id="_x0000_i1084" type="#_x0000_t75" style="width:222.25pt;height:52.15pt" o:ole="">
            <v:imagedata r:id="rId114" o:title=""/>
          </v:shape>
          <o:OLEObject Type="Embed" ProgID="Equation.3" ShapeID="_x0000_i1084" DrawAspect="Content" ObjectID="_1509788612" r:id="rId115"/>
        </w:object>
      </w:r>
    </w:p>
    <w:p w:rsidR="00CB7059" w:rsidRPr="00CB7059" w:rsidRDefault="00CB7059" w:rsidP="00CB7059">
      <w:r w:rsidRPr="00CB7059">
        <w:t>where</w:t>
      </w:r>
    </w:p>
    <w:p w:rsidR="00CB7059" w:rsidRPr="00CB7059" w:rsidRDefault="00CB7059" w:rsidP="00CB7059">
      <w:r w:rsidRPr="00CB7059">
        <w:rPr>
          <w:position w:val="-12"/>
        </w:rPr>
        <w:object w:dxaOrig="400" w:dyaOrig="360">
          <v:shape id="_x0000_i1085" type="#_x0000_t75" style="width:19.85pt;height:18.8pt" o:ole="">
            <v:imagedata r:id="rId116" o:title=""/>
          </v:shape>
          <o:OLEObject Type="Embed" ProgID="Equation.3" ShapeID="_x0000_i1085" DrawAspect="Content" ObjectID="_1509788613" r:id="rId117"/>
        </w:object>
      </w:r>
      <w:r w:rsidRPr="00CB7059">
        <w:tab/>
      </w:r>
      <w:r w:rsidRPr="00CB7059">
        <w:tab/>
        <w:t>is:</w:t>
      </w:r>
    </w:p>
    <w:p w:rsidR="00CB7059" w:rsidRPr="00CB7059" w:rsidRDefault="00CB7059" w:rsidP="00CB7059">
      <w:pPr>
        <w:pStyle w:val="ListBullet2"/>
        <w:numPr>
          <w:ilvl w:val="0"/>
          <w:numId w:val="42"/>
        </w:numPr>
      </w:pPr>
      <w:r w:rsidRPr="00CB7059">
        <w:t>any determined pass through amount that the AER approves in whole or part in financial year t; and/or</w:t>
      </w:r>
    </w:p>
    <w:p w:rsidR="00CB7059" w:rsidRPr="00CB7059" w:rsidRDefault="00CB7059" w:rsidP="00CB7059">
      <w:pPr>
        <w:pStyle w:val="ListBullet2"/>
      </w:pPr>
      <w:r w:rsidRPr="00CB7059">
        <w:t>any pass through amounts arising from pass through events (as that termed is defined in the ac</w:t>
      </w:r>
      <w:r>
        <w:t>cess arrangement applying to ActewAGL</w:t>
      </w:r>
      <w:r w:rsidRPr="00CB7059">
        <w:t xml:space="preserve"> in the immediately prior access arrangement period) occurring in the immediately prior ac</w:t>
      </w:r>
      <w:r>
        <w:t>cess arrangement period that ActewAGL</w:t>
      </w:r>
      <w:r w:rsidRPr="00CB7059">
        <w:t xml:space="preserve"> proposed to pass through in whole or in part in financial year t,</w:t>
      </w:r>
    </w:p>
    <w:p w:rsidR="00CB7059" w:rsidRPr="00CB7059" w:rsidRDefault="00CB7059" w:rsidP="00CB7059">
      <w:r w:rsidRPr="00CB7059">
        <w:t>that includes an amount to reflect the time vale of money between incurring the costs and recovering the costs, and excludes any amounts already passed through in reference tariffs.</w:t>
      </w:r>
    </w:p>
    <w:p w:rsidR="00CB7059" w:rsidRPr="00E67F6D" w:rsidRDefault="00CB7059" w:rsidP="00CB7059">
      <w:r w:rsidRPr="00CB7059">
        <w:rPr>
          <w:position w:val="-12"/>
        </w:rPr>
        <w:object w:dxaOrig="560" w:dyaOrig="380">
          <v:shape id="_x0000_i1086" type="#_x0000_t75" style="width:27.15pt;height:19.85pt" o:ole="">
            <v:imagedata r:id="rId118" o:title=""/>
          </v:shape>
          <o:OLEObject Type="Embed" ProgID="Equation.3" ShapeID="_x0000_i1086" DrawAspect="Content" ObjectID="_1509788614" r:id="rId119"/>
        </w:object>
      </w:r>
      <w:r w:rsidRPr="00A46EBE">
        <w:tab/>
      </w:r>
      <w:r w:rsidRPr="00E67F6D">
        <w:t xml:space="preserve">is the annual percentage change in the </w:t>
      </w:r>
      <w:r>
        <w:t>Australian Bureau of Statistics (</w:t>
      </w:r>
      <w:r w:rsidRPr="00E67F6D">
        <w:t>ABS</w:t>
      </w:r>
      <w:r>
        <w:t>)</w:t>
      </w:r>
      <w:r w:rsidRPr="00E67F6D">
        <w:t xml:space="preserve"> CPI All Groups, Weighted A</w:t>
      </w:r>
      <w:r w:rsidR="0089203E">
        <w:t xml:space="preserve">verage of Eight Capital Cities </w:t>
      </w:r>
      <w:r w:rsidRPr="00E67F6D">
        <w:t>from</w:t>
      </w:r>
      <w:r w:rsidR="00D71F6C">
        <w:t xml:space="preserve"> the December quarter in year t-</w:t>
      </w:r>
      <w:r w:rsidRPr="00E67F6D">
        <w:t>2 to the December quarter in year t</w:t>
      </w:r>
      <w:r w:rsidR="009915AF">
        <w:t>-</w:t>
      </w:r>
      <w:r w:rsidRPr="00E67F6D">
        <w:t>1, calculated using the following method:</w:t>
      </w:r>
    </w:p>
    <w:p w:rsidR="00CB7059" w:rsidRPr="00E67F6D" w:rsidRDefault="00CB7059" w:rsidP="00CB7059">
      <w:pPr>
        <w:pStyle w:val="ListContinue"/>
      </w:pPr>
      <w:r w:rsidRPr="00E67F6D">
        <w:t xml:space="preserve">The ABS CPI All Groups, Weighted Average of Eight Capital Cities for the December quarter in </w:t>
      </w:r>
      <w:r>
        <w:t>financial</w:t>
      </w:r>
      <w:r w:rsidR="00D71F6C">
        <w:t xml:space="preserve"> year t-</w:t>
      </w:r>
      <w:r w:rsidRPr="00E67F6D">
        <w:t>1</w:t>
      </w:r>
    </w:p>
    <w:p w:rsidR="00CB7059" w:rsidRPr="00E67F6D" w:rsidRDefault="00CB7059" w:rsidP="00CB7059">
      <w:pPr>
        <w:pStyle w:val="ListContinue"/>
      </w:pPr>
      <w:r w:rsidRPr="00E67F6D">
        <w:t>divided by</w:t>
      </w:r>
    </w:p>
    <w:p w:rsidR="00CB7059" w:rsidRPr="00E67F6D" w:rsidRDefault="00CB7059" w:rsidP="00CB7059">
      <w:pPr>
        <w:pStyle w:val="ListContinue"/>
      </w:pPr>
      <w:r w:rsidRPr="00E67F6D">
        <w:t>The ABS CPI All Groups, Weighted Average of Eight Capital Cities for th</w:t>
      </w:r>
      <w:r>
        <w:t>e December quarter in financial</w:t>
      </w:r>
      <w:r w:rsidRPr="00E67F6D">
        <w:t xml:space="preserve"> year t</w:t>
      </w:r>
      <w:r w:rsidR="00D71F6C">
        <w:t>-</w:t>
      </w:r>
      <w:r w:rsidRPr="00E67F6D">
        <w:t>2</w:t>
      </w:r>
    </w:p>
    <w:p w:rsidR="00CB7059" w:rsidRDefault="00CB7059" w:rsidP="00CB7059">
      <w:pPr>
        <w:pStyle w:val="ListContinue"/>
      </w:pPr>
      <w:r w:rsidRPr="00E67F6D">
        <w:t>minus one.</w:t>
      </w:r>
    </w:p>
    <w:p w:rsidR="00CB7059" w:rsidRDefault="00CB7059" w:rsidP="00CB7059">
      <w:r w:rsidRPr="00E67F6D">
        <w:t>If the ABS does not, or ceases to, publish the index, then CPI will mean an index which the AER considers is the best available alternative index.</w:t>
      </w:r>
    </w:p>
    <w:p w:rsidR="00CB7059" w:rsidRPr="00CB7059" w:rsidRDefault="000417DC" w:rsidP="00CB7059">
      <w:r w:rsidRPr="000417DC">
        <w:rPr>
          <w:position w:val="-12"/>
        </w:rPr>
        <w:object w:dxaOrig="360" w:dyaOrig="380">
          <v:shape id="_x0000_i1087" type="#_x0000_t75" style="width:18.8pt;height:19.85pt" o:ole="">
            <v:imagedata r:id="rId120" o:title=""/>
          </v:shape>
          <o:OLEObject Type="Embed" ProgID="Equation.3" ShapeID="_x0000_i1087" DrawAspect="Content" ObjectID="_1509788615" r:id="rId121"/>
        </w:object>
      </w:r>
      <w:r w:rsidR="00CB7059" w:rsidRPr="00CB7059">
        <w:tab/>
        <w:t>means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CB7059" w:rsidRPr="00CB7059" w:rsidRDefault="000417DC" w:rsidP="00CB7059">
      <w:r w:rsidRPr="000417DC">
        <w:rPr>
          <w:position w:val="-12"/>
        </w:rPr>
        <w:object w:dxaOrig="320" w:dyaOrig="380">
          <v:shape id="_x0000_i1088" type="#_x0000_t75" style="width:15.65pt;height:19.85pt" o:ole="">
            <v:imagedata r:id="rId122" o:title=""/>
          </v:shape>
          <o:OLEObject Type="Embed" ProgID="Equation.3" ShapeID="_x0000_i1088" DrawAspect="Content" ObjectID="_1509788616" r:id="rId123"/>
        </w:object>
      </w:r>
      <w:r w:rsidR="00CB7059" w:rsidRPr="00CB7059">
        <w:tab/>
      </w:r>
      <w:r w:rsidR="00CB7059" w:rsidRPr="00CB7059">
        <w:tab/>
        <w:t xml:space="preserve">is the automatic adjustment factor for financial year t calculated as outlined </w:t>
      </w:r>
      <w:r w:rsidR="00CB7059">
        <w:t>above</w:t>
      </w:r>
    </w:p>
    <w:p w:rsidR="00CB7059" w:rsidRPr="00CB7059" w:rsidRDefault="00CB7059" w:rsidP="00CB7059">
      <w:r w:rsidRPr="00CB7059">
        <w:object w:dxaOrig="420" w:dyaOrig="380">
          <v:shape id="_x0000_i1089" type="#_x0000_t75" style="width:21.9pt;height:19.85pt" o:ole="">
            <v:imagedata r:id="rId124" o:title=""/>
          </v:shape>
          <o:OLEObject Type="Embed" ProgID="Equation.3" ShapeID="_x0000_i1089" DrawAspect="Content" ObjectID="_1509788617" r:id="rId125"/>
        </w:object>
      </w:r>
      <w:r w:rsidRPr="00CB7059">
        <w:tab/>
        <w:t xml:space="preserve">is the prevailing component </w:t>
      </w:r>
      <w:r w:rsidR="00B01A42" w:rsidRPr="00B01A42">
        <w:rPr>
          <w:position w:val="-10"/>
        </w:rPr>
        <w:object w:dxaOrig="200" w:dyaOrig="300">
          <v:shape id="_x0000_i1090" type="#_x0000_t75" style="width:8.35pt;height:14.6pt" o:ole="">
            <v:imagedata r:id="rId126" o:title=""/>
          </v:shape>
          <o:OLEObject Type="Embed" ProgID="Equation.3" ShapeID="_x0000_i1090" DrawAspect="Content" ObjectID="_1509788618" r:id="rId127"/>
        </w:object>
      </w:r>
      <w:r w:rsidRPr="00CB7059">
        <w:t xml:space="preserve"> of reference tariff </w:t>
      </w:r>
      <w:r w:rsidR="00B01A42" w:rsidRPr="00B01A42">
        <w:rPr>
          <w:position w:val="-6"/>
        </w:rPr>
        <w:object w:dxaOrig="139" w:dyaOrig="260">
          <v:shape id="_x0000_i1091" type="#_x0000_t75" style="width:6.25pt;height:12.5pt" o:ole="">
            <v:imagedata r:id="rId128" o:title=""/>
          </v:shape>
          <o:OLEObject Type="Embed" ProgID="Equation.3" ShapeID="_x0000_i1091" DrawAspect="Content" ObjectID="_1509788619" r:id="rId129"/>
        </w:object>
      </w:r>
      <w:r w:rsidR="00D71F6C">
        <w:t xml:space="preserve"> in year t-</w:t>
      </w:r>
      <w:r w:rsidRPr="00CB7059">
        <w:t>1</w:t>
      </w:r>
    </w:p>
    <w:p w:rsidR="00CB7059" w:rsidRDefault="00CB7059" w:rsidP="00CB7059">
      <w:r w:rsidRPr="00CB7059">
        <w:object w:dxaOrig="400" w:dyaOrig="380">
          <v:shape id="_x0000_i1092" type="#_x0000_t75" style="width:20.85pt;height:19.85pt" o:ole="">
            <v:imagedata r:id="rId130" o:title=""/>
          </v:shape>
          <o:OLEObject Type="Embed" ProgID="Equation.3" ShapeID="_x0000_i1092" DrawAspect="Content" ObjectID="_1509788620" r:id="rId131"/>
        </w:object>
      </w:r>
      <w:r w:rsidRPr="00CB7059">
        <w:tab/>
        <w:t xml:space="preserve">is the audited quantity of component </w:t>
      </w:r>
      <w:r w:rsidR="00B01A42" w:rsidRPr="00B01A42">
        <w:rPr>
          <w:position w:val="-10"/>
        </w:rPr>
        <w:object w:dxaOrig="200" w:dyaOrig="300">
          <v:shape id="_x0000_i1093" type="#_x0000_t75" style="width:8.35pt;height:14.6pt" o:ole="">
            <v:imagedata r:id="rId132" o:title=""/>
          </v:shape>
          <o:OLEObject Type="Embed" ProgID="Equation.3" ShapeID="_x0000_i1093" DrawAspect="Content" ObjectID="_1509788621" r:id="rId133"/>
        </w:object>
      </w:r>
      <w:r w:rsidRPr="00CB7059">
        <w:t xml:space="preserve"> of reference tariff </w:t>
      </w:r>
      <w:r w:rsidR="00B01A42" w:rsidRPr="00B01A42">
        <w:rPr>
          <w:position w:val="-6"/>
        </w:rPr>
        <w:object w:dxaOrig="139" w:dyaOrig="260">
          <v:shape id="_x0000_i1094" type="#_x0000_t75" style="width:6.25pt;height:12.5pt" o:ole="">
            <v:imagedata r:id="rId134" o:title=""/>
          </v:shape>
          <o:OLEObject Type="Embed" ProgID="Equation.3" ShapeID="_x0000_i1094" DrawAspect="Content" ObjectID="_1509788622" r:id="rId135"/>
        </w:object>
      </w:r>
      <w:r w:rsidR="00D71F6C">
        <w:t xml:space="preserve"> that was sold in year t-</w:t>
      </w:r>
      <w:r w:rsidRPr="00CB7059">
        <w:t>2 (expressed in the units in which that component is expressed (e.g. GJ)</w:t>
      </w:r>
    </w:p>
    <w:p w:rsidR="00AA41FD" w:rsidRDefault="00CB7059" w:rsidP="00095B2A">
      <w:r w:rsidRPr="00AA41FD">
        <w:object w:dxaOrig="139" w:dyaOrig="240">
          <v:shape id="_x0000_i1095" type="#_x0000_t75" style="width:6.25pt;height:11.5pt" o:ole="">
            <v:imagedata r:id="rId18" o:title=""/>
          </v:shape>
          <o:OLEObject Type="Embed" ProgID="Equation.3" ShapeID="_x0000_i1095" DrawAspect="Content" ObjectID="_1509788623" r:id="rId136"/>
        </w:object>
      </w:r>
      <w:r>
        <w:tab/>
      </w:r>
      <w:r>
        <w:tab/>
        <w:t>is the financial year for which tariffs are being set.</w:t>
      </w:r>
    </w:p>
    <w:p w:rsidR="00071E42" w:rsidRDefault="00071E42" w:rsidP="00071E42">
      <w:pPr>
        <w:pStyle w:val="Heading3"/>
      </w:pPr>
      <w:bookmarkStart w:id="38" w:name="_Ref427740850"/>
      <w:bookmarkStart w:id="39" w:name="_Toc435449740"/>
      <w:r>
        <w:t>Cost pass through events</w:t>
      </w:r>
      <w:bookmarkEnd w:id="38"/>
      <w:bookmarkEnd w:id="39"/>
    </w:p>
    <w:p w:rsidR="00071E42" w:rsidRDefault="00071E42" w:rsidP="00071E42">
      <w:r>
        <w:t>This section sets out our reasons for:</w:t>
      </w:r>
    </w:p>
    <w:p w:rsidR="009D0B9A" w:rsidRDefault="009D0B9A" w:rsidP="009D0B9A">
      <w:pPr>
        <w:pStyle w:val="AERbulletlistfirststyle"/>
      </w:pPr>
      <w:r w:rsidRPr="009D0B9A">
        <w:t xml:space="preserve">not approving </w:t>
      </w:r>
      <w:r w:rsidR="009664A2">
        <w:t>ActewAGL</w:t>
      </w:r>
      <w:r w:rsidRPr="009D0B9A">
        <w:t xml:space="preserve">’s proposed </w:t>
      </w:r>
      <w:r>
        <w:t>regulatory change event</w:t>
      </w:r>
      <w:r w:rsidRPr="009D0B9A">
        <w:t xml:space="preserve"> as currently defined, and requiring </w:t>
      </w:r>
      <w:r w:rsidR="00A67774">
        <w:t>amendments to the definition</w:t>
      </w:r>
      <w:r w:rsidRPr="009D0B9A">
        <w:t xml:space="preserve"> </w:t>
      </w:r>
    </w:p>
    <w:p w:rsidR="00071E42" w:rsidRDefault="00071E42" w:rsidP="00071E42">
      <w:pPr>
        <w:pStyle w:val="AERbulletlistfirststyle"/>
      </w:pPr>
      <w:r>
        <w:t xml:space="preserve">not approving </w:t>
      </w:r>
      <w:r w:rsidR="009664A2">
        <w:t>ActewAGL</w:t>
      </w:r>
      <w:r>
        <w:t xml:space="preserve">’s proposed service standard event as currently </w:t>
      </w:r>
      <w:r w:rsidR="009D0B9A">
        <w:t>defined</w:t>
      </w:r>
      <w:r w:rsidR="00A67774" w:rsidRPr="009D0B9A">
        <w:t xml:space="preserve">, and requiring </w:t>
      </w:r>
      <w:r w:rsidR="00A67774">
        <w:t>amendments to the definition</w:t>
      </w:r>
    </w:p>
    <w:p w:rsidR="00BA4CD9" w:rsidRDefault="00BA4CD9" w:rsidP="00BA4CD9">
      <w:pPr>
        <w:pStyle w:val="AERbulletlistfirststyle"/>
      </w:pPr>
      <w:r w:rsidRPr="00BA4CD9">
        <w:t xml:space="preserve">not approving </w:t>
      </w:r>
      <w:r w:rsidR="009664A2">
        <w:t>ActewAGL</w:t>
      </w:r>
      <w:r w:rsidRPr="00BA4CD9">
        <w:t xml:space="preserve">’s proposed </w:t>
      </w:r>
      <w:r>
        <w:t>insurance cap</w:t>
      </w:r>
      <w:r w:rsidRPr="00BA4CD9">
        <w:t xml:space="preserve"> event as currently defined, </w:t>
      </w:r>
      <w:r w:rsidR="00A67774" w:rsidRPr="009D0B9A">
        <w:t xml:space="preserve">and requiring </w:t>
      </w:r>
      <w:r w:rsidR="00A67774">
        <w:t>amendments to the definition</w:t>
      </w:r>
    </w:p>
    <w:p w:rsidR="00BA4CD9" w:rsidRDefault="00BA4CD9" w:rsidP="00BA4CD9">
      <w:pPr>
        <w:pStyle w:val="AERbulletlistfirststyle"/>
      </w:pPr>
      <w:r w:rsidRPr="00BA4CD9">
        <w:t xml:space="preserve">not approving </w:t>
      </w:r>
      <w:r w:rsidR="009664A2">
        <w:t>ActewAGL</w:t>
      </w:r>
      <w:r w:rsidRPr="00BA4CD9">
        <w:t xml:space="preserve">’s proposed </w:t>
      </w:r>
      <w:r>
        <w:t>insurer credit risk</w:t>
      </w:r>
      <w:r w:rsidRPr="00BA4CD9">
        <w:t xml:space="preserve"> event as currently defined</w:t>
      </w:r>
      <w:r w:rsidR="00A67774" w:rsidRPr="009D0B9A">
        <w:t xml:space="preserve">, and requiring </w:t>
      </w:r>
      <w:r w:rsidR="00A67774">
        <w:t>amendments to the definition</w:t>
      </w:r>
    </w:p>
    <w:p w:rsidR="00BA4CD9" w:rsidRDefault="00BA4CD9" w:rsidP="00BA4CD9">
      <w:pPr>
        <w:pStyle w:val="AERbulletlistfirststyle"/>
      </w:pPr>
      <w:r w:rsidRPr="00BA4CD9">
        <w:t xml:space="preserve">not approving </w:t>
      </w:r>
      <w:r w:rsidR="009664A2">
        <w:t>ActewAGL</w:t>
      </w:r>
      <w:r w:rsidRPr="00BA4CD9">
        <w:t xml:space="preserve">’s proposed </w:t>
      </w:r>
      <w:r>
        <w:t>terrorism</w:t>
      </w:r>
      <w:r w:rsidRPr="00BA4CD9">
        <w:t xml:space="preserve"> event as currently defined</w:t>
      </w:r>
      <w:r w:rsidR="00A67774" w:rsidRPr="009D0B9A">
        <w:t xml:space="preserve">, and requiring </w:t>
      </w:r>
      <w:r w:rsidR="00A67774">
        <w:t>amendments to the definition</w:t>
      </w:r>
    </w:p>
    <w:p w:rsidR="00BA4CD9" w:rsidRDefault="00BA4CD9" w:rsidP="00BA4CD9">
      <w:pPr>
        <w:pStyle w:val="AERbulletlistfirststyle"/>
      </w:pPr>
      <w:r w:rsidRPr="00BA4CD9">
        <w:lastRenderedPageBreak/>
        <w:t xml:space="preserve">not approving </w:t>
      </w:r>
      <w:r w:rsidR="009664A2">
        <w:t>ActewAGL</w:t>
      </w:r>
      <w:r w:rsidRPr="00BA4CD9">
        <w:t xml:space="preserve">’s proposed </w:t>
      </w:r>
      <w:r>
        <w:t>natural disaster</w:t>
      </w:r>
      <w:r w:rsidRPr="00BA4CD9">
        <w:t xml:space="preserve"> event as currently defined</w:t>
      </w:r>
      <w:r w:rsidR="00A67774" w:rsidRPr="009D0B9A">
        <w:t xml:space="preserve">, and requiring </w:t>
      </w:r>
      <w:r w:rsidR="00A67774">
        <w:t>amendments to the definition</w:t>
      </w:r>
    </w:p>
    <w:p w:rsidR="00BA4CD9" w:rsidRDefault="00BA4CD9" w:rsidP="00BA4CD9">
      <w:pPr>
        <w:pStyle w:val="AERbulletlistfirststyle"/>
      </w:pPr>
      <w:r w:rsidRPr="00BA4CD9">
        <w:t xml:space="preserve">not approving </w:t>
      </w:r>
      <w:r w:rsidR="009664A2">
        <w:t>ActewAGL</w:t>
      </w:r>
      <w:r w:rsidRPr="00BA4CD9">
        <w:t xml:space="preserve">’s proposed </w:t>
      </w:r>
      <w:r>
        <w:t>network user failure</w:t>
      </w:r>
      <w:r w:rsidRPr="00BA4CD9">
        <w:t xml:space="preserve"> event as currently defined</w:t>
      </w:r>
      <w:r w:rsidR="00A67774" w:rsidRPr="009D0B9A">
        <w:t xml:space="preserve">, and requiring </w:t>
      </w:r>
      <w:r w:rsidR="00A67774">
        <w:t>amendments to the definition</w:t>
      </w:r>
    </w:p>
    <w:p w:rsidR="00071E42" w:rsidRDefault="00071E42" w:rsidP="00071E42">
      <w:pPr>
        <w:pStyle w:val="AERbulletlistfirststyle"/>
      </w:pPr>
      <w:r>
        <w:t xml:space="preserve">not approving the </w:t>
      </w:r>
      <w:r w:rsidR="00C10EB9">
        <w:t>short term trading market</w:t>
      </w:r>
      <w:r>
        <w:t xml:space="preserve"> event</w:t>
      </w:r>
    </w:p>
    <w:p w:rsidR="00C10EB9" w:rsidRDefault="00C10EB9" w:rsidP="00071E42">
      <w:pPr>
        <w:pStyle w:val="AERbulletlistfirststyle"/>
      </w:pPr>
      <w:r>
        <w:t xml:space="preserve">not approving the supply curtailment event </w:t>
      </w:r>
    </w:p>
    <w:p w:rsidR="00C10EB9" w:rsidRDefault="00C10EB9" w:rsidP="00071E42">
      <w:pPr>
        <w:pStyle w:val="AERbulletlistfirststyle"/>
      </w:pPr>
      <w:r>
        <w:t>not approving the general pass through event</w:t>
      </w:r>
      <w:r w:rsidR="003C73E8">
        <w:t>.</w:t>
      </w:r>
      <w:r>
        <w:t xml:space="preserve"> </w:t>
      </w:r>
    </w:p>
    <w:p w:rsidR="00071E42" w:rsidRDefault="00071E42" w:rsidP="00071E42">
      <w:pPr>
        <w:pStyle w:val="AERbulletlistfirststyle"/>
        <w:numPr>
          <w:ilvl w:val="0"/>
          <w:numId w:val="0"/>
        </w:numPr>
      </w:pPr>
      <w:r>
        <w:t xml:space="preserve">As set out below we have taken into account each of the considerations discussed in section </w:t>
      </w:r>
      <w:r w:rsidR="00A67774">
        <w:fldChar w:fldCharType="begin"/>
      </w:r>
      <w:r w:rsidR="00A67774">
        <w:instrText xml:space="preserve"> REF _Ref427740850 \r \h </w:instrText>
      </w:r>
      <w:r w:rsidR="00A67774">
        <w:fldChar w:fldCharType="separate"/>
      </w:r>
      <w:r w:rsidR="009915AF">
        <w:t>11.4.2</w:t>
      </w:r>
      <w:r w:rsidR="00A67774">
        <w:fldChar w:fldCharType="end"/>
      </w:r>
      <w:r>
        <w:t xml:space="preserve"> in assessing the pass through events proposed by </w:t>
      </w:r>
      <w:r w:rsidR="009664A2">
        <w:t>ActewAGL</w:t>
      </w:r>
      <w:r>
        <w:t xml:space="preserve">. </w:t>
      </w:r>
    </w:p>
    <w:p w:rsidR="00071E42" w:rsidRDefault="004A3FF8" w:rsidP="00071E42">
      <w:pPr>
        <w:pStyle w:val="Heading4"/>
      </w:pPr>
      <w:r>
        <w:t xml:space="preserve">Regulatory </w:t>
      </w:r>
      <w:r w:rsidR="00763FD3">
        <w:t>C</w:t>
      </w:r>
      <w:r>
        <w:t xml:space="preserve">hange </w:t>
      </w:r>
      <w:r w:rsidR="00763FD3">
        <w:t>E</w:t>
      </w:r>
      <w:r>
        <w:t xml:space="preserve">vent and </w:t>
      </w:r>
      <w:r w:rsidR="00763FD3">
        <w:t>S</w:t>
      </w:r>
      <w:r w:rsidR="00071E42">
        <w:t xml:space="preserve">ervice </w:t>
      </w:r>
      <w:r w:rsidR="00763FD3">
        <w:t>S</w:t>
      </w:r>
      <w:r w:rsidR="00071E42">
        <w:t xml:space="preserve">tandard </w:t>
      </w:r>
      <w:r w:rsidR="00763FD3">
        <w:t>E</w:t>
      </w:r>
      <w:r w:rsidR="00071E42">
        <w:t xml:space="preserve">vent </w:t>
      </w:r>
    </w:p>
    <w:p w:rsidR="00071E42" w:rsidRDefault="00071E42" w:rsidP="00071E42">
      <w:r>
        <w:t xml:space="preserve">We do not approve the service standard event and regulatory change event in the form </w:t>
      </w:r>
      <w:r w:rsidR="009664A2">
        <w:t>ActewAGL</w:t>
      </w:r>
      <w:r w:rsidR="00170813">
        <w:t xml:space="preserve"> </w:t>
      </w:r>
      <w:r>
        <w:t xml:space="preserve">proposed. </w:t>
      </w:r>
      <w:r w:rsidR="00D80B91">
        <w:t>For the reasons below, w</w:t>
      </w:r>
      <w:r>
        <w:t xml:space="preserve">e </w:t>
      </w:r>
      <w:r w:rsidR="00A67774">
        <w:t>require amendments to the definitions of</w:t>
      </w:r>
      <w:r>
        <w:t xml:space="preserve"> these events. </w:t>
      </w:r>
    </w:p>
    <w:p w:rsidR="00071E42" w:rsidRDefault="00071E42" w:rsidP="00071E42">
      <w:r>
        <w:t xml:space="preserve">These events allow </w:t>
      </w:r>
      <w:r w:rsidR="009664A2">
        <w:t>ActewAGL</w:t>
      </w:r>
      <w:r w:rsidR="00170813">
        <w:t xml:space="preserve"> </w:t>
      </w:r>
      <w:r>
        <w:t xml:space="preserve">to recover the costs associated with legislative and regulatory changes. </w:t>
      </w:r>
    </w:p>
    <w:p w:rsidR="002379F0" w:rsidRDefault="00071E42" w:rsidP="00071E42">
      <w:r>
        <w:t xml:space="preserve">We consider in principle these events meet the criteria in our </w:t>
      </w:r>
      <w:r w:rsidR="00AD0087">
        <w:t>assessment approach</w:t>
      </w:r>
      <w:r w:rsidR="00A67774">
        <w:t>. T</w:t>
      </w:r>
      <w:r>
        <w:t xml:space="preserve">hey would not be covered by another category, the nature or type of event can be clearly identified and </w:t>
      </w:r>
      <w:r w:rsidR="009664A2">
        <w:t>ActewAGL</w:t>
      </w:r>
      <w:r w:rsidR="00170813">
        <w:t xml:space="preserve"> </w:t>
      </w:r>
      <w:r>
        <w:t>often has limited ability to prevent or mitigate the event.</w:t>
      </w:r>
    </w:p>
    <w:p w:rsidR="002379F0" w:rsidRDefault="002379F0" w:rsidP="00071E42">
      <w:r>
        <w:t>As noted in section</w:t>
      </w:r>
      <w:r w:rsidR="00A67774">
        <w:t xml:space="preserve"> </w:t>
      </w:r>
      <w:r w:rsidR="00A67774">
        <w:fldChar w:fldCharType="begin"/>
      </w:r>
      <w:r w:rsidR="00A67774">
        <w:instrText xml:space="preserve"> REF _Ref427740935 \r \h </w:instrText>
      </w:r>
      <w:r w:rsidR="00A67774">
        <w:fldChar w:fldCharType="separate"/>
      </w:r>
      <w:r w:rsidR="009915AF">
        <w:t>11.3</w:t>
      </w:r>
      <w:r w:rsidR="00A67774">
        <w:fldChar w:fldCharType="end"/>
      </w:r>
      <w:r>
        <w:t>, how much the service provider controls the event or the impact of the event is a factor in our pass through decision. Where the service provider has little control over whether or not the risk occurs or the cost impact of the event, it is generally desirable to insulate that party f</w:t>
      </w:r>
      <w:r w:rsidR="00E43E91">
        <w:t>ro</w:t>
      </w:r>
      <w:r>
        <w:t xml:space="preserve">m the risk. </w:t>
      </w:r>
    </w:p>
    <w:p w:rsidR="001C670B" w:rsidRDefault="002379F0" w:rsidP="002379F0">
      <w:r>
        <w:t>Events of this nature have also been consistently approved in other gas access arrangement reviews</w:t>
      </w:r>
      <w:r>
        <w:rPr>
          <w:rStyle w:val="FootnoteReference"/>
        </w:rPr>
        <w:footnoteReference w:id="28"/>
      </w:r>
      <w:r>
        <w:t xml:space="preserve"> and are prescribed pass throughs events in the NER.</w:t>
      </w:r>
      <w:r>
        <w:rPr>
          <w:rStyle w:val="FootnoteReference"/>
        </w:rPr>
        <w:footnoteReference w:id="29"/>
      </w:r>
      <w:r>
        <w:t xml:space="preserve"> </w:t>
      </w:r>
    </w:p>
    <w:p w:rsidR="008206E8" w:rsidRDefault="00A2540C" w:rsidP="001C670B">
      <w:r>
        <w:t xml:space="preserve">ActewAGL submitted that it had replaced the definitions of these events to enhance consistency with the access arrangement approved by the AER for Jemena Gas Networks (NSW) Ltd (JGN), to lower the administrative burden on </w:t>
      </w:r>
      <w:r w:rsidR="009664A2">
        <w:t>ActewAGL</w:t>
      </w:r>
      <w:r>
        <w:t xml:space="preserve"> and on us.</w:t>
      </w:r>
      <w:r w:rsidR="009507A3">
        <w:rPr>
          <w:rStyle w:val="FootnoteReference"/>
        </w:rPr>
        <w:footnoteReference w:id="30"/>
      </w:r>
      <w:r>
        <w:t xml:space="preserve"> </w:t>
      </w:r>
      <w:r w:rsidR="001C670B">
        <w:t xml:space="preserve">However, </w:t>
      </w:r>
      <w:r w:rsidR="00087B72">
        <w:t xml:space="preserve">the definitions </w:t>
      </w:r>
      <w:r w:rsidR="009664A2">
        <w:t>ActewAGL</w:t>
      </w:r>
      <w:r w:rsidR="00087B72">
        <w:t xml:space="preserve"> has proposed for these events </w:t>
      </w:r>
      <w:r>
        <w:t>are not consistent with</w:t>
      </w:r>
      <w:r w:rsidR="00087B72">
        <w:t xml:space="preserve"> those approved </w:t>
      </w:r>
      <w:r>
        <w:t xml:space="preserve">for JGN, or </w:t>
      </w:r>
      <w:r w:rsidR="00087B72">
        <w:t xml:space="preserve">those prescribed in the NER for </w:t>
      </w:r>
      <w:r w:rsidR="009664A2">
        <w:t>ActewAGL</w:t>
      </w:r>
      <w:r>
        <w:t xml:space="preserve">’s </w:t>
      </w:r>
      <w:r w:rsidR="00087B72">
        <w:t xml:space="preserve">electricity network. </w:t>
      </w:r>
      <w:r w:rsidR="001C670B">
        <w:t xml:space="preserve">The </w:t>
      </w:r>
      <w:r w:rsidR="009507A3">
        <w:t>latter</w:t>
      </w:r>
      <w:r>
        <w:t xml:space="preserve"> </w:t>
      </w:r>
      <w:r w:rsidR="001C670B">
        <w:t xml:space="preserve">were developed by the AEMC to achieve consistency with the NEO. The NEO and NGO are sufficiently similar that </w:t>
      </w:r>
      <w:r w:rsidR="009507A3">
        <w:t xml:space="preserve">a regulatory change event or service standard event that is consistent with the NEO will also be </w:t>
      </w:r>
      <w:r w:rsidR="009507A3">
        <w:lastRenderedPageBreak/>
        <w:t>consistent with the NGO</w:t>
      </w:r>
      <w:r w:rsidR="003279C5">
        <w:t xml:space="preserve">. </w:t>
      </w:r>
      <w:r w:rsidR="008206E8">
        <w:t>Where a pass through event is approved for multiple service providers to address the same risk, we also consider it preferable that the event be defined consistently.</w:t>
      </w:r>
      <w:r w:rsidR="008206E8">
        <w:rPr>
          <w:rStyle w:val="FootnoteReference"/>
        </w:rPr>
        <w:footnoteReference w:id="31"/>
      </w:r>
    </w:p>
    <w:p w:rsidR="008206E8" w:rsidRDefault="008206E8" w:rsidP="008206E8">
      <w:r>
        <w:t xml:space="preserve">We therefore require </w:t>
      </w:r>
      <w:r w:rsidR="009664A2">
        <w:t>ActewAGL</w:t>
      </w:r>
      <w:r>
        <w:t xml:space="preserve"> to amend its definitions of the regulatory change event and service standard event as follows:</w:t>
      </w:r>
    </w:p>
    <w:p w:rsidR="008206E8" w:rsidRPr="00556A84" w:rsidRDefault="008206E8" w:rsidP="008206E8">
      <w:pPr>
        <w:pStyle w:val="AERquoteindent1"/>
        <w:rPr>
          <w:rStyle w:val="Strong"/>
        </w:rPr>
      </w:pPr>
      <w:r>
        <w:rPr>
          <w:rStyle w:val="Strong"/>
        </w:rPr>
        <w:t>R</w:t>
      </w:r>
      <w:r w:rsidRPr="00556A84">
        <w:rPr>
          <w:rStyle w:val="Strong"/>
        </w:rPr>
        <w:t>egulatory change event</w:t>
      </w:r>
    </w:p>
    <w:p w:rsidR="008206E8" w:rsidRPr="00E42922" w:rsidRDefault="008206E8" w:rsidP="008206E8">
      <w:pPr>
        <w:pStyle w:val="AERquoteindent1"/>
      </w:pPr>
      <w:r w:rsidRPr="00E42922">
        <w:t>A change in a regulatory obligation or requirement that:</w:t>
      </w:r>
    </w:p>
    <w:p w:rsidR="008206E8" w:rsidRPr="00E42922" w:rsidRDefault="008206E8" w:rsidP="008206E8">
      <w:pPr>
        <w:pStyle w:val="AERquoteindent1"/>
      </w:pPr>
      <w:r w:rsidRPr="00E42922">
        <w:t>(a) falls within no other category of pass through event; and</w:t>
      </w:r>
    </w:p>
    <w:p w:rsidR="008206E8" w:rsidRPr="00E42922" w:rsidRDefault="008206E8" w:rsidP="008206E8">
      <w:pPr>
        <w:pStyle w:val="AERquoteindent1"/>
      </w:pPr>
      <w:r w:rsidRPr="00E42922">
        <w:t xml:space="preserve">(b) occurs during the course of </w:t>
      </w:r>
      <w:r>
        <w:t>an access arrangement</w:t>
      </w:r>
      <w:r w:rsidRPr="00E42922">
        <w:t xml:space="preserve"> period; and</w:t>
      </w:r>
    </w:p>
    <w:p w:rsidR="008206E8" w:rsidRPr="00E42922" w:rsidRDefault="008206E8" w:rsidP="008206E8">
      <w:pPr>
        <w:pStyle w:val="AERquoteindent1"/>
      </w:pPr>
      <w:r w:rsidRPr="00E42922">
        <w:t xml:space="preserve">(c) substantially affects the manner in which the Service Provider provides </w:t>
      </w:r>
      <w:r>
        <w:t xml:space="preserve">the </w:t>
      </w:r>
      <w:r w:rsidR="00D17BEF">
        <w:t>Reference</w:t>
      </w:r>
      <w:r>
        <w:t xml:space="preserve"> Service</w:t>
      </w:r>
      <w:r w:rsidRPr="00E42922">
        <w:t>; and</w:t>
      </w:r>
    </w:p>
    <w:p w:rsidR="008206E8" w:rsidRDefault="008206E8" w:rsidP="008206E8">
      <w:pPr>
        <w:pStyle w:val="AERquoteindent1"/>
      </w:pPr>
      <w:r w:rsidRPr="00E42922">
        <w:t>(d) materially increases or materially decreases the costs of providing those services.</w:t>
      </w:r>
    </w:p>
    <w:p w:rsidR="008206E8" w:rsidRPr="00556A84" w:rsidRDefault="008206E8" w:rsidP="008206E8">
      <w:pPr>
        <w:pStyle w:val="AERquoteindent1"/>
        <w:rPr>
          <w:rStyle w:val="Strong"/>
        </w:rPr>
      </w:pPr>
      <w:r w:rsidRPr="00556A84">
        <w:rPr>
          <w:rStyle w:val="Strong"/>
        </w:rPr>
        <w:t>Service standard event</w:t>
      </w:r>
    </w:p>
    <w:p w:rsidR="008206E8" w:rsidRPr="00A30CE1" w:rsidRDefault="008206E8" w:rsidP="008206E8">
      <w:pPr>
        <w:pStyle w:val="AERquoteindent1"/>
      </w:pPr>
      <w:r w:rsidRPr="00A30CE1">
        <w:t>A legislative or administrative act or decision that:</w:t>
      </w:r>
    </w:p>
    <w:p w:rsidR="008206E8" w:rsidRPr="00A30CE1" w:rsidRDefault="008206E8" w:rsidP="008206E8">
      <w:pPr>
        <w:pStyle w:val="AERquoteindent1"/>
      </w:pPr>
      <w:r w:rsidRPr="00A30CE1">
        <w:t>(a) has the effect of:</w:t>
      </w:r>
    </w:p>
    <w:p w:rsidR="008206E8" w:rsidRPr="00A30CE1" w:rsidRDefault="008206E8" w:rsidP="008206E8">
      <w:pPr>
        <w:pStyle w:val="AERquoteindent1"/>
      </w:pPr>
      <w:r w:rsidRPr="00A30CE1">
        <w:t xml:space="preserve">(i) substantially varying, during the course of </w:t>
      </w:r>
      <w:r>
        <w:t>an access arrangement</w:t>
      </w:r>
      <w:r w:rsidRPr="00A30CE1">
        <w:t xml:space="preserve"> period, the manner in which a Service Provider is required to provide </w:t>
      </w:r>
      <w:r>
        <w:t xml:space="preserve">the </w:t>
      </w:r>
      <w:r w:rsidR="00D17BEF">
        <w:t>Reference</w:t>
      </w:r>
      <w:r>
        <w:t xml:space="preserve"> S</w:t>
      </w:r>
      <w:r w:rsidRPr="00A30CE1">
        <w:t>ervice; or</w:t>
      </w:r>
    </w:p>
    <w:p w:rsidR="008206E8" w:rsidRPr="00A30CE1" w:rsidRDefault="008206E8" w:rsidP="008206E8">
      <w:pPr>
        <w:pStyle w:val="AERquoteindent1"/>
      </w:pPr>
      <w:r w:rsidRPr="00A30CE1">
        <w:t xml:space="preserve">(ii) imposing, removing or varying, during the course of </w:t>
      </w:r>
      <w:r>
        <w:t>an access arrangement</w:t>
      </w:r>
      <w:r w:rsidRPr="00A30CE1">
        <w:t xml:space="preserve"> period, minimum service standards applicable </w:t>
      </w:r>
      <w:r>
        <w:t xml:space="preserve">to the </w:t>
      </w:r>
      <w:r w:rsidR="00D17BEF">
        <w:t>Reference</w:t>
      </w:r>
      <w:r>
        <w:t xml:space="preserve"> Service</w:t>
      </w:r>
      <w:r w:rsidRPr="00A30CE1">
        <w:t>; or</w:t>
      </w:r>
    </w:p>
    <w:p w:rsidR="008206E8" w:rsidRPr="00A30CE1" w:rsidRDefault="008206E8" w:rsidP="008206E8">
      <w:pPr>
        <w:pStyle w:val="AERquoteindent1"/>
      </w:pPr>
      <w:r w:rsidRPr="00A30CE1">
        <w:t xml:space="preserve">(iii) altering, during the course of </w:t>
      </w:r>
      <w:r>
        <w:t>an access arrangement</w:t>
      </w:r>
      <w:r w:rsidRPr="00A30CE1">
        <w:t xml:space="preserve"> period, the nature or scope of the </w:t>
      </w:r>
      <w:r w:rsidR="00D17BEF">
        <w:t>Reference</w:t>
      </w:r>
      <w:r>
        <w:t xml:space="preserve"> Service</w:t>
      </w:r>
      <w:r w:rsidRPr="00A30CE1">
        <w:t>, provided by the service provider; and</w:t>
      </w:r>
    </w:p>
    <w:p w:rsidR="008206E8" w:rsidRDefault="008206E8" w:rsidP="008206E8">
      <w:pPr>
        <w:pStyle w:val="AERquoteindent1"/>
      </w:pPr>
      <w:r w:rsidRPr="00A30CE1">
        <w:t xml:space="preserve">(b) materially increases or materially decreases the costs to the service provider of providing </w:t>
      </w:r>
      <w:r>
        <w:t xml:space="preserve">the </w:t>
      </w:r>
      <w:r w:rsidR="00D17BEF">
        <w:t>Reference</w:t>
      </w:r>
      <w:r>
        <w:t xml:space="preserve"> Service</w:t>
      </w:r>
      <w:r w:rsidRPr="00A30CE1">
        <w:t>.</w:t>
      </w:r>
    </w:p>
    <w:p w:rsidR="00A2540C" w:rsidRDefault="00D17BEF" w:rsidP="00D17BEF">
      <w:r>
        <w:t xml:space="preserve">We consider these definitions preferable to those proposed by </w:t>
      </w:r>
      <w:r w:rsidR="009664A2">
        <w:t>ActewAGL</w:t>
      </w:r>
      <w:r>
        <w:t>, and consistent with the NGO and NGR.</w:t>
      </w:r>
      <w:r w:rsidR="00A2540C">
        <w:t xml:space="preserve"> </w:t>
      </w:r>
    </w:p>
    <w:p w:rsidR="00D17BEF" w:rsidRDefault="00A2540C" w:rsidP="00D17BEF">
      <w:r>
        <w:t xml:space="preserve">They provide the consistency between regulatory decisions for </w:t>
      </w:r>
      <w:r w:rsidR="009664A2">
        <w:t>ActewAGL</w:t>
      </w:r>
      <w:r>
        <w:t xml:space="preserve">’s electricity and gas distribution networks. This provides consistent treatment of the same risk </w:t>
      </w:r>
      <w:r w:rsidR="0028699E">
        <w:t>within ActewAGL's distribution business</w:t>
      </w:r>
      <w:r>
        <w:t xml:space="preserve">, and in turn the reduction in administrative burden </w:t>
      </w:r>
      <w:r w:rsidR="009664A2">
        <w:t>ActewAGL</w:t>
      </w:r>
      <w:r>
        <w:t xml:space="preserve"> </w:t>
      </w:r>
      <w:r w:rsidR="00D80B91">
        <w:t xml:space="preserve">refers to </w:t>
      </w:r>
      <w:r>
        <w:t>in its proposal.</w:t>
      </w:r>
      <w:r w:rsidR="0028699E">
        <w:t xml:space="preserve"> </w:t>
      </w:r>
    </w:p>
    <w:p w:rsidR="00734342" w:rsidRDefault="008206E8" w:rsidP="00734342">
      <w:r>
        <w:t>In both cases, th</w:t>
      </w:r>
      <w:r w:rsidR="00D17BEF">
        <w:t>ese</w:t>
      </w:r>
      <w:r>
        <w:t xml:space="preserve"> amendment</w:t>
      </w:r>
      <w:r w:rsidR="00D17BEF">
        <w:t>s</w:t>
      </w:r>
      <w:r>
        <w:t xml:space="preserve"> ha</w:t>
      </w:r>
      <w:r w:rsidR="00D17BEF">
        <w:t>ve</w:t>
      </w:r>
      <w:r>
        <w:t xml:space="preserve"> the effect of requiring that the impact of the event on the manner in which the reference service is provided is </w:t>
      </w:r>
      <w:r w:rsidRPr="00556A84">
        <w:rPr>
          <w:rStyle w:val="Emphasis"/>
        </w:rPr>
        <w:t>substantial</w:t>
      </w:r>
      <w:r>
        <w:t xml:space="preserve">. </w:t>
      </w:r>
      <w:r w:rsidR="00A2540C">
        <w:t xml:space="preserve">In the case of the regulatory change event, ActewAGL argued that the inclusion of this requirement under the NER adds uncertainty, and is unnecessary given the </w:t>
      </w:r>
      <w:r w:rsidR="00734342">
        <w:t xml:space="preserve">application </w:t>
      </w:r>
      <w:r w:rsidR="00734342">
        <w:lastRenderedPageBreak/>
        <w:t>of a materiality threshold. It cited JGN’s response to this issue in response to our draft decision on this event in support of its argument.</w:t>
      </w:r>
      <w:r w:rsidR="00D03F58">
        <w:rPr>
          <w:rStyle w:val="FootnoteReference"/>
        </w:rPr>
        <w:footnoteReference w:id="32"/>
      </w:r>
      <w:r w:rsidR="00734342">
        <w:t xml:space="preserve"> As we explained in our response to JGN,</w:t>
      </w:r>
      <w:r w:rsidR="00734342">
        <w:rPr>
          <w:rStyle w:val="FootnoteReference"/>
        </w:rPr>
        <w:footnoteReference w:id="33"/>
      </w:r>
      <w:r w:rsidR="00734342">
        <w:t xml:space="preserve"> ‘substantially’ in this definition refers to the effect the change in regulatory obligation has on the manner in which the Service Provider provides the reference service. That is, the event occurs when a change in regulatory obligation or requirement </w:t>
      </w:r>
      <w:r w:rsidR="00734342" w:rsidRPr="00415BEC">
        <w:rPr>
          <w:rStyle w:val="AERtextitalic"/>
        </w:rPr>
        <w:t>substantially affects the manner in which the Service Provider provides the reference service</w:t>
      </w:r>
      <w:r w:rsidR="00734342">
        <w:t xml:space="preserve">. Where that requirement is satisfied, the materiality threshold that applies to pass through events is used to determine whether the resultant change in costs </w:t>
      </w:r>
      <w:r w:rsidR="00D80B91">
        <w:t>can be passed through</w:t>
      </w:r>
      <w:r w:rsidR="00734342">
        <w:t xml:space="preserve">. It is clear that there is a requirement </w:t>
      </w:r>
      <w:r w:rsidR="00D80B91">
        <w:t xml:space="preserve">both </w:t>
      </w:r>
      <w:r w:rsidR="00734342">
        <w:t xml:space="preserve">for a substantial effect on the manner in which a service is provided </w:t>
      </w:r>
      <w:r w:rsidR="00734342" w:rsidRPr="001B4404">
        <w:rPr>
          <w:rStyle w:val="Emphasis"/>
        </w:rPr>
        <w:t>and</w:t>
      </w:r>
      <w:r w:rsidR="00734342">
        <w:t xml:space="preserve"> a material cost impact.</w:t>
      </w:r>
    </w:p>
    <w:p w:rsidR="00DE1CF8" w:rsidRDefault="00734342" w:rsidP="008206E8">
      <w:r>
        <w:t>To this end, and a</w:t>
      </w:r>
      <w:r w:rsidR="00DE1CF8">
        <w:t>lso in both cases, th</w:t>
      </w:r>
      <w:r>
        <w:t>e</w:t>
      </w:r>
      <w:r w:rsidR="00DE1CF8">
        <w:t xml:space="preserve"> amendment</w:t>
      </w:r>
      <w:r>
        <w:t>s we require to these events</w:t>
      </w:r>
      <w:r w:rsidR="00DE1CF8">
        <w:t xml:space="preserve"> explicitly </w:t>
      </w:r>
      <w:r w:rsidR="00D80B91">
        <w:t>require</w:t>
      </w:r>
      <w:r w:rsidR="00DE1CF8">
        <w:t xml:space="preserve"> that the change in costs resulting from the event is </w:t>
      </w:r>
      <w:r w:rsidR="00D17BEF">
        <w:t xml:space="preserve">material as a requirement that applies </w:t>
      </w:r>
      <w:r w:rsidR="00D17BEF" w:rsidRPr="00A345DA">
        <w:rPr>
          <w:rStyle w:val="Emphasis"/>
        </w:rPr>
        <w:t>in addition to</w:t>
      </w:r>
      <w:r w:rsidR="00D17BEF">
        <w:t xml:space="preserve"> the requirement for a substantial change in the manner in which a service is provided. We note that this will not alter the application of a materiality threshold under the AA.</w:t>
      </w:r>
      <w:r w:rsidR="00960BE6">
        <w:rPr>
          <w:rStyle w:val="FootnoteReference"/>
        </w:rPr>
        <w:footnoteReference w:id="34"/>
      </w:r>
    </w:p>
    <w:p w:rsidR="00D17BEF" w:rsidRDefault="00D17BEF" w:rsidP="001C670B">
      <w:r>
        <w:t xml:space="preserve">For the regulatory change event, the amended definition clarifies that the regulatory obligation or requirement ‘falls within no other category of pass through event’. </w:t>
      </w:r>
      <w:r w:rsidR="009664A2">
        <w:t>ActewAGL</w:t>
      </w:r>
      <w:r w:rsidR="00734342">
        <w:t xml:space="preserve"> argued that this restriction could not apply to more than one pass through event, and that as it was included in its proposed general pass through event it could not apply here. For reasons outlined below, we have rejected ActewAGL’</w:t>
      </w:r>
      <w:r w:rsidR="00D03F58">
        <w:t xml:space="preserve">s proposed general event so that this element of ActewAGL’s argument falls away. </w:t>
      </w:r>
    </w:p>
    <w:p w:rsidR="00D17BEF" w:rsidRDefault="003279C5" w:rsidP="001C670B">
      <w:r>
        <w:t xml:space="preserve">For the service standard event, the amended definition </w:t>
      </w:r>
      <w:r w:rsidR="00D17BEF">
        <w:t xml:space="preserve">clarifies that the variation to the manner in which services are provided must be </w:t>
      </w:r>
      <w:r>
        <w:t xml:space="preserve">‘during the course of an Access Arrangement Period’. </w:t>
      </w:r>
      <w:r w:rsidR="00D03F58">
        <w:t>This is consistent with the prescribed pass through event that applies to ActewAGL’s electricity distribution network under the NER, and with our decision for JGN. We discuss our assessment of ActewAGL’s proposed fixed principle for the inter-period consideration of pass throughs in section</w:t>
      </w:r>
      <w:r w:rsidR="00C371D5">
        <w:t xml:space="preserve"> </w:t>
      </w:r>
      <w:r w:rsidR="00C371D5">
        <w:fldChar w:fldCharType="begin"/>
      </w:r>
      <w:r w:rsidR="00C371D5">
        <w:instrText xml:space="preserve"> REF _Ref431291628 \r \h </w:instrText>
      </w:r>
      <w:r w:rsidR="00C371D5">
        <w:fldChar w:fldCharType="separate"/>
      </w:r>
      <w:r w:rsidR="009915AF">
        <w:t>11.4.3</w:t>
      </w:r>
      <w:r w:rsidR="00C371D5">
        <w:fldChar w:fldCharType="end"/>
      </w:r>
      <w:r w:rsidR="00D03F58">
        <w:t>, below.</w:t>
      </w:r>
    </w:p>
    <w:p w:rsidR="00426CE9" w:rsidRDefault="00426CE9" w:rsidP="00426CE9">
      <w:pPr>
        <w:pStyle w:val="Heading4"/>
      </w:pPr>
      <w:r>
        <w:t xml:space="preserve">Insurance </w:t>
      </w:r>
      <w:r w:rsidR="00B620F1">
        <w:t>C</w:t>
      </w:r>
      <w:r>
        <w:t xml:space="preserve">ap </w:t>
      </w:r>
      <w:r w:rsidR="00B620F1">
        <w:t>E</w:t>
      </w:r>
      <w:r>
        <w:t xml:space="preserve">vent </w:t>
      </w:r>
    </w:p>
    <w:p w:rsidR="00EF0107" w:rsidRDefault="007235B4" w:rsidP="00EF0107">
      <w:r>
        <w:t xml:space="preserve">The insurance cap event allows </w:t>
      </w:r>
      <w:r w:rsidR="009664A2">
        <w:t>ActewAGL</w:t>
      </w:r>
      <w:r>
        <w:t xml:space="preserve"> to make a pass through application if it makes a claim under an insurance policy, and the actual costs to </w:t>
      </w:r>
      <w:r w:rsidR="009664A2">
        <w:t>ActewAGL</w:t>
      </w:r>
      <w:r w:rsidR="00B35212" w:rsidRPr="00B35212">
        <w:t xml:space="preserve"> </w:t>
      </w:r>
      <w:r>
        <w:t xml:space="preserve">exceed its policy limit. </w:t>
      </w:r>
      <w:r w:rsidR="00EF0107">
        <w:t xml:space="preserve">We accept an insurance cap event would protect </w:t>
      </w:r>
      <w:r w:rsidR="009664A2">
        <w:t>ActewAGL</w:t>
      </w:r>
      <w:r w:rsidR="00EF0107" w:rsidRPr="00B35212">
        <w:t xml:space="preserve"> </w:t>
      </w:r>
      <w:r w:rsidR="00EF0107">
        <w:t xml:space="preserve">from high cost impact events which would be uneconomical to insure against. We consider consumers benefit because they are not required to fund excessive premiums where </w:t>
      </w:r>
      <w:r w:rsidR="00EF0107">
        <w:lastRenderedPageBreak/>
        <w:t>insurance, if available, would be uneconomic. Consumers then only bear the risk should an insurance cap event occur.</w:t>
      </w:r>
    </w:p>
    <w:p w:rsidR="00EF0107" w:rsidRDefault="00EF0107" w:rsidP="00EF0107">
      <w:r>
        <w:t xml:space="preserve">We therefore consider the inclusion of an insurance cap event in </w:t>
      </w:r>
      <w:r w:rsidR="009664A2">
        <w:t>ActewAGL</w:t>
      </w:r>
      <w:r>
        <w:t xml:space="preserve">'s 2016–21 Access Arrangement </w:t>
      </w:r>
      <w:r w:rsidR="00C371D5">
        <w:t xml:space="preserve">is consistent with </w:t>
      </w:r>
      <w:r>
        <w:t xml:space="preserve">the NGO and RPP. </w:t>
      </w:r>
      <w:r w:rsidRPr="00D545E5">
        <w:t xml:space="preserve">However, we </w:t>
      </w:r>
      <w:r>
        <w:t>require ActewAGL to amend the definition of this event as follows:</w:t>
      </w:r>
      <w:r w:rsidRPr="00D545E5">
        <w:t xml:space="preserve"> </w:t>
      </w:r>
    </w:p>
    <w:p w:rsidR="00EF0107" w:rsidRPr="00A345DA" w:rsidRDefault="00EF0107" w:rsidP="00A345DA">
      <w:pPr>
        <w:pStyle w:val="AERquote"/>
        <w:rPr>
          <w:rStyle w:val="Strong"/>
        </w:rPr>
      </w:pPr>
      <w:r w:rsidRPr="00A345DA">
        <w:rPr>
          <w:rStyle w:val="Strong"/>
        </w:rPr>
        <w:t>Insurance Cap Event</w:t>
      </w:r>
    </w:p>
    <w:p w:rsidR="00EF0107" w:rsidRDefault="00EF0107" w:rsidP="00A345DA">
      <w:pPr>
        <w:pStyle w:val="AERquote"/>
      </w:pPr>
      <w:r>
        <w:t>Insurance Cap Event means an event where:</w:t>
      </w:r>
    </w:p>
    <w:p w:rsidR="00EF0107" w:rsidRDefault="00EF0107" w:rsidP="00A345DA">
      <w:pPr>
        <w:pStyle w:val="AERquote"/>
        <w:numPr>
          <w:ilvl w:val="0"/>
          <w:numId w:val="40"/>
        </w:numPr>
      </w:pPr>
      <w:r w:rsidRPr="00BC2A7C">
        <w:t>the Service Provider</w:t>
      </w:r>
      <w:r>
        <w:t xml:space="preserve"> makes a claim or claims and receives the benefit of a payment or payments under a relevant insurance policy; </w:t>
      </w:r>
    </w:p>
    <w:p w:rsidR="00EF0107" w:rsidRDefault="00EF0107" w:rsidP="00A345DA">
      <w:pPr>
        <w:pStyle w:val="AERquote"/>
        <w:numPr>
          <w:ilvl w:val="0"/>
          <w:numId w:val="40"/>
        </w:numPr>
      </w:pPr>
      <w:r w:rsidRPr="00BC2A7C">
        <w:t>the Service Provider</w:t>
      </w:r>
      <w:r>
        <w:t xml:space="preserve"> incurs costs beyond the relevant policy limit; and</w:t>
      </w:r>
    </w:p>
    <w:p w:rsidR="00EF0107" w:rsidRDefault="00EF0107" w:rsidP="00A345DA">
      <w:pPr>
        <w:pStyle w:val="AERquote"/>
        <w:numPr>
          <w:ilvl w:val="0"/>
          <w:numId w:val="40"/>
        </w:numPr>
      </w:pPr>
      <w:r>
        <w:t xml:space="preserve">the costs beyond the relevant policy limit increase the costs to the Service Provider of proving the Reference Service. </w:t>
      </w:r>
    </w:p>
    <w:p w:rsidR="00EF0107" w:rsidRDefault="00EF0107" w:rsidP="00A345DA">
      <w:pPr>
        <w:pStyle w:val="AERquote"/>
      </w:pPr>
      <w:r>
        <w:t xml:space="preserve">For this Insurance Cap Event: </w:t>
      </w:r>
    </w:p>
    <w:p w:rsidR="00EF0107" w:rsidRDefault="00EF0107" w:rsidP="00A345DA">
      <w:pPr>
        <w:pStyle w:val="AERquote"/>
      </w:pPr>
      <w:r>
        <w:t>(a) the relevant policy limit is the greater of:</w:t>
      </w:r>
    </w:p>
    <w:p w:rsidR="000C7758" w:rsidRPr="000C7758" w:rsidRDefault="00EF0107" w:rsidP="00A345DA">
      <w:pPr>
        <w:pStyle w:val="AERquote"/>
      </w:pPr>
      <w:r>
        <w:t xml:space="preserve">i. </w:t>
      </w:r>
      <w:r w:rsidRPr="00BC2A7C">
        <w:t>the Service Provider</w:t>
      </w:r>
      <w:r>
        <w:t>’s actual policy limit at the time of the event that gives, or would have given rise to the claim; and</w:t>
      </w:r>
    </w:p>
    <w:p w:rsidR="00EF0107" w:rsidDel="000C7758" w:rsidRDefault="00EF0107" w:rsidP="00A345DA">
      <w:pPr>
        <w:pStyle w:val="AERquote"/>
      </w:pPr>
      <w:r w:rsidDel="000C7758">
        <w:t xml:space="preserve">ii. </w:t>
      </w:r>
      <w:r>
        <w:t xml:space="preserve">the </w:t>
      </w:r>
      <w:r w:rsidDel="000C7758">
        <w:t>policy limit that is explicitly or implicitly commensurate with the allowance for insurance premiums that is included in the forecast operating expenditure allowance approved in the AER’s final decision for the Access Arrangement Period;</w:t>
      </w:r>
    </w:p>
    <w:p w:rsidR="00EF0107" w:rsidRDefault="00EF0107" w:rsidP="00A345DA">
      <w:pPr>
        <w:pStyle w:val="AERquote"/>
      </w:pPr>
      <w:r>
        <w:t>(b) a relevant insurance policy is an insurance policy held during the Access Arrangement Period or a previous period in which access to the pipeline services was regulated; and</w:t>
      </w:r>
    </w:p>
    <w:p w:rsidR="00EF0107" w:rsidRDefault="00EF0107" w:rsidP="00A345DA">
      <w:pPr>
        <w:pStyle w:val="AERquote"/>
      </w:pPr>
      <w:r>
        <w:t xml:space="preserve">(c) </w:t>
      </w:r>
      <w:r w:rsidRPr="00BC2A7C">
        <w:t>the Service Provider</w:t>
      </w:r>
      <w:r>
        <w:t xml:space="preserve"> will be deemed to have made a claim on a relevant insurance policy if the claim is made by a related party of </w:t>
      </w:r>
      <w:r w:rsidRPr="00BC2A7C">
        <w:t>the Service Provider</w:t>
      </w:r>
      <w:r>
        <w:t xml:space="preserve"> in relation to any aspect of the Network or </w:t>
      </w:r>
      <w:r w:rsidRPr="00BC2A7C">
        <w:t>the Service Provider</w:t>
      </w:r>
      <w:r>
        <w:t>’s business</w:t>
      </w:r>
    </w:p>
    <w:p w:rsidR="00EF0107" w:rsidRDefault="00EF0107" w:rsidP="00A345DA">
      <w:pPr>
        <w:pStyle w:val="AERquote"/>
      </w:pPr>
      <w:r>
        <w:t>Note for the avoidance of doubt, in making a determination on an Insurance Cap Event, the AER will have regard to, amongst other things:</w:t>
      </w:r>
    </w:p>
    <w:p w:rsidR="000C7758" w:rsidRDefault="00EF0107" w:rsidP="00A345DA">
      <w:pPr>
        <w:pStyle w:val="AERquote"/>
      </w:pPr>
      <w:r>
        <w:t>i. the insurance policy for the event, and</w:t>
      </w:r>
    </w:p>
    <w:p w:rsidR="000C7758" w:rsidRDefault="00E55F2F" w:rsidP="00A345DA">
      <w:pPr>
        <w:pStyle w:val="AERquote"/>
      </w:pPr>
      <w:r>
        <w:t xml:space="preserve">ii. </w:t>
      </w:r>
      <w:r w:rsidR="00EF0107" w:rsidDel="000C7758">
        <w:t>the level of insurance that an efficient and prudent Service Provider would obtain in respect of the event.</w:t>
      </w:r>
    </w:p>
    <w:p w:rsidR="0077774B" w:rsidRDefault="00EF0107" w:rsidP="0077774B">
      <w:r>
        <w:t>This definition is consistent with that approved in our recent decisions for JGN</w:t>
      </w:r>
      <w:r w:rsidR="0077774B">
        <w:t xml:space="preserve">, which ActewAGL supports in the context of other pass through events, and </w:t>
      </w:r>
      <w:r w:rsidR="00C371D5">
        <w:t xml:space="preserve">is </w:t>
      </w:r>
      <w:r w:rsidR="0077774B">
        <w:t>consisten</w:t>
      </w:r>
      <w:r w:rsidR="00C371D5">
        <w:t>t</w:t>
      </w:r>
      <w:r w:rsidR="0077774B">
        <w:t xml:space="preserve"> </w:t>
      </w:r>
      <w:r w:rsidR="00C371D5">
        <w:t xml:space="preserve">with </w:t>
      </w:r>
      <w:r w:rsidR="0077774B">
        <w:t xml:space="preserve">regulatory decision for </w:t>
      </w:r>
      <w:r w:rsidR="009664A2">
        <w:t>ActewAGL</w:t>
      </w:r>
      <w:r w:rsidR="0077774B">
        <w:t xml:space="preserve">’s electricity distribution network. This provides consistent treatment of the same risk between service providers, and in turn the reduction in administrative burden </w:t>
      </w:r>
      <w:r w:rsidR="009664A2">
        <w:t>ActewAGL</w:t>
      </w:r>
      <w:r w:rsidR="0077774B">
        <w:t xml:space="preserve"> promotes elsewhere in proposing pass through events.</w:t>
      </w:r>
    </w:p>
    <w:p w:rsidR="007235B4" w:rsidRDefault="00EF0107" w:rsidP="000C7758">
      <w:r>
        <w:lastRenderedPageBreak/>
        <w:t>There are two key differences between our preferred definition and that proposed by ActewAGL for its gas network.</w:t>
      </w:r>
    </w:p>
    <w:p w:rsidR="00EF0107" w:rsidRDefault="00EF0107" w:rsidP="00EF0107">
      <w:r>
        <w:t xml:space="preserve">First, our preferred definition </w:t>
      </w:r>
      <w:r w:rsidR="00843EEF">
        <w:t>measures the amount that can be pass</w:t>
      </w:r>
      <w:r w:rsidR="00AF63C9">
        <w:t>ed</w:t>
      </w:r>
      <w:r w:rsidR="00843EEF">
        <w:t xml:space="preserve"> through against the greater of</w:t>
      </w:r>
      <w:r w:rsidR="00A345DA">
        <w:t>:</w:t>
      </w:r>
      <w:r w:rsidR="00843EEF">
        <w:t xml:space="preserve"> the level of insurance ActewAGL has purchased</w:t>
      </w:r>
      <w:r w:rsidR="00A345DA">
        <w:t>;</w:t>
      </w:r>
      <w:r w:rsidR="00843EEF">
        <w:t xml:space="preserve"> and that assumed or provided for in determining its approved operating forecast operating expenditure (opex) under the access arrangement.</w:t>
      </w:r>
    </w:p>
    <w:p w:rsidR="00843EEF" w:rsidRDefault="00843EEF" w:rsidP="00EF0107">
      <w:r>
        <w:t>Second, our preferred definition explicitly clarifies that both ActewAGL’s actual insurance policy and the level of insurance that an efficient and prudent service provider would obtain are relevant to the assessment of an application under this event.</w:t>
      </w:r>
    </w:p>
    <w:p w:rsidR="000C7758" w:rsidRDefault="00C33531" w:rsidP="00843EEF">
      <w:r>
        <w:t xml:space="preserve">Insurance is funded through </w:t>
      </w:r>
      <w:r w:rsidR="009664A2">
        <w:t>ActewAGL</w:t>
      </w:r>
      <w:r w:rsidR="00B35212">
        <w:t>’s</w:t>
      </w:r>
      <w:r>
        <w:t xml:space="preserve"> approved opex, which allows </w:t>
      </w:r>
      <w:r w:rsidR="009664A2">
        <w:t>ActewAGL</w:t>
      </w:r>
      <w:r w:rsidR="00B35212" w:rsidRPr="00B35212">
        <w:t xml:space="preserve"> </w:t>
      </w:r>
      <w:r>
        <w:t xml:space="preserve">to acquire and maintain an appropriate level of insurance coverage. </w:t>
      </w:r>
      <w:r w:rsidR="000C7758">
        <w:t>In allowing a pass through of costs in excess of a service provider's actual level of insurance, care must be taken to ensure the service provider does not have a perverse incentive to reduce its expenditure on insurance (and therefore its opex relative to the</w:t>
      </w:r>
      <w:r w:rsidR="00F86569">
        <w:t xml:space="preserve"> approved forec</w:t>
      </w:r>
      <w:r w:rsidR="000C7758">
        <w:t>ast), by transferring the risk of insurable events to customers.</w:t>
      </w:r>
      <w:r w:rsidR="00375306" w:rsidRPr="00375306">
        <w:t xml:space="preserve"> </w:t>
      </w:r>
      <w:r w:rsidR="00375306">
        <w:t xml:space="preserve">We expect </w:t>
      </w:r>
      <w:r w:rsidR="009664A2">
        <w:t>ActewAGL</w:t>
      </w:r>
      <w:r w:rsidR="00375306" w:rsidRPr="00B35212">
        <w:t xml:space="preserve"> </w:t>
      </w:r>
      <w:r w:rsidR="00375306">
        <w:t>to acquire prudent and efficient levels of insurance coverage commensurate with its business risk, as reflected in its approved forecast opex.</w:t>
      </w:r>
    </w:p>
    <w:p w:rsidR="00843EEF" w:rsidRDefault="00843EEF" w:rsidP="00843EEF">
      <w:r>
        <w:t xml:space="preserve">ActewAGL’s proposal correctly noted that our decision on total forecast opex is not an approval of specific projects. It argued that this would make it difficult to identify what the </w:t>
      </w:r>
      <w:r w:rsidR="00F86569">
        <w:t xml:space="preserve">insurance </w:t>
      </w:r>
      <w:r>
        <w:t>policy limit implicitly or explicitly commensurate with its approved opex was.</w:t>
      </w:r>
      <w:r w:rsidR="00F86569">
        <w:t xml:space="preserve"> Instead, it proposed we rely on the controls in the pass through mechanism to take into account the efficiency of its actions relating to the event.</w:t>
      </w:r>
    </w:p>
    <w:p w:rsidR="007235B4" w:rsidRDefault="00375306" w:rsidP="00375306">
      <w:r>
        <w:t xml:space="preserve">This argument correctly notes that, </w:t>
      </w:r>
      <w:r w:rsidR="00C33531">
        <w:t xml:space="preserve">if a pass through event of this kind were to occur, </w:t>
      </w:r>
      <w:r>
        <w:t>our assessment of an</w:t>
      </w:r>
      <w:r w:rsidR="00C33531">
        <w:t xml:space="preserve"> application to pass through costs would consider the efficiency of </w:t>
      </w:r>
      <w:r w:rsidR="009664A2">
        <w:t>ActewAGL</w:t>
      </w:r>
      <w:r w:rsidR="00C33531">
        <w:t xml:space="preserve">'s decisions and actions in relation to the risk of the event. We would consider, amongst other things, the level of insurance </w:t>
      </w:r>
      <w:r>
        <w:t xml:space="preserve">actually purchased </w:t>
      </w:r>
      <w:r w:rsidR="00C33531">
        <w:t xml:space="preserve">for the event </w:t>
      </w:r>
      <w:r w:rsidR="006807A9">
        <w:t xml:space="preserve">and </w:t>
      </w:r>
      <w:r>
        <w:t>that which</w:t>
      </w:r>
      <w:r w:rsidR="00C33531">
        <w:t xml:space="preserve"> an efficient and prudent service provider could obtain. </w:t>
      </w:r>
      <w:r w:rsidR="00811E7E">
        <w:t xml:space="preserve">The level of insurance an efficient and prudent service provider could obtain is necessarily determined, in part, by the amount of total opex we have approved in its access arrangement. </w:t>
      </w:r>
      <w:r>
        <w:t xml:space="preserve">Our preferred definition makes these considerations explicit in the context of this event, and </w:t>
      </w:r>
      <w:r w:rsidR="00C33531">
        <w:t>provide</w:t>
      </w:r>
      <w:r>
        <w:t>s</w:t>
      </w:r>
      <w:r w:rsidR="00C33531">
        <w:t xml:space="preserve"> transparency and increase</w:t>
      </w:r>
      <w:r>
        <w:t>d</w:t>
      </w:r>
      <w:r w:rsidR="00C33531">
        <w:t xml:space="preserve"> regulatory certainty around how we will assess an application.</w:t>
      </w:r>
    </w:p>
    <w:p w:rsidR="004D4D6B" w:rsidRDefault="00375306" w:rsidP="00A345DA">
      <w:r>
        <w:t xml:space="preserve">Applied to the supporting definition of the relevant policy limit for this event, it allows us to measure the level of insurance actually purchased with that assumed by the service provider and/or approved by us in the total forecast opex for the period. </w:t>
      </w:r>
      <w:r w:rsidR="0077774B">
        <w:t>For example, to the extent that a change in approved opex was informed by an assessment that an increase in the level of insurance was prudent and efficient, we would take into account the service provider's reasons for not proceeding with that increased amount. This does not preclude a finding that a decision not to proceed was appropriate, and that the actual policy limit should prevail. It simply balances the incentive to reduce opex through underspending rather than through genuine efficiencies.</w:t>
      </w:r>
    </w:p>
    <w:p w:rsidR="00EF0107" w:rsidRDefault="0077774B" w:rsidP="00EF0107">
      <w:r>
        <w:lastRenderedPageBreak/>
        <w:t xml:space="preserve">As in our recent decision for ActewAGL's electricity network, we therefore </w:t>
      </w:r>
      <w:r w:rsidR="00EF0107">
        <w:t xml:space="preserve">consider this definition preferable to that proposed by </w:t>
      </w:r>
      <w:r w:rsidR="009664A2">
        <w:t>ActewAGL</w:t>
      </w:r>
      <w:r w:rsidR="00EF0107">
        <w:t xml:space="preserve">, and consistent with the NGO and NGR. </w:t>
      </w:r>
    </w:p>
    <w:p w:rsidR="00426CE9" w:rsidRDefault="00426CE9" w:rsidP="00426CE9">
      <w:pPr>
        <w:pStyle w:val="Heading4"/>
      </w:pPr>
      <w:r>
        <w:t xml:space="preserve">Insurer credit risk event </w:t>
      </w:r>
    </w:p>
    <w:p w:rsidR="00C634D2" w:rsidRDefault="00C634D2" w:rsidP="00221E83">
      <w:r>
        <w:t xml:space="preserve">This event is intended to provide for circumstances in which an insurance provider becomes insolvent and, as a result, </w:t>
      </w:r>
      <w:r w:rsidR="009664A2">
        <w:t>ActewAGL</w:t>
      </w:r>
      <w:r>
        <w:t>:</w:t>
      </w:r>
    </w:p>
    <w:p w:rsidR="00221E83" w:rsidRDefault="00F92A68" w:rsidP="00A345DA">
      <w:pPr>
        <w:pStyle w:val="AERbulletlistfirststyle"/>
      </w:pPr>
      <w:r>
        <w:t>i</w:t>
      </w:r>
      <w:r w:rsidR="00C634D2">
        <w:t xml:space="preserve">ncurs higher or lower costs for insurance premiums that would have applied; </w:t>
      </w:r>
    </w:p>
    <w:p w:rsidR="00C634D2" w:rsidRDefault="00F92A68" w:rsidP="00A345DA">
      <w:pPr>
        <w:pStyle w:val="AERbulletlistfirststyle"/>
      </w:pPr>
      <w:r>
        <w:t>i</w:t>
      </w:r>
      <w:r w:rsidR="00C634D2">
        <w:t>s subject to a materiality higher or lower claim limit or a materially higher or lower deductible than would have otherwise applies under the relevant policy; or</w:t>
      </w:r>
    </w:p>
    <w:p w:rsidR="00C634D2" w:rsidRDefault="00F92A68" w:rsidP="00A345DA">
      <w:pPr>
        <w:pStyle w:val="AERbulletlistfirststyle"/>
      </w:pPr>
      <w:r>
        <w:t>i</w:t>
      </w:r>
      <w:r w:rsidR="00C634D2">
        <w:t xml:space="preserve">ncurs additional costs associated with self-funding an insurance claim, which would otherwise have been covered by the insolvent insurer. </w:t>
      </w:r>
    </w:p>
    <w:p w:rsidR="00C634D2" w:rsidRDefault="00C634D2" w:rsidP="00A345DA">
      <w:r>
        <w:t xml:space="preserve">In its proposal </w:t>
      </w:r>
      <w:r w:rsidR="009664A2">
        <w:t>ActewAGL</w:t>
      </w:r>
      <w:r w:rsidR="00B35212" w:rsidRPr="00B35212">
        <w:t xml:space="preserve"> </w:t>
      </w:r>
      <w:r w:rsidR="00F92A68">
        <w:t xml:space="preserve">argued that it </w:t>
      </w:r>
      <w:r>
        <w:t>takes a number of precautions to mitigate to an insurer credit risk event, including looking at:</w:t>
      </w:r>
      <w:r w:rsidR="00F427BC">
        <w:rPr>
          <w:rStyle w:val="FootnoteReference"/>
        </w:rPr>
        <w:footnoteReference w:id="35"/>
      </w:r>
    </w:p>
    <w:p w:rsidR="00C634D2" w:rsidRDefault="00C634D2" w:rsidP="00A345DA">
      <w:pPr>
        <w:pStyle w:val="AERbulletlistfirststyle"/>
      </w:pPr>
      <w:r>
        <w:t>market development</w:t>
      </w:r>
      <w:r w:rsidR="005C6F97">
        <w:t>;</w:t>
      </w:r>
    </w:p>
    <w:p w:rsidR="00C634D2" w:rsidRDefault="00C634D2" w:rsidP="00A345DA">
      <w:pPr>
        <w:pStyle w:val="AERbulletlistfirststyle"/>
      </w:pPr>
      <w:r>
        <w:t>insurer reputation</w:t>
      </w:r>
      <w:r w:rsidR="005C6F97">
        <w:t xml:space="preserve">; and, </w:t>
      </w:r>
    </w:p>
    <w:p w:rsidR="00C634D2" w:rsidRDefault="00C634D2" w:rsidP="00A345DA">
      <w:pPr>
        <w:pStyle w:val="AERbulletlistfirststyle"/>
      </w:pPr>
      <w:r>
        <w:t>credit rating and financial stabilities of potential insuring entities</w:t>
      </w:r>
      <w:r w:rsidR="005C6F97">
        <w:t>.</w:t>
      </w:r>
      <w:r>
        <w:t xml:space="preserve"> </w:t>
      </w:r>
    </w:p>
    <w:p w:rsidR="00221E83" w:rsidRDefault="00C634D2" w:rsidP="00221E83">
      <w:r>
        <w:t xml:space="preserve">Despite these efforts, an insurer may fail and leave </w:t>
      </w:r>
      <w:r w:rsidR="009664A2">
        <w:t>ActewAGL</w:t>
      </w:r>
      <w:r w:rsidR="00B35212" w:rsidRPr="00B35212">
        <w:t xml:space="preserve"> </w:t>
      </w:r>
      <w:r>
        <w:t xml:space="preserve">exposed in circumstances beyond its ability to control. </w:t>
      </w:r>
      <w:r w:rsidR="001E17F8" w:rsidRPr="001E17F8">
        <w:t>We accept the options available to service providers to manage these risks are limited, and given the rarity of such events, may in fact result in greater expenditure on insurance than is prudent or efficient.</w:t>
      </w:r>
    </w:p>
    <w:p w:rsidR="00EC37C9" w:rsidRDefault="00F427BC" w:rsidP="00221E83">
      <w:r>
        <w:t>ActewAGL's proposed insurer credit risk event is broader in two respects than that we have approved in recent decisions, including for ActewAGL's electricity distribution network and for JGN</w:t>
      </w:r>
      <w:r w:rsidR="00EC37C9" w:rsidRPr="00EC37C9">
        <w:t>.</w:t>
      </w:r>
    </w:p>
    <w:p w:rsidR="00F427BC" w:rsidRDefault="001A066F" w:rsidP="00221E83">
      <w:r>
        <w:t>First, i</w:t>
      </w:r>
      <w:r w:rsidR="00EC37C9" w:rsidRPr="00EC37C9">
        <w:t xml:space="preserve">n its proposed definition for this event, </w:t>
      </w:r>
      <w:r w:rsidR="009664A2">
        <w:t>ActewAGL</w:t>
      </w:r>
      <w:r w:rsidR="00B35212" w:rsidRPr="00B35212">
        <w:t xml:space="preserve"> </w:t>
      </w:r>
      <w:r w:rsidR="00EC37C9" w:rsidRPr="00EC37C9">
        <w:t>sought to include provision for it to pass through costs associated with changes to insurance premiums as a result of an insurer becoming insolvent.</w:t>
      </w:r>
      <w:r w:rsidR="00EC37C9">
        <w:rPr>
          <w:rStyle w:val="FootnoteReference"/>
        </w:rPr>
        <w:footnoteReference w:id="36"/>
      </w:r>
      <w:r w:rsidR="00EC37C9" w:rsidRPr="00EC37C9">
        <w:t xml:space="preserve"> </w:t>
      </w:r>
      <w:r>
        <w:t>W</w:t>
      </w:r>
      <w:r w:rsidR="00EC37C9" w:rsidRPr="00EC37C9">
        <w:t>e consider insurance premiums are a typical business expense, subject to ordinary market factors in the economy. This is a risk businesses are best placed to manage, rather than customers.</w:t>
      </w:r>
      <w:r w:rsidR="00EC37C9">
        <w:t xml:space="preserve"> This view is consistent with our approach in recent decisions.</w:t>
      </w:r>
      <w:r w:rsidR="00EC37C9">
        <w:rPr>
          <w:rStyle w:val="FootnoteReference"/>
        </w:rPr>
        <w:footnoteReference w:id="37"/>
      </w:r>
      <w:r w:rsidR="00EC37C9">
        <w:t xml:space="preserve"> </w:t>
      </w:r>
    </w:p>
    <w:p w:rsidR="00F427BC" w:rsidRDefault="001A066F" w:rsidP="00221E83">
      <w:r>
        <w:t xml:space="preserve">Second, where our recent decisions approved an insurer credit risk event that goes to </w:t>
      </w:r>
      <w:r w:rsidR="007848E4">
        <w:t xml:space="preserve">costs specific to </w:t>
      </w:r>
      <w:r>
        <w:t xml:space="preserve">existing or potential claims to the failed insurer, ActewAGL's proposed </w:t>
      </w:r>
      <w:r>
        <w:lastRenderedPageBreak/>
        <w:t>definition does not include that limitation. We consider this important so that service providers do not have the incentive to delay the purchase of alternative insurance, thereby transferring the risk of insurable events to customers.</w:t>
      </w:r>
    </w:p>
    <w:p w:rsidR="00221E83" w:rsidRDefault="006D4F4F" w:rsidP="001A066F">
      <w:r>
        <w:t xml:space="preserve">We therefore do not accept </w:t>
      </w:r>
      <w:r w:rsidR="009664A2">
        <w:t>ActewAGL</w:t>
      </w:r>
      <w:r>
        <w:t xml:space="preserve">'s proposed definition of this event, and </w:t>
      </w:r>
      <w:r w:rsidR="00F427BC">
        <w:t xml:space="preserve">require it to amend that definition </w:t>
      </w:r>
      <w:r w:rsidR="001A066F">
        <w:t>as follows:</w:t>
      </w:r>
    </w:p>
    <w:p w:rsidR="005300CF" w:rsidRPr="005300CF" w:rsidRDefault="005300CF" w:rsidP="005300CF">
      <w:pPr>
        <w:ind w:left="340" w:firstLine="340"/>
        <w:rPr>
          <w:b/>
        </w:rPr>
      </w:pPr>
      <w:r w:rsidRPr="005300CF">
        <w:rPr>
          <w:b/>
        </w:rPr>
        <w:t xml:space="preserve">Insurer Credit Risk Event </w:t>
      </w:r>
    </w:p>
    <w:p w:rsidR="005300CF" w:rsidRDefault="005300CF" w:rsidP="005300CF">
      <w:pPr>
        <w:ind w:left="340" w:firstLine="340"/>
      </w:pPr>
      <w:r w:rsidRPr="005300CF">
        <w:t xml:space="preserve">Insurer Credit Risk Event means an event where: </w:t>
      </w:r>
    </w:p>
    <w:p w:rsidR="005300CF" w:rsidRDefault="005300CF" w:rsidP="005300CF">
      <w:pPr>
        <w:ind w:left="680"/>
      </w:pPr>
      <w:r w:rsidRPr="005300CF">
        <w:t xml:space="preserve">(a) A nominated insurer of </w:t>
      </w:r>
      <w:r w:rsidR="003A3367" w:rsidRPr="003A3367">
        <w:t>the Service Provider</w:t>
      </w:r>
      <w:r w:rsidRPr="005300CF">
        <w:t xml:space="preserve"> becomes insolvent, and as a result, in respect of an existing, or potential, claim for a risk that was insured by the insolvent insurer, </w:t>
      </w:r>
      <w:r w:rsidR="003A3367" w:rsidRPr="003A3367">
        <w:t>the Service Provider</w:t>
      </w:r>
      <w:r w:rsidRPr="005300CF">
        <w:t>:</w:t>
      </w:r>
    </w:p>
    <w:p w:rsidR="005300CF" w:rsidRDefault="005300CF" w:rsidP="005300CF">
      <w:pPr>
        <w:ind w:left="1020"/>
      </w:pPr>
      <w:r w:rsidRPr="005300CF">
        <w:t xml:space="preserve"> i. is subject to a higher or lower claim limit or a higher or lower deductible than would have otherwise applied under the insolvent insurer’s policy; or</w:t>
      </w:r>
    </w:p>
    <w:p w:rsidR="005300CF" w:rsidRDefault="005300CF" w:rsidP="005300CF">
      <w:pPr>
        <w:ind w:left="1020"/>
      </w:pPr>
      <w:r w:rsidRPr="005300CF">
        <w:t xml:space="preserve"> ii. incurs additional costs associated with self-funding an insurance claim, which would otherwise have been covered by the insolvent insurer. </w:t>
      </w:r>
    </w:p>
    <w:p w:rsidR="005300CF" w:rsidRDefault="005300CF" w:rsidP="005300CF">
      <w:pPr>
        <w:ind w:left="680"/>
      </w:pPr>
      <w:r w:rsidRPr="005300CF">
        <w:t xml:space="preserve">Note for the avoidance of doubt, in making a determination on an Insurer Credit Risk Event pursuant to clause </w:t>
      </w:r>
      <w:r>
        <w:t>7.11</w:t>
      </w:r>
      <w:r w:rsidRPr="005300CF">
        <w:t xml:space="preserve"> [of </w:t>
      </w:r>
      <w:r>
        <w:t>ActewAGL’s</w:t>
      </w:r>
      <w:r w:rsidRPr="005300CF">
        <w:t xml:space="preserve"> Access Arrangement] , the AER will have regard to, amongst other things: </w:t>
      </w:r>
    </w:p>
    <w:p w:rsidR="005300CF" w:rsidRDefault="003A3367" w:rsidP="00380CD9">
      <w:pPr>
        <w:pStyle w:val="ListParagraph"/>
        <w:numPr>
          <w:ilvl w:val="8"/>
          <w:numId w:val="46"/>
        </w:numPr>
      </w:pPr>
      <w:r w:rsidRPr="003A3367">
        <w:t>the Service Provider</w:t>
      </w:r>
      <w:r w:rsidR="005300CF" w:rsidRPr="005300CF">
        <w:t xml:space="preserve">’s attempts to mitigate and prevent the event from occurring by reviewing and considering the insurer’s track record, size, credit rating and reputation, and </w:t>
      </w:r>
    </w:p>
    <w:p w:rsidR="005300CF" w:rsidRPr="00221E83" w:rsidRDefault="005300CF" w:rsidP="00380CD9">
      <w:pPr>
        <w:pStyle w:val="ListParagraph"/>
        <w:numPr>
          <w:ilvl w:val="8"/>
          <w:numId w:val="46"/>
        </w:numPr>
      </w:pPr>
      <w:r w:rsidRPr="005300CF">
        <w:t xml:space="preserve">in the event that a claim would have been made after the insurance provider became insolvent, whether </w:t>
      </w:r>
      <w:r w:rsidR="003A3367" w:rsidRPr="003A3367">
        <w:t>the Service Provider</w:t>
      </w:r>
      <w:r w:rsidRPr="005300CF">
        <w:t xml:space="preserve"> had reasonable opportunity to insure the risk with a different provider.</w:t>
      </w:r>
    </w:p>
    <w:p w:rsidR="00426CE9" w:rsidRDefault="00426CE9" w:rsidP="00426CE9">
      <w:pPr>
        <w:pStyle w:val="Heading4"/>
      </w:pPr>
      <w:r>
        <w:t>Terrorism event</w:t>
      </w:r>
    </w:p>
    <w:p w:rsidR="00363CA3" w:rsidRDefault="00221E83" w:rsidP="00C532A8">
      <w:r>
        <w:t xml:space="preserve">A terrorism pass through event would allow </w:t>
      </w:r>
      <w:r w:rsidR="009664A2">
        <w:t>ActewAGL</w:t>
      </w:r>
      <w:r w:rsidR="00AC0029" w:rsidRPr="00AC0029">
        <w:t xml:space="preserve"> </w:t>
      </w:r>
      <w:r>
        <w:t xml:space="preserve">to apply to pass through costs </w:t>
      </w:r>
      <w:r w:rsidR="00C532A8">
        <w:t>resulting from an act of</w:t>
      </w:r>
      <w:r>
        <w:t xml:space="preserve"> terrorism.</w:t>
      </w:r>
      <w:r w:rsidR="00C0266E">
        <w:t xml:space="preserve"> </w:t>
      </w:r>
      <w:r w:rsidR="00C532A8">
        <w:t xml:space="preserve">We consider the inclusion of a terrorism event in </w:t>
      </w:r>
      <w:r w:rsidR="009664A2">
        <w:t>ActewAGL</w:t>
      </w:r>
      <w:r w:rsidR="00C532A8">
        <w:t xml:space="preserve">'s 2016–21 Access Arrangement supports the NGO and RPP. However, we </w:t>
      </w:r>
      <w:r w:rsidR="00363CA3">
        <w:t>require ActewAGL to amend its definition of this event.</w:t>
      </w:r>
    </w:p>
    <w:p w:rsidR="00363CA3" w:rsidRDefault="00363CA3" w:rsidP="00C532A8">
      <w:r>
        <w:t xml:space="preserve">ActewAGL's proposal incorporates a similar terrorism pass through event to that approved by us in our </w:t>
      </w:r>
      <w:r w:rsidR="000F26AC">
        <w:t>recent decisions</w:t>
      </w:r>
      <w:r>
        <w:t xml:space="preserve"> for ActewAGL's electricity network and for JGN</w:t>
      </w:r>
      <w:r w:rsidR="000F26AC">
        <w:t>.</w:t>
      </w:r>
      <w:r>
        <w:t xml:space="preserve"> It differs in two respects</w:t>
      </w:r>
      <w:r w:rsidR="00E644F6">
        <w:t>.</w:t>
      </w:r>
    </w:p>
    <w:p w:rsidR="00C05782" w:rsidRPr="00C05782" w:rsidRDefault="00E644F6" w:rsidP="00C05782">
      <w:r>
        <w:rPr>
          <w:rStyle w:val="AERbody"/>
        </w:rPr>
        <w:t xml:space="preserve">First, </w:t>
      </w:r>
      <w:r w:rsidR="00363CA3" w:rsidRPr="00A345DA">
        <w:rPr>
          <w:rStyle w:val="AERbody"/>
        </w:rPr>
        <w:t>ActewAGL's</w:t>
      </w:r>
      <w:r w:rsidR="00363CA3">
        <w:t xml:space="preserve"> proposed definition expands on the examples provided of what might constitute an act of terrorism, with the intent of clarifying that cyber terrorism is </w:t>
      </w:r>
      <w:r w:rsidR="00363CA3">
        <w:lastRenderedPageBreak/>
        <w:t>included.</w:t>
      </w:r>
      <w:r w:rsidR="00363CA3">
        <w:rPr>
          <w:rStyle w:val="FootnoteReference"/>
        </w:rPr>
        <w:footnoteReference w:id="38"/>
      </w:r>
      <w:r>
        <w:t xml:space="preserve"> </w:t>
      </w:r>
      <w:r w:rsidR="00F878FB">
        <w:t xml:space="preserve">We </w:t>
      </w:r>
      <w:r w:rsidR="00C05782">
        <w:t xml:space="preserve">consider </w:t>
      </w:r>
      <w:r w:rsidR="00F878FB">
        <w:t>the risk of cyber-related attacks</w:t>
      </w:r>
      <w:r w:rsidR="00C05782">
        <w:t>—which under ActewAGL's</w:t>
      </w:r>
      <w:r w:rsidR="00F878FB">
        <w:t xml:space="preserve"> proposed </w:t>
      </w:r>
      <w:r w:rsidR="00C05782">
        <w:t>definition would include the introduction of harmful code or viruses—</w:t>
      </w:r>
      <w:r w:rsidR="00F878FB">
        <w:t xml:space="preserve">can and should be managed primarily through prudent and efficient </w:t>
      </w:r>
      <w:r w:rsidR="00C05782">
        <w:t xml:space="preserve">steps to protect its IT systems. </w:t>
      </w:r>
      <w:r w:rsidR="00C05782" w:rsidRPr="00C05782">
        <w:t xml:space="preserve">Consistent with the regulatory incentive framework, we consider that if there is too much reliance on ex-post measures </w:t>
      </w:r>
      <w:r w:rsidR="00C05782">
        <w:t>ActewAGL</w:t>
      </w:r>
      <w:r w:rsidR="00C05782" w:rsidRPr="00C05782">
        <w:t xml:space="preserve"> has disincentives to take prudent actions to manage the risk in the first place. </w:t>
      </w:r>
      <w:r w:rsidR="00C05782">
        <w:t xml:space="preserve">ActewAGL is </w:t>
      </w:r>
      <w:r w:rsidR="00C05782" w:rsidRPr="00C05782">
        <w:t xml:space="preserve">provided an allowance for IT expenditure that should be used, in part, for securing its assets from such an event. The potential to recover costs by way of a pass through </w:t>
      </w:r>
      <w:r w:rsidR="00C05782">
        <w:t xml:space="preserve">rather that within its approved expenditure forecasts </w:t>
      </w:r>
      <w:r w:rsidR="00C05782" w:rsidRPr="00C05782">
        <w:t xml:space="preserve">should not form the basis of any risk management decision by </w:t>
      </w:r>
      <w:r w:rsidR="00C05782">
        <w:t>ActewAGL</w:t>
      </w:r>
      <w:r w:rsidR="00C05782" w:rsidRPr="00C05782">
        <w:t xml:space="preserve">. </w:t>
      </w:r>
    </w:p>
    <w:p w:rsidR="000F26AC" w:rsidRDefault="00C05782" w:rsidP="00C05782">
      <w:r>
        <w:t xml:space="preserve">Second, </w:t>
      </w:r>
      <w:r w:rsidR="00363CA3">
        <w:t>terrorism events approved by us in recent decisions explicitly require that the event increase the cost to the service provider of providing the reference service</w:t>
      </w:r>
      <w:r w:rsidR="00CC5499">
        <w:t xml:space="preserve">. </w:t>
      </w:r>
      <w:r w:rsidR="00363CA3">
        <w:t xml:space="preserve">ActewAGL's proposed definition does not. </w:t>
      </w:r>
      <w:r w:rsidR="00CC5499">
        <w:t>It is the change to the cost in provision of reference services that the pass through mechanism seeks to address. We therefore consider it preferable that the definition recognise this. This is consistent with the terrorism events approved for ActewAGL's electricity network and for JGN.</w:t>
      </w:r>
      <w:r w:rsidR="000F26AC">
        <w:t xml:space="preserve"> </w:t>
      </w:r>
    </w:p>
    <w:p w:rsidR="00221E83" w:rsidRDefault="00E644F6" w:rsidP="003834B2">
      <w:r>
        <w:t xml:space="preserve">We therefore require ActewAGL to amend the definition of the </w:t>
      </w:r>
      <w:r w:rsidR="00C532A8">
        <w:t xml:space="preserve">terrorism event </w:t>
      </w:r>
      <w:r>
        <w:t>as follows</w:t>
      </w:r>
      <w:r w:rsidR="00C532A8">
        <w:t xml:space="preserve">. </w:t>
      </w:r>
    </w:p>
    <w:p w:rsidR="00531539" w:rsidRPr="00A345DA" w:rsidRDefault="00531539" w:rsidP="00A345DA">
      <w:pPr>
        <w:pStyle w:val="AERquote"/>
        <w:rPr>
          <w:rStyle w:val="Strong"/>
        </w:rPr>
      </w:pPr>
      <w:r w:rsidRPr="00A345DA">
        <w:rPr>
          <w:rStyle w:val="Strong"/>
        </w:rPr>
        <w:t>Terrorism Event</w:t>
      </w:r>
    </w:p>
    <w:p w:rsidR="00531539" w:rsidRDefault="00531539" w:rsidP="00A345DA">
      <w:pPr>
        <w:pStyle w:val="AERquote"/>
      </w:pPr>
      <w:r w:rsidRPr="00531539">
        <w:t xml:space="preserve">Terrorism Event means 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increases the cost to </w:t>
      </w:r>
      <w:r w:rsidR="000F26AC" w:rsidRPr="000F26AC">
        <w:t>the Service Provider</w:t>
      </w:r>
      <w:r w:rsidRPr="00531539">
        <w:t xml:space="preserve"> in providing the Reference Service.</w:t>
      </w:r>
    </w:p>
    <w:p w:rsidR="00531539" w:rsidRDefault="00531539" w:rsidP="00A345DA">
      <w:pPr>
        <w:pStyle w:val="AERquote"/>
      </w:pPr>
      <w:r>
        <w:t xml:space="preserve">Note for the avoidance of doubt, in making a determination on a Terrorism Event pursuant to clause </w:t>
      </w:r>
      <w:r w:rsidR="006004D2">
        <w:t>7.11</w:t>
      </w:r>
      <w:r>
        <w:t xml:space="preserve"> [of </w:t>
      </w:r>
      <w:r w:rsidR="006004D2">
        <w:t>ActewAGL</w:t>
      </w:r>
      <w:r>
        <w:t>’s Access Arrangement</w:t>
      </w:r>
      <w:r w:rsidR="006A6201">
        <w:t>],</w:t>
      </w:r>
      <w:r>
        <w:t xml:space="preserve"> the AER will have regard to, amongst other things:</w:t>
      </w:r>
    </w:p>
    <w:p w:rsidR="00531539" w:rsidRDefault="00531539" w:rsidP="00A345DA">
      <w:pPr>
        <w:pStyle w:val="AERquote"/>
      </w:pPr>
      <w:r>
        <w:t>i. whether the Service Provider has insurance against the event</w:t>
      </w:r>
      <w:r w:rsidR="006004D2">
        <w:t>;</w:t>
      </w:r>
    </w:p>
    <w:p w:rsidR="00531539" w:rsidRDefault="00531539" w:rsidP="00A345DA">
      <w:pPr>
        <w:pStyle w:val="AERquote"/>
      </w:pPr>
      <w:r>
        <w:t>ii. the level of insurance that an efficient and prudent service provider would obtain in respect of the event</w:t>
      </w:r>
      <w:r w:rsidR="006004D2">
        <w:t>;</w:t>
      </w:r>
      <w:r>
        <w:t xml:space="preserve"> and</w:t>
      </w:r>
    </w:p>
    <w:p w:rsidR="00531539" w:rsidRPr="003834B2" w:rsidRDefault="00531539" w:rsidP="00A345DA">
      <w:pPr>
        <w:pStyle w:val="AERquote"/>
      </w:pPr>
      <w:r>
        <w:t>iii. whether a declaration has been made by a relevant government authority that a terrorism event has occurred.</w:t>
      </w:r>
    </w:p>
    <w:p w:rsidR="00426CE9" w:rsidRDefault="00426CE9" w:rsidP="009915AF">
      <w:pPr>
        <w:pStyle w:val="Heading4"/>
        <w:keepNext/>
        <w:ind w:left="862" w:hanging="862"/>
      </w:pPr>
      <w:r>
        <w:lastRenderedPageBreak/>
        <w:t xml:space="preserve">Natural disaster event </w:t>
      </w:r>
    </w:p>
    <w:p w:rsidR="00C532A8" w:rsidRDefault="00C532A8" w:rsidP="00C532A8">
      <w:r>
        <w:t xml:space="preserve">This pass through event would allow </w:t>
      </w:r>
      <w:r w:rsidR="009664A2">
        <w:t>ActewAGL</w:t>
      </w:r>
      <w:r w:rsidR="00AC0029" w:rsidRPr="00AC0029">
        <w:t xml:space="preserve"> </w:t>
      </w:r>
      <w:r>
        <w:t xml:space="preserve">to apply to pass through to consumers costs associated with </w:t>
      </w:r>
      <w:r w:rsidR="009664A2">
        <w:t>ActewAGL</w:t>
      </w:r>
      <w:r>
        <w:t>'s actions in response to natural disasters.</w:t>
      </w:r>
      <w:r w:rsidR="00F71190" w:rsidRPr="00F71190">
        <w:t xml:space="preserve"> </w:t>
      </w:r>
      <w:r w:rsidR="00F71190">
        <w:t>We consider inclusion of a natural disaster event is consistent with the NGO and RPP. As ActewAGL has noted, we have accepted events similar to that it has proposed in our recent decisions for ActewAGL's electricity network and for JGN.</w:t>
      </w:r>
    </w:p>
    <w:p w:rsidR="003834B2" w:rsidRDefault="00F71190" w:rsidP="00C532A8">
      <w:r>
        <w:t xml:space="preserve">Again, however, ActewAGL has proposed a different definition to that we have approved in those decisions. </w:t>
      </w:r>
      <w:r w:rsidR="00C532A8">
        <w:t xml:space="preserve">In its draft proposal </w:t>
      </w:r>
      <w:r w:rsidR="009664A2">
        <w:t>ActewAGL</w:t>
      </w:r>
      <w:r w:rsidR="00AC0029" w:rsidRPr="00AC0029">
        <w:t xml:space="preserve"> </w:t>
      </w:r>
      <w:r w:rsidR="00C532A8">
        <w:t>stated its definition sought to:</w:t>
      </w:r>
      <w:r>
        <w:rPr>
          <w:rStyle w:val="FootnoteReference"/>
        </w:rPr>
        <w:footnoteReference w:id="39"/>
      </w:r>
    </w:p>
    <w:p w:rsidR="00C532A8" w:rsidRDefault="00C532A8" w:rsidP="00AC0029">
      <w:pPr>
        <w:pStyle w:val="AERbulletlistfirststyle"/>
      </w:pPr>
      <w:r>
        <w:t xml:space="preserve">clarify only natural disaster costs </w:t>
      </w:r>
      <w:r w:rsidRPr="00A345DA">
        <w:rPr>
          <w:rStyle w:val="AERtextitalic"/>
        </w:rPr>
        <w:t>negligently</w:t>
      </w:r>
      <w:r>
        <w:t xml:space="preserve"> caused by </w:t>
      </w:r>
      <w:r w:rsidR="009664A2">
        <w:t>ActewAGL</w:t>
      </w:r>
      <w:r w:rsidR="00AC0029" w:rsidRPr="00AC0029">
        <w:t xml:space="preserve"> </w:t>
      </w:r>
      <w:r>
        <w:t>are excluded; and</w:t>
      </w:r>
    </w:p>
    <w:p w:rsidR="00C532A8" w:rsidRDefault="00C532A8" w:rsidP="00C532A8">
      <w:pPr>
        <w:pStyle w:val="AERbulletlistfirststyle"/>
      </w:pPr>
      <w:r>
        <w:t>to ensure the cost pass through even</w:t>
      </w:r>
      <w:r w:rsidR="0089203E">
        <w:t>t is not restricted to the 2016–</w:t>
      </w:r>
      <w:r>
        <w:t>21 access arrangement period.</w:t>
      </w:r>
    </w:p>
    <w:p w:rsidR="0077563A" w:rsidRDefault="0058737B" w:rsidP="0077563A">
      <w:r>
        <w:t xml:space="preserve">Natural disaster events approved for ActewAGL's electricity network and for JGN allow recovery of costs </w:t>
      </w:r>
      <w:r w:rsidRPr="00E845D8">
        <w:t>provided the fire, flood or other event was not a consequence of the acts or omissions of the</w:t>
      </w:r>
      <w:r>
        <w:t xml:space="preserve"> Service Provider. ActewAGL's proposed d</w:t>
      </w:r>
      <w:r w:rsidR="00360965">
        <w:t>efinition for its gas network reduces this to negligent acts or omissions.</w:t>
      </w:r>
      <w:r>
        <w:t xml:space="preserve"> </w:t>
      </w:r>
      <w:r w:rsidR="00360965">
        <w:t>We consider clause 7.12 of ActewAGL's proposed access arrangement already provides an appropriate level of accountability in this respect,</w:t>
      </w:r>
      <w:r w:rsidR="0077563A">
        <w:t xml:space="preserve"> and </w:t>
      </w:r>
      <w:r w:rsidR="00360965">
        <w:t xml:space="preserve">reinforces </w:t>
      </w:r>
      <w:r w:rsidR="008911F7">
        <w:t xml:space="preserve">the importance of </w:t>
      </w:r>
      <w:r w:rsidR="009664A2">
        <w:t>ActewAGL</w:t>
      </w:r>
      <w:r w:rsidR="00AC0029" w:rsidRPr="00AC0029">
        <w:t xml:space="preserve"> </w:t>
      </w:r>
      <w:r w:rsidR="008911F7">
        <w:t>taking appropriate steps</w:t>
      </w:r>
      <w:r w:rsidR="004A0A34">
        <w:t xml:space="preserve"> to prevent and mitigate loss resulting from natural disasters</w:t>
      </w:r>
      <w:r w:rsidR="008911F7">
        <w:t xml:space="preserve">. </w:t>
      </w:r>
      <w:r w:rsidR="00360965">
        <w:t xml:space="preserve">That clause requires us to take the efficiency of acts or omissions by ActewAGL in relation to the risk of the event into account in assessing an application to pass through costs. </w:t>
      </w:r>
    </w:p>
    <w:p w:rsidR="004A0A34" w:rsidRDefault="009664A2" w:rsidP="00C371D5">
      <w:r>
        <w:t>ActewAGL</w:t>
      </w:r>
      <w:r w:rsidR="004A0A34">
        <w:t xml:space="preserve"> has not provided arguments as to why the cost pass through event shoul</w:t>
      </w:r>
      <w:r w:rsidR="0089203E">
        <w:t>d not be restricted to the 2016–</w:t>
      </w:r>
      <w:r w:rsidR="004A0A34">
        <w:t>21 access arrangement period</w:t>
      </w:r>
      <w:r w:rsidR="00F71190">
        <w:t>. This is the period for which any approved event would apply</w:t>
      </w:r>
      <w:r w:rsidR="004A0A34">
        <w:t xml:space="preserve">. </w:t>
      </w:r>
      <w:r w:rsidR="000468AF">
        <w:t xml:space="preserve">This </w:t>
      </w:r>
      <w:r w:rsidR="00F71190">
        <w:t xml:space="preserve">restriction </w:t>
      </w:r>
      <w:r w:rsidR="000468AF">
        <w:t xml:space="preserve">is consistent with the prescribed pass through event that applies to ActewAGL’s electricity distribution network under the NER, and with our decision for JGN. We discuss our assessment of ActewAGL’s proposed fixed principle for the inter-period consideration of pass throughs in section </w:t>
      </w:r>
      <w:r w:rsidR="00C371D5" w:rsidRPr="00156AE7">
        <w:rPr>
          <w:rStyle w:val="AERbody"/>
        </w:rPr>
        <w:fldChar w:fldCharType="begin"/>
      </w:r>
      <w:r w:rsidR="00C371D5" w:rsidRPr="00156AE7">
        <w:rPr>
          <w:rStyle w:val="AERbody"/>
        </w:rPr>
        <w:instrText xml:space="preserve"> REF _Ref431291628 \r \h  \* MERGEFORMAT </w:instrText>
      </w:r>
      <w:r w:rsidR="00C371D5" w:rsidRPr="00156AE7">
        <w:rPr>
          <w:rStyle w:val="AERbody"/>
        </w:rPr>
      </w:r>
      <w:r w:rsidR="00C371D5" w:rsidRPr="00156AE7">
        <w:rPr>
          <w:rStyle w:val="AERbody"/>
        </w:rPr>
        <w:fldChar w:fldCharType="separate"/>
      </w:r>
      <w:r w:rsidR="0022166F">
        <w:rPr>
          <w:rStyle w:val="AERbody"/>
        </w:rPr>
        <w:t>11.4.3</w:t>
      </w:r>
      <w:r w:rsidR="00C371D5" w:rsidRPr="00156AE7">
        <w:rPr>
          <w:rStyle w:val="AERbody"/>
        </w:rPr>
        <w:fldChar w:fldCharType="end"/>
      </w:r>
      <w:r w:rsidR="000468AF">
        <w:t>, below.</w:t>
      </w:r>
    </w:p>
    <w:p w:rsidR="00C532A8" w:rsidRDefault="008A0B55" w:rsidP="003834B2">
      <w:r>
        <w:t xml:space="preserve">We therefore require ActewAGL to amend the definition of </w:t>
      </w:r>
      <w:r w:rsidR="0077563A">
        <w:t xml:space="preserve">the natural disaster event </w:t>
      </w:r>
      <w:r>
        <w:t>as follows:</w:t>
      </w:r>
    </w:p>
    <w:p w:rsidR="00E845D8" w:rsidRPr="00A345DA" w:rsidRDefault="00E845D8" w:rsidP="00A345DA">
      <w:pPr>
        <w:pStyle w:val="AERquote"/>
        <w:rPr>
          <w:rStyle w:val="Strong"/>
        </w:rPr>
      </w:pPr>
      <w:r w:rsidRPr="00A345DA">
        <w:rPr>
          <w:rStyle w:val="Strong"/>
        </w:rPr>
        <w:t>Natural Disaster Event</w:t>
      </w:r>
    </w:p>
    <w:p w:rsidR="00E845D8" w:rsidRDefault="00E845D8" w:rsidP="00A345DA">
      <w:pPr>
        <w:pStyle w:val="AERquote"/>
      </w:pPr>
      <w:r w:rsidRPr="00E845D8">
        <w:t>Natural Disaster Event means any major fire, flood, earthquake or other natural disaster that occurs during the 201</w:t>
      </w:r>
      <w:r w:rsidR="004A0A34">
        <w:t>6</w:t>
      </w:r>
      <w:r w:rsidR="0089203E">
        <w:t>–</w:t>
      </w:r>
      <w:r w:rsidRPr="00E845D8">
        <w:t>2</w:t>
      </w:r>
      <w:r w:rsidR="004A0A34">
        <w:t>1</w:t>
      </w:r>
      <w:r w:rsidRPr="00E845D8">
        <w:t xml:space="preserve"> Access Arrangement Period and increases the costs to the Service Provider in providing the Reference Service, provided the fire, flood or other event was not a consequence of the acts or omissions of the</w:t>
      </w:r>
      <w:r>
        <w:t xml:space="preserve"> Service Provider. </w:t>
      </w:r>
    </w:p>
    <w:p w:rsidR="00E845D8" w:rsidRDefault="00E845D8" w:rsidP="00A345DA">
      <w:pPr>
        <w:pStyle w:val="AERquote"/>
      </w:pPr>
      <w:r w:rsidRPr="00E845D8">
        <w:lastRenderedPageBreak/>
        <w:t xml:space="preserve">The term ‘major’ in the above paragraph means an event that is serious and significant. </w:t>
      </w:r>
    </w:p>
    <w:p w:rsidR="00E845D8" w:rsidRDefault="00E845D8" w:rsidP="00A345DA">
      <w:pPr>
        <w:pStyle w:val="AERquote"/>
      </w:pPr>
      <w:r w:rsidRPr="00E845D8">
        <w:t xml:space="preserve">Note for the avoidance of doubt, in making a determination on a Natural Disaster Event pursuant to clause </w:t>
      </w:r>
      <w:r>
        <w:t>7.11</w:t>
      </w:r>
      <w:r w:rsidRPr="00E845D8">
        <w:t xml:space="preserve"> [of </w:t>
      </w:r>
      <w:r>
        <w:t>ActewAGL</w:t>
      </w:r>
      <w:r w:rsidRPr="00E845D8">
        <w:t>’s Access Arrangement], the AER will have regard to, amongst other things:</w:t>
      </w:r>
    </w:p>
    <w:p w:rsidR="00E845D8" w:rsidRDefault="008A0B55" w:rsidP="00A345DA">
      <w:pPr>
        <w:pStyle w:val="AERquote"/>
      </w:pPr>
      <w:r>
        <w:t xml:space="preserve">i. </w:t>
      </w:r>
      <w:r w:rsidR="00E845D8" w:rsidRPr="00E845D8">
        <w:t>whether the Service Provider has insurance against the event</w:t>
      </w:r>
      <w:r w:rsidR="00E845D8">
        <w:t>;</w:t>
      </w:r>
      <w:r w:rsidR="00E845D8" w:rsidRPr="00E845D8">
        <w:t xml:space="preserve"> </w:t>
      </w:r>
    </w:p>
    <w:p w:rsidR="00E845D8" w:rsidRDefault="008A0B55" w:rsidP="00A345DA">
      <w:pPr>
        <w:pStyle w:val="AERquote"/>
      </w:pPr>
      <w:r>
        <w:t xml:space="preserve">ii. </w:t>
      </w:r>
      <w:r w:rsidR="00E845D8" w:rsidRPr="00E845D8">
        <w:t>the level of insurance that an efficient and prudent service provider would obtain in respect of the event</w:t>
      </w:r>
      <w:r w:rsidR="00E845D8">
        <w:t>;</w:t>
      </w:r>
      <w:r w:rsidR="00E845D8" w:rsidRPr="00E845D8">
        <w:t xml:space="preserve"> and </w:t>
      </w:r>
    </w:p>
    <w:p w:rsidR="00E845D8" w:rsidRPr="003834B2" w:rsidRDefault="008A0B55" w:rsidP="00A345DA">
      <w:pPr>
        <w:pStyle w:val="AERquote"/>
      </w:pPr>
      <w:r>
        <w:t xml:space="preserve">iii. </w:t>
      </w:r>
      <w:r w:rsidR="00E845D8" w:rsidRPr="00E845D8">
        <w:t>whether a relevant government authority has made a declaration that a natural disaster has occurred.</w:t>
      </w:r>
    </w:p>
    <w:p w:rsidR="003834B2" w:rsidRPr="00A345DA" w:rsidRDefault="00426CE9" w:rsidP="00A345DA">
      <w:pPr>
        <w:pStyle w:val="Heading4"/>
        <w:rPr>
          <w:rStyle w:val="AERbody"/>
        </w:rPr>
      </w:pPr>
      <w:r w:rsidRPr="00A345DA">
        <w:rPr>
          <w:rStyle w:val="AERbody"/>
        </w:rPr>
        <w:t xml:space="preserve">Network user failure event </w:t>
      </w:r>
    </w:p>
    <w:p w:rsidR="00316052" w:rsidRDefault="007D0096" w:rsidP="000D7C0D">
      <w:r>
        <w:t xml:space="preserve">Rule 531 of the NGR allows </w:t>
      </w:r>
      <w:r w:rsidR="009664A2">
        <w:t>ActewAGL</w:t>
      </w:r>
      <w:r w:rsidRPr="00F6035D">
        <w:t xml:space="preserve"> </w:t>
      </w:r>
      <w:r>
        <w:t xml:space="preserve">to pass through costs associated with a RoLR event that is triggered by retailer insolvency. </w:t>
      </w:r>
      <w:r w:rsidR="009664A2">
        <w:t>ActewAGL</w:t>
      </w:r>
      <w:r w:rsidR="00AC0029" w:rsidRPr="00A345DA">
        <w:t xml:space="preserve"> </w:t>
      </w:r>
      <w:r w:rsidR="000D7C0D">
        <w:t>relied on</w:t>
      </w:r>
      <w:r w:rsidR="00CC63A3" w:rsidRPr="00A345DA">
        <w:t xml:space="preserve"> arguments </w:t>
      </w:r>
      <w:r w:rsidR="000D7C0D">
        <w:t>put to us by JGN in support of a</w:t>
      </w:r>
      <w:r>
        <w:t>n additional '</w:t>
      </w:r>
      <w:r w:rsidR="000D7C0D">
        <w:t>network user failure event</w:t>
      </w:r>
      <w:r>
        <w:t>'</w:t>
      </w:r>
      <w:r w:rsidR="000D7C0D">
        <w:t>. It noted that the same obligations that apply to JGN apply to ActewAGL.</w:t>
      </w:r>
      <w:r w:rsidR="000D7C0D" w:rsidRPr="000D7C0D">
        <w:rPr>
          <w:rStyle w:val="FootnoteReference"/>
        </w:rPr>
        <w:footnoteReference w:id="40"/>
      </w:r>
      <w:r w:rsidR="000D7C0D">
        <w:t xml:space="preserve"> It submitted that it had acted efficiently to avoid the cost of system changes to automate the retailer of last resort (RoLR) transfer process as the low probability of occurrence does not justify the significant cost of doing so.</w:t>
      </w:r>
      <w:r w:rsidR="000D7C0D" w:rsidRPr="000D7C0D">
        <w:rPr>
          <w:rStyle w:val="FootnoteReference"/>
        </w:rPr>
        <w:t xml:space="preserve"> </w:t>
      </w:r>
      <w:r w:rsidR="000D7C0D" w:rsidRPr="000D7C0D">
        <w:rPr>
          <w:rStyle w:val="FootnoteReference"/>
        </w:rPr>
        <w:footnoteReference w:id="41"/>
      </w:r>
      <w:r w:rsidR="000D7C0D">
        <w:t xml:space="preserve"> It argued that while both the NGL and NGR have reduced the range of circumstances in which an additional cost pass through is needed, those changes only extend to retailer insolvency (and not to other triggers for a retailer of last resort event) and therefore a network user failure event is needed.</w:t>
      </w:r>
    </w:p>
    <w:p w:rsidR="00316052" w:rsidRDefault="00316052" w:rsidP="000D7C0D">
      <w:r>
        <w:t>However, the network user failure event that ActewAGL has proposed is (with minor structural differences) that put to us in JGN's revised proposal, not the event we approved in our final decision on JGN's access arrangement. Absent any new arguments on this matter, we do not accept ActewAGL's proposed network user failure event and require that it amend its definition of the event to that approved for JGN.</w:t>
      </w:r>
    </w:p>
    <w:p w:rsidR="00CC63A3" w:rsidRPr="00CC63A3" w:rsidRDefault="00316052" w:rsidP="000D7C0D">
      <w:r>
        <w:t>Our reasons for this are as follows.</w:t>
      </w:r>
    </w:p>
    <w:p w:rsidR="008911F7" w:rsidRPr="008911F7" w:rsidRDefault="008911F7" w:rsidP="008911F7">
      <w:pPr>
        <w:pStyle w:val="Heading4"/>
        <w:numPr>
          <w:ilvl w:val="0"/>
          <w:numId w:val="0"/>
        </w:numPr>
        <w:rPr>
          <w:rStyle w:val="AERbody"/>
          <w:b w:val="0"/>
        </w:rPr>
      </w:pPr>
      <w:r w:rsidRPr="008911F7">
        <w:rPr>
          <w:rStyle w:val="AERbody"/>
          <w:b w:val="0"/>
        </w:rPr>
        <w:t xml:space="preserve">We consider including a </w:t>
      </w:r>
      <w:r w:rsidR="00527912">
        <w:rPr>
          <w:rStyle w:val="AERbody"/>
          <w:b w:val="0"/>
        </w:rPr>
        <w:t>n</w:t>
      </w:r>
      <w:r w:rsidRPr="008911F7">
        <w:rPr>
          <w:rStyle w:val="AERbody"/>
          <w:b w:val="0"/>
        </w:rPr>
        <w:t xml:space="preserve">etwork </w:t>
      </w:r>
      <w:r w:rsidR="00527912">
        <w:rPr>
          <w:rStyle w:val="AERbody"/>
          <w:b w:val="0"/>
        </w:rPr>
        <w:t>u</w:t>
      </w:r>
      <w:r w:rsidRPr="008911F7">
        <w:rPr>
          <w:rStyle w:val="AERbody"/>
          <w:b w:val="0"/>
        </w:rPr>
        <w:t xml:space="preserve">ser </w:t>
      </w:r>
      <w:r w:rsidR="00527912">
        <w:rPr>
          <w:rStyle w:val="AERbody"/>
          <w:b w:val="0"/>
        </w:rPr>
        <w:t>f</w:t>
      </w:r>
      <w:r w:rsidRPr="008911F7">
        <w:rPr>
          <w:rStyle w:val="AERbody"/>
          <w:b w:val="0"/>
        </w:rPr>
        <w:t xml:space="preserve">ailure </w:t>
      </w:r>
      <w:r w:rsidR="00527912">
        <w:rPr>
          <w:rStyle w:val="AERbody"/>
          <w:b w:val="0"/>
        </w:rPr>
        <w:t>e</w:t>
      </w:r>
      <w:r w:rsidRPr="008911F7">
        <w:rPr>
          <w:rStyle w:val="AERbody"/>
          <w:b w:val="0"/>
        </w:rPr>
        <w:t xml:space="preserve">vent in </w:t>
      </w:r>
      <w:r w:rsidR="009664A2">
        <w:rPr>
          <w:rStyle w:val="AERbody"/>
          <w:b w:val="0"/>
        </w:rPr>
        <w:t>ActewAGL</w:t>
      </w:r>
      <w:r w:rsidRPr="008911F7">
        <w:rPr>
          <w:rStyle w:val="AERbody"/>
          <w:b w:val="0"/>
        </w:rPr>
        <w:t>'s 201</w:t>
      </w:r>
      <w:r w:rsidR="00527912">
        <w:rPr>
          <w:rStyle w:val="AERbody"/>
          <w:b w:val="0"/>
        </w:rPr>
        <w:t>6</w:t>
      </w:r>
      <w:r w:rsidRPr="008911F7">
        <w:rPr>
          <w:rStyle w:val="AERbody"/>
          <w:b w:val="0"/>
        </w:rPr>
        <w:t>–2</w:t>
      </w:r>
      <w:r w:rsidR="00527912">
        <w:rPr>
          <w:rStyle w:val="AERbody"/>
          <w:b w:val="0"/>
        </w:rPr>
        <w:t xml:space="preserve">1 </w:t>
      </w:r>
      <w:r w:rsidRPr="008911F7">
        <w:rPr>
          <w:rStyle w:val="AERbody"/>
          <w:b w:val="0"/>
        </w:rPr>
        <w:t xml:space="preserve">Access Arrangement would, if appropriately defined, support the NGO and the RPP. </w:t>
      </w:r>
    </w:p>
    <w:p w:rsidR="007F7899" w:rsidRDefault="009664A2" w:rsidP="008911F7">
      <w:pPr>
        <w:pStyle w:val="Heading4"/>
        <w:numPr>
          <w:ilvl w:val="0"/>
          <w:numId w:val="0"/>
        </w:numPr>
        <w:rPr>
          <w:rStyle w:val="AERbody"/>
          <w:b w:val="0"/>
        </w:rPr>
      </w:pPr>
      <w:r>
        <w:rPr>
          <w:rStyle w:val="AERbody"/>
          <w:b w:val="0"/>
        </w:rPr>
        <w:t>ActewAGL</w:t>
      </w:r>
      <w:r w:rsidR="00AC0029" w:rsidRPr="00AC0029">
        <w:rPr>
          <w:rStyle w:val="AERbody"/>
          <w:b w:val="0"/>
        </w:rPr>
        <w:t xml:space="preserve"> </w:t>
      </w:r>
      <w:r w:rsidR="007F7899">
        <w:rPr>
          <w:rStyle w:val="AERbody"/>
          <w:b w:val="0"/>
        </w:rPr>
        <w:t>may be in a position to manage and mitigate the costs associated with a</w:t>
      </w:r>
      <w:r w:rsidR="00AD656C">
        <w:rPr>
          <w:rStyle w:val="AERbody"/>
          <w:b w:val="0"/>
        </w:rPr>
        <w:t>n</w:t>
      </w:r>
      <w:r w:rsidR="007F7899">
        <w:rPr>
          <w:rStyle w:val="AERbody"/>
          <w:b w:val="0"/>
        </w:rPr>
        <w:t xml:space="preserve"> insolvency, including undertaking steps to recover debts. </w:t>
      </w:r>
      <w:r w:rsidR="00B712B8">
        <w:rPr>
          <w:rStyle w:val="AERbody"/>
          <w:b w:val="0"/>
        </w:rPr>
        <w:t>However, w</w:t>
      </w:r>
      <w:r w:rsidR="007F7899" w:rsidRPr="007F7899">
        <w:rPr>
          <w:rStyle w:val="AERbody"/>
          <w:b w:val="0"/>
        </w:rPr>
        <w:t xml:space="preserve">e consider a Network User Failure Event could provide an efficient alternative to </w:t>
      </w:r>
      <w:r>
        <w:rPr>
          <w:rStyle w:val="AERbody"/>
          <w:b w:val="0"/>
        </w:rPr>
        <w:t>ActewAGL</w:t>
      </w:r>
      <w:r w:rsidR="00AC0029" w:rsidRPr="00AC0029">
        <w:rPr>
          <w:rStyle w:val="AERbody"/>
          <w:b w:val="0"/>
        </w:rPr>
        <w:t xml:space="preserve"> </w:t>
      </w:r>
      <w:r w:rsidR="007F7899" w:rsidRPr="007F7899">
        <w:rPr>
          <w:rStyle w:val="AERbody"/>
          <w:b w:val="0"/>
        </w:rPr>
        <w:t xml:space="preserve">investing an automated system solely for transferring customers in a RoLR event. Where such systems significantly exceed what </w:t>
      </w:r>
      <w:r>
        <w:rPr>
          <w:rStyle w:val="AERbody"/>
          <w:b w:val="0"/>
        </w:rPr>
        <w:t>ActewAGL</w:t>
      </w:r>
      <w:r w:rsidR="00AC0029" w:rsidRPr="00AC0029">
        <w:rPr>
          <w:rStyle w:val="AERbody"/>
          <w:b w:val="0"/>
        </w:rPr>
        <w:t xml:space="preserve"> </w:t>
      </w:r>
      <w:r w:rsidR="007F7899" w:rsidRPr="007F7899">
        <w:rPr>
          <w:rStyle w:val="AERbody"/>
          <w:b w:val="0"/>
        </w:rPr>
        <w:t xml:space="preserve">would otherwise require to </w:t>
      </w:r>
      <w:r w:rsidR="007F7899" w:rsidRPr="007F7899">
        <w:rPr>
          <w:rStyle w:val="AERbody"/>
          <w:b w:val="0"/>
        </w:rPr>
        <w:lastRenderedPageBreak/>
        <w:t>process customer transfers in accordance with the NERL, NERR, NGR and retail market procedures, this expenditure may not be prudent or efficient, particularly given the low frequency of RoLR events.</w:t>
      </w:r>
    </w:p>
    <w:p w:rsidR="00B61EDF" w:rsidRDefault="008911F7" w:rsidP="008911F7">
      <w:pPr>
        <w:pStyle w:val="Heading4"/>
        <w:numPr>
          <w:ilvl w:val="0"/>
          <w:numId w:val="0"/>
        </w:numPr>
        <w:rPr>
          <w:rStyle w:val="AERbody"/>
          <w:b w:val="0"/>
        </w:rPr>
      </w:pPr>
      <w:r w:rsidRPr="008911F7">
        <w:rPr>
          <w:rStyle w:val="AERbody"/>
          <w:b w:val="0"/>
        </w:rPr>
        <w:t xml:space="preserve">For avoidance of doubt, our preferred definition notes that when assessing an application under a </w:t>
      </w:r>
      <w:r w:rsidR="00527912">
        <w:rPr>
          <w:rStyle w:val="AERbody"/>
          <w:b w:val="0"/>
        </w:rPr>
        <w:t>n</w:t>
      </w:r>
      <w:r w:rsidRPr="008911F7">
        <w:rPr>
          <w:rStyle w:val="AERbody"/>
          <w:b w:val="0"/>
        </w:rPr>
        <w:t xml:space="preserve">etwork </w:t>
      </w:r>
      <w:r w:rsidR="00527912">
        <w:rPr>
          <w:rStyle w:val="AERbody"/>
          <w:b w:val="0"/>
        </w:rPr>
        <w:t>u</w:t>
      </w:r>
      <w:r w:rsidRPr="008911F7">
        <w:rPr>
          <w:rStyle w:val="AERbody"/>
          <w:b w:val="0"/>
        </w:rPr>
        <w:t xml:space="preserve">ser </w:t>
      </w:r>
      <w:r w:rsidR="00527912">
        <w:rPr>
          <w:rStyle w:val="AERbody"/>
          <w:b w:val="0"/>
        </w:rPr>
        <w:t>f</w:t>
      </w:r>
      <w:r w:rsidRPr="008911F7">
        <w:rPr>
          <w:rStyle w:val="AERbody"/>
          <w:b w:val="0"/>
        </w:rPr>
        <w:t xml:space="preserve">ailure </w:t>
      </w:r>
      <w:r w:rsidR="00527912">
        <w:rPr>
          <w:rStyle w:val="AERbody"/>
          <w:b w:val="0"/>
        </w:rPr>
        <w:t>e</w:t>
      </w:r>
      <w:r w:rsidRPr="008911F7">
        <w:rPr>
          <w:rStyle w:val="AERbody"/>
          <w:b w:val="0"/>
        </w:rPr>
        <w:t>vent we will have regard to, amongst other things the extent to which the service provider has taken steps to minimise the costs assoc</w:t>
      </w:r>
      <w:r w:rsidR="00F85DA1">
        <w:rPr>
          <w:rStyle w:val="AERbody"/>
          <w:b w:val="0"/>
        </w:rPr>
        <w:t xml:space="preserve">iated with its responsibilities if a User becomes insolvent. </w:t>
      </w:r>
    </w:p>
    <w:p w:rsidR="00B712B8" w:rsidRPr="00B712B8" w:rsidRDefault="00B712B8" w:rsidP="00A345DA">
      <w:pPr>
        <w:pStyle w:val="HeadingBoldItalic"/>
      </w:pPr>
      <w:r w:rsidRPr="00B712B8">
        <w:t>Application where failed retailer is not insolvent</w:t>
      </w:r>
    </w:p>
    <w:p w:rsidR="00B712B8" w:rsidRDefault="00B712B8" w:rsidP="00B712B8">
      <w:r>
        <w:t xml:space="preserve">Rule 531 of the NGR allows </w:t>
      </w:r>
      <w:r w:rsidR="009664A2">
        <w:t>ActewAGL</w:t>
      </w:r>
      <w:r w:rsidR="00F6035D" w:rsidRPr="00F6035D">
        <w:t xml:space="preserve"> </w:t>
      </w:r>
      <w:r>
        <w:t xml:space="preserve">to pass through costs associated with a RoLR event that is triggered by retailer insolvency. However, </w:t>
      </w:r>
      <w:r w:rsidR="009664A2">
        <w:t>ActewAGL</w:t>
      </w:r>
      <w:r w:rsidR="00F6035D" w:rsidRPr="00F6035D">
        <w:t xml:space="preserve"> </w:t>
      </w:r>
      <w:r>
        <w:t>noted a RoLR event may be triggered under the NERL in circumstances where the retailer is not insolvent.</w:t>
      </w:r>
      <w:r>
        <w:rPr>
          <w:rStyle w:val="FootnoteReference"/>
        </w:rPr>
        <w:footnoteReference w:id="42"/>
      </w:r>
    </w:p>
    <w:p w:rsidR="00B712B8" w:rsidRDefault="00B712B8" w:rsidP="00B712B8">
      <w:r>
        <w:t xml:space="preserve">We consider the costs that </w:t>
      </w:r>
      <w:r w:rsidR="009664A2">
        <w:t>ActewAGL</w:t>
      </w:r>
      <w:r w:rsidR="00F6035D" w:rsidRPr="00F6035D">
        <w:t xml:space="preserve"> </w:t>
      </w:r>
      <w:r>
        <w:t xml:space="preserve">would incur in meeting its obligations under the NERL and the RoLR procedures in a RoLR event are likely to be the same regardless of the trigger for that event. As discussed above, we consider a Network User Failure Event could provide an efficient alternative to </w:t>
      </w:r>
      <w:r w:rsidR="009664A2">
        <w:t>ActewAGL</w:t>
      </w:r>
      <w:r w:rsidR="00F6035D" w:rsidRPr="00F6035D">
        <w:t xml:space="preserve"> </w:t>
      </w:r>
      <w:r>
        <w:t>investing an automated system solely for transferring customers in a RoLR event.</w:t>
      </w:r>
    </w:p>
    <w:p w:rsidR="00B712B8" w:rsidRDefault="00B712B8" w:rsidP="00B712B8">
      <w:r>
        <w:t xml:space="preserve">Consistent with </w:t>
      </w:r>
      <w:r w:rsidR="009664A2">
        <w:t>ActewAGL</w:t>
      </w:r>
      <w:r>
        <w:t>’s proposal, our preferred definition therefore allows recovery of costs resulting from any RoLR event under section 122 of the NERL, where those costs are not recoverable by the service provider under other provisions of the NERL, NERR, NGL or NGR as in force at the time of the event, including but not limited to rule 531 of the NGR and other pass through events in the access arrangement.</w:t>
      </w:r>
    </w:p>
    <w:p w:rsidR="00B712B8" w:rsidRPr="003D49DB" w:rsidRDefault="003D49DB" w:rsidP="00A345DA">
      <w:pPr>
        <w:pStyle w:val="HeadingBoldItalic"/>
      </w:pPr>
      <w:r w:rsidRPr="003D49DB">
        <w:t xml:space="preserve">Recovery of foregone revenue </w:t>
      </w:r>
    </w:p>
    <w:p w:rsidR="00F85DA1" w:rsidRDefault="00CB5292" w:rsidP="00F85DA1">
      <w:r>
        <w:t xml:space="preserve">ActewAGL's proposed network user failure event includes provision for the recovery of foregone revenue. </w:t>
      </w:r>
      <w:r w:rsidR="00437774" w:rsidRPr="00437774">
        <w:t xml:space="preserve">Key to our consideration of this event are the appropriate allocation of risk between </w:t>
      </w:r>
      <w:r w:rsidR="009664A2">
        <w:t>ActewAGL</w:t>
      </w:r>
      <w:r w:rsidR="00F6035D" w:rsidRPr="00F6035D">
        <w:t xml:space="preserve"> </w:t>
      </w:r>
      <w:r w:rsidR="00437774" w:rsidRPr="00437774">
        <w:t xml:space="preserve">and its customers, and the incentives that would flow from a pass through event that allowed </w:t>
      </w:r>
      <w:r w:rsidR="009664A2">
        <w:t>ActewAGL</w:t>
      </w:r>
      <w:r w:rsidR="00F6035D" w:rsidRPr="00F6035D">
        <w:t xml:space="preserve"> </w:t>
      </w:r>
      <w:r w:rsidR="00437774" w:rsidRPr="00437774">
        <w:t>to recover amounts unpaid by a failed retailer directly from its customers.</w:t>
      </w:r>
    </w:p>
    <w:p w:rsidR="00444C0D" w:rsidRDefault="00444C0D" w:rsidP="00444C0D">
      <w:r>
        <w:t xml:space="preserve">We have considered the following options available to </w:t>
      </w:r>
      <w:r w:rsidR="009664A2">
        <w:t>ActewAGL</w:t>
      </w:r>
      <w:r w:rsidR="00F6035D" w:rsidRPr="00F6035D">
        <w:t xml:space="preserve"> </w:t>
      </w:r>
      <w:r>
        <w:t>to manage its exposure in a RoLR event, and to recover unpaid charges from the existing retailer:</w:t>
      </w:r>
    </w:p>
    <w:p w:rsidR="00702F1B" w:rsidRDefault="009664A2" w:rsidP="00F6035D">
      <w:pPr>
        <w:pStyle w:val="ListParagraph"/>
        <w:numPr>
          <w:ilvl w:val="0"/>
          <w:numId w:val="33"/>
        </w:numPr>
      </w:pPr>
      <w:r>
        <w:t>ActewAGL</w:t>
      </w:r>
      <w:r w:rsidR="00F6035D" w:rsidRPr="00F6035D">
        <w:t xml:space="preserve"> </w:t>
      </w:r>
      <w:r w:rsidR="00444C0D">
        <w:t>can and should make use of credit support arrangements under Part 21 of the NGR to li</w:t>
      </w:r>
      <w:r w:rsidR="005D626C">
        <w:t>mit its exposure to credit risk</w:t>
      </w:r>
    </w:p>
    <w:p w:rsidR="00702F1B" w:rsidRPr="00BC7B99" w:rsidRDefault="00444C0D" w:rsidP="00F6035D">
      <w:pPr>
        <w:pStyle w:val="ListParagraph"/>
        <w:numPr>
          <w:ilvl w:val="0"/>
          <w:numId w:val="33"/>
        </w:numPr>
        <w:rPr>
          <w:i/>
        </w:rPr>
      </w:pPr>
      <w:r>
        <w:t xml:space="preserve">Should a retailer become insolvent, </w:t>
      </w:r>
      <w:r w:rsidR="009664A2">
        <w:t>ActewAGL</w:t>
      </w:r>
      <w:r w:rsidR="00F6035D" w:rsidRPr="00F6035D">
        <w:t xml:space="preserve"> </w:t>
      </w:r>
      <w:r>
        <w:t xml:space="preserve">can and should pursue recovery of debts through the insolvency process under the </w:t>
      </w:r>
      <w:r w:rsidR="005D626C">
        <w:rPr>
          <w:i/>
        </w:rPr>
        <w:t>Corporations Act 2001 (Cth)</w:t>
      </w:r>
    </w:p>
    <w:p w:rsidR="00702F1B" w:rsidRDefault="00444C0D" w:rsidP="00F6035D">
      <w:pPr>
        <w:pStyle w:val="ListParagraph"/>
        <w:numPr>
          <w:ilvl w:val="0"/>
          <w:numId w:val="33"/>
        </w:numPr>
      </w:pPr>
      <w:r>
        <w:lastRenderedPageBreak/>
        <w:t xml:space="preserve">Where a RoLR event occurs and the failed retailer is not insolvent, </w:t>
      </w:r>
      <w:r w:rsidR="009664A2">
        <w:t>ActewAGL</w:t>
      </w:r>
      <w:r w:rsidR="00BC7B99">
        <w:t xml:space="preserve"> </w:t>
      </w:r>
      <w:r>
        <w:t>can and should pursue recovery of de</w:t>
      </w:r>
      <w:r w:rsidR="005D626C">
        <w:t>bts directly from that retailer</w:t>
      </w:r>
    </w:p>
    <w:p w:rsidR="00444C0D" w:rsidRDefault="009664A2" w:rsidP="00F6035D">
      <w:pPr>
        <w:pStyle w:val="ListParagraph"/>
        <w:numPr>
          <w:ilvl w:val="0"/>
          <w:numId w:val="33"/>
        </w:numPr>
      </w:pPr>
      <w:r>
        <w:t>ActewAGL</w:t>
      </w:r>
      <w:r w:rsidR="00F6035D" w:rsidRPr="00F6035D">
        <w:t xml:space="preserve"> </w:t>
      </w:r>
      <w:r w:rsidR="00444C0D">
        <w:t xml:space="preserve">has not demonstrated any residual risk is uninsurable, such that it would be appropriate for consumers to insure </w:t>
      </w:r>
      <w:r>
        <w:t>ActewAGL</w:t>
      </w:r>
      <w:r w:rsidR="00F6035D" w:rsidRPr="00F6035D">
        <w:t xml:space="preserve"> </w:t>
      </w:r>
      <w:r w:rsidR="00444C0D">
        <w:t xml:space="preserve">against this risk rather than </w:t>
      </w:r>
      <w:r>
        <w:t>ActewAGL</w:t>
      </w:r>
      <w:r w:rsidR="00444C0D">
        <w:t>.</w:t>
      </w:r>
    </w:p>
    <w:p w:rsidR="00444C0D" w:rsidRDefault="00444C0D" w:rsidP="00444C0D">
      <w:r>
        <w:t xml:space="preserve">A pass through event that operates in addition to rule 531 of the NGR and allows the recovery of some or all revenue foregone in a RoLR event would weaken </w:t>
      </w:r>
      <w:r w:rsidR="009664A2">
        <w:t>ActewAGL</w:t>
      </w:r>
      <w:r>
        <w:t xml:space="preserve">’s incentives to pursue these options. There are means to recover the amounts owed from the relevant retailer. We do not consider it appropriate for </w:t>
      </w:r>
      <w:r w:rsidR="009664A2">
        <w:t>ActewAGL</w:t>
      </w:r>
      <w:r w:rsidR="00F6035D" w:rsidRPr="00F6035D">
        <w:t xml:space="preserve"> </w:t>
      </w:r>
      <w:r>
        <w:t>to have consumers fund the unrecovered amounts.</w:t>
      </w:r>
    </w:p>
    <w:p w:rsidR="00AE30A4" w:rsidRDefault="00444C0D" w:rsidP="00444C0D">
      <w:r>
        <w:t xml:space="preserve">We therefore do not accept that foregone revenue should be included in the costs that can be claimed under this pass through event. Our preferred definition refers to costs, and not the revenue impact </w:t>
      </w:r>
      <w:r w:rsidR="009664A2">
        <w:t>ActewAGL</w:t>
      </w:r>
      <w:r>
        <w:t xml:space="preserve"> sustains or will sustain as a result of amounts unpaid as a result of the RoLR event.</w:t>
      </w:r>
    </w:p>
    <w:p w:rsidR="0069608B" w:rsidRDefault="0069608B" w:rsidP="00444C0D">
      <w:r w:rsidRPr="0069608B">
        <w:t xml:space="preserve">We note if a pass through event of this kind were to occur, in assessing </w:t>
      </w:r>
      <w:r w:rsidR="009664A2">
        <w:t>ActewAGL</w:t>
      </w:r>
      <w:r w:rsidRPr="0069608B">
        <w:t xml:space="preserve">'s application to pass through costs, we would consider the efficiency of </w:t>
      </w:r>
      <w:r w:rsidR="009664A2">
        <w:t>ActewAGL</w:t>
      </w:r>
      <w:r w:rsidRPr="0069608B">
        <w:t xml:space="preserve">'s decisions and actions in relation to the risk of the event. We would consider, amongst other things, </w:t>
      </w:r>
      <w:r>
        <w:t xml:space="preserve">the steps taken by </w:t>
      </w:r>
      <w:r w:rsidR="009664A2">
        <w:t>ActewAGL</w:t>
      </w:r>
      <w:r>
        <w:t xml:space="preserve"> to minimise the costs of this event</w:t>
      </w:r>
      <w:r w:rsidRPr="0069608B">
        <w:t xml:space="preserve">. This gives </w:t>
      </w:r>
      <w:r w:rsidR="009664A2">
        <w:t>ActewAGL</w:t>
      </w:r>
      <w:r w:rsidRPr="0069608B">
        <w:t xml:space="preserve"> an incentive to mitigate the risks associated with the event including through implementing practical risk minimisation strategies in its operations</w:t>
      </w:r>
      <w:r>
        <w:t>.</w:t>
      </w:r>
    </w:p>
    <w:p w:rsidR="00CB5292" w:rsidRPr="00CB5292" w:rsidRDefault="00CB5292" w:rsidP="00A345DA">
      <w:pPr>
        <w:pStyle w:val="HeadingBoldItalic"/>
      </w:pPr>
      <w:r w:rsidRPr="00CB5292">
        <w:t>Application to non-retailer users</w:t>
      </w:r>
    </w:p>
    <w:p w:rsidR="00CB5292" w:rsidRPr="00CB5292" w:rsidRDefault="00CB5292" w:rsidP="00CB5292">
      <w:r w:rsidRPr="00CB5292">
        <w:t xml:space="preserve">The arguments </w:t>
      </w:r>
      <w:r>
        <w:t xml:space="preserve">ActewAGL has raised </w:t>
      </w:r>
      <w:r w:rsidRPr="00CB5292">
        <w:t xml:space="preserve">in support of this event relate to RoLR processes triggered under the NERL. These are specific to energy retailers. However, </w:t>
      </w:r>
      <w:r>
        <w:t>its</w:t>
      </w:r>
      <w:r w:rsidRPr="00CB5292">
        <w:t xml:space="preserve"> proposed definition of the Network User Failure Event refers to any User</w:t>
      </w:r>
      <w:r>
        <w:t xml:space="preserve"> (not just users who are retailers)</w:t>
      </w:r>
      <w:r w:rsidRPr="00CB5292">
        <w:t>, and does not reference the RoLR process.</w:t>
      </w:r>
    </w:p>
    <w:p w:rsidR="00CB5292" w:rsidRPr="00CB5292" w:rsidRDefault="00CB5292" w:rsidP="00CB5292">
      <w:r w:rsidRPr="00CB5292">
        <w:t xml:space="preserve">Absent a RoLR event under the NERL, </w:t>
      </w:r>
      <w:r>
        <w:t>ActewAGL</w:t>
      </w:r>
      <w:r w:rsidRPr="00CB5292">
        <w:t xml:space="preserve"> will not be required to perform its obligations under the NERL and the RoLR procedures to facilitate the transfer of customers in retail market systems. The costs of administering a RoLR event in accordance with those obligations do not arise. </w:t>
      </w:r>
    </w:p>
    <w:p w:rsidR="00CB5292" w:rsidRDefault="00CB5292" w:rsidP="00CB5292">
      <w:r w:rsidRPr="00CB5292">
        <w:t>Our preferred definition is therefore specific to the occurrence of a RoLR event as defined in section 122 of the National Energy Retail Law.</w:t>
      </w:r>
    </w:p>
    <w:p w:rsidR="00A943CA" w:rsidRDefault="00CB5292" w:rsidP="00F85DA1">
      <w:r>
        <w:t>For the reasons above, we require ActewAGL to amend the definition of the network user failure event as follows:</w:t>
      </w:r>
    </w:p>
    <w:p w:rsidR="00A943CA" w:rsidRPr="00A345DA" w:rsidRDefault="00A943CA" w:rsidP="00A345DA">
      <w:pPr>
        <w:pStyle w:val="AERquote"/>
        <w:rPr>
          <w:rStyle w:val="Strong"/>
        </w:rPr>
      </w:pPr>
      <w:r w:rsidRPr="00A345DA">
        <w:rPr>
          <w:rStyle w:val="Strong"/>
        </w:rPr>
        <w:t xml:space="preserve">Network User Failure Event </w:t>
      </w:r>
    </w:p>
    <w:p w:rsidR="00A943CA" w:rsidRDefault="00A943CA" w:rsidP="00A345DA">
      <w:pPr>
        <w:pStyle w:val="AERquote"/>
      </w:pPr>
      <w:r>
        <w:t>Network User Failure Event means the occurrence of an event where:</w:t>
      </w:r>
    </w:p>
    <w:p w:rsidR="00A943CA" w:rsidRDefault="00A943CA" w:rsidP="00A345DA">
      <w:pPr>
        <w:pStyle w:val="AERquote"/>
      </w:pPr>
      <w:r>
        <w:t>(a) a Retailer of Last Resort (RoLR) Event as defined in section 122 of the National Energy Retail Law has occurred, and</w:t>
      </w:r>
    </w:p>
    <w:p w:rsidR="00A943CA" w:rsidRDefault="00A943CA" w:rsidP="00A345DA">
      <w:pPr>
        <w:pStyle w:val="AERquote"/>
      </w:pPr>
      <w:r>
        <w:lastRenderedPageBreak/>
        <w:t>(b) the Service Provider incurs costs in responding to the RoLR event in accordance with its obligations under the NERL, NERR, NGL or NGR (including Guidelines and procedures that are binding under those instruments), and</w:t>
      </w:r>
    </w:p>
    <w:p w:rsidR="00A943CA" w:rsidRDefault="00A943CA" w:rsidP="00A345DA">
      <w:pPr>
        <w:pStyle w:val="AERquote"/>
      </w:pPr>
      <w:r>
        <w:t>(c) the costs are not recoverable by the Service Provider under other provisions of the NERL, NERR, NGL or NGR as in force at the time of the event, including but not limited to rule 531 of the NGR and other pass through events in this Access Arrangement.</w:t>
      </w:r>
    </w:p>
    <w:p w:rsidR="00AE30A4" w:rsidRDefault="00A943CA" w:rsidP="00A345DA">
      <w:pPr>
        <w:pStyle w:val="AERquote"/>
      </w:pPr>
      <w:r>
        <w:t>Note for the avoidance of doubt, in making a determination on a Network User Failure Event, the AER will have regard to, amongst other things, the extent to which the Service Provider has taken steps to minimise the costs associated with its responsibilities in a RoLR Event, both prior to, and after, the RoLR Event was triggered.</w:t>
      </w:r>
    </w:p>
    <w:p w:rsidR="00F30401" w:rsidRPr="00F30401" w:rsidRDefault="00F30401" w:rsidP="00A345DA">
      <w:r>
        <w:t>This definition is consistent with that approved for JGN.</w:t>
      </w:r>
    </w:p>
    <w:p w:rsidR="00365E8A" w:rsidRPr="00633F18" w:rsidRDefault="00365E8A" w:rsidP="00365E8A">
      <w:pPr>
        <w:pStyle w:val="Heading4"/>
      </w:pPr>
      <w:r w:rsidRPr="00633F18">
        <w:t>Short Term Trading Market event</w:t>
      </w:r>
    </w:p>
    <w:p w:rsidR="00385C20" w:rsidRDefault="004E238C" w:rsidP="00670A9A">
      <w:r>
        <w:t>This pass through event</w:t>
      </w:r>
      <w:r w:rsidR="007D0096">
        <w:t xml:space="preserve"> was included in ActewAGL's current access arrangement, and</w:t>
      </w:r>
      <w:r>
        <w:t xml:space="preserve"> </w:t>
      </w:r>
      <w:r w:rsidR="007D0096">
        <w:t xml:space="preserve">would arise </w:t>
      </w:r>
      <w:r>
        <w:t xml:space="preserve">if </w:t>
      </w:r>
      <w:r w:rsidR="009664A2">
        <w:t>ActewAGL</w:t>
      </w:r>
      <w:r w:rsidR="00F6035D" w:rsidRPr="00F6035D">
        <w:t xml:space="preserve"> </w:t>
      </w:r>
      <w:r>
        <w:t>participates in the Short Term Trading Market (STTM), resulting in changes</w:t>
      </w:r>
      <w:r w:rsidR="00CC0425">
        <w:t xml:space="preserve"> to </w:t>
      </w:r>
      <w:r>
        <w:t xml:space="preserve">costs or services. </w:t>
      </w:r>
    </w:p>
    <w:p w:rsidR="00385C20" w:rsidRDefault="00385C20" w:rsidP="00670A9A">
      <w:r>
        <w:t>In its submission on ActewAGL's proposal, Origin Energy (Origin) suggested this event be removed for two reasons:</w:t>
      </w:r>
      <w:r>
        <w:rPr>
          <w:rStyle w:val="FootnoteReference"/>
        </w:rPr>
        <w:footnoteReference w:id="43"/>
      </w:r>
    </w:p>
    <w:p w:rsidR="00385C20" w:rsidRDefault="00385C20" w:rsidP="00A345DA">
      <w:pPr>
        <w:pStyle w:val="AERbulletlistfirststyle"/>
      </w:pPr>
      <w:r>
        <w:t>It is no longer necessary. Origin referred to the conclusions of AEMO's review of STTM operations in 2011</w:t>
      </w:r>
      <w:r w:rsidR="0089203E">
        <w:t>–</w:t>
      </w:r>
      <w:r>
        <w:t>12 (after the commencement of the current access arrangement) that absent commitment from relevant jurisdictions it was more productive for STTM reviews to focus on the design and operation of existing hubs that the potential for new ones.</w:t>
      </w:r>
    </w:p>
    <w:p w:rsidR="00670A9A" w:rsidRDefault="00385C20" w:rsidP="00A345DA">
      <w:pPr>
        <w:pStyle w:val="AERbulletlistfirststyle"/>
      </w:pPr>
      <w:r>
        <w:t>Should the ACT government decide to implement an STTM hub in the ACT, this would require a regulatory change, and therefore be covered by the regulatory change event.</w:t>
      </w:r>
    </w:p>
    <w:p w:rsidR="00385C20" w:rsidRDefault="00385C20" w:rsidP="00670A9A">
      <w:r>
        <w:t xml:space="preserve">Our own assessment supports these views. </w:t>
      </w:r>
      <w:r w:rsidR="00EC418B">
        <w:t xml:space="preserve">There has been no work on establishing a Canberra hub over the past five years. Further, </w:t>
      </w:r>
      <w:r w:rsidR="009664A2">
        <w:t>ActewAGL</w:t>
      </w:r>
      <w:r w:rsidR="00F6035D" w:rsidRPr="00F6035D">
        <w:t xml:space="preserve"> </w:t>
      </w:r>
      <w:r w:rsidR="00EC418B">
        <w:t>ha</w:t>
      </w:r>
      <w:r w:rsidR="007D0096">
        <w:t>s</w:t>
      </w:r>
      <w:r w:rsidR="00EC418B">
        <w:t xml:space="preserve"> not provided any evidence that a trading hub is likely to be developed in Canberra in the foreseeable future. </w:t>
      </w:r>
      <w:r w:rsidR="007D0096">
        <w:t xml:space="preserve">This casts sufficient doubt about the relevance of the proposed STTM event to the ACT, Palerang and Queanbeyan distribution networks that we no longer consider it necessary for it to be considered a pass through event. </w:t>
      </w:r>
    </w:p>
    <w:p w:rsidR="00877C2A" w:rsidRPr="00670A9A" w:rsidRDefault="00633F18" w:rsidP="00670A9A">
      <w:r>
        <w:t>For these reasons we do not approve this event.</w:t>
      </w:r>
      <w:r w:rsidR="00385C20">
        <w:t xml:space="preserve"> </w:t>
      </w:r>
      <w:r w:rsidR="00877C2A">
        <w:t>We therefore require ActewAGL to amend its access arrangement to remove this event.</w:t>
      </w:r>
    </w:p>
    <w:p w:rsidR="00365E8A" w:rsidRPr="00A954F2" w:rsidRDefault="00365E8A" w:rsidP="00365E8A">
      <w:pPr>
        <w:pStyle w:val="Heading4"/>
      </w:pPr>
      <w:r w:rsidRPr="00A954F2">
        <w:lastRenderedPageBreak/>
        <w:t>Supply Curtailment event</w:t>
      </w:r>
    </w:p>
    <w:p w:rsidR="00134F7C" w:rsidRDefault="00541118" w:rsidP="00134F7C">
      <w:r>
        <w:t xml:space="preserve">This pass through event would allow </w:t>
      </w:r>
      <w:r w:rsidR="009664A2">
        <w:t>ActewAGL</w:t>
      </w:r>
      <w:r w:rsidR="00F6035D" w:rsidRPr="00F6035D">
        <w:t xml:space="preserve"> </w:t>
      </w:r>
      <w:r>
        <w:t xml:space="preserve">to pass through costs in a situations where there is insufficient gas delivered to </w:t>
      </w:r>
      <w:r w:rsidR="009664A2">
        <w:t>ActewAGL</w:t>
      </w:r>
      <w:r>
        <w:t>’s network</w:t>
      </w:r>
      <w:r w:rsidR="004E0083">
        <w:t>,</w:t>
      </w:r>
      <w:r>
        <w:t xml:space="preserve"> due to reasons beyond </w:t>
      </w:r>
      <w:r w:rsidR="009664A2">
        <w:t>ActewAGL</w:t>
      </w:r>
      <w:r>
        <w:t xml:space="preserve">’s control. This was a pass through event in </w:t>
      </w:r>
      <w:r w:rsidR="009664A2">
        <w:t>ActewAGL</w:t>
      </w:r>
      <w:r w:rsidR="0089203E">
        <w:t>’s 2010–</w:t>
      </w:r>
      <w:r>
        <w:t xml:space="preserve">15 access arrangement. </w:t>
      </w:r>
      <w:r w:rsidR="007D0096">
        <w:t>In more recent decisions, including our decision on the access arrangement for JGN, we have rejected such events</w:t>
      </w:r>
      <w:r w:rsidR="00C371D5">
        <w:t xml:space="preserve"> for the following reasons:</w:t>
      </w:r>
    </w:p>
    <w:p w:rsidR="00134F7C" w:rsidRDefault="00541118" w:rsidP="00A345DA">
      <w:pPr>
        <w:pStyle w:val="AERbulletlistfirststyle"/>
      </w:pPr>
      <w:r>
        <w:t xml:space="preserve">Accepting a pass through event for gas shortfalls would weaken </w:t>
      </w:r>
      <w:r w:rsidR="009664A2">
        <w:t>ActewAGL</w:t>
      </w:r>
      <w:r>
        <w:t xml:space="preserve">'s incentives to properly mitigate the risk, and minimise the costs, of a gas shortfall. There are several potential risk mitigation strategies </w:t>
      </w:r>
      <w:r w:rsidR="009664A2">
        <w:t>ActewAGL</w:t>
      </w:r>
      <w:r w:rsidR="00F6035D" w:rsidRPr="00F6035D">
        <w:t xml:space="preserve"> </w:t>
      </w:r>
      <w:r>
        <w:t>can undertake to help prevent a gas supply shortfall and minimise</w:t>
      </w:r>
      <w:r w:rsidRPr="00541118">
        <w:t xml:space="preserve"> its costs in the event of one</w:t>
      </w:r>
      <w:r>
        <w:t xml:space="preserve">. </w:t>
      </w:r>
      <w:r w:rsidR="009664A2">
        <w:t>ActewAGL</w:t>
      </w:r>
      <w:r w:rsidR="00F6035D" w:rsidRPr="00F6035D">
        <w:t xml:space="preserve"> </w:t>
      </w:r>
      <w:r w:rsidRPr="00541118">
        <w:t>is best placed to manage this risk and should not be permitted to pass the risk directly onto consumers.</w:t>
      </w:r>
    </w:p>
    <w:p w:rsidR="00541118" w:rsidRDefault="00541118" w:rsidP="00A345DA">
      <w:pPr>
        <w:pStyle w:val="AERbulletlistfirststyle"/>
      </w:pPr>
      <w:r w:rsidRPr="00541118">
        <w:t xml:space="preserve">Adequate gas supply is fundamental to </w:t>
      </w:r>
      <w:r w:rsidR="009664A2">
        <w:t>ActewAGL</w:t>
      </w:r>
      <w:r w:rsidRPr="00541118">
        <w:t xml:space="preserve">'s business. Properly managing the risk of low supply is vital for </w:t>
      </w:r>
      <w:r w:rsidR="009664A2">
        <w:t>ActewAGL</w:t>
      </w:r>
      <w:r w:rsidRPr="00541118">
        <w:t xml:space="preserve"> to be an effective gas distributor. Therefore, we consider managing this risk is a typical business expense for </w:t>
      </w:r>
      <w:r w:rsidR="009664A2">
        <w:t>ActewAGL</w:t>
      </w:r>
      <w:r w:rsidRPr="00541118">
        <w:t>, and should not be passed through to consumers.</w:t>
      </w:r>
    </w:p>
    <w:p w:rsidR="00134F7C" w:rsidRDefault="00877C2A" w:rsidP="00134F7C">
      <w:r>
        <w:t xml:space="preserve">This </w:t>
      </w:r>
      <w:r w:rsidR="00541118">
        <w:t>view is consistent with our decision in recent access arrangements.</w:t>
      </w:r>
      <w:r w:rsidR="00541118">
        <w:rPr>
          <w:rStyle w:val="FootnoteReference"/>
        </w:rPr>
        <w:footnoteReference w:id="44"/>
      </w:r>
      <w:r w:rsidR="00541118">
        <w:t xml:space="preserve"> </w:t>
      </w:r>
    </w:p>
    <w:p w:rsidR="00877C2A" w:rsidRPr="00670A9A" w:rsidRDefault="00877C2A" w:rsidP="00877C2A">
      <w:r>
        <w:t>For the reasons above, we require ActewAGL to amend its access arrangement to remove this event.</w:t>
      </w:r>
    </w:p>
    <w:p w:rsidR="00365E8A" w:rsidRPr="00365E8A" w:rsidRDefault="00365E8A" w:rsidP="00365E8A">
      <w:pPr>
        <w:pStyle w:val="Heading4"/>
      </w:pPr>
      <w:r>
        <w:t xml:space="preserve">General Pass Through event </w:t>
      </w:r>
    </w:p>
    <w:p w:rsidR="00877C2A" w:rsidRDefault="00DE28AE" w:rsidP="00474EC7">
      <w:r>
        <w:t xml:space="preserve">The general pass through event </w:t>
      </w:r>
      <w:r w:rsidR="00D867BA">
        <w:t xml:space="preserve">would enable </w:t>
      </w:r>
      <w:r w:rsidR="009664A2">
        <w:t>ActewAGL</w:t>
      </w:r>
      <w:r w:rsidR="00F6035D" w:rsidRPr="00F6035D">
        <w:t xml:space="preserve"> </w:t>
      </w:r>
      <w:r w:rsidR="00D867BA">
        <w:t xml:space="preserve">to recover costs from events unable to be forecast. </w:t>
      </w:r>
      <w:r w:rsidR="00877C2A">
        <w:t xml:space="preserve">This event was included in </w:t>
      </w:r>
      <w:r w:rsidR="009664A2">
        <w:t>ActewAGL</w:t>
      </w:r>
      <w:r w:rsidR="00877C2A">
        <w:t>’s 2010</w:t>
      </w:r>
      <w:r w:rsidR="0089203E">
        <w:t>–</w:t>
      </w:r>
      <w:r w:rsidR="00877C2A">
        <w:t>15 access arrangement. Again, in more recent decisions—including our decision on the nominated pass through events that will apply to ActewAGL's electricity network—we have rejected such events</w:t>
      </w:r>
      <w:r w:rsidR="00C371D5">
        <w:t xml:space="preserve"> for the following reasons</w:t>
      </w:r>
      <w:r w:rsidR="00877C2A">
        <w:t>.</w:t>
      </w:r>
    </w:p>
    <w:p w:rsidR="00995398" w:rsidRPr="00A345DA" w:rsidRDefault="00C45A00" w:rsidP="00A345DA">
      <w:pPr>
        <w:rPr>
          <w:rStyle w:val="AERbody"/>
        </w:rPr>
      </w:pPr>
      <w:r>
        <w:t xml:space="preserve">We note </w:t>
      </w:r>
      <w:r w:rsidR="009664A2">
        <w:t>ActewAGL</w:t>
      </w:r>
      <w:r>
        <w:t>’s argument that it is in the long term interests of consumers for service providers to have the opportunity to recover at least efficient costs.</w:t>
      </w:r>
      <w:r>
        <w:rPr>
          <w:rStyle w:val="FootnoteReference"/>
        </w:rPr>
        <w:footnoteReference w:id="45"/>
      </w:r>
      <w:r>
        <w:t xml:space="preserve"> </w:t>
      </w:r>
      <w:r w:rsidR="00995398" w:rsidRPr="00A345DA">
        <w:rPr>
          <w:rStyle w:val="AERbody"/>
        </w:rPr>
        <w:t xml:space="preserve">The accepted pass through events (discussed above) </w:t>
      </w:r>
      <w:r w:rsidR="000E2192">
        <w:rPr>
          <w:rStyle w:val="AERbody"/>
        </w:rPr>
        <w:t>support this by</w:t>
      </w:r>
      <w:r w:rsidR="00995398" w:rsidRPr="00A345DA">
        <w:rPr>
          <w:rStyle w:val="AERbody"/>
        </w:rPr>
        <w:t xml:space="preserve"> provid</w:t>
      </w:r>
      <w:r w:rsidR="000E2192">
        <w:rPr>
          <w:rStyle w:val="AERbody"/>
        </w:rPr>
        <w:t>ing</w:t>
      </w:r>
      <w:r w:rsidR="00995398" w:rsidRPr="00A345DA">
        <w:rPr>
          <w:rStyle w:val="AERbody"/>
        </w:rPr>
        <w:t xml:space="preserve"> </w:t>
      </w:r>
      <w:r w:rsidR="009664A2">
        <w:rPr>
          <w:rStyle w:val="AERbody"/>
        </w:rPr>
        <w:t>ActewAGL</w:t>
      </w:r>
      <w:r w:rsidR="00995398" w:rsidRPr="00A345DA">
        <w:rPr>
          <w:rStyle w:val="AERbody"/>
        </w:rPr>
        <w:t xml:space="preserve"> with the opportunity to recover the costs of </w:t>
      </w:r>
      <w:r w:rsidR="00D71F6C" w:rsidRPr="00A345DA">
        <w:rPr>
          <w:rStyle w:val="AERbody"/>
        </w:rPr>
        <w:t>unforeseen</w:t>
      </w:r>
      <w:r w:rsidR="00995398" w:rsidRPr="00A345DA">
        <w:rPr>
          <w:rStyle w:val="AERbody"/>
        </w:rPr>
        <w:t xml:space="preserve">, defined events, which </w:t>
      </w:r>
      <w:r w:rsidR="000E2192">
        <w:rPr>
          <w:rStyle w:val="AERbody"/>
        </w:rPr>
        <w:t xml:space="preserve">we consider </w:t>
      </w:r>
      <w:r w:rsidR="00995398" w:rsidRPr="00A345DA">
        <w:rPr>
          <w:rStyle w:val="AERbody"/>
        </w:rPr>
        <w:t>is in the long term interests of customers</w:t>
      </w:r>
      <w:r w:rsidR="00995398">
        <w:rPr>
          <w:rStyle w:val="AERbody"/>
        </w:rPr>
        <w:t>.</w:t>
      </w:r>
    </w:p>
    <w:p w:rsidR="00321CA3" w:rsidRPr="00474EC7" w:rsidRDefault="000E2192" w:rsidP="00321CA3">
      <w:r>
        <w:t>In contrast,</w:t>
      </w:r>
      <w:r w:rsidR="00D867BA">
        <w:t xml:space="preserve"> the general pass through event can</w:t>
      </w:r>
      <w:r w:rsidR="00DE28AE">
        <w:t xml:space="preserve">not be clearly identified or defined. </w:t>
      </w:r>
      <w:r w:rsidR="00321CA3" w:rsidRPr="00995398">
        <w:t xml:space="preserve">The </w:t>
      </w:r>
      <w:r w:rsidR="00321CA3" w:rsidRPr="00321CA3">
        <w:t xml:space="preserve">exclusions from this event that ActewAGL has identified do not, of themselves, serve as a definition. </w:t>
      </w:r>
      <w:r w:rsidR="00321CA3">
        <w:t>T</w:t>
      </w:r>
      <w:r w:rsidR="00321CA3" w:rsidRPr="00995398">
        <w:t xml:space="preserve">he event proposed could still be triggered in a broad range of situations that cannot be clearly identified at this time. We consider that specifying the </w:t>
      </w:r>
      <w:r w:rsidR="00321CA3" w:rsidRPr="00995398">
        <w:lastRenderedPageBreak/>
        <w:t xml:space="preserve">situations in which an otherwise undefined event may not apply does not, of itself, </w:t>
      </w:r>
      <w:r w:rsidR="00321CA3">
        <w:t>provide sufficient clarity or certainty about the application of an event</w:t>
      </w:r>
      <w:r w:rsidR="00321CA3" w:rsidRPr="00995398">
        <w:t>.</w:t>
      </w:r>
    </w:p>
    <w:p w:rsidR="00321CA3" w:rsidRPr="00670A9A" w:rsidRDefault="00DE28AE" w:rsidP="00321CA3">
      <w:r>
        <w:t xml:space="preserve">Because the event </w:t>
      </w:r>
      <w:r w:rsidR="00321CA3">
        <w:t>cannot</w:t>
      </w:r>
      <w:r>
        <w:t xml:space="preserve"> clearly identified, it is difficult to assess whether a prudent service provider could reasonably prevent an event of that nature occurring or substantially mitigate the cost impact of the event. It is also difficult to assess whether a service provider could insure or self-insure </w:t>
      </w:r>
      <w:r w:rsidR="005D626C">
        <w:t>against such an event occurring</w:t>
      </w:r>
      <w:r w:rsidR="00995398">
        <w:t>.</w:t>
      </w:r>
      <w:r w:rsidR="00321CA3">
        <w:t xml:space="preserve"> ActewAGL's proposal sought to address this by excluding from the general pass through event any event for which prevention or mitigation is possible, or against which ActewAGL can insure. This requires assessment of a largely unlimited range of situations against these criteria on an ex post basis—first by ActewAGL and then by us—after an event has occurred. We do not consider this provides sufficient certainty as to the potential application of the event.</w:t>
      </w:r>
      <w:r>
        <w:t xml:space="preserve"> </w:t>
      </w:r>
      <w:r w:rsidR="00321CA3">
        <w:t>For the reasons above, we require ActewAGL to amend its access arrangement to remove this event.</w:t>
      </w:r>
    </w:p>
    <w:p w:rsidR="00321CA3" w:rsidRDefault="00321CA3" w:rsidP="00A345DA">
      <w:pPr>
        <w:pStyle w:val="Heading3"/>
      </w:pPr>
      <w:bookmarkStart w:id="40" w:name="_Ref431291628"/>
      <w:bookmarkStart w:id="41" w:name="_Toc435449741"/>
      <w:r>
        <w:t>Fixed principles for cost pass through events</w:t>
      </w:r>
      <w:bookmarkEnd w:id="40"/>
      <w:bookmarkEnd w:id="41"/>
    </w:p>
    <w:p w:rsidR="00BF3130" w:rsidRDefault="007A566F" w:rsidP="00A345DA">
      <w:r>
        <w:t>ActewAGL has proposed a mechanism to allow the financial impact of an approved cost pass through eve</w:t>
      </w:r>
      <w:r w:rsidR="0089203E">
        <w:t>nt that occurs late in the 2016–</w:t>
      </w:r>
      <w:r>
        <w:t xml:space="preserve">21 access arrangement period to be addressed in the reference tariffs that apply in the next access arrangement period. It </w:t>
      </w:r>
      <w:r w:rsidR="00012E40">
        <w:t>submitted</w:t>
      </w:r>
      <w:r w:rsidR="00321CA3">
        <w:t xml:space="preserve"> that </w:t>
      </w:r>
      <w:r>
        <w:t>this mechanism (</w:t>
      </w:r>
      <w:r w:rsidR="00321CA3">
        <w:t xml:space="preserve">clause 7.16 of its </w:t>
      </w:r>
      <w:r w:rsidR="00012E40">
        <w:t xml:space="preserve">proposed </w:t>
      </w:r>
      <w:r w:rsidR="00321CA3">
        <w:t>access arrangement</w:t>
      </w:r>
      <w:r>
        <w:t>)</w:t>
      </w:r>
      <w:r w:rsidR="00321CA3">
        <w:t xml:space="preserve"> </w:t>
      </w:r>
      <w:r w:rsidR="00012E40">
        <w:t xml:space="preserve">should </w:t>
      </w:r>
      <w:r w:rsidR="00321CA3">
        <w:t xml:space="preserve">be a fixed principle </w:t>
      </w:r>
      <w:r w:rsidR="0089203E">
        <w:t>for both the 2016–</w:t>
      </w:r>
      <w:r w:rsidR="00012E40">
        <w:t>21 access arrangement period and the next access arrangement period.</w:t>
      </w:r>
      <w:r w:rsidR="00012E40">
        <w:rPr>
          <w:rStyle w:val="FootnoteReference"/>
        </w:rPr>
        <w:footnoteReference w:id="46"/>
      </w:r>
    </w:p>
    <w:p w:rsidR="00313D15" w:rsidRDefault="00BF3130" w:rsidP="00A345DA">
      <w:r>
        <w:t xml:space="preserve">Our recent decision for JGN rejected the application of a similar, fixed principle </w:t>
      </w:r>
      <w:r w:rsidR="00C371D5">
        <w:t>to future access arrangement periods</w:t>
      </w:r>
      <w:r>
        <w:t>. We considered that fixed principles for the next access arrangement period were appropriately considered together with other revisions that would apply in that period.</w:t>
      </w:r>
      <w:r w:rsidR="00D2695D">
        <w:rPr>
          <w:rStyle w:val="FootnoteReference"/>
        </w:rPr>
        <w:footnoteReference w:id="47"/>
      </w:r>
      <w:r>
        <w:t xml:space="preserve"> </w:t>
      </w:r>
    </w:p>
    <w:p w:rsidR="00313D15" w:rsidRDefault="00313D15" w:rsidP="00A345DA">
      <w:r>
        <w:t>ActewAGL submitted that its proposal:</w:t>
      </w:r>
      <w:r w:rsidR="00D2695D" w:rsidRPr="00D2695D">
        <w:rPr>
          <w:rStyle w:val="FootnoteReference"/>
        </w:rPr>
        <w:t xml:space="preserve"> </w:t>
      </w:r>
      <w:r w:rsidR="00D2695D" w:rsidRPr="00D2695D">
        <w:rPr>
          <w:rStyle w:val="FootnoteReference"/>
        </w:rPr>
        <w:footnoteReference w:id="48"/>
      </w:r>
    </w:p>
    <w:p w:rsidR="00313D15" w:rsidRDefault="00313D15" w:rsidP="00A345DA">
      <w:pPr>
        <w:pStyle w:val="AERquote"/>
      </w:pPr>
      <w:r>
        <w:t xml:space="preserve">…fixes the </w:t>
      </w:r>
      <w:r w:rsidR="00C371D5">
        <w:t xml:space="preserve">principle </w:t>
      </w:r>
      <w:r>
        <w:t>concerning the inter-period treatment of cost pass throughs so that a pass through eve</w:t>
      </w:r>
      <w:r w:rsidR="0089203E">
        <w:t>nt occurring within the 2016–2</w:t>
      </w:r>
      <w:r>
        <w:t>1 access arrangement period can be recovered over both the 2016</w:t>
      </w:r>
      <w:r w:rsidR="0089203E">
        <w:t>–</w:t>
      </w:r>
      <w:r>
        <w:t>21 access arrangement</w:t>
      </w:r>
      <w:r w:rsidR="0089203E">
        <w:t xml:space="preserve"> period and the subsequent 2021–</w:t>
      </w:r>
      <w:r>
        <w:t xml:space="preserve">26 access arrangement period. </w:t>
      </w:r>
    </w:p>
    <w:p w:rsidR="007A566F" w:rsidRDefault="00313D15" w:rsidP="00A345DA">
      <w:r>
        <w:t>ActewAGL argued that this addressed our concern. It does not. By making this treatment of inter-period pass throughs a fixed principle for 2021</w:t>
      </w:r>
      <w:r w:rsidR="0089203E">
        <w:t>–</w:t>
      </w:r>
      <w:r>
        <w:t>26 as well as for 2016</w:t>
      </w:r>
      <w:r w:rsidR="0089203E">
        <w:t>–</w:t>
      </w:r>
      <w:r>
        <w:t>21, ActewAGL has proposed that the same arrangement would also apply between 2021</w:t>
      </w:r>
      <w:r w:rsidR="0089203E">
        <w:t>–</w:t>
      </w:r>
      <w:r>
        <w:t>26 and the subsequent period. We do not consider this appropriate.</w:t>
      </w:r>
      <w:r w:rsidR="007A566F">
        <w:t xml:space="preserve"> </w:t>
      </w:r>
      <w:r w:rsidR="007A566F" w:rsidRPr="007A566F">
        <w:lastRenderedPageBreak/>
        <w:t xml:space="preserve">The application of this fixed principle in subsequent access arrangement periods is more appropriately considered as part of our consultation on </w:t>
      </w:r>
      <w:r w:rsidR="007A566F">
        <w:t>ActewAGL</w:t>
      </w:r>
      <w:r w:rsidR="007A566F" w:rsidRPr="007A566F">
        <w:t xml:space="preserve">’s proposals for those periods. </w:t>
      </w:r>
      <w:r w:rsidR="007A566F">
        <w:t>T</w:t>
      </w:r>
      <w:r w:rsidR="007A566F" w:rsidRPr="007A566F">
        <w:t>his will allow consideration of this fixed principle to be revisited with the benefit of lessons learnt in the 201</w:t>
      </w:r>
      <w:r w:rsidR="007A566F">
        <w:t>6</w:t>
      </w:r>
      <w:r w:rsidR="0089203E">
        <w:t>–</w:t>
      </w:r>
      <w:r w:rsidR="007A566F" w:rsidRPr="007A566F">
        <w:t>2</w:t>
      </w:r>
      <w:r w:rsidR="007A566F">
        <w:t>1</w:t>
      </w:r>
      <w:r w:rsidR="007A566F" w:rsidRPr="007A566F">
        <w:t xml:space="preserve"> Access Arrangement period</w:t>
      </w:r>
      <w:r>
        <w:t>.</w:t>
      </w:r>
    </w:p>
    <w:p w:rsidR="007A566F" w:rsidRDefault="007A566F" w:rsidP="00A345DA">
      <w:r>
        <w:t>We approve ActewAGL's proposal that the principle in clause 7.16 be a fixed principle in respect of the 2016</w:t>
      </w:r>
      <w:r w:rsidR="0089203E">
        <w:t>–</w:t>
      </w:r>
      <w:r>
        <w:t>21 access arrangement period. We do not approve its proposal that this also be a fixed principle in respect of the period that follows.</w:t>
      </w:r>
    </w:p>
    <w:p w:rsidR="00293257" w:rsidRDefault="007A566F" w:rsidP="00A345DA">
      <w:r>
        <w:t>We therefore require ActewAGL to amend its access arrangement to provide that the principle in clause 7.16 is a fixed principle for the 2016</w:t>
      </w:r>
      <w:r w:rsidR="0089203E">
        <w:t>–</w:t>
      </w:r>
      <w:r>
        <w:t>21 access arrangement period only.</w:t>
      </w:r>
    </w:p>
    <w:p w:rsidR="00293257" w:rsidRDefault="00293257" w:rsidP="00A345DA">
      <w:pPr>
        <w:pStyle w:val="Heading3"/>
      </w:pPr>
      <w:bookmarkStart w:id="42" w:name="_Toc435449742"/>
      <w:r>
        <w:t>Cost pass through application and approval process</w:t>
      </w:r>
      <w:bookmarkEnd w:id="42"/>
    </w:p>
    <w:p w:rsidR="00293257" w:rsidRDefault="00293257" w:rsidP="00A345DA">
      <w:r>
        <w:t>ActewAGL has proposed that the application and decision process for pass through events under its access arrangement be aligned with that approved for JGN in June, to lower the administrative burden and regulatory complexity for ActewAGL and for us.</w:t>
      </w:r>
    </w:p>
    <w:p w:rsidR="00293257" w:rsidRDefault="00293257" w:rsidP="00A345DA">
      <w:r>
        <w:t>We support this alignment and are satisfied that the process thus proposed remains appropriate. We therefore approve this element of ActewAGL's proposal.</w:t>
      </w:r>
    </w:p>
    <w:p w:rsidR="00DE28AE" w:rsidRDefault="007C3CBE" w:rsidP="007C3CBE">
      <w:pPr>
        <w:pStyle w:val="Heading2"/>
      </w:pPr>
      <w:bookmarkStart w:id="43" w:name="_Toc435449743"/>
      <w:r>
        <w:t xml:space="preserve">Revisions </w:t>
      </w:r>
      <w:bookmarkEnd w:id="43"/>
    </w:p>
    <w:p w:rsidR="00A66B0B" w:rsidRDefault="00A66B0B" w:rsidP="00A66B0B">
      <w:r>
        <w:t>We require the following revisions to make the access arrangement proposal acceptable:</w:t>
      </w:r>
    </w:p>
    <w:p w:rsidR="007C3CBE" w:rsidRDefault="007C3CBE" w:rsidP="00C513FD">
      <w:pPr>
        <w:pStyle w:val="AERrevisionbox"/>
      </w:pPr>
      <w:r w:rsidRPr="00C513FD">
        <w:rPr>
          <w:rStyle w:val="Strong"/>
        </w:rPr>
        <w:t>Revision 11.1:</w:t>
      </w:r>
      <w:r>
        <w:t xml:space="preserve"> </w:t>
      </w:r>
      <w:r w:rsidR="009B4B4A">
        <w:t>Amend clause 7.4</w:t>
      </w:r>
      <w:r w:rsidR="00122954">
        <w:t xml:space="preserve"> and schedule 4 in the ActewAGL access arrangement to be consistent with </w:t>
      </w:r>
      <w:r w:rsidR="00122954">
        <w:fldChar w:fldCharType="begin"/>
      </w:r>
      <w:r w:rsidR="00122954">
        <w:instrText xml:space="preserve"> REF  _Ref435107546 \* Lower \h </w:instrText>
      </w:r>
      <w:r w:rsidR="00A66B0B">
        <w:instrText xml:space="preserve"> \* MERGEFORMAT </w:instrText>
      </w:r>
      <w:r w:rsidR="00122954">
        <w:fldChar w:fldCharType="separate"/>
      </w:r>
      <w:r w:rsidR="0022166F" w:rsidRPr="00B27249">
        <w:t xml:space="preserve">figure </w:t>
      </w:r>
      <w:r w:rsidR="0022166F">
        <w:rPr>
          <w:noProof/>
        </w:rPr>
        <w:t>11</w:t>
      </w:r>
      <w:r w:rsidR="0022166F">
        <w:t>.</w:t>
      </w:r>
      <w:r w:rsidR="0022166F">
        <w:rPr>
          <w:noProof/>
        </w:rPr>
        <w:t>1</w:t>
      </w:r>
      <w:r w:rsidR="00122954">
        <w:fldChar w:fldCharType="end"/>
      </w:r>
      <w:r w:rsidR="00122954">
        <w:t xml:space="preserve">, </w:t>
      </w:r>
      <w:r w:rsidR="00122954">
        <w:fldChar w:fldCharType="begin"/>
      </w:r>
      <w:r w:rsidR="00122954">
        <w:instrText xml:space="preserve"> REF  _Ref435107618 \* Lower \h </w:instrText>
      </w:r>
      <w:r w:rsidR="00A66B0B">
        <w:instrText xml:space="preserve"> \* MERGEFORMAT </w:instrText>
      </w:r>
      <w:r w:rsidR="00122954">
        <w:fldChar w:fldCharType="separate"/>
      </w:r>
      <w:r w:rsidR="0022166F">
        <w:t xml:space="preserve">figure </w:t>
      </w:r>
      <w:r w:rsidR="0022166F">
        <w:rPr>
          <w:noProof/>
        </w:rPr>
        <w:t>11</w:t>
      </w:r>
      <w:r w:rsidR="0022166F">
        <w:t>.</w:t>
      </w:r>
      <w:r w:rsidR="0022166F">
        <w:rPr>
          <w:noProof/>
        </w:rPr>
        <w:t>2</w:t>
      </w:r>
      <w:r w:rsidR="00122954">
        <w:fldChar w:fldCharType="end"/>
      </w:r>
      <w:r w:rsidR="00122954">
        <w:t xml:space="preserve">, </w:t>
      </w:r>
      <w:r w:rsidR="00122954">
        <w:fldChar w:fldCharType="begin"/>
      </w:r>
      <w:r w:rsidR="00122954">
        <w:instrText xml:space="preserve"> REF  _Ref435197392 \* Lower \h </w:instrText>
      </w:r>
      <w:r w:rsidR="00A66B0B">
        <w:instrText xml:space="preserve"> \* MERGEFORMAT </w:instrText>
      </w:r>
      <w:r w:rsidR="00122954">
        <w:fldChar w:fldCharType="separate"/>
      </w:r>
      <w:r w:rsidR="0022166F">
        <w:t xml:space="preserve">figure </w:t>
      </w:r>
      <w:r w:rsidR="0022166F">
        <w:rPr>
          <w:noProof/>
        </w:rPr>
        <w:t>11</w:t>
      </w:r>
      <w:r w:rsidR="0022166F">
        <w:t>.</w:t>
      </w:r>
      <w:r w:rsidR="0022166F">
        <w:rPr>
          <w:noProof/>
        </w:rPr>
        <w:t>3</w:t>
      </w:r>
      <w:r w:rsidR="00122954">
        <w:fldChar w:fldCharType="end"/>
      </w:r>
      <w:r w:rsidR="00122954">
        <w:t xml:space="preserve"> and </w:t>
      </w:r>
      <w:r w:rsidR="00122954">
        <w:fldChar w:fldCharType="begin"/>
      </w:r>
      <w:r w:rsidR="00122954">
        <w:instrText xml:space="preserve"> REF  _Ref435200100 \* Lower \h </w:instrText>
      </w:r>
      <w:r w:rsidR="00A66B0B">
        <w:instrText xml:space="preserve"> \* MERGEFORMAT </w:instrText>
      </w:r>
      <w:r w:rsidR="00122954">
        <w:fldChar w:fldCharType="separate"/>
      </w:r>
      <w:r w:rsidR="0022166F">
        <w:t xml:space="preserve">figure </w:t>
      </w:r>
      <w:r w:rsidR="0022166F">
        <w:rPr>
          <w:noProof/>
        </w:rPr>
        <w:t>11</w:t>
      </w:r>
      <w:r w:rsidR="0022166F">
        <w:t>.</w:t>
      </w:r>
      <w:r w:rsidR="0022166F">
        <w:rPr>
          <w:noProof/>
        </w:rPr>
        <w:t>4</w:t>
      </w:r>
      <w:r w:rsidR="00122954">
        <w:fldChar w:fldCharType="end"/>
      </w:r>
      <w:r w:rsidR="00122954">
        <w:t>.</w:t>
      </w:r>
    </w:p>
    <w:p w:rsidR="008E33EE" w:rsidRDefault="009B4B4A" w:rsidP="00C513FD">
      <w:pPr>
        <w:pStyle w:val="AERrevisionbox"/>
      </w:pPr>
      <w:r w:rsidRPr="00C513FD">
        <w:rPr>
          <w:rStyle w:val="Strong"/>
        </w:rPr>
        <w:t>Revision 11.2:</w:t>
      </w:r>
      <w:r>
        <w:t xml:space="preserve"> Remove clause 7.5 </w:t>
      </w:r>
      <w:r w:rsidR="001E2B03">
        <w:t xml:space="preserve">in ActewAGL's access arrangement </w:t>
      </w:r>
      <w:r>
        <w:t xml:space="preserve">to reflect our draft decision </w:t>
      </w:r>
      <w:r w:rsidR="001E2B03">
        <w:t xml:space="preserve">that </w:t>
      </w:r>
      <w:r w:rsidRPr="009B4B4A">
        <w:t xml:space="preserve">reference tariffs </w:t>
      </w:r>
      <w:r w:rsidR="001E2B03">
        <w:t xml:space="preserve">cannot be varied </w:t>
      </w:r>
      <w:r w:rsidRPr="009B4B4A">
        <w:t>during a financial year to apply at a date prior to the start of the next financial year</w:t>
      </w:r>
      <w:r w:rsidR="001E2B03">
        <w:t>.</w:t>
      </w:r>
    </w:p>
    <w:p w:rsidR="00BB2110" w:rsidRDefault="00BB2110" w:rsidP="00C513FD">
      <w:pPr>
        <w:pStyle w:val="AERrevisionbox"/>
      </w:pPr>
      <w:r w:rsidRPr="00BB2110">
        <w:rPr>
          <w:rStyle w:val="Strong"/>
        </w:rPr>
        <w:t>Revision 11.3:</w:t>
      </w:r>
      <w:r>
        <w:t xml:space="preserve"> Replace the definitions of the following cost pass through events with those set out in section </w:t>
      </w:r>
      <w:r>
        <w:fldChar w:fldCharType="begin"/>
      </w:r>
      <w:r>
        <w:instrText xml:space="preserve"> REF _Ref427740850 \r \h </w:instrText>
      </w:r>
      <w:r>
        <w:fldChar w:fldCharType="separate"/>
      </w:r>
      <w:r>
        <w:t>11.4.2</w:t>
      </w:r>
      <w:r>
        <w:fldChar w:fldCharType="end"/>
      </w:r>
      <w:r>
        <w:t xml:space="preserve"> of this attachment: regulatory change event, service standard event, insurance cap event, insurer credit risk event, terrorism event, natural disaster event, network user failure event.</w:t>
      </w:r>
    </w:p>
    <w:p w:rsidR="00BB2110" w:rsidRDefault="00BB2110" w:rsidP="00C513FD">
      <w:pPr>
        <w:pStyle w:val="AERrevisionbox"/>
      </w:pPr>
      <w:r w:rsidRPr="00BB2110">
        <w:rPr>
          <w:rStyle w:val="Strong"/>
        </w:rPr>
        <w:t>Revision 11.4:</w:t>
      </w:r>
      <w:r>
        <w:t xml:space="preserve"> Remove the following cost pass through events: short term trading market event, supply curtailment event, general pass through event.</w:t>
      </w:r>
    </w:p>
    <w:p w:rsidR="00BB2110" w:rsidRPr="00474EC7" w:rsidRDefault="00BB2110" w:rsidP="00C513FD">
      <w:pPr>
        <w:pStyle w:val="AERrevisionbox"/>
      </w:pPr>
      <w:r w:rsidRPr="00BB2110">
        <w:rPr>
          <w:rStyle w:val="Strong"/>
        </w:rPr>
        <w:t>Revision 11.5:</w:t>
      </w:r>
      <w:r>
        <w:t xml:space="preserve"> Amend the access arrangement to provide that the principle in clause 7.16 is a fixed principle for the 2016–21 access arrangement period only.</w:t>
      </w:r>
    </w:p>
    <w:sectPr w:rsidR="00BB2110" w:rsidRPr="00474EC7" w:rsidSect="00B757A6">
      <w:headerReference w:type="even" r:id="rId137"/>
      <w:footerReference w:type="even" r:id="rId138"/>
      <w:footerReference w:type="default" r:id="rId139"/>
      <w:headerReference w:type="first" r:id="rId140"/>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8E" w:rsidRPr="00290C63" w:rsidRDefault="00B30F8E" w:rsidP="00290C63">
      <w:r>
        <w:separator/>
      </w:r>
    </w:p>
    <w:p w:rsidR="00B30F8E" w:rsidRDefault="00B30F8E"/>
  </w:endnote>
  <w:endnote w:type="continuationSeparator" w:id="0">
    <w:p w:rsidR="00B30F8E" w:rsidRPr="00290C63" w:rsidRDefault="00B30F8E" w:rsidP="00290C63">
      <w:r>
        <w:continuationSeparator/>
      </w:r>
    </w:p>
    <w:p w:rsidR="00B30F8E" w:rsidRDefault="00B30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8E" w:rsidRDefault="00B30F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30F8E" w:rsidRDefault="00B30F8E">
    <w:pPr>
      <w:pStyle w:val="Footer"/>
    </w:pPr>
  </w:p>
  <w:p w:rsidR="00B30F8E" w:rsidRDefault="00B30F8E">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30F8E" w:rsidRPr="00CA52A2" w:rsidRDefault="00B30F8E" w:rsidP="00CA52A2">
        <w:pPr>
          <w:pStyle w:val="Footer"/>
        </w:pPr>
        <w:r w:rsidRPr="00CA52A2">
          <w:fldChar w:fldCharType="begin"/>
        </w:r>
        <w:r>
          <w:instrText xml:space="preserve"> PAGE   \* MERGEFORMAT </w:instrText>
        </w:r>
        <w:r w:rsidRPr="00CA52A2">
          <w:fldChar w:fldCharType="separate"/>
        </w:r>
        <w:r w:rsidR="00C948D1">
          <w:rPr>
            <w:noProof/>
          </w:rPr>
          <w:t>11-3</w:t>
        </w:r>
        <w:r w:rsidRPr="00CA52A2">
          <w:fldChar w:fldCharType="end"/>
        </w:r>
        <w:r w:rsidRPr="00CA52A2">
          <w:t xml:space="preserve">          Attachment </w:t>
        </w:r>
        <w:r>
          <w:t xml:space="preserve">11 </w:t>
        </w:r>
        <w:r w:rsidRPr="00CA52A2">
          <w:t xml:space="preserve">– </w:t>
        </w:r>
        <w:r>
          <w:t xml:space="preserve">Reference tariff variation mechanism </w:t>
        </w:r>
        <w:r w:rsidRPr="00CA52A2">
          <w:t xml:space="preserve">| </w:t>
        </w:r>
        <w:r>
          <w:t>Draft decision: ActewAGL Distribution Access Arrangement 2016</w:t>
        </w:r>
        <w:r w:rsidRPr="00CA52A2">
          <w:t>–</w:t>
        </w:r>
        <w:r>
          <w:t>21</w:t>
        </w:r>
      </w:p>
    </w:sdtContent>
  </w:sdt>
  <w:p w:rsidR="00B30F8E" w:rsidRDefault="00B30F8E">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8E" w:rsidRPr="00290C63" w:rsidRDefault="00B30F8E" w:rsidP="00290C63">
      <w:r>
        <w:separator/>
      </w:r>
    </w:p>
    <w:p w:rsidR="00B30F8E" w:rsidRDefault="00B30F8E"/>
  </w:footnote>
  <w:footnote w:type="continuationSeparator" w:id="0">
    <w:p w:rsidR="00B30F8E" w:rsidRPr="00290C63" w:rsidRDefault="00B30F8E" w:rsidP="00290C63">
      <w:r>
        <w:continuationSeparator/>
      </w:r>
    </w:p>
    <w:p w:rsidR="00B30F8E" w:rsidRDefault="00B30F8E"/>
  </w:footnote>
  <w:footnote w:id="1">
    <w:p w:rsidR="00B30F8E" w:rsidRDefault="00B30F8E">
      <w:pPr>
        <w:pStyle w:val="FootnoteText"/>
      </w:pPr>
      <w:r>
        <w:rPr>
          <w:rStyle w:val="FootnoteReference"/>
        </w:rPr>
        <w:footnoteRef/>
      </w:r>
      <w:r>
        <w:t xml:space="preserve"> </w:t>
      </w:r>
      <w:r>
        <w:tab/>
        <w:t xml:space="preserve">ActewAGL, </w:t>
      </w:r>
      <w:r w:rsidRPr="00621A58">
        <w:rPr>
          <w:rStyle w:val="AERtextitalic"/>
        </w:rPr>
        <w:t>Access arrangement information, Attachment 1</w:t>
      </w:r>
      <w:r>
        <w:rPr>
          <w:rStyle w:val="AERtextitalic"/>
        </w:rPr>
        <w:t>3</w:t>
      </w:r>
      <w:r w:rsidRPr="00621A58">
        <w:rPr>
          <w:rStyle w:val="AERtextitalic"/>
        </w:rPr>
        <w:t>: Reference tariff</w:t>
      </w:r>
      <w:r>
        <w:rPr>
          <w:rStyle w:val="AERtextitalic"/>
        </w:rPr>
        <w:t xml:space="preserve"> variation mechanism</w:t>
      </w:r>
      <w:r>
        <w:t>, June 2015, p. 5.</w:t>
      </w:r>
    </w:p>
  </w:footnote>
  <w:footnote w:id="2">
    <w:p w:rsidR="00B30F8E" w:rsidRDefault="00B30F8E">
      <w:pPr>
        <w:pStyle w:val="FootnoteText"/>
      </w:pPr>
      <w:r>
        <w:rPr>
          <w:rStyle w:val="FootnoteReference"/>
        </w:rPr>
        <w:footnoteRef/>
      </w:r>
      <w:r>
        <w:t xml:space="preserve"> </w:t>
      </w:r>
      <w:r>
        <w:tab/>
        <w:t xml:space="preserve">NGR, rr. 92(2), 97(1). </w:t>
      </w:r>
    </w:p>
  </w:footnote>
  <w:footnote w:id="3">
    <w:p w:rsidR="00B30F8E" w:rsidRDefault="00B30F8E">
      <w:pPr>
        <w:pStyle w:val="FootnoteText"/>
      </w:pPr>
      <w:r>
        <w:rPr>
          <w:rStyle w:val="FootnoteReference"/>
        </w:rPr>
        <w:footnoteRef/>
      </w:r>
      <w:r>
        <w:t xml:space="preserve"> </w:t>
      </w:r>
      <w:r>
        <w:tab/>
        <w:t xml:space="preserve">NGR, r. 97(2). </w:t>
      </w:r>
    </w:p>
  </w:footnote>
  <w:footnote w:id="4">
    <w:p w:rsidR="00B30F8E" w:rsidRDefault="00B30F8E">
      <w:pPr>
        <w:pStyle w:val="FootnoteText"/>
      </w:pPr>
      <w:r>
        <w:rPr>
          <w:rStyle w:val="FootnoteReference"/>
        </w:rPr>
        <w:footnoteRef/>
      </w:r>
      <w:r>
        <w:t xml:space="preserve"> </w:t>
      </w:r>
      <w:r>
        <w:tab/>
        <w:t xml:space="preserve">NGR, r. 97(4). </w:t>
      </w:r>
    </w:p>
  </w:footnote>
  <w:footnote w:id="5">
    <w:p w:rsidR="00B30F8E" w:rsidRDefault="00B30F8E">
      <w:pPr>
        <w:pStyle w:val="FootnoteText"/>
      </w:pPr>
      <w:r>
        <w:rPr>
          <w:rStyle w:val="FootnoteReference"/>
        </w:rPr>
        <w:footnoteRef/>
      </w:r>
      <w:r>
        <w:t xml:space="preserve"> </w:t>
      </w:r>
      <w:r>
        <w:tab/>
        <w:t xml:space="preserve">NGR, r. 97(3). </w:t>
      </w:r>
    </w:p>
  </w:footnote>
  <w:footnote w:id="6">
    <w:p w:rsidR="00B30F8E" w:rsidRDefault="00B30F8E">
      <w:pPr>
        <w:pStyle w:val="FootnoteText"/>
      </w:pPr>
      <w:r>
        <w:rPr>
          <w:rStyle w:val="FootnoteReference"/>
        </w:rPr>
        <w:footnoteRef/>
      </w:r>
      <w:r>
        <w:t xml:space="preserve"> </w:t>
      </w:r>
      <w:r>
        <w:tab/>
        <w:t xml:space="preserve">Including NGR, r. 97 (3)(e). </w:t>
      </w:r>
    </w:p>
  </w:footnote>
  <w:footnote w:id="7">
    <w:p w:rsidR="00B30F8E" w:rsidRDefault="00B30F8E">
      <w:pPr>
        <w:pStyle w:val="FootnoteText"/>
      </w:pPr>
      <w:r>
        <w:rPr>
          <w:rStyle w:val="FootnoteReference"/>
        </w:rPr>
        <w:footnoteRef/>
      </w:r>
      <w:r>
        <w:t xml:space="preserve"> </w:t>
      </w:r>
      <w:r>
        <w:tab/>
        <w:t xml:space="preserve">NGR, r. 40(3). </w:t>
      </w:r>
    </w:p>
  </w:footnote>
  <w:footnote w:id="8">
    <w:p w:rsidR="00B30F8E" w:rsidRDefault="00B30F8E">
      <w:pPr>
        <w:pStyle w:val="FootnoteText"/>
      </w:pPr>
      <w:r>
        <w:rPr>
          <w:rStyle w:val="FootnoteReference"/>
        </w:rPr>
        <w:footnoteRef/>
      </w:r>
      <w:r>
        <w:t xml:space="preserve"> </w:t>
      </w:r>
      <w:r>
        <w:tab/>
        <w:t>NGL, s. 24(2).</w:t>
      </w:r>
    </w:p>
  </w:footnote>
  <w:footnote w:id="9">
    <w:p w:rsidR="00B30F8E" w:rsidRDefault="00B30F8E">
      <w:pPr>
        <w:pStyle w:val="FootnoteText"/>
      </w:pPr>
      <w:r>
        <w:rPr>
          <w:rStyle w:val="FootnoteReference"/>
        </w:rPr>
        <w:footnoteRef/>
      </w:r>
      <w:r>
        <w:t xml:space="preserve"> </w:t>
      </w:r>
      <w:r>
        <w:tab/>
        <w:t>NGL, s. 24(3).</w:t>
      </w:r>
    </w:p>
  </w:footnote>
  <w:footnote w:id="10">
    <w:p w:rsidR="00B30F8E" w:rsidRDefault="00B30F8E">
      <w:pPr>
        <w:pStyle w:val="FootnoteText"/>
      </w:pPr>
      <w:r>
        <w:rPr>
          <w:rStyle w:val="FootnoteReference"/>
        </w:rPr>
        <w:footnoteRef/>
      </w:r>
      <w:r>
        <w:t xml:space="preserve"> </w:t>
      </w:r>
      <w:r>
        <w:tab/>
        <w:t>NGL, s. 24(6).</w:t>
      </w:r>
    </w:p>
  </w:footnote>
  <w:footnote w:id="11">
    <w:p w:rsidR="00B30F8E" w:rsidRDefault="00B30F8E">
      <w:pPr>
        <w:pStyle w:val="FootnoteText"/>
      </w:pPr>
      <w:r>
        <w:rPr>
          <w:rStyle w:val="FootnoteReference"/>
        </w:rPr>
        <w:footnoteRef/>
      </w:r>
      <w:r>
        <w:t xml:space="preserve"> </w:t>
      </w:r>
      <w:r>
        <w:tab/>
      </w:r>
      <w:r w:rsidRPr="002279AA">
        <w:t xml:space="preserve">For example, </w:t>
      </w:r>
      <w:r>
        <w:t xml:space="preserve">our June 2015 decision on the access arrangement for </w:t>
      </w:r>
      <w:r w:rsidRPr="002279AA">
        <w:t xml:space="preserve">Jemena Gas Networks </w:t>
      </w:r>
      <w:r>
        <w:t xml:space="preserve">(NSW) Ltd, and our April 2015 decision on the distribution determination for ActewAGL Distribution’s electricity network.  </w:t>
      </w:r>
    </w:p>
  </w:footnote>
  <w:footnote w:id="12">
    <w:p w:rsidR="00B30F8E" w:rsidRDefault="00B30F8E">
      <w:pPr>
        <w:pStyle w:val="FootnoteText"/>
      </w:pPr>
      <w:r>
        <w:rPr>
          <w:rStyle w:val="FootnoteReference"/>
        </w:rPr>
        <w:footnoteRef/>
      </w:r>
      <w:r>
        <w:t xml:space="preserve"> </w:t>
      </w:r>
      <w:r>
        <w:tab/>
        <w:t xml:space="preserve">We consider the NGO and NEO are sufficiently similar for the same criteria to be relevant. </w:t>
      </w:r>
    </w:p>
  </w:footnote>
  <w:footnote w:id="13">
    <w:p w:rsidR="00B30F8E" w:rsidRDefault="00B30F8E">
      <w:pPr>
        <w:pStyle w:val="FootnoteText"/>
      </w:pPr>
      <w:r>
        <w:rPr>
          <w:rStyle w:val="FootnoteReference"/>
        </w:rPr>
        <w:footnoteRef/>
      </w:r>
      <w:r>
        <w:t xml:space="preserve"> </w:t>
      </w:r>
      <w:r>
        <w:tab/>
        <w:t>NGR, r. 97(3)(e).</w:t>
      </w:r>
    </w:p>
  </w:footnote>
  <w:footnote w:id="14">
    <w:p w:rsidR="00B30F8E" w:rsidRDefault="00B30F8E">
      <w:pPr>
        <w:pStyle w:val="FootnoteText"/>
      </w:pPr>
      <w:r>
        <w:rPr>
          <w:rStyle w:val="FootnoteReference"/>
        </w:rPr>
        <w:footnoteRef/>
      </w:r>
      <w:r>
        <w:t xml:space="preserve"> </w:t>
      </w:r>
      <w:r>
        <w:tab/>
        <w:t xml:space="preserve">NER, glossary, definition of ‘nominated pass through event considerations’. </w:t>
      </w:r>
    </w:p>
  </w:footnote>
  <w:footnote w:id="15">
    <w:p w:rsidR="00B30F8E" w:rsidRDefault="00B30F8E">
      <w:pPr>
        <w:pStyle w:val="FootnoteText"/>
      </w:pPr>
      <w:r>
        <w:rPr>
          <w:rStyle w:val="FootnoteReference"/>
        </w:rPr>
        <w:footnoteRef/>
      </w:r>
      <w:r>
        <w:t xml:space="preserve"> </w:t>
      </w:r>
      <w:r>
        <w:tab/>
        <w:t xml:space="preserve">NGR, r. 97(3)(d). </w:t>
      </w:r>
    </w:p>
  </w:footnote>
  <w:footnote w:id="16">
    <w:p w:rsidR="00B30F8E" w:rsidRDefault="00B30F8E">
      <w:pPr>
        <w:pStyle w:val="FootnoteText"/>
      </w:pPr>
      <w:r>
        <w:rPr>
          <w:rStyle w:val="FootnoteReference"/>
        </w:rPr>
        <w:footnoteRef/>
      </w:r>
      <w:r>
        <w:t xml:space="preserve"> </w:t>
      </w:r>
      <w:r>
        <w:tab/>
        <w:t xml:space="preserve">NGR, r. 97(3)(e). </w:t>
      </w:r>
    </w:p>
  </w:footnote>
  <w:footnote w:id="17">
    <w:p w:rsidR="00B30F8E" w:rsidRDefault="00B30F8E">
      <w:pPr>
        <w:pStyle w:val="FootnoteText"/>
      </w:pPr>
      <w:r>
        <w:rPr>
          <w:rStyle w:val="FootnoteReference"/>
        </w:rPr>
        <w:footnoteRef/>
      </w:r>
      <w:r>
        <w:t>,</w:t>
      </w:r>
      <w:r>
        <w:tab/>
      </w:r>
      <w:r w:rsidRPr="00A67774">
        <w:t xml:space="preserve">AEMC 2012, </w:t>
      </w:r>
      <w:r w:rsidRPr="00A345DA">
        <w:rPr>
          <w:rStyle w:val="Emphasis"/>
        </w:rPr>
        <w:t>Cost pass through arrangements for Network Service Providers, Rule Determination, 2 August 2012, Sydney</w:t>
      </w:r>
      <w:r>
        <w:t xml:space="preserve"> p. 18. </w:t>
      </w:r>
    </w:p>
  </w:footnote>
  <w:footnote w:id="18">
    <w:p w:rsidR="00B30F8E" w:rsidRDefault="00B30F8E" w:rsidP="005649F5">
      <w:pPr>
        <w:pStyle w:val="FootnoteText"/>
      </w:pPr>
      <w:r>
        <w:rPr>
          <w:rStyle w:val="FootnoteReference"/>
        </w:rPr>
        <w:footnoteRef/>
      </w:r>
      <w:r>
        <w:t xml:space="preserve"> </w:t>
      </w:r>
      <w:r>
        <w:tab/>
      </w:r>
      <w:r w:rsidRPr="00A05894">
        <w:t>NGR, r. 92(2).</w:t>
      </w:r>
    </w:p>
  </w:footnote>
  <w:footnote w:id="19">
    <w:p w:rsidR="00B30F8E" w:rsidRDefault="00B30F8E">
      <w:pPr>
        <w:pStyle w:val="FootnoteText"/>
      </w:pPr>
      <w:r>
        <w:rPr>
          <w:rStyle w:val="FootnoteReference"/>
        </w:rPr>
        <w:footnoteRef/>
      </w:r>
      <w:r>
        <w:t xml:space="preserve"> </w:t>
      </w:r>
      <w:r>
        <w:tab/>
        <w:t>NGR, r. 97(2).</w:t>
      </w:r>
    </w:p>
  </w:footnote>
  <w:footnote w:id="20">
    <w:p w:rsidR="00B30F8E" w:rsidRDefault="00B30F8E">
      <w:pPr>
        <w:pStyle w:val="FootnoteText"/>
      </w:pPr>
      <w:r>
        <w:rPr>
          <w:rStyle w:val="FootnoteReference"/>
        </w:rPr>
        <w:footnoteRef/>
      </w:r>
      <w:r>
        <w:t xml:space="preserve"> </w:t>
      </w:r>
      <w:r>
        <w:tab/>
        <w:t xml:space="preserve">ActewAGL, </w:t>
      </w:r>
      <w:r w:rsidRPr="00621A58">
        <w:rPr>
          <w:rStyle w:val="AERtextitalic"/>
        </w:rPr>
        <w:t>Access arrangement information, Attachment 1</w:t>
      </w:r>
      <w:r>
        <w:rPr>
          <w:rStyle w:val="AERtextitalic"/>
        </w:rPr>
        <w:t>3</w:t>
      </w:r>
      <w:r w:rsidRPr="00621A58">
        <w:rPr>
          <w:rStyle w:val="AERtextitalic"/>
        </w:rPr>
        <w:t>: Reference tariff</w:t>
      </w:r>
      <w:r>
        <w:rPr>
          <w:rStyle w:val="AERtextitalic"/>
        </w:rPr>
        <w:t xml:space="preserve"> variation mechanism</w:t>
      </w:r>
      <w:r>
        <w:t>, June 2015, pp. 12–14.</w:t>
      </w:r>
    </w:p>
  </w:footnote>
  <w:footnote w:id="21">
    <w:p w:rsidR="00B30F8E" w:rsidRDefault="00B30F8E">
      <w:pPr>
        <w:pStyle w:val="FootnoteText"/>
      </w:pPr>
      <w:r>
        <w:rPr>
          <w:rStyle w:val="FootnoteReference"/>
        </w:rPr>
        <w:footnoteRef/>
      </w:r>
      <w:r>
        <w:t xml:space="preserve"> </w:t>
      </w:r>
      <w:r>
        <w:tab/>
        <w:t xml:space="preserve">ActewAGL, </w:t>
      </w:r>
      <w:r w:rsidRPr="00621A58">
        <w:rPr>
          <w:rStyle w:val="AERtextitalic"/>
        </w:rPr>
        <w:t>Access arrangement information, Attachment 1</w:t>
      </w:r>
      <w:r>
        <w:rPr>
          <w:rStyle w:val="AERtextitalic"/>
        </w:rPr>
        <w:t>3</w:t>
      </w:r>
      <w:r w:rsidRPr="00621A58">
        <w:rPr>
          <w:rStyle w:val="AERtextitalic"/>
        </w:rPr>
        <w:t>: Reference tariff</w:t>
      </w:r>
      <w:r>
        <w:rPr>
          <w:rStyle w:val="AERtextitalic"/>
        </w:rPr>
        <w:t xml:space="preserve"> variation mechanism</w:t>
      </w:r>
      <w:r>
        <w:t>, June 2015, p. 13.</w:t>
      </w:r>
    </w:p>
  </w:footnote>
  <w:footnote w:id="22">
    <w:p w:rsidR="00B30F8E" w:rsidRDefault="00B30F8E">
      <w:pPr>
        <w:pStyle w:val="FootnoteText"/>
      </w:pPr>
      <w:r>
        <w:rPr>
          <w:rStyle w:val="FootnoteReference"/>
        </w:rPr>
        <w:footnoteRef/>
      </w:r>
      <w:r>
        <w:t xml:space="preserve"> </w:t>
      </w:r>
      <w:r>
        <w:tab/>
        <w:t xml:space="preserve">ActewAGL, </w:t>
      </w:r>
      <w:r w:rsidRPr="00621A58">
        <w:rPr>
          <w:rStyle w:val="AERtextitalic"/>
        </w:rPr>
        <w:t>Access arrangement information, Attachment 1</w:t>
      </w:r>
      <w:r>
        <w:rPr>
          <w:rStyle w:val="AERtextitalic"/>
        </w:rPr>
        <w:t>3</w:t>
      </w:r>
      <w:r w:rsidRPr="00621A58">
        <w:rPr>
          <w:rStyle w:val="AERtextitalic"/>
        </w:rPr>
        <w:t>: Reference tariff</w:t>
      </w:r>
      <w:r>
        <w:rPr>
          <w:rStyle w:val="AERtextitalic"/>
        </w:rPr>
        <w:t xml:space="preserve"> variation mechanism</w:t>
      </w:r>
      <w:r>
        <w:t>, June 2015, p. 13.</w:t>
      </w:r>
    </w:p>
  </w:footnote>
  <w:footnote w:id="23">
    <w:p w:rsidR="00B30F8E" w:rsidRDefault="00B30F8E">
      <w:pPr>
        <w:pStyle w:val="FootnoteText"/>
      </w:pPr>
      <w:r>
        <w:rPr>
          <w:rStyle w:val="FootnoteReference"/>
        </w:rPr>
        <w:footnoteRef/>
      </w:r>
      <w:r>
        <w:t xml:space="preserve"> </w:t>
      </w:r>
      <w:r>
        <w:tab/>
        <w:t xml:space="preserve">See for example: SP AusNet, </w:t>
      </w:r>
      <w:r w:rsidRPr="00C0717C">
        <w:rPr>
          <w:rStyle w:val="AERtextitalic"/>
        </w:rPr>
        <w:t>Gas access arrangement revision 2013–2017: Part B of the access arrangement for the distribution system–reference tariffs and reference tariff policy</w:t>
      </w:r>
      <w:r>
        <w:t xml:space="preserve">, April 2013, clause 3.5(c); AGN, (proposed) </w:t>
      </w:r>
      <w:r w:rsidRPr="00C0717C">
        <w:rPr>
          <w:rStyle w:val="AERtextitalic"/>
        </w:rPr>
        <w:t>Access arrangement for AGN's South Australian gas distribution network 1 July 2016 – 30 June 2021</w:t>
      </w:r>
      <w:r>
        <w:t>, July 2015, clause 4.4 and Annexure E.</w:t>
      </w:r>
    </w:p>
  </w:footnote>
  <w:footnote w:id="24">
    <w:p w:rsidR="00B30F8E" w:rsidRDefault="00B30F8E">
      <w:pPr>
        <w:pStyle w:val="FootnoteText"/>
      </w:pPr>
      <w:r>
        <w:rPr>
          <w:rStyle w:val="FootnoteReference"/>
        </w:rPr>
        <w:footnoteRef/>
      </w:r>
      <w:r>
        <w:t xml:space="preserve"> </w:t>
      </w:r>
      <w:r>
        <w:tab/>
        <w:t>NER, cl. 6.18.6.</w:t>
      </w:r>
    </w:p>
  </w:footnote>
  <w:footnote w:id="25">
    <w:p w:rsidR="00B30F8E" w:rsidRDefault="00B30F8E">
      <w:pPr>
        <w:pStyle w:val="FootnoteText"/>
      </w:pPr>
      <w:r>
        <w:rPr>
          <w:rStyle w:val="FootnoteReference"/>
        </w:rPr>
        <w:footnoteRef/>
      </w:r>
      <w:r>
        <w:t xml:space="preserve"> </w:t>
      </w:r>
      <w:r>
        <w:tab/>
        <w:t xml:space="preserve">ActewAGL, </w:t>
      </w:r>
      <w:r w:rsidRPr="00621A58">
        <w:rPr>
          <w:rStyle w:val="AERtextitalic"/>
        </w:rPr>
        <w:t>Access arrangement information, Attachment 1</w:t>
      </w:r>
      <w:r>
        <w:rPr>
          <w:rStyle w:val="AERtextitalic"/>
        </w:rPr>
        <w:t>3</w:t>
      </w:r>
      <w:r w:rsidRPr="00621A58">
        <w:rPr>
          <w:rStyle w:val="AERtextitalic"/>
        </w:rPr>
        <w:t>: Reference tariff</w:t>
      </w:r>
      <w:r>
        <w:rPr>
          <w:rStyle w:val="AERtextitalic"/>
        </w:rPr>
        <w:t xml:space="preserve"> variation mechanism</w:t>
      </w:r>
      <w:r>
        <w:t>, June 2015, p. 15.</w:t>
      </w:r>
    </w:p>
  </w:footnote>
  <w:footnote w:id="26">
    <w:p w:rsidR="00B30F8E" w:rsidRDefault="00B30F8E" w:rsidP="007315EE">
      <w:pPr>
        <w:pStyle w:val="FootnoteText"/>
      </w:pPr>
      <w:r>
        <w:rPr>
          <w:rStyle w:val="FootnoteReference"/>
        </w:rPr>
        <w:footnoteRef/>
      </w:r>
      <w:r>
        <w:t xml:space="preserve"> </w:t>
      </w:r>
      <w:r>
        <w:tab/>
        <w:t xml:space="preserve">ActewAGL, </w:t>
      </w:r>
      <w:r w:rsidRPr="00621A58">
        <w:rPr>
          <w:rStyle w:val="AERtextitalic"/>
        </w:rPr>
        <w:t>Access arrangement information, Attachment 1</w:t>
      </w:r>
      <w:r>
        <w:rPr>
          <w:rStyle w:val="AERtextitalic"/>
        </w:rPr>
        <w:t>3</w:t>
      </w:r>
      <w:r w:rsidRPr="00621A58">
        <w:rPr>
          <w:rStyle w:val="AERtextitalic"/>
        </w:rPr>
        <w:t>: Reference tariff</w:t>
      </w:r>
      <w:r>
        <w:rPr>
          <w:rStyle w:val="AERtextitalic"/>
        </w:rPr>
        <w:t xml:space="preserve"> variation mechanism</w:t>
      </w:r>
      <w:r>
        <w:t>, June 2015, p. 13.</w:t>
      </w:r>
    </w:p>
  </w:footnote>
  <w:footnote w:id="27">
    <w:p w:rsidR="00B30F8E" w:rsidRDefault="00B30F8E">
      <w:pPr>
        <w:pStyle w:val="FootnoteText"/>
      </w:pPr>
      <w:r>
        <w:rPr>
          <w:rStyle w:val="FootnoteReference"/>
        </w:rPr>
        <w:footnoteRef/>
      </w:r>
      <w:r>
        <w:t xml:space="preserve"> </w:t>
      </w:r>
      <w:r>
        <w:tab/>
      </w:r>
      <w:r w:rsidRPr="00E27811">
        <w:t>NGR, r. 97(3)(a)</w:t>
      </w:r>
      <w:r>
        <w:t>,</w:t>
      </w:r>
      <w:r w:rsidRPr="00E27811">
        <w:t xml:space="preserve"> 97(3)(b).</w:t>
      </w:r>
    </w:p>
  </w:footnote>
  <w:footnote w:id="28">
    <w:p w:rsidR="00B30F8E" w:rsidRDefault="00B30F8E">
      <w:pPr>
        <w:pStyle w:val="FootnoteText"/>
      </w:pPr>
      <w:r>
        <w:rPr>
          <w:rStyle w:val="FootnoteReference"/>
        </w:rPr>
        <w:footnoteRef/>
      </w:r>
      <w:r>
        <w:t xml:space="preserve"> </w:t>
      </w:r>
      <w:r>
        <w:tab/>
        <w:t xml:space="preserve">For example, our June 2015 final decision on the access arrangement for Jemena Gas Networks (NSW) Ltd.  </w:t>
      </w:r>
    </w:p>
  </w:footnote>
  <w:footnote w:id="29">
    <w:p w:rsidR="00B30F8E" w:rsidRDefault="00B30F8E">
      <w:pPr>
        <w:pStyle w:val="FootnoteText"/>
      </w:pPr>
      <w:r>
        <w:rPr>
          <w:rStyle w:val="FootnoteReference"/>
        </w:rPr>
        <w:footnoteRef/>
      </w:r>
      <w:r>
        <w:t xml:space="preserve"> </w:t>
      </w:r>
      <w:r>
        <w:tab/>
        <w:t xml:space="preserve">NER, cll. 6.6.1(a1)(1), 6.6.1(a1) (2). </w:t>
      </w:r>
    </w:p>
  </w:footnote>
  <w:footnote w:id="30">
    <w:p w:rsidR="00B30F8E" w:rsidRDefault="00B30F8E">
      <w:pPr>
        <w:pStyle w:val="FootnoteText"/>
      </w:pPr>
      <w:r>
        <w:rPr>
          <w:rStyle w:val="FootnoteReference"/>
        </w:rPr>
        <w:footnoteRef/>
      </w:r>
      <w:r>
        <w:t xml:space="preserve"> </w:t>
      </w:r>
      <w:r>
        <w:tab/>
        <w:t xml:space="preserve">ActewAGL, </w:t>
      </w:r>
      <w:r w:rsidRPr="009915AF">
        <w:rPr>
          <w:rStyle w:val="Emphasis"/>
        </w:rPr>
        <w:t>Access arrangement information, Attachment 13: Reference tariff variation mechanism</w:t>
      </w:r>
      <w:r>
        <w:t>, June 2015, p. 23.</w:t>
      </w:r>
    </w:p>
  </w:footnote>
  <w:footnote w:id="31">
    <w:p w:rsidR="00B30F8E" w:rsidRDefault="00B30F8E">
      <w:pPr>
        <w:pStyle w:val="FootnoteText"/>
      </w:pPr>
      <w:r>
        <w:rPr>
          <w:rStyle w:val="FootnoteReference"/>
        </w:rPr>
        <w:footnoteRef/>
      </w:r>
      <w:r>
        <w:t xml:space="preserve"> </w:t>
      </w:r>
      <w:r>
        <w:tab/>
        <w:t>NGR, r. 97(3)(d).</w:t>
      </w:r>
    </w:p>
  </w:footnote>
  <w:footnote w:id="32">
    <w:p w:rsidR="00B30F8E" w:rsidRDefault="00B30F8E">
      <w:pPr>
        <w:pStyle w:val="FootnoteText"/>
      </w:pPr>
      <w:r>
        <w:rPr>
          <w:rStyle w:val="FootnoteReference"/>
        </w:rPr>
        <w:footnoteRef/>
      </w:r>
      <w:r>
        <w:t xml:space="preserve"> </w:t>
      </w:r>
      <w:r>
        <w:tab/>
        <w:t xml:space="preserve">ActewAGL Distribution, </w:t>
      </w:r>
      <w:r>
        <w:rPr>
          <w:rStyle w:val="Emphasis"/>
        </w:rPr>
        <w:t>2016–</w:t>
      </w:r>
      <w:r w:rsidRPr="00A345DA">
        <w:rPr>
          <w:rStyle w:val="Emphasis"/>
        </w:rPr>
        <w:t>21 Access arrangement information, Attachment 13: Reference tariff variation mechanism</w:t>
      </w:r>
      <w:r>
        <w:t>, June 2015, p. 22.</w:t>
      </w:r>
    </w:p>
  </w:footnote>
  <w:footnote w:id="33">
    <w:p w:rsidR="00B30F8E" w:rsidRDefault="00B30F8E" w:rsidP="00734342">
      <w:pPr>
        <w:pStyle w:val="FootnoteText"/>
      </w:pPr>
      <w:r>
        <w:rPr>
          <w:rStyle w:val="FootnoteReference"/>
        </w:rPr>
        <w:footnoteRef/>
      </w:r>
      <w:r>
        <w:t xml:space="preserve"> </w:t>
      </w:r>
      <w:r>
        <w:tab/>
        <w:t xml:space="preserve">AER, </w:t>
      </w:r>
      <w:r w:rsidRPr="00734342">
        <w:rPr>
          <w:rStyle w:val="Emphasis"/>
        </w:rPr>
        <w:t>Final decision, Jemena Gas Networks (N</w:t>
      </w:r>
      <w:r>
        <w:rPr>
          <w:rStyle w:val="Emphasis"/>
        </w:rPr>
        <w:t>SW) Ltd Access Arrangement 2015–</w:t>
      </w:r>
      <w:r w:rsidRPr="00734342">
        <w:rPr>
          <w:rStyle w:val="Emphasis"/>
        </w:rPr>
        <w:t>20, Attachment 11 – Reference tariff variation mechanism</w:t>
      </w:r>
      <w:r>
        <w:t>, June 2015, p. 11-13</w:t>
      </w:r>
    </w:p>
  </w:footnote>
  <w:footnote w:id="34">
    <w:p w:rsidR="00B30F8E" w:rsidRDefault="00B30F8E">
      <w:pPr>
        <w:pStyle w:val="FootnoteText"/>
      </w:pPr>
      <w:r>
        <w:rPr>
          <w:rStyle w:val="FootnoteReference"/>
        </w:rPr>
        <w:footnoteRef/>
      </w:r>
      <w:r>
        <w:t xml:space="preserve"> </w:t>
      </w:r>
      <w:r>
        <w:tab/>
        <w:t xml:space="preserve">ActewAGL, </w:t>
      </w:r>
      <w:r w:rsidRPr="009915AF">
        <w:rPr>
          <w:rStyle w:val="Emphasis"/>
        </w:rPr>
        <w:t>Access arrangement for the ACT, Queanbeyan and Palerang gas distribution network 1 July 2016 - 30 June 2021</w:t>
      </w:r>
      <w:r>
        <w:t>, Schedule 1: Definitions, cl. 1.1 - definition of Administrative Cost Impact.</w:t>
      </w:r>
    </w:p>
  </w:footnote>
  <w:footnote w:id="35">
    <w:p w:rsidR="00B30F8E" w:rsidRDefault="00B30F8E">
      <w:pPr>
        <w:pStyle w:val="FootnoteText"/>
      </w:pPr>
      <w:r>
        <w:rPr>
          <w:rStyle w:val="FootnoteReference"/>
        </w:rPr>
        <w:footnoteRef/>
      </w:r>
      <w:r>
        <w:t xml:space="preserve"> </w:t>
      </w:r>
      <w:r>
        <w:tab/>
        <w:t xml:space="preserve">ActewAGL Distribution, </w:t>
      </w:r>
      <w:r>
        <w:rPr>
          <w:rStyle w:val="Emphasis"/>
        </w:rPr>
        <w:t>2016–</w:t>
      </w:r>
      <w:r w:rsidRPr="00B455F3">
        <w:rPr>
          <w:rStyle w:val="Emphasis"/>
        </w:rPr>
        <w:t>21 Access arrangement information, Attachment 13: Reference tariff variation mechanism</w:t>
      </w:r>
      <w:r>
        <w:t>, June 2015, p. 28</w:t>
      </w:r>
    </w:p>
  </w:footnote>
  <w:footnote w:id="36">
    <w:p w:rsidR="00B30F8E" w:rsidRDefault="00B30F8E">
      <w:pPr>
        <w:pStyle w:val="FootnoteText"/>
      </w:pPr>
      <w:r>
        <w:rPr>
          <w:rStyle w:val="FootnoteReference"/>
        </w:rPr>
        <w:footnoteRef/>
      </w:r>
      <w:r>
        <w:t xml:space="preserve"> </w:t>
      </w:r>
      <w:r>
        <w:tab/>
        <w:t>ActewAGL Distribution,</w:t>
      </w:r>
      <w:r w:rsidRPr="009915AF">
        <w:rPr>
          <w:rStyle w:val="Emphasis"/>
        </w:rPr>
        <w:t xml:space="preserve"> 2016–21 Access arrangement information, Attachment 13: Reference tariff variation mechanism</w:t>
      </w:r>
      <w:r>
        <w:t xml:space="preserve">, p. 28. </w:t>
      </w:r>
    </w:p>
  </w:footnote>
  <w:footnote w:id="37">
    <w:p w:rsidR="00B30F8E" w:rsidRDefault="00B30F8E">
      <w:pPr>
        <w:pStyle w:val="FootnoteText"/>
      </w:pPr>
      <w:r>
        <w:rPr>
          <w:rStyle w:val="FootnoteReference"/>
        </w:rPr>
        <w:footnoteRef/>
      </w:r>
      <w:r>
        <w:t xml:space="preserve"> </w:t>
      </w:r>
      <w:r>
        <w:tab/>
        <w:t xml:space="preserve">AER, </w:t>
      </w:r>
      <w:r w:rsidRPr="00EC37C9">
        <w:rPr>
          <w:i/>
        </w:rPr>
        <w:t>Final dec</w:t>
      </w:r>
      <w:r>
        <w:rPr>
          <w:i/>
        </w:rPr>
        <w:t>ision: Jemena Gas Networks 2015</w:t>
      </w:r>
      <w:r>
        <w:t>–</w:t>
      </w:r>
      <w:r w:rsidRPr="00EC37C9">
        <w:rPr>
          <w:i/>
        </w:rPr>
        <w:t>20</w:t>
      </w:r>
      <w:r>
        <w:t xml:space="preserve">, Attachment 11 – Reference tariff variation mechanism, p. 19. </w:t>
      </w:r>
    </w:p>
  </w:footnote>
  <w:footnote w:id="38">
    <w:p w:rsidR="00B30F8E" w:rsidRDefault="00B30F8E">
      <w:pPr>
        <w:pStyle w:val="FootnoteText"/>
      </w:pPr>
      <w:r>
        <w:rPr>
          <w:rStyle w:val="FootnoteReference"/>
        </w:rPr>
        <w:footnoteRef/>
      </w:r>
      <w:r>
        <w:t xml:space="preserve"> </w:t>
      </w:r>
      <w:r>
        <w:tab/>
        <w:t xml:space="preserve">ActewAGL Distribution, </w:t>
      </w:r>
      <w:r w:rsidRPr="00B455F3">
        <w:rPr>
          <w:rStyle w:val="Emphasis"/>
        </w:rPr>
        <w:t>2016</w:t>
      </w:r>
      <w:r>
        <w:rPr>
          <w:rStyle w:val="Emphasis"/>
        </w:rPr>
        <w:t>–</w:t>
      </w:r>
      <w:r w:rsidRPr="00B455F3">
        <w:rPr>
          <w:rStyle w:val="Emphasis"/>
        </w:rPr>
        <w:t>21 Access arrangement information, Attachment 13: Reference tariff variation mechanism</w:t>
      </w:r>
      <w:r>
        <w:t>, June 2015, p. 29.</w:t>
      </w:r>
    </w:p>
  </w:footnote>
  <w:footnote w:id="39">
    <w:p w:rsidR="00B30F8E" w:rsidRDefault="00B30F8E">
      <w:pPr>
        <w:pStyle w:val="FootnoteText"/>
      </w:pPr>
      <w:r>
        <w:rPr>
          <w:rStyle w:val="FootnoteReference"/>
        </w:rPr>
        <w:footnoteRef/>
      </w:r>
      <w:r>
        <w:t xml:space="preserve"> </w:t>
      </w:r>
      <w:r>
        <w:tab/>
        <w:t xml:space="preserve">ActewAGL Distribution, </w:t>
      </w:r>
      <w:r>
        <w:rPr>
          <w:rStyle w:val="Emphasis"/>
        </w:rPr>
        <w:t>2016–</w:t>
      </w:r>
      <w:r w:rsidRPr="00B455F3">
        <w:rPr>
          <w:rStyle w:val="Emphasis"/>
        </w:rPr>
        <w:t>21 Access arrangement information, Attachment 13: Reference tariff variation mechanism</w:t>
      </w:r>
      <w:r>
        <w:t>, June 2015, p. 29.</w:t>
      </w:r>
    </w:p>
  </w:footnote>
  <w:footnote w:id="40">
    <w:p w:rsidR="00B30F8E" w:rsidRDefault="00B30F8E" w:rsidP="000D7C0D">
      <w:pPr>
        <w:pStyle w:val="FootnoteText"/>
      </w:pPr>
      <w:r>
        <w:rPr>
          <w:rStyle w:val="FootnoteReference"/>
        </w:rPr>
        <w:footnoteRef/>
      </w:r>
      <w:r>
        <w:t xml:space="preserve"> </w:t>
      </w:r>
      <w:r>
        <w:tab/>
        <w:t xml:space="preserve">ActewAGL Distribution, </w:t>
      </w:r>
      <w:r>
        <w:rPr>
          <w:i/>
        </w:rPr>
        <w:t>2016</w:t>
      </w:r>
      <w:r>
        <w:t>–</w:t>
      </w:r>
      <w:r w:rsidRPr="00A943CA">
        <w:rPr>
          <w:i/>
        </w:rPr>
        <w:t>21 Access arrangement information – Attachment 13: reference tariff variation mechanism</w:t>
      </w:r>
      <w:r>
        <w:t xml:space="preserve">, p.30. </w:t>
      </w:r>
    </w:p>
  </w:footnote>
  <w:footnote w:id="41">
    <w:p w:rsidR="00B30F8E" w:rsidRDefault="00B30F8E" w:rsidP="000D7C0D">
      <w:pPr>
        <w:pStyle w:val="FootnoteText"/>
      </w:pPr>
      <w:r>
        <w:rPr>
          <w:rStyle w:val="FootnoteReference"/>
        </w:rPr>
        <w:footnoteRef/>
      </w:r>
      <w:r>
        <w:t xml:space="preserve"> </w:t>
      </w:r>
      <w:r>
        <w:tab/>
      </w:r>
      <w:r w:rsidRPr="00CC63A3">
        <w:t xml:space="preserve">ActewAGL Distribution, </w:t>
      </w:r>
      <w:r>
        <w:rPr>
          <w:i/>
        </w:rPr>
        <w:t>2016</w:t>
      </w:r>
      <w:r>
        <w:t>–</w:t>
      </w:r>
      <w:r w:rsidRPr="00A943CA">
        <w:rPr>
          <w:i/>
        </w:rPr>
        <w:t>21 Access arrangement information – Attachment 13: reference tariff variation mechanism</w:t>
      </w:r>
      <w:r w:rsidRPr="00CC63A3">
        <w:t>, p.30.</w:t>
      </w:r>
    </w:p>
  </w:footnote>
  <w:footnote w:id="42">
    <w:p w:rsidR="00B30F8E" w:rsidRDefault="00B30F8E">
      <w:pPr>
        <w:pStyle w:val="FootnoteText"/>
      </w:pPr>
      <w:r>
        <w:rPr>
          <w:rStyle w:val="FootnoteReference"/>
        </w:rPr>
        <w:footnoteRef/>
      </w:r>
      <w:r>
        <w:t xml:space="preserve"> </w:t>
      </w:r>
      <w:r>
        <w:tab/>
      </w:r>
      <w:r w:rsidRPr="00B712B8">
        <w:t xml:space="preserve">ActewAGL Distribution, </w:t>
      </w:r>
      <w:r>
        <w:rPr>
          <w:i/>
        </w:rPr>
        <w:t>2016</w:t>
      </w:r>
      <w:r>
        <w:t>–</w:t>
      </w:r>
      <w:r w:rsidRPr="00AD656C">
        <w:rPr>
          <w:i/>
        </w:rPr>
        <w:t>21 Access arrangement information – Attachment 13: reference tariff variation mechanism</w:t>
      </w:r>
      <w:r w:rsidRPr="00B712B8">
        <w:t>, p.</w:t>
      </w:r>
      <w:r>
        <w:t xml:space="preserve"> </w:t>
      </w:r>
      <w:r w:rsidRPr="00B712B8">
        <w:t>30.</w:t>
      </w:r>
    </w:p>
  </w:footnote>
  <w:footnote w:id="43">
    <w:p w:rsidR="00B30F8E" w:rsidRDefault="00B30F8E">
      <w:pPr>
        <w:pStyle w:val="FootnoteText"/>
      </w:pPr>
      <w:r>
        <w:rPr>
          <w:rStyle w:val="FootnoteReference"/>
        </w:rPr>
        <w:footnoteRef/>
      </w:r>
      <w:r>
        <w:t xml:space="preserve"> </w:t>
      </w:r>
      <w:r>
        <w:tab/>
        <w:t xml:space="preserve">Origin Energy, </w:t>
      </w:r>
      <w:r w:rsidRPr="00A345DA">
        <w:rPr>
          <w:rStyle w:val="Emphasis"/>
        </w:rPr>
        <w:t>Submissio</w:t>
      </w:r>
      <w:r>
        <w:rPr>
          <w:rStyle w:val="Emphasis"/>
        </w:rPr>
        <w:t>n on ActewAGL Distribution 2016–</w:t>
      </w:r>
      <w:r w:rsidRPr="00A345DA">
        <w:rPr>
          <w:rStyle w:val="Emphasis"/>
        </w:rPr>
        <w:t>21 Access Arrangement Proposal for ACT</w:t>
      </w:r>
      <w:r>
        <w:t xml:space="preserve">, </w:t>
      </w:r>
      <w:r w:rsidRPr="00385C20">
        <w:t>10 August 2015</w:t>
      </w:r>
      <w:r>
        <w:t>, p. 7.</w:t>
      </w:r>
    </w:p>
  </w:footnote>
  <w:footnote w:id="44">
    <w:p w:rsidR="00B30F8E" w:rsidRDefault="00B30F8E">
      <w:pPr>
        <w:pStyle w:val="FootnoteText"/>
      </w:pPr>
      <w:r>
        <w:rPr>
          <w:rStyle w:val="FootnoteReference"/>
        </w:rPr>
        <w:footnoteRef/>
      </w:r>
      <w:r>
        <w:t xml:space="preserve"> </w:t>
      </w:r>
      <w:r>
        <w:tab/>
        <w:t xml:space="preserve">AER, </w:t>
      </w:r>
      <w:r w:rsidRPr="00984FDA">
        <w:rPr>
          <w:i/>
        </w:rPr>
        <w:t>Final dec</w:t>
      </w:r>
      <w:r>
        <w:rPr>
          <w:i/>
        </w:rPr>
        <w:t>ision: Jemena Gas Networks 2015</w:t>
      </w:r>
      <w:r>
        <w:t>–</w:t>
      </w:r>
      <w:r w:rsidRPr="00984FDA">
        <w:rPr>
          <w:i/>
        </w:rPr>
        <w:t>20, Attachment 11 – Reference tariff variation mechanism</w:t>
      </w:r>
      <w:r>
        <w:t xml:space="preserve">, pp. 24–25. </w:t>
      </w:r>
    </w:p>
  </w:footnote>
  <w:footnote w:id="45">
    <w:p w:rsidR="00B30F8E" w:rsidRDefault="00B30F8E">
      <w:pPr>
        <w:pStyle w:val="FootnoteText"/>
      </w:pPr>
      <w:r>
        <w:rPr>
          <w:rStyle w:val="FootnoteReference"/>
        </w:rPr>
        <w:footnoteRef/>
      </w:r>
      <w:r>
        <w:t xml:space="preserve"> </w:t>
      </w:r>
      <w:r>
        <w:tab/>
      </w:r>
      <w:r w:rsidRPr="00C45A00">
        <w:t xml:space="preserve">ActewAGL Distribution, </w:t>
      </w:r>
      <w:r w:rsidRPr="00AD656C">
        <w:rPr>
          <w:i/>
        </w:rPr>
        <w:t>2016</w:t>
      </w:r>
      <w:r>
        <w:t>–</w:t>
      </w:r>
      <w:r w:rsidRPr="00AD656C">
        <w:rPr>
          <w:i/>
        </w:rPr>
        <w:t>21 Access arrangement information – Attachment 13: reference tariff variation mechanism</w:t>
      </w:r>
      <w:r w:rsidRPr="00C45A00">
        <w:t xml:space="preserve">, </w:t>
      </w:r>
      <w:r>
        <w:t xml:space="preserve">June 2015, </w:t>
      </w:r>
      <w:r w:rsidRPr="00C45A00">
        <w:t>p.</w:t>
      </w:r>
      <w:r>
        <w:t xml:space="preserve"> 23. </w:t>
      </w:r>
    </w:p>
  </w:footnote>
  <w:footnote w:id="46">
    <w:p w:rsidR="00B30F8E" w:rsidRDefault="00B30F8E">
      <w:pPr>
        <w:pStyle w:val="FootnoteText"/>
      </w:pPr>
      <w:r>
        <w:rPr>
          <w:rStyle w:val="FootnoteReference"/>
        </w:rPr>
        <w:footnoteRef/>
      </w:r>
      <w:r>
        <w:t xml:space="preserve"> </w:t>
      </w:r>
      <w:r>
        <w:tab/>
        <w:t>ActewAGL</w:t>
      </w:r>
      <w:r w:rsidRPr="00A345DA">
        <w:rPr>
          <w:rStyle w:val="Emphasis"/>
        </w:rPr>
        <w:t>, Access arrangement for the ACT, Queanbeyan and Palerang gas distribution network, 1 July 2016 - 30 June 2021</w:t>
      </w:r>
      <w:r>
        <w:t xml:space="preserve">, June 2015, cll. 5.1(c), 7.16; </w:t>
      </w:r>
      <w:r>
        <w:rPr>
          <w:rStyle w:val="Emphasis"/>
        </w:rPr>
        <w:t>ActewAGL Distribution, 2016–</w:t>
      </w:r>
      <w:r w:rsidRPr="00A345DA">
        <w:rPr>
          <w:rStyle w:val="Emphasis"/>
        </w:rPr>
        <w:t>21 Access arrangement information – Attachment 13: reference tariff variation mechanism</w:t>
      </w:r>
      <w:r>
        <w:t>, June 2015, p. 30.</w:t>
      </w:r>
    </w:p>
  </w:footnote>
  <w:footnote w:id="47">
    <w:p w:rsidR="00B30F8E" w:rsidRDefault="00B30F8E">
      <w:pPr>
        <w:pStyle w:val="FootnoteText"/>
      </w:pPr>
      <w:r>
        <w:rPr>
          <w:rStyle w:val="FootnoteReference"/>
        </w:rPr>
        <w:footnoteRef/>
      </w:r>
      <w:r>
        <w:t xml:space="preserve"> </w:t>
      </w:r>
      <w:r>
        <w:tab/>
        <w:t xml:space="preserve">AER, </w:t>
      </w:r>
      <w:r w:rsidRPr="00A345DA">
        <w:rPr>
          <w:rStyle w:val="Emphasis"/>
        </w:rPr>
        <w:t>Final dec</w:t>
      </w:r>
      <w:r>
        <w:rPr>
          <w:rStyle w:val="Emphasis"/>
        </w:rPr>
        <w:t>ision: Jemena Gas Networks 2015–</w:t>
      </w:r>
      <w:r w:rsidRPr="00A345DA">
        <w:rPr>
          <w:rStyle w:val="Emphasis"/>
        </w:rPr>
        <w:t>20, Attachment 11 – Reference tariff variation mechanism</w:t>
      </w:r>
      <w:r>
        <w:t>, p. 11-27.</w:t>
      </w:r>
    </w:p>
  </w:footnote>
  <w:footnote w:id="48">
    <w:p w:rsidR="00B30F8E" w:rsidRDefault="00B30F8E" w:rsidP="00D2695D">
      <w:pPr>
        <w:pStyle w:val="FootnoteText"/>
      </w:pPr>
      <w:r>
        <w:rPr>
          <w:rStyle w:val="FootnoteReference"/>
        </w:rPr>
        <w:footnoteRef/>
      </w:r>
      <w:r>
        <w:t xml:space="preserve"> </w:t>
      </w:r>
      <w:r>
        <w:tab/>
      </w:r>
      <w:r w:rsidRPr="00C45A00">
        <w:t xml:space="preserve">ActewAGL </w:t>
      </w:r>
      <w:r>
        <w:rPr>
          <w:rStyle w:val="Emphasis"/>
        </w:rPr>
        <w:t>Distribution, 2016–</w:t>
      </w:r>
      <w:r w:rsidRPr="00A345DA">
        <w:rPr>
          <w:rStyle w:val="Emphasis"/>
        </w:rPr>
        <w:t>21 Access arrangement information – Attachment 13: reference tariff variation mechanism</w:t>
      </w:r>
      <w:r>
        <w:t>, June 2015,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8E" w:rsidRDefault="00C948D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30F8E">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8E" w:rsidRDefault="00C948D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41B2BC22"/>
    <w:lvl w:ilvl="0">
      <w:start w:val="1"/>
      <w:numFmt w:val="lowerLetter"/>
      <w:pStyle w:val="ListBullet2"/>
      <w:lvlText w:val="(%1)"/>
      <w:lvlJc w:val="left"/>
      <w:pPr>
        <w:ind w:left="7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6F17A5D"/>
    <w:multiLevelType w:val="hybridMultilevel"/>
    <w:tmpl w:val="C7B61DDC"/>
    <w:lvl w:ilvl="0" w:tplc="1DE40ED8">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A3412CE"/>
    <w:multiLevelType w:val="hybridMultilevel"/>
    <w:tmpl w:val="AB849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457D4B"/>
    <w:multiLevelType w:val="hybridMultilevel"/>
    <w:tmpl w:val="0482730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7F1E25"/>
    <w:multiLevelType w:val="hybridMultilevel"/>
    <w:tmpl w:val="9FCA8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AB1D91"/>
    <w:multiLevelType w:val="hybridMultilevel"/>
    <w:tmpl w:val="1B9ECA5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nsid w:val="1BF25875"/>
    <w:multiLevelType w:val="hybridMultilevel"/>
    <w:tmpl w:val="A558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215E5063"/>
    <w:multiLevelType w:val="hybridMultilevel"/>
    <w:tmpl w:val="7BE22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2D5669F4"/>
    <w:multiLevelType w:val="hybridMultilevel"/>
    <w:tmpl w:val="9940CC9C"/>
    <w:lvl w:ilvl="0" w:tplc="EBAEF572">
      <w:start w:val="9"/>
      <w:numFmt w:val="lowerLetter"/>
      <w:lvlText w:val="%1."/>
      <w:lvlJc w:val="left"/>
      <w:pPr>
        <w:ind w:left="1780" w:hanging="36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23">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775"/>
        </w:tabs>
        <w:ind w:left="1775"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353" w:hanging="360"/>
      </w:pPr>
      <w:rPr>
        <w:rFonts w:hint="default"/>
      </w:rPr>
    </w:lvl>
  </w:abstractNum>
  <w:abstractNum w:abstractNumId="30">
    <w:nsid w:val="55EC7B46"/>
    <w:multiLevelType w:val="hybridMultilevel"/>
    <w:tmpl w:val="09EE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232AF0"/>
    <w:multiLevelType w:val="hybridMultilevel"/>
    <w:tmpl w:val="FFA06534"/>
    <w:lvl w:ilvl="0" w:tplc="5934A2B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175FE1"/>
    <w:multiLevelType w:val="hybridMultilevel"/>
    <w:tmpl w:val="0E44A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CE4384"/>
    <w:multiLevelType w:val="multilevel"/>
    <w:tmpl w:val="768EAEB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21B65A0"/>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775"/>
        </w:tabs>
        <w:ind w:left="1775"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353" w:hanging="360"/>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A0916CC"/>
    <w:multiLevelType w:val="hybridMultilevel"/>
    <w:tmpl w:val="A83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5"/>
  </w:num>
  <w:num w:numId="14">
    <w:abstractNumId w:val="13"/>
  </w:num>
  <w:num w:numId="15">
    <w:abstractNumId w:val="18"/>
  </w:num>
  <w:num w:numId="16">
    <w:abstractNumId w:val="26"/>
  </w:num>
  <w:num w:numId="17">
    <w:abstractNumId w:val="12"/>
  </w:num>
  <w:num w:numId="18">
    <w:abstractNumId w:val="21"/>
  </w:num>
  <w:num w:numId="19">
    <w:abstractNumId w:val="27"/>
  </w:num>
  <w:num w:numId="20">
    <w:abstractNumId w:val="38"/>
  </w:num>
  <w:num w:numId="21">
    <w:abstractNumId w:val="32"/>
  </w:num>
  <w:num w:numId="22">
    <w:abstractNumId w:val="28"/>
  </w:num>
  <w:num w:numId="23">
    <w:abstractNumId w:val="23"/>
  </w:num>
  <w:num w:numId="24">
    <w:abstractNumId w:val="29"/>
    <w:lvlOverride w:ilvl="2">
      <w:lvl w:ilvl="2">
        <w:start w:val="1"/>
        <w:numFmt w:val="lowerLetter"/>
        <w:lvlText w:val="%3."/>
        <w:lvlJc w:val="left"/>
        <w:pPr>
          <w:tabs>
            <w:tab w:val="num" w:pos="720"/>
          </w:tabs>
          <w:ind w:left="720" w:hanging="363"/>
        </w:pPr>
        <w:rPr>
          <w:rFonts w:hint="default"/>
        </w:rPr>
      </w:lvl>
    </w:lvlOverride>
  </w:num>
  <w:num w:numId="25">
    <w:abstractNumId w:val="34"/>
  </w:num>
  <w:num w:numId="26">
    <w:abstractNumId w:val="24"/>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10"/>
  </w:num>
  <w:num w:numId="32">
    <w:abstractNumId w:val="17"/>
  </w:num>
  <w:num w:numId="33">
    <w:abstractNumId w:val="37"/>
  </w:num>
  <w:num w:numId="34">
    <w:abstractNumId w:val="15"/>
  </w:num>
  <w:num w:numId="35">
    <w:abstractNumId w:val="33"/>
  </w:num>
  <w:num w:numId="36">
    <w:abstractNumId w:val="30"/>
  </w:num>
  <w:num w:numId="37">
    <w:abstractNumId w:val="9"/>
  </w:num>
  <w:num w:numId="38">
    <w:abstractNumId w:val="22"/>
  </w:num>
  <w:num w:numId="39">
    <w:abstractNumId w:val="19"/>
  </w:num>
  <w:num w:numId="40">
    <w:abstractNumId w:val="31"/>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29"/>
  </w:num>
  <w:num w:numId="45">
    <w:abstractNumId w:val="21"/>
    <w:lvlOverride w:ilvl="0">
      <w:startOverride w:val="1"/>
    </w:lvlOverride>
  </w:num>
  <w:num w:numId="46">
    <w:abstractNumId w:val="35"/>
  </w:num>
  <w:num w:numId="47">
    <w:abstractNumId w:val="7"/>
    <w:lvlOverride w:ilvl="0">
      <w:startOverride w:val="1"/>
    </w:lvlOverride>
  </w:num>
  <w:num w:numId="48">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12E40"/>
    <w:rsid w:val="000160E0"/>
    <w:rsid w:val="00020950"/>
    <w:rsid w:val="00021202"/>
    <w:rsid w:val="00021C2B"/>
    <w:rsid w:val="0002517F"/>
    <w:rsid w:val="000252DA"/>
    <w:rsid w:val="00026495"/>
    <w:rsid w:val="0003578C"/>
    <w:rsid w:val="00036341"/>
    <w:rsid w:val="000401AF"/>
    <w:rsid w:val="000417DC"/>
    <w:rsid w:val="00044BBC"/>
    <w:rsid w:val="000468AF"/>
    <w:rsid w:val="00046A29"/>
    <w:rsid w:val="00063247"/>
    <w:rsid w:val="00070F9F"/>
    <w:rsid w:val="0007137B"/>
    <w:rsid w:val="00071E42"/>
    <w:rsid w:val="00085663"/>
    <w:rsid w:val="00085C8C"/>
    <w:rsid w:val="00085EBF"/>
    <w:rsid w:val="00087B72"/>
    <w:rsid w:val="00091B15"/>
    <w:rsid w:val="00095B2A"/>
    <w:rsid w:val="000A3020"/>
    <w:rsid w:val="000A6C7B"/>
    <w:rsid w:val="000B75B6"/>
    <w:rsid w:val="000C2B40"/>
    <w:rsid w:val="000C7758"/>
    <w:rsid w:val="000D06C1"/>
    <w:rsid w:val="000D122C"/>
    <w:rsid w:val="000D3016"/>
    <w:rsid w:val="000D7C0D"/>
    <w:rsid w:val="000E1819"/>
    <w:rsid w:val="000E2192"/>
    <w:rsid w:val="000E4821"/>
    <w:rsid w:val="000E6C72"/>
    <w:rsid w:val="000F0B2B"/>
    <w:rsid w:val="000F26AC"/>
    <w:rsid w:val="000F3E72"/>
    <w:rsid w:val="000F48B1"/>
    <w:rsid w:val="00101D37"/>
    <w:rsid w:val="00116EB2"/>
    <w:rsid w:val="00122954"/>
    <w:rsid w:val="00124609"/>
    <w:rsid w:val="00126A4C"/>
    <w:rsid w:val="00134F7C"/>
    <w:rsid w:val="0013776C"/>
    <w:rsid w:val="00142AB6"/>
    <w:rsid w:val="0014573B"/>
    <w:rsid w:val="001538EA"/>
    <w:rsid w:val="00154198"/>
    <w:rsid w:val="00156AE7"/>
    <w:rsid w:val="001573E4"/>
    <w:rsid w:val="00160756"/>
    <w:rsid w:val="00162093"/>
    <w:rsid w:val="00170813"/>
    <w:rsid w:val="0017232E"/>
    <w:rsid w:val="00174102"/>
    <w:rsid w:val="001754EE"/>
    <w:rsid w:val="00180157"/>
    <w:rsid w:val="00185CB9"/>
    <w:rsid w:val="001863DA"/>
    <w:rsid w:val="00186F77"/>
    <w:rsid w:val="001926A4"/>
    <w:rsid w:val="00192AD5"/>
    <w:rsid w:val="001A066F"/>
    <w:rsid w:val="001A39D1"/>
    <w:rsid w:val="001B45A0"/>
    <w:rsid w:val="001B7D00"/>
    <w:rsid w:val="001C670B"/>
    <w:rsid w:val="001D055E"/>
    <w:rsid w:val="001E17F8"/>
    <w:rsid w:val="001E2B03"/>
    <w:rsid w:val="001E67A0"/>
    <w:rsid w:val="001E6E28"/>
    <w:rsid w:val="001F05A4"/>
    <w:rsid w:val="001F492E"/>
    <w:rsid w:val="001F6DA3"/>
    <w:rsid w:val="002010BC"/>
    <w:rsid w:val="002016E7"/>
    <w:rsid w:val="00201F98"/>
    <w:rsid w:val="00202E03"/>
    <w:rsid w:val="0020478D"/>
    <w:rsid w:val="0020492C"/>
    <w:rsid w:val="0022166F"/>
    <w:rsid w:val="00221E83"/>
    <w:rsid w:val="00224DB9"/>
    <w:rsid w:val="002279AA"/>
    <w:rsid w:val="00227DCE"/>
    <w:rsid w:val="0023276C"/>
    <w:rsid w:val="00233775"/>
    <w:rsid w:val="002379F0"/>
    <w:rsid w:val="0024329D"/>
    <w:rsid w:val="00251745"/>
    <w:rsid w:val="00263AC0"/>
    <w:rsid w:val="00264264"/>
    <w:rsid w:val="0026772D"/>
    <w:rsid w:val="002701AB"/>
    <w:rsid w:val="00273F74"/>
    <w:rsid w:val="00276361"/>
    <w:rsid w:val="00286874"/>
    <w:rsid w:val="0028699E"/>
    <w:rsid w:val="00290470"/>
    <w:rsid w:val="00290C63"/>
    <w:rsid w:val="00293257"/>
    <w:rsid w:val="00296B65"/>
    <w:rsid w:val="0029796B"/>
    <w:rsid w:val="002A06FE"/>
    <w:rsid w:val="002A7DEF"/>
    <w:rsid w:val="002B1003"/>
    <w:rsid w:val="002B573C"/>
    <w:rsid w:val="002C233C"/>
    <w:rsid w:val="002D72E8"/>
    <w:rsid w:val="002E3E9D"/>
    <w:rsid w:val="002E7B22"/>
    <w:rsid w:val="002F2DD7"/>
    <w:rsid w:val="002F7986"/>
    <w:rsid w:val="00301B40"/>
    <w:rsid w:val="003029EE"/>
    <w:rsid w:val="0030370B"/>
    <w:rsid w:val="0030472A"/>
    <w:rsid w:val="00305CC8"/>
    <w:rsid w:val="00307F6D"/>
    <w:rsid w:val="00313D15"/>
    <w:rsid w:val="00316052"/>
    <w:rsid w:val="003177A2"/>
    <w:rsid w:val="00321CA3"/>
    <w:rsid w:val="003271B5"/>
    <w:rsid w:val="003279C5"/>
    <w:rsid w:val="00327A1E"/>
    <w:rsid w:val="00331264"/>
    <w:rsid w:val="00334C8D"/>
    <w:rsid w:val="00335681"/>
    <w:rsid w:val="003358F1"/>
    <w:rsid w:val="003371C3"/>
    <w:rsid w:val="0034120D"/>
    <w:rsid w:val="00343A18"/>
    <w:rsid w:val="00344473"/>
    <w:rsid w:val="00345E86"/>
    <w:rsid w:val="00351136"/>
    <w:rsid w:val="003518B3"/>
    <w:rsid w:val="00360965"/>
    <w:rsid w:val="00363CA3"/>
    <w:rsid w:val="00365E8A"/>
    <w:rsid w:val="00375306"/>
    <w:rsid w:val="00375F60"/>
    <w:rsid w:val="00380CD9"/>
    <w:rsid w:val="003816FB"/>
    <w:rsid w:val="003834B2"/>
    <w:rsid w:val="003846F1"/>
    <w:rsid w:val="00385C20"/>
    <w:rsid w:val="00390721"/>
    <w:rsid w:val="003931A7"/>
    <w:rsid w:val="003A3367"/>
    <w:rsid w:val="003A6D1C"/>
    <w:rsid w:val="003B484F"/>
    <w:rsid w:val="003B7FBA"/>
    <w:rsid w:val="003C73E8"/>
    <w:rsid w:val="003D49DB"/>
    <w:rsid w:val="003F174D"/>
    <w:rsid w:val="003F7442"/>
    <w:rsid w:val="00413B34"/>
    <w:rsid w:val="00415F31"/>
    <w:rsid w:val="00423A77"/>
    <w:rsid w:val="00426CE9"/>
    <w:rsid w:val="00426FD7"/>
    <w:rsid w:val="00433966"/>
    <w:rsid w:val="00437774"/>
    <w:rsid w:val="00444C0D"/>
    <w:rsid w:val="00452E49"/>
    <w:rsid w:val="0045777E"/>
    <w:rsid w:val="004673CC"/>
    <w:rsid w:val="00474EC7"/>
    <w:rsid w:val="00480B4B"/>
    <w:rsid w:val="00485DC4"/>
    <w:rsid w:val="004A0A34"/>
    <w:rsid w:val="004A3FF8"/>
    <w:rsid w:val="004A43D1"/>
    <w:rsid w:val="004A4CB5"/>
    <w:rsid w:val="004B355D"/>
    <w:rsid w:val="004B4412"/>
    <w:rsid w:val="004B5359"/>
    <w:rsid w:val="004B61D3"/>
    <w:rsid w:val="004C348C"/>
    <w:rsid w:val="004D4D6B"/>
    <w:rsid w:val="004D55BA"/>
    <w:rsid w:val="004E0083"/>
    <w:rsid w:val="004E22EC"/>
    <w:rsid w:val="004E238C"/>
    <w:rsid w:val="004F6A0E"/>
    <w:rsid w:val="005133CE"/>
    <w:rsid w:val="00527912"/>
    <w:rsid w:val="005300CF"/>
    <w:rsid w:val="00530128"/>
    <w:rsid w:val="00531539"/>
    <w:rsid w:val="00532467"/>
    <w:rsid w:val="00537FD6"/>
    <w:rsid w:val="00541118"/>
    <w:rsid w:val="005466F7"/>
    <w:rsid w:val="005649F5"/>
    <w:rsid w:val="00564A4D"/>
    <w:rsid w:val="0056588A"/>
    <w:rsid w:val="00567BA5"/>
    <w:rsid w:val="00571B35"/>
    <w:rsid w:val="00571D57"/>
    <w:rsid w:val="005758C4"/>
    <w:rsid w:val="00577A09"/>
    <w:rsid w:val="005829C2"/>
    <w:rsid w:val="00584D8F"/>
    <w:rsid w:val="00586819"/>
    <w:rsid w:val="0058737B"/>
    <w:rsid w:val="00596D48"/>
    <w:rsid w:val="0059704C"/>
    <w:rsid w:val="005A404D"/>
    <w:rsid w:val="005B140A"/>
    <w:rsid w:val="005B1E3C"/>
    <w:rsid w:val="005B3FB7"/>
    <w:rsid w:val="005B704A"/>
    <w:rsid w:val="005C0A7F"/>
    <w:rsid w:val="005C26CC"/>
    <w:rsid w:val="005C4C9C"/>
    <w:rsid w:val="005C6F97"/>
    <w:rsid w:val="005D626C"/>
    <w:rsid w:val="005D7BA2"/>
    <w:rsid w:val="005E36C2"/>
    <w:rsid w:val="005E4C49"/>
    <w:rsid w:val="006004D2"/>
    <w:rsid w:val="006007DE"/>
    <w:rsid w:val="00600B92"/>
    <w:rsid w:val="00601638"/>
    <w:rsid w:val="00607A6E"/>
    <w:rsid w:val="00610EF9"/>
    <w:rsid w:val="00612F4F"/>
    <w:rsid w:val="00615C6B"/>
    <w:rsid w:val="00621DCE"/>
    <w:rsid w:val="00626239"/>
    <w:rsid w:val="00626DF6"/>
    <w:rsid w:val="00632D6D"/>
    <w:rsid w:val="00633F18"/>
    <w:rsid w:val="00642C3E"/>
    <w:rsid w:val="00651C3A"/>
    <w:rsid w:val="00651CB2"/>
    <w:rsid w:val="006560CA"/>
    <w:rsid w:val="0066104A"/>
    <w:rsid w:val="00663DAD"/>
    <w:rsid w:val="006644E6"/>
    <w:rsid w:val="00665649"/>
    <w:rsid w:val="006672AA"/>
    <w:rsid w:val="00670A9A"/>
    <w:rsid w:val="00675E20"/>
    <w:rsid w:val="00676679"/>
    <w:rsid w:val="006807A9"/>
    <w:rsid w:val="00683C89"/>
    <w:rsid w:val="00691D9A"/>
    <w:rsid w:val="0069608B"/>
    <w:rsid w:val="006A6201"/>
    <w:rsid w:val="006B2395"/>
    <w:rsid w:val="006B45A4"/>
    <w:rsid w:val="006B4CF9"/>
    <w:rsid w:val="006B785B"/>
    <w:rsid w:val="006B7AC8"/>
    <w:rsid w:val="006C1736"/>
    <w:rsid w:val="006C4798"/>
    <w:rsid w:val="006D4F4F"/>
    <w:rsid w:val="006D550F"/>
    <w:rsid w:val="006E4664"/>
    <w:rsid w:val="006E6DAB"/>
    <w:rsid w:val="006F3AD1"/>
    <w:rsid w:val="006F3FC8"/>
    <w:rsid w:val="006F4C4C"/>
    <w:rsid w:val="0070011E"/>
    <w:rsid w:val="00701CAB"/>
    <w:rsid w:val="00702F1B"/>
    <w:rsid w:val="00707563"/>
    <w:rsid w:val="00712291"/>
    <w:rsid w:val="0072348C"/>
    <w:rsid w:val="007235B4"/>
    <w:rsid w:val="00724A37"/>
    <w:rsid w:val="00726B6E"/>
    <w:rsid w:val="007303C3"/>
    <w:rsid w:val="007315EE"/>
    <w:rsid w:val="00734342"/>
    <w:rsid w:val="0073450B"/>
    <w:rsid w:val="00741C46"/>
    <w:rsid w:val="00741E23"/>
    <w:rsid w:val="007429BE"/>
    <w:rsid w:val="00743223"/>
    <w:rsid w:val="00744D21"/>
    <w:rsid w:val="00746E01"/>
    <w:rsid w:val="00747EEA"/>
    <w:rsid w:val="00757364"/>
    <w:rsid w:val="00757BDF"/>
    <w:rsid w:val="007609D0"/>
    <w:rsid w:val="00760E22"/>
    <w:rsid w:val="00763E5D"/>
    <w:rsid w:val="00763FD3"/>
    <w:rsid w:val="00767740"/>
    <w:rsid w:val="0077563A"/>
    <w:rsid w:val="0077774B"/>
    <w:rsid w:val="00777EE6"/>
    <w:rsid w:val="00782EEA"/>
    <w:rsid w:val="007848E4"/>
    <w:rsid w:val="007A566F"/>
    <w:rsid w:val="007B186E"/>
    <w:rsid w:val="007B2C72"/>
    <w:rsid w:val="007C1C53"/>
    <w:rsid w:val="007C3CBE"/>
    <w:rsid w:val="007C5F28"/>
    <w:rsid w:val="007C74BB"/>
    <w:rsid w:val="007D0096"/>
    <w:rsid w:val="007D1500"/>
    <w:rsid w:val="007D20F2"/>
    <w:rsid w:val="007D456E"/>
    <w:rsid w:val="007D4A58"/>
    <w:rsid w:val="007E4904"/>
    <w:rsid w:val="007E4CB5"/>
    <w:rsid w:val="007F066B"/>
    <w:rsid w:val="007F213A"/>
    <w:rsid w:val="007F75C4"/>
    <w:rsid w:val="007F7899"/>
    <w:rsid w:val="008027D2"/>
    <w:rsid w:val="008033C4"/>
    <w:rsid w:val="00803F1E"/>
    <w:rsid w:val="00806C88"/>
    <w:rsid w:val="0081034E"/>
    <w:rsid w:val="00811E7E"/>
    <w:rsid w:val="008206E8"/>
    <w:rsid w:val="00821750"/>
    <w:rsid w:val="008221F2"/>
    <w:rsid w:val="00823408"/>
    <w:rsid w:val="00825985"/>
    <w:rsid w:val="008344F6"/>
    <w:rsid w:val="0083510F"/>
    <w:rsid w:val="008408C5"/>
    <w:rsid w:val="00843EEF"/>
    <w:rsid w:val="008458F3"/>
    <w:rsid w:val="00851209"/>
    <w:rsid w:val="0085722A"/>
    <w:rsid w:val="0086230F"/>
    <w:rsid w:val="00864B35"/>
    <w:rsid w:val="008746F5"/>
    <w:rsid w:val="00877C2A"/>
    <w:rsid w:val="00882481"/>
    <w:rsid w:val="008837AC"/>
    <w:rsid w:val="008911F7"/>
    <w:rsid w:val="0089203E"/>
    <w:rsid w:val="008958C9"/>
    <w:rsid w:val="008A0B55"/>
    <w:rsid w:val="008A587D"/>
    <w:rsid w:val="008B34C4"/>
    <w:rsid w:val="008B35CD"/>
    <w:rsid w:val="008B448A"/>
    <w:rsid w:val="008B5FCC"/>
    <w:rsid w:val="008B7544"/>
    <w:rsid w:val="008C3374"/>
    <w:rsid w:val="008C5486"/>
    <w:rsid w:val="008C708B"/>
    <w:rsid w:val="008D1661"/>
    <w:rsid w:val="008D6800"/>
    <w:rsid w:val="008E03BF"/>
    <w:rsid w:val="008E33EE"/>
    <w:rsid w:val="008E3D56"/>
    <w:rsid w:val="008E7031"/>
    <w:rsid w:val="008E77DE"/>
    <w:rsid w:val="008F03E8"/>
    <w:rsid w:val="008F07A3"/>
    <w:rsid w:val="008F2CFF"/>
    <w:rsid w:val="008F34DD"/>
    <w:rsid w:val="009001B6"/>
    <w:rsid w:val="00900E1B"/>
    <w:rsid w:val="00901C3C"/>
    <w:rsid w:val="00922E76"/>
    <w:rsid w:val="009233EE"/>
    <w:rsid w:val="009272AD"/>
    <w:rsid w:val="009277DC"/>
    <w:rsid w:val="00933E99"/>
    <w:rsid w:val="00937C30"/>
    <w:rsid w:val="009460AA"/>
    <w:rsid w:val="00947920"/>
    <w:rsid w:val="009503A4"/>
    <w:rsid w:val="009507A3"/>
    <w:rsid w:val="00951978"/>
    <w:rsid w:val="009523D1"/>
    <w:rsid w:val="00954349"/>
    <w:rsid w:val="00960BE6"/>
    <w:rsid w:val="00961A4A"/>
    <w:rsid w:val="009661DE"/>
    <w:rsid w:val="009664A2"/>
    <w:rsid w:val="00983C25"/>
    <w:rsid w:val="00984FDA"/>
    <w:rsid w:val="009855B7"/>
    <w:rsid w:val="009856B7"/>
    <w:rsid w:val="00985C86"/>
    <w:rsid w:val="009862AC"/>
    <w:rsid w:val="009915AF"/>
    <w:rsid w:val="00995398"/>
    <w:rsid w:val="009A5113"/>
    <w:rsid w:val="009A5FC3"/>
    <w:rsid w:val="009B4B4A"/>
    <w:rsid w:val="009B6F84"/>
    <w:rsid w:val="009B74B0"/>
    <w:rsid w:val="009D0B9A"/>
    <w:rsid w:val="009D3906"/>
    <w:rsid w:val="009D6B46"/>
    <w:rsid w:val="009E1869"/>
    <w:rsid w:val="009E2621"/>
    <w:rsid w:val="009E60D7"/>
    <w:rsid w:val="009F4940"/>
    <w:rsid w:val="009F5BA1"/>
    <w:rsid w:val="00A005FD"/>
    <w:rsid w:val="00A02A88"/>
    <w:rsid w:val="00A0562E"/>
    <w:rsid w:val="00A06085"/>
    <w:rsid w:val="00A0726D"/>
    <w:rsid w:val="00A11A49"/>
    <w:rsid w:val="00A2540C"/>
    <w:rsid w:val="00A32FBB"/>
    <w:rsid w:val="00A33E1B"/>
    <w:rsid w:val="00A345DA"/>
    <w:rsid w:val="00A428EE"/>
    <w:rsid w:val="00A4478A"/>
    <w:rsid w:val="00A44852"/>
    <w:rsid w:val="00A4650A"/>
    <w:rsid w:val="00A46EBE"/>
    <w:rsid w:val="00A50502"/>
    <w:rsid w:val="00A57D04"/>
    <w:rsid w:val="00A60A26"/>
    <w:rsid w:val="00A61598"/>
    <w:rsid w:val="00A66B0B"/>
    <w:rsid w:val="00A67774"/>
    <w:rsid w:val="00A84A99"/>
    <w:rsid w:val="00A84F46"/>
    <w:rsid w:val="00A868A5"/>
    <w:rsid w:val="00A871F4"/>
    <w:rsid w:val="00A943CA"/>
    <w:rsid w:val="00A954F2"/>
    <w:rsid w:val="00AA4088"/>
    <w:rsid w:val="00AA41FD"/>
    <w:rsid w:val="00AC0029"/>
    <w:rsid w:val="00AC1B2C"/>
    <w:rsid w:val="00AC3264"/>
    <w:rsid w:val="00AD0087"/>
    <w:rsid w:val="00AD0299"/>
    <w:rsid w:val="00AD656C"/>
    <w:rsid w:val="00AD7D8B"/>
    <w:rsid w:val="00AE1BF1"/>
    <w:rsid w:val="00AE30A4"/>
    <w:rsid w:val="00AF0DD2"/>
    <w:rsid w:val="00AF63C9"/>
    <w:rsid w:val="00B01A42"/>
    <w:rsid w:val="00B0209D"/>
    <w:rsid w:val="00B033C5"/>
    <w:rsid w:val="00B06F41"/>
    <w:rsid w:val="00B07CEA"/>
    <w:rsid w:val="00B13048"/>
    <w:rsid w:val="00B1716D"/>
    <w:rsid w:val="00B17A1D"/>
    <w:rsid w:val="00B207A0"/>
    <w:rsid w:val="00B27249"/>
    <w:rsid w:val="00B30F8E"/>
    <w:rsid w:val="00B35212"/>
    <w:rsid w:val="00B514DD"/>
    <w:rsid w:val="00B51F3F"/>
    <w:rsid w:val="00B52AF0"/>
    <w:rsid w:val="00B561BD"/>
    <w:rsid w:val="00B56E03"/>
    <w:rsid w:val="00B60418"/>
    <w:rsid w:val="00B61EDF"/>
    <w:rsid w:val="00B620F1"/>
    <w:rsid w:val="00B712B8"/>
    <w:rsid w:val="00B757A6"/>
    <w:rsid w:val="00B8080B"/>
    <w:rsid w:val="00B82223"/>
    <w:rsid w:val="00B83BDB"/>
    <w:rsid w:val="00B869E3"/>
    <w:rsid w:val="00B87BA5"/>
    <w:rsid w:val="00B87C39"/>
    <w:rsid w:val="00B92179"/>
    <w:rsid w:val="00B92366"/>
    <w:rsid w:val="00B9562D"/>
    <w:rsid w:val="00BA2A33"/>
    <w:rsid w:val="00BA4665"/>
    <w:rsid w:val="00BA4CD9"/>
    <w:rsid w:val="00BB2110"/>
    <w:rsid w:val="00BB2FB2"/>
    <w:rsid w:val="00BB3304"/>
    <w:rsid w:val="00BB7528"/>
    <w:rsid w:val="00BC2A7C"/>
    <w:rsid w:val="00BC7B99"/>
    <w:rsid w:val="00BD108D"/>
    <w:rsid w:val="00BD310B"/>
    <w:rsid w:val="00BD3446"/>
    <w:rsid w:val="00BE1F1B"/>
    <w:rsid w:val="00BE47B5"/>
    <w:rsid w:val="00BE7DDE"/>
    <w:rsid w:val="00BE7FC3"/>
    <w:rsid w:val="00BF3130"/>
    <w:rsid w:val="00C0266E"/>
    <w:rsid w:val="00C04223"/>
    <w:rsid w:val="00C05782"/>
    <w:rsid w:val="00C0717C"/>
    <w:rsid w:val="00C10EB9"/>
    <w:rsid w:val="00C24689"/>
    <w:rsid w:val="00C25FA6"/>
    <w:rsid w:val="00C33531"/>
    <w:rsid w:val="00C371D5"/>
    <w:rsid w:val="00C42ACA"/>
    <w:rsid w:val="00C45A00"/>
    <w:rsid w:val="00C513FD"/>
    <w:rsid w:val="00C51CEC"/>
    <w:rsid w:val="00C532A8"/>
    <w:rsid w:val="00C538A9"/>
    <w:rsid w:val="00C53B5A"/>
    <w:rsid w:val="00C54F5A"/>
    <w:rsid w:val="00C56120"/>
    <w:rsid w:val="00C569B4"/>
    <w:rsid w:val="00C56A3E"/>
    <w:rsid w:val="00C634D2"/>
    <w:rsid w:val="00C652D4"/>
    <w:rsid w:val="00C66E80"/>
    <w:rsid w:val="00C67A92"/>
    <w:rsid w:val="00C716B0"/>
    <w:rsid w:val="00C7497E"/>
    <w:rsid w:val="00C75B34"/>
    <w:rsid w:val="00C84560"/>
    <w:rsid w:val="00C84F52"/>
    <w:rsid w:val="00C8604F"/>
    <w:rsid w:val="00C86679"/>
    <w:rsid w:val="00C948D1"/>
    <w:rsid w:val="00CA39C0"/>
    <w:rsid w:val="00CA489E"/>
    <w:rsid w:val="00CA52A2"/>
    <w:rsid w:val="00CB0279"/>
    <w:rsid w:val="00CB5292"/>
    <w:rsid w:val="00CB666B"/>
    <w:rsid w:val="00CB7059"/>
    <w:rsid w:val="00CC0425"/>
    <w:rsid w:val="00CC5499"/>
    <w:rsid w:val="00CC63A3"/>
    <w:rsid w:val="00CC7F1D"/>
    <w:rsid w:val="00CE484B"/>
    <w:rsid w:val="00CF0DEE"/>
    <w:rsid w:val="00CF6EDE"/>
    <w:rsid w:val="00D006AE"/>
    <w:rsid w:val="00D01CF0"/>
    <w:rsid w:val="00D01EFD"/>
    <w:rsid w:val="00D03F58"/>
    <w:rsid w:val="00D0442A"/>
    <w:rsid w:val="00D17683"/>
    <w:rsid w:val="00D17BEF"/>
    <w:rsid w:val="00D2695D"/>
    <w:rsid w:val="00D36FDB"/>
    <w:rsid w:val="00D45694"/>
    <w:rsid w:val="00D545E5"/>
    <w:rsid w:val="00D61388"/>
    <w:rsid w:val="00D61A54"/>
    <w:rsid w:val="00D64DEA"/>
    <w:rsid w:val="00D7168E"/>
    <w:rsid w:val="00D71E57"/>
    <w:rsid w:val="00D71F6C"/>
    <w:rsid w:val="00D73CF2"/>
    <w:rsid w:val="00D75AA2"/>
    <w:rsid w:val="00D80893"/>
    <w:rsid w:val="00D80B91"/>
    <w:rsid w:val="00D84854"/>
    <w:rsid w:val="00D848B4"/>
    <w:rsid w:val="00D867BA"/>
    <w:rsid w:val="00D87758"/>
    <w:rsid w:val="00D92CF1"/>
    <w:rsid w:val="00D92D38"/>
    <w:rsid w:val="00D950F5"/>
    <w:rsid w:val="00DA4752"/>
    <w:rsid w:val="00DA61F3"/>
    <w:rsid w:val="00DA6B93"/>
    <w:rsid w:val="00DA74AB"/>
    <w:rsid w:val="00DB0F93"/>
    <w:rsid w:val="00DB1A67"/>
    <w:rsid w:val="00DB5074"/>
    <w:rsid w:val="00DB5B21"/>
    <w:rsid w:val="00DB7545"/>
    <w:rsid w:val="00DC73BF"/>
    <w:rsid w:val="00DC7981"/>
    <w:rsid w:val="00DD0FD9"/>
    <w:rsid w:val="00DD2029"/>
    <w:rsid w:val="00DE1093"/>
    <w:rsid w:val="00DE1CF8"/>
    <w:rsid w:val="00DE28AE"/>
    <w:rsid w:val="00DE4EFA"/>
    <w:rsid w:val="00DE5520"/>
    <w:rsid w:val="00DE563D"/>
    <w:rsid w:val="00DE5E2E"/>
    <w:rsid w:val="00DE772C"/>
    <w:rsid w:val="00DF312A"/>
    <w:rsid w:val="00E04818"/>
    <w:rsid w:val="00E06442"/>
    <w:rsid w:val="00E06BCF"/>
    <w:rsid w:val="00E1001C"/>
    <w:rsid w:val="00E1176E"/>
    <w:rsid w:val="00E1385C"/>
    <w:rsid w:val="00E23993"/>
    <w:rsid w:val="00E257D6"/>
    <w:rsid w:val="00E25B8C"/>
    <w:rsid w:val="00E25BE1"/>
    <w:rsid w:val="00E27811"/>
    <w:rsid w:val="00E43E91"/>
    <w:rsid w:val="00E51D65"/>
    <w:rsid w:val="00E55F2F"/>
    <w:rsid w:val="00E6200B"/>
    <w:rsid w:val="00E644F6"/>
    <w:rsid w:val="00E64D31"/>
    <w:rsid w:val="00E65C85"/>
    <w:rsid w:val="00E66199"/>
    <w:rsid w:val="00E67F6D"/>
    <w:rsid w:val="00E711C7"/>
    <w:rsid w:val="00E755EC"/>
    <w:rsid w:val="00E7624D"/>
    <w:rsid w:val="00E845D8"/>
    <w:rsid w:val="00EA1E07"/>
    <w:rsid w:val="00EA3D42"/>
    <w:rsid w:val="00EA6B1B"/>
    <w:rsid w:val="00EB5BC8"/>
    <w:rsid w:val="00EB606C"/>
    <w:rsid w:val="00EC04F1"/>
    <w:rsid w:val="00EC13F6"/>
    <w:rsid w:val="00EC37C9"/>
    <w:rsid w:val="00EC3BE5"/>
    <w:rsid w:val="00EC3CB6"/>
    <w:rsid w:val="00EC418B"/>
    <w:rsid w:val="00ED0EC2"/>
    <w:rsid w:val="00ED7323"/>
    <w:rsid w:val="00EE28F3"/>
    <w:rsid w:val="00EE3866"/>
    <w:rsid w:val="00EE3D6B"/>
    <w:rsid w:val="00EE50D1"/>
    <w:rsid w:val="00EE77FA"/>
    <w:rsid w:val="00EE79E6"/>
    <w:rsid w:val="00EF0107"/>
    <w:rsid w:val="00EF5110"/>
    <w:rsid w:val="00F0334E"/>
    <w:rsid w:val="00F10411"/>
    <w:rsid w:val="00F15882"/>
    <w:rsid w:val="00F161AE"/>
    <w:rsid w:val="00F171E0"/>
    <w:rsid w:val="00F20BD3"/>
    <w:rsid w:val="00F2526A"/>
    <w:rsid w:val="00F27E99"/>
    <w:rsid w:val="00F30401"/>
    <w:rsid w:val="00F34495"/>
    <w:rsid w:val="00F373A5"/>
    <w:rsid w:val="00F427BC"/>
    <w:rsid w:val="00F439BB"/>
    <w:rsid w:val="00F47559"/>
    <w:rsid w:val="00F50009"/>
    <w:rsid w:val="00F6035D"/>
    <w:rsid w:val="00F61176"/>
    <w:rsid w:val="00F64C7B"/>
    <w:rsid w:val="00F65B25"/>
    <w:rsid w:val="00F676DD"/>
    <w:rsid w:val="00F71190"/>
    <w:rsid w:val="00F71667"/>
    <w:rsid w:val="00F75A26"/>
    <w:rsid w:val="00F76706"/>
    <w:rsid w:val="00F768C8"/>
    <w:rsid w:val="00F76B46"/>
    <w:rsid w:val="00F81B8D"/>
    <w:rsid w:val="00F83FAD"/>
    <w:rsid w:val="00F85DA1"/>
    <w:rsid w:val="00F8653A"/>
    <w:rsid w:val="00F86569"/>
    <w:rsid w:val="00F878FB"/>
    <w:rsid w:val="00F92349"/>
    <w:rsid w:val="00F92A68"/>
    <w:rsid w:val="00F952A0"/>
    <w:rsid w:val="00FA3C7F"/>
    <w:rsid w:val="00FB0FFF"/>
    <w:rsid w:val="00FB4402"/>
    <w:rsid w:val="00FB60FE"/>
    <w:rsid w:val="00FB74E2"/>
    <w:rsid w:val="00FC0073"/>
    <w:rsid w:val="00FC71DC"/>
    <w:rsid w:val="00FC787F"/>
    <w:rsid w:val="00FD2ED2"/>
    <w:rsid w:val="00FD5614"/>
    <w:rsid w:val="00FD5744"/>
    <w:rsid w:val="00FD5E78"/>
    <w:rsid w:val="00FE0BE1"/>
    <w:rsid w:val="00FE1DE9"/>
    <w:rsid w:val="00FE36AF"/>
    <w:rsid w:val="00FE39C2"/>
    <w:rsid w:val="00FE3C32"/>
    <w:rsid w:val="00FE64AE"/>
    <w:rsid w:val="00FE7F8B"/>
    <w:rsid w:val="00FF6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13B34"/>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4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13B34"/>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4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1.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image" Target="media/image44.wmf"/><Relationship Id="rId133" Type="http://schemas.openxmlformats.org/officeDocument/2006/relationships/oleObject" Target="embeddings/oleObject69.bin"/><Relationship Id="rId138"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oleObject" Target="embeddings/oleObject56.bin"/><Relationship Id="rId11" Type="http://schemas.openxmlformats.org/officeDocument/2006/relationships/hyperlink" Target="mailto:AERInquiry@aer.gov.au"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image" Target="media/image39.wmf"/><Relationship Id="rId123" Type="http://schemas.openxmlformats.org/officeDocument/2006/relationships/oleObject" Target="embeddings/oleObject64.bin"/><Relationship Id="rId128" Type="http://schemas.openxmlformats.org/officeDocument/2006/relationships/image" Target="media/image52.wmf"/><Relationship Id="rId5" Type="http://schemas.microsoft.com/office/2007/relationships/stylesWithEffects" Target="stylesWithEffects.xml"/><Relationship Id="rId90" Type="http://schemas.openxmlformats.org/officeDocument/2006/relationships/image" Target="media/image33.wmf"/><Relationship Id="rId95" Type="http://schemas.openxmlformats.org/officeDocument/2006/relationships/oleObject" Target="embeddings/oleObject50.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image" Target="media/image23.wmf"/><Relationship Id="rId113" Type="http://schemas.openxmlformats.org/officeDocument/2006/relationships/oleObject" Target="embeddings/oleObject59.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oleObject" Target="embeddings/oleObject38.bin"/><Relationship Id="rId80" Type="http://schemas.openxmlformats.org/officeDocument/2006/relationships/image" Target="media/image28.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37.wmf"/><Relationship Id="rId121" Type="http://schemas.openxmlformats.org/officeDocument/2006/relationships/oleObject" Target="embeddings/oleObject63.bin"/><Relationship Id="rId14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5.bin"/><Relationship Id="rId103" Type="http://schemas.openxmlformats.org/officeDocument/2006/relationships/oleObject" Target="embeddings/oleObject54.bin"/><Relationship Id="rId108" Type="http://schemas.openxmlformats.org/officeDocument/2006/relationships/image" Target="media/image42.wmf"/><Relationship Id="rId116" Type="http://schemas.openxmlformats.org/officeDocument/2006/relationships/image" Target="media/image46.wmf"/><Relationship Id="rId124" Type="http://schemas.openxmlformats.org/officeDocument/2006/relationships/image" Target="media/image50.wmf"/><Relationship Id="rId129" Type="http://schemas.openxmlformats.org/officeDocument/2006/relationships/oleObject" Target="embeddings/oleObject67.bin"/><Relationship Id="rId137"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image" Target="media/image26.wmf"/><Relationship Id="rId83" Type="http://schemas.openxmlformats.org/officeDocument/2006/relationships/oleObject" Target="embeddings/oleObject44.bin"/><Relationship Id="rId88" Type="http://schemas.openxmlformats.org/officeDocument/2006/relationships/image" Target="media/image32.wmf"/><Relationship Id="rId91" Type="http://schemas.openxmlformats.org/officeDocument/2006/relationships/oleObject" Target="embeddings/oleObject48.bin"/><Relationship Id="rId96" Type="http://schemas.openxmlformats.org/officeDocument/2006/relationships/image" Target="media/image36.wmf"/><Relationship Id="rId111" Type="http://schemas.openxmlformats.org/officeDocument/2006/relationships/oleObject" Target="embeddings/oleObject58.bin"/><Relationship Id="rId132" Type="http://schemas.openxmlformats.org/officeDocument/2006/relationships/image" Target="media/image54.wmf"/><Relationship Id="rId14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5.bin"/><Relationship Id="rId106" Type="http://schemas.openxmlformats.org/officeDocument/2006/relationships/image" Target="media/image41.wmf"/><Relationship Id="rId114" Type="http://schemas.openxmlformats.org/officeDocument/2006/relationships/image" Target="media/image45.wmf"/><Relationship Id="rId119" Type="http://schemas.openxmlformats.org/officeDocument/2006/relationships/oleObject" Target="embeddings/oleObject62.bin"/><Relationship Id="rId127" Type="http://schemas.openxmlformats.org/officeDocument/2006/relationships/oleObject" Target="embeddings/oleObject66.bin"/><Relationship Id="rId10" Type="http://schemas.openxmlformats.org/officeDocument/2006/relationships/image" Target="media/image1.jpeg"/><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image" Target="media/image25.wmf"/><Relationship Id="rId78" Type="http://schemas.openxmlformats.org/officeDocument/2006/relationships/image" Target="media/image27.wmf"/><Relationship Id="rId81" Type="http://schemas.openxmlformats.org/officeDocument/2006/relationships/oleObject" Target="embeddings/oleObject43.bin"/><Relationship Id="rId86" Type="http://schemas.openxmlformats.org/officeDocument/2006/relationships/image" Target="media/image31.wmf"/><Relationship Id="rId94" Type="http://schemas.openxmlformats.org/officeDocument/2006/relationships/image" Target="media/image35.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49.wmf"/><Relationship Id="rId130" Type="http://schemas.openxmlformats.org/officeDocument/2006/relationships/image" Target="media/image53.wmf"/><Relationship Id="rId135" Type="http://schemas.openxmlformats.org/officeDocument/2006/relationships/oleObject" Target="embeddings/oleObject70.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65.bin"/><Relationship Id="rId141"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4.wmf"/><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3.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oleObject" Target="embeddings/oleObject29.bin"/><Relationship Id="rId82" Type="http://schemas.openxmlformats.org/officeDocument/2006/relationships/image" Target="media/image29.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41.bin"/><Relationship Id="rId100" Type="http://schemas.openxmlformats.org/officeDocument/2006/relationships/image" Target="media/image38.wmf"/><Relationship Id="rId105" Type="http://schemas.openxmlformats.org/officeDocument/2006/relationships/oleObject" Target="embeddings/oleObject55.bin"/><Relationship Id="rId126" Type="http://schemas.openxmlformats.org/officeDocument/2006/relationships/image" Target="media/image51.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532AE7-BEA1-4A70-895C-F374B13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40</Pages>
  <Words>12422</Words>
  <Characters>70807</Characters>
  <Application>Microsoft Office Word</Application>
  <DocSecurity>0</DocSecurity>
  <Lines>590</Lines>
  <Paragraphs>166</Paragraphs>
  <ScaleCrop>false</ScaleCrop>
  <Company/>
  <LinksUpToDate>false</LinksUpToDate>
  <CharactersWithSpaces>83063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2015-11-23T01:50:00Z</dcterms:created>
  <dcterms:modified xsi:type="dcterms:W3CDTF">2015-11-23T01:50:00Z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8430137</vt:lpwstr>
  </property>
</Properties>
</file>