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B01" w:rsidRDefault="002A3887" w:rsidP="00290C63">
      <w:pPr>
        <w:rPr>
          <w:rFonts w:eastAsiaTheme="majorEastAsia" w:cstheme="majorBidi"/>
          <w:noProof/>
          <w:sz w:val="36"/>
          <w:szCs w:val="36"/>
          <w:lang w:eastAsia="en-AU"/>
        </w:rPr>
      </w:pPr>
      <w:bookmarkStart w:id="0" w:name="_GoBack"/>
      <w:bookmarkEnd w:id="0"/>
      <w:r w:rsidRPr="00290C63">
        <w:rPr>
          <w:noProof/>
          <w:lang w:eastAsia="en-AU"/>
        </w:rPr>
        <w:drawing>
          <wp:anchor distT="0" distB="0" distL="114300" distR="114300" simplePos="0" relativeHeight="251659264" behindDoc="1" locked="0" layoutInCell="1" allowOverlap="1" wp14:anchorId="5389D6AA" wp14:editId="69FD29A6">
            <wp:simplePos x="0" y="0"/>
            <wp:positionH relativeFrom="column">
              <wp:posOffset>-1104900</wp:posOffset>
            </wp:positionH>
            <wp:positionV relativeFrom="paragraph">
              <wp:posOffset>-922655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353B01">
        <w:rPr>
          <w:rFonts w:eastAsiaTheme="majorEastAsia" w:cstheme="majorBidi"/>
          <w:noProof/>
          <w:sz w:val="36"/>
          <w:szCs w:val="36"/>
          <w:lang w:eastAsia="en-AU"/>
        </w:rPr>
        <w:t>-</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6F7CC3">
            <w:t>DRAFT</w:t>
          </w:r>
          <w:r w:rsidR="00DA4752">
            <w:t xml:space="preserve"> DECISION</w:t>
          </w:r>
        </w:p>
        <w:p w:rsidR="00415F31" w:rsidRDefault="00A06085" w:rsidP="008F07A3">
          <w:pPr>
            <w:pStyle w:val="ReportSubtitle"/>
          </w:pPr>
          <w:r>
            <w:t xml:space="preserve">ActewAGL </w:t>
          </w:r>
          <w:r w:rsidR="006F7CC3">
            <w:t>D</w:t>
          </w:r>
          <w:r w:rsidR="0070011E">
            <w:t>istribution</w:t>
          </w:r>
          <w:r w:rsidR="006F7CC3">
            <w:b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06085">
            <w:t>1</w:t>
          </w:r>
          <w:r w:rsidR="00600B92">
            <w:t>2</w:t>
          </w:r>
          <w:r w:rsidR="00DA4752">
            <w:t xml:space="preserve"> </w:t>
          </w:r>
          <w:r w:rsidR="00415F31">
            <w:rPr>
              <w:rFonts w:cs="Arial"/>
            </w:rPr>
            <w:t>–</w:t>
          </w:r>
          <w:r w:rsidR="00DA4752">
            <w:t xml:space="preserve"> </w:t>
          </w:r>
          <w:r w:rsidR="00600B92">
            <w:t>Non-tariff components</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5083235"/>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6F7CC3">
        <w:t>draft</w:t>
      </w:r>
      <w:r w:rsidR="00415F31">
        <w:t xml:space="preserve"> decision on </w:t>
      </w:r>
      <w:r w:rsidR="002D302A">
        <w:t>ActewAGL</w:t>
      </w:r>
      <w:r w:rsidR="00891064">
        <w:t xml:space="preserve"> Distribution</w:t>
      </w:r>
      <w:r w:rsidR="005C0A7F">
        <w:t>'s</w:t>
      </w:r>
      <w:r w:rsidR="00415F31">
        <w:t xml:space="preserve"> </w:t>
      </w:r>
      <w:r w:rsidR="006F7CC3">
        <w:t>access arrangement for</w:t>
      </w:r>
      <w:r w:rsidR="00415F31">
        <w:t xml:space="preserve"> 201</w:t>
      </w:r>
      <w:r w:rsidR="005C0A7F">
        <w:t>6</w:t>
      </w:r>
      <w:r w:rsidR="00415F31" w:rsidRPr="00D904FA">
        <w:t>–</w:t>
      </w:r>
      <w:r w:rsidR="005C0A7F">
        <w:t>2</w:t>
      </w:r>
      <w:r w:rsidR="0036223C">
        <w:t>1</w:t>
      </w:r>
      <w:r w:rsidR="00415F31">
        <w:t xml:space="preserve">. It should be read with </w:t>
      </w:r>
      <w:r w:rsidR="005C0A7F">
        <w:t xml:space="preserve">all </w:t>
      </w:r>
      <w:r w:rsidR="00415F31">
        <w:t xml:space="preserve">other parts of the </w:t>
      </w:r>
      <w:r w:rsidR="006F7CC3">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6F7CC3">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6" w:name="_Toc403144133"/>
      <w:bookmarkStart w:id="7" w:name="_Toc435083236"/>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184C50" w:rsidRDefault="007630F0">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35083235" w:history="1">
            <w:r w:rsidR="00184C50" w:rsidRPr="008807D4">
              <w:rPr>
                <w:rStyle w:val="Hyperlink"/>
              </w:rPr>
              <w:t>Note</w:t>
            </w:r>
            <w:r w:rsidR="00184C50">
              <w:rPr>
                <w:webHidden/>
              </w:rPr>
              <w:tab/>
            </w:r>
            <w:r w:rsidR="00184C50">
              <w:rPr>
                <w:webHidden/>
              </w:rPr>
              <w:fldChar w:fldCharType="begin"/>
            </w:r>
            <w:r w:rsidR="00184C50">
              <w:rPr>
                <w:webHidden/>
              </w:rPr>
              <w:instrText xml:space="preserve"> PAGEREF _Toc435083235 \h </w:instrText>
            </w:r>
            <w:r w:rsidR="00184C50">
              <w:rPr>
                <w:webHidden/>
              </w:rPr>
            </w:r>
            <w:r w:rsidR="00184C50">
              <w:rPr>
                <w:webHidden/>
              </w:rPr>
              <w:fldChar w:fldCharType="separate"/>
            </w:r>
            <w:r w:rsidR="002C4D61">
              <w:rPr>
                <w:webHidden/>
              </w:rPr>
              <w:t>12-2</w:t>
            </w:r>
            <w:r w:rsidR="00184C50">
              <w:rPr>
                <w:webHidden/>
              </w:rPr>
              <w:fldChar w:fldCharType="end"/>
            </w:r>
          </w:hyperlink>
        </w:p>
        <w:p w:rsidR="00184C50" w:rsidRDefault="00957AFC">
          <w:pPr>
            <w:pStyle w:val="TOC1"/>
            <w:rPr>
              <w:rFonts w:asciiTheme="minorHAnsi" w:eastAsiaTheme="minorEastAsia" w:hAnsiTheme="minorHAnsi"/>
              <w:b w:val="0"/>
              <w:color w:val="auto"/>
              <w:sz w:val="22"/>
              <w:lang w:val="en-AU" w:eastAsia="en-AU"/>
            </w:rPr>
          </w:pPr>
          <w:hyperlink w:anchor="_Toc435083236" w:history="1">
            <w:r w:rsidR="00184C50" w:rsidRPr="008807D4">
              <w:rPr>
                <w:rStyle w:val="Hyperlink"/>
              </w:rPr>
              <w:t>Contents</w:t>
            </w:r>
            <w:r w:rsidR="00184C50">
              <w:rPr>
                <w:webHidden/>
              </w:rPr>
              <w:tab/>
            </w:r>
            <w:r w:rsidR="00184C50">
              <w:rPr>
                <w:webHidden/>
              </w:rPr>
              <w:fldChar w:fldCharType="begin"/>
            </w:r>
            <w:r w:rsidR="00184C50">
              <w:rPr>
                <w:webHidden/>
              </w:rPr>
              <w:instrText xml:space="preserve"> PAGEREF _Toc435083236 \h </w:instrText>
            </w:r>
            <w:r w:rsidR="00184C50">
              <w:rPr>
                <w:webHidden/>
              </w:rPr>
            </w:r>
            <w:r w:rsidR="00184C50">
              <w:rPr>
                <w:webHidden/>
              </w:rPr>
              <w:fldChar w:fldCharType="separate"/>
            </w:r>
            <w:r w:rsidR="002C4D61">
              <w:rPr>
                <w:webHidden/>
              </w:rPr>
              <w:t>12-3</w:t>
            </w:r>
            <w:r w:rsidR="00184C50">
              <w:rPr>
                <w:webHidden/>
              </w:rPr>
              <w:fldChar w:fldCharType="end"/>
            </w:r>
          </w:hyperlink>
        </w:p>
        <w:p w:rsidR="00184C50" w:rsidRDefault="00957AFC">
          <w:pPr>
            <w:pStyle w:val="TOC1"/>
            <w:rPr>
              <w:rFonts w:asciiTheme="minorHAnsi" w:eastAsiaTheme="minorEastAsia" w:hAnsiTheme="minorHAnsi"/>
              <w:b w:val="0"/>
              <w:color w:val="auto"/>
              <w:sz w:val="22"/>
              <w:lang w:val="en-AU" w:eastAsia="en-AU"/>
            </w:rPr>
          </w:pPr>
          <w:hyperlink w:anchor="_Toc435083237" w:history="1">
            <w:r w:rsidR="00184C50" w:rsidRPr="008807D4">
              <w:rPr>
                <w:rStyle w:val="Hyperlink"/>
              </w:rPr>
              <w:t>Shortened forms</w:t>
            </w:r>
            <w:r w:rsidR="00184C50">
              <w:rPr>
                <w:webHidden/>
              </w:rPr>
              <w:tab/>
            </w:r>
            <w:r w:rsidR="00184C50">
              <w:rPr>
                <w:webHidden/>
              </w:rPr>
              <w:fldChar w:fldCharType="begin"/>
            </w:r>
            <w:r w:rsidR="00184C50">
              <w:rPr>
                <w:webHidden/>
              </w:rPr>
              <w:instrText xml:space="preserve"> PAGEREF _Toc435083237 \h </w:instrText>
            </w:r>
            <w:r w:rsidR="00184C50">
              <w:rPr>
                <w:webHidden/>
              </w:rPr>
            </w:r>
            <w:r w:rsidR="00184C50">
              <w:rPr>
                <w:webHidden/>
              </w:rPr>
              <w:fldChar w:fldCharType="separate"/>
            </w:r>
            <w:r w:rsidR="002C4D61">
              <w:rPr>
                <w:webHidden/>
              </w:rPr>
              <w:t>12-5</w:t>
            </w:r>
            <w:r w:rsidR="00184C50">
              <w:rPr>
                <w:webHidden/>
              </w:rPr>
              <w:fldChar w:fldCharType="end"/>
            </w:r>
          </w:hyperlink>
        </w:p>
        <w:p w:rsidR="00184C50" w:rsidRDefault="00957AFC">
          <w:pPr>
            <w:pStyle w:val="TOC1"/>
            <w:rPr>
              <w:rFonts w:asciiTheme="minorHAnsi" w:eastAsiaTheme="minorEastAsia" w:hAnsiTheme="minorHAnsi"/>
              <w:b w:val="0"/>
              <w:color w:val="auto"/>
              <w:sz w:val="22"/>
              <w:lang w:val="en-AU" w:eastAsia="en-AU"/>
            </w:rPr>
          </w:pPr>
          <w:hyperlink w:anchor="_Toc435083238" w:history="1">
            <w:r w:rsidR="00184C50" w:rsidRPr="008807D4">
              <w:rPr>
                <w:rStyle w:val="Hyperlink"/>
              </w:rPr>
              <w:t>12</w:t>
            </w:r>
            <w:r w:rsidR="00184C50">
              <w:rPr>
                <w:rFonts w:asciiTheme="minorHAnsi" w:eastAsiaTheme="minorEastAsia" w:hAnsiTheme="minorHAnsi"/>
                <w:b w:val="0"/>
                <w:color w:val="auto"/>
                <w:sz w:val="22"/>
                <w:lang w:val="en-AU" w:eastAsia="en-AU"/>
              </w:rPr>
              <w:tab/>
            </w:r>
            <w:r w:rsidR="00184C50" w:rsidRPr="008807D4">
              <w:rPr>
                <w:rStyle w:val="Hyperlink"/>
              </w:rPr>
              <w:t>Non-tariff components</w:t>
            </w:r>
            <w:r w:rsidR="00184C50">
              <w:rPr>
                <w:webHidden/>
              </w:rPr>
              <w:tab/>
            </w:r>
            <w:r w:rsidR="00184C50">
              <w:rPr>
                <w:webHidden/>
              </w:rPr>
              <w:fldChar w:fldCharType="begin"/>
            </w:r>
            <w:r w:rsidR="00184C50">
              <w:rPr>
                <w:webHidden/>
              </w:rPr>
              <w:instrText xml:space="preserve"> PAGEREF _Toc435083238 \h </w:instrText>
            </w:r>
            <w:r w:rsidR="00184C50">
              <w:rPr>
                <w:webHidden/>
              </w:rPr>
            </w:r>
            <w:r w:rsidR="00184C50">
              <w:rPr>
                <w:webHidden/>
              </w:rPr>
              <w:fldChar w:fldCharType="separate"/>
            </w:r>
            <w:r w:rsidR="002C4D61">
              <w:rPr>
                <w:webHidden/>
              </w:rPr>
              <w:t>12-7</w:t>
            </w:r>
            <w:r w:rsidR="00184C50">
              <w:rPr>
                <w:webHidden/>
              </w:rPr>
              <w:fldChar w:fldCharType="end"/>
            </w:r>
          </w:hyperlink>
        </w:p>
        <w:p w:rsidR="00184C50" w:rsidRDefault="00957AFC">
          <w:pPr>
            <w:pStyle w:val="TOC2"/>
            <w:tabs>
              <w:tab w:val="left" w:pos="1276"/>
            </w:tabs>
            <w:rPr>
              <w:rFonts w:asciiTheme="minorHAnsi" w:eastAsiaTheme="minorEastAsia" w:hAnsiTheme="minorHAnsi"/>
              <w:b w:val="0"/>
              <w:color w:val="auto"/>
              <w:sz w:val="22"/>
              <w:lang w:eastAsia="en-AU"/>
            </w:rPr>
          </w:pPr>
          <w:hyperlink w:anchor="_Toc435083239" w:history="1">
            <w:r w:rsidR="00184C50" w:rsidRPr="008807D4">
              <w:rPr>
                <w:rStyle w:val="Hyperlink"/>
              </w:rPr>
              <w:t>12.1</w:t>
            </w:r>
            <w:r w:rsidR="00184C50">
              <w:rPr>
                <w:rFonts w:asciiTheme="minorHAnsi" w:eastAsiaTheme="minorEastAsia" w:hAnsiTheme="minorHAnsi"/>
                <w:b w:val="0"/>
                <w:color w:val="auto"/>
                <w:sz w:val="22"/>
                <w:lang w:eastAsia="en-AU"/>
              </w:rPr>
              <w:tab/>
            </w:r>
            <w:r w:rsidR="00184C50" w:rsidRPr="008807D4">
              <w:rPr>
                <w:rStyle w:val="Hyperlink"/>
              </w:rPr>
              <w:t>Terms and conditions</w:t>
            </w:r>
            <w:r w:rsidR="00184C50">
              <w:rPr>
                <w:webHidden/>
              </w:rPr>
              <w:tab/>
            </w:r>
            <w:r w:rsidR="00184C50">
              <w:rPr>
                <w:webHidden/>
              </w:rPr>
              <w:fldChar w:fldCharType="begin"/>
            </w:r>
            <w:r w:rsidR="00184C50">
              <w:rPr>
                <w:webHidden/>
              </w:rPr>
              <w:instrText xml:space="preserve"> PAGEREF _Toc435083239 \h </w:instrText>
            </w:r>
            <w:r w:rsidR="00184C50">
              <w:rPr>
                <w:webHidden/>
              </w:rPr>
            </w:r>
            <w:r w:rsidR="00184C50">
              <w:rPr>
                <w:webHidden/>
              </w:rPr>
              <w:fldChar w:fldCharType="separate"/>
            </w:r>
            <w:r w:rsidR="002C4D61">
              <w:rPr>
                <w:webHidden/>
              </w:rPr>
              <w:t>12-7</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40" w:history="1">
            <w:r w:rsidR="00184C50" w:rsidRPr="008807D4">
              <w:rPr>
                <w:rStyle w:val="Hyperlink"/>
              </w:rPr>
              <w:t>12.1.1</w:t>
            </w:r>
            <w:r w:rsidR="00184C50">
              <w:rPr>
                <w:rFonts w:asciiTheme="minorHAnsi" w:eastAsiaTheme="minorEastAsia" w:hAnsiTheme="minorHAnsi"/>
                <w:lang w:eastAsia="en-AU"/>
              </w:rPr>
              <w:tab/>
            </w:r>
            <w:r w:rsidR="00184C50" w:rsidRPr="008807D4">
              <w:rPr>
                <w:rStyle w:val="Hyperlink"/>
              </w:rPr>
              <w:t>Draft decision</w:t>
            </w:r>
            <w:r w:rsidR="00184C50">
              <w:rPr>
                <w:webHidden/>
              </w:rPr>
              <w:tab/>
            </w:r>
            <w:r w:rsidR="00184C50">
              <w:rPr>
                <w:webHidden/>
              </w:rPr>
              <w:fldChar w:fldCharType="begin"/>
            </w:r>
            <w:r w:rsidR="00184C50">
              <w:rPr>
                <w:webHidden/>
              </w:rPr>
              <w:instrText xml:space="preserve"> PAGEREF _Toc435083240 \h </w:instrText>
            </w:r>
            <w:r w:rsidR="00184C50">
              <w:rPr>
                <w:webHidden/>
              </w:rPr>
            </w:r>
            <w:r w:rsidR="00184C50">
              <w:rPr>
                <w:webHidden/>
              </w:rPr>
              <w:fldChar w:fldCharType="separate"/>
            </w:r>
            <w:r w:rsidR="002C4D61">
              <w:rPr>
                <w:webHidden/>
              </w:rPr>
              <w:t>12-8</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41" w:history="1">
            <w:r w:rsidR="00184C50" w:rsidRPr="008807D4">
              <w:rPr>
                <w:rStyle w:val="Hyperlink"/>
              </w:rPr>
              <w:t>12.1.2</w:t>
            </w:r>
            <w:r w:rsidR="00184C50">
              <w:rPr>
                <w:rFonts w:asciiTheme="minorHAnsi" w:eastAsiaTheme="minorEastAsia" w:hAnsiTheme="minorHAnsi"/>
                <w:lang w:eastAsia="en-AU"/>
              </w:rPr>
              <w:tab/>
            </w:r>
            <w:r w:rsidR="00184C50" w:rsidRPr="008807D4">
              <w:rPr>
                <w:rStyle w:val="Hyperlink"/>
              </w:rPr>
              <w:t>ActewAGL's proposal</w:t>
            </w:r>
            <w:r w:rsidR="00184C50">
              <w:rPr>
                <w:webHidden/>
              </w:rPr>
              <w:tab/>
            </w:r>
            <w:r w:rsidR="00184C50">
              <w:rPr>
                <w:webHidden/>
              </w:rPr>
              <w:fldChar w:fldCharType="begin"/>
            </w:r>
            <w:r w:rsidR="00184C50">
              <w:rPr>
                <w:webHidden/>
              </w:rPr>
              <w:instrText xml:space="preserve"> PAGEREF _Toc435083241 \h </w:instrText>
            </w:r>
            <w:r w:rsidR="00184C50">
              <w:rPr>
                <w:webHidden/>
              </w:rPr>
            </w:r>
            <w:r w:rsidR="00184C50">
              <w:rPr>
                <w:webHidden/>
              </w:rPr>
              <w:fldChar w:fldCharType="separate"/>
            </w:r>
            <w:r w:rsidR="002C4D61">
              <w:rPr>
                <w:webHidden/>
              </w:rPr>
              <w:t>12-8</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42" w:history="1">
            <w:r w:rsidR="00184C50" w:rsidRPr="008807D4">
              <w:rPr>
                <w:rStyle w:val="Hyperlink"/>
              </w:rPr>
              <w:t>12.1.3</w:t>
            </w:r>
            <w:r w:rsidR="00184C50">
              <w:rPr>
                <w:rFonts w:asciiTheme="minorHAnsi" w:eastAsiaTheme="minorEastAsia" w:hAnsiTheme="minorHAnsi"/>
                <w:lang w:eastAsia="en-AU"/>
              </w:rPr>
              <w:tab/>
            </w:r>
            <w:r w:rsidR="00184C50" w:rsidRPr="008807D4">
              <w:rPr>
                <w:rStyle w:val="Hyperlink"/>
              </w:rPr>
              <w:t>AER’s assessment approach</w:t>
            </w:r>
            <w:r w:rsidR="00184C50">
              <w:rPr>
                <w:webHidden/>
              </w:rPr>
              <w:tab/>
            </w:r>
            <w:r w:rsidR="00184C50">
              <w:rPr>
                <w:webHidden/>
              </w:rPr>
              <w:fldChar w:fldCharType="begin"/>
            </w:r>
            <w:r w:rsidR="00184C50">
              <w:rPr>
                <w:webHidden/>
              </w:rPr>
              <w:instrText xml:space="preserve"> PAGEREF _Toc435083242 \h </w:instrText>
            </w:r>
            <w:r w:rsidR="00184C50">
              <w:rPr>
                <w:webHidden/>
              </w:rPr>
            </w:r>
            <w:r w:rsidR="00184C50">
              <w:rPr>
                <w:webHidden/>
              </w:rPr>
              <w:fldChar w:fldCharType="separate"/>
            </w:r>
            <w:r w:rsidR="002C4D61">
              <w:rPr>
                <w:webHidden/>
              </w:rPr>
              <w:t>12-9</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43" w:history="1">
            <w:r w:rsidR="00184C50" w:rsidRPr="008807D4">
              <w:rPr>
                <w:rStyle w:val="Hyperlink"/>
              </w:rPr>
              <w:t>12.1.4</w:t>
            </w:r>
            <w:r w:rsidR="00184C50">
              <w:rPr>
                <w:rFonts w:asciiTheme="minorHAnsi" w:eastAsiaTheme="minorEastAsia" w:hAnsiTheme="minorHAnsi"/>
                <w:lang w:eastAsia="en-AU"/>
              </w:rPr>
              <w:tab/>
            </w:r>
            <w:r w:rsidR="00184C50" w:rsidRPr="008807D4">
              <w:rPr>
                <w:rStyle w:val="Hyperlink"/>
              </w:rPr>
              <w:t>Reasons for draft decision</w:t>
            </w:r>
            <w:r w:rsidR="00184C50">
              <w:rPr>
                <w:webHidden/>
              </w:rPr>
              <w:tab/>
            </w:r>
            <w:r w:rsidR="00184C50">
              <w:rPr>
                <w:webHidden/>
              </w:rPr>
              <w:fldChar w:fldCharType="begin"/>
            </w:r>
            <w:r w:rsidR="00184C50">
              <w:rPr>
                <w:webHidden/>
              </w:rPr>
              <w:instrText xml:space="preserve"> PAGEREF _Toc435083243 \h </w:instrText>
            </w:r>
            <w:r w:rsidR="00184C50">
              <w:rPr>
                <w:webHidden/>
              </w:rPr>
            </w:r>
            <w:r w:rsidR="00184C50">
              <w:rPr>
                <w:webHidden/>
              </w:rPr>
              <w:fldChar w:fldCharType="separate"/>
            </w:r>
            <w:r w:rsidR="002C4D61">
              <w:rPr>
                <w:webHidden/>
              </w:rPr>
              <w:t>12-10</w:t>
            </w:r>
            <w:r w:rsidR="00184C50">
              <w:rPr>
                <w:webHidden/>
              </w:rPr>
              <w:fldChar w:fldCharType="end"/>
            </w:r>
          </w:hyperlink>
        </w:p>
        <w:p w:rsidR="00184C50" w:rsidRDefault="00957AFC">
          <w:pPr>
            <w:pStyle w:val="TOC2"/>
            <w:tabs>
              <w:tab w:val="left" w:pos="1276"/>
            </w:tabs>
            <w:rPr>
              <w:rFonts w:asciiTheme="minorHAnsi" w:eastAsiaTheme="minorEastAsia" w:hAnsiTheme="minorHAnsi"/>
              <w:b w:val="0"/>
              <w:color w:val="auto"/>
              <w:sz w:val="22"/>
              <w:lang w:eastAsia="en-AU"/>
            </w:rPr>
          </w:pPr>
          <w:hyperlink w:anchor="_Toc435083244" w:history="1">
            <w:r w:rsidR="00184C50" w:rsidRPr="008807D4">
              <w:rPr>
                <w:rStyle w:val="Hyperlink"/>
              </w:rPr>
              <w:t>12.2</w:t>
            </w:r>
            <w:r w:rsidR="00184C50">
              <w:rPr>
                <w:rFonts w:asciiTheme="minorHAnsi" w:eastAsiaTheme="minorEastAsia" w:hAnsiTheme="minorHAnsi"/>
                <w:b w:val="0"/>
                <w:color w:val="auto"/>
                <w:sz w:val="22"/>
                <w:lang w:eastAsia="en-AU"/>
              </w:rPr>
              <w:tab/>
            </w:r>
            <w:r w:rsidR="00184C50" w:rsidRPr="008807D4">
              <w:rPr>
                <w:rStyle w:val="Hyperlink"/>
              </w:rPr>
              <w:t>Queuing requirements</w:t>
            </w:r>
            <w:r w:rsidR="00184C50">
              <w:rPr>
                <w:webHidden/>
              </w:rPr>
              <w:tab/>
            </w:r>
            <w:r w:rsidR="00184C50">
              <w:rPr>
                <w:webHidden/>
              </w:rPr>
              <w:fldChar w:fldCharType="begin"/>
            </w:r>
            <w:r w:rsidR="00184C50">
              <w:rPr>
                <w:webHidden/>
              </w:rPr>
              <w:instrText xml:space="preserve"> PAGEREF _Toc435083244 \h </w:instrText>
            </w:r>
            <w:r w:rsidR="00184C50">
              <w:rPr>
                <w:webHidden/>
              </w:rPr>
            </w:r>
            <w:r w:rsidR="00184C50">
              <w:rPr>
                <w:webHidden/>
              </w:rPr>
              <w:fldChar w:fldCharType="separate"/>
            </w:r>
            <w:r w:rsidR="002C4D61">
              <w:rPr>
                <w:webHidden/>
              </w:rPr>
              <w:t>12-18</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45" w:history="1">
            <w:r w:rsidR="00184C50" w:rsidRPr="008807D4">
              <w:rPr>
                <w:rStyle w:val="Hyperlink"/>
              </w:rPr>
              <w:t>12.2.1</w:t>
            </w:r>
            <w:r w:rsidR="00184C50">
              <w:rPr>
                <w:rFonts w:asciiTheme="minorHAnsi" w:eastAsiaTheme="minorEastAsia" w:hAnsiTheme="minorHAnsi"/>
                <w:lang w:eastAsia="en-AU"/>
              </w:rPr>
              <w:tab/>
            </w:r>
            <w:r w:rsidR="00184C50" w:rsidRPr="008807D4">
              <w:rPr>
                <w:rStyle w:val="Hyperlink"/>
              </w:rPr>
              <w:t>Draft decision</w:t>
            </w:r>
            <w:r w:rsidR="00184C50">
              <w:rPr>
                <w:webHidden/>
              </w:rPr>
              <w:tab/>
            </w:r>
            <w:r w:rsidR="00184C50">
              <w:rPr>
                <w:webHidden/>
              </w:rPr>
              <w:fldChar w:fldCharType="begin"/>
            </w:r>
            <w:r w:rsidR="00184C50">
              <w:rPr>
                <w:webHidden/>
              </w:rPr>
              <w:instrText xml:space="preserve"> PAGEREF _Toc435083245 \h </w:instrText>
            </w:r>
            <w:r w:rsidR="00184C50">
              <w:rPr>
                <w:webHidden/>
              </w:rPr>
            </w:r>
            <w:r w:rsidR="00184C50">
              <w:rPr>
                <w:webHidden/>
              </w:rPr>
              <w:fldChar w:fldCharType="separate"/>
            </w:r>
            <w:r w:rsidR="002C4D61">
              <w:rPr>
                <w:webHidden/>
              </w:rPr>
              <w:t>12-18</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46" w:history="1">
            <w:r w:rsidR="00184C50" w:rsidRPr="008807D4">
              <w:rPr>
                <w:rStyle w:val="Hyperlink"/>
              </w:rPr>
              <w:t>12.2.2</w:t>
            </w:r>
            <w:r w:rsidR="00184C50">
              <w:rPr>
                <w:rFonts w:asciiTheme="minorHAnsi" w:eastAsiaTheme="minorEastAsia" w:hAnsiTheme="minorHAnsi"/>
                <w:lang w:eastAsia="en-AU"/>
              </w:rPr>
              <w:tab/>
            </w:r>
            <w:r w:rsidR="00184C50" w:rsidRPr="008807D4">
              <w:rPr>
                <w:rStyle w:val="Hyperlink"/>
              </w:rPr>
              <w:t>ActewAGL’s proposal</w:t>
            </w:r>
            <w:r w:rsidR="00184C50">
              <w:rPr>
                <w:webHidden/>
              </w:rPr>
              <w:tab/>
            </w:r>
            <w:r w:rsidR="00184C50">
              <w:rPr>
                <w:webHidden/>
              </w:rPr>
              <w:fldChar w:fldCharType="begin"/>
            </w:r>
            <w:r w:rsidR="00184C50">
              <w:rPr>
                <w:webHidden/>
              </w:rPr>
              <w:instrText xml:space="preserve"> PAGEREF _Toc435083246 \h </w:instrText>
            </w:r>
            <w:r w:rsidR="00184C50">
              <w:rPr>
                <w:webHidden/>
              </w:rPr>
            </w:r>
            <w:r w:rsidR="00184C50">
              <w:rPr>
                <w:webHidden/>
              </w:rPr>
              <w:fldChar w:fldCharType="separate"/>
            </w:r>
            <w:r w:rsidR="002C4D61">
              <w:rPr>
                <w:webHidden/>
              </w:rPr>
              <w:t>12-18</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47" w:history="1">
            <w:r w:rsidR="00184C50" w:rsidRPr="008807D4">
              <w:rPr>
                <w:rStyle w:val="Hyperlink"/>
              </w:rPr>
              <w:t>12.2.3</w:t>
            </w:r>
            <w:r w:rsidR="00184C50">
              <w:rPr>
                <w:rFonts w:asciiTheme="minorHAnsi" w:eastAsiaTheme="minorEastAsia" w:hAnsiTheme="minorHAnsi"/>
                <w:lang w:eastAsia="en-AU"/>
              </w:rPr>
              <w:tab/>
            </w:r>
            <w:r w:rsidR="00184C50" w:rsidRPr="008807D4">
              <w:rPr>
                <w:rStyle w:val="Hyperlink"/>
              </w:rPr>
              <w:t>AER’s assessment approach</w:t>
            </w:r>
            <w:r w:rsidR="00184C50">
              <w:rPr>
                <w:webHidden/>
              </w:rPr>
              <w:tab/>
            </w:r>
            <w:r w:rsidR="00184C50">
              <w:rPr>
                <w:webHidden/>
              </w:rPr>
              <w:fldChar w:fldCharType="begin"/>
            </w:r>
            <w:r w:rsidR="00184C50">
              <w:rPr>
                <w:webHidden/>
              </w:rPr>
              <w:instrText xml:space="preserve"> PAGEREF _Toc435083247 \h </w:instrText>
            </w:r>
            <w:r w:rsidR="00184C50">
              <w:rPr>
                <w:webHidden/>
              </w:rPr>
            </w:r>
            <w:r w:rsidR="00184C50">
              <w:rPr>
                <w:webHidden/>
              </w:rPr>
              <w:fldChar w:fldCharType="separate"/>
            </w:r>
            <w:r w:rsidR="002C4D61">
              <w:rPr>
                <w:webHidden/>
              </w:rPr>
              <w:t>12-18</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48" w:history="1">
            <w:r w:rsidR="00184C50" w:rsidRPr="008807D4">
              <w:rPr>
                <w:rStyle w:val="Hyperlink"/>
              </w:rPr>
              <w:t>12.2.4</w:t>
            </w:r>
            <w:r w:rsidR="00184C50">
              <w:rPr>
                <w:rFonts w:asciiTheme="minorHAnsi" w:eastAsiaTheme="minorEastAsia" w:hAnsiTheme="minorHAnsi"/>
                <w:lang w:eastAsia="en-AU"/>
              </w:rPr>
              <w:tab/>
            </w:r>
            <w:r w:rsidR="00184C50" w:rsidRPr="008807D4">
              <w:rPr>
                <w:rStyle w:val="Hyperlink"/>
              </w:rPr>
              <w:t>Reasons for draft decision</w:t>
            </w:r>
            <w:r w:rsidR="00184C50">
              <w:rPr>
                <w:webHidden/>
              </w:rPr>
              <w:tab/>
            </w:r>
            <w:r w:rsidR="00184C50">
              <w:rPr>
                <w:webHidden/>
              </w:rPr>
              <w:fldChar w:fldCharType="begin"/>
            </w:r>
            <w:r w:rsidR="00184C50">
              <w:rPr>
                <w:webHidden/>
              </w:rPr>
              <w:instrText xml:space="preserve"> PAGEREF _Toc435083248 \h </w:instrText>
            </w:r>
            <w:r w:rsidR="00184C50">
              <w:rPr>
                <w:webHidden/>
              </w:rPr>
            </w:r>
            <w:r w:rsidR="00184C50">
              <w:rPr>
                <w:webHidden/>
              </w:rPr>
              <w:fldChar w:fldCharType="separate"/>
            </w:r>
            <w:r w:rsidR="002C4D61">
              <w:rPr>
                <w:webHidden/>
              </w:rPr>
              <w:t>12-19</w:t>
            </w:r>
            <w:r w:rsidR="00184C50">
              <w:rPr>
                <w:webHidden/>
              </w:rPr>
              <w:fldChar w:fldCharType="end"/>
            </w:r>
          </w:hyperlink>
        </w:p>
        <w:p w:rsidR="00184C50" w:rsidRDefault="00957AFC">
          <w:pPr>
            <w:pStyle w:val="TOC2"/>
            <w:tabs>
              <w:tab w:val="left" w:pos="1276"/>
            </w:tabs>
            <w:rPr>
              <w:rFonts w:asciiTheme="minorHAnsi" w:eastAsiaTheme="minorEastAsia" w:hAnsiTheme="minorHAnsi"/>
              <w:b w:val="0"/>
              <w:color w:val="auto"/>
              <w:sz w:val="22"/>
              <w:lang w:eastAsia="en-AU"/>
            </w:rPr>
          </w:pPr>
          <w:hyperlink w:anchor="_Toc435083249" w:history="1">
            <w:r w:rsidR="00184C50" w:rsidRPr="008807D4">
              <w:rPr>
                <w:rStyle w:val="Hyperlink"/>
              </w:rPr>
              <w:t>12.3</w:t>
            </w:r>
            <w:r w:rsidR="00184C50">
              <w:rPr>
                <w:rFonts w:asciiTheme="minorHAnsi" w:eastAsiaTheme="minorEastAsia" w:hAnsiTheme="minorHAnsi"/>
                <w:b w:val="0"/>
                <w:color w:val="auto"/>
                <w:sz w:val="22"/>
                <w:lang w:eastAsia="en-AU"/>
              </w:rPr>
              <w:tab/>
            </w:r>
            <w:r w:rsidR="00184C50" w:rsidRPr="008807D4">
              <w:rPr>
                <w:rStyle w:val="Hyperlink"/>
              </w:rPr>
              <w:t>Extension and expansion requirements</w:t>
            </w:r>
            <w:r w:rsidR="00184C50">
              <w:rPr>
                <w:webHidden/>
              </w:rPr>
              <w:tab/>
            </w:r>
            <w:r w:rsidR="00184C50">
              <w:rPr>
                <w:webHidden/>
              </w:rPr>
              <w:fldChar w:fldCharType="begin"/>
            </w:r>
            <w:r w:rsidR="00184C50">
              <w:rPr>
                <w:webHidden/>
              </w:rPr>
              <w:instrText xml:space="preserve"> PAGEREF _Toc435083249 \h </w:instrText>
            </w:r>
            <w:r w:rsidR="00184C50">
              <w:rPr>
                <w:webHidden/>
              </w:rPr>
            </w:r>
            <w:r w:rsidR="00184C50">
              <w:rPr>
                <w:webHidden/>
              </w:rPr>
              <w:fldChar w:fldCharType="separate"/>
            </w:r>
            <w:r w:rsidR="002C4D61">
              <w:rPr>
                <w:webHidden/>
              </w:rPr>
              <w:t>12-21</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50" w:history="1">
            <w:r w:rsidR="00184C50" w:rsidRPr="008807D4">
              <w:rPr>
                <w:rStyle w:val="Hyperlink"/>
              </w:rPr>
              <w:t>12.3.1</w:t>
            </w:r>
            <w:r w:rsidR="00184C50">
              <w:rPr>
                <w:rFonts w:asciiTheme="minorHAnsi" w:eastAsiaTheme="minorEastAsia" w:hAnsiTheme="minorHAnsi"/>
                <w:lang w:eastAsia="en-AU"/>
              </w:rPr>
              <w:tab/>
            </w:r>
            <w:r w:rsidR="00184C50" w:rsidRPr="008807D4">
              <w:rPr>
                <w:rStyle w:val="Hyperlink"/>
              </w:rPr>
              <w:t>Draft decision</w:t>
            </w:r>
            <w:r w:rsidR="00184C50">
              <w:rPr>
                <w:webHidden/>
              </w:rPr>
              <w:tab/>
            </w:r>
            <w:r w:rsidR="00184C50">
              <w:rPr>
                <w:webHidden/>
              </w:rPr>
              <w:fldChar w:fldCharType="begin"/>
            </w:r>
            <w:r w:rsidR="00184C50">
              <w:rPr>
                <w:webHidden/>
              </w:rPr>
              <w:instrText xml:space="preserve"> PAGEREF _Toc435083250 \h </w:instrText>
            </w:r>
            <w:r w:rsidR="00184C50">
              <w:rPr>
                <w:webHidden/>
              </w:rPr>
            </w:r>
            <w:r w:rsidR="00184C50">
              <w:rPr>
                <w:webHidden/>
              </w:rPr>
              <w:fldChar w:fldCharType="separate"/>
            </w:r>
            <w:r w:rsidR="002C4D61">
              <w:rPr>
                <w:webHidden/>
              </w:rPr>
              <w:t>12-21</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51" w:history="1">
            <w:r w:rsidR="00184C50" w:rsidRPr="008807D4">
              <w:rPr>
                <w:rStyle w:val="Hyperlink"/>
              </w:rPr>
              <w:t>12.3.2</w:t>
            </w:r>
            <w:r w:rsidR="00184C50">
              <w:rPr>
                <w:rFonts w:asciiTheme="minorHAnsi" w:eastAsiaTheme="minorEastAsia" w:hAnsiTheme="minorHAnsi"/>
                <w:lang w:eastAsia="en-AU"/>
              </w:rPr>
              <w:tab/>
            </w:r>
            <w:r w:rsidR="00184C50" w:rsidRPr="008807D4">
              <w:rPr>
                <w:rStyle w:val="Hyperlink"/>
              </w:rPr>
              <w:t>ActewAGL’s proposal</w:t>
            </w:r>
            <w:r w:rsidR="00184C50">
              <w:rPr>
                <w:webHidden/>
              </w:rPr>
              <w:tab/>
            </w:r>
            <w:r w:rsidR="00184C50">
              <w:rPr>
                <w:webHidden/>
              </w:rPr>
              <w:fldChar w:fldCharType="begin"/>
            </w:r>
            <w:r w:rsidR="00184C50">
              <w:rPr>
                <w:webHidden/>
              </w:rPr>
              <w:instrText xml:space="preserve"> PAGEREF _Toc435083251 \h </w:instrText>
            </w:r>
            <w:r w:rsidR="00184C50">
              <w:rPr>
                <w:webHidden/>
              </w:rPr>
            </w:r>
            <w:r w:rsidR="00184C50">
              <w:rPr>
                <w:webHidden/>
              </w:rPr>
              <w:fldChar w:fldCharType="separate"/>
            </w:r>
            <w:r w:rsidR="002C4D61">
              <w:rPr>
                <w:webHidden/>
              </w:rPr>
              <w:t>12-21</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52" w:history="1">
            <w:r w:rsidR="00184C50" w:rsidRPr="008807D4">
              <w:rPr>
                <w:rStyle w:val="Hyperlink"/>
              </w:rPr>
              <w:t>12.3.3</w:t>
            </w:r>
            <w:r w:rsidR="00184C50">
              <w:rPr>
                <w:rFonts w:asciiTheme="minorHAnsi" w:eastAsiaTheme="minorEastAsia" w:hAnsiTheme="minorHAnsi"/>
                <w:lang w:eastAsia="en-AU"/>
              </w:rPr>
              <w:tab/>
            </w:r>
            <w:r w:rsidR="00184C50" w:rsidRPr="008807D4">
              <w:rPr>
                <w:rStyle w:val="Hyperlink"/>
              </w:rPr>
              <w:t>AER’s assessment approach</w:t>
            </w:r>
            <w:r w:rsidR="00184C50">
              <w:rPr>
                <w:webHidden/>
              </w:rPr>
              <w:tab/>
            </w:r>
            <w:r w:rsidR="00184C50">
              <w:rPr>
                <w:webHidden/>
              </w:rPr>
              <w:fldChar w:fldCharType="begin"/>
            </w:r>
            <w:r w:rsidR="00184C50">
              <w:rPr>
                <w:webHidden/>
              </w:rPr>
              <w:instrText xml:space="preserve"> PAGEREF _Toc435083252 \h </w:instrText>
            </w:r>
            <w:r w:rsidR="00184C50">
              <w:rPr>
                <w:webHidden/>
              </w:rPr>
            </w:r>
            <w:r w:rsidR="00184C50">
              <w:rPr>
                <w:webHidden/>
              </w:rPr>
              <w:fldChar w:fldCharType="separate"/>
            </w:r>
            <w:r w:rsidR="002C4D61">
              <w:rPr>
                <w:webHidden/>
              </w:rPr>
              <w:t>12-21</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53" w:history="1">
            <w:r w:rsidR="00184C50" w:rsidRPr="008807D4">
              <w:rPr>
                <w:rStyle w:val="Hyperlink"/>
              </w:rPr>
              <w:t>12.3.4</w:t>
            </w:r>
            <w:r w:rsidR="00184C50">
              <w:rPr>
                <w:rFonts w:asciiTheme="minorHAnsi" w:eastAsiaTheme="minorEastAsia" w:hAnsiTheme="minorHAnsi"/>
                <w:lang w:eastAsia="en-AU"/>
              </w:rPr>
              <w:tab/>
            </w:r>
            <w:r w:rsidR="00184C50" w:rsidRPr="008807D4">
              <w:rPr>
                <w:rStyle w:val="Hyperlink"/>
              </w:rPr>
              <w:t>Reasons for draft decision</w:t>
            </w:r>
            <w:r w:rsidR="00184C50">
              <w:rPr>
                <w:webHidden/>
              </w:rPr>
              <w:tab/>
            </w:r>
            <w:r w:rsidR="00184C50">
              <w:rPr>
                <w:webHidden/>
              </w:rPr>
              <w:fldChar w:fldCharType="begin"/>
            </w:r>
            <w:r w:rsidR="00184C50">
              <w:rPr>
                <w:webHidden/>
              </w:rPr>
              <w:instrText xml:space="preserve"> PAGEREF _Toc435083253 \h </w:instrText>
            </w:r>
            <w:r w:rsidR="00184C50">
              <w:rPr>
                <w:webHidden/>
              </w:rPr>
            </w:r>
            <w:r w:rsidR="00184C50">
              <w:rPr>
                <w:webHidden/>
              </w:rPr>
              <w:fldChar w:fldCharType="separate"/>
            </w:r>
            <w:r w:rsidR="002C4D61">
              <w:rPr>
                <w:webHidden/>
              </w:rPr>
              <w:t>12-22</w:t>
            </w:r>
            <w:r w:rsidR="00184C50">
              <w:rPr>
                <w:webHidden/>
              </w:rPr>
              <w:fldChar w:fldCharType="end"/>
            </w:r>
          </w:hyperlink>
        </w:p>
        <w:p w:rsidR="00184C50" w:rsidRDefault="00957AFC">
          <w:pPr>
            <w:pStyle w:val="TOC2"/>
            <w:tabs>
              <w:tab w:val="left" w:pos="1276"/>
            </w:tabs>
            <w:rPr>
              <w:rFonts w:asciiTheme="minorHAnsi" w:eastAsiaTheme="minorEastAsia" w:hAnsiTheme="minorHAnsi"/>
              <w:b w:val="0"/>
              <w:color w:val="auto"/>
              <w:sz w:val="22"/>
              <w:lang w:eastAsia="en-AU"/>
            </w:rPr>
          </w:pPr>
          <w:hyperlink w:anchor="_Toc435083254" w:history="1">
            <w:r w:rsidR="00184C50" w:rsidRPr="008807D4">
              <w:rPr>
                <w:rStyle w:val="Hyperlink"/>
              </w:rPr>
              <w:t>12.4</w:t>
            </w:r>
            <w:r w:rsidR="00184C50">
              <w:rPr>
                <w:rFonts w:asciiTheme="minorHAnsi" w:eastAsiaTheme="minorEastAsia" w:hAnsiTheme="minorHAnsi"/>
                <w:b w:val="0"/>
                <w:color w:val="auto"/>
                <w:sz w:val="22"/>
                <w:lang w:eastAsia="en-AU"/>
              </w:rPr>
              <w:tab/>
            </w:r>
            <w:r w:rsidR="00184C50" w:rsidRPr="008807D4">
              <w:rPr>
                <w:rStyle w:val="Hyperlink"/>
              </w:rPr>
              <w:t>Capacity trading requirements</w:t>
            </w:r>
            <w:r w:rsidR="00184C50">
              <w:rPr>
                <w:webHidden/>
              </w:rPr>
              <w:tab/>
            </w:r>
            <w:r w:rsidR="00184C50">
              <w:rPr>
                <w:webHidden/>
              </w:rPr>
              <w:fldChar w:fldCharType="begin"/>
            </w:r>
            <w:r w:rsidR="00184C50">
              <w:rPr>
                <w:webHidden/>
              </w:rPr>
              <w:instrText xml:space="preserve"> PAGEREF _Toc435083254 \h </w:instrText>
            </w:r>
            <w:r w:rsidR="00184C50">
              <w:rPr>
                <w:webHidden/>
              </w:rPr>
            </w:r>
            <w:r w:rsidR="00184C50">
              <w:rPr>
                <w:webHidden/>
              </w:rPr>
              <w:fldChar w:fldCharType="separate"/>
            </w:r>
            <w:r w:rsidR="002C4D61">
              <w:rPr>
                <w:webHidden/>
              </w:rPr>
              <w:t>12-23</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55" w:history="1">
            <w:r w:rsidR="00184C50" w:rsidRPr="008807D4">
              <w:rPr>
                <w:rStyle w:val="Hyperlink"/>
              </w:rPr>
              <w:t>12.4.1</w:t>
            </w:r>
            <w:r w:rsidR="00184C50">
              <w:rPr>
                <w:rFonts w:asciiTheme="minorHAnsi" w:eastAsiaTheme="minorEastAsia" w:hAnsiTheme="minorHAnsi"/>
                <w:lang w:eastAsia="en-AU"/>
              </w:rPr>
              <w:tab/>
            </w:r>
            <w:r w:rsidR="00184C50" w:rsidRPr="008807D4">
              <w:rPr>
                <w:rStyle w:val="Hyperlink"/>
              </w:rPr>
              <w:t>Draft decision</w:t>
            </w:r>
            <w:r w:rsidR="00184C50">
              <w:rPr>
                <w:webHidden/>
              </w:rPr>
              <w:tab/>
            </w:r>
            <w:r w:rsidR="00184C50">
              <w:rPr>
                <w:webHidden/>
              </w:rPr>
              <w:fldChar w:fldCharType="begin"/>
            </w:r>
            <w:r w:rsidR="00184C50">
              <w:rPr>
                <w:webHidden/>
              </w:rPr>
              <w:instrText xml:space="preserve"> PAGEREF _Toc435083255 \h </w:instrText>
            </w:r>
            <w:r w:rsidR="00184C50">
              <w:rPr>
                <w:webHidden/>
              </w:rPr>
            </w:r>
            <w:r w:rsidR="00184C50">
              <w:rPr>
                <w:webHidden/>
              </w:rPr>
              <w:fldChar w:fldCharType="separate"/>
            </w:r>
            <w:r w:rsidR="002C4D61">
              <w:rPr>
                <w:webHidden/>
              </w:rPr>
              <w:t>12-23</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56" w:history="1">
            <w:r w:rsidR="00184C50" w:rsidRPr="008807D4">
              <w:rPr>
                <w:rStyle w:val="Hyperlink"/>
              </w:rPr>
              <w:t>12.4.2</w:t>
            </w:r>
            <w:r w:rsidR="00184C50">
              <w:rPr>
                <w:rFonts w:asciiTheme="minorHAnsi" w:eastAsiaTheme="minorEastAsia" w:hAnsiTheme="minorHAnsi"/>
                <w:lang w:eastAsia="en-AU"/>
              </w:rPr>
              <w:tab/>
            </w:r>
            <w:r w:rsidR="00184C50" w:rsidRPr="008807D4">
              <w:rPr>
                <w:rStyle w:val="Hyperlink"/>
              </w:rPr>
              <w:t>ActewAGL’s proposal</w:t>
            </w:r>
            <w:r w:rsidR="00184C50">
              <w:rPr>
                <w:webHidden/>
              </w:rPr>
              <w:tab/>
            </w:r>
            <w:r w:rsidR="00184C50">
              <w:rPr>
                <w:webHidden/>
              </w:rPr>
              <w:fldChar w:fldCharType="begin"/>
            </w:r>
            <w:r w:rsidR="00184C50">
              <w:rPr>
                <w:webHidden/>
              </w:rPr>
              <w:instrText xml:space="preserve"> PAGEREF _Toc435083256 \h </w:instrText>
            </w:r>
            <w:r w:rsidR="00184C50">
              <w:rPr>
                <w:webHidden/>
              </w:rPr>
            </w:r>
            <w:r w:rsidR="00184C50">
              <w:rPr>
                <w:webHidden/>
              </w:rPr>
              <w:fldChar w:fldCharType="separate"/>
            </w:r>
            <w:r w:rsidR="002C4D61">
              <w:rPr>
                <w:webHidden/>
              </w:rPr>
              <w:t>12-23</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57" w:history="1">
            <w:r w:rsidR="00184C50" w:rsidRPr="008807D4">
              <w:rPr>
                <w:rStyle w:val="Hyperlink"/>
              </w:rPr>
              <w:t>12.4.3</w:t>
            </w:r>
            <w:r w:rsidR="00184C50">
              <w:rPr>
                <w:rFonts w:asciiTheme="minorHAnsi" w:eastAsiaTheme="minorEastAsia" w:hAnsiTheme="minorHAnsi"/>
                <w:lang w:eastAsia="en-AU"/>
              </w:rPr>
              <w:tab/>
            </w:r>
            <w:r w:rsidR="00184C50" w:rsidRPr="008807D4">
              <w:rPr>
                <w:rStyle w:val="Hyperlink"/>
              </w:rPr>
              <w:t>AER’s assessment approach</w:t>
            </w:r>
            <w:r w:rsidR="00184C50">
              <w:rPr>
                <w:webHidden/>
              </w:rPr>
              <w:tab/>
            </w:r>
            <w:r w:rsidR="00184C50">
              <w:rPr>
                <w:webHidden/>
              </w:rPr>
              <w:fldChar w:fldCharType="begin"/>
            </w:r>
            <w:r w:rsidR="00184C50">
              <w:rPr>
                <w:webHidden/>
              </w:rPr>
              <w:instrText xml:space="preserve"> PAGEREF _Toc435083257 \h </w:instrText>
            </w:r>
            <w:r w:rsidR="00184C50">
              <w:rPr>
                <w:webHidden/>
              </w:rPr>
            </w:r>
            <w:r w:rsidR="00184C50">
              <w:rPr>
                <w:webHidden/>
              </w:rPr>
              <w:fldChar w:fldCharType="separate"/>
            </w:r>
            <w:r w:rsidR="002C4D61">
              <w:rPr>
                <w:webHidden/>
              </w:rPr>
              <w:t>12-23</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58" w:history="1">
            <w:r w:rsidR="00184C50" w:rsidRPr="008807D4">
              <w:rPr>
                <w:rStyle w:val="Hyperlink"/>
              </w:rPr>
              <w:t>12.4.4</w:t>
            </w:r>
            <w:r w:rsidR="00184C50">
              <w:rPr>
                <w:rFonts w:asciiTheme="minorHAnsi" w:eastAsiaTheme="minorEastAsia" w:hAnsiTheme="minorHAnsi"/>
                <w:lang w:eastAsia="en-AU"/>
              </w:rPr>
              <w:tab/>
            </w:r>
            <w:r w:rsidR="00184C50" w:rsidRPr="008807D4">
              <w:rPr>
                <w:rStyle w:val="Hyperlink"/>
              </w:rPr>
              <w:t>Reasons for draft decision</w:t>
            </w:r>
            <w:r w:rsidR="00184C50">
              <w:rPr>
                <w:webHidden/>
              </w:rPr>
              <w:tab/>
            </w:r>
            <w:r w:rsidR="00184C50">
              <w:rPr>
                <w:webHidden/>
              </w:rPr>
              <w:fldChar w:fldCharType="begin"/>
            </w:r>
            <w:r w:rsidR="00184C50">
              <w:rPr>
                <w:webHidden/>
              </w:rPr>
              <w:instrText xml:space="preserve"> PAGEREF _Toc435083258 \h </w:instrText>
            </w:r>
            <w:r w:rsidR="00184C50">
              <w:rPr>
                <w:webHidden/>
              </w:rPr>
            </w:r>
            <w:r w:rsidR="00184C50">
              <w:rPr>
                <w:webHidden/>
              </w:rPr>
              <w:fldChar w:fldCharType="separate"/>
            </w:r>
            <w:r w:rsidR="002C4D61">
              <w:rPr>
                <w:webHidden/>
              </w:rPr>
              <w:t>12-24</w:t>
            </w:r>
            <w:r w:rsidR="00184C50">
              <w:rPr>
                <w:webHidden/>
              </w:rPr>
              <w:fldChar w:fldCharType="end"/>
            </w:r>
          </w:hyperlink>
        </w:p>
        <w:p w:rsidR="00184C50" w:rsidRDefault="00957AFC">
          <w:pPr>
            <w:pStyle w:val="TOC2"/>
            <w:tabs>
              <w:tab w:val="left" w:pos="1276"/>
            </w:tabs>
            <w:rPr>
              <w:rFonts w:asciiTheme="minorHAnsi" w:eastAsiaTheme="minorEastAsia" w:hAnsiTheme="minorHAnsi"/>
              <w:b w:val="0"/>
              <w:color w:val="auto"/>
              <w:sz w:val="22"/>
              <w:lang w:eastAsia="en-AU"/>
            </w:rPr>
          </w:pPr>
          <w:hyperlink w:anchor="_Toc435083259" w:history="1">
            <w:r w:rsidR="00184C50" w:rsidRPr="008807D4">
              <w:rPr>
                <w:rStyle w:val="Hyperlink"/>
              </w:rPr>
              <w:t>12.5</w:t>
            </w:r>
            <w:r w:rsidR="00184C50">
              <w:rPr>
                <w:rFonts w:asciiTheme="minorHAnsi" w:eastAsiaTheme="minorEastAsia" w:hAnsiTheme="minorHAnsi"/>
                <w:b w:val="0"/>
                <w:color w:val="auto"/>
                <w:sz w:val="22"/>
                <w:lang w:eastAsia="en-AU"/>
              </w:rPr>
              <w:tab/>
            </w:r>
            <w:r w:rsidR="00184C50" w:rsidRPr="008807D4">
              <w:rPr>
                <w:rStyle w:val="Hyperlink"/>
              </w:rPr>
              <w:t>Changing receipt or delivery points</w:t>
            </w:r>
            <w:r w:rsidR="00184C50">
              <w:rPr>
                <w:webHidden/>
              </w:rPr>
              <w:tab/>
            </w:r>
            <w:r w:rsidR="00184C50">
              <w:rPr>
                <w:webHidden/>
              </w:rPr>
              <w:fldChar w:fldCharType="begin"/>
            </w:r>
            <w:r w:rsidR="00184C50">
              <w:rPr>
                <w:webHidden/>
              </w:rPr>
              <w:instrText xml:space="preserve"> PAGEREF _Toc435083259 \h </w:instrText>
            </w:r>
            <w:r w:rsidR="00184C50">
              <w:rPr>
                <w:webHidden/>
              </w:rPr>
            </w:r>
            <w:r w:rsidR="00184C50">
              <w:rPr>
                <w:webHidden/>
              </w:rPr>
              <w:fldChar w:fldCharType="separate"/>
            </w:r>
            <w:r w:rsidR="002C4D61">
              <w:rPr>
                <w:webHidden/>
              </w:rPr>
              <w:t>12-25</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60" w:history="1">
            <w:r w:rsidR="00184C50" w:rsidRPr="008807D4">
              <w:rPr>
                <w:rStyle w:val="Hyperlink"/>
              </w:rPr>
              <w:t>12.5.1</w:t>
            </w:r>
            <w:r w:rsidR="00184C50">
              <w:rPr>
                <w:rFonts w:asciiTheme="minorHAnsi" w:eastAsiaTheme="minorEastAsia" w:hAnsiTheme="minorHAnsi"/>
                <w:lang w:eastAsia="en-AU"/>
              </w:rPr>
              <w:tab/>
            </w:r>
            <w:r w:rsidR="00184C50" w:rsidRPr="008807D4">
              <w:rPr>
                <w:rStyle w:val="Hyperlink"/>
              </w:rPr>
              <w:t>Draft decision</w:t>
            </w:r>
            <w:r w:rsidR="00184C50">
              <w:rPr>
                <w:webHidden/>
              </w:rPr>
              <w:tab/>
            </w:r>
            <w:r w:rsidR="00184C50">
              <w:rPr>
                <w:webHidden/>
              </w:rPr>
              <w:fldChar w:fldCharType="begin"/>
            </w:r>
            <w:r w:rsidR="00184C50">
              <w:rPr>
                <w:webHidden/>
              </w:rPr>
              <w:instrText xml:space="preserve"> PAGEREF _Toc435083260 \h </w:instrText>
            </w:r>
            <w:r w:rsidR="00184C50">
              <w:rPr>
                <w:webHidden/>
              </w:rPr>
            </w:r>
            <w:r w:rsidR="00184C50">
              <w:rPr>
                <w:webHidden/>
              </w:rPr>
              <w:fldChar w:fldCharType="separate"/>
            </w:r>
            <w:r w:rsidR="002C4D61">
              <w:rPr>
                <w:webHidden/>
              </w:rPr>
              <w:t>12-26</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61" w:history="1">
            <w:r w:rsidR="00184C50" w:rsidRPr="008807D4">
              <w:rPr>
                <w:rStyle w:val="Hyperlink"/>
              </w:rPr>
              <w:t>12.5.2</w:t>
            </w:r>
            <w:r w:rsidR="00184C50">
              <w:rPr>
                <w:rFonts w:asciiTheme="minorHAnsi" w:eastAsiaTheme="minorEastAsia" w:hAnsiTheme="minorHAnsi"/>
                <w:lang w:eastAsia="en-AU"/>
              </w:rPr>
              <w:tab/>
            </w:r>
            <w:r w:rsidR="00184C50" w:rsidRPr="008807D4">
              <w:rPr>
                <w:rStyle w:val="Hyperlink"/>
              </w:rPr>
              <w:t>ActewAGL’s proposal</w:t>
            </w:r>
            <w:r w:rsidR="00184C50">
              <w:rPr>
                <w:webHidden/>
              </w:rPr>
              <w:tab/>
            </w:r>
            <w:r w:rsidR="00184C50">
              <w:rPr>
                <w:webHidden/>
              </w:rPr>
              <w:fldChar w:fldCharType="begin"/>
            </w:r>
            <w:r w:rsidR="00184C50">
              <w:rPr>
                <w:webHidden/>
              </w:rPr>
              <w:instrText xml:space="preserve"> PAGEREF _Toc435083261 \h </w:instrText>
            </w:r>
            <w:r w:rsidR="00184C50">
              <w:rPr>
                <w:webHidden/>
              </w:rPr>
            </w:r>
            <w:r w:rsidR="00184C50">
              <w:rPr>
                <w:webHidden/>
              </w:rPr>
              <w:fldChar w:fldCharType="separate"/>
            </w:r>
            <w:r w:rsidR="002C4D61">
              <w:rPr>
                <w:webHidden/>
              </w:rPr>
              <w:t>12-26</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62" w:history="1">
            <w:r w:rsidR="00184C50" w:rsidRPr="008807D4">
              <w:rPr>
                <w:rStyle w:val="Hyperlink"/>
              </w:rPr>
              <w:t>12.5.3</w:t>
            </w:r>
            <w:r w:rsidR="00184C50">
              <w:rPr>
                <w:rFonts w:asciiTheme="minorHAnsi" w:eastAsiaTheme="minorEastAsia" w:hAnsiTheme="minorHAnsi"/>
                <w:lang w:eastAsia="en-AU"/>
              </w:rPr>
              <w:tab/>
            </w:r>
            <w:r w:rsidR="00184C50" w:rsidRPr="008807D4">
              <w:rPr>
                <w:rStyle w:val="Hyperlink"/>
              </w:rPr>
              <w:t>AER’s assessment approach</w:t>
            </w:r>
            <w:r w:rsidR="00184C50">
              <w:rPr>
                <w:webHidden/>
              </w:rPr>
              <w:tab/>
            </w:r>
            <w:r w:rsidR="00184C50">
              <w:rPr>
                <w:webHidden/>
              </w:rPr>
              <w:fldChar w:fldCharType="begin"/>
            </w:r>
            <w:r w:rsidR="00184C50">
              <w:rPr>
                <w:webHidden/>
              </w:rPr>
              <w:instrText xml:space="preserve"> PAGEREF _Toc435083262 \h </w:instrText>
            </w:r>
            <w:r w:rsidR="00184C50">
              <w:rPr>
                <w:webHidden/>
              </w:rPr>
            </w:r>
            <w:r w:rsidR="00184C50">
              <w:rPr>
                <w:webHidden/>
              </w:rPr>
              <w:fldChar w:fldCharType="separate"/>
            </w:r>
            <w:r w:rsidR="002C4D61">
              <w:rPr>
                <w:webHidden/>
              </w:rPr>
              <w:t>12-26</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63" w:history="1">
            <w:r w:rsidR="00184C50" w:rsidRPr="008807D4">
              <w:rPr>
                <w:rStyle w:val="Hyperlink"/>
              </w:rPr>
              <w:t>12.5.4</w:t>
            </w:r>
            <w:r w:rsidR="00184C50">
              <w:rPr>
                <w:rFonts w:asciiTheme="minorHAnsi" w:eastAsiaTheme="minorEastAsia" w:hAnsiTheme="minorHAnsi"/>
                <w:lang w:eastAsia="en-AU"/>
              </w:rPr>
              <w:tab/>
            </w:r>
            <w:r w:rsidR="00184C50" w:rsidRPr="008807D4">
              <w:rPr>
                <w:rStyle w:val="Hyperlink"/>
              </w:rPr>
              <w:t>Reasons for draft decision</w:t>
            </w:r>
            <w:r w:rsidR="00184C50">
              <w:rPr>
                <w:webHidden/>
              </w:rPr>
              <w:tab/>
            </w:r>
            <w:r w:rsidR="00184C50">
              <w:rPr>
                <w:webHidden/>
              </w:rPr>
              <w:fldChar w:fldCharType="begin"/>
            </w:r>
            <w:r w:rsidR="00184C50">
              <w:rPr>
                <w:webHidden/>
              </w:rPr>
              <w:instrText xml:space="preserve"> PAGEREF _Toc435083263 \h </w:instrText>
            </w:r>
            <w:r w:rsidR="00184C50">
              <w:rPr>
                <w:webHidden/>
              </w:rPr>
            </w:r>
            <w:r w:rsidR="00184C50">
              <w:rPr>
                <w:webHidden/>
              </w:rPr>
              <w:fldChar w:fldCharType="separate"/>
            </w:r>
            <w:r w:rsidR="002C4D61">
              <w:rPr>
                <w:webHidden/>
              </w:rPr>
              <w:t>12-26</w:t>
            </w:r>
            <w:r w:rsidR="00184C50">
              <w:rPr>
                <w:webHidden/>
              </w:rPr>
              <w:fldChar w:fldCharType="end"/>
            </w:r>
          </w:hyperlink>
        </w:p>
        <w:p w:rsidR="00184C50" w:rsidRDefault="00957AFC">
          <w:pPr>
            <w:pStyle w:val="TOC2"/>
            <w:tabs>
              <w:tab w:val="left" w:pos="1276"/>
            </w:tabs>
            <w:rPr>
              <w:rFonts w:asciiTheme="minorHAnsi" w:eastAsiaTheme="minorEastAsia" w:hAnsiTheme="minorHAnsi"/>
              <w:b w:val="0"/>
              <w:color w:val="auto"/>
              <w:sz w:val="22"/>
              <w:lang w:eastAsia="en-AU"/>
            </w:rPr>
          </w:pPr>
          <w:hyperlink w:anchor="_Toc435083264" w:history="1">
            <w:r w:rsidR="00184C50" w:rsidRPr="008807D4">
              <w:rPr>
                <w:rStyle w:val="Hyperlink"/>
              </w:rPr>
              <w:t>12.6</w:t>
            </w:r>
            <w:r w:rsidR="00184C50">
              <w:rPr>
                <w:rFonts w:asciiTheme="minorHAnsi" w:eastAsiaTheme="minorEastAsia" w:hAnsiTheme="minorHAnsi"/>
                <w:b w:val="0"/>
                <w:color w:val="auto"/>
                <w:sz w:val="22"/>
                <w:lang w:eastAsia="en-AU"/>
              </w:rPr>
              <w:tab/>
            </w:r>
            <w:r w:rsidR="00184C50" w:rsidRPr="008807D4">
              <w:rPr>
                <w:rStyle w:val="Hyperlink"/>
              </w:rPr>
              <w:t>Review submission date and revision commencement date</w:t>
            </w:r>
            <w:r w:rsidR="00184C50">
              <w:rPr>
                <w:webHidden/>
              </w:rPr>
              <w:tab/>
            </w:r>
            <w:r w:rsidR="00184C50">
              <w:rPr>
                <w:webHidden/>
              </w:rPr>
              <w:fldChar w:fldCharType="begin"/>
            </w:r>
            <w:r w:rsidR="00184C50">
              <w:rPr>
                <w:webHidden/>
              </w:rPr>
              <w:instrText xml:space="preserve"> PAGEREF _Toc435083264 \h </w:instrText>
            </w:r>
            <w:r w:rsidR="00184C50">
              <w:rPr>
                <w:webHidden/>
              </w:rPr>
            </w:r>
            <w:r w:rsidR="00184C50">
              <w:rPr>
                <w:webHidden/>
              </w:rPr>
              <w:fldChar w:fldCharType="separate"/>
            </w:r>
            <w:r w:rsidR="002C4D61">
              <w:rPr>
                <w:webHidden/>
              </w:rPr>
              <w:t>12-27</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65" w:history="1">
            <w:r w:rsidR="00184C50" w:rsidRPr="008807D4">
              <w:rPr>
                <w:rStyle w:val="Hyperlink"/>
              </w:rPr>
              <w:t>12.6.1</w:t>
            </w:r>
            <w:r w:rsidR="00184C50">
              <w:rPr>
                <w:rFonts w:asciiTheme="minorHAnsi" w:eastAsiaTheme="minorEastAsia" w:hAnsiTheme="minorHAnsi"/>
                <w:lang w:eastAsia="en-AU"/>
              </w:rPr>
              <w:tab/>
            </w:r>
            <w:r w:rsidR="00184C50" w:rsidRPr="008807D4">
              <w:rPr>
                <w:rStyle w:val="Hyperlink"/>
              </w:rPr>
              <w:t>Draft decision</w:t>
            </w:r>
            <w:r w:rsidR="00184C50">
              <w:rPr>
                <w:webHidden/>
              </w:rPr>
              <w:tab/>
            </w:r>
            <w:r w:rsidR="00184C50">
              <w:rPr>
                <w:webHidden/>
              </w:rPr>
              <w:fldChar w:fldCharType="begin"/>
            </w:r>
            <w:r w:rsidR="00184C50">
              <w:rPr>
                <w:webHidden/>
              </w:rPr>
              <w:instrText xml:space="preserve"> PAGEREF _Toc435083265 \h </w:instrText>
            </w:r>
            <w:r w:rsidR="00184C50">
              <w:rPr>
                <w:webHidden/>
              </w:rPr>
            </w:r>
            <w:r w:rsidR="00184C50">
              <w:rPr>
                <w:webHidden/>
              </w:rPr>
              <w:fldChar w:fldCharType="separate"/>
            </w:r>
            <w:r w:rsidR="002C4D61">
              <w:rPr>
                <w:webHidden/>
              </w:rPr>
              <w:t>12-27</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66" w:history="1">
            <w:r w:rsidR="00184C50" w:rsidRPr="008807D4">
              <w:rPr>
                <w:rStyle w:val="Hyperlink"/>
              </w:rPr>
              <w:t>12.6.2</w:t>
            </w:r>
            <w:r w:rsidR="00184C50">
              <w:rPr>
                <w:rFonts w:asciiTheme="minorHAnsi" w:eastAsiaTheme="minorEastAsia" w:hAnsiTheme="minorHAnsi"/>
                <w:lang w:eastAsia="en-AU"/>
              </w:rPr>
              <w:tab/>
            </w:r>
            <w:r w:rsidR="00184C50" w:rsidRPr="008807D4">
              <w:rPr>
                <w:rStyle w:val="Hyperlink"/>
              </w:rPr>
              <w:t>ActewAGL’s proposal</w:t>
            </w:r>
            <w:r w:rsidR="00184C50">
              <w:rPr>
                <w:webHidden/>
              </w:rPr>
              <w:tab/>
            </w:r>
            <w:r w:rsidR="00184C50">
              <w:rPr>
                <w:webHidden/>
              </w:rPr>
              <w:fldChar w:fldCharType="begin"/>
            </w:r>
            <w:r w:rsidR="00184C50">
              <w:rPr>
                <w:webHidden/>
              </w:rPr>
              <w:instrText xml:space="preserve"> PAGEREF _Toc435083266 \h </w:instrText>
            </w:r>
            <w:r w:rsidR="00184C50">
              <w:rPr>
                <w:webHidden/>
              </w:rPr>
            </w:r>
            <w:r w:rsidR="00184C50">
              <w:rPr>
                <w:webHidden/>
              </w:rPr>
              <w:fldChar w:fldCharType="separate"/>
            </w:r>
            <w:r w:rsidR="002C4D61">
              <w:rPr>
                <w:webHidden/>
              </w:rPr>
              <w:t>12-27</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67" w:history="1">
            <w:r w:rsidR="00184C50" w:rsidRPr="008807D4">
              <w:rPr>
                <w:rStyle w:val="Hyperlink"/>
              </w:rPr>
              <w:t>12.6.3</w:t>
            </w:r>
            <w:r w:rsidR="00184C50">
              <w:rPr>
                <w:rFonts w:asciiTheme="minorHAnsi" w:eastAsiaTheme="minorEastAsia" w:hAnsiTheme="minorHAnsi"/>
                <w:lang w:eastAsia="en-AU"/>
              </w:rPr>
              <w:tab/>
            </w:r>
            <w:r w:rsidR="00184C50" w:rsidRPr="008807D4">
              <w:rPr>
                <w:rStyle w:val="Hyperlink"/>
              </w:rPr>
              <w:t>AER’s assessment approach</w:t>
            </w:r>
            <w:r w:rsidR="00184C50">
              <w:rPr>
                <w:webHidden/>
              </w:rPr>
              <w:tab/>
            </w:r>
            <w:r w:rsidR="00184C50">
              <w:rPr>
                <w:webHidden/>
              </w:rPr>
              <w:fldChar w:fldCharType="begin"/>
            </w:r>
            <w:r w:rsidR="00184C50">
              <w:rPr>
                <w:webHidden/>
              </w:rPr>
              <w:instrText xml:space="preserve"> PAGEREF _Toc435083267 \h </w:instrText>
            </w:r>
            <w:r w:rsidR="00184C50">
              <w:rPr>
                <w:webHidden/>
              </w:rPr>
            </w:r>
            <w:r w:rsidR="00184C50">
              <w:rPr>
                <w:webHidden/>
              </w:rPr>
              <w:fldChar w:fldCharType="separate"/>
            </w:r>
            <w:r w:rsidR="002C4D61">
              <w:rPr>
                <w:webHidden/>
              </w:rPr>
              <w:t>12-27</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68" w:history="1">
            <w:r w:rsidR="00184C50" w:rsidRPr="008807D4">
              <w:rPr>
                <w:rStyle w:val="Hyperlink"/>
              </w:rPr>
              <w:t>12.6.4</w:t>
            </w:r>
            <w:r w:rsidR="00184C50">
              <w:rPr>
                <w:rFonts w:asciiTheme="minorHAnsi" w:eastAsiaTheme="minorEastAsia" w:hAnsiTheme="minorHAnsi"/>
                <w:lang w:eastAsia="en-AU"/>
              </w:rPr>
              <w:tab/>
            </w:r>
            <w:r w:rsidR="00184C50" w:rsidRPr="008807D4">
              <w:rPr>
                <w:rStyle w:val="Hyperlink"/>
              </w:rPr>
              <w:t>Reasons for draft decision</w:t>
            </w:r>
            <w:r w:rsidR="00184C50">
              <w:rPr>
                <w:webHidden/>
              </w:rPr>
              <w:tab/>
            </w:r>
            <w:r w:rsidR="00184C50">
              <w:rPr>
                <w:webHidden/>
              </w:rPr>
              <w:fldChar w:fldCharType="begin"/>
            </w:r>
            <w:r w:rsidR="00184C50">
              <w:rPr>
                <w:webHidden/>
              </w:rPr>
              <w:instrText xml:space="preserve"> PAGEREF _Toc435083268 \h </w:instrText>
            </w:r>
            <w:r w:rsidR="00184C50">
              <w:rPr>
                <w:webHidden/>
              </w:rPr>
            </w:r>
            <w:r w:rsidR="00184C50">
              <w:rPr>
                <w:webHidden/>
              </w:rPr>
              <w:fldChar w:fldCharType="separate"/>
            </w:r>
            <w:r w:rsidR="002C4D61">
              <w:rPr>
                <w:webHidden/>
              </w:rPr>
              <w:t>12-28</w:t>
            </w:r>
            <w:r w:rsidR="00184C50">
              <w:rPr>
                <w:webHidden/>
              </w:rPr>
              <w:fldChar w:fldCharType="end"/>
            </w:r>
          </w:hyperlink>
        </w:p>
        <w:p w:rsidR="00184C50" w:rsidRDefault="00957AFC">
          <w:pPr>
            <w:pStyle w:val="TOC2"/>
            <w:tabs>
              <w:tab w:val="left" w:pos="1276"/>
            </w:tabs>
            <w:rPr>
              <w:rFonts w:asciiTheme="minorHAnsi" w:eastAsiaTheme="minorEastAsia" w:hAnsiTheme="minorHAnsi"/>
              <w:b w:val="0"/>
              <w:color w:val="auto"/>
              <w:sz w:val="22"/>
              <w:lang w:eastAsia="en-AU"/>
            </w:rPr>
          </w:pPr>
          <w:hyperlink w:anchor="_Toc435083269" w:history="1">
            <w:r w:rsidR="00184C50" w:rsidRPr="008807D4">
              <w:rPr>
                <w:rStyle w:val="Hyperlink"/>
              </w:rPr>
              <w:t>12.7</w:t>
            </w:r>
            <w:r w:rsidR="00184C50">
              <w:rPr>
                <w:rFonts w:asciiTheme="minorHAnsi" w:eastAsiaTheme="minorEastAsia" w:hAnsiTheme="minorHAnsi"/>
                <w:b w:val="0"/>
                <w:color w:val="auto"/>
                <w:sz w:val="22"/>
                <w:lang w:eastAsia="en-AU"/>
              </w:rPr>
              <w:tab/>
            </w:r>
            <w:r w:rsidR="00184C50" w:rsidRPr="008807D4">
              <w:rPr>
                <w:rStyle w:val="Hyperlink"/>
              </w:rPr>
              <w:t>Revisions</w:t>
            </w:r>
            <w:r w:rsidR="00184C50">
              <w:rPr>
                <w:webHidden/>
              </w:rPr>
              <w:tab/>
            </w:r>
            <w:r w:rsidR="00184C50">
              <w:rPr>
                <w:webHidden/>
              </w:rPr>
              <w:fldChar w:fldCharType="begin"/>
            </w:r>
            <w:r w:rsidR="00184C50">
              <w:rPr>
                <w:webHidden/>
              </w:rPr>
              <w:instrText xml:space="preserve"> PAGEREF _Toc435083269 \h </w:instrText>
            </w:r>
            <w:r w:rsidR="00184C50">
              <w:rPr>
                <w:webHidden/>
              </w:rPr>
            </w:r>
            <w:r w:rsidR="00184C50">
              <w:rPr>
                <w:webHidden/>
              </w:rPr>
              <w:fldChar w:fldCharType="separate"/>
            </w:r>
            <w:r w:rsidR="002C4D61">
              <w:rPr>
                <w:webHidden/>
              </w:rPr>
              <w:t>12-28</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70" w:history="1">
            <w:r w:rsidR="00184C50" w:rsidRPr="008807D4">
              <w:rPr>
                <w:rStyle w:val="Hyperlink"/>
              </w:rPr>
              <w:t>12.7.1</w:t>
            </w:r>
            <w:r w:rsidR="00184C50">
              <w:rPr>
                <w:rFonts w:asciiTheme="minorHAnsi" w:eastAsiaTheme="minorEastAsia" w:hAnsiTheme="minorHAnsi"/>
                <w:lang w:eastAsia="en-AU"/>
              </w:rPr>
              <w:tab/>
            </w:r>
            <w:r w:rsidR="00184C50" w:rsidRPr="008807D4">
              <w:rPr>
                <w:rStyle w:val="Hyperlink"/>
              </w:rPr>
              <w:t>Revisions to the reference service agreement</w:t>
            </w:r>
            <w:r w:rsidR="00184C50">
              <w:rPr>
                <w:webHidden/>
              </w:rPr>
              <w:tab/>
            </w:r>
            <w:r w:rsidR="00184C50">
              <w:rPr>
                <w:webHidden/>
              </w:rPr>
              <w:fldChar w:fldCharType="begin"/>
            </w:r>
            <w:r w:rsidR="00184C50">
              <w:rPr>
                <w:webHidden/>
              </w:rPr>
              <w:instrText xml:space="preserve"> PAGEREF _Toc435083270 \h </w:instrText>
            </w:r>
            <w:r w:rsidR="00184C50">
              <w:rPr>
                <w:webHidden/>
              </w:rPr>
            </w:r>
            <w:r w:rsidR="00184C50">
              <w:rPr>
                <w:webHidden/>
              </w:rPr>
              <w:fldChar w:fldCharType="separate"/>
            </w:r>
            <w:r w:rsidR="002C4D61">
              <w:rPr>
                <w:webHidden/>
              </w:rPr>
              <w:t>12-28</w:t>
            </w:r>
            <w:r w:rsidR="00184C50">
              <w:rPr>
                <w:webHidden/>
              </w:rPr>
              <w:fldChar w:fldCharType="end"/>
            </w:r>
          </w:hyperlink>
        </w:p>
        <w:p w:rsidR="00184C50" w:rsidRDefault="00957AFC">
          <w:pPr>
            <w:pStyle w:val="TOC3"/>
            <w:rPr>
              <w:rFonts w:asciiTheme="minorHAnsi" w:eastAsiaTheme="minorEastAsia" w:hAnsiTheme="minorHAnsi"/>
              <w:lang w:eastAsia="en-AU"/>
            </w:rPr>
          </w:pPr>
          <w:hyperlink w:anchor="_Toc435083271" w:history="1">
            <w:r w:rsidR="00184C50" w:rsidRPr="008807D4">
              <w:rPr>
                <w:rStyle w:val="Hyperlink"/>
              </w:rPr>
              <w:t>12.7.2</w:t>
            </w:r>
            <w:r w:rsidR="00184C50">
              <w:rPr>
                <w:rFonts w:asciiTheme="minorHAnsi" w:eastAsiaTheme="minorEastAsia" w:hAnsiTheme="minorHAnsi"/>
                <w:lang w:eastAsia="en-AU"/>
              </w:rPr>
              <w:tab/>
            </w:r>
            <w:r w:rsidR="00184C50" w:rsidRPr="008807D4">
              <w:rPr>
                <w:rStyle w:val="Hyperlink"/>
              </w:rPr>
              <w:t>Revisions to the access arrangement</w:t>
            </w:r>
            <w:r w:rsidR="00184C50">
              <w:rPr>
                <w:webHidden/>
              </w:rPr>
              <w:tab/>
            </w:r>
            <w:r w:rsidR="00184C50">
              <w:rPr>
                <w:webHidden/>
              </w:rPr>
              <w:fldChar w:fldCharType="begin"/>
            </w:r>
            <w:r w:rsidR="00184C50">
              <w:rPr>
                <w:webHidden/>
              </w:rPr>
              <w:instrText xml:space="preserve"> PAGEREF _Toc435083271 \h </w:instrText>
            </w:r>
            <w:r w:rsidR="00184C50">
              <w:rPr>
                <w:webHidden/>
              </w:rPr>
            </w:r>
            <w:r w:rsidR="00184C50">
              <w:rPr>
                <w:webHidden/>
              </w:rPr>
              <w:fldChar w:fldCharType="separate"/>
            </w:r>
            <w:r w:rsidR="002C4D61">
              <w:rPr>
                <w:webHidden/>
              </w:rPr>
              <w:t>12-30</w:t>
            </w:r>
            <w:r w:rsidR="00184C50">
              <w:rPr>
                <w:webHidden/>
              </w:rPr>
              <w:fldChar w:fldCharType="end"/>
            </w:r>
          </w:hyperlink>
        </w:p>
        <w:p w:rsidR="00DE563D" w:rsidRDefault="007630F0" w:rsidP="007630F0">
          <w:pPr>
            <w:pStyle w:val="TOC1"/>
          </w:pPr>
          <w:r>
            <w:rPr>
              <w:color w:val="auto"/>
              <w:sz w:val="22"/>
            </w:rPr>
            <w:fldChar w:fldCharType="end"/>
          </w:r>
        </w:p>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8" w:name="_Toc404700925"/>
      <w:bookmarkStart w:id="9" w:name="_Toc435083237"/>
      <w:r>
        <w:lastRenderedPageBreak/>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BE1717" w:rsidTr="000C05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Shortened form</w:t>
            </w:r>
          </w:p>
        </w:tc>
        <w:tc>
          <w:tcPr>
            <w:tcW w:w="5041" w:type="dxa"/>
          </w:tcPr>
          <w:p w:rsidR="00BE1717" w:rsidRDefault="00BE1717" w:rsidP="00BE1717">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AA</w:t>
            </w:r>
          </w:p>
        </w:tc>
        <w:tc>
          <w:tcPr>
            <w:tcW w:w="5041" w:type="dxa"/>
          </w:tcPr>
          <w:p w:rsidR="00BE1717" w:rsidRPr="00BE1717" w:rsidRDefault="00BE1717" w:rsidP="00BE1717">
            <w:pPr>
              <w:cnfStyle w:val="000000000000" w:firstRow="0" w:lastRow="0" w:firstColumn="0" w:lastColumn="0" w:oddVBand="0" w:evenVBand="0" w:oddHBand="0" w:evenHBand="0" w:firstRowFirstColumn="0" w:firstRowLastColumn="0" w:lastRowFirstColumn="0" w:lastRowLastColumn="0"/>
            </w:pPr>
            <w:r>
              <w:t>Access Arrangement</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AAI</w:t>
            </w:r>
          </w:p>
        </w:tc>
        <w:tc>
          <w:tcPr>
            <w:tcW w:w="5041" w:type="dxa"/>
          </w:tcPr>
          <w:p w:rsidR="00BE1717" w:rsidRPr="00BE1717" w:rsidRDefault="00BE1717" w:rsidP="00BE1717">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AER</w:t>
            </w:r>
          </w:p>
        </w:tc>
        <w:tc>
          <w:tcPr>
            <w:tcW w:w="5041" w:type="dxa"/>
          </w:tcPr>
          <w:p w:rsidR="00BE1717" w:rsidRDefault="00BE1717" w:rsidP="00BE1717">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ASA</w:t>
            </w:r>
          </w:p>
        </w:tc>
        <w:tc>
          <w:tcPr>
            <w:tcW w:w="5041" w:type="dxa"/>
          </w:tcPr>
          <w:p w:rsidR="00BE1717" w:rsidRPr="00BE1717" w:rsidRDefault="00BE1717" w:rsidP="00BE1717">
            <w:pPr>
              <w:cnfStyle w:val="000000010000" w:firstRow="0" w:lastRow="0" w:firstColumn="0" w:lastColumn="0" w:oddVBand="0" w:evenVBand="0" w:oddHBand="0" w:evenHBand="1" w:firstRowFirstColumn="0" w:firstRowLastColumn="0" w:lastRowFirstColumn="0" w:lastRowLastColumn="0"/>
            </w:pPr>
            <w:r>
              <w:t>Asset Services Agreement</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ATO</w:t>
            </w:r>
          </w:p>
        </w:tc>
        <w:tc>
          <w:tcPr>
            <w:tcW w:w="5041" w:type="dxa"/>
          </w:tcPr>
          <w:p w:rsidR="00BE1717" w:rsidRPr="00BE1717" w:rsidRDefault="00BE1717" w:rsidP="00BE1717">
            <w:pPr>
              <w:cnfStyle w:val="000000000000" w:firstRow="0" w:lastRow="0" w:firstColumn="0" w:lastColumn="0" w:oddVBand="0" w:evenVBand="0" w:oddHBand="0" w:evenHBand="0" w:firstRowFirstColumn="0" w:firstRowLastColumn="0" w:lastRowFirstColumn="0" w:lastRowLastColumn="0"/>
            </w:pPr>
            <w:r>
              <w:t>Australian Tax Office</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capex</w:t>
            </w:r>
          </w:p>
        </w:tc>
        <w:tc>
          <w:tcPr>
            <w:tcW w:w="5041" w:type="dxa"/>
          </w:tcPr>
          <w:p w:rsidR="00BE1717" w:rsidRDefault="00BE1717" w:rsidP="00BE1717">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CAPM</w:t>
            </w:r>
          </w:p>
        </w:tc>
        <w:tc>
          <w:tcPr>
            <w:tcW w:w="5041" w:type="dxa"/>
          </w:tcPr>
          <w:p w:rsidR="00BE1717" w:rsidRDefault="00BE1717" w:rsidP="00BE1717">
            <w:pPr>
              <w:numPr>
                <w:ilvl w:val="0"/>
                <w:numId w:val="24"/>
              </w:numPr>
              <w:cnfStyle w:val="000000000000" w:firstRow="0" w:lastRow="0" w:firstColumn="0" w:lastColumn="0" w:oddVBand="0" w:evenVBand="0" w:oddHBand="0" w:evenHBand="0" w:firstRowFirstColumn="0" w:firstRowLastColumn="0" w:lastRowFirstColumn="0" w:lastRowLastColumn="0"/>
            </w:pPr>
            <w:r>
              <w:t>capital asset pricing model</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CCP</w:t>
            </w:r>
          </w:p>
        </w:tc>
        <w:tc>
          <w:tcPr>
            <w:tcW w:w="5041" w:type="dxa"/>
          </w:tcPr>
          <w:p w:rsidR="00BE1717" w:rsidRDefault="00BE1717" w:rsidP="00BE1717">
            <w:pPr>
              <w:numPr>
                <w:ilvl w:val="0"/>
                <w:numId w:val="24"/>
              </w:numPr>
              <w:cnfStyle w:val="000000010000" w:firstRow="0" w:lastRow="0" w:firstColumn="0" w:lastColumn="0" w:oddVBand="0" w:evenVBand="0" w:oddHBand="0" w:evenHBand="1" w:firstRowFirstColumn="0" w:firstRowLastColumn="0" w:lastRowFirstColumn="0" w:lastRowLastColumn="0"/>
            </w:pPr>
            <w:r>
              <w:t>Consumer Challenge Panel</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CESS</w:t>
            </w:r>
          </w:p>
        </w:tc>
        <w:tc>
          <w:tcPr>
            <w:tcW w:w="5041" w:type="dxa"/>
          </w:tcPr>
          <w:p w:rsidR="00BE1717" w:rsidRDefault="00BE1717" w:rsidP="00BE1717">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CMF</w:t>
            </w:r>
          </w:p>
        </w:tc>
        <w:tc>
          <w:tcPr>
            <w:tcW w:w="5041" w:type="dxa"/>
          </w:tcPr>
          <w:p w:rsidR="00BE1717" w:rsidRPr="00BE1717" w:rsidRDefault="00BE1717" w:rsidP="00BE1717">
            <w:pPr>
              <w:cnfStyle w:val="000000010000" w:firstRow="0" w:lastRow="0" w:firstColumn="0" w:lastColumn="0" w:oddVBand="0" w:evenVBand="0" w:oddHBand="0" w:evenHBand="1" w:firstRowFirstColumn="0" w:firstRowLastColumn="0" w:lastRowFirstColumn="0" w:lastRowLastColumn="0"/>
            </w:pPr>
            <w:r>
              <w:t>construction management fee</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CPI</w:t>
            </w:r>
          </w:p>
        </w:tc>
        <w:tc>
          <w:tcPr>
            <w:tcW w:w="5041" w:type="dxa"/>
          </w:tcPr>
          <w:p w:rsidR="00BE1717" w:rsidRDefault="00BE1717" w:rsidP="00BE1717">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DAMS</w:t>
            </w:r>
          </w:p>
        </w:tc>
        <w:tc>
          <w:tcPr>
            <w:tcW w:w="5041" w:type="dxa"/>
          </w:tcPr>
          <w:p w:rsidR="00BE1717" w:rsidRPr="00BE1717" w:rsidRDefault="00BE1717" w:rsidP="00BE1717">
            <w:pPr>
              <w:cnfStyle w:val="000000010000" w:firstRow="0" w:lastRow="0" w:firstColumn="0" w:lastColumn="0" w:oddVBand="0" w:evenVBand="0" w:oddHBand="0" w:evenHBand="1" w:firstRowFirstColumn="0" w:firstRowLastColumn="0" w:lastRowFirstColumn="0" w:lastRowLastColumn="0"/>
            </w:pPr>
            <w:r>
              <w:t>Distribution Asset Management Services</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DRP</w:t>
            </w:r>
          </w:p>
        </w:tc>
        <w:tc>
          <w:tcPr>
            <w:tcW w:w="5041" w:type="dxa"/>
          </w:tcPr>
          <w:p w:rsidR="00BE1717" w:rsidRDefault="00BE1717" w:rsidP="00BE1717">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EBSS</w:t>
            </w:r>
          </w:p>
        </w:tc>
        <w:tc>
          <w:tcPr>
            <w:tcW w:w="5041" w:type="dxa"/>
          </w:tcPr>
          <w:p w:rsidR="00BE1717" w:rsidRPr="00BE1717" w:rsidRDefault="00BE1717" w:rsidP="00BE1717">
            <w:p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EIL</w:t>
            </w:r>
          </w:p>
        </w:tc>
        <w:tc>
          <w:tcPr>
            <w:tcW w:w="5041" w:type="dxa"/>
          </w:tcPr>
          <w:p w:rsidR="00BE1717" w:rsidRPr="00BE1717" w:rsidRDefault="00BE1717" w:rsidP="00BE1717">
            <w:pPr>
              <w:cnfStyle w:val="000000000000" w:firstRow="0" w:lastRow="0" w:firstColumn="0" w:lastColumn="0" w:oddVBand="0" w:evenVBand="0" w:oddHBand="0" w:evenHBand="0" w:firstRowFirstColumn="0" w:firstRowLastColumn="0" w:lastRowFirstColumn="0" w:lastRowLastColumn="0"/>
            </w:pPr>
            <w:r>
              <w:t xml:space="preserve">Energy Industry </w:t>
            </w:r>
            <w:r w:rsidRPr="00BE1717">
              <w:t>Levy</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ERP</w:t>
            </w:r>
          </w:p>
        </w:tc>
        <w:tc>
          <w:tcPr>
            <w:tcW w:w="5041" w:type="dxa"/>
          </w:tcPr>
          <w:p w:rsidR="00BE1717" w:rsidRDefault="00BE1717" w:rsidP="00BE1717">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Expenditure Guideline</w:t>
            </w:r>
          </w:p>
        </w:tc>
        <w:tc>
          <w:tcPr>
            <w:tcW w:w="5041" w:type="dxa"/>
          </w:tcPr>
          <w:p w:rsidR="00BE1717" w:rsidRPr="00BE1717" w:rsidRDefault="00BE1717" w:rsidP="00BE1717">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gamma</w:t>
            </w:r>
          </w:p>
        </w:tc>
        <w:tc>
          <w:tcPr>
            <w:tcW w:w="5041" w:type="dxa"/>
          </w:tcPr>
          <w:p w:rsidR="00BE1717" w:rsidRPr="00BE1717" w:rsidRDefault="00BE1717" w:rsidP="00BE1717">
            <w:pPr>
              <w:cnfStyle w:val="000000010000" w:firstRow="0" w:lastRow="0" w:firstColumn="0" w:lastColumn="0" w:oddVBand="0" w:evenVBand="0" w:oddHBand="0" w:evenHBand="1" w:firstRowFirstColumn="0" w:firstRowLastColumn="0" w:lastRowFirstColumn="0" w:lastRowLastColumn="0"/>
            </w:pPr>
            <w:r>
              <w:t>Value of Imputation Credits</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GSL</w:t>
            </w:r>
          </w:p>
        </w:tc>
        <w:tc>
          <w:tcPr>
            <w:tcW w:w="5041" w:type="dxa"/>
          </w:tcPr>
          <w:p w:rsidR="00BE1717" w:rsidRPr="00BE1717" w:rsidRDefault="00BE1717" w:rsidP="00BE1717">
            <w:pPr>
              <w:cnfStyle w:val="000000000000" w:firstRow="0" w:lastRow="0" w:firstColumn="0" w:lastColumn="0" w:oddVBand="0" w:evenVBand="0" w:oddHBand="0" w:evenHBand="0" w:firstRowFirstColumn="0" w:firstRowLastColumn="0" w:lastRowFirstColumn="0" w:lastRowLastColumn="0"/>
            </w:pPr>
            <w:r>
              <w:t>Guaranteed Service Level</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GTA</w:t>
            </w:r>
          </w:p>
        </w:tc>
        <w:tc>
          <w:tcPr>
            <w:tcW w:w="5041" w:type="dxa"/>
          </w:tcPr>
          <w:p w:rsidR="00BE1717" w:rsidRPr="00BE1717" w:rsidRDefault="00BE1717" w:rsidP="00BE1717">
            <w:pPr>
              <w:cnfStyle w:val="000000010000" w:firstRow="0" w:lastRow="0" w:firstColumn="0" w:lastColumn="0" w:oddVBand="0" w:evenVBand="0" w:oddHBand="0" w:evenHBand="1" w:firstRowFirstColumn="0" w:firstRowLastColumn="0" w:lastRowFirstColumn="0" w:lastRowLastColumn="0"/>
            </w:pPr>
            <w:r>
              <w:t>gas transport services agreement</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ICRC</w:t>
            </w:r>
          </w:p>
        </w:tc>
        <w:tc>
          <w:tcPr>
            <w:tcW w:w="5041" w:type="dxa"/>
          </w:tcPr>
          <w:p w:rsidR="00BE1717" w:rsidRPr="00BE1717" w:rsidRDefault="00BE1717" w:rsidP="00BE1717">
            <w:pPr>
              <w:cnfStyle w:val="000000000000" w:firstRow="0" w:lastRow="0" w:firstColumn="0" w:lastColumn="0" w:oddVBand="0" w:evenVBand="0" w:oddHBand="0" w:evenHBand="0" w:firstRowFirstColumn="0" w:firstRowLastColumn="0" w:lastRowFirstColumn="0" w:lastRowLastColumn="0"/>
            </w:pPr>
            <w:r>
              <w:t>Independent Competition and Regulatory Commission</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MRP</w:t>
            </w:r>
          </w:p>
        </w:tc>
        <w:tc>
          <w:tcPr>
            <w:tcW w:w="5041" w:type="dxa"/>
          </w:tcPr>
          <w:p w:rsidR="00BE1717" w:rsidRDefault="00BE1717" w:rsidP="00BE1717">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NECF</w:t>
            </w:r>
          </w:p>
        </w:tc>
        <w:tc>
          <w:tcPr>
            <w:tcW w:w="5041" w:type="dxa"/>
          </w:tcPr>
          <w:p w:rsidR="00BE1717" w:rsidRPr="00BE1717" w:rsidRDefault="00BE1717" w:rsidP="00BE1717">
            <w:pPr>
              <w:cnfStyle w:val="000000000000" w:firstRow="0" w:lastRow="0" w:firstColumn="0" w:lastColumn="0" w:oddVBand="0" w:evenVBand="0" w:oddHBand="0" w:evenHBand="0" w:firstRowFirstColumn="0" w:firstRowLastColumn="0" w:lastRowFirstColumn="0" w:lastRowLastColumn="0"/>
            </w:pPr>
            <w:r>
              <w:t>National Energy Customer Framework</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NERL</w:t>
            </w:r>
          </w:p>
        </w:tc>
        <w:tc>
          <w:tcPr>
            <w:tcW w:w="5041" w:type="dxa"/>
          </w:tcPr>
          <w:p w:rsidR="00BE1717" w:rsidRPr="00BE1717" w:rsidRDefault="00BE1717" w:rsidP="00BE1717">
            <w:pPr>
              <w:cnfStyle w:val="000000010000" w:firstRow="0" w:lastRow="0" w:firstColumn="0" w:lastColumn="0" w:oddVBand="0" w:evenVBand="0" w:oddHBand="0" w:evenHBand="1" w:firstRowFirstColumn="0" w:firstRowLastColumn="0" w:lastRowFirstColumn="0" w:lastRowLastColumn="0"/>
            </w:pPr>
            <w:r>
              <w:t>National Energy Retail Law</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NERR</w:t>
            </w:r>
          </w:p>
        </w:tc>
        <w:tc>
          <w:tcPr>
            <w:tcW w:w="5041" w:type="dxa"/>
          </w:tcPr>
          <w:p w:rsidR="00BE1717" w:rsidRDefault="00BE1717" w:rsidP="00BE1717">
            <w:pPr>
              <w:numPr>
                <w:ilvl w:val="0"/>
                <w:numId w:val="24"/>
              </w:numPr>
              <w:cnfStyle w:val="000000000000" w:firstRow="0" w:lastRow="0" w:firstColumn="0" w:lastColumn="0" w:oddVBand="0" w:evenVBand="0" w:oddHBand="0" w:evenHBand="0" w:firstRowFirstColumn="0" w:firstRowLastColumn="0" w:lastRowFirstColumn="0" w:lastRowLastColumn="0"/>
            </w:pPr>
            <w:r>
              <w:t>National Energy Retail Rules</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NGL</w:t>
            </w:r>
          </w:p>
        </w:tc>
        <w:tc>
          <w:tcPr>
            <w:tcW w:w="5041" w:type="dxa"/>
          </w:tcPr>
          <w:p w:rsidR="00BE1717" w:rsidRDefault="00BE1717" w:rsidP="00BE1717">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NGO</w:t>
            </w:r>
          </w:p>
        </w:tc>
        <w:tc>
          <w:tcPr>
            <w:tcW w:w="5041" w:type="dxa"/>
          </w:tcPr>
          <w:p w:rsidR="00BE1717" w:rsidRDefault="00BE1717" w:rsidP="00BE1717">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NGR</w:t>
            </w:r>
          </w:p>
        </w:tc>
        <w:tc>
          <w:tcPr>
            <w:tcW w:w="5041" w:type="dxa"/>
          </w:tcPr>
          <w:p w:rsidR="00BE1717" w:rsidRDefault="00BE1717" w:rsidP="00BE1717">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NPV</w:t>
            </w:r>
          </w:p>
        </w:tc>
        <w:tc>
          <w:tcPr>
            <w:tcW w:w="5041" w:type="dxa"/>
          </w:tcPr>
          <w:p w:rsidR="00BE1717" w:rsidRPr="00BE1717" w:rsidRDefault="00BE1717" w:rsidP="00BE1717">
            <w:pPr>
              <w:cnfStyle w:val="000000000000" w:firstRow="0" w:lastRow="0" w:firstColumn="0" w:lastColumn="0" w:oddVBand="0" w:evenVBand="0" w:oddHBand="0" w:evenHBand="0" w:firstRowFirstColumn="0" w:firstRowLastColumn="0" w:lastRowFirstColumn="0" w:lastRowLastColumn="0"/>
            </w:pPr>
            <w:r>
              <w:t>net present value</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opex</w:t>
            </w:r>
          </w:p>
        </w:tc>
        <w:tc>
          <w:tcPr>
            <w:tcW w:w="5041" w:type="dxa"/>
          </w:tcPr>
          <w:p w:rsidR="00BE1717" w:rsidRDefault="00BE1717" w:rsidP="00BE1717">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lastRenderedPageBreak/>
              <w:t>PFP</w:t>
            </w:r>
          </w:p>
        </w:tc>
        <w:tc>
          <w:tcPr>
            <w:tcW w:w="5041" w:type="dxa"/>
          </w:tcPr>
          <w:p w:rsidR="00BE1717" w:rsidRPr="00BE1717" w:rsidRDefault="00BE1717" w:rsidP="00BE1717">
            <w:pPr>
              <w:cnfStyle w:val="000000000000" w:firstRow="0" w:lastRow="0" w:firstColumn="0" w:lastColumn="0" w:oddVBand="0" w:evenVBand="0" w:oddHBand="0" w:evenHBand="0" w:firstRowFirstColumn="0" w:firstRowLastColumn="0" w:lastRowFirstColumn="0" w:lastRowLastColumn="0"/>
            </w:pPr>
            <w:r>
              <w:t>partial factor productivity</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PPI</w:t>
            </w:r>
          </w:p>
        </w:tc>
        <w:tc>
          <w:tcPr>
            <w:tcW w:w="5041" w:type="dxa"/>
          </w:tcPr>
          <w:p w:rsidR="00BE1717" w:rsidRDefault="00BE1717" w:rsidP="00BE1717">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PTRM</w:t>
            </w:r>
          </w:p>
        </w:tc>
        <w:tc>
          <w:tcPr>
            <w:tcW w:w="5041" w:type="dxa"/>
          </w:tcPr>
          <w:p w:rsidR="00BE1717" w:rsidRDefault="00BE1717" w:rsidP="00BE1717">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RBA</w:t>
            </w:r>
          </w:p>
        </w:tc>
        <w:tc>
          <w:tcPr>
            <w:tcW w:w="5041" w:type="dxa"/>
          </w:tcPr>
          <w:p w:rsidR="00BE1717" w:rsidRDefault="00BE1717" w:rsidP="00BE1717">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RFM</w:t>
            </w:r>
          </w:p>
        </w:tc>
        <w:tc>
          <w:tcPr>
            <w:tcW w:w="5041" w:type="dxa"/>
          </w:tcPr>
          <w:p w:rsidR="00BE1717" w:rsidRDefault="00BE1717" w:rsidP="00BE1717">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RIN</w:t>
            </w:r>
          </w:p>
        </w:tc>
        <w:tc>
          <w:tcPr>
            <w:tcW w:w="5041" w:type="dxa"/>
          </w:tcPr>
          <w:p w:rsidR="00BE1717" w:rsidRDefault="00BE1717" w:rsidP="00BE1717">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RoLR</w:t>
            </w:r>
          </w:p>
        </w:tc>
        <w:tc>
          <w:tcPr>
            <w:tcW w:w="5041" w:type="dxa"/>
          </w:tcPr>
          <w:p w:rsidR="00BE1717" w:rsidRPr="00BE1717" w:rsidRDefault="00BE1717" w:rsidP="00BE1717">
            <w:pPr>
              <w:cnfStyle w:val="000000000000" w:firstRow="0" w:lastRow="0" w:firstColumn="0" w:lastColumn="0" w:oddVBand="0" w:evenVBand="0" w:oddHBand="0" w:evenHBand="0" w:firstRowFirstColumn="0" w:firstRowLastColumn="0" w:lastRowFirstColumn="0" w:lastRowLastColumn="0"/>
            </w:pPr>
            <w:r>
              <w:t>retailer of last resort</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RSA</w:t>
            </w:r>
          </w:p>
        </w:tc>
        <w:tc>
          <w:tcPr>
            <w:tcW w:w="5041" w:type="dxa"/>
          </w:tcPr>
          <w:p w:rsidR="00BE1717" w:rsidRPr="00BE1717" w:rsidRDefault="00BE1717" w:rsidP="00BE1717">
            <w:pPr>
              <w:cnfStyle w:val="000000010000" w:firstRow="0" w:lastRow="0" w:firstColumn="0" w:lastColumn="0" w:oddVBand="0" w:evenVBand="0" w:oddHBand="0" w:evenHBand="1" w:firstRowFirstColumn="0" w:firstRowLastColumn="0" w:lastRowFirstColumn="0" w:lastRowLastColumn="0"/>
            </w:pPr>
            <w:r>
              <w:t xml:space="preserve">Reference Service </w:t>
            </w:r>
            <w:r w:rsidRPr="00BE1717">
              <w:t>Agreement</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RPP</w:t>
            </w:r>
          </w:p>
        </w:tc>
        <w:tc>
          <w:tcPr>
            <w:tcW w:w="5041" w:type="dxa"/>
          </w:tcPr>
          <w:p w:rsidR="00BE1717" w:rsidRDefault="00BE1717" w:rsidP="00BE1717">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SLCAPM</w:t>
            </w:r>
          </w:p>
        </w:tc>
        <w:tc>
          <w:tcPr>
            <w:tcW w:w="5041" w:type="dxa"/>
          </w:tcPr>
          <w:p w:rsidR="00BE1717" w:rsidRDefault="00BE1717" w:rsidP="00BE1717">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STTM</w:t>
            </w:r>
          </w:p>
        </w:tc>
        <w:tc>
          <w:tcPr>
            <w:tcW w:w="5041" w:type="dxa"/>
          </w:tcPr>
          <w:p w:rsidR="00BE1717" w:rsidRPr="00BE1717" w:rsidRDefault="00BE1717" w:rsidP="00BE1717">
            <w:pPr>
              <w:cnfStyle w:val="000000000000" w:firstRow="0" w:lastRow="0" w:firstColumn="0" w:lastColumn="0" w:oddVBand="0" w:evenVBand="0" w:oddHBand="0" w:evenHBand="0" w:firstRowFirstColumn="0" w:firstRowLastColumn="0" w:lastRowFirstColumn="0" w:lastRowLastColumn="0"/>
            </w:pPr>
            <w:r>
              <w:t>Short Term Trading Market</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TAB</w:t>
            </w:r>
          </w:p>
        </w:tc>
        <w:tc>
          <w:tcPr>
            <w:tcW w:w="5041" w:type="dxa"/>
          </w:tcPr>
          <w:p w:rsidR="00BE1717" w:rsidRPr="00BE1717" w:rsidRDefault="00BE1717" w:rsidP="00BE1717">
            <w:pPr>
              <w:cnfStyle w:val="000000010000" w:firstRow="0" w:lastRow="0" w:firstColumn="0" w:lastColumn="0" w:oddVBand="0" w:evenVBand="0" w:oddHBand="0" w:evenHBand="1" w:firstRowFirstColumn="0" w:firstRowLastColumn="0" w:lastRowFirstColumn="0" w:lastRowLastColumn="0"/>
            </w:pPr>
            <w:r>
              <w:t>Tax asset base</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UAFG</w:t>
            </w:r>
          </w:p>
        </w:tc>
        <w:tc>
          <w:tcPr>
            <w:tcW w:w="5041" w:type="dxa"/>
          </w:tcPr>
          <w:p w:rsidR="00BE1717" w:rsidRPr="00BE1717" w:rsidRDefault="00BE1717" w:rsidP="00BE1717">
            <w:pPr>
              <w:cnfStyle w:val="000000000000" w:firstRow="0" w:lastRow="0" w:firstColumn="0" w:lastColumn="0" w:oddVBand="0" w:evenVBand="0" w:oddHBand="0" w:evenHBand="0" w:firstRowFirstColumn="0" w:firstRowLastColumn="0" w:lastRowFirstColumn="0" w:lastRowLastColumn="0"/>
            </w:pPr>
            <w:r>
              <w:t>Unaccounted for gas</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UNFT</w:t>
            </w:r>
          </w:p>
        </w:tc>
        <w:tc>
          <w:tcPr>
            <w:tcW w:w="5041" w:type="dxa"/>
          </w:tcPr>
          <w:p w:rsidR="00BE1717" w:rsidRPr="00BE1717" w:rsidRDefault="00BE1717" w:rsidP="00BE1717">
            <w:pPr>
              <w:cnfStyle w:val="000000010000" w:firstRow="0" w:lastRow="0" w:firstColumn="0" w:lastColumn="0" w:oddVBand="0" w:evenVBand="0" w:oddHBand="0" w:evenHBand="1" w:firstRowFirstColumn="0" w:firstRowLastColumn="0" w:lastRowFirstColumn="0" w:lastRowLastColumn="0"/>
            </w:pPr>
            <w:r>
              <w:t xml:space="preserve">Utilities Network </w:t>
            </w:r>
            <w:r w:rsidRPr="00BE1717">
              <w:t>Facilities Tax</w:t>
            </w:r>
          </w:p>
        </w:tc>
      </w:tr>
      <w:tr w:rsidR="00BE1717" w:rsidTr="000C0557">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WACC</w:t>
            </w:r>
          </w:p>
        </w:tc>
        <w:tc>
          <w:tcPr>
            <w:tcW w:w="5041" w:type="dxa"/>
          </w:tcPr>
          <w:p w:rsidR="00BE1717" w:rsidRDefault="00BE1717" w:rsidP="00BE1717">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BE1717"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BE1717" w:rsidRDefault="00BE1717" w:rsidP="00BE1717">
            <w:pPr>
              <w:numPr>
                <w:ilvl w:val="0"/>
                <w:numId w:val="24"/>
              </w:numPr>
            </w:pPr>
            <w:r>
              <w:t>WPI</w:t>
            </w:r>
          </w:p>
        </w:tc>
        <w:tc>
          <w:tcPr>
            <w:tcW w:w="5041" w:type="dxa"/>
          </w:tcPr>
          <w:p w:rsidR="00BE1717" w:rsidRPr="00BE1717" w:rsidRDefault="00BE1717" w:rsidP="00BE1717">
            <w:pPr>
              <w:cnfStyle w:val="000000010000" w:firstRow="0" w:lastRow="0" w:firstColumn="0" w:lastColumn="0" w:oddVBand="0" w:evenVBand="0" w:oddHBand="0" w:evenHBand="1" w:firstRowFirstColumn="0" w:firstRowLastColumn="0" w:lastRowFirstColumn="0" w:lastRowLastColumn="0"/>
            </w:pPr>
            <w:r>
              <w:t>Wage Price Index</w:t>
            </w:r>
          </w:p>
        </w:tc>
      </w:tr>
    </w:tbl>
    <w:p w:rsidR="00BE1717" w:rsidRPr="00BE1717" w:rsidRDefault="00BE1717" w:rsidP="00BE1717"/>
    <w:p w:rsidR="00DE563D" w:rsidRDefault="006D6830" w:rsidP="00600B92">
      <w:pPr>
        <w:pStyle w:val="Heading1"/>
      </w:pPr>
      <w:bookmarkStart w:id="10" w:name="_Toc435083238"/>
      <w:r>
        <w:lastRenderedPageBreak/>
        <w:t>Non-tariff components</w:t>
      </w:r>
      <w:bookmarkEnd w:id="10"/>
    </w:p>
    <w:p w:rsidR="005550AA" w:rsidRDefault="005550AA" w:rsidP="005550AA">
      <w:r>
        <w:t xml:space="preserve">ActewAGL proposed a revised access arrangement to apply for its gas distribution network for the 2016–21 access arrangement period. </w:t>
      </w:r>
    </w:p>
    <w:p w:rsidR="00602B90" w:rsidRDefault="005550AA" w:rsidP="00FA033B">
      <w:r>
        <w:t xml:space="preserve">ActewAGL’s proposed 2016–21 access arrangement includes its </w:t>
      </w:r>
      <w:r w:rsidR="00602B90">
        <w:t>Reference Servi</w:t>
      </w:r>
      <w:r w:rsidR="00C10EDA">
        <w:t>c</w:t>
      </w:r>
      <w:r w:rsidR="00602B90">
        <w:t>e Agreement (</w:t>
      </w:r>
      <w:r w:rsidR="00FA033B" w:rsidRPr="00F5072A">
        <w:t>RSA</w:t>
      </w:r>
      <w:r w:rsidR="00602B90">
        <w:t>)</w:t>
      </w:r>
      <w:r w:rsidR="00FA033B" w:rsidRPr="00F5072A">
        <w:t xml:space="preserve">. The RSA sets out terms and conditions </w:t>
      </w:r>
      <w:r w:rsidR="0047575B">
        <w:t>on</w:t>
      </w:r>
      <w:r w:rsidR="00FA033B" w:rsidRPr="00F5072A">
        <w:t xml:space="preserve"> which </w:t>
      </w:r>
      <w:r w:rsidR="00FA033B">
        <w:t>ActewAGL</w:t>
      </w:r>
      <w:r w:rsidR="00FA033B" w:rsidRPr="00F5072A">
        <w:t xml:space="preserve"> </w:t>
      </w:r>
      <w:r w:rsidR="00FA033B">
        <w:t xml:space="preserve">offers to </w:t>
      </w:r>
      <w:r w:rsidR="00FA033B" w:rsidRPr="00F5072A">
        <w:t xml:space="preserve">supply </w:t>
      </w:r>
      <w:r w:rsidR="009B03D6">
        <w:t>its</w:t>
      </w:r>
      <w:r w:rsidR="009B03D6" w:rsidRPr="00F5072A">
        <w:t xml:space="preserve"> </w:t>
      </w:r>
      <w:r w:rsidR="00FA033B" w:rsidRPr="004E046B">
        <w:t>Haulage Reference Service</w:t>
      </w:r>
      <w:r w:rsidR="004E046B" w:rsidRPr="004E046B">
        <w:t>s</w:t>
      </w:r>
      <w:r>
        <w:t>, Ancillary Reference Services, and Negotiated Services</w:t>
      </w:r>
      <w:r w:rsidR="00FA033B" w:rsidRPr="004E046B">
        <w:t>.</w:t>
      </w:r>
      <w:r w:rsidR="00FA033B">
        <w:t xml:space="preserve"> </w:t>
      </w:r>
      <w:r>
        <w:t>T</w:t>
      </w:r>
      <w:r w:rsidR="00C97F98">
        <w:t>hey are important because they describe the relationship between ActewAGL and users, including setting out, amongst other things, their obligations and liabilities under the agreement.</w:t>
      </w:r>
    </w:p>
    <w:p w:rsidR="000707C1" w:rsidRDefault="00B43FC7" w:rsidP="00FA033B">
      <w:r>
        <w:t>ActewAGL’s</w:t>
      </w:r>
      <w:r w:rsidR="00FA033B">
        <w:t xml:space="preserve"> access arrangement</w:t>
      </w:r>
      <w:r w:rsidR="00FA033B" w:rsidRPr="00F5072A">
        <w:t xml:space="preserve"> also </w:t>
      </w:r>
      <w:r w:rsidR="00C97F98">
        <w:t>includes specific provisions around the following, which are considered in further detail in this attachment</w:t>
      </w:r>
      <w:r w:rsidR="00FA033B" w:rsidRPr="00F5072A">
        <w:t>:</w:t>
      </w:r>
    </w:p>
    <w:p w:rsidR="00FA033B" w:rsidRPr="00A12508" w:rsidRDefault="00FA033B" w:rsidP="00020942">
      <w:pPr>
        <w:pStyle w:val="AERbulletlistfirststyle"/>
      </w:pPr>
      <w:r w:rsidRPr="000707C1">
        <w:t>queuing</w:t>
      </w:r>
      <w:r w:rsidRPr="00A12508">
        <w:t xml:space="preserve"> requirements—a process or mechanism for establishing an order of priority between prospective users of spare and/or developable capacity  </w:t>
      </w:r>
    </w:p>
    <w:p w:rsidR="00FA033B" w:rsidRPr="000707C1" w:rsidRDefault="00FA033B" w:rsidP="00020942">
      <w:pPr>
        <w:pStyle w:val="AERbulletlistfirststyle"/>
      </w:pPr>
      <w:r w:rsidRPr="000707C1">
        <w:t>extension and expansion requirements—the method for determining whether an extension or exp</w:t>
      </w:r>
      <w:r w:rsidRPr="0065736C">
        <w:t>ansion is a part of the covere</w:t>
      </w:r>
      <w:r w:rsidRPr="000707C1">
        <w:t xml:space="preserve">d pipeline and the effect this will have on tariffs. These requirements are relevant when identifying the covered pipeline and pipeline services </w:t>
      </w:r>
      <w:r w:rsidR="005E4D44" w:rsidRPr="000707C1">
        <w:t>that</w:t>
      </w:r>
      <w:r w:rsidRPr="000707C1">
        <w:t xml:space="preserve"> will be regulated through the access arrangement</w:t>
      </w:r>
      <w:r w:rsidR="00B43FC7" w:rsidRPr="000707C1">
        <w:t>.</w:t>
      </w:r>
    </w:p>
    <w:p w:rsidR="00FA033B" w:rsidRPr="000707C1" w:rsidRDefault="00FA033B" w:rsidP="00020942">
      <w:pPr>
        <w:pStyle w:val="AERbulletlistfirststyle"/>
      </w:pPr>
      <w:r w:rsidRPr="000707C1">
        <w:t xml:space="preserve">capacity trading requirements—how users may assign contracted capacity and change delivery and receipt points </w:t>
      </w:r>
    </w:p>
    <w:p w:rsidR="00FA033B" w:rsidRPr="000707C1" w:rsidRDefault="00FA033B" w:rsidP="00020942">
      <w:pPr>
        <w:pStyle w:val="AERbulletlistfirststyle"/>
      </w:pPr>
      <w:r w:rsidRPr="000707C1">
        <w:t xml:space="preserve">changing receipt and delivery points—the process or mechanism for changing a </w:t>
      </w:r>
      <w:r w:rsidR="00B43FC7" w:rsidRPr="000707C1">
        <w:t>u</w:t>
      </w:r>
      <w:r w:rsidRPr="000707C1">
        <w:t>ser's receipt or delivery point</w:t>
      </w:r>
    </w:p>
    <w:p w:rsidR="00B43FC7" w:rsidRPr="00A12508" w:rsidRDefault="00B43FC7" w:rsidP="00020942">
      <w:pPr>
        <w:pStyle w:val="AERbulletlistfirststyle"/>
      </w:pPr>
      <w:r w:rsidRPr="000707C1">
        <w:t>review</w:t>
      </w:r>
      <w:r>
        <w:t xml:space="preserve"> submission date and revision commencement date.</w:t>
      </w:r>
    </w:p>
    <w:p w:rsidR="00FA033B" w:rsidRDefault="00FA033B" w:rsidP="00FA033B">
      <w:r w:rsidRPr="00F5072A">
        <w:t xml:space="preserve">Together </w:t>
      </w:r>
      <w:r>
        <w:t xml:space="preserve">we refer to </w:t>
      </w:r>
      <w:r w:rsidRPr="00F5072A">
        <w:t xml:space="preserve">these as </w:t>
      </w:r>
      <w:r>
        <w:t xml:space="preserve">the </w:t>
      </w:r>
      <w:r w:rsidRPr="00F5072A">
        <w:t>non-tariff components of the access arrangement</w:t>
      </w:r>
      <w:r>
        <w:t>. Our</w:t>
      </w:r>
      <w:r w:rsidRPr="00A12508">
        <w:t xml:space="preserve"> </w:t>
      </w:r>
      <w:r>
        <w:t>assessment</w:t>
      </w:r>
      <w:r w:rsidRPr="00A12508">
        <w:t xml:space="preserve"> of each non-tariff component is set out below.</w:t>
      </w:r>
    </w:p>
    <w:p w:rsidR="00B43FC7" w:rsidRPr="00A12508" w:rsidRDefault="00B43FC7" w:rsidP="00B43FC7">
      <w:pPr>
        <w:pStyle w:val="Heading2"/>
      </w:pPr>
      <w:bookmarkStart w:id="11" w:name="_Ref427919634"/>
      <w:bookmarkStart w:id="12" w:name="_Toc435083239"/>
      <w:r>
        <w:t>Terms and conditions</w:t>
      </w:r>
      <w:bookmarkEnd w:id="11"/>
      <w:bookmarkEnd w:id="12"/>
    </w:p>
    <w:p w:rsidR="00B43FC7" w:rsidRDefault="00B43FC7" w:rsidP="00B43FC7">
      <w:r>
        <w:t xml:space="preserve">Rule 48(d)(ii) of the NGR requires an access arrangement to specify the terms and conditions on which each reference service will be provided. </w:t>
      </w:r>
    </w:p>
    <w:p w:rsidR="00FA033B" w:rsidRPr="00FA033B" w:rsidRDefault="00B43FC7" w:rsidP="00B43FC7">
      <w:r>
        <w:t>The terms and conditions specified in an access arrangement do not exhaustively set out the contractual arrangements between a service provider and a user for access to a pipeline service. Many aspects of these contractual arrangements are negotiated commercially between the parties. The NGL permits both the service provider and the user to negotiate and enter into an agreement on terms and conditions that differ to those specified in the applicable access arrangement.</w:t>
      </w:r>
      <w:r w:rsidR="0047575B">
        <w:rPr>
          <w:rStyle w:val="FootnoteReference"/>
        </w:rPr>
        <w:footnoteReference w:id="1"/>
      </w:r>
      <w:r>
        <w:t xml:space="preserve">  </w:t>
      </w:r>
    </w:p>
    <w:p w:rsidR="009A5113" w:rsidRDefault="006F7CC3" w:rsidP="00921AE6">
      <w:pPr>
        <w:pStyle w:val="Heading3"/>
      </w:pPr>
      <w:bookmarkStart w:id="13" w:name="_Toc408404320"/>
      <w:bookmarkStart w:id="14" w:name="_Toc435083240"/>
      <w:r>
        <w:lastRenderedPageBreak/>
        <w:t>Draft</w:t>
      </w:r>
      <w:r w:rsidR="009A5113" w:rsidRPr="0074565D">
        <w:t xml:space="preserve"> decision</w:t>
      </w:r>
      <w:bookmarkEnd w:id="13"/>
      <w:bookmarkEnd w:id="14"/>
    </w:p>
    <w:p w:rsidR="00D67D89" w:rsidRDefault="00460CE0" w:rsidP="00D67D89">
      <w:r>
        <w:t xml:space="preserve">Our draft decision is to </w:t>
      </w:r>
      <w:r w:rsidR="00D67D89">
        <w:t>not approve ActewAGL</w:t>
      </w:r>
      <w:r w:rsidR="00D67D89" w:rsidRPr="00D67D89">
        <w:t xml:space="preserve">'s </w:t>
      </w:r>
      <w:r w:rsidR="00602B90">
        <w:t>p</w:t>
      </w:r>
      <w:r w:rsidR="00D67D89" w:rsidRPr="00D67D89">
        <w:t>roposed RSA</w:t>
      </w:r>
      <w:r>
        <w:t xml:space="preserve"> as filed</w:t>
      </w:r>
      <w:r w:rsidR="00D67D89" w:rsidRPr="00D67D89">
        <w:t>. We re</w:t>
      </w:r>
      <w:r w:rsidR="00D67D89">
        <w:t xml:space="preserve">quire ActewAGL to make the </w:t>
      </w:r>
      <w:r w:rsidR="00760B0F">
        <w:t xml:space="preserve">amendments </w:t>
      </w:r>
      <w:r w:rsidR="00D67D89" w:rsidRPr="00D67D89">
        <w:t>specified in section</w:t>
      </w:r>
      <w:r w:rsidR="00CB2132">
        <w:t xml:space="preserve"> </w:t>
      </w:r>
      <w:r w:rsidR="00CB2132">
        <w:fldChar w:fldCharType="begin"/>
      </w:r>
      <w:r w:rsidR="00CB2132">
        <w:instrText xml:space="preserve"> REF _Ref427850529 \r \h </w:instrText>
      </w:r>
      <w:r w:rsidR="00CB2132">
        <w:fldChar w:fldCharType="separate"/>
      </w:r>
      <w:r w:rsidR="00392155">
        <w:t>12.7</w:t>
      </w:r>
      <w:r w:rsidR="00CB2132">
        <w:fldChar w:fldCharType="end"/>
      </w:r>
      <w:r w:rsidR="00D67D89" w:rsidRPr="00D67D89">
        <w:t xml:space="preserve"> below in order for us to accept the</w:t>
      </w:r>
      <w:r w:rsidR="00D67D89">
        <w:t xml:space="preserve"> </w:t>
      </w:r>
      <w:r w:rsidR="00602B90">
        <w:t>p</w:t>
      </w:r>
      <w:r w:rsidR="00D67D89">
        <w:t xml:space="preserve">roposed RSA. </w:t>
      </w:r>
      <w:r w:rsidR="00D67D89" w:rsidRPr="00D67D89">
        <w:t xml:space="preserve">In our </w:t>
      </w:r>
      <w:r w:rsidR="00D054EA" w:rsidRPr="00D67D89">
        <w:t>view,</w:t>
      </w:r>
      <w:r w:rsidR="00D67D89" w:rsidRPr="00D67D89">
        <w:t xml:space="preserve"> these amendm</w:t>
      </w:r>
      <w:r w:rsidR="00D67D89">
        <w:t xml:space="preserve">ents will make the RSA </w:t>
      </w:r>
      <w:r w:rsidR="00D67D89" w:rsidRPr="00D67D89">
        <w:t>consistent with the NGL and the applicable criteria</w:t>
      </w:r>
      <w:r w:rsidR="00D67D89">
        <w:t>.</w:t>
      </w:r>
      <w:r w:rsidR="00D67D89">
        <w:rPr>
          <w:rStyle w:val="FootnoteReference"/>
        </w:rPr>
        <w:footnoteReference w:id="2"/>
      </w:r>
      <w:r w:rsidR="00D67D89">
        <w:t xml:space="preserve"> </w:t>
      </w:r>
    </w:p>
    <w:p w:rsidR="009A5113" w:rsidRDefault="002D302A" w:rsidP="00921AE6">
      <w:pPr>
        <w:pStyle w:val="Heading3"/>
      </w:pPr>
      <w:bookmarkStart w:id="15" w:name="_Toc435083241"/>
      <w:r>
        <w:t>ActewAGL</w:t>
      </w:r>
      <w:r w:rsidR="005C0A7F">
        <w:t>'s proposal</w:t>
      </w:r>
      <w:bookmarkEnd w:id="15"/>
    </w:p>
    <w:p w:rsidR="00C1089E" w:rsidRDefault="00B9165B" w:rsidP="0050387A">
      <w:r>
        <w:t xml:space="preserve">ActewAGL proposed significant changes </w:t>
      </w:r>
      <w:r w:rsidR="00132358">
        <w:t xml:space="preserve">to </w:t>
      </w:r>
      <w:r>
        <w:t xml:space="preserve">the </w:t>
      </w:r>
      <w:r w:rsidR="00132358">
        <w:t>non-tariff components of its access arrangement</w:t>
      </w:r>
      <w:r>
        <w:t xml:space="preserve">. </w:t>
      </w:r>
      <w:r w:rsidR="00132358">
        <w:t>In the 2016</w:t>
      </w:r>
      <w:r w:rsidR="00B30AFD">
        <w:t>–</w:t>
      </w:r>
      <w:r w:rsidR="00132358">
        <w:t>21 access arrangement period, it propose</w:t>
      </w:r>
      <w:r w:rsidR="00760B0F">
        <w:t>d</w:t>
      </w:r>
      <w:r w:rsidR="00132358">
        <w:t xml:space="preserve"> that u</w:t>
      </w:r>
      <w:r w:rsidRPr="00B9165B">
        <w:t xml:space="preserve">sers of the reference service enter into </w:t>
      </w:r>
      <w:r w:rsidR="00132358">
        <w:t>a</w:t>
      </w:r>
      <w:r w:rsidR="00132358" w:rsidRPr="00B9165B">
        <w:t xml:space="preserve"> </w:t>
      </w:r>
      <w:r>
        <w:t>reference service agreement (RSA)</w:t>
      </w:r>
      <w:r w:rsidR="00132358">
        <w:t xml:space="preserve">—submitted as a schedule to its </w:t>
      </w:r>
      <w:r>
        <w:t>access arrangement</w:t>
      </w:r>
      <w:r w:rsidR="00132358">
        <w:t>—</w:t>
      </w:r>
      <w:r w:rsidRPr="00B9165B">
        <w:t>instead of the individually negotiated gas transport services agreements (GTAs)</w:t>
      </w:r>
      <w:r w:rsidR="00132358">
        <w:t xml:space="preserve"> that currently apply</w:t>
      </w:r>
      <w:r w:rsidRPr="00B9165B">
        <w:t>.</w:t>
      </w:r>
      <w:r>
        <w:rPr>
          <w:rStyle w:val="FootnoteReference"/>
        </w:rPr>
        <w:footnoteReference w:id="3"/>
      </w:r>
      <w:r>
        <w:t xml:space="preserve"> </w:t>
      </w:r>
      <w:r w:rsidR="00C1089E">
        <w:t xml:space="preserve">This </w:t>
      </w:r>
      <w:r w:rsidR="00132358">
        <w:t xml:space="preserve">would </w:t>
      </w:r>
      <w:r w:rsidR="00C1089E">
        <w:t xml:space="preserve">align ActewAGL's approach with </w:t>
      </w:r>
      <w:r w:rsidR="0096387A">
        <w:t>that approved for Jemena Gas Networks (NSW) Ltd (JGN) in June 2015</w:t>
      </w:r>
      <w:r w:rsidR="000105EC">
        <w:t>.</w:t>
      </w:r>
    </w:p>
    <w:p w:rsidR="000105EC" w:rsidRDefault="000105EC" w:rsidP="0050387A">
      <w:r>
        <w:t>ActewAGL indicated that the key changes to its terms and conditions from its 2010-15 access arrangement are:</w:t>
      </w:r>
    </w:p>
    <w:p w:rsidR="000105EC" w:rsidRDefault="000105EC" w:rsidP="00761105">
      <w:pPr>
        <w:pStyle w:val="AERbulletlistfirststyle"/>
      </w:pPr>
      <w:r>
        <w:t>Minimum networks standards</w:t>
      </w:r>
    </w:p>
    <w:p w:rsidR="000105EC" w:rsidRDefault="000105EC" w:rsidP="00761105">
      <w:pPr>
        <w:pStyle w:val="AERbulletlistfirststyle"/>
      </w:pPr>
      <w:r>
        <w:t>Additional terms and conditions</w:t>
      </w:r>
    </w:p>
    <w:p w:rsidR="000105EC" w:rsidRDefault="000105EC" w:rsidP="00761105">
      <w:pPr>
        <w:pStyle w:val="AERbulletlistfirststyle"/>
      </w:pPr>
      <w:r>
        <w:t>Charges</w:t>
      </w:r>
    </w:p>
    <w:p w:rsidR="000105EC" w:rsidRDefault="000105EC" w:rsidP="00761105">
      <w:pPr>
        <w:pStyle w:val="AERbulletlistfirststyle"/>
      </w:pPr>
      <w:r>
        <w:t>Invoicing and payment</w:t>
      </w:r>
    </w:p>
    <w:p w:rsidR="000105EC" w:rsidRDefault="000105EC" w:rsidP="00761105">
      <w:pPr>
        <w:pStyle w:val="AERbulletlistfirststyle"/>
      </w:pPr>
      <w:r>
        <w:t>GST</w:t>
      </w:r>
    </w:p>
    <w:p w:rsidR="000105EC" w:rsidRDefault="000105EC" w:rsidP="00761105">
      <w:pPr>
        <w:pStyle w:val="AERbulletlistfirststyle"/>
      </w:pPr>
      <w:r>
        <w:t>Responsibility for gas</w:t>
      </w:r>
    </w:p>
    <w:p w:rsidR="000105EC" w:rsidRDefault="000105EC" w:rsidP="00761105">
      <w:pPr>
        <w:pStyle w:val="AERbulletlistfirststyle"/>
      </w:pPr>
      <w:r>
        <w:t>Gas quality and variations</w:t>
      </w:r>
    </w:p>
    <w:p w:rsidR="0047575B" w:rsidRDefault="000105EC" w:rsidP="00761105">
      <w:pPr>
        <w:pStyle w:val="AERbulletlistfirststyle"/>
      </w:pPr>
      <w:r>
        <w:t>Measuring equipment.</w:t>
      </w:r>
    </w:p>
    <w:p w:rsidR="00602B90" w:rsidRDefault="00602B90" w:rsidP="00602B90">
      <w:r>
        <w:t>ActewAGL noted that it consulted with retailers in 2015 to discuss, among other things:</w:t>
      </w:r>
    </w:p>
    <w:p w:rsidR="00602B90" w:rsidRDefault="00602B90" w:rsidP="00602B90">
      <w:pPr>
        <w:pStyle w:val="AERbulletlistfirststyle"/>
      </w:pPr>
      <w:r>
        <w:t>its intention to adopt a form of RSA similar to JGN in the NSW access arrangement</w:t>
      </w:r>
    </w:p>
    <w:p w:rsidR="00602B90" w:rsidRDefault="00602B90" w:rsidP="00602B90">
      <w:pPr>
        <w:pStyle w:val="AERbulletlistfirststyle"/>
      </w:pPr>
      <w:r>
        <w:t>the key differences between ActewAGL’s proposed RSA and JGN’s RSA.</w:t>
      </w:r>
    </w:p>
    <w:p w:rsidR="005A50CB" w:rsidRDefault="00760B0F" w:rsidP="005A50CB">
      <w:r w:rsidRPr="00760B0F">
        <w:t xml:space="preserve">The CCP commented that this was more at the ‘inform’ level on the </w:t>
      </w:r>
      <w:r w:rsidR="00C765DC">
        <w:t>International Association for Public Participation (</w:t>
      </w:r>
      <w:r w:rsidR="00C765DC" w:rsidRPr="00FA647A">
        <w:t>IAP2</w:t>
      </w:r>
      <w:r w:rsidR="00C765DC">
        <w:t>)</w:t>
      </w:r>
      <w:r w:rsidR="00C765DC" w:rsidRPr="00FA647A">
        <w:t xml:space="preserve"> Federation</w:t>
      </w:r>
      <w:r w:rsidRPr="00760B0F">
        <w:t xml:space="preserve"> public participation spectr</w:t>
      </w:r>
      <w:r w:rsidR="000857B1">
        <w:t>um</w:t>
      </w:r>
      <w:r w:rsidR="00460CE0">
        <w:t>.</w:t>
      </w:r>
      <w:r w:rsidR="006463FE" w:rsidRPr="00760B0F">
        <w:rPr>
          <w:rStyle w:val="FootnoteReference"/>
        </w:rPr>
        <w:footnoteReference w:id="4"/>
      </w:r>
      <w:r w:rsidR="00460CE0">
        <w:t xml:space="preserve"> H</w:t>
      </w:r>
      <w:r>
        <w:t xml:space="preserve">owever, ActewAGL </w:t>
      </w:r>
      <w:r w:rsidR="00602B90">
        <w:t xml:space="preserve">submitted that retailers were generally supportive of the proposed </w:t>
      </w:r>
      <w:r w:rsidR="00602B90">
        <w:lastRenderedPageBreak/>
        <w:t>changes to harmonise with JGN’s form of RSA</w:t>
      </w:r>
      <w:r>
        <w:t>,</w:t>
      </w:r>
      <w:r w:rsidR="00602B90">
        <w:rPr>
          <w:rStyle w:val="FootnoteReference"/>
        </w:rPr>
        <w:footnoteReference w:id="5"/>
      </w:r>
      <w:r w:rsidR="005A50CB" w:rsidRPr="005A50CB">
        <w:t xml:space="preserve"> </w:t>
      </w:r>
      <w:r>
        <w:t>and its</w:t>
      </w:r>
      <w:r w:rsidR="005A50CB" w:rsidRPr="00B9165B">
        <w:t xml:space="preserve"> proposal to move from the two GTAs to one RSA which will form part of the 2016</w:t>
      </w:r>
      <w:r w:rsidR="005A50CB">
        <w:t>–</w:t>
      </w:r>
      <w:r w:rsidR="005A50CB" w:rsidRPr="00B9165B">
        <w:t>21 access arrangement.</w:t>
      </w:r>
      <w:r w:rsidR="005A50CB">
        <w:rPr>
          <w:rStyle w:val="FootnoteReference"/>
        </w:rPr>
        <w:footnoteReference w:id="6"/>
      </w:r>
    </w:p>
    <w:p w:rsidR="009A5113" w:rsidRDefault="009A5113" w:rsidP="00921AE6">
      <w:pPr>
        <w:pStyle w:val="Heading3"/>
      </w:pPr>
      <w:bookmarkStart w:id="16" w:name="_Toc408404322"/>
      <w:bookmarkStart w:id="17" w:name="_Toc435083242"/>
      <w:r w:rsidRPr="0074565D">
        <w:t>AER’s assessment approach</w:t>
      </w:r>
      <w:bookmarkEnd w:id="16"/>
      <w:bookmarkEnd w:id="17"/>
    </w:p>
    <w:p w:rsidR="0047575B" w:rsidRDefault="0047575B" w:rsidP="0047575B">
      <w:r>
        <w:t xml:space="preserve">The NGR require us to assess the terms and conditions in the proposed </w:t>
      </w:r>
      <w:r w:rsidR="006E6CE7">
        <w:t xml:space="preserve">access arrangement and </w:t>
      </w:r>
      <w:r>
        <w:t xml:space="preserve">RSA for consistency against </w:t>
      </w:r>
      <w:r w:rsidRPr="00BE20EA">
        <w:t>the N</w:t>
      </w:r>
      <w:r w:rsidR="0080271E">
        <w:t xml:space="preserve">ational </w:t>
      </w:r>
      <w:r w:rsidRPr="00BE20EA">
        <w:t>G</w:t>
      </w:r>
      <w:r w:rsidR="0080271E">
        <w:t xml:space="preserve">as </w:t>
      </w:r>
      <w:r w:rsidRPr="00BE20EA">
        <w:t>O</w:t>
      </w:r>
      <w:r w:rsidR="0080271E">
        <w:t>bjective (NGO)</w:t>
      </w:r>
      <w:r w:rsidR="005550AA">
        <w:t>, the NGR</w:t>
      </w:r>
      <w:r w:rsidRPr="00BE20EA">
        <w:t xml:space="preserve"> and the </w:t>
      </w:r>
      <w:r w:rsidR="00C97F98">
        <w:t>‘P</w:t>
      </w:r>
      <w:r w:rsidR="00C97F98" w:rsidRPr="00BE20EA">
        <w:t>rocedures</w:t>
      </w:r>
      <w:r w:rsidR="00C97F98">
        <w:t xml:space="preserve"> as</w:t>
      </w:r>
      <w:r w:rsidR="00C97F98" w:rsidRPr="00BE20EA">
        <w:t xml:space="preserve"> in force</w:t>
      </w:r>
      <w:r w:rsidR="00C97F98">
        <w:t xml:space="preserve"> when the terms and conditions of the access arrangement are determined or revised’</w:t>
      </w:r>
      <w:r w:rsidR="00C97F98" w:rsidRPr="00BE20EA">
        <w:t>.</w:t>
      </w:r>
      <w:r w:rsidR="00C97F98">
        <w:rPr>
          <w:rStyle w:val="FootnoteReference"/>
        </w:rPr>
        <w:footnoteReference w:id="7"/>
      </w:r>
      <w:r w:rsidR="00C97F98" w:rsidRPr="00124C55">
        <w:t xml:space="preserve"> </w:t>
      </w:r>
      <w:r w:rsidRPr="00F82965">
        <w:t>The NGO states that the objective of the NGL is to promote efficient investment in and efficient operation and use of natural gas pipeline services for the long term interest of consumers.</w:t>
      </w:r>
      <w:r>
        <w:t xml:space="preserve"> The relevant procedures include the Retail Market Procedures applicable in the ACT.</w:t>
      </w:r>
      <w:r>
        <w:rPr>
          <w:rStyle w:val="FootnoteReference"/>
        </w:rPr>
        <w:footnoteReference w:id="8"/>
      </w:r>
    </w:p>
    <w:p w:rsidR="0047575B" w:rsidRDefault="0047575B" w:rsidP="0047575B">
      <w:r>
        <w:t>This is an area in which we have full discretion. This means that we are able to withhold our approval of any aspect of the proposed RSA if, in our opinion, a preferable alternative exists that complies with the requirements of the NGL and is consistent with the applicable criteria.</w:t>
      </w:r>
      <w:r w:rsidRPr="00B75C1F">
        <w:rPr>
          <w:rStyle w:val="FootnoteReference"/>
        </w:rPr>
        <w:footnoteReference w:id="9"/>
      </w:r>
    </w:p>
    <w:p w:rsidR="0047575B" w:rsidRPr="00B75C1F" w:rsidRDefault="0047575B" w:rsidP="0047575B">
      <w:r>
        <w:t xml:space="preserve">We </w:t>
      </w:r>
      <w:r w:rsidR="00132358">
        <w:t>assess the</w:t>
      </w:r>
      <w:r>
        <w:t xml:space="preserve"> term</w:t>
      </w:r>
      <w:r w:rsidR="00132358">
        <w:t>s</w:t>
      </w:r>
      <w:r>
        <w:t xml:space="preserve"> and condition</w:t>
      </w:r>
      <w:r w:rsidR="00132358">
        <w:t>s</w:t>
      </w:r>
      <w:r>
        <w:t xml:space="preserve"> in the proposed</w:t>
      </w:r>
      <w:r w:rsidR="006E6CE7">
        <w:t xml:space="preserve"> access arrangement </w:t>
      </w:r>
      <w:r w:rsidRPr="00B75C1F">
        <w:t>for consistency against the NGO</w:t>
      </w:r>
      <w:r w:rsidR="00606CDA">
        <w:t>, the NGR</w:t>
      </w:r>
      <w:r>
        <w:t xml:space="preserve"> </w:t>
      </w:r>
      <w:r w:rsidRPr="00B75C1F">
        <w:t>and the relevant procedures</w:t>
      </w:r>
      <w:r w:rsidR="00667558">
        <w:t>,</w:t>
      </w:r>
      <w:r>
        <w:t xml:space="preserve"> and tak</w:t>
      </w:r>
      <w:r w:rsidR="005E4D44">
        <w:t>ing</w:t>
      </w:r>
      <w:r>
        <w:t xml:space="preserve"> into account the submissions we have received from stakeholders.</w:t>
      </w:r>
      <w:r>
        <w:rPr>
          <w:rStyle w:val="FootnoteReference"/>
        </w:rPr>
        <w:footnoteReference w:id="10"/>
      </w:r>
      <w:r w:rsidRPr="00B75C1F">
        <w:t xml:space="preserve"> In </w:t>
      </w:r>
      <w:r>
        <w:t xml:space="preserve">so doing </w:t>
      </w:r>
      <w:r w:rsidRPr="00B75C1F">
        <w:t xml:space="preserve">we </w:t>
      </w:r>
      <w:r w:rsidR="00667558">
        <w:t>look to</w:t>
      </w:r>
      <w:r w:rsidR="00667558" w:rsidRPr="00B75C1F">
        <w:t xml:space="preserve"> </w:t>
      </w:r>
      <w:r w:rsidRPr="00B75C1F">
        <w:t xml:space="preserve">balance the competing interests of </w:t>
      </w:r>
      <w:r>
        <w:t>ActewAGL</w:t>
      </w:r>
      <w:r w:rsidRPr="00B75C1F">
        <w:t xml:space="preserve">, </w:t>
      </w:r>
      <w:r>
        <w:t>u</w:t>
      </w:r>
      <w:r w:rsidRPr="00B75C1F">
        <w:t xml:space="preserve">sers and consumers </w:t>
      </w:r>
      <w:r>
        <w:t>by</w:t>
      </w:r>
      <w:r w:rsidRPr="00B75C1F">
        <w:t xml:space="preserve"> considering whether the terms and conditions: </w:t>
      </w:r>
    </w:p>
    <w:p w:rsidR="0047575B" w:rsidRPr="00007157" w:rsidRDefault="0047575B" w:rsidP="00007157">
      <w:pPr>
        <w:pStyle w:val="AERbulletlistfirststyle"/>
      </w:pPr>
      <w:r w:rsidRPr="00007157">
        <w:t>appropriately allocate risk between ActewAGL, users and consumers</w:t>
      </w:r>
    </w:p>
    <w:p w:rsidR="0047575B" w:rsidRPr="00007157" w:rsidRDefault="0047575B" w:rsidP="00007157">
      <w:pPr>
        <w:pStyle w:val="AERbulletlistfirststyle"/>
      </w:pPr>
      <w:r w:rsidRPr="00007157">
        <w:t xml:space="preserve">are clear and legally certain </w:t>
      </w:r>
    </w:p>
    <w:p w:rsidR="0047575B" w:rsidRPr="00007157" w:rsidRDefault="0047575B" w:rsidP="00007157">
      <w:pPr>
        <w:pStyle w:val="AERbulletlistfirststyle"/>
      </w:pPr>
      <w:r w:rsidRPr="00007157">
        <w:t xml:space="preserve">are consistent with the relevant requirements in the NGL, NGR, the National Energy Retail Law (NERL), the National Energy Retail Rules (NERR) and the relevant procedures in force. </w:t>
      </w:r>
    </w:p>
    <w:p w:rsidR="0047575B" w:rsidRDefault="0047575B" w:rsidP="0047575B">
      <w:r w:rsidRPr="00653A62">
        <w:t>The terms and conditions should allocate risk to the party that is best able to control or manage that risk. Importantly, that party has the ability to control or manage the likelihood of the risk occurring and the consequences of the risk if it occurs. The incentive to mitigate that risk is therefore best placed with that party. Effective risk mitigation is likely to reduce the total costs of providing reference services to consumers</w:t>
      </w:r>
      <w:r>
        <w:t xml:space="preserve"> in the long-term</w:t>
      </w:r>
      <w:r w:rsidRPr="00653A62">
        <w:t xml:space="preserve">, and is </w:t>
      </w:r>
      <w:r>
        <w:t xml:space="preserve">therefore </w:t>
      </w:r>
      <w:r w:rsidRPr="00653A62">
        <w:t>consistent with the NGO.</w:t>
      </w:r>
    </w:p>
    <w:p w:rsidR="0047575B" w:rsidRDefault="0047575B" w:rsidP="00020942">
      <w:r>
        <w:t>The terms and conditions also need to be c</w:t>
      </w:r>
      <w:r w:rsidRPr="00B75C1F">
        <w:t xml:space="preserve">lear and legally certain. </w:t>
      </w:r>
      <w:r>
        <w:t>T</w:t>
      </w:r>
      <w:r w:rsidRPr="00B75C1F">
        <w:t xml:space="preserve">his is because the terms and conditions </w:t>
      </w:r>
      <w:r>
        <w:t>would be used</w:t>
      </w:r>
      <w:r w:rsidRPr="00B75C1F">
        <w:t xml:space="preserve"> in resolving </w:t>
      </w:r>
      <w:r>
        <w:t xml:space="preserve">any access </w:t>
      </w:r>
      <w:r w:rsidRPr="00B75C1F">
        <w:t>dispute and in making an</w:t>
      </w:r>
      <w:r>
        <w:t>y</w:t>
      </w:r>
      <w:r w:rsidRPr="00B75C1F">
        <w:t xml:space="preserve"> </w:t>
      </w:r>
      <w:r w:rsidRPr="00B75C1F">
        <w:lastRenderedPageBreak/>
        <w:t>access determination.</w:t>
      </w:r>
      <w:r>
        <w:rPr>
          <w:rStyle w:val="FootnoteReference"/>
        </w:rPr>
        <w:footnoteReference w:id="11"/>
      </w:r>
      <w:r w:rsidRPr="00B75C1F">
        <w:t xml:space="preserve"> </w:t>
      </w:r>
      <w:r>
        <w:t>Further, these</w:t>
      </w:r>
      <w:r w:rsidRPr="00B75C1F">
        <w:t xml:space="preserve"> terms and conditions </w:t>
      </w:r>
      <w:r>
        <w:t xml:space="preserve">are likely to form the </w:t>
      </w:r>
      <w:r w:rsidRPr="00B75C1F">
        <w:t xml:space="preserve">starting point for commercial negotiations between </w:t>
      </w:r>
      <w:r w:rsidR="00F35ACC">
        <w:t>ActewAGL</w:t>
      </w:r>
      <w:r>
        <w:t>,</w:t>
      </w:r>
      <w:r w:rsidRPr="00B75C1F">
        <w:t xml:space="preserve"> </w:t>
      </w:r>
      <w:r>
        <w:t>retailers and other users</w:t>
      </w:r>
      <w:r w:rsidRPr="00B75C1F">
        <w:t>.</w:t>
      </w:r>
    </w:p>
    <w:p w:rsidR="009D22FC" w:rsidRDefault="009D22FC" w:rsidP="009D22FC">
      <w:r>
        <w:t xml:space="preserve">Section 322 of the NGL provides that </w:t>
      </w:r>
      <w:r w:rsidR="00460CE0">
        <w:t>“</w:t>
      </w:r>
      <w:r>
        <w:t xml:space="preserve">nothing in </w:t>
      </w:r>
      <w:r w:rsidR="00460CE0">
        <w:t>[</w:t>
      </w:r>
      <w:r>
        <w:t>the NGL</w:t>
      </w:r>
      <w:r w:rsidR="00460CE0">
        <w:t>] is to</w:t>
      </w:r>
      <w:r>
        <w:t xml:space="preserve"> be taken as preventing a service provider from entering into an agreement with a user or prospective user about access to a pipeline service by means of a scheme pipeline that is different from an applicable access arrangement that applies to that pipeline service.</w:t>
      </w:r>
      <w:r w:rsidR="00760B0F">
        <w:rPr>
          <w:rStyle w:val="FootnoteReference"/>
        </w:rPr>
        <w:footnoteReference w:id="12"/>
      </w:r>
      <w:r>
        <w:t xml:space="preserve"> </w:t>
      </w:r>
      <w:r w:rsidRPr="00D03DB2">
        <w:t xml:space="preserve">The parties may wish to reach agreement on aspects of their commercial relationship, separate from the access arrangement's terms and conditions. These aspects are likely to depend on the parties' particular circumstances. </w:t>
      </w:r>
    </w:p>
    <w:p w:rsidR="0047575B" w:rsidRDefault="0047575B" w:rsidP="0047575B">
      <w:r>
        <w:t>In some cases, greater prescription or intervention on our part in determining these terms and conditions may impede competitive market outcomes and be inefficient.</w:t>
      </w:r>
      <w:r w:rsidRPr="00576E68">
        <w:rPr>
          <w:rStyle w:val="FootnoteReference"/>
        </w:rPr>
        <w:footnoteReference w:id="13"/>
      </w:r>
      <w:r>
        <w:t xml:space="preserve"> There are two reasons for this</w:t>
      </w:r>
      <w:r w:rsidR="00F35ACC">
        <w:t>:</w:t>
      </w:r>
      <w:r>
        <w:t xml:space="preserve"> </w:t>
      </w:r>
      <w:r w:rsidR="00F35ACC">
        <w:t>f</w:t>
      </w:r>
      <w:r>
        <w:t xml:space="preserve">irst, our lower level of information than that of </w:t>
      </w:r>
      <w:r w:rsidR="00F35ACC">
        <w:t>ActewAGL</w:t>
      </w:r>
      <w:r>
        <w:t xml:space="preserve"> and users</w:t>
      </w:r>
      <w:r w:rsidR="00F35ACC">
        <w:t xml:space="preserve"> and</w:t>
      </w:r>
      <w:r>
        <w:t xml:space="preserve"> </w:t>
      </w:r>
      <w:r w:rsidR="00F35ACC">
        <w:t>s</w:t>
      </w:r>
      <w:r>
        <w:t>econd, the user</w:t>
      </w:r>
      <w:r w:rsidR="00F35ACC">
        <w:t>-</w:t>
      </w:r>
      <w:r>
        <w:t>specific nature of many issues</w:t>
      </w:r>
      <w:r w:rsidRPr="00F35ACC">
        <w:t xml:space="preserve">. </w:t>
      </w:r>
    </w:p>
    <w:p w:rsidR="00FA20AC" w:rsidRPr="0047575B" w:rsidRDefault="00D03DB2" w:rsidP="0047575B">
      <w:r w:rsidRPr="00D03DB2">
        <w:t xml:space="preserve">Accordingly, we will generally avoid proposing amendments in these cases where flexibility to negotiate commercial outcomes is desirable. We expect that </w:t>
      </w:r>
      <w:r w:rsidR="005654C2">
        <w:t>both service providers and u</w:t>
      </w:r>
      <w:r w:rsidRPr="00D03DB2">
        <w:t xml:space="preserve">sers will negotiate in good faith on </w:t>
      </w:r>
      <w:r w:rsidR="005654C2">
        <w:t>such</w:t>
      </w:r>
      <w:r w:rsidR="005654C2" w:rsidRPr="00D03DB2">
        <w:t xml:space="preserve"> </w:t>
      </w:r>
      <w:r w:rsidRPr="00D03DB2">
        <w:t>matters.</w:t>
      </w:r>
      <w:r w:rsidR="005654C2">
        <w:t xml:space="preserve"> </w:t>
      </w:r>
    </w:p>
    <w:p w:rsidR="009A5113" w:rsidRDefault="009A5113" w:rsidP="00921AE6">
      <w:pPr>
        <w:pStyle w:val="Heading3"/>
      </w:pPr>
      <w:bookmarkStart w:id="18" w:name="_Toc408404324"/>
      <w:bookmarkStart w:id="19" w:name="_Ref429122289"/>
      <w:bookmarkStart w:id="20" w:name="_Toc435083243"/>
      <w:r w:rsidRPr="0074565D">
        <w:t xml:space="preserve">Reasons for </w:t>
      </w:r>
      <w:r w:rsidR="006F7CC3">
        <w:t>draft</w:t>
      </w:r>
      <w:r w:rsidR="00651CB2" w:rsidRPr="0074565D">
        <w:t xml:space="preserve"> </w:t>
      </w:r>
      <w:r w:rsidRPr="0074565D">
        <w:t>decision</w:t>
      </w:r>
      <w:bookmarkEnd w:id="18"/>
      <w:bookmarkEnd w:id="19"/>
      <w:bookmarkEnd w:id="20"/>
      <w:r w:rsidRPr="0074565D">
        <w:t xml:space="preserve"> </w:t>
      </w:r>
    </w:p>
    <w:p w:rsidR="00EC6C31" w:rsidRDefault="009A33DB" w:rsidP="005654C2">
      <w:r w:rsidRPr="009A33DB">
        <w:t>This section discusses the reasons for our draft dec</w:t>
      </w:r>
      <w:r>
        <w:t>ision</w:t>
      </w:r>
      <w:r w:rsidR="00760B0F">
        <w:t xml:space="preserve">. </w:t>
      </w:r>
      <w:r w:rsidR="005642DC">
        <w:t xml:space="preserve">The key areas </w:t>
      </w:r>
      <w:r w:rsidR="00B54E9E">
        <w:t xml:space="preserve">where </w:t>
      </w:r>
      <w:r w:rsidR="005642DC">
        <w:t>we identified concerns</w:t>
      </w:r>
      <w:r w:rsidR="00760B0F">
        <w:t>, including those raised in submissions,</w:t>
      </w:r>
      <w:r w:rsidR="005642DC">
        <w:t xml:space="preserve"> </w:t>
      </w:r>
      <w:r w:rsidR="00B54E9E">
        <w:t>are:</w:t>
      </w:r>
    </w:p>
    <w:p w:rsidR="00A41276" w:rsidRDefault="00182D8F" w:rsidP="00CE1D19">
      <w:pPr>
        <w:pStyle w:val="AERbulletlistfirststyle"/>
      </w:pPr>
      <w:r>
        <w:t xml:space="preserve">The level of discretion allowed </w:t>
      </w:r>
      <w:r w:rsidR="00A41276">
        <w:t>ActewAGL</w:t>
      </w:r>
      <w:r>
        <w:t xml:space="preserve"> in certain clauses of the RSA</w:t>
      </w:r>
    </w:p>
    <w:p w:rsidR="00A41276" w:rsidRDefault="00182D8F" w:rsidP="00CE1D19">
      <w:pPr>
        <w:pStyle w:val="AERbulletlistfirststyle"/>
      </w:pPr>
      <w:r>
        <w:t>ActewAGL's proposed b</w:t>
      </w:r>
      <w:r w:rsidR="00A41276">
        <w:t>ulk transfer</w:t>
      </w:r>
      <w:r>
        <w:t xml:space="preserve"> process, to transition customers</w:t>
      </w:r>
      <w:r w:rsidR="00E14673">
        <w:t xml:space="preserve"> to new tariffs</w:t>
      </w:r>
      <w:r w:rsidR="00080419">
        <w:t>.</w:t>
      </w:r>
    </w:p>
    <w:p w:rsidR="005642DC" w:rsidRDefault="00182D8F" w:rsidP="00182D8F">
      <w:r>
        <w:t>We have also noted some m</w:t>
      </w:r>
      <w:r w:rsidR="00D7567B">
        <w:t>inor d</w:t>
      </w:r>
      <w:r w:rsidR="005642DC">
        <w:t>rafting errors</w:t>
      </w:r>
      <w:r w:rsidR="00D7567B">
        <w:t xml:space="preserve"> in ActewAGL's proposed RSA</w:t>
      </w:r>
      <w:r>
        <w:t>, and confirmed with ActewAGL</w:t>
      </w:r>
      <w:r w:rsidR="00374E2D">
        <w:t xml:space="preserve"> that they should be rectified</w:t>
      </w:r>
      <w:r w:rsidR="00B54E9E">
        <w:t>.</w:t>
      </w:r>
      <w:r w:rsidR="00584FC2">
        <w:rPr>
          <w:rStyle w:val="FootnoteReference"/>
        </w:rPr>
        <w:footnoteReference w:id="14"/>
      </w:r>
    </w:p>
    <w:p w:rsidR="00C16FF5" w:rsidRDefault="00C16FF5" w:rsidP="00B30AFD">
      <w:pPr>
        <w:pStyle w:val="HeadingBoldBlue"/>
      </w:pPr>
      <w:r>
        <w:t>ActewAGL discretion</w:t>
      </w:r>
    </w:p>
    <w:p w:rsidR="00C16FF5" w:rsidRDefault="00182D8F" w:rsidP="00C16FF5">
      <w:r>
        <w:t>Certain</w:t>
      </w:r>
      <w:r w:rsidR="009E66A3">
        <w:t xml:space="preserve"> terms in the RSA allow ActewAGL to</w:t>
      </w:r>
      <w:r w:rsidR="00B54E9E">
        <w:t xml:space="preserve"> vary or amend the RSA</w:t>
      </w:r>
      <w:r>
        <w:t>, or change the way that it applies</w:t>
      </w:r>
      <w:r w:rsidR="00F53448">
        <w:t xml:space="preserve">. </w:t>
      </w:r>
      <w:r>
        <w:t>These clauses give ActewAGL discretion as to whether and when it would do so</w:t>
      </w:r>
      <w:r w:rsidR="00F06E12">
        <w:t xml:space="preserve">. </w:t>
      </w:r>
      <w:r w:rsidR="00C16FF5" w:rsidRPr="00C16FF5">
        <w:t xml:space="preserve">The level of discretion that </w:t>
      </w:r>
      <w:r w:rsidR="00C16FF5">
        <w:t>ActewAGL</w:t>
      </w:r>
      <w:r w:rsidR="00C16FF5" w:rsidRPr="00C16FF5">
        <w:t xml:space="preserve"> is provided </w:t>
      </w:r>
      <w:r w:rsidR="008E66C4">
        <w:t xml:space="preserve">under the </w:t>
      </w:r>
      <w:r>
        <w:t xml:space="preserve">proposed </w:t>
      </w:r>
      <w:r w:rsidR="008E66C4">
        <w:t>RSA raises q</w:t>
      </w:r>
      <w:r w:rsidR="00C16FF5">
        <w:t xml:space="preserve">uestions of </w:t>
      </w:r>
      <w:r w:rsidR="00B251C5">
        <w:t>clarity</w:t>
      </w:r>
      <w:r w:rsidR="00C16FF5" w:rsidRPr="00C16FF5">
        <w:t xml:space="preserve"> and </w:t>
      </w:r>
      <w:r w:rsidR="0003091E">
        <w:t>predictability</w:t>
      </w:r>
      <w:r w:rsidR="0003091E" w:rsidRPr="00C16FF5">
        <w:t xml:space="preserve"> </w:t>
      </w:r>
      <w:r w:rsidR="00C16FF5" w:rsidRPr="00C16FF5">
        <w:t xml:space="preserve">for both </w:t>
      </w:r>
      <w:r w:rsidR="00C16FF5">
        <w:t>ActewAGL</w:t>
      </w:r>
      <w:r w:rsidR="00C16FF5" w:rsidRPr="00C16FF5">
        <w:t xml:space="preserve"> and users. In</w:t>
      </w:r>
      <w:r w:rsidR="00C16FF5">
        <w:t xml:space="preserve"> </w:t>
      </w:r>
      <w:r w:rsidR="00B251C5">
        <w:t>some cases</w:t>
      </w:r>
      <w:r w:rsidR="00C16FF5" w:rsidRPr="00C16FF5">
        <w:t xml:space="preserve"> it may be </w:t>
      </w:r>
      <w:r w:rsidR="00B251C5">
        <w:t xml:space="preserve">necessary or </w:t>
      </w:r>
      <w:r w:rsidR="00C16FF5" w:rsidRPr="00C16FF5">
        <w:t xml:space="preserve">appropriate to allow </w:t>
      </w:r>
      <w:r w:rsidR="00C16FF5">
        <w:t>ActewAGL</w:t>
      </w:r>
      <w:r w:rsidR="00C16FF5" w:rsidRPr="00C16FF5">
        <w:t xml:space="preserve"> a broad level of</w:t>
      </w:r>
      <w:r w:rsidR="00C16FF5">
        <w:t xml:space="preserve"> </w:t>
      </w:r>
      <w:r w:rsidR="00C16FF5" w:rsidRPr="00C16FF5">
        <w:t xml:space="preserve">discretion or to act unilaterally. </w:t>
      </w:r>
      <w:r w:rsidR="00B251C5">
        <w:t>In others</w:t>
      </w:r>
      <w:r w:rsidR="00C16FF5" w:rsidRPr="00C16FF5">
        <w:t>,</w:t>
      </w:r>
      <w:r w:rsidR="00B251C5">
        <w:t xml:space="preserve"> </w:t>
      </w:r>
      <w:r w:rsidR="0085473C">
        <w:t xml:space="preserve">however, </w:t>
      </w:r>
      <w:r w:rsidR="00B251C5">
        <w:t xml:space="preserve">it may create unreasonable </w:t>
      </w:r>
      <w:r w:rsidR="00B251C5">
        <w:lastRenderedPageBreak/>
        <w:t>as</w:t>
      </w:r>
      <w:r w:rsidR="009E66A3">
        <w:t>y</w:t>
      </w:r>
      <w:r w:rsidR="00B251C5">
        <w:t>mmetry in the rights of ActewAGL and its users under the RSA</w:t>
      </w:r>
      <w:r w:rsidR="0085473C">
        <w:t>. Where the basis on which discretion will be exercised is not adequately described, discretion can also create uncertainty as to rights and obligations under the RSA.</w:t>
      </w:r>
    </w:p>
    <w:p w:rsidR="0085473C" w:rsidRDefault="0003091E" w:rsidP="00C16FF5">
      <w:r>
        <w:t xml:space="preserve">Our draft decision is that </w:t>
      </w:r>
      <w:r w:rsidR="00182D8F">
        <w:t>two</w:t>
      </w:r>
      <w:r w:rsidR="0085473C">
        <w:t xml:space="preserve"> clauses in ActewAGL's proposed RSA </w:t>
      </w:r>
      <w:r>
        <w:t>require</w:t>
      </w:r>
      <w:r w:rsidR="00182D8F">
        <w:t xml:space="preserve"> amendment</w:t>
      </w:r>
      <w:r>
        <w:t>s to address this</w:t>
      </w:r>
      <w:r w:rsidR="0085473C">
        <w:t>.</w:t>
      </w:r>
      <w:r>
        <w:t xml:space="preserve"> These are discussed below.</w:t>
      </w:r>
    </w:p>
    <w:p w:rsidR="0085473C" w:rsidRDefault="0085473C" w:rsidP="009E66A3">
      <w:pPr>
        <w:pStyle w:val="HeadingBoldItalic"/>
      </w:pPr>
      <w:r>
        <w:t>Change of law</w:t>
      </w:r>
    </w:p>
    <w:p w:rsidR="00393B1F" w:rsidRDefault="003945D1" w:rsidP="00935DD9">
      <w:r>
        <w:t xml:space="preserve">Clause 1.3 </w:t>
      </w:r>
      <w:r w:rsidR="0085473C">
        <w:t xml:space="preserve">of ActewAGL's proposed RSA </w:t>
      </w:r>
      <w:r>
        <w:t>provides for amendments to the RSA due to a change of law.</w:t>
      </w:r>
      <w:r w:rsidR="0085473C">
        <w:t xml:space="preserve"> </w:t>
      </w:r>
      <w:r w:rsidR="00393B1F" w:rsidRPr="00935DD9">
        <w:t>A change in law is</w:t>
      </w:r>
      <w:r w:rsidR="00393B1F">
        <w:t xml:space="preserve"> </w:t>
      </w:r>
      <w:r w:rsidR="00393B1F" w:rsidRPr="00935DD9">
        <w:t xml:space="preserve">defined as including the introduction of </w:t>
      </w:r>
      <w:r w:rsidR="009F3903">
        <w:t xml:space="preserve">a new law </w:t>
      </w:r>
      <w:r w:rsidR="00393B1F" w:rsidRPr="00935DD9">
        <w:t>or changes to</w:t>
      </w:r>
      <w:r w:rsidR="009F3903">
        <w:t xml:space="preserve"> an existing Gas</w:t>
      </w:r>
      <w:r w:rsidR="00393B1F" w:rsidRPr="00935DD9">
        <w:t xml:space="preserve"> </w:t>
      </w:r>
      <w:r w:rsidR="009F3903">
        <w:t>L</w:t>
      </w:r>
      <w:r w:rsidR="00393B1F" w:rsidRPr="00935DD9">
        <w:t>aw and a new or changed</w:t>
      </w:r>
      <w:r w:rsidR="00393B1F">
        <w:t xml:space="preserve"> </w:t>
      </w:r>
      <w:r w:rsidR="00393B1F" w:rsidRPr="00935DD9">
        <w:t xml:space="preserve">interpretation </w:t>
      </w:r>
      <w:r w:rsidR="009F3903">
        <w:t xml:space="preserve">of a Gas Law </w:t>
      </w:r>
      <w:r w:rsidR="00393B1F" w:rsidRPr="00935DD9">
        <w:t>from a de</w:t>
      </w:r>
      <w:r w:rsidR="00393B1F">
        <w:t>cision that is binding on ActewAGL.</w:t>
      </w:r>
      <w:r w:rsidR="00393B1F">
        <w:rPr>
          <w:rStyle w:val="FootnoteReference"/>
        </w:rPr>
        <w:footnoteReference w:id="15"/>
      </w:r>
      <w:r w:rsidR="00393B1F" w:rsidRPr="00935DD9">
        <w:t xml:space="preserve"> </w:t>
      </w:r>
    </w:p>
    <w:p w:rsidR="003F2F24" w:rsidRDefault="003F2F24" w:rsidP="003F2F24">
      <w:r>
        <w:t>ActewAGL noted</w:t>
      </w:r>
      <w:r>
        <w:rPr>
          <w:rStyle w:val="FootnoteReference"/>
        </w:rPr>
        <w:footnoteReference w:id="16"/>
      </w:r>
      <w:r w:rsidR="00182D8F">
        <w:t xml:space="preserve"> that</w:t>
      </w:r>
      <w:r>
        <w:t xml:space="preserve"> we approved a similar clause in our recent review of JGN's access arrangement. In that decision, we explained that:</w:t>
      </w:r>
    </w:p>
    <w:p w:rsidR="003F2F24" w:rsidRDefault="003F2F24" w:rsidP="003F2F24">
      <w:pPr>
        <w:pStyle w:val="AERquote"/>
      </w:pPr>
      <w:r>
        <w:rPr>
          <w:rStyle w:val="AERbody"/>
        </w:rPr>
        <w:t>We consider the inclusion of a balanced amended clause,</w:t>
      </w:r>
      <w:r w:rsidR="00D66F1A">
        <w:rPr>
          <w:rStyle w:val="AERbody"/>
        </w:rPr>
        <w:t xml:space="preserve"> </w:t>
      </w:r>
      <w:r>
        <w:rPr>
          <w:rStyle w:val="AERbody"/>
        </w:rPr>
        <w:t>that provides clarity to users, complies with the applicable requirements and criteria and is preferable to the uncertainty of JGN's proposed approach. We therefore maintain our draft decision requiring inclusion of an amended clause 1.3, to allow a clear mechanism for either JGN or the user to initiate negotiations for amendments due to change of law.</w:t>
      </w:r>
    </w:p>
    <w:p w:rsidR="0042745B" w:rsidRDefault="00393B1F" w:rsidP="00A63626">
      <w:r>
        <w:t>ActewAGL's proposed clause 1.3 is largely consistent with that approved for JGN</w:t>
      </w:r>
      <w:r w:rsidR="0096615A">
        <w:t xml:space="preserve">. </w:t>
      </w:r>
      <w:r w:rsidR="00741A58">
        <w:t>S</w:t>
      </w:r>
      <w:r w:rsidR="0096615A">
        <w:t>ub-</w:t>
      </w:r>
      <w:r w:rsidR="0096615A" w:rsidRPr="00935DD9">
        <w:t>clause</w:t>
      </w:r>
      <w:r w:rsidR="0096615A">
        <w:t>s</w:t>
      </w:r>
      <w:r w:rsidR="0096615A" w:rsidRPr="00935DD9">
        <w:t xml:space="preserve"> 1.3</w:t>
      </w:r>
      <w:r w:rsidR="0096615A">
        <w:t>(b)-(f) allow either party</w:t>
      </w:r>
      <w:r w:rsidR="0096615A" w:rsidRPr="00935DD9">
        <w:t xml:space="preserve"> to initiate </w:t>
      </w:r>
      <w:r w:rsidR="0096615A">
        <w:t>a change and require a process of consultation on that change</w:t>
      </w:r>
      <w:r w:rsidR="0096615A" w:rsidRPr="00935DD9">
        <w:t>.</w:t>
      </w:r>
      <w:r>
        <w:t xml:space="preserve"> </w:t>
      </w:r>
      <w:r w:rsidR="0096615A">
        <w:t>However,</w:t>
      </w:r>
      <w:r w:rsidR="00606CDA">
        <w:t xml:space="preserve"> clause 1.3 in</w:t>
      </w:r>
      <w:r w:rsidR="0096615A">
        <w:t xml:space="preserve"> </w:t>
      </w:r>
      <w:r w:rsidR="00A40F8D">
        <w:t>ActewAGL's proposed RSA differs from the JGN approved RSA</w:t>
      </w:r>
      <w:r>
        <w:t xml:space="preserve"> </w:t>
      </w:r>
      <w:r w:rsidR="00AE7D62">
        <w:t>i</w:t>
      </w:r>
      <w:r>
        <w:t>n one key respect</w:t>
      </w:r>
      <w:r w:rsidR="0096615A">
        <w:t>:</w:t>
      </w:r>
      <w:r>
        <w:t xml:space="preserve"> </w:t>
      </w:r>
      <w:r w:rsidR="0096615A">
        <w:t>s</w:t>
      </w:r>
      <w:r>
        <w:t>ub-</w:t>
      </w:r>
      <w:r w:rsidR="000E65E2">
        <w:t>clause 1.3(a)</w:t>
      </w:r>
      <w:r w:rsidR="00935DD9">
        <w:t xml:space="preserve"> allows ActewAGL (but not the </w:t>
      </w:r>
      <w:r w:rsidR="00935DD9" w:rsidRPr="00935DD9">
        <w:t xml:space="preserve">user) to </w:t>
      </w:r>
      <w:r w:rsidR="00E539A8">
        <w:t xml:space="preserve">make a decision to </w:t>
      </w:r>
      <w:r w:rsidR="00935DD9" w:rsidRPr="00935DD9">
        <w:t>amend the RSA to accommodate a change in law</w:t>
      </w:r>
      <w:r w:rsidR="0096615A">
        <w:t>.</w:t>
      </w:r>
      <w:r>
        <w:t xml:space="preserve"> </w:t>
      </w:r>
      <w:r w:rsidR="0096615A">
        <w:t xml:space="preserve">The proposed RSA </w:t>
      </w:r>
      <w:r w:rsidR="00302819">
        <w:t>limits</w:t>
      </w:r>
      <w:r w:rsidR="0096615A">
        <w:t xml:space="preserve"> the application of this discretion to circumstances where ActewAGL,</w:t>
      </w:r>
      <w:r w:rsidR="00A63626">
        <w:t xml:space="preserve"> acting reasonably, </w:t>
      </w:r>
      <w:r w:rsidR="00A63626" w:rsidRPr="00A63626">
        <w:t>considers that the change will not</w:t>
      </w:r>
      <w:r w:rsidR="00A63626">
        <w:t xml:space="preserve"> </w:t>
      </w:r>
      <w:r w:rsidR="00A63626" w:rsidRPr="00A63626">
        <w:t xml:space="preserve">adversely affect the </w:t>
      </w:r>
      <w:r w:rsidR="00F06FE7">
        <w:t>u</w:t>
      </w:r>
      <w:r w:rsidR="00A63626" w:rsidRPr="00A63626">
        <w:t>ser's rights or obligations</w:t>
      </w:r>
      <w:r w:rsidR="00A63626">
        <w:t xml:space="preserve"> under the agreement</w:t>
      </w:r>
      <w:r w:rsidR="00935DD9" w:rsidRPr="00935DD9">
        <w:t xml:space="preserve">. </w:t>
      </w:r>
    </w:p>
    <w:p w:rsidR="00D66F1A" w:rsidRDefault="00D66F1A" w:rsidP="00D66F1A">
      <w:r>
        <w:t>ActewAGL stated this clause provides additional flexibility not found in JGN's RSA</w:t>
      </w:r>
      <w:r>
        <w:rPr>
          <w:rStyle w:val="FootnoteReference"/>
        </w:rPr>
        <w:footnoteReference w:id="17"/>
      </w:r>
      <w:r>
        <w:t xml:space="preserve"> which allows changes to be made 'in an efficient manner'.</w:t>
      </w:r>
      <w:r>
        <w:rPr>
          <w:rStyle w:val="FootnoteReference"/>
        </w:rPr>
        <w:footnoteReference w:id="18"/>
      </w:r>
      <w:r>
        <w:t xml:space="preserve"> </w:t>
      </w:r>
      <w:r w:rsidR="00CB2167">
        <w:t>It considered this would not compromise users' rights, as amendments made</w:t>
      </w:r>
      <w:r>
        <w:t xml:space="preserve"> under </w:t>
      </w:r>
      <w:r w:rsidR="00EE03F6">
        <w:t>sub-</w:t>
      </w:r>
      <w:r>
        <w:t>clause 1.3(a</w:t>
      </w:r>
      <w:r w:rsidR="00EE03F6">
        <w:t xml:space="preserve">) </w:t>
      </w:r>
      <w:r>
        <w:t>could</w:t>
      </w:r>
      <w:r w:rsidRPr="001426DB">
        <w:t xml:space="preserve"> </w:t>
      </w:r>
      <w:r w:rsidR="00CB2167">
        <w:t xml:space="preserve">be </w:t>
      </w:r>
      <w:r w:rsidRPr="001426DB">
        <w:t>challenge</w:t>
      </w:r>
      <w:r w:rsidR="00CB2167">
        <w:t>d</w:t>
      </w:r>
      <w:r w:rsidRPr="001426DB">
        <w:t xml:space="preserve"> under the dispute</w:t>
      </w:r>
      <w:r>
        <w:t xml:space="preserve"> </w:t>
      </w:r>
      <w:r w:rsidRPr="001426DB">
        <w:t xml:space="preserve">resolution procedures of the RSA (clause 30) </w:t>
      </w:r>
      <w:r>
        <w:t>or</w:t>
      </w:r>
      <w:r w:rsidRPr="001426DB">
        <w:t xml:space="preserve"> </w:t>
      </w:r>
      <w:r>
        <w:t xml:space="preserve">the access dispute regime in </w:t>
      </w:r>
      <w:r w:rsidR="00EE03F6">
        <w:t>C</w:t>
      </w:r>
      <w:r w:rsidRPr="001426DB">
        <w:t>hapter 6 of the NG</w:t>
      </w:r>
      <w:r>
        <w:t>L.</w:t>
      </w:r>
      <w:r>
        <w:rPr>
          <w:rStyle w:val="FootnoteReference"/>
        </w:rPr>
        <w:footnoteReference w:id="19"/>
      </w:r>
    </w:p>
    <w:p w:rsidR="00D66F1A" w:rsidRDefault="00302819" w:rsidP="00741A58">
      <w:r>
        <w:t>Our concern</w:t>
      </w:r>
      <w:r w:rsidR="00D66F1A">
        <w:t>s</w:t>
      </w:r>
      <w:r w:rsidR="00741A58">
        <w:t xml:space="preserve"> with ActewAGL's proposed sub-clause 1.3(a) </w:t>
      </w:r>
      <w:r w:rsidR="00D66F1A">
        <w:t>are two-fold:</w:t>
      </w:r>
    </w:p>
    <w:p w:rsidR="00385A31" w:rsidRDefault="00385A31" w:rsidP="00EA2995">
      <w:pPr>
        <w:pStyle w:val="ListNumber"/>
      </w:pPr>
      <w:r>
        <w:lastRenderedPageBreak/>
        <w:t>S</w:t>
      </w:r>
      <w:r w:rsidRPr="00385A31">
        <w:t xml:space="preserve">ub-clause 1.3(a) creates uncertainty for users about when ActewAGL will </w:t>
      </w:r>
      <w:r w:rsidR="00CB2167">
        <w:t>consult on a c</w:t>
      </w:r>
      <w:r w:rsidRPr="00385A31">
        <w:t>hange under sub-clauses 1.3(b)</w:t>
      </w:r>
      <w:r w:rsidR="003A4928">
        <w:t>–</w:t>
      </w:r>
      <w:r w:rsidRPr="00385A31">
        <w:t>(f)</w:t>
      </w:r>
      <w:r w:rsidR="00CB2167">
        <w:t xml:space="preserve">, and when it will make that change unilaterally. Sub-clause 1.3(a) does seek to constrain this by </w:t>
      </w:r>
      <w:r w:rsidR="001A0347">
        <w:t>requir</w:t>
      </w:r>
      <w:r w:rsidR="00CB2167">
        <w:t>ing</w:t>
      </w:r>
      <w:r w:rsidR="001A0347">
        <w:t xml:space="preserve"> </w:t>
      </w:r>
      <w:r w:rsidR="003F2F24" w:rsidRPr="00741A58">
        <w:t>ActewAGL</w:t>
      </w:r>
      <w:r w:rsidR="003F2F24">
        <w:t xml:space="preserve"> to </w:t>
      </w:r>
      <w:r w:rsidR="001A0347">
        <w:t>form a</w:t>
      </w:r>
      <w:r w:rsidR="003F2F24">
        <w:t xml:space="preserve"> view </w:t>
      </w:r>
      <w:r>
        <w:t xml:space="preserve">as to whether an amendment will adversely affect its </w:t>
      </w:r>
      <w:r w:rsidR="00D66F1A">
        <w:t>u</w:t>
      </w:r>
      <w:r w:rsidR="001A0347">
        <w:t>sers</w:t>
      </w:r>
      <w:r>
        <w:t>'</w:t>
      </w:r>
      <w:r w:rsidR="001A0347">
        <w:t xml:space="preserve"> rights or obligations. </w:t>
      </w:r>
      <w:r w:rsidR="00CB2167">
        <w:t>However, w</w:t>
      </w:r>
      <w:r w:rsidR="003F2F24" w:rsidRPr="00741A58">
        <w:t xml:space="preserve">e consider </w:t>
      </w:r>
      <w:r>
        <w:t xml:space="preserve">users are </w:t>
      </w:r>
      <w:r w:rsidR="00D66F1A">
        <w:t>better</w:t>
      </w:r>
      <w:r w:rsidR="003F2F24">
        <w:t xml:space="preserve"> placed</w:t>
      </w:r>
      <w:r w:rsidR="001A0347">
        <w:t xml:space="preserve"> </w:t>
      </w:r>
      <w:r w:rsidR="00D66F1A">
        <w:t xml:space="preserve">than </w:t>
      </w:r>
      <w:r>
        <w:t>ActewAGL</w:t>
      </w:r>
      <w:r w:rsidR="00D66F1A">
        <w:t xml:space="preserve"> </w:t>
      </w:r>
      <w:r w:rsidR="001A0347">
        <w:t xml:space="preserve">to make decisions about </w:t>
      </w:r>
      <w:r w:rsidR="00D66F1A">
        <w:t xml:space="preserve">what may (or may not) adversely affect </w:t>
      </w:r>
      <w:r>
        <w:t>them</w:t>
      </w:r>
      <w:r w:rsidR="003F2F24" w:rsidRPr="00741A58">
        <w:t xml:space="preserve">. </w:t>
      </w:r>
      <w:r w:rsidR="00D66F1A">
        <w:t xml:space="preserve">We </w:t>
      </w:r>
      <w:r>
        <w:t xml:space="preserve">therefore </w:t>
      </w:r>
      <w:r w:rsidR="00D66F1A">
        <w:t xml:space="preserve">consider the consultation process that </w:t>
      </w:r>
      <w:r>
        <w:t>would</w:t>
      </w:r>
      <w:r w:rsidR="00D66F1A">
        <w:t xml:space="preserve"> otherwise apply under </w:t>
      </w:r>
      <w:r w:rsidR="001A0347">
        <w:t>sub-clauses 1.3(b)–(f)</w:t>
      </w:r>
      <w:r>
        <w:t xml:space="preserve"> is preferable to leaving this to ActewAGL's sole discretion</w:t>
      </w:r>
      <w:r w:rsidR="001A0347">
        <w:t xml:space="preserve">. </w:t>
      </w:r>
    </w:p>
    <w:p w:rsidR="00735374" w:rsidRDefault="00385A31" w:rsidP="00EA2995">
      <w:pPr>
        <w:pStyle w:val="ListNumber"/>
      </w:pPr>
      <w:r>
        <w:t>We also consider the</w:t>
      </w:r>
      <w:r w:rsidRPr="00385A31">
        <w:t xml:space="preserve"> </w:t>
      </w:r>
      <w:r>
        <w:t xml:space="preserve">prior </w:t>
      </w:r>
      <w:r w:rsidRPr="00385A31">
        <w:t xml:space="preserve">consultation process under sub-clauses 1.3(b)–(f) is </w:t>
      </w:r>
      <w:r>
        <w:t xml:space="preserve">likely more efficient than, and therefore </w:t>
      </w:r>
      <w:r w:rsidRPr="00385A31">
        <w:t xml:space="preserve">preferable </w:t>
      </w:r>
      <w:r>
        <w:t>to, use of formal dispute resolution processes</w:t>
      </w:r>
      <w:r w:rsidR="003D2E4A">
        <w:t xml:space="preserve">, </w:t>
      </w:r>
      <w:r w:rsidR="00A40F8D">
        <w:t>where there is disagreement</w:t>
      </w:r>
      <w:r w:rsidR="00676087">
        <w:t xml:space="preserve">. </w:t>
      </w:r>
      <w:r w:rsidR="00735374">
        <w:t xml:space="preserve">We therefore do not consider proposed sub-clause 1.3(a) </w:t>
      </w:r>
      <w:r w:rsidR="00CB2167">
        <w:t xml:space="preserve">provides efficiencies over </w:t>
      </w:r>
      <w:r w:rsidR="00735374">
        <w:t>sub-clauses 1.3(</w:t>
      </w:r>
      <w:r w:rsidR="00676087">
        <w:t>b)–</w:t>
      </w:r>
      <w:r w:rsidR="00735374">
        <w:t>(f).</w:t>
      </w:r>
    </w:p>
    <w:p w:rsidR="003B48E1" w:rsidRDefault="00D1340D" w:rsidP="00935DD9">
      <w:r>
        <w:t xml:space="preserve">Accordingly, we </w:t>
      </w:r>
      <w:r w:rsidR="00873E86">
        <w:t>require ActewAGL to make amendment 1 to</w:t>
      </w:r>
      <w:r>
        <w:t xml:space="preserve"> </w:t>
      </w:r>
      <w:r w:rsidR="00EE03F6">
        <w:t>sub-</w:t>
      </w:r>
      <w:r>
        <w:t xml:space="preserve">clause 1.3(a) </w:t>
      </w:r>
      <w:r w:rsidR="00127CFE">
        <w:t>as set out at section</w:t>
      </w:r>
      <w:r w:rsidR="004217FF">
        <w:t xml:space="preserve"> </w:t>
      </w:r>
      <w:r w:rsidR="004217FF">
        <w:fldChar w:fldCharType="begin"/>
      </w:r>
      <w:r w:rsidR="004217FF">
        <w:instrText xml:space="preserve"> REF _Ref430271191 \r \h </w:instrText>
      </w:r>
      <w:r w:rsidR="004217FF">
        <w:fldChar w:fldCharType="separate"/>
      </w:r>
      <w:r w:rsidR="004217FF">
        <w:t>12.7.1</w:t>
      </w:r>
      <w:r w:rsidR="004217FF">
        <w:fldChar w:fldCharType="end"/>
      </w:r>
      <w:r>
        <w:t>.</w:t>
      </w:r>
    </w:p>
    <w:p w:rsidR="0085473C" w:rsidRDefault="006639EE" w:rsidP="005709C1">
      <w:pPr>
        <w:pStyle w:val="HeadingBoldItalic"/>
      </w:pPr>
      <w:r>
        <w:t xml:space="preserve">Different </w:t>
      </w:r>
      <w:r w:rsidR="0085473C">
        <w:t>standards</w:t>
      </w:r>
      <w:r>
        <w:t xml:space="preserve"> in ACT and NSW</w:t>
      </w:r>
    </w:p>
    <w:p w:rsidR="003945D1" w:rsidRDefault="00CB2167" w:rsidP="006639EE">
      <w:r>
        <w:t>Where a g</w:t>
      </w:r>
      <w:r w:rsidRPr="006639EE">
        <w:t xml:space="preserve">as </w:t>
      </w:r>
      <w:r>
        <w:t>l</w:t>
      </w:r>
      <w:r w:rsidRPr="006639EE">
        <w:t xml:space="preserve">aw in one </w:t>
      </w:r>
      <w:r>
        <w:t>jurisdiction</w:t>
      </w:r>
      <w:r w:rsidRPr="006639EE">
        <w:t xml:space="preserve"> applies a higher standard than the</w:t>
      </w:r>
      <w:r>
        <w:t xml:space="preserve"> g</w:t>
      </w:r>
      <w:r w:rsidRPr="006639EE">
        <w:t xml:space="preserve">as </w:t>
      </w:r>
      <w:r>
        <w:t>l</w:t>
      </w:r>
      <w:r w:rsidRPr="006639EE">
        <w:t xml:space="preserve">aw </w:t>
      </w:r>
      <w:r>
        <w:t>in the other jurisdiction, cl</w:t>
      </w:r>
      <w:r w:rsidR="00473A17">
        <w:t xml:space="preserve">ause 32.11 </w:t>
      </w:r>
      <w:r w:rsidR="00834E3A">
        <w:t xml:space="preserve">allows </w:t>
      </w:r>
      <w:r w:rsidR="006639EE">
        <w:t xml:space="preserve">ActewAGL (but not </w:t>
      </w:r>
      <w:r>
        <w:t>a</w:t>
      </w:r>
      <w:r w:rsidR="006639EE">
        <w:t xml:space="preserve"> user) to determine</w:t>
      </w:r>
      <w:r>
        <w:t xml:space="preserve"> that </w:t>
      </w:r>
      <w:r w:rsidR="006639EE">
        <w:t>the higher standard will apply</w:t>
      </w:r>
      <w:r w:rsidR="0012525F">
        <w:t xml:space="preserve">. </w:t>
      </w:r>
      <w:r>
        <w:t>This would be communicated to users by written notice on a case by case basis.</w:t>
      </w:r>
    </w:p>
    <w:p w:rsidR="00B96750" w:rsidRDefault="00B96750" w:rsidP="00B96750">
      <w:r>
        <w:t xml:space="preserve">ActewAGL </w:t>
      </w:r>
      <w:r w:rsidR="006639EE">
        <w:t>provided the following reasons for including this provision</w:t>
      </w:r>
      <w:r>
        <w:t>:</w:t>
      </w:r>
      <w:r>
        <w:rPr>
          <w:rStyle w:val="FootnoteReference"/>
        </w:rPr>
        <w:footnoteReference w:id="20"/>
      </w:r>
    </w:p>
    <w:p w:rsidR="00FF64EF" w:rsidRDefault="006639EE" w:rsidP="00B96750">
      <w:pPr>
        <w:pStyle w:val="AERquote"/>
      </w:pPr>
      <w:r w:rsidRPr="006639EE">
        <w:t>Clause 32.11 recognises that the AAD network is located in two jurisdictions which creates the</w:t>
      </w:r>
      <w:r>
        <w:t xml:space="preserve"> </w:t>
      </w:r>
      <w:r w:rsidRPr="006639EE">
        <w:t>risk that different legislative obligations may apply to different parts of the network.</w:t>
      </w:r>
      <w:r>
        <w:t xml:space="preserve"> </w:t>
      </w:r>
      <w:r w:rsidR="00B96750" w:rsidRPr="00B96750">
        <w:t>The</w:t>
      </w:r>
      <w:r w:rsidR="00B96750">
        <w:t xml:space="preserve"> </w:t>
      </w:r>
      <w:r w:rsidR="00B96750" w:rsidRPr="00B96750">
        <w:t>network operates as a single integrated network, meaning that consistent standards should be</w:t>
      </w:r>
      <w:r w:rsidR="00B96750">
        <w:t xml:space="preserve"> </w:t>
      </w:r>
      <w:r w:rsidR="00B96750" w:rsidRPr="00B96750">
        <w:t>applied to all parts of the network and it is, therefore, appropriate to specify the highest</w:t>
      </w:r>
      <w:r w:rsidR="00B96750">
        <w:t xml:space="preserve"> </w:t>
      </w:r>
      <w:r w:rsidR="00B96750" w:rsidRPr="00B96750">
        <w:t>standard in any one instance. It is not practical or reasonable to have a lower standard applying</w:t>
      </w:r>
      <w:r w:rsidR="00B96750">
        <w:t xml:space="preserve"> </w:t>
      </w:r>
      <w:r w:rsidR="00B96750" w:rsidRPr="00B96750">
        <w:t>in one jurisdiction</w:t>
      </w:r>
      <w:r>
        <w:t xml:space="preserve"> - for example:</w:t>
      </w:r>
    </w:p>
    <w:p w:rsidR="006639EE" w:rsidRPr="006639EE" w:rsidRDefault="006639EE" w:rsidP="005709C1">
      <w:pPr>
        <w:pStyle w:val="AERquote"/>
      </w:pPr>
      <w:r w:rsidRPr="006639EE">
        <w:t>(a) It would be impossible to apply a different gas specification to gas in the “NSW network”</w:t>
      </w:r>
      <w:r>
        <w:t xml:space="preserve"> </w:t>
      </w:r>
      <w:r w:rsidRPr="006639EE">
        <w:t>compared to gas in the “ACT network”.</w:t>
      </w:r>
    </w:p>
    <w:p w:rsidR="00C16FF5" w:rsidDel="00EE6FEF" w:rsidRDefault="006639EE" w:rsidP="005709C1">
      <w:pPr>
        <w:pStyle w:val="AERquote"/>
      </w:pPr>
      <w:r w:rsidRPr="006639EE">
        <w:t>(b) If different standards applied to the measurement of gas quantities, AAD would have to</w:t>
      </w:r>
      <w:r>
        <w:t xml:space="preserve"> </w:t>
      </w:r>
      <w:r w:rsidRPr="006639EE">
        <w:t>calculate charges under the RSA differently for delivery points in NSW than for those in</w:t>
      </w:r>
      <w:r>
        <w:t xml:space="preserve"> </w:t>
      </w:r>
      <w:r w:rsidRPr="006639EE">
        <w:t>the ACT, adding cost and complexity to billing processes for both AAD and users.</w:t>
      </w:r>
    </w:p>
    <w:p w:rsidR="003945D1" w:rsidRDefault="003945D1" w:rsidP="00935DD9">
      <w:r>
        <w:t xml:space="preserve">We agree with ActewAGL that operating a network which is subject to different standards </w:t>
      </w:r>
      <w:r w:rsidR="002C2693">
        <w:t xml:space="preserve">might </w:t>
      </w:r>
      <w:r>
        <w:t xml:space="preserve">be problematic. </w:t>
      </w:r>
      <w:r w:rsidR="00372002">
        <w:t xml:space="preserve">However, we are concerned </w:t>
      </w:r>
      <w:r>
        <w:t xml:space="preserve">that clause 32.11 </w:t>
      </w:r>
      <w:r w:rsidR="00CB2167">
        <w:t xml:space="preserve">creates uncertainty for users </w:t>
      </w:r>
      <w:r w:rsidR="005709C1">
        <w:t xml:space="preserve">during the access arrangement period </w:t>
      </w:r>
      <w:r w:rsidR="00CB2167">
        <w:t>as to whether and when a</w:t>
      </w:r>
      <w:r>
        <w:t xml:space="preserve"> higher standard will apply. </w:t>
      </w:r>
    </w:p>
    <w:p w:rsidR="004C493D" w:rsidRDefault="004C493D" w:rsidP="007D1315">
      <w:r w:rsidDel="00EE6FEF">
        <w:lastRenderedPageBreak/>
        <w:t>In relation to the governing laws of the RSA, ActewAGL has inserted clause 32.10 to promote 'consistency and legal certainty given ActewAGL Distribution's network extends beyond the ACT into NSW'.</w:t>
      </w:r>
      <w:r w:rsidDel="00EE6FEF">
        <w:rPr>
          <w:rStyle w:val="FootnoteReference"/>
        </w:rPr>
        <w:footnoteReference w:id="21"/>
      </w:r>
      <w:r w:rsidR="00BA68CC">
        <w:t xml:space="preserve"> </w:t>
      </w:r>
      <w:r w:rsidR="007D1315">
        <w:t xml:space="preserve">We consider a similar approach </w:t>
      </w:r>
      <w:r w:rsidR="00584FC2">
        <w:t xml:space="preserve">is appropriate for </w:t>
      </w:r>
      <w:r w:rsidR="007D1315">
        <w:t>clause 32.11</w:t>
      </w:r>
      <w:r w:rsidR="00584FC2">
        <w:t xml:space="preserve">. </w:t>
      </w:r>
      <w:r>
        <w:t xml:space="preserve">Therefore, </w:t>
      </w:r>
      <w:r w:rsidR="009A6BA0">
        <w:t>we consider that this</w:t>
      </w:r>
      <w:r>
        <w:t xml:space="preserve"> clause should stipulate that</w:t>
      </w:r>
      <w:r w:rsidR="009A6BA0">
        <w:t>,</w:t>
      </w:r>
      <w:r>
        <w:t xml:space="preserve"> where </w:t>
      </w:r>
      <w:r w:rsidR="009A6BA0">
        <w:t>the gas laws of one jurisdiction impose standards which</w:t>
      </w:r>
      <w:r>
        <w:t xml:space="preserve"> are </w:t>
      </w:r>
      <w:r w:rsidR="007D1315">
        <w:t>different to those in</w:t>
      </w:r>
      <w:r w:rsidR="009A6BA0">
        <w:t xml:space="preserve"> the other</w:t>
      </w:r>
      <w:r w:rsidR="007D1315">
        <w:t xml:space="preserve">, </w:t>
      </w:r>
      <w:r w:rsidR="009A6BA0">
        <w:t xml:space="preserve">the higher standard will </w:t>
      </w:r>
      <w:r w:rsidR="007D1315">
        <w:t xml:space="preserve">always </w:t>
      </w:r>
      <w:r w:rsidR="009A6BA0">
        <w:t>apply</w:t>
      </w:r>
      <w:r>
        <w:t xml:space="preserve">. </w:t>
      </w:r>
    </w:p>
    <w:p w:rsidR="00FA1E49" w:rsidRDefault="003945D1" w:rsidP="00935DD9">
      <w:r>
        <w:t xml:space="preserve">Accordingly, </w:t>
      </w:r>
      <w:r w:rsidR="002C2693">
        <w:t xml:space="preserve">our draft decision is to </w:t>
      </w:r>
      <w:r>
        <w:t xml:space="preserve">require </w:t>
      </w:r>
      <w:r w:rsidR="00D534D9">
        <w:t xml:space="preserve">ActewAGL to make amendment 2 </w:t>
      </w:r>
      <w:r>
        <w:t xml:space="preserve">to </w:t>
      </w:r>
      <w:r w:rsidR="00372002">
        <w:t xml:space="preserve">clause 32.11 of </w:t>
      </w:r>
      <w:r w:rsidR="00D534D9">
        <w:t>i</w:t>
      </w:r>
      <w:r>
        <w:t>ts proposed RSA</w:t>
      </w:r>
      <w:r w:rsidR="00372002">
        <w:t xml:space="preserve"> as set out at section</w:t>
      </w:r>
      <w:r w:rsidR="006F1055">
        <w:t xml:space="preserve"> </w:t>
      </w:r>
      <w:r w:rsidR="006F1055">
        <w:fldChar w:fldCharType="begin"/>
      </w:r>
      <w:r w:rsidR="006F1055">
        <w:instrText xml:space="preserve"> REF _Ref430271191 \r \h </w:instrText>
      </w:r>
      <w:r w:rsidR="006F1055">
        <w:fldChar w:fldCharType="separate"/>
      </w:r>
      <w:r w:rsidR="006F1055">
        <w:t>12.7.1</w:t>
      </w:r>
      <w:r w:rsidR="006F1055">
        <w:fldChar w:fldCharType="end"/>
      </w:r>
      <w:r>
        <w:t>.</w:t>
      </w:r>
    </w:p>
    <w:p w:rsidR="00482449" w:rsidRDefault="00482449" w:rsidP="00CE1D19">
      <w:pPr>
        <w:pStyle w:val="HeadingBoldBlue"/>
      </w:pPr>
      <w:r>
        <w:t>Bulk transfer</w:t>
      </w:r>
      <w:r w:rsidR="001369E4">
        <w:t xml:space="preserve"> to </w:t>
      </w:r>
      <w:r w:rsidR="00E14673">
        <w:t xml:space="preserve">new </w:t>
      </w:r>
      <w:r w:rsidR="001369E4">
        <w:t>tariffs</w:t>
      </w:r>
    </w:p>
    <w:p w:rsidR="006770DD" w:rsidRDefault="008557AB" w:rsidP="00935DD9">
      <w:r>
        <w:t>For the 2016</w:t>
      </w:r>
      <w:r w:rsidR="003A4928">
        <w:t>–</w:t>
      </w:r>
      <w:r>
        <w:t xml:space="preserve">21 access arrangement period, </w:t>
      </w:r>
      <w:r w:rsidR="001F292F">
        <w:t>ActewAGL</w:t>
      </w:r>
      <w:r>
        <w:t xml:space="preserve">'s users will move from their current </w:t>
      </w:r>
      <w:r w:rsidR="001F292F">
        <w:t xml:space="preserve">GTAs to </w:t>
      </w:r>
      <w:r>
        <w:t>the</w:t>
      </w:r>
      <w:r w:rsidR="00EB0A28">
        <w:t xml:space="preserve"> </w:t>
      </w:r>
      <w:r w:rsidR="001F292F">
        <w:t>RSA</w:t>
      </w:r>
      <w:r w:rsidR="00425713" w:rsidRPr="00B9165B">
        <w:t>.</w:t>
      </w:r>
      <w:r w:rsidR="00425713">
        <w:rPr>
          <w:rStyle w:val="FootnoteReference"/>
        </w:rPr>
        <w:footnoteReference w:id="22"/>
      </w:r>
      <w:r w:rsidR="00F96567">
        <w:t xml:space="preserve"> </w:t>
      </w:r>
      <w:r>
        <w:t xml:space="preserve">ActewAGL has also proposed, and we have approved, </w:t>
      </w:r>
      <w:r w:rsidR="006770DD">
        <w:t>changes to its tariff structure.</w:t>
      </w:r>
      <w:r>
        <w:rPr>
          <w:rStyle w:val="FootnoteReference"/>
        </w:rPr>
        <w:footnoteReference w:id="23"/>
      </w:r>
      <w:r w:rsidR="006770DD">
        <w:t xml:space="preserve"> The new tariff categories and the criteria for determining tariff categories are set out at clause 2 of</w:t>
      </w:r>
      <w:r w:rsidR="007971D8">
        <w:t xml:space="preserve"> Schedule 3 to</w:t>
      </w:r>
      <w:r w:rsidR="006770DD">
        <w:t xml:space="preserve"> the access arrangement. </w:t>
      </w:r>
    </w:p>
    <w:p w:rsidR="00E14673" w:rsidRDefault="001F292F" w:rsidP="00935DD9">
      <w:r>
        <w:t>To faci</w:t>
      </w:r>
      <w:r w:rsidR="00425713">
        <w:t xml:space="preserve">litate the transfer of customers to the RSA, ActewAGL proposed </w:t>
      </w:r>
      <w:r w:rsidR="00E14673">
        <w:t xml:space="preserve">two </w:t>
      </w:r>
      <w:r w:rsidR="00425713">
        <w:t>bulk transfer process</w:t>
      </w:r>
      <w:r w:rsidR="00E14673">
        <w:t>es</w:t>
      </w:r>
      <w:r w:rsidR="00425713">
        <w:t xml:space="preserve"> which it included at</w:t>
      </w:r>
      <w:r w:rsidR="00C64959">
        <w:t xml:space="preserve"> sub-</w:t>
      </w:r>
      <w:r w:rsidR="00425713">
        <w:t>clause</w:t>
      </w:r>
      <w:r w:rsidR="00C64959">
        <w:t>s</w:t>
      </w:r>
      <w:r w:rsidR="00425713">
        <w:t xml:space="preserve"> 11.4</w:t>
      </w:r>
      <w:r w:rsidR="00C64959">
        <w:t xml:space="preserve">(a) and </w:t>
      </w:r>
      <w:r w:rsidR="00606CDA">
        <w:t>11.4(c)</w:t>
      </w:r>
      <w:r w:rsidR="00C64959">
        <w:t>(v)</w:t>
      </w:r>
      <w:r w:rsidR="00425713">
        <w:t xml:space="preserve"> of the RSA</w:t>
      </w:r>
      <w:r w:rsidR="00E14673">
        <w:t>:</w:t>
      </w:r>
    </w:p>
    <w:p w:rsidR="00E14673" w:rsidRDefault="00E14673" w:rsidP="00CE1D19">
      <w:pPr>
        <w:pStyle w:val="AERbulletlistfirststyle"/>
      </w:pPr>
      <w:r>
        <w:t>bulk transfer to default tariffs</w:t>
      </w:r>
      <w:r w:rsidR="00C25658">
        <w:t xml:space="preserve"> — </w:t>
      </w:r>
      <w:r w:rsidR="005C108A">
        <w:t>u</w:t>
      </w:r>
      <w:r w:rsidR="00C25658" w:rsidRPr="00C25658">
        <w:t xml:space="preserve">sers </w:t>
      </w:r>
      <w:r w:rsidR="005C108A">
        <w:t>will need to</w:t>
      </w:r>
      <w:r w:rsidR="00C25658" w:rsidRPr="00C25658">
        <w:t xml:space="preserve"> execute the agreement within two weeks after the commencement of the 2016 access arrangement and issue a notice seeking the </w:t>
      </w:r>
      <w:r w:rsidR="00C25658">
        <w:t>b</w:t>
      </w:r>
      <w:r w:rsidR="00C25658" w:rsidRPr="00C25658">
        <w:t>ulk transfer within three business days after the execution of the Agreement.</w:t>
      </w:r>
      <w:r w:rsidR="00C25658">
        <w:rPr>
          <w:rStyle w:val="FootnoteReference"/>
        </w:rPr>
        <w:footnoteReference w:id="24"/>
      </w:r>
    </w:p>
    <w:p w:rsidR="00E14673" w:rsidRDefault="00E14673" w:rsidP="00CE1D19">
      <w:pPr>
        <w:pStyle w:val="AERbulletlistfirststyle"/>
      </w:pPr>
      <w:r>
        <w:t xml:space="preserve">bulk transfer </w:t>
      </w:r>
      <w:r w:rsidRPr="00E14673">
        <w:t>to tariffs other than the default tariffs</w:t>
      </w:r>
      <w:r w:rsidR="00C25658">
        <w:t xml:space="preserve"> —</w:t>
      </w:r>
      <w:r w:rsidR="005C108A">
        <w:t xml:space="preserve"> </w:t>
      </w:r>
      <w:r w:rsidR="00C25658" w:rsidRPr="00C25658">
        <w:t>users will need to provide ActewAGL with the</w:t>
      </w:r>
      <w:r w:rsidR="005C108A">
        <w:t xml:space="preserve"> list of</w:t>
      </w:r>
      <w:r w:rsidR="00C25658" w:rsidRPr="00C25658">
        <w:t xml:space="preserve"> customers seeking the alternative tariff (including evidence) at least three months prior to </w:t>
      </w:r>
      <w:r w:rsidR="008557AB">
        <w:t xml:space="preserve">the commencement of the revised access arrangement on </w:t>
      </w:r>
      <w:r w:rsidR="00C25658" w:rsidRPr="00C25658">
        <w:t>1 July 2016.</w:t>
      </w:r>
      <w:r w:rsidR="00C25658">
        <w:rPr>
          <w:rStyle w:val="FootnoteReference"/>
        </w:rPr>
        <w:footnoteReference w:id="25"/>
      </w:r>
    </w:p>
    <w:p w:rsidR="00D4019E" w:rsidRDefault="008557AB" w:rsidP="00D4019E">
      <w:r>
        <w:t xml:space="preserve">In response to the first of these, </w:t>
      </w:r>
      <w:r w:rsidR="001369E4">
        <w:t>Origin submitted</w:t>
      </w:r>
      <w:r w:rsidR="00D4019E">
        <w:t>:</w:t>
      </w:r>
      <w:r w:rsidR="00D4019E">
        <w:rPr>
          <w:rStyle w:val="FootnoteReference"/>
        </w:rPr>
        <w:footnoteReference w:id="26"/>
      </w:r>
    </w:p>
    <w:p w:rsidR="00D4019E" w:rsidRDefault="00D4019E" w:rsidP="00EA2995">
      <w:pPr>
        <w:pStyle w:val="AERquote"/>
      </w:pPr>
      <w:r>
        <w:t>…that a more efficient and streamlined process would be for the RSA replace the existing GTAs and take automatic effect from 1 July 2016 without the parties explicitly having to sign it. This ensures certainty of implementation and would negate unnecessary delays and associated costs for all parties to the RSA, which represents a fairer approach as neither party is penalised should the other delay signing the RSA.</w:t>
      </w:r>
    </w:p>
    <w:p w:rsidR="00D4019E" w:rsidRDefault="00D4019E" w:rsidP="00EA2995">
      <w:pPr>
        <w:pStyle w:val="AERquote"/>
      </w:pPr>
      <w:r>
        <w:lastRenderedPageBreak/>
        <w:t>If the AER deems it necessary, a process could be outlined in the AA whereby should a retailer not agree to the automatic adoption of the RSA, it must advise ActewAGL Distribution of this in writing before 1 July 2016. However, Origin suggests such an eventuality is highly unlikely.</w:t>
      </w:r>
    </w:p>
    <w:p w:rsidR="00AB069F" w:rsidRDefault="00D4019E" w:rsidP="00EA2995">
      <w:pPr>
        <w:pStyle w:val="AERquote"/>
      </w:pPr>
      <w:r>
        <w:t>Automatic adoption of the RSA would necessitate a change to the second step of the bulk transfer process which currently requires that within three business days of entering the RSA, the retailer must provide ActewAGL Distribution with formal notification to bulk transfer its customers to the RSA. Origin suggests that in place of this, ActewAGL Distribution should be required to send out a notice to its retailers on 1 July 2016 seeking agreement to bulk transfer its customers. A retailer’s signed return of this notice to ActewAGL Distribution would indicate its formal agreement to the bulk transfer.</w:t>
      </w:r>
    </w:p>
    <w:p w:rsidR="008E36F2" w:rsidRDefault="00AB069F">
      <w:r>
        <w:t xml:space="preserve">In other access arrangements we have approved provisions for automatic adoption of approved revisions to an RSA from one access arrangement period to the next. </w:t>
      </w:r>
      <w:r w:rsidR="002219E9">
        <w:t xml:space="preserve">Clause 1.2 of ActewAGL's proposed RSA does this for any revisions for the period commencing 1 July 2021. </w:t>
      </w:r>
      <w:r>
        <w:t xml:space="preserve">However, </w:t>
      </w:r>
      <w:r w:rsidR="00ED769B">
        <w:t>for the transition from the current GTAs to the new RSA</w:t>
      </w:r>
      <w:r w:rsidR="007606C6">
        <w:t>,</w:t>
      </w:r>
      <w:r>
        <w:t xml:space="preserve"> </w:t>
      </w:r>
      <w:r w:rsidR="007606C6">
        <w:t xml:space="preserve">ActewAGL has proposed </w:t>
      </w:r>
      <w:r w:rsidR="00ED769B">
        <w:t xml:space="preserve">its users execute </w:t>
      </w:r>
      <w:r w:rsidR="007606C6">
        <w:t>new agreement</w:t>
      </w:r>
      <w:r w:rsidR="00ED769B">
        <w:t>s</w:t>
      </w:r>
      <w:r>
        <w:t xml:space="preserve">. </w:t>
      </w:r>
      <w:r w:rsidR="008E36F2">
        <w:t xml:space="preserve">It does not consider the GTAs provide a suitable mechanism to support an automatic transition. ActewAGL advised that the current GTAs have an expiry </w:t>
      </w:r>
      <w:r w:rsidR="00AC7F6E">
        <w:t>date</w:t>
      </w:r>
      <w:r w:rsidR="008E36F2">
        <w:t xml:space="preserve"> of 1 July 2015, and </w:t>
      </w:r>
      <w:r w:rsidR="007618DB">
        <w:t xml:space="preserve">are </w:t>
      </w:r>
      <w:r w:rsidR="008E36F2">
        <w:t>continuing on a monthly basis</w:t>
      </w:r>
      <w:r w:rsidR="00AC7F6E">
        <w:t xml:space="preserve">. ActewAGL advised that clause 3 of the </w:t>
      </w:r>
      <w:r w:rsidR="008E36F2">
        <w:t xml:space="preserve">GTAs </w:t>
      </w:r>
      <w:r w:rsidR="00AC7F6E">
        <w:t xml:space="preserve">does </w:t>
      </w:r>
      <w:r w:rsidR="008E36F2">
        <w:t>contemplate limited amendments from one access arrangement period to the next</w:t>
      </w:r>
      <w:r w:rsidR="00AC7F6E">
        <w:t xml:space="preserve"> until a new agreement is entered into (to the extent necessary to comply with a new access arrangement). However</w:t>
      </w:r>
      <w:r w:rsidR="008E36F2">
        <w:t xml:space="preserve">, </w:t>
      </w:r>
      <w:r w:rsidR="00AC7F6E">
        <w:t>ActewAGL submits that clause 3 does</w:t>
      </w:r>
      <w:r w:rsidR="008E36F2">
        <w:t xml:space="preserve"> not contemplate</w:t>
      </w:r>
      <w:r w:rsidR="00AC7F6E">
        <w:t>—and is not suited to—</w:t>
      </w:r>
      <w:r w:rsidR="008E36F2">
        <w:t>substitution of a whole new agreement</w:t>
      </w:r>
      <w:r w:rsidR="00AC7F6E">
        <w:t>, as would be required to transition retailer users from two GTAs to a new, single RSA</w:t>
      </w:r>
      <w:r w:rsidR="008E36F2">
        <w:t>.</w:t>
      </w:r>
      <w:r w:rsidR="004F462F">
        <w:t xml:space="preserve"> Further,</w:t>
      </w:r>
      <w:r w:rsidR="00C26756">
        <w:t xml:space="preserve"> because of the differences between the GTAs and the RSA, relying on clause 3 may create uncertainty as to how the agreements would operate from 1 July 2016</w:t>
      </w:r>
      <w:r w:rsidR="004F462F">
        <w:t>.</w:t>
      </w:r>
      <w:r w:rsidR="008E36F2">
        <w:rPr>
          <w:rStyle w:val="FootnoteReference"/>
        </w:rPr>
        <w:footnoteReference w:id="27"/>
      </w:r>
    </w:p>
    <w:p w:rsidR="001369E4" w:rsidRDefault="00AC7F6E" w:rsidP="00935DD9">
      <w:r>
        <w:t>In these circumstances, w</w:t>
      </w:r>
      <w:r w:rsidR="00AB069F">
        <w:t xml:space="preserve">e are satisfied that ActewAGL's proposed process for execution of the RSAs that will replace the current GTAs with its users is appropriate. </w:t>
      </w:r>
      <w:r w:rsidR="00ED769B">
        <w:t>This will be a one-off transition, and as noted above any future revisions to the RSA will take effect through clause 1.2.</w:t>
      </w:r>
    </w:p>
    <w:p w:rsidR="007F4C9C" w:rsidRDefault="00C25658" w:rsidP="00C25658">
      <w:r>
        <w:t>Origin did</w:t>
      </w:r>
      <w:r w:rsidRPr="00425713">
        <w:t xml:space="preserve"> not support the proposed notice period required to request a different tariff category to the default tariff category to apply from 1 July 2016</w:t>
      </w:r>
      <w:r>
        <w:t>.</w:t>
      </w:r>
      <w:r w:rsidR="00001BBA">
        <w:t xml:space="preserve"> It stated:</w:t>
      </w:r>
    </w:p>
    <w:p w:rsidR="00001BBA" w:rsidRDefault="007F4C9C" w:rsidP="00EE03F6">
      <w:pPr>
        <w:pStyle w:val="AERquote"/>
      </w:pPr>
      <w:r w:rsidRPr="007F4C9C">
        <w:t>The proposal requires retailers to provide a list of customers to be assigned to a different tariff category plus the required evidence at least three months notice prior to 1 July 2016, that is by 1 April 2016. Given the time-consuming process of advising customers of the tariff change and gathering the requisite evidence, retailers would need at least two months to undertake this work. The date by which this work would need to</w:t>
      </w:r>
      <w:r>
        <w:t xml:space="preserve"> </w:t>
      </w:r>
      <w:r w:rsidRPr="007F4C9C">
        <w:t xml:space="preserve">commence, 1 February 2016, is well before the AER would have made a final decision on the AA. As a result, retailers would need to initiate this process before the final tariff structure had </w:t>
      </w:r>
      <w:r w:rsidRPr="007F4C9C">
        <w:lastRenderedPageBreak/>
        <w:t>been decided. This is not appropriate and could lead to inefficiencies where retailers have to communicate with its customers on changes that have yet to be agreed and then again once the changes have been agreed.</w:t>
      </w:r>
      <w:r w:rsidR="00C25658">
        <w:rPr>
          <w:rStyle w:val="FootnoteReference"/>
        </w:rPr>
        <w:footnoteReference w:id="28"/>
      </w:r>
      <w:r w:rsidR="00C25658">
        <w:t xml:space="preserve"> </w:t>
      </w:r>
    </w:p>
    <w:p w:rsidR="00C25658" w:rsidRDefault="00C25658">
      <w:r w:rsidRPr="00001BBA">
        <w:t xml:space="preserve">Origin </w:t>
      </w:r>
      <w:r w:rsidR="00001BBA">
        <w:t>added</w:t>
      </w:r>
      <w:r w:rsidR="00001BBA" w:rsidRPr="00001BBA">
        <w:t xml:space="preserve"> </w:t>
      </w:r>
      <w:r w:rsidRPr="00001BBA">
        <w:t>that the AER should review the process required by retailers to notify ActewAGL Distribution of requests for a different tariff category to ensure it is efficient and fair for ActewAGL, retailers and customers.</w:t>
      </w:r>
      <w:r>
        <w:rPr>
          <w:rStyle w:val="FootnoteReference"/>
        </w:rPr>
        <w:footnoteReference w:id="29"/>
      </w:r>
    </w:p>
    <w:p w:rsidR="005C108A" w:rsidRDefault="005C108A" w:rsidP="005C108A">
      <w:r>
        <w:t xml:space="preserve">We </w:t>
      </w:r>
      <w:r w:rsidR="00806921">
        <w:t xml:space="preserve">recognise that </w:t>
      </w:r>
      <w:r>
        <w:t xml:space="preserve">ActewAGL's proposal to </w:t>
      </w:r>
      <w:r w:rsidR="00654B6A">
        <w:t>consult prior to the commencement of the 2016–21 access arrangement period to facilitate</w:t>
      </w:r>
      <w:r>
        <w:t xml:space="preserve"> the bulk transfer to a tariff other than the default tariff could be efficient and provide a smooth transition to the new RSA. </w:t>
      </w:r>
      <w:r w:rsidR="00BA056A">
        <w:t xml:space="preserve">However, </w:t>
      </w:r>
      <w:r>
        <w:t xml:space="preserve">ActewAGL's </w:t>
      </w:r>
      <w:r w:rsidR="000B3E2D">
        <w:t>proposal to include its preferred process as an obligation on users under the RSA</w:t>
      </w:r>
      <w:r>
        <w:t xml:space="preserve"> is problematic</w:t>
      </w:r>
      <w:r w:rsidR="00001BBA">
        <w:t xml:space="preserve"> because</w:t>
      </w:r>
      <w:r w:rsidR="00420145">
        <w:t>:</w:t>
      </w:r>
    </w:p>
    <w:p w:rsidR="000B3E2D" w:rsidRDefault="00EE03F6" w:rsidP="000B3E2D">
      <w:pPr>
        <w:pStyle w:val="AERbulletlistfirststyle"/>
      </w:pPr>
      <w:r>
        <w:t>i</w:t>
      </w:r>
      <w:r w:rsidR="00420145">
        <w:t>t requires users to comply with deadlines that fall due before we have made</w:t>
      </w:r>
      <w:r w:rsidR="000B3E2D">
        <w:t xml:space="preserve"> </w:t>
      </w:r>
      <w:r w:rsidR="00420145">
        <w:t>our</w:t>
      </w:r>
      <w:r w:rsidR="000B3E2D">
        <w:t xml:space="preserve"> final decision on the RSA</w:t>
      </w:r>
      <w:r w:rsidR="00EA2995">
        <w:t xml:space="preserve"> </w:t>
      </w:r>
      <w:r w:rsidR="00420145">
        <w:t xml:space="preserve">(in late April 2016), including our final decision on whether to accept the </w:t>
      </w:r>
      <w:r w:rsidR="000B3E2D">
        <w:t>revised tariff structure</w:t>
      </w:r>
      <w:r w:rsidR="00420145">
        <w:t xml:space="preserve"> and ActewAGL's proposed transfer process)</w:t>
      </w:r>
      <w:r w:rsidR="000B3E2D">
        <w:t>, and</w:t>
      </w:r>
    </w:p>
    <w:p w:rsidR="005C108A" w:rsidRDefault="00EE03F6" w:rsidP="005C108A">
      <w:pPr>
        <w:pStyle w:val="AERbulletlistfirststyle"/>
      </w:pPr>
      <w:r>
        <w:t>i</w:t>
      </w:r>
      <w:r w:rsidR="00806921">
        <w:t xml:space="preserve">t requires users to comply with obligations under the RSA before </w:t>
      </w:r>
      <w:r w:rsidR="005C108A">
        <w:t xml:space="preserve">the commencement of </w:t>
      </w:r>
      <w:r w:rsidR="000B3E2D">
        <w:t xml:space="preserve">approved revisions to </w:t>
      </w:r>
      <w:r w:rsidR="005C108A">
        <w:t>the access arrangement</w:t>
      </w:r>
      <w:r w:rsidR="000B3E2D">
        <w:t xml:space="preserve"> on 1 July 2016.</w:t>
      </w:r>
    </w:p>
    <w:p w:rsidR="005C108A" w:rsidRDefault="005C108A" w:rsidP="005C108A">
      <w:r w:rsidRPr="006A166D">
        <w:t xml:space="preserve">That is, these clauses </w:t>
      </w:r>
      <w:r w:rsidR="00606CDA">
        <w:t>set out obligations that fall prior to the approval and commencement of the RSA</w:t>
      </w:r>
      <w:r>
        <w:t xml:space="preserve">. </w:t>
      </w:r>
      <w:r w:rsidR="00F43536">
        <w:t xml:space="preserve">We </w:t>
      </w:r>
      <w:r w:rsidR="00C86B0D">
        <w:t>do not consider it appropriate to</w:t>
      </w:r>
      <w:r w:rsidR="00F43536">
        <w:t xml:space="preserve"> approve them under the NGR. There</w:t>
      </w:r>
      <w:r>
        <w:t xml:space="preserve"> is no </w:t>
      </w:r>
      <w:r w:rsidR="00A16547">
        <w:t xml:space="preserve">practical or </w:t>
      </w:r>
      <w:r>
        <w:t xml:space="preserve">legal certainty about how they </w:t>
      </w:r>
      <w:r w:rsidR="00A16547">
        <w:t xml:space="preserve">would </w:t>
      </w:r>
      <w:r>
        <w:t xml:space="preserve">apply. </w:t>
      </w:r>
    </w:p>
    <w:p w:rsidR="005C108A" w:rsidRDefault="005C108A" w:rsidP="005C108A">
      <w:r>
        <w:t xml:space="preserve">ActewAGL stated it was acting on the assumption that </w:t>
      </w:r>
      <w:r w:rsidR="00A16547">
        <w:t>we</w:t>
      </w:r>
      <w:r>
        <w:t xml:space="preserve"> would approve its new tariff structure in the draft decision. Therefore it considered that retailers will have sufficient information to commence consultation on the new tariffs</w:t>
      </w:r>
      <w:r w:rsidR="00A16547">
        <w:t xml:space="preserve"> after this draft decision was released. </w:t>
      </w:r>
      <w:r>
        <w:t xml:space="preserve">ActewAGL </w:t>
      </w:r>
      <w:r w:rsidR="00792C15">
        <w:t>also submitted that</w:t>
      </w:r>
      <w:r>
        <w:t>:</w:t>
      </w:r>
      <w:r>
        <w:rPr>
          <w:rStyle w:val="FootnoteReference"/>
        </w:rPr>
        <w:footnoteReference w:id="30"/>
      </w:r>
    </w:p>
    <w:p w:rsidR="005C108A" w:rsidRDefault="005C108A" w:rsidP="005C108A">
      <w:pPr>
        <w:pStyle w:val="AERquote"/>
      </w:pPr>
      <w:r w:rsidRPr="00E44C1F">
        <w:t>AAD considers that network users are able to nominate sit</w:t>
      </w:r>
      <w:r>
        <w:t xml:space="preserve">es for which a different tariff </w:t>
      </w:r>
      <w:r w:rsidRPr="00E44C1F">
        <w:t>category is required prior to the release of the AER’s final decision and approval of the</w:t>
      </w:r>
      <w:r>
        <w:t xml:space="preserve"> </w:t>
      </w:r>
      <w:r w:rsidRPr="00E44C1F">
        <w:t>RSA.</w:t>
      </w:r>
      <w:r>
        <w:t xml:space="preserve"> </w:t>
      </w:r>
      <w:r w:rsidRPr="00E44C1F">
        <w:t>While transportation services to delivery points will be provided under the RSA,</w:t>
      </w:r>
      <w:r>
        <w:t xml:space="preserve"> </w:t>
      </w:r>
      <w:r w:rsidRPr="00E44C1F">
        <w:t>there is no legal or regulatory impediment to retailers, prior to the release of the final</w:t>
      </w:r>
      <w:r>
        <w:t xml:space="preserve"> </w:t>
      </w:r>
      <w:r w:rsidRPr="00E44C1F">
        <w:t>decision, nominating the sites where the default tariff (once approved) is not to be</w:t>
      </w:r>
      <w:r>
        <w:t xml:space="preserve"> </w:t>
      </w:r>
      <w:r w:rsidRPr="00E44C1F">
        <w:t>applied.</w:t>
      </w:r>
    </w:p>
    <w:p w:rsidR="00792C15" w:rsidRPr="009E2431" w:rsidRDefault="00792C15" w:rsidP="00792C15">
      <w:r>
        <w:t xml:space="preserve">Our draft decision is subject to further consultation, and we cannot pre-empt what our final decision may be. We therefore do not consider it reasonable for the RSA to bind users to outcomes contingent on </w:t>
      </w:r>
      <w:r w:rsidR="00C86B0D">
        <w:t xml:space="preserve">certain obligations having been met before </w:t>
      </w:r>
      <w:r>
        <w:t xml:space="preserve">a decision that is yet to </w:t>
      </w:r>
      <w:r w:rsidR="00080419">
        <w:t>b</w:t>
      </w:r>
      <w:r>
        <w:t>e made.</w:t>
      </w:r>
    </w:p>
    <w:p w:rsidR="005C108A" w:rsidRDefault="00F43536" w:rsidP="005C108A">
      <w:r>
        <w:lastRenderedPageBreak/>
        <w:t>While</w:t>
      </w:r>
      <w:r w:rsidR="00792C15">
        <w:t xml:space="preserve"> we </w:t>
      </w:r>
      <w:r w:rsidR="005C108A">
        <w:t xml:space="preserve">agree </w:t>
      </w:r>
      <w:r w:rsidR="00792C15">
        <w:t>that there is</w:t>
      </w:r>
      <w:r w:rsidR="005C108A" w:rsidRPr="00E44C1F">
        <w:t xml:space="preserve"> nothing </w:t>
      </w:r>
      <w:r w:rsidR="005C108A">
        <w:t>in the legislation which prevents</w:t>
      </w:r>
      <w:r w:rsidR="005C108A" w:rsidRPr="00E44C1F">
        <w:t xml:space="preserve"> ActewAGL consulting with </w:t>
      </w:r>
      <w:r w:rsidR="002C2693">
        <w:t>u</w:t>
      </w:r>
      <w:r w:rsidR="005C108A" w:rsidRPr="00E44C1F">
        <w:t>sers prior to the commencement of the revised access arrangement period</w:t>
      </w:r>
      <w:r>
        <w:t xml:space="preserve">, we </w:t>
      </w:r>
      <w:r w:rsidR="00C86B0D">
        <w:t>do not consider it appropriate to</w:t>
      </w:r>
      <w:r>
        <w:t xml:space="preserve"> approve </w:t>
      </w:r>
      <w:r w:rsidR="00C86B0D">
        <w:t>those obligations</w:t>
      </w:r>
      <w:r>
        <w:t xml:space="preserve">. </w:t>
      </w:r>
      <w:r w:rsidR="005C108A">
        <w:t>We would</w:t>
      </w:r>
      <w:r>
        <w:t>, however,</w:t>
      </w:r>
      <w:r w:rsidR="005C108A">
        <w:t xml:space="preserve"> encourage </w:t>
      </w:r>
      <w:r>
        <w:t xml:space="preserve">ActewAGL and its users to cooperate in determining a process outside the access arrangement and GTAs that is </w:t>
      </w:r>
      <w:r w:rsidRPr="00035712">
        <w:t>efficient and fair for ActewAGL, retailers and customers</w:t>
      </w:r>
      <w:r w:rsidR="005C108A">
        <w:t>.</w:t>
      </w:r>
      <w:r w:rsidR="00792C15">
        <w:t xml:space="preserve"> </w:t>
      </w:r>
    </w:p>
    <w:p w:rsidR="008D1F48" w:rsidRDefault="00C25658" w:rsidP="00001BBA">
      <w:r>
        <w:t>We</w:t>
      </w:r>
      <w:r w:rsidR="00E8116D">
        <w:t xml:space="preserve"> therefore</w:t>
      </w:r>
      <w:r>
        <w:t xml:space="preserve"> require </w:t>
      </w:r>
      <w:r w:rsidR="00792C15">
        <w:t xml:space="preserve">ActewAGL to </w:t>
      </w:r>
      <w:r w:rsidR="00E8116D">
        <w:t>amend</w:t>
      </w:r>
      <w:r w:rsidR="00BF5EEB">
        <w:t xml:space="preserve"> those clauses </w:t>
      </w:r>
      <w:r w:rsidR="00806921">
        <w:t xml:space="preserve">of the RSA </w:t>
      </w:r>
      <w:r w:rsidR="00BF5EEB">
        <w:t xml:space="preserve">which </w:t>
      </w:r>
      <w:r w:rsidR="006A3A17">
        <w:t xml:space="preserve">set </w:t>
      </w:r>
      <w:r w:rsidR="00806921">
        <w:t>deadlines that fall</w:t>
      </w:r>
      <w:r w:rsidR="006A3A17">
        <w:t xml:space="preserve"> </w:t>
      </w:r>
      <w:r w:rsidR="00BF5EEB">
        <w:t xml:space="preserve">prior </w:t>
      </w:r>
      <w:r w:rsidR="00806921">
        <w:t>its approval and commencement</w:t>
      </w:r>
      <w:r w:rsidR="00BF5EEB">
        <w:t>, in particular</w:t>
      </w:r>
      <w:r w:rsidR="00A0614F">
        <w:t xml:space="preserve"> we require it to make amendment 3 to</w:t>
      </w:r>
      <w:r w:rsidR="00F03FBE">
        <w:t xml:space="preserve"> </w:t>
      </w:r>
      <w:r w:rsidR="00BF5EEB">
        <w:t xml:space="preserve">clause 11.4(c)(v) </w:t>
      </w:r>
      <w:r w:rsidR="00A0614F">
        <w:t xml:space="preserve">as </w:t>
      </w:r>
      <w:r w:rsidR="005B1567">
        <w:t xml:space="preserve">set out in section </w:t>
      </w:r>
      <w:r w:rsidR="005B1567">
        <w:fldChar w:fldCharType="begin"/>
      </w:r>
      <w:r w:rsidR="005B1567">
        <w:instrText xml:space="preserve"> REF _Ref430271191 \r \h </w:instrText>
      </w:r>
      <w:r w:rsidR="005B1567">
        <w:fldChar w:fldCharType="separate"/>
      </w:r>
      <w:r w:rsidR="005B1567">
        <w:t>12.7.1</w:t>
      </w:r>
      <w:r w:rsidR="005B1567">
        <w:fldChar w:fldCharType="end"/>
      </w:r>
      <w:r w:rsidR="005B1567">
        <w:t>.</w:t>
      </w:r>
    </w:p>
    <w:p w:rsidR="001A0347" w:rsidRDefault="001A0347" w:rsidP="00721CFC">
      <w:pPr>
        <w:pStyle w:val="HeadingBoldBlue"/>
      </w:pPr>
      <w:r w:rsidRPr="001A0347">
        <w:t>Issues raised in submissions</w:t>
      </w:r>
    </w:p>
    <w:p w:rsidR="00D7567B" w:rsidRDefault="00D7567B" w:rsidP="00721CFC">
      <w:pPr>
        <w:pStyle w:val="HeadingBoldItalic"/>
      </w:pPr>
      <w:r>
        <w:t>Indemnities and liabilities</w:t>
      </w:r>
    </w:p>
    <w:p w:rsidR="00D65139" w:rsidRDefault="00416479" w:rsidP="00416479">
      <w:r>
        <w:t>Clause 9</w:t>
      </w:r>
      <w:r w:rsidR="003C5777">
        <w:t xml:space="preserve"> of the RSA</w:t>
      </w:r>
      <w:r>
        <w:t xml:space="preserve"> deals with possession of, and responsibility for, gas as it comes into, passes through</w:t>
      </w:r>
      <w:r w:rsidR="00721CFC">
        <w:t>,</w:t>
      </w:r>
      <w:r>
        <w:t xml:space="preserve"> and </w:t>
      </w:r>
      <w:r w:rsidR="00721CFC">
        <w:t>l</w:t>
      </w:r>
      <w:r>
        <w:t xml:space="preserve">eaves the network. </w:t>
      </w:r>
      <w:r w:rsidR="00EE03F6">
        <w:t>Sub-c</w:t>
      </w:r>
      <w:r w:rsidR="00D65139">
        <w:t xml:space="preserve">lause 9.4(b) requires a user to indemnify ActewAGL against risks associated with gas before it enters and after it leaves ActewAGL's network. </w:t>
      </w:r>
    </w:p>
    <w:p w:rsidR="002E617F" w:rsidRDefault="0047458B" w:rsidP="002E617F">
      <w:r>
        <w:t>The</w:t>
      </w:r>
      <w:r w:rsidR="00D65139">
        <w:t xml:space="preserve"> North Canberra Community</w:t>
      </w:r>
      <w:r>
        <w:t xml:space="preserve"> Council submitted that </w:t>
      </w:r>
      <w:r w:rsidR="00416479">
        <w:t xml:space="preserve">if </w:t>
      </w:r>
      <w:r w:rsidR="00EE03F6">
        <w:t>sub-</w:t>
      </w:r>
      <w:r w:rsidR="00416479">
        <w:t>clause 9.4(b) remains in the RSA</w:t>
      </w:r>
      <w:r w:rsidR="00721CFC">
        <w:t>,</w:t>
      </w:r>
      <w:r w:rsidR="00416479">
        <w:t xml:space="preserve"> a similar provision stating that ActewAGL indemnifies </w:t>
      </w:r>
      <w:r w:rsidR="00F06FE7">
        <w:t xml:space="preserve">users </w:t>
      </w:r>
      <w:r w:rsidR="00416479">
        <w:t xml:space="preserve">for loss relating to gas and gas leaks from </w:t>
      </w:r>
      <w:r>
        <w:t xml:space="preserve">ActewAGL's </w:t>
      </w:r>
      <w:r w:rsidR="00416479">
        <w:t>network</w:t>
      </w:r>
      <w:r w:rsidR="00721CFC">
        <w:t xml:space="preserve"> should be included to clarify</w:t>
      </w:r>
      <w:r w:rsidR="002E617F">
        <w:t xml:space="preserve"> who has responsibility for gas leaks occurring at the connection between ActewAGL's network and a user's network or equipment.</w:t>
      </w:r>
      <w:r w:rsidR="00721CFC">
        <w:rPr>
          <w:rStyle w:val="FootnoteReference"/>
        </w:rPr>
        <w:footnoteReference w:id="31"/>
      </w:r>
    </w:p>
    <w:p w:rsidR="00EF0967" w:rsidRDefault="00416479" w:rsidP="0013647B">
      <w:r>
        <w:t xml:space="preserve">We consider that </w:t>
      </w:r>
      <w:r w:rsidR="00721CFC">
        <w:t xml:space="preserve">this is adequately addressed in the preceding sub-clause </w:t>
      </w:r>
      <w:r w:rsidR="0047458B">
        <w:t>9.4(a)</w:t>
      </w:r>
      <w:r w:rsidR="00721CFC">
        <w:t>, which</w:t>
      </w:r>
      <w:r w:rsidR="00587012">
        <w:t xml:space="preserve"> makes ActewAGL responsible for gas in its custody and control between the receipt stations and the delivery station at each delivery point and</w:t>
      </w:r>
      <w:r w:rsidR="00721CFC">
        <w:t xml:space="preserve"> requires</w:t>
      </w:r>
      <w:r w:rsidR="00587012">
        <w:t xml:space="preserve"> ActewAGL to replace any gas lost in its care and control</w:t>
      </w:r>
      <w:r w:rsidR="0047458B">
        <w:t>.</w:t>
      </w:r>
      <w:r w:rsidR="00015E35">
        <w:t xml:space="preserve"> </w:t>
      </w:r>
      <w:r w:rsidR="00EF0967">
        <w:t>Sub-clause 9.4(b) makes the user responsible for gas prior to it entering the network at the receipt station and after it leaves the network at the delivery point.</w:t>
      </w:r>
    </w:p>
    <w:p w:rsidR="00EF0967" w:rsidRDefault="00EF0967" w:rsidP="00EF0967">
      <w:r>
        <w:t>These key terms are defined in the RSA as follows:</w:t>
      </w:r>
    </w:p>
    <w:p w:rsidR="00EF0967" w:rsidRDefault="00EF0967" w:rsidP="00EF0967">
      <w:pPr>
        <w:pStyle w:val="AERbulletlistfirststyle"/>
      </w:pPr>
      <w:r>
        <w:t>r</w:t>
      </w:r>
      <w:r w:rsidRPr="006340FB">
        <w:t xml:space="preserve">eceipt </w:t>
      </w:r>
      <w:r>
        <w:t>s</w:t>
      </w:r>
      <w:r w:rsidRPr="006340FB">
        <w:t xml:space="preserve">tation means the facilities </w:t>
      </w:r>
      <w:r>
        <w:t>at which g</w:t>
      </w:r>
      <w:r w:rsidRPr="006340FB">
        <w:t>as is received into</w:t>
      </w:r>
      <w:r>
        <w:t xml:space="preserve"> the n</w:t>
      </w:r>
      <w:r w:rsidRPr="006340FB">
        <w:t>etwork</w:t>
      </w:r>
    </w:p>
    <w:p w:rsidR="00EF0967" w:rsidRDefault="00EF0967" w:rsidP="00EF0967">
      <w:pPr>
        <w:pStyle w:val="AERbulletlistfirststyle"/>
      </w:pPr>
      <w:r>
        <w:t>d</w:t>
      </w:r>
      <w:r w:rsidRPr="006340FB">
        <w:t>e</w:t>
      </w:r>
      <w:r>
        <w:t>livery point means the point at which g</w:t>
      </w:r>
      <w:r w:rsidRPr="006340FB">
        <w:t>a</w:t>
      </w:r>
      <w:r>
        <w:t>s is withdrawn from the network.</w:t>
      </w:r>
      <w:r>
        <w:rPr>
          <w:rStyle w:val="FootnoteReference"/>
        </w:rPr>
        <w:footnoteReference w:id="32"/>
      </w:r>
    </w:p>
    <w:p w:rsidR="00B61EDF" w:rsidRDefault="00EF0967" w:rsidP="0013647B">
      <w:r>
        <w:t>Taken together, t</w:t>
      </w:r>
      <w:r w:rsidR="006340FB">
        <w:t>hese provisions make</w:t>
      </w:r>
      <w:r w:rsidR="00716353">
        <w:t xml:space="preserve"> clear </w:t>
      </w:r>
      <w:r w:rsidR="003A4928">
        <w:t>when</w:t>
      </w:r>
      <w:r w:rsidR="00F236FB">
        <w:t xml:space="preserve"> ActewAGL and the user</w:t>
      </w:r>
      <w:r>
        <w:t xml:space="preserve"> </w:t>
      </w:r>
      <w:r w:rsidR="003A4928">
        <w:t>will be responsible.</w:t>
      </w:r>
      <w:r w:rsidR="00F236FB">
        <w:t xml:space="preserve"> </w:t>
      </w:r>
      <w:r w:rsidR="00416479">
        <w:t xml:space="preserve">We </w:t>
      </w:r>
      <w:r w:rsidR="00FA00C5">
        <w:t xml:space="preserve">are therefore satisfied that the RSA </w:t>
      </w:r>
      <w:r w:rsidR="00CE1D19">
        <w:t xml:space="preserve">addresses </w:t>
      </w:r>
      <w:r>
        <w:t xml:space="preserve">the </w:t>
      </w:r>
      <w:r w:rsidR="00CE1D19">
        <w:t>concern</w:t>
      </w:r>
      <w:r>
        <w:t xml:space="preserve"> of the North Canberra Community Council</w:t>
      </w:r>
      <w:r w:rsidR="00CE1D19">
        <w:t>,</w:t>
      </w:r>
      <w:r w:rsidR="00FA00C5">
        <w:t xml:space="preserve"> and </w:t>
      </w:r>
      <w:r w:rsidR="00416479">
        <w:t>do not require any amendment to this clause.</w:t>
      </w:r>
    </w:p>
    <w:p w:rsidR="00150BEC" w:rsidRDefault="00FA3748" w:rsidP="003C5777">
      <w:r>
        <w:t xml:space="preserve">The proposed RSA includes detailed </w:t>
      </w:r>
      <w:r w:rsidR="005642DC">
        <w:t>liability</w:t>
      </w:r>
      <w:r>
        <w:t xml:space="preserve"> provisions in clause 26. </w:t>
      </w:r>
      <w:r w:rsidR="00150BEC">
        <w:t xml:space="preserve">This clause is consistent with </w:t>
      </w:r>
      <w:r w:rsidR="005B1567">
        <w:t xml:space="preserve">our </w:t>
      </w:r>
      <w:r w:rsidR="00150BEC">
        <w:t xml:space="preserve">recent </w:t>
      </w:r>
      <w:r w:rsidR="005B1567">
        <w:t xml:space="preserve">final decision on the access arrangement for </w:t>
      </w:r>
      <w:r w:rsidR="00150BEC">
        <w:t>JGN.</w:t>
      </w:r>
      <w:r w:rsidR="00150BEC" w:rsidRPr="00150BEC">
        <w:rPr>
          <w:rStyle w:val="FootnoteReference"/>
        </w:rPr>
        <w:footnoteReference w:id="33"/>
      </w:r>
      <w:r w:rsidR="00150BEC" w:rsidRPr="00150BEC">
        <w:t xml:space="preserve"> The </w:t>
      </w:r>
      <w:r w:rsidR="00150BEC" w:rsidRPr="00150BEC">
        <w:lastRenderedPageBreak/>
        <w:t>North Canberra Community Council stated that clause 26 is not necessary and the default law should apply because these provisions transfer risk to other parties who are less able to control the risk.</w:t>
      </w:r>
      <w:r w:rsidR="00150BEC" w:rsidRPr="00150BEC">
        <w:rPr>
          <w:rStyle w:val="FootnoteReference"/>
        </w:rPr>
        <w:footnoteReference w:id="34"/>
      </w:r>
      <w:r w:rsidR="00150BEC" w:rsidRPr="00150BEC">
        <w:t xml:space="preserve"> </w:t>
      </w:r>
      <w:r>
        <w:t>However, w</w:t>
      </w:r>
      <w:r w:rsidR="00150BEC">
        <w:t>e consider them</w:t>
      </w:r>
      <w:r w:rsidR="009240ED">
        <w:t xml:space="preserve"> </w:t>
      </w:r>
      <w:r w:rsidR="009240ED" w:rsidRPr="009240ED">
        <w:t>appropriate because</w:t>
      </w:r>
      <w:r w:rsidR="00150BEC">
        <w:t>:</w:t>
      </w:r>
    </w:p>
    <w:p w:rsidR="00C077D8" w:rsidRDefault="00C077D8" w:rsidP="00150BEC">
      <w:pPr>
        <w:pStyle w:val="AERbulletlistfirststyle"/>
      </w:pPr>
      <w:r>
        <w:t>they</w:t>
      </w:r>
      <w:r w:rsidR="00150BEC">
        <w:t xml:space="preserve"> </w:t>
      </w:r>
      <w:r>
        <w:t>provide clarity around the liability provisions</w:t>
      </w:r>
    </w:p>
    <w:p w:rsidR="00C077D8" w:rsidRDefault="00150BEC" w:rsidP="00150BEC">
      <w:pPr>
        <w:pStyle w:val="AERbulletlistfirststyle"/>
      </w:pPr>
      <w:r>
        <w:t xml:space="preserve">they are symmetrical, and </w:t>
      </w:r>
      <w:r w:rsidR="009240ED" w:rsidRPr="009240ED">
        <w:t xml:space="preserve">allocate the risks equally between </w:t>
      </w:r>
      <w:r w:rsidR="009240ED">
        <w:t>ActewAGL</w:t>
      </w:r>
      <w:r w:rsidR="00C077D8">
        <w:t xml:space="preserve"> and the user.</w:t>
      </w:r>
    </w:p>
    <w:p w:rsidR="008E169C" w:rsidRDefault="00150BEC" w:rsidP="009240ED">
      <w:r>
        <w:t>We remain of the view that this</w:t>
      </w:r>
      <w:r w:rsidR="00C6281D">
        <w:t xml:space="preserve"> in the long term interest of consumers and </w:t>
      </w:r>
      <w:r w:rsidR="009240ED" w:rsidRPr="009240ED">
        <w:t>consistent with the NGO.</w:t>
      </w:r>
      <w:r w:rsidR="00C077D8">
        <w:t xml:space="preserve"> We therefore do not </w:t>
      </w:r>
      <w:r w:rsidR="003F3EAC">
        <w:t>require</w:t>
      </w:r>
      <w:r w:rsidR="00C077D8">
        <w:t xml:space="preserve"> </w:t>
      </w:r>
      <w:r w:rsidR="00C6281D">
        <w:t xml:space="preserve">any amendments to these </w:t>
      </w:r>
      <w:r w:rsidR="003F3EAC">
        <w:t>provisions</w:t>
      </w:r>
      <w:r w:rsidR="00C6281D">
        <w:t>.</w:t>
      </w:r>
    </w:p>
    <w:p w:rsidR="001A0347" w:rsidRDefault="001A0347" w:rsidP="00721CFC">
      <w:pPr>
        <w:pStyle w:val="HeadingBoldItalic"/>
      </w:pPr>
      <w:r>
        <w:t>Relevant customer lists</w:t>
      </w:r>
    </w:p>
    <w:p w:rsidR="00767295" w:rsidRDefault="00D7567B" w:rsidP="00D7567B">
      <w:r>
        <w:t xml:space="preserve">Clause 3 of the RSA states that ActewAGL will provide Haulage Reference Services according to the RSA where the requirements of the RSA have been met. </w:t>
      </w:r>
      <w:r w:rsidR="00F236FB">
        <w:t>Clause 3.3</w:t>
      </w:r>
      <w:r w:rsidR="003A2C98">
        <w:t xml:space="preserve"> states that ActewAGL will issue a certificate </w:t>
      </w:r>
      <w:r w:rsidR="003A2C98" w:rsidRPr="003A2C98">
        <w:t>as to the information</w:t>
      </w:r>
      <w:r w:rsidR="003A2C98">
        <w:t xml:space="preserve"> contained in the </w:t>
      </w:r>
      <w:r w:rsidR="00767295">
        <w:t>'</w:t>
      </w:r>
      <w:r w:rsidR="003A2C98">
        <w:t>r</w:t>
      </w:r>
      <w:r w:rsidR="003A2C98" w:rsidRPr="003A2C98">
        <w:t xml:space="preserve">elevant </w:t>
      </w:r>
      <w:r w:rsidR="003A2C98">
        <w:t>customer list</w:t>
      </w:r>
      <w:r w:rsidR="00767295">
        <w:t>'</w:t>
      </w:r>
      <w:r w:rsidR="003A2C98">
        <w:t xml:space="preserve"> including </w:t>
      </w:r>
      <w:r w:rsidR="003A2C98" w:rsidRPr="003A2C98">
        <w:t>all</w:t>
      </w:r>
      <w:r w:rsidR="003A2C98">
        <w:t xml:space="preserve"> information relating to the d</w:t>
      </w:r>
      <w:r w:rsidR="003A2C98" w:rsidRPr="003A2C98">
        <w:t xml:space="preserve">elivery </w:t>
      </w:r>
      <w:r w:rsidR="003A2C98">
        <w:t>p</w:t>
      </w:r>
      <w:r w:rsidR="003A2C98" w:rsidRPr="003A2C98">
        <w:t>oints listed in that list</w:t>
      </w:r>
      <w:r w:rsidR="003A2C98">
        <w:t xml:space="preserve">. </w:t>
      </w:r>
      <w:r w:rsidR="00767295">
        <w:t>The relevant customer list includes the 'demand customer list' and 'volume customer list' set out certain information such as the tariff category and assignment date, the commencement date and the receipt point. Clause 3.3</w:t>
      </w:r>
      <w:r w:rsidR="003A2C98">
        <w:t xml:space="preserve"> also states that </w:t>
      </w:r>
      <w:r w:rsidR="00767295">
        <w:t xml:space="preserve">the </w:t>
      </w:r>
      <w:r w:rsidR="003A2C98">
        <w:t xml:space="preserve">certificate </w:t>
      </w:r>
      <w:r w:rsidR="00C86B0D">
        <w:t>is</w:t>
      </w:r>
      <w:r w:rsidR="003A2C98">
        <w:t xml:space="preserve"> conclusive evidence of the information contained in the certificate (except in the case of manifest error)</w:t>
      </w:r>
      <w:r w:rsidR="00C86B0D">
        <w:t xml:space="preserve"> or if the user provides evidence that the certificate is incorrect</w:t>
      </w:r>
      <w:r w:rsidR="003A2C98">
        <w:t>.</w:t>
      </w:r>
      <w:r w:rsidR="00EF0967">
        <w:t xml:space="preserve"> </w:t>
      </w:r>
    </w:p>
    <w:p w:rsidR="00D7567B" w:rsidRDefault="00D7567B" w:rsidP="00D7567B">
      <w:r>
        <w:t>The North Canberra Community Council submitted that it is uncertain what deficiency in evidence the clause is correcting.</w:t>
      </w:r>
      <w:r>
        <w:rPr>
          <w:rStyle w:val="FootnoteReference"/>
        </w:rPr>
        <w:footnoteReference w:id="35"/>
      </w:r>
      <w:r>
        <w:t xml:space="preserve"> </w:t>
      </w:r>
    </w:p>
    <w:p w:rsidR="00D7567B" w:rsidRDefault="00D7567B" w:rsidP="00D7567B">
      <w:r>
        <w:t xml:space="preserve">The certificate issued by ActewAGL under clause 3.3 provides certainty </w:t>
      </w:r>
      <w:r w:rsidR="00721CFC">
        <w:t xml:space="preserve">as to </w:t>
      </w:r>
      <w:r>
        <w:t xml:space="preserve">the </w:t>
      </w:r>
      <w:r w:rsidR="00721CFC">
        <w:t xml:space="preserve">status of the </w:t>
      </w:r>
      <w:r>
        <w:t>Relevant Customer List</w:t>
      </w:r>
      <w:r w:rsidR="00721CFC">
        <w:t xml:space="preserve"> in the provision of, and levying of charges for, the reference service</w:t>
      </w:r>
      <w:r>
        <w:t>. We therefore do not require any amendment to this clause.</w:t>
      </w:r>
    </w:p>
    <w:p w:rsidR="0077408E" w:rsidRPr="00D7567B" w:rsidRDefault="0077408E" w:rsidP="00721CFC">
      <w:pPr>
        <w:pStyle w:val="HeadingBoldBlue"/>
      </w:pPr>
      <w:r w:rsidRPr="00D7567B">
        <w:t>Minor drafting errors in ActewAGL's proposed RSA</w:t>
      </w:r>
    </w:p>
    <w:p w:rsidR="0077408E" w:rsidRDefault="0077408E" w:rsidP="0077408E">
      <w:r>
        <w:t>In the course of our review we identified two minor drafting errors. We brought these to ActewAGL's attention and confirmed that:</w:t>
      </w:r>
    </w:p>
    <w:p w:rsidR="0077408E" w:rsidRDefault="0077408E" w:rsidP="003C5777">
      <w:pPr>
        <w:pStyle w:val="AERbulletlistfirststyle"/>
      </w:pPr>
      <w:r>
        <w:t>The definition of 'minimum network standards' in the glossary to the Access Arrangement and the glossary to the RSA should be the same</w:t>
      </w:r>
      <w:r w:rsidR="00EB1157">
        <w:t>. The correct definition is that in the glossary to the access arrangement</w:t>
      </w:r>
      <w:r>
        <w:t>:</w:t>
      </w:r>
      <w:r>
        <w:rPr>
          <w:rStyle w:val="FootnoteReference"/>
        </w:rPr>
        <w:footnoteReference w:id="36"/>
      </w:r>
    </w:p>
    <w:p w:rsidR="0077408E" w:rsidRDefault="0077408E" w:rsidP="0077408E">
      <w:pPr>
        <w:pStyle w:val="AERquote"/>
      </w:pPr>
      <w:r w:rsidRPr="00F33F7E">
        <w:rPr>
          <w:rStyle w:val="Strong"/>
        </w:rPr>
        <w:lastRenderedPageBreak/>
        <w:t>Minimum Network Standards</w:t>
      </w:r>
      <w:r w:rsidRPr="00D1340D">
        <w:t xml:space="preserve"> means the Minimum Service Standards under the Utilities (Consumer Protection Code) Determination 2012, or any determination replacing that determination or if that determination is repealed and not replaced, ActewAGL Distribution's Minimum Standards for Network Operation adopted by ActewAGL in compliance with its licence requirements in the Australian Capital Territory and New South Wales, in force from time to time.</w:t>
      </w:r>
    </w:p>
    <w:p w:rsidR="0077408E" w:rsidRDefault="00EE03F6" w:rsidP="003C5777">
      <w:pPr>
        <w:pStyle w:val="AERbulletlistfirststyle"/>
      </w:pPr>
      <w:r>
        <w:t>Sub-c</w:t>
      </w:r>
      <w:r w:rsidR="0077408E" w:rsidRPr="00431459">
        <w:t>lause 25.2(a)(iii) of the RSA</w:t>
      </w:r>
      <w:r w:rsidR="0077408E">
        <w:t xml:space="preserve"> has been misnumbered, and should be numbered 25.2(b).</w:t>
      </w:r>
    </w:p>
    <w:p w:rsidR="0077408E" w:rsidRPr="008E169C" w:rsidRDefault="00EB1157" w:rsidP="009240ED">
      <w:r>
        <w:t>For the purposes of this draft decision we have included correction of these drafting errors as required amendments</w:t>
      </w:r>
      <w:r w:rsidR="00A0614F">
        <w:t xml:space="preserve"> 4 and 5 as set out at section </w:t>
      </w:r>
      <w:r w:rsidR="00A0614F">
        <w:fldChar w:fldCharType="begin"/>
      </w:r>
      <w:r w:rsidR="00A0614F">
        <w:instrText xml:space="preserve"> REF _Ref430271191 \r \h </w:instrText>
      </w:r>
      <w:r w:rsidR="00A0614F">
        <w:fldChar w:fldCharType="separate"/>
      </w:r>
      <w:r w:rsidR="00A0614F">
        <w:t>12.7.1</w:t>
      </w:r>
      <w:r w:rsidR="00A0614F">
        <w:fldChar w:fldCharType="end"/>
      </w:r>
      <w:r>
        <w:t>.</w:t>
      </w:r>
    </w:p>
    <w:p w:rsidR="00921AE6" w:rsidRDefault="00921AE6" w:rsidP="00921AE6">
      <w:pPr>
        <w:pStyle w:val="Heading2"/>
      </w:pPr>
      <w:bookmarkStart w:id="21" w:name="_Ref429124246"/>
      <w:bookmarkStart w:id="22" w:name="_Toc435083244"/>
      <w:r>
        <w:t>Queuing requirements</w:t>
      </w:r>
      <w:bookmarkEnd w:id="21"/>
      <w:bookmarkEnd w:id="22"/>
    </w:p>
    <w:p w:rsidR="00097655" w:rsidRPr="00CC7BBC" w:rsidRDefault="00097655" w:rsidP="00CC7BBC">
      <w:pPr>
        <w:rPr>
          <w:rStyle w:val="AERbody"/>
        </w:rPr>
      </w:pPr>
      <w:r w:rsidRPr="00CC7BBC">
        <w:rPr>
          <w:rStyle w:val="AERbody"/>
        </w:rPr>
        <w:t>Queuing can be used to determine access to a pipeline that is fully, or close to being fully, utilised. Queuing requirements establish a process or mechanism for establishing an order of priority among prospective users to obtain access to spare and/or developable capacity on a covered pipeline</w:t>
      </w:r>
      <w:r w:rsidR="00130EFE" w:rsidRPr="00CC7BBC">
        <w:rPr>
          <w:rStyle w:val="AERbody"/>
        </w:rPr>
        <w:t>.</w:t>
      </w:r>
      <w:r w:rsidR="00130EFE">
        <w:rPr>
          <w:rStyle w:val="FootnoteReference"/>
        </w:rPr>
        <w:footnoteReference w:id="37"/>
      </w:r>
    </w:p>
    <w:p w:rsidR="00921AE6" w:rsidRDefault="00921AE6" w:rsidP="00921AE6">
      <w:pPr>
        <w:pStyle w:val="Heading3"/>
      </w:pPr>
      <w:bookmarkStart w:id="23" w:name="_Toc435083245"/>
      <w:r>
        <w:t>Draft decision</w:t>
      </w:r>
      <w:bookmarkEnd w:id="23"/>
    </w:p>
    <w:p w:rsidR="00097655" w:rsidRPr="00641B36" w:rsidRDefault="00097655" w:rsidP="00CC7BBC">
      <w:r w:rsidRPr="00641B36">
        <w:t xml:space="preserve">We approve ActewAGL’s proposed queuing requirements for the 2016-21 access arrangement period. </w:t>
      </w:r>
    </w:p>
    <w:p w:rsidR="00921AE6" w:rsidRDefault="00921AE6" w:rsidP="00921AE6">
      <w:pPr>
        <w:pStyle w:val="Heading3"/>
      </w:pPr>
      <w:bookmarkStart w:id="24" w:name="_Toc435083246"/>
      <w:r>
        <w:t>ActewAGL’s proposal</w:t>
      </w:r>
      <w:bookmarkEnd w:id="24"/>
    </w:p>
    <w:p w:rsidR="004A1B36" w:rsidRDefault="00974840" w:rsidP="0072451B">
      <w:r>
        <w:t>ActewAGL</w:t>
      </w:r>
      <w:r w:rsidR="00CC7BBC">
        <w:t xml:space="preserve"> submitted that its</w:t>
      </w:r>
      <w:r>
        <w:t xml:space="preserve"> proposed queuing requirements </w:t>
      </w:r>
      <w:r w:rsidR="0072451B">
        <w:t xml:space="preserve">for </w:t>
      </w:r>
      <w:r>
        <w:t xml:space="preserve">the 2016-21 access arrangement </w:t>
      </w:r>
      <w:r w:rsidR="003E2590">
        <w:t>’</w:t>
      </w:r>
      <w:r w:rsidR="00492B49">
        <w:t>substantially retains</w:t>
      </w:r>
      <w:r w:rsidR="003E2590">
        <w:t>’</w:t>
      </w:r>
      <w:r w:rsidR="00492B49">
        <w:t xml:space="preserve"> those</w:t>
      </w:r>
      <w:r>
        <w:t xml:space="preserve"> </w:t>
      </w:r>
      <w:r w:rsidR="00492B49">
        <w:t>in</w:t>
      </w:r>
      <w:r w:rsidR="0072451B">
        <w:t xml:space="preserve"> its current</w:t>
      </w:r>
      <w:r>
        <w:t xml:space="preserve"> access arrangement</w:t>
      </w:r>
      <w:r w:rsidR="00F838B6">
        <w:t>.</w:t>
      </w:r>
      <w:r w:rsidR="00492B49">
        <w:rPr>
          <w:rStyle w:val="FootnoteReference"/>
        </w:rPr>
        <w:footnoteReference w:id="38"/>
      </w:r>
      <w:r>
        <w:t xml:space="preserve"> </w:t>
      </w:r>
      <w:r w:rsidR="00492B49">
        <w:t xml:space="preserve"> </w:t>
      </w:r>
    </w:p>
    <w:p w:rsidR="00325A28" w:rsidRDefault="00325A28" w:rsidP="0072451B">
      <w:r>
        <w:t xml:space="preserve">ActewAGL </w:t>
      </w:r>
      <w:r w:rsidR="00E45CF4">
        <w:t xml:space="preserve">further </w:t>
      </w:r>
      <w:r>
        <w:t xml:space="preserve">submitted that </w:t>
      </w:r>
      <w:r w:rsidR="00F838B6">
        <w:t xml:space="preserve">the proposed RSA provides additional information on the queuing policy, and that </w:t>
      </w:r>
      <w:r>
        <w:t>these changes are intended to align with the approach adopted by JGN for its 2015-20 access arrangement.</w:t>
      </w:r>
      <w:r w:rsidR="00367D37">
        <w:rPr>
          <w:rStyle w:val="FootnoteReference"/>
        </w:rPr>
        <w:footnoteReference w:id="39"/>
      </w:r>
    </w:p>
    <w:p w:rsidR="00921AE6" w:rsidRDefault="00921AE6" w:rsidP="00921AE6">
      <w:pPr>
        <w:pStyle w:val="Heading3"/>
      </w:pPr>
      <w:bookmarkStart w:id="25" w:name="_Toc435083247"/>
      <w:r>
        <w:t>AER’s assessment approach</w:t>
      </w:r>
      <w:bookmarkEnd w:id="25"/>
    </w:p>
    <w:p w:rsidR="00097655" w:rsidRDefault="00097655" w:rsidP="00CC7BBC">
      <w:r>
        <w:t xml:space="preserve">The NGR require us to assess </w:t>
      </w:r>
      <w:r w:rsidR="006058D0">
        <w:t>ActewAGL’s</w:t>
      </w:r>
      <w:r>
        <w:t xml:space="preserve"> proposed queuing requirements for consistency </w:t>
      </w:r>
      <w:r w:rsidR="004E4D7D">
        <w:t xml:space="preserve">with </w:t>
      </w:r>
      <w:r>
        <w:t>the NGO and rule 103 of the NGR.</w:t>
      </w:r>
    </w:p>
    <w:p w:rsidR="00097655" w:rsidRDefault="00097655" w:rsidP="00CC7BBC">
      <w:r w:rsidRPr="0072451B">
        <w:lastRenderedPageBreak/>
        <w:t>Rule 103 of the NGR has specific provisions on queuing requirements and provides that:</w:t>
      </w:r>
      <w:r>
        <w:rPr>
          <w:rStyle w:val="FootnoteReference"/>
        </w:rPr>
        <w:footnoteReference w:id="40"/>
      </w:r>
    </w:p>
    <w:p w:rsidR="00097655" w:rsidRDefault="00097655" w:rsidP="00097655">
      <w:pPr>
        <w:pStyle w:val="AERbulletlistfirststyle"/>
        <w:numPr>
          <w:ilvl w:val="0"/>
          <w:numId w:val="29"/>
        </w:numPr>
        <w:spacing w:before="0" w:after="200" w:line="288" w:lineRule="auto"/>
        <w:ind w:left="357" w:hanging="357"/>
        <w:jc w:val="both"/>
      </w:pPr>
      <w:r>
        <w:t>q</w:t>
      </w:r>
      <w:r w:rsidRPr="008F381E">
        <w:t>ueuing requirements must be included in an access arrangement for a gas distribution pipeline where the AER notifies the service provider that the access arrangement must contain queuing arrangements</w:t>
      </w:r>
      <w:r>
        <w:rPr>
          <w:rStyle w:val="FootnoteReference"/>
        </w:rPr>
        <w:footnoteReference w:id="41"/>
      </w:r>
    </w:p>
    <w:p w:rsidR="00097655" w:rsidRPr="00772104" w:rsidRDefault="00097655" w:rsidP="00097655">
      <w:pPr>
        <w:pStyle w:val="AERbulletlistfirststyle"/>
        <w:numPr>
          <w:ilvl w:val="0"/>
          <w:numId w:val="29"/>
        </w:numPr>
        <w:spacing w:before="0" w:after="200" w:line="288" w:lineRule="auto"/>
        <w:ind w:left="357" w:hanging="357"/>
        <w:jc w:val="both"/>
      </w:pPr>
      <w:r>
        <w:t xml:space="preserve">queuing requirements must establish a process or mechanism for establishing an order of priority between prospective users of spare or developable </w:t>
      </w:r>
      <w:r w:rsidRPr="00772104">
        <w:t>capacity in which all prospective users are treated on a fair and equal basis</w:t>
      </w:r>
    </w:p>
    <w:p w:rsidR="00097655" w:rsidRPr="00772104" w:rsidRDefault="00097655" w:rsidP="00097655">
      <w:pPr>
        <w:pStyle w:val="AERbulletlistfirststyle"/>
        <w:numPr>
          <w:ilvl w:val="0"/>
          <w:numId w:val="29"/>
        </w:numPr>
        <w:spacing w:before="0" w:after="200" w:line="288" w:lineRule="auto"/>
        <w:ind w:left="357" w:hanging="357"/>
        <w:jc w:val="both"/>
      </w:pPr>
      <w:r>
        <w:t>queuing requirements must be sufficiently detailed</w:t>
      </w:r>
      <w:r w:rsidRPr="00772104">
        <w:t xml:space="preserve"> to enable prospective users to understand the basis of determining the order of priority and the prospective user’s position in the queue.</w:t>
      </w:r>
    </w:p>
    <w:p w:rsidR="00921AE6" w:rsidRDefault="00921AE6" w:rsidP="00921AE6">
      <w:pPr>
        <w:pStyle w:val="Heading3"/>
      </w:pPr>
      <w:bookmarkStart w:id="26" w:name="_Toc435083248"/>
      <w:r>
        <w:t>Reasons for draft decision</w:t>
      </w:r>
      <w:bookmarkEnd w:id="26"/>
    </w:p>
    <w:p w:rsidR="000707C1" w:rsidRDefault="006E6CE7" w:rsidP="006E6CE7">
      <w:r>
        <w:t>We have</w:t>
      </w:r>
      <w:r w:rsidRPr="00772104">
        <w:t xml:space="preserve"> assessed </w:t>
      </w:r>
      <w:r>
        <w:t>ActewAGL’s</w:t>
      </w:r>
      <w:r w:rsidRPr="00772104">
        <w:t xml:space="preserve"> proposed queuing requirements for the 201</w:t>
      </w:r>
      <w:r>
        <w:t>6-21</w:t>
      </w:r>
      <w:r w:rsidRPr="00772104">
        <w:t xml:space="preserve"> period</w:t>
      </w:r>
      <w:r w:rsidR="000707C1">
        <w:t>:</w:t>
      </w:r>
      <w:r>
        <w:t xml:space="preserve"> </w:t>
      </w:r>
    </w:p>
    <w:p w:rsidR="000707C1" w:rsidRPr="00483332" w:rsidRDefault="000707C1" w:rsidP="000707C1">
      <w:pPr>
        <w:pStyle w:val="AERbulletlistfirststyle"/>
      </w:pPr>
      <w:r>
        <w:t>C</w:t>
      </w:r>
      <w:r w:rsidRPr="00772104">
        <w:t>lause</w:t>
      </w:r>
      <w:r>
        <w:t>s</w:t>
      </w:r>
      <w:r w:rsidRPr="00772104">
        <w:t xml:space="preserve"> </w:t>
      </w:r>
      <w:r>
        <w:t>12</w:t>
      </w:r>
      <w:r w:rsidRPr="00772104">
        <w:t xml:space="preserve">.1 </w:t>
      </w:r>
      <w:r>
        <w:t>to 12.</w:t>
      </w:r>
      <w:r w:rsidRPr="000707C1">
        <w:t>5 set out how a queue is formed and how users are advised of their position in the queue, in</w:t>
      </w:r>
      <w:r w:rsidRPr="00483332">
        <w:t xml:space="preserve"> accordance with r. 103(3)–(5) of the NGR</w:t>
      </w:r>
    </w:p>
    <w:p w:rsidR="000707C1" w:rsidRPr="00483332" w:rsidRDefault="000707C1" w:rsidP="000707C1">
      <w:pPr>
        <w:pStyle w:val="AERbulletlistfirststyle"/>
      </w:pPr>
      <w:r>
        <w:t>C</w:t>
      </w:r>
      <w:r w:rsidRPr="00483332">
        <w:t>lauses 12.6 to 12.10 set out the conditions applicable to a queue. This satisfies the requirements of r. 103(3) and r. 103(5) of the NGR.</w:t>
      </w:r>
    </w:p>
    <w:p w:rsidR="000707C1" w:rsidRPr="000707C1" w:rsidRDefault="000707C1" w:rsidP="000707C1">
      <w:pPr>
        <w:pStyle w:val="AERbulletlistfirststyle"/>
      </w:pPr>
      <w:r>
        <w:t>C</w:t>
      </w:r>
      <w:r w:rsidRPr="00483332">
        <w:t>lauses 12.11 sets out the procedure when capacity can be made available.</w:t>
      </w:r>
    </w:p>
    <w:p w:rsidR="000707C1" w:rsidRPr="00483332" w:rsidRDefault="000707C1" w:rsidP="000707C1">
      <w:pPr>
        <w:pStyle w:val="AERbulletlistfirststyle"/>
      </w:pPr>
      <w:r>
        <w:t>C</w:t>
      </w:r>
      <w:r w:rsidRPr="00483332">
        <w:t>lause 12.12 sets out the priority of prospective users in accordance with r. 103(4)of the NGR</w:t>
      </w:r>
    </w:p>
    <w:p w:rsidR="000707C1" w:rsidRPr="00483332" w:rsidRDefault="000707C1" w:rsidP="000707C1">
      <w:pPr>
        <w:pStyle w:val="AERbulletlistfirststyle"/>
      </w:pPr>
      <w:r>
        <w:t>C</w:t>
      </w:r>
      <w:r w:rsidRPr="00483332">
        <w:t xml:space="preserve">lause 12.13 sets out the compensation (if any) from the user for holding capacity, and </w:t>
      </w:r>
    </w:p>
    <w:p w:rsidR="000707C1" w:rsidRPr="00772104" w:rsidRDefault="000707C1" w:rsidP="000707C1">
      <w:pPr>
        <w:pStyle w:val="AERbulletlistfirststyle"/>
      </w:pPr>
      <w:r>
        <w:t>C</w:t>
      </w:r>
      <w:r w:rsidRPr="00483332">
        <w:t>lauses 12.14 to 12.16 set out general terms. These include the treatment of requests in the event of a dispute, and the ability of prospective users to get access to gas supply at the</w:t>
      </w:r>
      <w:r w:rsidRPr="00772104">
        <w:t xml:space="preserve"> time </w:t>
      </w:r>
      <w:r>
        <w:t>ActewAGL’s</w:t>
      </w:r>
      <w:r w:rsidRPr="00772104">
        <w:t xml:space="preserve"> haulage service is to be provided.</w:t>
      </w:r>
    </w:p>
    <w:p w:rsidR="00F050EF" w:rsidRDefault="000707C1" w:rsidP="00020942">
      <w:r>
        <w:t>As ActewAGL has noted in its proposal, t</w:t>
      </w:r>
      <w:r w:rsidRPr="00772104">
        <w:t xml:space="preserve">hese are </w:t>
      </w:r>
      <w:r>
        <w:t>largely similar to</w:t>
      </w:r>
      <w:r w:rsidRPr="00772104">
        <w:t xml:space="preserve"> those </w:t>
      </w:r>
      <w:r>
        <w:t xml:space="preserve">we </w:t>
      </w:r>
      <w:r w:rsidRPr="00772104">
        <w:t xml:space="preserve">approved in the 2010-15 </w:t>
      </w:r>
      <w:r>
        <w:t>access arrangement</w:t>
      </w:r>
      <w:r w:rsidRPr="00772104">
        <w:t xml:space="preserve"> period</w:t>
      </w:r>
      <w:r>
        <w:t xml:space="preserve">. </w:t>
      </w:r>
      <w:r w:rsidR="004E4D7D">
        <w:t xml:space="preserve">However, </w:t>
      </w:r>
      <w:r w:rsidR="00B401A2">
        <w:t xml:space="preserve">we note that </w:t>
      </w:r>
      <w:r w:rsidR="004E4D7D">
        <w:t xml:space="preserve">there are </w:t>
      </w:r>
      <w:r w:rsidR="002C2693">
        <w:t xml:space="preserve">three </w:t>
      </w:r>
      <w:r>
        <w:t xml:space="preserve">key </w:t>
      </w:r>
      <w:r w:rsidR="004E4D7D">
        <w:t xml:space="preserve">changes </w:t>
      </w:r>
      <w:r>
        <w:t>to</w:t>
      </w:r>
      <w:r w:rsidR="004E4D7D">
        <w:t xml:space="preserve"> the </w:t>
      </w:r>
      <w:r w:rsidR="001D6858">
        <w:t>current</w:t>
      </w:r>
      <w:r w:rsidR="00E45CF4">
        <w:t xml:space="preserve"> </w:t>
      </w:r>
      <w:r w:rsidR="004E4D7D">
        <w:t xml:space="preserve">queuing </w:t>
      </w:r>
      <w:r w:rsidR="001D6858">
        <w:t>requirements</w:t>
      </w:r>
      <w:r>
        <w:t>:</w:t>
      </w:r>
    </w:p>
    <w:p w:rsidR="00584FC2" w:rsidRPr="002C2693" w:rsidRDefault="00D75491" w:rsidP="00EA2995">
      <w:pPr>
        <w:pStyle w:val="ListNumber"/>
        <w:numPr>
          <w:ilvl w:val="0"/>
          <w:numId w:val="34"/>
        </w:numPr>
      </w:pPr>
      <w:r w:rsidRPr="002C2693">
        <w:rPr>
          <w:i/>
        </w:rPr>
        <w:t>Capacity can be made available to a user in part</w:t>
      </w:r>
      <w:r w:rsidRPr="002C2693">
        <w:t xml:space="preserve"> –</w:t>
      </w:r>
      <w:r w:rsidR="00E11AF0" w:rsidRPr="002C2693">
        <w:t xml:space="preserve"> T</w:t>
      </w:r>
      <w:r w:rsidR="00D83E63" w:rsidRPr="002C2693">
        <w:t xml:space="preserve">he proposed 2016-21 access arrangement </w:t>
      </w:r>
      <w:r w:rsidR="001D6858" w:rsidRPr="002C2693">
        <w:t>provides that c</w:t>
      </w:r>
      <w:r w:rsidR="00F050EF" w:rsidRPr="002C2693">
        <w:t>apacity will be offered to users</w:t>
      </w:r>
      <w:r w:rsidR="001D6858" w:rsidRPr="002C2693">
        <w:t xml:space="preserve"> in the queue</w:t>
      </w:r>
      <w:r w:rsidR="00F050EF" w:rsidRPr="002C2693">
        <w:t>, notwithstanding that the capacity may not be sufficient to meet that user’s needs</w:t>
      </w:r>
      <w:r w:rsidR="00D83E63" w:rsidRPr="002C2693">
        <w:t>.</w:t>
      </w:r>
      <w:r w:rsidR="001D6858" w:rsidRPr="002C2693">
        <w:t xml:space="preserve"> </w:t>
      </w:r>
      <w:r w:rsidR="00401886" w:rsidRPr="002C2693">
        <w:t>I</w:t>
      </w:r>
      <w:r w:rsidR="001D6858" w:rsidRPr="002C2693">
        <w:t>f the offer of capacity meets the user’s need in part only, the user can take the partial offer</w:t>
      </w:r>
      <w:r w:rsidR="00B27843" w:rsidRPr="002C2693">
        <w:t>,</w:t>
      </w:r>
      <w:r w:rsidR="001D6858" w:rsidRPr="002C2693">
        <w:t xml:space="preserve"> or the user’s position in the queue will be held until its need is met in </w:t>
      </w:r>
      <w:r w:rsidR="001D6858" w:rsidRPr="002C2693">
        <w:lastRenderedPageBreak/>
        <w:t>full by available capacity</w:t>
      </w:r>
      <w:r w:rsidR="00401886" w:rsidRPr="002C2693">
        <w:t>.</w:t>
      </w:r>
      <w:r w:rsidR="00E11AF0" w:rsidRPr="002C2693">
        <w:rPr>
          <w:rStyle w:val="FootnoteReference"/>
        </w:rPr>
        <w:footnoteReference w:id="42"/>
      </w:r>
      <w:r w:rsidR="00401886" w:rsidRPr="002C2693">
        <w:t xml:space="preserve"> </w:t>
      </w:r>
      <w:r w:rsidR="001D6858" w:rsidRPr="002C2693">
        <w:t>We consider this an improvement over the current arrangement, which provides that capacity will be offered</w:t>
      </w:r>
      <w:r w:rsidR="00401886" w:rsidRPr="002C2693">
        <w:t xml:space="preserve"> to users whose </w:t>
      </w:r>
      <w:r w:rsidR="00B27843" w:rsidRPr="002C2693">
        <w:t>‘r</w:t>
      </w:r>
      <w:r w:rsidR="00401886" w:rsidRPr="002C2693">
        <w:t>equirements can be fully satisfied</w:t>
      </w:r>
      <w:r w:rsidR="00B27843" w:rsidRPr="002C2693">
        <w:t xml:space="preserve"> by the available capacity’</w:t>
      </w:r>
      <w:r w:rsidR="00E11AF0" w:rsidRPr="002C2693">
        <w:rPr>
          <w:rStyle w:val="FootnoteReference"/>
        </w:rPr>
        <w:footnoteReference w:id="43"/>
      </w:r>
      <w:r w:rsidRPr="002C2693">
        <w:t xml:space="preserve"> – which meant </w:t>
      </w:r>
      <w:r w:rsidR="00B27843" w:rsidRPr="002C2693">
        <w:t xml:space="preserve">that </w:t>
      </w:r>
      <w:r w:rsidR="003554C2" w:rsidRPr="002C2693">
        <w:t xml:space="preserve">there is no certainty that </w:t>
      </w:r>
      <w:r w:rsidR="00B27843" w:rsidRPr="002C2693">
        <w:t xml:space="preserve">a user </w:t>
      </w:r>
      <w:r w:rsidR="003554C2" w:rsidRPr="002C2693">
        <w:t>w</w:t>
      </w:r>
      <w:r w:rsidRPr="002C2693">
        <w:t>ould</w:t>
      </w:r>
      <w:r w:rsidR="00B27843" w:rsidRPr="002C2693">
        <w:t xml:space="preserve"> </w:t>
      </w:r>
      <w:r w:rsidR="003554C2" w:rsidRPr="002C2693">
        <w:t>keep</w:t>
      </w:r>
      <w:r w:rsidR="00B27843" w:rsidRPr="002C2693">
        <w:t xml:space="preserve"> its place in the queue if it needs more </w:t>
      </w:r>
      <w:r w:rsidR="00622783" w:rsidRPr="002C2693">
        <w:t xml:space="preserve">gas </w:t>
      </w:r>
      <w:r w:rsidR="00B27843" w:rsidRPr="002C2693">
        <w:t xml:space="preserve">than </w:t>
      </w:r>
      <w:r w:rsidR="00E11AF0" w:rsidRPr="002C2693">
        <w:t xml:space="preserve">could be provided by </w:t>
      </w:r>
      <w:r w:rsidR="00B27843" w:rsidRPr="002C2693">
        <w:t>the available capacity at that time.</w:t>
      </w:r>
    </w:p>
    <w:p w:rsidR="00E45CF4" w:rsidRPr="002C2693" w:rsidRDefault="00B27843" w:rsidP="00EA2995">
      <w:pPr>
        <w:pStyle w:val="ListNumber"/>
        <w:numPr>
          <w:ilvl w:val="0"/>
          <w:numId w:val="34"/>
        </w:numPr>
      </w:pPr>
      <w:r w:rsidRPr="002C2693">
        <w:t xml:space="preserve"> </w:t>
      </w:r>
      <w:r w:rsidR="00E11AF0" w:rsidRPr="002C2693">
        <w:rPr>
          <w:i/>
        </w:rPr>
        <w:t xml:space="preserve">Small users will </w:t>
      </w:r>
      <w:r w:rsidR="00E16AD6" w:rsidRPr="002C2693">
        <w:rPr>
          <w:i/>
        </w:rPr>
        <w:t>have</w:t>
      </w:r>
      <w:r w:rsidR="00E11AF0" w:rsidRPr="002C2693">
        <w:rPr>
          <w:i/>
        </w:rPr>
        <w:t xml:space="preserve"> priority over large users</w:t>
      </w:r>
      <w:r w:rsidR="00E11AF0" w:rsidRPr="002C2693">
        <w:t xml:space="preserve"> – T</w:t>
      </w:r>
      <w:r w:rsidRPr="002C2693">
        <w:t xml:space="preserve">he proposed new access arrangement provides that </w:t>
      </w:r>
      <w:r w:rsidR="00E45CF4" w:rsidRPr="002C2693">
        <w:t>requests for services of less than one TJ of gas per annum will have priority over requests for services of more than one TJ per annum</w:t>
      </w:r>
      <w:r w:rsidRPr="002C2693">
        <w:t>.</w:t>
      </w:r>
      <w:r w:rsidR="00E11AF0" w:rsidRPr="002C2693">
        <w:rPr>
          <w:rStyle w:val="FootnoteReference"/>
        </w:rPr>
        <w:footnoteReference w:id="44"/>
      </w:r>
      <w:r w:rsidRPr="002C2693">
        <w:t xml:space="preserve"> We consider that prioritising the small user over a large user is preferable</w:t>
      </w:r>
      <w:r w:rsidR="007C1330" w:rsidRPr="002C2693">
        <w:t>.</w:t>
      </w:r>
      <w:r w:rsidR="00F95597" w:rsidRPr="002C2693">
        <w:t xml:space="preserve"> </w:t>
      </w:r>
      <w:r w:rsidR="00A5538F" w:rsidRPr="002C2693">
        <w:t xml:space="preserve">Without this </w:t>
      </w:r>
      <w:r w:rsidR="007C1330" w:rsidRPr="002C2693">
        <w:t>provision</w:t>
      </w:r>
      <w:r w:rsidR="00A5538F" w:rsidRPr="002C2693">
        <w:t xml:space="preserve">, </w:t>
      </w:r>
      <w:r w:rsidR="00DE258C" w:rsidRPr="002C2693">
        <w:t>prospective large user</w:t>
      </w:r>
      <w:r w:rsidR="00A5538F" w:rsidRPr="002C2693">
        <w:t>s could use their commercial position</w:t>
      </w:r>
      <w:r w:rsidR="00DE258C" w:rsidRPr="002C2693">
        <w:t xml:space="preserve"> </w:t>
      </w:r>
      <w:r w:rsidR="00A5538F" w:rsidRPr="002C2693">
        <w:t>to negotiate with ActewAGL to access its spare or developable capacity, to the detriment of small users. The monopoly service provider</w:t>
      </w:r>
      <w:r w:rsidR="00DE258C" w:rsidRPr="002C2693">
        <w:t xml:space="preserve"> </w:t>
      </w:r>
      <w:r w:rsidR="007C1330" w:rsidRPr="002C2693">
        <w:t>has the incentive to maximise its sale of haulage volume or capacity at the least cost, and could favour its large customers over smaller ones</w:t>
      </w:r>
      <w:r w:rsidR="003434AD" w:rsidRPr="002C2693">
        <w:t>.</w:t>
      </w:r>
      <w:r w:rsidR="000C4B6C" w:rsidRPr="002C2693">
        <w:t xml:space="preserve"> </w:t>
      </w:r>
      <w:r w:rsidR="007C1330" w:rsidRPr="002C2693">
        <w:t xml:space="preserve">The </w:t>
      </w:r>
      <w:r w:rsidR="002C03B8" w:rsidRPr="002C2693">
        <w:t>provision</w:t>
      </w:r>
      <w:r w:rsidR="007C1330" w:rsidRPr="002C2693">
        <w:t xml:space="preserve"> creates a balance between the competing interests of users and the service provider, and pro</w:t>
      </w:r>
      <w:r w:rsidR="002C03B8" w:rsidRPr="002C2693">
        <w:t>motes the treatment of all</w:t>
      </w:r>
      <w:r w:rsidR="007C1330" w:rsidRPr="002C2693">
        <w:t xml:space="preserve"> prospective users on a fair basis, and </w:t>
      </w:r>
      <w:r w:rsidR="002C03B8" w:rsidRPr="002C2693">
        <w:t xml:space="preserve">therefore </w:t>
      </w:r>
      <w:r w:rsidR="007C1330" w:rsidRPr="002C2693">
        <w:t>promotes the NGO.</w:t>
      </w:r>
    </w:p>
    <w:p w:rsidR="00097655" w:rsidRPr="002C2693" w:rsidRDefault="0065736C" w:rsidP="00EA2995">
      <w:pPr>
        <w:pStyle w:val="ListNumber"/>
        <w:numPr>
          <w:ilvl w:val="0"/>
          <w:numId w:val="34"/>
        </w:numPr>
      </w:pPr>
      <w:r w:rsidRPr="002C2693">
        <w:rPr>
          <w:i/>
        </w:rPr>
        <w:t>Connection contracts</w:t>
      </w:r>
      <w:r w:rsidR="00E11AF0" w:rsidRPr="002C2693">
        <w:t xml:space="preserve"> – </w:t>
      </w:r>
      <w:r w:rsidR="0080271E" w:rsidRPr="002C2693">
        <w:t xml:space="preserve">ActewAGL’s proposal inserts </w:t>
      </w:r>
      <w:r w:rsidR="004A1B36" w:rsidRPr="002C2693">
        <w:t xml:space="preserve">a </w:t>
      </w:r>
      <w:r w:rsidR="0080271E" w:rsidRPr="002C2693">
        <w:t>new clause</w:t>
      </w:r>
      <w:r w:rsidR="009C2FE6" w:rsidRPr="002C2693">
        <w:rPr>
          <w:rStyle w:val="FootnoteReference"/>
        </w:rPr>
        <w:footnoteReference w:id="45"/>
      </w:r>
      <w:r w:rsidR="0080271E" w:rsidRPr="002C2693">
        <w:t xml:space="preserve"> </w:t>
      </w:r>
      <w:r w:rsidRPr="002C2693">
        <w:t xml:space="preserve">which </w:t>
      </w:r>
      <w:r w:rsidR="0080271E" w:rsidRPr="002C2693">
        <w:t>provides</w:t>
      </w:r>
      <w:r w:rsidR="006E6CE7" w:rsidRPr="002C2693">
        <w:t xml:space="preserve"> that</w:t>
      </w:r>
      <w:r w:rsidR="00564C1B" w:rsidRPr="002C2693">
        <w:t>,</w:t>
      </w:r>
      <w:r w:rsidR="006E6CE7" w:rsidRPr="002C2693">
        <w:t xml:space="preserve"> when administering a queue</w:t>
      </w:r>
      <w:r w:rsidR="00564C1B" w:rsidRPr="002C2693">
        <w:t>,</w:t>
      </w:r>
      <w:r w:rsidR="006E6CE7" w:rsidRPr="002C2693">
        <w:t xml:space="preserve"> </w:t>
      </w:r>
      <w:r w:rsidR="00E60F3C" w:rsidRPr="002C2693">
        <w:t>ActewAGL</w:t>
      </w:r>
      <w:r w:rsidR="006E6CE7" w:rsidRPr="002C2693">
        <w:t xml:space="preserve"> may take into account a connection contract it has entered</w:t>
      </w:r>
      <w:r w:rsidR="00E60F3C" w:rsidRPr="002C2693">
        <w:t xml:space="preserve"> into</w:t>
      </w:r>
      <w:r w:rsidR="006E6CE7" w:rsidRPr="002C2693">
        <w:t>. This include</w:t>
      </w:r>
      <w:r w:rsidR="00E60F3C" w:rsidRPr="002C2693">
        <w:t>s</w:t>
      </w:r>
      <w:r w:rsidR="006E6CE7" w:rsidRPr="002C2693">
        <w:t xml:space="preserve"> a connection contract under Part 12A of the NGR with a retail customer. In these circumstances, a request from a user with an existing connection contract </w:t>
      </w:r>
      <w:r w:rsidR="00E60F3C" w:rsidRPr="002C2693">
        <w:t>may</w:t>
      </w:r>
      <w:r w:rsidR="006E6CE7" w:rsidRPr="002C2693">
        <w:t xml:space="preserve"> receive priority over a request from other users in the queue. </w:t>
      </w:r>
      <w:r w:rsidR="00E60F3C" w:rsidRPr="002C2693">
        <w:t>We</w:t>
      </w:r>
      <w:r w:rsidR="006E6CE7" w:rsidRPr="002C2693">
        <w:t xml:space="preserve"> accept this proposed clause and consider this clause will improve the operation of the access arrangement. It provides further detail to the proposed access arrangement to enable prospective users to understand the basis on which an order of priority between them will be determined.</w:t>
      </w:r>
    </w:p>
    <w:p w:rsidR="004A1B36" w:rsidRPr="00097655" w:rsidRDefault="004A1B36" w:rsidP="006E6CE7">
      <w:r w:rsidRPr="00772104">
        <w:t xml:space="preserve">We accept that </w:t>
      </w:r>
      <w:r>
        <w:t>the above four changes to the current access arrangement</w:t>
      </w:r>
      <w:r w:rsidRPr="00772104">
        <w:t xml:space="preserve"> provide more</w:t>
      </w:r>
      <w:r>
        <w:t xml:space="preserve"> detail, transparency, clarity and</w:t>
      </w:r>
      <w:r w:rsidRPr="00772104">
        <w:t xml:space="preserve"> certainty to users</w:t>
      </w:r>
      <w:r>
        <w:t xml:space="preserve">. Providing more transparency, clarity and certainty to users will </w:t>
      </w:r>
      <w:r w:rsidRPr="00772104">
        <w:t xml:space="preserve">promote the </w:t>
      </w:r>
      <w:r>
        <w:t xml:space="preserve">efficient operation and use of ActewAGL’s network, and is therefore consistent with the </w:t>
      </w:r>
      <w:r w:rsidRPr="00772104">
        <w:t>NGO</w:t>
      </w:r>
      <w:r w:rsidR="0096387A">
        <w:t>.</w:t>
      </w:r>
    </w:p>
    <w:p w:rsidR="00921AE6" w:rsidRDefault="00921AE6" w:rsidP="00025337">
      <w:pPr>
        <w:pStyle w:val="Heading2"/>
        <w:keepNext/>
        <w:ind w:left="578" w:hanging="578"/>
      </w:pPr>
      <w:bookmarkStart w:id="27" w:name="_Toc435083249"/>
      <w:r>
        <w:lastRenderedPageBreak/>
        <w:t>Extension and expansion requirements</w:t>
      </w:r>
      <w:bookmarkEnd w:id="27"/>
    </w:p>
    <w:p w:rsidR="006058D0" w:rsidRDefault="006058D0" w:rsidP="00CC7BBC">
      <w:r w:rsidRPr="0002283B">
        <w:t>All access arrangements must include requirements relating to extensions of, and expansions to, a pipeline.</w:t>
      </w:r>
      <w:r w:rsidRPr="00B401A2">
        <w:rPr>
          <w:rStyle w:val="AERsuperscript"/>
        </w:rPr>
        <w:footnoteReference w:id="46"/>
      </w:r>
      <w:r w:rsidRPr="0002283B">
        <w:t xml:space="preserve"> An extension relates to </w:t>
      </w:r>
      <w:r>
        <w:t>extending</w:t>
      </w:r>
      <w:r w:rsidRPr="0002283B">
        <w:t xml:space="preserve"> the pipeline </w:t>
      </w:r>
      <w:r>
        <w:t>to</w:t>
      </w:r>
      <w:r w:rsidRPr="0002283B">
        <w:t xml:space="preserve"> receive or deliver gas to or from new locations.</w:t>
      </w:r>
      <w:r>
        <w:t xml:space="preserve"> </w:t>
      </w:r>
      <w:r w:rsidRPr="0002283B">
        <w:t>An expansion relates to augment</w:t>
      </w:r>
      <w:r>
        <w:t>ing</w:t>
      </w:r>
      <w:r w:rsidRPr="0002283B">
        <w:t xml:space="preserve"> the </w:t>
      </w:r>
      <w:r>
        <w:t xml:space="preserve">pipeline's </w:t>
      </w:r>
      <w:r w:rsidRPr="0002283B">
        <w:t xml:space="preserve">capacity </w:t>
      </w:r>
      <w:r w:rsidR="005E4D44">
        <w:t>that</w:t>
      </w:r>
      <w:r w:rsidRPr="0002283B">
        <w:t xml:space="preserve"> enhances its capacity to deliver an increased volume of gas to users. </w:t>
      </w:r>
    </w:p>
    <w:p w:rsidR="00921AE6" w:rsidRDefault="00921AE6" w:rsidP="00921AE6">
      <w:pPr>
        <w:pStyle w:val="Heading3"/>
      </w:pPr>
      <w:bookmarkStart w:id="28" w:name="_Toc435083250"/>
      <w:r>
        <w:t>Draft decision</w:t>
      </w:r>
      <w:bookmarkEnd w:id="28"/>
    </w:p>
    <w:p w:rsidR="006058D0" w:rsidRPr="006058D0" w:rsidRDefault="006058D0" w:rsidP="006058D0">
      <w:r w:rsidRPr="005441B2">
        <w:t xml:space="preserve">We </w:t>
      </w:r>
      <w:r w:rsidR="00143F81">
        <w:t xml:space="preserve">do not </w:t>
      </w:r>
      <w:r w:rsidRPr="005441B2">
        <w:t xml:space="preserve">approve </w:t>
      </w:r>
      <w:r w:rsidR="003D7DED" w:rsidRPr="005441B2">
        <w:t>ActewAGL’s</w:t>
      </w:r>
      <w:r w:rsidRPr="005441B2">
        <w:t xml:space="preserve"> proposed extension and expansion requirements </w:t>
      </w:r>
      <w:r w:rsidR="0080271E">
        <w:t>for the</w:t>
      </w:r>
      <w:r w:rsidRPr="005441B2">
        <w:t xml:space="preserve"> 201</w:t>
      </w:r>
      <w:r w:rsidR="003D7DED" w:rsidRPr="005441B2">
        <w:t>6</w:t>
      </w:r>
      <w:r w:rsidR="00CB65F4">
        <w:t>–</w:t>
      </w:r>
      <w:r w:rsidRPr="005441B2">
        <w:t>2</w:t>
      </w:r>
      <w:r w:rsidR="003D7DED" w:rsidRPr="005441B2">
        <w:t>1</w:t>
      </w:r>
      <w:r w:rsidRPr="005441B2">
        <w:t xml:space="preserve"> access arrangement</w:t>
      </w:r>
      <w:r w:rsidR="0080271E">
        <w:t xml:space="preserve"> period</w:t>
      </w:r>
      <w:r w:rsidR="00143F81">
        <w:t>, and require ActewAGL to make the amendment</w:t>
      </w:r>
      <w:r w:rsidR="00291AAD">
        <w:t>s</w:t>
      </w:r>
      <w:r w:rsidR="00143F81">
        <w:t xml:space="preserve"> set out in section</w:t>
      </w:r>
      <w:r w:rsidR="00291AAD">
        <w:t xml:space="preserve"> </w:t>
      </w:r>
      <w:r w:rsidR="00291AAD">
        <w:fldChar w:fldCharType="begin"/>
      </w:r>
      <w:r w:rsidR="00291AAD">
        <w:instrText xml:space="preserve"> REF _Ref430605875 \r \h </w:instrText>
      </w:r>
      <w:r w:rsidR="00291AAD">
        <w:fldChar w:fldCharType="separate"/>
      </w:r>
      <w:r w:rsidR="00291AAD">
        <w:t>12.7.2</w:t>
      </w:r>
      <w:r w:rsidR="00291AAD">
        <w:fldChar w:fldCharType="end"/>
      </w:r>
      <w:r w:rsidR="005441B2" w:rsidRPr="005441B2">
        <w:t>.</w:t>
      </w:r>
    </w:p>
    <w:p w:rsidR="00921AE6" w:rsidRDefault="00921AE6" w:rsidP="00921AE6">
      <w:pPr>
        <w:pStyle w:val="Heading3"/>
      </w:pPr>
      <w:bookmarkStart w:id="29" w:name="_Ref430606364"/>
      <w:bookmarkStart w:id="30" w:name="_Toc435083251"/>
      <w:r>
        <w:t>ActewAGL’s proposal</w:t>
      </w:r>
      <w:bookmarkEnd w:id="29"/>
      <w:bookmarkEnd w:id="30"/>
    </w:p>
    <w:p w:rsidR="006058D0" w:rsidRDefault="005441B2" w:rsidP="0065736C">
      <w:r>
        <w:t>ActewAGL proposed drafting changes in its extensions and expansions requirements.</w:t>
      </w:r>
      <w:r>
        <w:rPr>
          <w:rStyle w:val="FootnoteReference"/>
        </w:rPr>
        <w:footnoteReference w:id="47"/>
      </w:r>
      <w:r w:rsidR="001F3566">
        <w:t xml:space="preserve"> It submitted that the extension/expansion regime</w:t>
      </w:r>
      <w:r w:rsidR="00E22B29">
        <w:t xml:space="preserve"> in part 9 of its proposed access arrangement</w:t>
      </w:r>
      <w:r w:rsidR="001F3566">
        <w:t xml:space="preserve"> is </w:t>
      </w:r>
      <w:r w:rsidR="00F95597">
        <w:t>‘</w:t>
      </w:r>
      <w:r w:rsidR="001F3566">
        <w:t>substantially unchanged</w:t>
      </w:r>
      <w:r w:rsidR="00F95597">
        <w:t>’</w:t>
      </w:r>
      <w:r w:rsidR="001F3566">
        <w:t xml:space="preserve">, and that </w:t>
      </w:r>
      <w:r w:rsidR="00780318">
        <w:t xml:space="preserve">the </w:t>
      </w:r>
      <w:r w:rsidR="001F3566">
        <w:t xml:space="preserve">clause </w:t>
      </w:r>
      <w:r w:rsidR="00780318">
        <w:t xml:space="preserve">on </w:t>
      </w:r>
      <w:r w:rsidR="001F3566">
        <w:t>surcharges</w:t>
      </w:r>
      <w:r w:rsidR="00B401A2">
        <w:rPr>
          <w:rStyle w:val="FootnoteReference"/>
        </w:rPr>
        <w:footnoteReference w:id="48"/>
      </w:r>
      <w:r w:rsidR="00F95597">
        <w:t xml:space="preserve"> on extensions</w:t>
      </w:r>
      <w:r w:rsidR="00ED3F19">
        <w:t>/expansions</w:t>
      </w:r>
      <w:r w:rsidR="001F3566">
        <w:t xml:space="preserve"> </w:t>
      </w:r>
      <w:r w:rsidR="00E16AD6">
        <w:t>in</w:t>
      </w:r>
      <w:r w:rsidR="001F3566">
        <w:t xml:space="preserve"> the </w:t>
      </w:r>
      <w:r w:rsidR="004E5570">
        <w:t>current</w:t>
      </w:r>
      <w:r w:rsidR="001F3566">
        <w:t xml:space="preserve"> access arrangement has been removed because clauses 4.6 to 4.8 </w:t>
      </w:r>
      <w:r w:rsidR="00F95597">
        <w:t>(</w:t>
      </w:r>
      <w:r w:rsidR="001F3566">
        <w:t xml:space="preserve">surcharges </w:t>
      </w:r>
      <w:r w:rsidR="00F95597">
        <w:t xml:space="preserve">on capital expenditure) </w:t>
      </w:r>
      <w:r w:rsidR="00E16AD6">
        <w:t>in</w:t>
      </w:r>
      <w:r w:rsidR="001F3566">
        <w:t xml:space="preserve"> the </w:t>
      </w:r>
      <w:r w:rsidR="00E16AD6">
        <w:t xml:space="preserve">proposed </w:t>
      </w:r>
      <w:r w:rsidR="001F3566">
        <w:t>2016</w:t>
      </w:r>
      <w:r w:rsidR="00CB65F4">
        <w:t>–</w:t>
      </w:r>
      <w:r w:rsidR="001F3566">
        <w:t>21 access arrangement make it superfluous.</w:t>
      </w:r>
      <w:r w:rsidR="001F3566">
        <w:rPr>
          <w:rStyle w:val="FootnoteReference"/>
        </w:rPr>
        <w:footnoteReference w:id="49"/>
      </w:r>
      <w:r w:rsidR="001F3566">
        <w:t xml:space="preserve">  </w:t>
      </w:r>
    </w:p>
    <w:p w:rsidR="00921AE6" w:rsidRDefault="00921AE6" w:rsidP="00921AE6">
      <w:pPr>
        <w:pStyle w:val="Heading3"/>
      </w:pPr>
      <w:bookmarkStart w:id="31" w:name="_Toc425927202"/>
      <w:bookmarkStart w:id="32" w:name="_Toc425927239"/>
      <w:bookmarkStart w:id="33" w:name="_Toc435083252"/>
      <w:bookmarkEnd w:id="31"/>
      <w:bookmarkEnd w:id="32"/>
      <w:r>
        <w:t>AER’s assessment approach</w:t>
      </w:r>
      <w:bookmarkEnd w:id="33"/>
    </w:p>
    <w:p w:rsidR="006058D0" w:rsidRDefault="006058D0" w:rsidP="00CC7BBC">
      <w:r>
        <w:t xml:space="preserve">The AER has assessed </w:t>
      </w:r>
      <w:r w:rsidR="003D7DED">
        <w:t>ActewAGL’s</w:t>
      </w:r>
      <w:r>
        <w:t xml:space="preserve"> extension and expansion requirements for consistency </w:t>
      </w:r>
      <w:r w:rsidR="00736D7A">
        <w:t xml:space="preserve">with </w:t>
      </w:r>
      <w:r>
        <w:t>the NGO and rule 104 of the NGR.</w:t>
      </w:r>
    </w:p>
    <w:p w:rsidR="006058D0" w:rsidRDefault="006058D0" w:rsidP="006058D0">
      <w:r>
        <w:t>Rule 104 of the NGR specifies the extension and expansion requirements and provides that:</w:t>
      </w:r>
      <w:r>
        <w:rPr>
          <w:rStyle w:val="FootnoteReference"/>
        </w:rPr>
        <w:footnoteReference w:id="50"/>
      </w:r>
    </w:p>
    <w:p w:rsidR="006058D0" w:rsidRDefault="006058D0" w:rsidP="006058D0">
      <w:pPr>
        <w:pStyle w:val="AERbulletlistfirststyle"/>
        <w:numPr>
          <w:ilvl w:val="0"/>
          <w:numId w:val="29"/>
        </w:numPr>
        <w:spacing w:before="0" w:after="200" w:line="288" w:lineRule="auto"/>
        <w:ind w:left="357" w:hanging="357"/>
        <w:jc w:val="both"/>
      </w:pPr>
      <w:r>
        <w:t>the</w:t>
      </w:r>
      <w:r w:rsidRPr="008F381E">
        <w:t xml:space="preserve"> requirements may state whether the access arrangement will apply to incremental services to be provided as a result of a particular extension to, or expansion of the capacity of, the pipeline</w:t>
      </w:r>
      <w:r>
        <w:t>,</w:t>
      </w:r>
      <w:r w:rsidRPr="008F381E">
        <w:t xml:space="preserve"> or outline how </w:t>
      </w:r>
      <w:r>
        <w:t xml:space="preserve">this </w:t>
      </w:r>
      <w:r w:rsidRPr="008F381E">
        <w:t>may be dealt with at a later time</w:t>
      </w:r>
      <w:r w:rsidR="00143F81">
        <w:t>: r. 104(1)</w:t>
      </w:r>
    </w:p>
    <w:p w:rsidR="006058D0" w:rsidRPr="00772104" w:rsidRDefault="006058D0" w:rsidP="006058D0">
      <w:pPr>
        <w:pStyle w:val="AERbulletlistfirststyle"/>
        <w:numPr>
          <w:ilvl w:val="0"/>
          <w:numId w:val="29"/>
        </w:numPr>
        <w:spacing w:before="0" w:after="200" w:line="288" w:lineRule="auto"/>
        <w:ind w:left="357" w:hanging="357"/>
        <w:jc w:val="both"/>
      </w:pPr>
      <w:r>
        <w:lastRenderedPageBreak/>
        <w:t xml:space="preserve">if an access arrangement is to apply to incremental services, </w:t>
      </w:r>
      <w:r w:rsidRPr="00772104">
        <w:t>the requirements must deal with the effect of the extension or expansion on tariffs</w:t>
      </w:r>
      <w:r w:rsidR="00143F81">
        <w:t>: r. 104(2)</w:t>
      </w:r>
      <w:r w:rsidRPr="00772104">
        <w:t xml:space="preserve"> </w:t>
      </w:r>
    </w:p>
    <w:p w:rsidR="006058D0" w:rsidRDefault="006058D0" w:rsidP="006058D0">
      <w:pPr>
        <w:pStyle w:val="AERbulletlistfirststyle"/>
        <w:numPr>
          <w:ilvl w:val="0"/>
          <w:numId w:val="29"/>
        </w:numPr>
        <w:spacing w:before="0" w:after="200" w:line="288" w:lineRule="auto"/>
        <w:ind w:left="357" w:hanging="357"/>
        <w:jc w:val="both"/>
      </w:pPr>
      <w:r>
        <w:t>the</w:t>
      </w:r>
      <w:r w:rsidR="00397EC5">
        <w:t xml:space="preserve"> </w:t>
      </w:r>
      <w:r>
        <w:t>requirements cannot require the service provider to provide funds for extension</w:t>
      </w:r>
      <w:r w:rsidR="00397EC5">
        <w:t xml:space="preserve"> or </w:t>
      </w:r>
      <w:r>
        <w:t>expansion works unless the service provider agrees</w:t>
      </w:r>
      <w:r w:rsidR="00143F81">
        <w:t>: r. 104(3)</w:t>
      </w:r>
      <w:r>
        <w:t>.</w:t>
      </w:r>
    </w:p>
    <w:p w:rsidR="00921AE6" w:rsidRDefault="00921AE6" w:rsidP="00921AE6">
      <w:pPr>
        <w:pStyle w:val="Heading3"/>
      </w:pPr>
      <w:bookmarkStart w:id="34" w:name="_Toc435083253"/>
      <w:r>
        <w:t>Reasons for draft decision</w:t>
      </w:r>
      <w:bookmarkEnd w:id="34"/>
    </w:p>
    <w:p w:rsidR="00F638F0" w:rsidRDefault="00E22B29" w:rsidP="006058D0">
      <w:r>
        <w:t xml:space="preserve">Other than the structural changes noted in section </w:t>
      </w:r>
      <w:r>
        <w:fldChar w:fldCharType="begin"/>
      </w:r>
      <w:r>
        <w:instrText xml:space="preserve"> REF _Ref430606364 \r \h </w:instrText>
      </w:r>
      <w:r>
        <w:fldChar w:fldCharType="separate"/>
      </w:r>
      <w:r>
        <w:t>12.3.2</w:t>
      </w:r>
      <w:r>
        <w:fldChar w:fldCharType="end"/>
      </w:r>
      <w:r>
        <w:t xml:space="preserve"> above,</w:t>
      </w:r>
      <w:r w:rsidR="00F638F0">
        <w:t xml:space="preserve"> ActewAGL’s </w:t>
      </w:r>
      <w:r>
        <w:t xml:space="preserve">proposal remains largely unchanged and we consider it is consistent with </w:t>
      </w:r>
      <w:r w:rsidR="00F638F0">
        <w:t>r</w:t>
      </w:r>
      <w:r w:rsidR="00780318">
        <w:t>.</w:t>
      </w:r>
      <w:r w:rsidR="00F638F0">
        <w:t xml:space="preserve"> 104 of the NER.</w:t>
      </w:r>
    </w:p>
    <w:p w:rsidR="00E22B29" w:rsidRDefault="00E22B29" w:rsidP="006058D0">
      <w:r>
        <w:t>However, we require two further changes from the current access arrangement</w:t>
      </w:r>
      <w:r w:rsidR="00080419">
        <w:t xml:space="preserve">. We consider these </w:t>
      </w:r>
      <w:r>
        <w:t>will produce a preferable extensions and expansions policy</w:t>
      </w:r>
      <w:r w:rsidR="00554AFD">
        <w:t xml:space="preserve"> </w:t>
      </w:r>
      <w:r w:rsidR="003B3ABE">
        <w:t xml:space="preserve">which </w:t>
      </w:r>
      <w:r w:rsidR="00554AFD">
        <w:t xml:space="preserve">is consistent with </w:t>
      </w:r>
      <w:r w:rsidR="005836CB">
        <w:t xml:space="preserve">the NGR </w:t>
      </w:r>
      <w:r w:rsidR="00080419">
        <w:t>and</w:t>
      </w:r>
      <w:r w:rsidR="005836CB">
        <w:t xml:space="preserve"> our </w:t>
      </w:r>
      <w:r w:rsidR="00554AFD">
        <w:t>more recent decisions</w:t>
      </w:r>
      <w:r w:rsidR="00080419">
        <w:t xml:space="preserve"> (</w:t>
      </w:r>
      <w:r w:rsidR="00554AFD">
        <w:t>including our final decision on the access arrangement that applies to JGN’s gas distribution network in NSW</w:t>
      </w:r>
      <w:r w:rsidR="00080419">
        <w:t>)</w:t>
      </w:r>
      <w:r>
        <w:t>.</w:t>
      </w:r>
    </w:p>
    <w:p w:rsidR="00E22B29" w:rsidRDefault="00E22B29" w:rsidP="006058D0">
      <w:r>
        <w:t>First, the current extensions and expansions policy records an exclusion for a particular extension that was anticipated at the time of our decision on that policy:</w:t>
      </w:r>
    </w:p>
    <w:p w:rsidR="00E22B29" w:rsidRDefault="00E22B29" w:rsidP="00554AFD">
      <w:pPr>
        <w:pStyle w:val="AERquote"/>
      </w:pPr>
      <w:r>
        <w:t>The anticipated extension in the Australian Capital Territory from Belconnen across the</w:t>
      </w:r>
      <w:r w:rsidR="00A33C14">
        <w:t xml:space="preserve"> </w:t>
      </w:r>
      <w:r>
        <w:t>Molonglo Valley to Phillip does not represent a high pressure pipeline extension for the purposes of this section 9.</w:t>
      </w:r>
    </w:p>
    <w:p w:rsidR="00E22B29" w:rsidRDefault="00E22B29" w:rsidP="00554AFD">
      <w:r>
        <w:t xml:space="preserve">ActewAGL has </w:t>
      </w:r>
      <w:r w:rsidR="002C2693">
        <w:t>retained</w:t>
      </w:r>
      <w:r>
        <w:t xml:space="preserve"> this exclusion </w:t>
      </w:r>
      <w:r w:rsidR="002C2693">
        <w:t>in its proposed access arrangement for 2016</w:t>
      </w:r>
      <w:r w:rsidR="002C2693">
        <w:noBreakHyphen/>
        <w:t>21</w:t>
      </w:r>
      <w:r>
        <w:t xml:space="preserve">. However, its proposal also includes forecast capital expenditure for this extension </w:t>
      </w:r>
      <w:r w:rsidR="0082616F">
        <w:t>which</w:t>
      </w:r>
      <w:r>
        <w:t xml:space="preserve"> suggests </w:t>
      </w:r>
      <w:r w:rsidR="0082616F">
        <w:t xml:space="preserve">that </w:t>
      </w:r>
      <w:r>
        <w:t>this project</w:t>
      </w:r>
      <w:r w:rsidR="0082616F">
        <w:t xml:space="preserve"> </w:t>
      </w:r>
      <w:r>
        <w:t>be considered a high pressure pipeline extension. We therefore consider the exclusion is no longer appropriate and should be removed.</w:t>
      </w:r>
      <w:r w:rsidR="003B3ABE">
        <w:t xml:space="preserve"> (See amendment </w:t>
      </w:r>
      <w:r w:rsidR="002B38D9">
        <w:t>6</w:t>
      </w:r>
      <w:r w:rsidR="003B3ABE">
        <w:t xml:space="preserve"> in section </w:t>
      </w:r>
      <w:r w:rsidR="00401A32">
        <w:fldChar w:fldCharType="begin"/>
      </w:r>
      <w:r w:rsidR="00401A32">
        <w:instrText xml:space="preserve"> REF _Ref430605875 \r \h </w:instrText>
      </w:r>
      <w:r w:rsidR="00401A32">
        <w:fldChar w:fldCharType="separate"/>
      </w:r>
      <w:r w:rsidR="00401A32">
        <w:t>12.7.2</w:t>
      </w:r>
      <w:r w:rsidR="00401A32">
        <w:fldChar w:fldCharType="end"/>
      </w:r>
      <w:r w:rsidR="003B3ABE">
        <w:t xml:space="preserve"> below.)</w:t>
      </w:r>
    </w:p>
    <w:p w:rsidR="0082616F" w:rsidRPr="00E22B29" w:rsidRDefault="0082616F" w:rsidP="00554AFD">
      <w:r>
        <w:t>Second, the proposed access arrangement sets a 20 business day time limit for us to make a decision on ActewAGL’s proposed coverage approach for an extension. It contemplates</w:t>
      </w:r>
      <w:r w:rsidR="000D27D3">
        <w:t xml:space="preserve"> an</w:t>
      </w:r>
      <w:r>
        <w:t xml:space="preserve"> extension</w:t>
      </w:r>
      <w:r w:rsidR="000D27D3">
        <w:t xml:space="preserve"> to this time limit</w:t>
      </w:r>
      <w:r>
        <w:t xml:space="preserve"> for the purposes of further consultation with ActewAGL.</w:t>
      </w:r>
      <w:r>
        <w:rPr>
          <w:rStyle w:val="FootnoteReference"/>
        </w:rPr>
        <w:footnoteReference w:id="51"/>
      </w:r>
      <w:r>
        <w:t xml:space="preserve"> In more recent decisions, including our final decision on the access arrangement for JGN, we have approved extensions and expansions policies that do not impose such strict timelines, and which explicitly contemplate wider consultation. We have also approved extensions and expansions policies that allow us to make our decision on such conditions as we determine are reasonable. We consider these policies preferable to </w:t>
      </w:r>
      <w:r w:rsidR="000D27D3">
        <w:t>the corresponding policies in</w:t>
      </w:r>
      <w:r>
        <w:t xml:space="preserve"> ActewAGL’s</w:t>
      </w:r>
      <w:r w:rsidR="00160CFD">
        <w:t xml:space="preserve"> current access arrangement, and require</w:t>
      </w:r>
      <w:r w:rsidR="00EF016B">
        <w:t xml:space="preserve"> ActewAGL to make</w:t>
      </w:r>
      <w:r w:rsidR="00160CFD">
        <w:t xml:space="preserve"> amendment</w:t>
      </w:r>
      <w:r w:rsidR="00EF016B">
        <w:t xml:space="preserve"> 7</w:t>
      </w:r>
      <w:r w:rsidR="00160CFD">
        <w:t xml:space="preserve"> set out in </w:t>
      </w:r>
      <w:r w:rsidR="00160CFD" w:rsidRPr="007E7B4D">
        <w:t xml:space="preserve">section </w:t>
      </w:r>
      <w:r w:rsidR="007E7B4D" w:rsidRPr="00554AFD">
        <w:fldChar w:fldCharType="begin"/>
      </w:r>
      <w:r w:rsidR="007E7B4D" w:rsidRPr="00554AFD">
        <w:instrText xml:space="preserve"> REF _Ref430605875 \r \h </w:instrText>
      </w:r>
      <w:r w:rsidR="007E7B4D">
        <w:instrText xml:space="preserve"> \* MERGEFORMAT </w:instrText>
      </w:r>
      <w:r w:rsidR="007E7B4D" w:rsidRPr="00554AFD">
        <w:fldChar w:fldCharType="separate"/>
      </w:r>
      <w:r w:rsidR="007E7B4D" w:rsidRPr="00554AFD">
        <w:t>12.7.2</w:t>
      </w:r>
      <w:r w:rsidR="007E7B4D" w:rsidRPr="00554AFD">
        <w:fldChar w:fldCharType="end"/>
      </w:r>
      <w:r w:rsidR="003B3ABE">
        <w:t xml:space="preserve"> below</w:t>
      </w:r>
      <w:r w:rsidR="00160CFD" w:rsidRPr="007E7B4D">
        <w:t>.</w:t>
      </w:r>
    </w:p>
    <w:p w:rsidR="00143F81" w:rsidRDefault="0082616F" w:rsidP="006058D0">
      <w:r>
        <w:t xml:space="preserve">We consider this approach provides greater certainty to stakeholders that a proposed coverage approach will be open to appropriate consultation with </w:t>
      </w:r>
      <w:r w:rsidR="00B33F6D">
        <w:t>stakeholders</w:t>
      </w:r>
      <w:r>
        <w:t>,</w:t>
      </w:r>
      <w:r w:rsidR="00B33F6D">
        <w:t xml:space="preserve"> </w:t>
      </w:r>
      <w:r>
        <w:t xml:space="preserve">allowing us </w:t>
      </w:r>
      <w:r w:rsidR="00B33F6D">
        <w:t xml:space="preserve">to arrive at a decision that is fair and reasonable and that promotes the NGO. </w:t>
      </w:r>
      <w:r>
        <w:t>These</w:t>
      </w:r>
      <w:r w:rsidR="003A13BF">
        <w:t xml:space="preserve"> </w:t>
      </w:r>
      <w:r w:rsidR="003A13BF">
        <w:lastRenderedPageBreak/>
        <w:t>amendment</w:t>
      </w:r>
      <w:r>
        <w:t>s</w:t>
      </w:r>
      <w:r w:rsidR="003A13BF">
        <w:t xml:space="preserve"> align with the approach adopted by JGN</w:t>
      </w:r>
      <w:r w:rsidR="00B33F6D">
        <w:t xml:space="preserve"> for its 2015</w:t>
      </w:r>
      <w:r w:rsidR="00EE03F6">
        <w:t>–</w:t>
      </w:r>
      <w:r w:rsidR="00B33F6D">
        <w:t>20 access arrangement</w:t>
      </w:r>
      <w:r w:rsidR="00B543C8">
        <w:t xml:space="preserve"> and approved by the AER. </w:t>
      </w:r>
    </w:p>
    <w:p w:rsidR="00921AE6" w:rsidRDefault="00921AE6" w:rsidP="00140199">
      <w:pPr>
        <w:pStyle w:val="Heading2"/>
        <w:keepNext/>
      </w:pPr>
      <w:bookmarkStart w:id="35" w:name="_Toc435083254"/>
      <w:r>
        <w:t>Capacity trading requirements</w:t>
      </w:r>
      <w:bookmarkEnd w:id="35"/>
    </w:p>
    <w:p w:rsidR="00397EC5" w:rsidRPr="00397EC5" w:rsidRDefault="00397EC5" w:rsidP="00CC7BBC">
      <w:r w:rsidRPr="00772104">
        <w:t>The capacity trading requirements of an access arrangement may allow a user to transfer, by way of a subcontract, all or any of the user’s contracted capacity to another user.</w:t>
      </w:r>
      <w:r w:rsidRPr="007C78BC">
        <w:rPr>
          <w:rStyle w:val="AERsuperscript"/>
          <w:rFonts w:eastAsia="Calibri"/>
          <w:sz w:val="22"/>
        </w:rPr>
        <w:footnoteReference w:id="52"/>
      </w:r>
      <w:r w:rsidRPr="00772104">
        <w:t xml:space="preserve"> In doing so, it may enable a secondary market with more efficient price signals and levels of usage</w:t>
      </w:r>
      <w:r w:rsidR="007C78BC">
        <w:t>.</w:t>
      </w:r>
    </w:p>
    <w:p w:rsidR="00921AE6" w:rsidRDefault="00921AE6" w:rsidP="00921AE6">
      <w:pPr>
        <w:pStyle w:val="Heading3"/>
      </w:pPr>
      <w:bookmarkStart w:id="36" w:name="_Toc435083255"/>
      <w:r>
        <w:t>Draft decision</w:t>
      </w:r>
      <w:bookmarkEnd w:id="36"/>
    </w:p>
    <w:p w:rsidR="00397EC5" w:rsidRPr="00772104" w:rsidRDefault="00397EC5" w:rsidP="00397EC5">
      <w:r w:rsidRPr="00EF763B">
        <w:t xml:space="preserve">We approve </w:t>
      </w:r>
      <w:r w:rsidR="007C78BC" w:rsidRPr="00EF763B">
        <w:t>ActewAGL’s</w:t>
      </w:r>
      <w:r w:rsidRPr="00EF763B">
        <w:t xml:space="preserve"> proposed capacity trading requirements</w:t>
      </w:r>
      <w:r w:rsidR="00736D7A">
        <w:t xml:space="preserve"> for the 2016–21 access arrangement period</w:t>
      </w:r>
      <w:r>
        <w:t xml:space="preserve">. </w:t>
      </w:r>
    </w:p>
    <w:p w:rsidR="00921AE6" w:rsidRDefault="00921AE6" w:rsidP="00921AE6">
      <w:pPr>
        <w:pStyle w:val="Heading3"/>
      </w:pPr>
      <w:bookmarkStart w:id="37" w:name="_Toc435083256"/>
      <w:r>
        <w:t>ActewAGL’s proposal</w:t>
      </w:r>
      <w:bookmarkEnd w:id="37"/>
    </w:p>
    <w:p w:rsidR="00710F09" w:rsidRDefault="00EC062A" w:rsidP="00397EC5">
      <w:r>
        <w:t>ActewAGL’s 2010</w:t>
      </w:r>
      <w:r w:rsidR="00A57A63">
        <w:t>–</w:t>
      </w:r>
      <w:r>
        <w:t xml:space="preserve">15 access arrangement contained one </w:t>
      </w:r>
      <w:r w:rsidR="00287EA2">
        <w:t xml:space="preserve">part </w:t>
      </w:r>
      <w:r>
        <w:t xml:space="preserve">for both requirements for (a) capacity trading and (b) changing receipt </w:t>
      </w:r>
      <w:r w:rsidR="00A80B84">
        <w:t>or</w:t>
      </w:r>
      <w:r w:rsidR="00C95E1A">
        <w:t xml:space="preserve"> </w:t>
      </w:r>
      <w:r>
        <w:t xml:space="preserve">delivery points. This was </w:t>
      </w:r>
      <w:r w:rsidR="009A16D2">
        <w:t xml:space="preserve">part </w:t>
      </w:r>
      <w:r>
        <w:t xml:space="preserve">8 – Trading Policy. </w:t>
      </w:r>
    </w:p>
    <w:p w:rsidR="007E6DD6" w:rsidRDefault="007E6DD6" w:rsidP="00397EC5">
      <w:r>
        <w:t>In the</w:t>
      </w:r>
      <w:r w:rsidR="00EC062A">
        <w:t xml:space="preserve"> propose</w:t>
      </w:r>
      <w:r>
        <w:t xml:space="preserve">d access arrangement for 2016-21, </w:t>
      </w:r>
      <w:r w:rsidR="00710F09">
        <w:t xml:space="preserve">the old </w:t>
      </w:r>
      <w:r w:rsidR="009A16D2">
        <w:t xml:space="preserve">part </w:t>
      </w:r>
      <w:r>
        <w:t>8 has been altered in structure and wording:</w:t>
      </w:r>
    </w:p>
    <w:p w:rsidR="00EC062A" w:rsidRDefault="007E6DD6" w:rsidP="00710F09">
      <w:pPr>
        <w:pStyle w:val="AERbulletlistfirststyle"/>
      </w:pPr>
      <w:r>
        <w:t>There are now separate clauses for capacity trading</w:t>
      </w:r>
      <w:r w:rsidR="00CC7BBC">
        <w:t xml:space="preserve"> (clause </w:t>
      </w:r>
      <w:r w:rsidR="00130EFE">
        <w:t>10</w:t>
      </w:r>
      <w:r w:rsidR="00CC7BBC">
        <w:t>)</w:t>
      </w:r>
      <w:r>
        <w:t xml:space="preserve"> and for changing </w:t>
      </w:r>
      <w:r w:rsidR="009728BD">
        <w:t xml:space="preserve">receipt </w:t>
      </w:r>
      <w:r w:rsidR="00A80B84">
        <w:t>or</w:t>
      </w:r>
      <w:r w:rsidR="009728BD">
        <w:t xml:space="preserve"> delivery </w:t>
      </w:r>
      <w:r>
        <w:t>points</w:t>
      </w:r>
      <w:r w:rsidR="00CC7BBC">
        <w:t xml:space="preserve"> (clause </w:t>
      </w:r>
      <w:r w:rsidR="00130EFE">
        <w:t>11</w:t>
      </w:r>
      <w:r w:rsidR="00CC7BBC">
        <w:t>)</w:t>
      </w:r>
      <w:r>
        <w:t>.</w:t>
      </w:r>
    </w:p>
    <w:p w:rsidR="00710F09" w:rsidRDefault="00710F09" w:rsidP="00710F09">
      <w:pPr>
        <w:pStyle w:val="AERbulletlistfirststyle"/>
      </w:pPr>
      <w:r>
        <w:t xml:space="preserve">More detail on the requirements </w:t>
      </w:r>
      <w:r w:rsidR="00745582">
        <w:t>is</w:t>
      </w:r>
      <w:r>
        <w:t xml:space="preserve"> now contained in the RSA</w:t>
      </w:r>
      <w:r w:rsidR="00E31059">
        <w:t xml:space="preserve"> (schedule 5 of the access arrangement)</w:t>
      </w:r>
      <w:r>
        <w:t xml:space="preserve"> rather than the access arrangement</w:t>
      </w:r>
      <w:r w:rsidR="00720E29">
        <w:t xml:space="preserve"> itself</w:t>
      </w:r>
      <w:r>
        <w:t>.</w:t>
      </w:r>
    </w:p>
    <w:p w:rsidR="00710F09" w:rsidRDefault="00710F09" w:rsidP="00397EC5">
      <w:r>
        <w:t>ActewAGL submitted that these changes align with the approach adopted by JGN for its 2015-20 access arrangement.</w:t>
      </w:r>
      <w:r w:rsidR="00367D37">
        <w:rPr>
          <w:rStyle w:val="FootnoteReference"/>
        </w:rPr>
        <w:footnoteReference w:id="53"/>
      </w:r>
    </w:p>
    <w:p w:rsidR="00D65DA6" w:rsidRDefault="00D65DA6" w:rsidP="00745582">
      <w:r>
        <w:t xml:space="preserve">In this section we set out our assessment of ActewAGL’s proposed capacity trading requirements. We consider ActewAGL’s proposed terms and conditions for changing receipt </w:t>
      </w:r>
      <w:r w:rsidR="00A80B84">
        <w:t>or</w:t>
      </w:r>
      <w:r>
        <w:t xml:space="preserve"> delivery points in section </w:t>
      </w:r>
      <w:r w:rsidR="00184C50">
        <w:fldChar w:fldCharType="begin"/>
      </w:r>
      <w:r w:rsidR="00184C50">
        <w:instrText xml:space="preserve"> REF _Ref435083108 \r \h </w:instrText>
      </w:r>
      <w:r w:rsidR="00184C50">
        <w:fldChar w:fldCharType="separate"/>
      </w:r>
      <w:r w:rsidR="00184C50">
        <w:t>12.5</w:t>
      </w:r>
      <w:r w:rsidR="00184C50">
        <w:fldChar w:fldCharType="end"/>
      </w:r>
      <w:r w:rsidR="00184C50">
        <w:t xml:space="preserve"> </w:t>
      </w:r>
      <w:r>
        <w:t>below.</w:t>
      </w:r>
    </w:p>
    <w:p w:rsidR="00921AE6" w:rsidRDefault="00921AE6" w:rsidP="005102EF">
      <w:pPr>
        <w:pStyle w:val="Heading3"/>
        <w:keepNext/>
      </w:pPr>
      <w:bookmarkStart w:id="38" w:name="_Toc435083257"/>
      <w:r>
        <w:t>AER’s assessment approach</w:t>
      </w:r>
      <w:bookmarkEnd w:id="38"/>
    </w:p>
    <w:p w:rsidR="00397EC5" w:rsidRDefault="00397EC5" w:rsidP="00CC7BBC">
      <w:r>
        <w:t xml:space="preserve">We have assessed </w:t>
      </w:r>
      <w:r w:rsidR="008479A3">
        <w:t>ActewAGL’s</w:t>
      </w:r>
      <w:r>
        <w:t xml:space="preserve"> </w:t>
      </w:r>
      <w:r w:rsidR="008479A3">
        <w:t xml:space="preserve">proposed </w:t>
      </w:r>
      <w:r>
        <w:t>capacity trading requirements for consistency with the NGO and r. 105 of the NGR.</w:t>
      </w:r>
    </w:p>
    <w:p w:rsidR="00397EC5" w:rsidRDefault="00397EC5" w:rsidP="00CC7BBC">
      <w:r>
        <w:t>Rule 105 has specific provisions on capacity trading requirements and, at a high level, provides that:</w:t>
      </w:r>
    </w:p>
    <w:p w:rsidR="00397EC5" w:rsidRPr="00736D7A" w:rsidRDefault="00397EC5" w:rsidP="00CC7BBC">
      <w:pPr>
        <w:pStyle w:val="AERbulletlistfirststyle"/>
      </w:pPr>
      <w:r w:rsidRPr="00CC7BBC">
        <w:lastRenderedPageBreak/>
        <w:t>the requirements must provide for capacity transfers in accordance with the rules or procedures of the relevant gas market, if the service provider is registered as a participant in a particular gas market</w:t>
      </w:r>
      <w:r w:rsidR="006A126D">
        <w:t>: r. 105(1)</w:t>
      </w:r>
    </w:p>
    <w:p w:rsidR="00397EC5" w:rsidRPr="00736D7A" w:rsidRDefault="00397EC5" w:rsidP="00CC7BBC">
      <w:pPr>
        <w:pStyle w:val="AERbulletlistfirststyle"/>
      </w:pPr>
      <w:r w:rsidRPr="00736D7A">
        <w:t>a user may transfer all or part of its contracted capacity without the service provider</w:t>
      </w:r>
      <w:r w:rsidR="008479A3" w:rsidRPr="00736D7A">
        <w:t>’</w:t>
      </w:r>
      <w:r w:rsidRPr="00736D7A">
        <w:t>s consent, with particular consequences</w:t>
      </w:r>
      <w:r w:rsidR="006A126D">
        <w:t>: r. 105(2)</w:t>
      </w:r>
    </w:p>
    <w:p w:rsidR="00397EC5" w:rsidRPr="00736D7A" w:rsidRDefault="00397EC5" w:rsidP="00CC7BBC">
      <w:pPr>
        <w:pStyle w:val="AERbulletlistfirststyle"/>
      </w:pPr>
      <w:r w:rsidRPr="00736D7A">
        <w:t>a user may transfer all or part of its contracted capacity with the service provider</w:t>
      </w:r>
      <w:r w:rsidR="008479A3" w:rsidRPr="00736D7A">
        <w:t>’</w:t>
      </w:r>
      <w:r w:rsidRPr="00736D7A">
        <w:t>s consent, with particular consequences</w:t>
      </w:r>
      <w:r w:rsidR="006A126D">
        <w:t>: r. 105(3)</w:t>
      </w:r>
    </w:p>
    <w:p w:rsidR="00397EC5" w:rsidRDefault="00397EC5" w:rsidP="00CC7BBC">
      <w:pPr>
        <w:pStyle w:val="AERbulletlistfirststyle"/>
      </w:pPr>
      <w:r w:rsidRPr="00736D7A">
        <w:t>a service provider must not withhold its consent unless it has reasonable grounds, based on technical or commercial considerations, for doing so</w:t>
      </w:r>
      <w:r w:rsidR="006A126D">
        <w:t>: r. 105(4)</w:t>
      </w:r>
    </w:p>
    <w:p w:rsidR="004E7D97" w:rsidRPr="00736D7A" w:rsidRDefault="004E7D97" w:rsidP="00CC7BBC">
      <w:pPr>
        <w:pStyle w:val="AERbulletlistfirststyle"/>
      </w:pPr>
      <w:r>
        <w:t>a capacity transfer does not affect a user’s rights and liabilities retrospectively: r. 105(5)</w:t>
      </w:r>
    </w:p>
    <w:p w:rsidR="00397EC5" w:rsidRPr="00736D7A" w:rsidRDefault="00397EC5" w:rsidP="00CC7BBC">
      <w:pPr>
        <w:pStyle w:val="AERbulletlistfirststyle"/>
      </w:pPr>
      <w:r w:rsidRPr="00736D7A">
        <w:t>the requirements may specify in advance the conditions under which consent will or will not be given</w:t>
      </w:r>
      <w:r w:rsidR="006A126D">
        <w:t>: r. 105(6)</w:t>
      </w:r>
    </w:p>
    <w:p w:rsidR="00921AE6" w:rsidRDefault="00921AE6" w:rsidP="00921AE6">
      <w:pPr>
        <w:pStyle w:val="Heading3"/>
      </w:pPr>
      <w:bookmarkStart w:id="39" w:name="_Toc435083258"/>
      <w:r>
        <w:t>Reasons for draft decision</w:t>
      </w:r>
      <w:bookmarkEnd w:id="39"/>
    </w:p>
    <w:p w:rsidR="009108A8" w:rsidRDefault="009108A8" w:rsidP="00CC7BBC">
      <w:r>
        <w:t>We</w:t>
      </w:r>
      <w:r w:rsidRPr="00DB4D32">
        <w:t xml:space="preserve"> assessed clause 10 of the proposed access arrangement and clause 27 of the proposed RSA which set out the capacity trading</w:t>
      </w:r>
      <w:r>
        <w:t xml:space="preserve"> or transfer</w:t>
      </w:r>
      <w:r w:rsidRPr="00DB4D32">
        <w:t xml:space="preserve"> requirements under ActewAGL’s proposed access arrangement.</w:t>
      </w:r>
      <w:r>
        <w:rPr>
          <w:rStyle w:val="FootnoteReference"/>
        </w:rPr>
        <w:footnoteReference w:id="54"/>
      </w:r>
      <w:r w:rsidRPr="00DB4D32">
        <w:t xml:space="preserve"> </w:t>
      </w:r>
    </w:p>
    <w:p w:rsidR="004E7D97" w:rsidRDefault="004E7D97" w:rsidP="00CC7BBC">
      <w:r>
        <w:t xml:space="preserve">We </w:t>
      </w:r>
      <w:r w:rsidR="009108A8">
        <w:t xml:space="preserve">consider </w:t>
      </w:r>
      <w:r>
        <w:t xml:space="preserve">clause 27 of the </w:t>
      </w:r>
      <w:r w:rsidR="00BE58B4">
        <w:t xml:space="preserve">proposed </w:t>
      </w:r>
      <w:r>
        <w:t xml:space="preserve">RSA satisfies the requirements of </w:t>
      </w:r>
      <w:r w:rsidR="00921225">
        <w:t>r. 105(1)(b) and r</w:t>
      </w:r>
      <w:r>
        <w:t>. 105(</w:t>
      </w:r>
      <w:r w:rsidR="00035052">
        <w:t>2</w:t>
      </w:r>
      <w:r>
        <w:t>) to (6)</w:t>
      </w:r>
      <w:r w:rsidR="00C83AA3">
        <w:t xml:space="preserve"> of the NGR</w:t>
      </w:r>
      <w:r>
        <w:t>.</w:t>
      </w:r>
    </w:p>
    <w:p w:rsidR="004E5570" w:rsidRDefault="00BE58B4" w:rsidP="00CC7BBC">
      <w:r>
        <w:t>Rule 105(1)</w:t>
      </w:r>
      <w:r w:rsidR="00F56203">
        <w:t>(a)</w:t>
      </w:r>
      <w:r>
        <w:t xml:space="preserve"> of the NGR requires that capacity trading requirements in an access arrangement must provide for transfer of capacity, if the service provider is registered as a participant in a particular gas market, in accordance with rules or procedures governing the relevant gas market.</w:t>
      </w:r>
      <w:r>
        <w:rPr>
          <w:rStyle w:val="FootnoteReference"/>
        </w:rPr>
        <w:footnoteReference w:id="55"/>
      </w:r>
      <w:r>
        <w:t xml:space="preserve"> </w:t>
      </w:r>
      <w:r w:rsidR="00745582">
        <w:t xml:space="preserve">ActewAGL is a registered participant in the ACT gas market </w:t>
      </w:r>
      <w:r w:rsidR="002D60CC">
        <w:t xml:space="preserve">and in the short term trading market </w:t>
      </w:r>
      <w:r w:rsidR="00745582">
        <w:t>as a network operator</w:t>
      </w:r>
      <w:r w:rsidR="002D60CC">
        <w:t>.</w:t>
      </w:r>
      <w:r w:rsidR="00745582">
        <w:rPr>
          <w:rStyle w:val="FootnoteReference"/>
        </w:rPr>
        <w:footnoteReference w:id="56"/>
      </w:r>
      <w:r w:rsidR="00745582">
        <w:t xml:space="preserve"> </w:t>
      </w:r>
    </w:p>
    <w:p w:rsidR="009A16D2" w:rsidRDefault="009A16D2" w:rsidP="00CC7BBC">
      <w:r>
        <w:t xml:space="preserve">ActewAGL’s current access arrangement </w:t>
      </w:r>
      <w:r w:rsidR="00C83AA3">
        <w:t xml:space="preserve">makes explicit provision </w:t>
      </w:r>
      <w:r w:rsidR="006A126D">
        <w:t xml:space="preserve">for </w:t>
      </w:r>
      <w:r w:rsidR="00921225">
        <w:t xml:space="preserve">the r. 105(1)(a) </w:t>
      </w:r>
      <w:r w:rsidR="006A126D">
        <w:t>requirement</w:t>
      </w:r>
      <w:r w:rsidR="00B91DEE">
        <w:t>:</w:t>
      </w:r>
      <w:r>
        <w:t xml:space="preserve"> </w:t>
      </w:r>
    </w:p>
    <w:p w:rsidR="009A16D2" w:rsidRDefault="009A16D2" w:rsidP="001809C0">
      <w:pPr>
        <w:pStyle w:val="AERquote"/>
      </w:pPr>
      <w:r>
        <w:t>8.1 Transfers of contracted Capacity will be undertaken:</w:t>
      </w:r>
    </w:p>
    <w:p w:rsidR="009A16D2" w:rsidRDefault="009A16D2" w:rsidP="001809C0">
      <w:pPr>
        <w:pStyle w:val="AERquote"/>
      </w:pPr>
      <w:r>
        <w:t>(a) where the relevant parties are registered as participants under the Gas Market Procedures – in accordance with the Gas Market Procedures; or</w:t>
      </w:r>
    </w:p>
    <w:p w:rsidR="009A16D2" w:rsidRDefault="009A16D2" w:rsidP="001809C0">
      <w:pPr>
        <w:pStyle w:val="AERquote"/>
      </w:pPr>
      <w:r>
        <w:lastRenderedPageBreak/>
        <w:t>(b) if the relevant parties are not so registered – in accordance with rules 105 and 106 of the National Gas Rules and this Part 8.</w:t>
      </w:r>
      <w:r w:rsidR="006A126D">
        <w:rPr>
          <w:rStyle w:val="FootnoteReference"/>
        </w:rPr>
        <w:footnoteReference w:id="57"/>
      </w:r>
    </w:p>
    <w:p w:rsidR="00921225" w:rsidRDefault="00C46362" w:rsidP="00C83AA3">
      <w:r>
        <w:t>T</w:t>
      </w:r>
      <w:r w:rsidR="00745582">
        <w:t>he proposed 201</w:t>
      </w:r>
      <w:r w:rsidR="00F72D6E">
        <w:t>6-21</w:t>
      </w:r>
      <w:r w:rsidR="00745582">
        <w:t xml:space="preserve"> access arrangement</w:t>
      </w:r>
      <w:r w:rsidR="002538EB">
        <w:t xml:space="preserve"> does not retain clause 8.1(a)</w:t>
      </w:r>
      <w:r w:rsidR="00C83AA3">
        <w:t xml:space="preserve">. Instead, it provides at a higher level </w:t>
      </w:r>
      <w:r w:rsidR="00921225">
        <w:t>that:</w:t>
      </w:r>
    </w:p>
    <w:p w:rsidR="00921225" w:rsidRDefault="00921225" w:rsidP="001809C0">
      <w:pPr>
        <w:pStyle w:val="AERquote"/>
      </w:pPr>
      <w:r>
        <w:t>1.10 All provisions in this Access Arrangement are subject to Applicable Laws.</w:t>
      </w:r>
      <w:r w:rsidR="00B91DEE">
        <w:rPr>
          <w:rStyle w:val="FootnoteReference"/>
        </w:rPr>
        <w:footnoteReference w:id="58"/>
      </w:r>
    </w:p>
    <w:p w:rsidR="001E3F15" w:rsidRDefault="001E3F15" w:rsidP="00745582">
      <w:r>
        <w:t xml:space="preserve">The proposed access arrangement defines </w:t>
      </w:r>
      <w:r w:rsidR="00921225">
        <w:t>Applicable Law</w:t>
      </w:r>
      <w:r w:rsidR="00C83AA3">
        <w:t>s</w:t>
      </w:r>
      <w:r w:rsidR="00921225">
        <w:t xml:space="preserve"> </w:t>
      </w:r>
      <w:r w:rsidR="00C83AA3">
        <w:t xml:space="preserve">to </w:t>
      </w:r>
      <w:r w:rsidR="00921225">
        <w:t xml:space="preserve">include the </w:t>
      </w:r>
      <w:r w:rsidR="00F06739">
        <w:t>NGR</w:t>
      </w:r>
      <w:r w:rsidR="00921225">
        <w:t>.</w:t>
      </w:r>
      <w:r w:rsidR="00C50EAF">
        <w:rPr>
          <w:rStyle w:val="FootnoteReference"/>
        </w:rPr>
        <w:footnoteReference w:id="59"/>
      </w:r>
      <w:r w:rsidR="00C50EAF">
        <w:t xml:space="preserve"> </w:t>
      </w:r>
      <w:r>
        <w:t xml:space="preserve">Part15B of the NGR </w:t>
      </w:r>
      <w:r w:rsidR="00F56203">
        <w:t>set</w:t>
      </w:r>
      <w:r w:rsidR="00C83AA3">
        <w:t>s</w:t>
      </w:r>
      <w:r w:rsidR="00F56203">
        <w:t xml:space="preserve"> out the scope of activities to be managed by the Australian Energy Market Operator under the gas procedures. </w:t>
      </w:r>
      <w:r>
        <w:t xml:space="preserve">These procedures cover </w:t>
      </w:r>
      <w:r w:rsidR="00335918">
        <w:t>r</w:t>
      </w:r>
      <w:r>
        <w:t xml:space="preserve">etail </w:t>
      </w:r>
      <w:r w:rsidR="00335918">
        <w:t>m</w:t>
      </w:r>
      <w:r>
        <w:t xml:space="preserve">arket </w:t>
      </w:r>
      <w:r w:rsidR="00335918">
        <w:t>p</w:t>
      </w:r>
      <w:r>
        <w:t xml:space="preserve">rocedures, </w:t>
      </w:r>
      <w:r w:rsidR="00335918">
        <w:t>w</w:t>
      </w:r>
      <w:r>
        <w:t xml:space="preserve">holesale </w:t>
      </w:r>
      <w:r w:rsidR="00335918">
        <w:t>m</w:t>
      </w:r>
      <w:r>
        <w:t xml:space="preserve">arket </w:t>
      </w:r>
      <w:r w:rsidR="00335918">
        <w:t>p</w:t>
      </w:r>
      <w:r>
        <w:t xml:space="preserve">rocedures, </w:t>
      </w:r>
      <w:r w:rsidR="00C739C4">
        <w:t>b</w:t>
      </w:r>
      <w:r>
        <w:t xml:space="preserve">ulletin </w:t>
      </w:r>
      <w:r w:rsidR="00C739C4">
        <w:t>b</w:t>
      </w:r>
      <w:r>
        <w:t xml:space="preserve">oard </w:t>
      </w:r>
      <w:r w:rsidR="00335918">
        <w:t>p</w:t>
      </w:r>
      <w:r>
        <w:t xml:space="preserve">rocedures, and </w:t>
      </w:r>
      <w:r w:rsidR="00335918">
        <w:t>s</w:t>
      </w:r>
      <w:r>
        <w:t xml:space="preserve">hort </w:t>
      </w:r>
      <w:r w:rsidR="00335918">
        <w:t>t</w:t>
      </w:r>
      <w:r>
        <w:t xml:space="preserve">erm </w:t>
      </w:r>
      <w:r w:rsidR="00335918">
        <w:t>t</w:t>
      </w:r>
      <w:r>
        <w:t>ra</w:t>
      </w:r>
      <w:r w:rsidR="001809C0">
        <w:t xml:space="preserve">ding </w:t>
      </w:r>
      <w:r w:rsidR="00335918">
        <w:t>m</w:t>
      </w:r>
      <w:r>
        <w:t xml:space="preserve">arket </w:t>
      </w:r>
      <w:r w:rsidR="00335918">
        <w:t>p</w:t>
      </w:r>
      <w:r>
        <w:t>rocedures.</w:t>
      </w:r>
      <w:r>
        <w:rPr>
          <w:rStyle w:val="FootnoteReference"/>
        </w:rPr>
        <w:footnoteReference w:id="60"/>
      </w:r>
      <w:r w:rsidR="00EA2995">
        <w:t xml:space="preserve"> </w:t>
      </w:r>
      <w:r>
        <w:t xml:space="preserve">Wholesale </w:t>
      </w:r>
      <w:r w:rsidR="00335918">
        <w:t>m</w:t>
      </w:r>
      <w:r>
        <w:t xml:space="preserve">arket </w:t>
      </w:r>
      <w:r w:rsidR="00335918">
        <w:t>p</w:t>
      </w:r>
      <w:r>
        <w:t>rocedures may</w:t>
      </w:r>
      <w:r w:rsidR="00F56203">
        <w:t xml:space="preserve"> deal with the following matter (among others)</w:t>
      </w:r>
      <w:r>
        <w:t>:</w:t>
      </w:r>
    </w:p>
    <w:p w:rsidR="001E3F15" w:rsidRDefault="001E3F15" w:rsidP="001809C0">
      <w:pPr>
        <w:pStyle w:val="AERquote"/>
      </w:pPr>
      <w:r>
        <w:t>(q) transfer of entitlements to utilise pipeline capacity;</w:t>
      </w:r>
      <w:r w:rsidR="004D3790">
        <w:rPr>
          <w:rStyle w:val="FootnoteReference"/>
        </w:rPr>
        <w:footnoteReference w:id="61"/>
      </w:r>
    </w:p>
    <w:p w:rsidR="004E5570" w:rsidRDefault="004E5570" w:rsidP="00745582">
      <w:r>
        <w:t xml:space="preserve">Therefore, we consider that under the proposed access arrangement, transfers of contracted capacity will be undertaken in accordance with market procedures </w:t>
      </w:r>
      <w:r w:rsidR="00F56203">
        <w:t>set out in</w:t>
      </w:r>
      <w:r w:rsidR="00E474A9">
        <w:t xml:space="preserve"> Part 15B of the NGR, in particular, retail and wholesale market procedures in the ACT.</w:t>
      </w:r>
    </w:p>
    <w:p w:rsidR="00745582" w:rsidRPr="00397EC5" w:rsidRDefault="00C83AA3" w:rsidP="00745582">
      <w:r>
        <w:t>While less explicit than the current access arrangement, w</w:t>
      </w:r>
      <w:r w:rsidR="00745582">
        <w:t>e are</w:t>
      </w:r>
      <w:r w:rsidR="00745582" w:rsidRPr="00772104">
        <w:t xml:space="preserve"> satisfied that </w:t>
      </w:r>
      <w:r>
        <w:t xml:space="preserve">the </w:t>
      </w:r>
      <w:r w:rsidR="00745582">
        <w:t>capacity trading requirements provided in clause</w:t>
      </w:r>
      <w:r w:rsidR="00F06739">
        <w:t>s 1.10 and</w:t>
      </w:r>
      <w:r w:rsidR="00745582">
        <w:t xml:space="preserve"> </w:t>
      </w:r>
      <w:r w:rsidR="00F72D6E">
        <w:t>10</w:t>
      </w:r>
      <w:r w:rsidR="00745582">
        <w:t xml:space="preserve"> of the proposed access arrangement </w:t>
      </w:r>
      <w:r w:rsidR="00C46362">
        <w:t xml:space="preserve">and clause 27 of the RSA satisfy rule 105 of the NGR and </w:t>
      </w:r>
      <w:r w:rsidR="00745582">
        <w:t xml:space="preserve">provide clarity and certainty to users. This promotes the efficient operation and use of </w:t>
      </w:r>
      <w:r>
        <w:t xml:space="preserve">ActewAGL's </w:t>
      </w:r>
      <w:r w:rsidR="00745582">
        <w:t>network and is consistent with the NGO.</w:t>
      </w:r>
    </w:p>
    <w:p w:rsidR="00921AE6" w:rsidRDefault="00921AE6" w:rsidP="00921AE6">
      <w:pPr>
        <w:pStyle w:val="Heading2"/>
      </w:pPr>
      <w:bookmarkStart w:id="40" w:name="_Ref435083108"/>
      <w:bookmarkStart w:id="41" w:name="_Toc435083259"/>
      <w:r>
        <w:t>Changing receipt or delivery points</w:t>
      </w:r>
      <w:bookmarkEnd w:id="40"/>
      <w:bookmarkEnd w:id="41"/>
    </w:p>
    <w:p w:rsidR="008479A3" w:rsidRPr="00335918" w:rsidRDefault="008479A3" w:rsidP="000B52BD">
      <w:r w:rsidRPr="00265BE9">
        <w:t>A receipt or delivery point</w:t>
      </w:r>
      <w:r>
        <w:t xml:space="preserve"> </w:t>
      </w:r>
      <w:r w:rsidRPr="00265BE9">
        <w:t>is a point on a pipeline at which a service provider takes delivery of natural gas, or delivers natural gas.</w:t>
      </w:r>
      <w:r>
        <w:rPr>
          <w:rStyle w:val="FootnoteReference"/>
        </w:rPr>
        <w:footnoteReference w:id="62"/>
      </w:r>
      <w:r w:rsidRPr="005F7477">
        <w:rPr>
          <w:rStyle w:val="AERsuperscript"/>
        </w:rPr>
        <w:t xml:space="preserve"> </w:t>
      </w:r>
      <w:r w:rsidRPr="00265BE9">
        <w:t xml:space="preserve">A user may wish to change the point at </w:t>
      </w:r>
      <w:r w:rsidRPr="00335918">
        <w:t xml:space="preserve">which they receive or take delivery of natural gas. </w:t>
      </w:r>
    </w:p>
    <w:p w:rsidR="00921AE6" w:rsidRDefault="00921AE6" w:rsidP="00921AE6">
      <w:pPr>
        <w:pStyle w:val="Heading3"/>
      </w:pPr>
      <w:bookmarkStart w:id="42" w:name="_Toc435083260"/>
      <w:r>
        <w:lastRenderedPageBreak/>
        <w:t>Draft decision</w:t>
      </w:r>
      <w:bookmarkEnd w:id="42"/>
    </w:p>
    <w:p w:rsidR="008479A3" w:rsidRPr="008479A3" w:rsidRDefault="008479A3" w:rsidP="008479A3">
      <w:r>
        <w:t>We approve ActewAGL’s proposed terms and conditions for changing receipt or delivery points</w:t>
      </w:r>
      <w:r w:rsidR="002D649A">
        <w:t xml:space="preserve"> for the 2016-21 access arrangement period</w:t>
      </w:r>
      <w:r w:rsidR="00EF763B">
        <w:t>.</w:t>
      </w:r>
    </w:p>
    <w:p w:rsidR="00921AE6" w:rsidRDefault="00921AE6" w:rsidP="00921AE6">
      <w:pPr>
        <w:pStyle w:val="Heading3"/>
      </w:pPr>
      <w:bookmarkStart w:id="43" w:name="_Toc435083261"/>
      <w:r>
        <w:t>ActewAGL’s proposal</w:t>
      </w:r>
      <w:bookmarkEnd w:id="43"/>
    </w:p>
    <w:p w:rsidR="00A12523" w:rsidRDefault="00A12523" w:rsidP="00A12523">
      <w:r>
        <w:t xml:space="preserve">ActewAGL’s 2010-15 access arrangement contained </w:t>
      </w:r>
      <w:r w:rsidR="00296C13">
        <w:t xml:space="preserve">only </w:t>
      </w:r>
      <w:r>
        <w:t>one section for both requirements for capacity trading and changing receipt</w:t>
      </w:r>
      <w:r w:rsidR="00A80B84">
        <w:t xml:space="preserve"> and </w:t>
      </w:r>
      <w:r>
        <w:t xml:space="preserve">delivery points. </w:t>
      </w:r>
    </w:p>
    <w:p w:rsidR="00A12523" w:rsidRDefault="00A12523" w:rsidP="00296C13">
      <w:r>
        <w:t xml:space="preserve">In the proposed access arrangement for 2016-21, the </w:t>
      </w:r>
      <w:r w:rsidR="002D649A">
        <w:t xml:space="preserve">current </w:t>
      </w:r>
      <w:r w:rsidR="009A16D2">
        <w:t xml:space="preserve">part </w:t>
      </w:r>
      <w:r>
        <w:t>8 has been altered in structure and wording</w:t>
      </w:r>
      <w:r w:rsidR="00296C13">
        <w:t xml:space="preserve">. </w:t>
      </w:r>
      <w:r>
        <w:t xml:space="preserve">There are now </w:t>
      </w:r>
      <w:r w:rsidR="00296C13">
        <w:t xml:space="preserve">two </w:t>
      </w:r>
      <w:r>
        <w:t>separate clauses for capacity trading and for changing points</w:t>
      </w:r>
      <w:r w:rsidR="00720E29">
        <w:t xml:space="preserve"> (clauses </w:t>
      </w:r>
      <w:r w:rsidR="00A80B84">
        <w:t>10</w:t>
      </w:r>
      <w:r w:rsidR="00720E29">
        <w:t xml:space="preserve"> and </w:t>
      </w:r>
      <w:r w:rsidR="00A80B84">
        <w:t>11</w:t>
      </w:r>
      <w:r w:rsidR="00335918">
        <w:t>, respectively</w:t>
      </w:r>
      <w:r w:rsidR="00720E29">
        <w:t>)</w:t>
      </w:r>
      <w:r w:rsidR="00296C13">
        <w:t>, and m</w:t>
      </w:r>
      <w:r>
        <w:t xml:space="preserve">ore detail on the requirements is now contained in </w:t>
      </w:r>
      <w:r w:rsidR="00720E29">
        <w:t>clause</w:t>
      </w:r>
      <w:r w:rsidR="00A80B84">
        <w:t xml:space="preserve"> 27 of</w:t>
      </w:r>
      <w:r w:rsidR="00720E29">
        <w:t xml:space="preserve"> </w:t>
      </w:r>
      <w:r>
        <w:t>the RSA rather than the access arrangement</w:t>
      </w:r>
      <w:r w:rsidR="00720E29">
        <w:t xml:space="preserve"> itself</w:t>
      </w:r>
      <w:r>
        <w:t>.</w:t>
      </w:r>
    </w:p>
    <w:p w:rsidR="00A12523" w:rsidRPr="008479A3" w:rsidRDefault="00A12523" w:rsidP="008479A3">
      <w:r>
        <w:t>ActewAGL submitted that these changes align with the approach adopted by JGN for its 2015-20 access arrangement.</w:t>
      </w:r>
      <w:r w:rsidR="00367D37">
        <w:rPr>
          <w:rStyle w:val="FootnoteReference"/>
        </w:rPr>
        <w:footnoteReference w:id="63"/>
      </w:r>
    </w:p>
    <w:p w:rsidR="00921AE6" w:rsidRDefault="00921AE6" w:rsidP="00921AE6">
      <w:pPr>
        <w:pStyle w:val="Heading3"/>
      </w:pPr>
      <w:bookmarkStart w:id="44" w:name="_Toc435083262"/>
      <w:r>
        <w:t>AER’s assessment approach</w:t>
      </w:r>
      <w:bookmarkEnd w:id="44"/>
    </w:p>
    <w:p w:rsidR="008479A3" w:rsidRPr="00772104" w:rsidRDefault="008479A3" w:rsidP="008479A3">
      <w:r>
        <w:t>We have</w:t>
      </w:r>
      <w:r w:rsidRPr="00772104">
        <w:t xml:space="preserve"> assessed </w:t>
      </w:r>
      <w:r>
        <w:t>ActewAGL’s</w:t>
      </w:r>
      <w:r w:rsidRPr="00772104">
        <w:t xml:space="preserve"> terms and conditions for changing receipt or delivery points against the NGO and rule</w:t>
      </w:r>
      <w:r>
        <w:t xml:space="preserve"> </w:t>
      </w:r>
      <w:r w:rsidRPr="00772104">
        <w:t>106 of the NGR.</w:t>
      </w:r>
    </w:p>
    <w:p w:rsidR="008479A3" w:rsidRPr="00772104" w:rsidRDefault="008479A3" w:rsidP="008479A3">
      <w:r w:rsidRPr="00772104">
        <w:t>R</w:t>
      </w:r>
      <w:r>
        <w:t>ule</w:t>
      </w:r>
      <w:r w:rsidRPr="00772104">
        <w:t xml:space="preserve"> 106 of the NGR has specific provisions on the change of receipt or delivery point by user and provide</w:t>
      </w:r>
      <w:r>
        <w:t>s, at a high level,</w:t>
      </w:r>
      <w:r w:rsidRPr="00772104">
        <w:t xml:space="preserve"> that:</w:t>
      </w:r>
    </w:p>
    <w:p w:rsidR="008479A3" w:rsidRPr="00772104" w:rsidRDefault="008479A3" w:rsidP="008479A3">
      <w:pPr>
        <w:pStyle w:val="AERbulletlistfirststyle"/>
        <w:numPr>
          <w:ilvl w:val="0"/>
          <w:numId w:val="29"/>
        </w:numPr>
        <w:spacing w:before="0" w:after="200" w:line="288" w:lineRule="auto"/>
        <w:ind w:left="357" w:hanging="357"/>
        <w:jc w:val="both"/>
      </w:pPr>
      <w:r w:rsidRPr="00772104">
        <w:t>a user may change its receipt or delivery point with the service provider’s consent</w:t>
      </w:r>
    </w:p>
    <w:p w:rsidR="008479A3" w:rsidRPr="00772104" w:rsidRDefault="008479A3" w:rsidP="008479A3">
      <w:pPr>
        <w:pStyle w:val="AERbulletlistfirststyle"/>
        <w:numPr>
          <w:ilvl w:val="0"/>
          <w:numId w:val="29"/>
        </w:numPr>
        <w:spacing w:before="0" w:after="200" w:line="288" w:lineRule="auto"/>
        <w:ind w:left="357" w:hanging="357"/>
        <w:jc w:val="both"/>
      </w:pPr>
      <w:r w:rsidRPr="00772104">
        <w:t>the service provider must not withhold consent unless it has reasonable grounds</w:t>
      </w:r>
      <w:r>
        <w:t>, based on technical or commercial considerations,</w:t>
      </w:r>
      <w:r w:rsidRPr="00772104">
        <w:t xml:space="preserve"> for doing so</w:t>
      </w:r>
    </w:p>
    <w:p w:rsidR="008479A3" w:rsidRDefault="008479A3" w:rsidP="008479A3">
      <w:pPr>
        <w:pStyle w:val="AERbulletlistfirststyle"/>
        <w:numPr>
          <w:ilvl w:val="0"/>
          <w:numId w:val="29"/>
        </w:numPr>
        <w:spacing w:before="0" w:after="200" w:line="288" w:lineRule="auto"/>
        <w:ind w:left="357" w:hanging="357"/>
        <w:jc w:val="both"/>
      </w:pPr>
      <w:r w:rsidRPr="00772104">
        <w:t>the access arrangement may specify in advance conditions under which co</w:t>
      </w:r>
      <w:r>
        <w:t>nsent will or will not be given.</w:t>
      </w:r>
    </w:p>
    <w:p w:rsidR="00921AE6" w:rsidRDefault="00921AE6" w:rsidP="00921AE6">
      <w:pPr>
        <w:pStyle w:val="Heading3"/>
      </w:pPr>
      <w:bookmarkStart w:id="45" w:name="_Toc435083263"/>
      <w:r>
        <w:t>Reasons for draft decision</w:t>
      </w:r>
      <w:bookmarkEnd w:id="45"/>
    </w:p>
    <w:p w:rsidR="00296C13" w:rsidRDefault="00296C13" w:rsidP="00296C13">
      <w:r>
        <w:t xml:space="preserve">ActewAGL’s </w:t>
      </w:r>
      <w:r w:rsidR="0054374E">
        <w:t xml:space="preserve">proposed </w:t>
      </w:r>
      <w:r>
        <w:t>2016-21 access arrangement</w:t>
      </w:r>
      <w:r w:rsidR="0054374E">
        <w:t xml:space="preserve"> and RSA include</w:t>
      </w:r>
      <w:r w:rsidR="00720E29">
        <w:t>s</w:t>
      </w:r>
      <w:r w:rsidR="0054374E">
        <w:t xml:space="preserve"> requirements for changing receipt or delivery points, including </w:t>
      </w:r>
      <w:r w:rsidR="00FE6274">
        <w:t xml:space="preserve">for </w:t>
      </w:r>
      <w:r w:rsidR="0054374E">
        <w:t>the service provider’s consent.</w:t>
      </w:r>
    </w:p>
    <w:p w:rsidR="00296C13" w:rsidRPr="00772104" w:rsidRDefault="0054374E" w:rsidP="00296C13">
      <w:r>
        <w:t xml:space="preserve">The proposed RSA </w:t>
      </w:r>
      <w:r w:rsidR="00296C13" w:rsidRPr="00772104">
        <w:t xml:space="preserve">provides that </w:t>
      </w:r>
      <w:r>
        <w:t>ActewAGL</w:t>
      </w:r>
      <w:r w:rsidR="00296C13" w:rsidRPr="00772104">
        <w:t xml:space="preserve"> must not withhold its consent unless it has reasonable grounds, based on technical or commercial considerations, for doing so.</w:t>
      </w:r>
      <w:r w:rsidR="00296C13" w:rsidRPr="00772104">
        <w:rPr>
          <w:rStyle w:val="FootnoteReference"/>
        </w:rPr>
        <w:footnoteReference w:id="64"/>
      </w:r>
      <w:r w:rsidR="00296C13" w:rsidRPr="00772104">
        <w:t xml:space="preserve"> </w:t>
      </w:r>
      <w:r w:rsidR="00296C13">
        <w:t xml:space="preserve">As </w:t>
      </w:r>
      <w:r w:rsidR="00296C13" w:rsidRPr="00772104">
        <w:t xml:space="preserve">the clause </w:t>
      </w:r>
      <w:r w:rsidR="00296C13">
        <w:t>mirrors</w:t>
      </w:r>
      <w:r w:rsidR="00296C13" w:rsidRPr="00772104">
        <w:t xml:space="preserve"> r. 106(1)(b) of the NGR</w:t>
      </w:r>
      <w:r w:rsidR="00296C13">
        <w:t>, we accept it.</w:t>
      </w:r>
      <w:r w:rsidR="00296C13" w:rsidRPr="00772104">
        <w:t xml:space="preserve"> </w:t>
      </w:r>
    </w:p>
    <w:p w:rsidR="00921AE6" w:rsidRDefault="00921AE6" w:rsidP="00921AE6">
      <w:pPr>
        <w:pStyle w:val="Heading2"/>
      </w:pPr>
      <w:bookmarkStart w:id="46" w:name="_Toc435083264"/>
      <w:r>
        <w:lastRenderedPageBreak/>
        <w:t>Review submission date and revision commencement date</w:t>
      </w:r>
      <w:bookmarkEnd w:id="46"/>
    </w:p>
    <w:p w:rsidR="00927AE0" w:rsidRPr="00677861" w:rsidRDefault="00927AE0" w:rsidP="000B52BD">
      <w:r w:rsidRPr="00677861">
        <w:t>Rule 49(1) of the NGR requires that a full access arrangement that is not voluntary must contain a review submission date and a revision commencement date and must not contain an expiry date.</w:t>
      </w:r>
    </w:p>
    <w:p w:rsidR="00921AE6" w:rsidRDefault="00921AE6" w:rsidP="00921AE6">
      <w:pPr>
        <w:pStyle w:val="Heading3"/>
      </w:pPr>
      <w:bookmarkStart w:id="47" w:name="_Toc435083265"/>
      <w:r>
        <w:t>Draft decision</w:t>
      </w:r>
      <w:bookmarkEnd w:id="47"/>
    </w:p>
    <w:p w:rsidR="00927AE0" w:rsidRPr="00927AE0" w:rsidRDefault="00927AE0" w:rsidP="000B52BD">
      <w:r>
        <w:t>We approve ActewAGL’s proposed review submission date</w:t>
      </w:r>
      <w:r w:rsidR="00CB6FBE">
        <w:t xml:space="preserve"> and </w:t>
      </w:r>
      <w:r>
        <w:t xml:space="preserve">revision commencement date. </w:t>
      </w:r>
    </w:p>
    <w:p w:rsidR="00921AE6" w:rsidRDefault="00921AE6" w:rsidP="00921AE6">
      <w:pPr>
        <w:pStyle w:val="Heading3"/>
      </w:pPr>
      <w:bookmarkStart w:id="48" w:name="_Toc435083266"/>
      <w:r>
        <w:t>ActewAGL’s proposal</w:t>
      </w:r>
      <w:bookmarkEnd w:id="48"/>
    </w:p>
    <w:p w:rsidR="00B8491C" w:rsidRDefault="00FD73E1" w:rsidP="00B8491C">
      <w:r>
        <w:t xml:space="preserve">ActewAGL </w:t>
      </w:r>
      <w:r w:rsidR="00CB6FBE">
        <w:t xml:space="preserve">proposed </w:t>
      </w:r>
      <w:r>
        <w:t>that, for the purposes of rule 49(1) of the NGR:</w:t>
      </w:r>
    </w:p>
    <w:p w:rsidR="00FD73E1" w:rsidRDefault="00FD73E1" w:rsidP="00FD73E1">
      <w:pPr>
        <w:pStyle w:val="AERbulletlistfirststyle"/>
      </w:pPr>
      <w:r>
        <w:t>the review submission date is 30 June 2020</w:t>
      </w:r>
    </w:p>
    <w:p w:rsidR="00FD73E1" w:rsidRPr="00B8491C" w:rsidRDefault="00FD73E1" w:rsidP="00FD73E1">
      <w:pPr>
        <w:pStyle w:val="AERbulletlistfirststyle"/>
      </w:pPr>
      <w:r>
        <w:t>the revision commencement date is 1 July 2021.</w:t>
      </w:r>
      <w:r w:rsidR="00543F04">
        <w:rPr>
          <w:rStyle w:val="FootnoteReference"/>
        </w:rPr>
        <w:footnoteReference w:id="65"/>
      </w:r>
    </w:p>
    <w:p w:rsidR="00921AE6" w:rsidRDefault="00921AE6" w:rsidP="00921AE6">
      <w:pPr>
        <w:pStyle w:val="Heading3"/>
      </w:pPr>
      <w:bookmarkStart w:id="49" w:name="_Toc435083267"/>
      <w:r>
        <w:t>AER’s assessment approach</w:t>
      </w:r>
      <w:bookmarkEnd w:id="49"/>
    </w:p>
    <w:p w:rsidR="00B8491C" w:rsidRDefault="00B8491C" w:rsidP="000B52BD">
      <w:r>
        <w:t>We have assessed ActewAGL’s review submission date and revision commencement date against the NGO and rules 49 to 5</w:t>
      </w:r>
      <w:r w:rsidR="00C76D27">
        <w:t>0</w:t>
      </w:r>
      <w:r>
        <w:t xml:space="preserve"> of the NGR. </w:t>
      </w:r>
    </w:p>
    <w:p w:rsidR="00C76D27" w:rsidRPr="00677861" w:rsidRDefault="00C76D27" w:rsidP="00C76D27">
      <w:r>
        <w:t>Rule 50(1) of the</w:t>
      </w:r>
      <w:r w:rsidRPr="00677861">
        <w:t xml:space="preserve"> NGR provides that, as a general rule:</w:t>
      </w:r>
    </w:p>
    <w:p w:rsidR="00C76D27" w:rsidRPr="00772104" w:rsidRDefault="00C76D27" w:rsidP="00C76D27">
      <w:pPr>
        <w:pStyle w:val="AERbulletlistfirststyle"/>
        <w:numPr>
          <w:ilvl w:val="0"/>
          <w:numId w:val="29"/>
        </w:numPr>
        <w:spacing w:before="0" w:after="200" w:line="288" w:lineRule="auto"/>
        <w:ind w:left="357" w:hanging="357"/>
        <w:jc w:val="both"/>
      </w:pPr>
      <w:r w:rsidRPr="00677861">
        <w:t>a review submission</w:t>
      </w:r>
      <w:r w:rsidRPr="00772104">
        <w:t xml:space="preserve"> date will fall 4 years after the access arrangement took effect or the last revision commencement date; and</w:t>
      </w:r>
    </w:p>
    <w:p w:rsidR="00C76D27" w:rsidRDefault="00C76D27" w:rsidP="00C76D27">
      <w:pPr>
        <w:pStyle w:val="AERbulletlistfirststyle"/>
        <w:numPr>
          <w:ilvl w:val="0"/>
          <w:numId w:val="29"/>
        </w:numPr>
        <w:spacing w:before="0" w:after="200" w:line="288" w:lineRule="auto"/>
        <w:ind w:left="357" w:hanging="357"/>
        <w:jc w:val="both"/>
      </w:pPr>
      <w:r w:rsidRPr="00677861">
        <w:t xml:space="preserve">a revision commencement date will fall 5 years after the access arrangement took effect </w:t>
      </w:r>
      <w:r w:rsidRPr="00772104">
        <w:t>or the last revision commencement date.</w:t>
      </w:r>
      <w:r w:rsidRPr="00772104">
        <w:rPr>
          <w:rStyle w:val="FootnoteReference"/>
        </w:rPr>
        <w:footnoteReference w:id="66"/>
      </w:r>
    </w:p>
    <w:p w:rsidR="00C76D27" w:rsidRPr="008479A3" w:rsidRDefault="00C76D27" w:rsidP="00C76D27">
      <w:r>
        <w:t>We must accept a proposal made in accordance with the general rule.</w:t>
      </w:r>
      <w:r>
        <w:rPr>
          <w:rStyle w:val="FootnoteReference"/>
        </w:rPr>
        <w:footnoteReference w:id="67"/>
      </w:r>
    </w:p>
    <w:p w:rsidR="00B8491C" w:rsidRPr="00594982" w:rsidRDefault="00B8491C" w:rsidP="000B52BD">
      <w:r>
        <w:t>We</w:t>
      </w:r>
      <w:r w:rsidRPr="00677861">
        <w:t xml:space="preserve"> may also approve dates that do not conform to the general rule if </w:t>
      </w:r>
      <w:r>
        <w:t>we are</w:t>
      </w:r>
      <w:r w:rsidRPr="00677861">
        <w:t xml:space="preserve"> satisfied that the dates are consistent with the </w:t>
      </w:r>
      <w:r>
        <w:t>NGO</w:t>
      </w:r>
      <w:r w:rsidRPr="00677861">
        <w:t xml:space="preserve"> and the </w:t>
      </w:r>
      <w:r>
        <w:t>RPP</w:t>
      </w:r>
      <w:r w:rsidRPr="00677861">
        <w:t>.</w:t>
      </w:r>
      <w:r w:rsidRPr="008F381E">
        <w:rPr>
          <w:rStyle w:val="FootnoteReference"/>
        </w:rPr>
        <w:footnoteReference w:id="68"/>
      </w:r>
    </w:p>
    <w:p w:rsidR="00921AE6" w:rsidRDefault="00921AE6" w:rsidP="006008D9">
      <w:pPr>
        <w:pStyle w:val="Heading3"/>
        <w:keepNext/>
      </w:pPr>
      <w:bookmarkStart w:id="50" w:name="_Toc435083268"/>
      <w:r>
        <w:lastRenderedPageBreak/>
        <w:t>Reasons for draft decision</w:t>
      </w:r>
      <w:bookmarkEnd w:id="50"/>
    </w:p>
    <w:p w:rsidR="00077D7A" w:rsidRDefault="00B80ED8" w:rsidP="000B52BD">
      <w:r>
        <w:t>ActewAGL’s 2010-15 access arrangement w</w:t>
      </w:r>
      <w:r w:rsidR="000B6C06">
        <w:t>as approved by the AER in April 2010 (and subsequently amended by the Australian Competition Tribunal in October the same year).</w:t>
      </w:r>
    </w:p>
    <w:p w:rsidR="000B6C06" w:rsidRDefault="000B6C06" w:rsidP="000B52BD">
      <w:r>
        <w:t xml:space="preserve">In the 2010-15 access arrangement, the </w:t>
      </w:r>
      <w:r w:rsidR="007E7B4D">
        <w:t xml:space="preserve">approved </w:t>
      </w:r>
      <w:r>
        <w:t xml:space="preserve">review submission date </w:t>
      </w:r>
      <w:r w:rsidR="007E7B4D">
        <w:t>wa</w:t>
      </w:r>
      <w:r>
        <w:t xml:space="preserve">s 30 June 2014 and the revision commencement date </w:t>
      </w:r>
      <w:r w:rsidR="007E7B4D">
        <w:t>wa</w:t>
      </w:r>
      <w:r>
        <w:t>s 1 July 2015.</w:t>
      </w:r>
    </w:p>
    <w:p w:rsidR="00077D7A" w:rsidRDefault="000B6C06" w:rsidP="000B52BD">
      <w:r>
        <w:t>However, based on transitional provisions for amendments to the N</w:t>
      </w:r>
      <w:r w:rsidR="00C76D27">
        <w:t>G</w:t>
      </w:r>
      <w:r>
        <w:t>R,</w:t>
      </w:r>
      <w:r>
        <w:rPr>
          <w:rStyle w:val="FootnoteReference"/>
        </w:rPr>
        <w:footnoteReference w:id="69"/>
      </w:r>
      <w:r>
        <w:t xml:space="preserve"> the AER exercised its power to extend the review submission date to 30 June 2015. </w:t>
      </w:r>
      <w:r w:rsidR="00C76D27">
        <w:t xml:space="preserve">The revisions approved in this review will </w:t>
      </w:r>
      <w:r w:rsidR="007E7B4D">
        <w:t xml:space="preserve">therefore not </w:t>
      </w:r>
      <w:r w:rsidR="00C76D27">
        <w:t xml:space="preserve">commence </w:t>
      </w:r>
      <w:r w:rsidR="007E7B4D">
        <w:t xml:space="preserve">until </w:t>
      </w:r>
      <w:r w:rsidR="00AD1369">
        <w:t>1 July 2016.</w:t>
      </w:r>
    </w:p>
    <w:p w:rsidR="00FD73E1" w:rsidRDefault="00AD1369" w:rsidP="000B52BD">
      <w:r>
        <w:t>ActewAGL’s</w:t>
      </w:r>
      <w:r w:rsidR="00FD73E1">
        <w:t xml:space="preserve"> proposed review submission date </w:t>
      </w:r>
      <w:r>
        <w:t xml:space="preserve">of 30 June 2020 </w:t>
      </w:r>
      <w:r w:rsidR="00FD73E1">
        <w:t>will fall four years after 1 July 201</w:t>
      </w:r>
      <w:r>
        <w:t>6</w:t>
      </w:r>
      <w:r w:rsidR="00C76D27">
        <w:t>, which is consistent with the intent of the general rule</w:t>
      </w:r>
      <w:r w:rsidR="00FD73E1">
        <w:t xml:space="preserve">. </w:t>
      </w:r>
    </w:p>
    <w:p w:rsidR="00B8491C" w:rsidRDefault="00AD1369" w:rsidP="000B52BD">
      <w:r>
        <w:t>ActewAGL’s</w:t>
      </w:r>
      <w:r w:rsidR="00FD73E1">
        <w:t xml:space="preserve"> proposed revision commencement date of 1 July 202</w:t>
      </w:r>
      <w:r>
        <w:t>1</w:t>
      </w:r>
      <w:r w:rsidR="00FD73E1">
        <w:t xml:space="preserve"> will fall five years after </w:t>
      </w:r>
      <w:r>
        <w:t>1 July 2016</w:t>
      </w:r>
      <w:r w:rsidR="00FD73E1">
        <w:t xml:space="preserve">. This </w:t>
      </w:r>
      <w:r w:rsidR="00C76D27">
        <w:t>is also consistent with the intent of the general rule.</w:t>
      </w:r>
    </w:p>
    <w:p w:rsidR="007E7B4D" w:rsidRPr="00B8491C" w:rsidRDefault="007E7B4D" w:rsidP="000B52BD">
      <w:r>
        <w:t>We have therefore approved these dates.</w:t>
      </w:r>
    </w:p>
    <w:p w:rsidR="00921AE6" w:rsidRDefault="00921AE6" w:rsidP="00921AE6">
      <w:pPr>
        <w:pStyle w:val="Heading2"/>
      </w:pPr>
      <w:bookmarkStart w:id="51" w:name="_Ref427850529"/>
      <w:bookmarkStart w:id="52" w:name="_Ref427852908"/>
      <w:bookmarkStart w:id="53" w:name="_Toc435083269"/>
      <w:r>
        <w:t>Revisions</w:t>
      </w:r>
      <w:bookmarkEnd w:id="51"/>
      <w:bookmarkEnd w:id="52"/>
      <w:bookmarkEnd w:id="53"/>
    </w:p>
    <w:p w:rsidR="008B7300" w:rsidRPr="008B7300" w:rsidRDefault="008B7300" w:rsidP="008B7300">
      <w:r>
        <w:t>We require the following revisions to make the access arrangement proposal acceptable.</w:t>
      </w:r>
    </w:p>
    <w:p w:rsidR="005B1567" w:rsidRPr="005B1567" w:rsidRDefault="005B1567" w:rsidP="00043212">
      <w:pPr>
        <w:pStyle w:val="Heading3"/>
      </w:pPr>
      <w:bookmarkStart w:id="54" w:name="_Ref430271191"/>
      <w:bookmarkStart w:id="55" w:name="_Toc435083270"/>
      <w:r>
        <w:t>Revisions to the reference service agreement</w:t>
      </w:r>
      <w:bookmarkEnd w:id="54"/>
      <w:bookmarkEnd w:id="55"/>
    </w:p>
    <w:p w:rsidR="000857B1" w:rsidRDefault="00B8491C" w:rsidP="00392155">
      <w:r>
        <w:t xml:space="preserve">We require </w:t>
      </w:r>
      <w:r w:rsidR="00D718E5">
        <w:t xml:space="preserve">ActewAGL to make </w:t>
      </w:r>
      <w:r>
        <w:t xml:space="preserve">the following </w:t>
      </w:r>
      <w:r w:rsidR="001763B0">
        <w:t xml:space="preserve">amendments </w:t>
      </w:r>
      <w:r w:rsidR="006A3A17">
        <w:t>and any additional consequential changes</w:t>
      </w:r>
      <w:r>
        <w:t xml:space="preserve"> to </w:t>
      </w:r>
      <w:r w:rsidR="00D718E5">
        <w:t>its 2016</w:t>
      </w:r>
      <w:r w:rsidR="008868AE">
        <w:t>–</w:t>
      </w:r>
      <w:r w:rsidR="00D718E5">
        <w:t xml:space="preserve">21 </w:t>
      </w:r>
      <w:r>
        <w:t xml:space="preserve">access arrangement proposal </w:t>
      </w:r>
      <w:r w:rsidR="00D718E5">
        <w:t xml:space="preserve">to make it </w:t>
      </w:r>
      <w:r>
        <w:t>acceptable</w:t>
      </w:r>
      <w:r w:rsidR="00D718E5">
        <w:t xml:space="preserve"> to the AER.</w:t>
      </w:r>
    </w:p>
    <w:tbl>
      <w:tblPr>
        <w:tblStyle w:val="AERtable-text0"/>
        <w:tblW w:w="0" w:type="auto"/>
        <w:tblLook w:val="04A0" w:firstRow="1" w:lastRow="0" w:firstColumn="1" w:lastColumn="0" w:noHBand="0" w:noVBand="1"/>
      </w:tblPr>
      <w:tblGrid>
        <w:gridCol w:w="1101"/>
        <w:gridCol w:w="7592"/>
      </w:tblGrid>
      <w:tr w:rsidR="00D534D9" w:rsidRPr="00D534D9" w:rsidTr="006008D9">
        <w:trPr>
          <w:cnfStyle w:val="100000000000" w:firstRow="1" w:lastRow="0" w:firstColumn="0" w:lastColumn="0" w:oddVBand="0" w:evenVBand="0" w:oddHBand="0" w:evenHBand="0" w:firstRowFirstColumn="0" w:firstRowLastColumn="0" w:lastRowFirstColumn="0" w:lastRowLastColumn="0"/>
          <w:tblHeader/>
        </w:trPr>
        <w:tc>
          <w:tcPr>
            <w:tcW w:w="1101" w:type="dxa"/>
          </w:tcPr>
          <w:p w:rsidR="00D534D9" w:rsidRPr="00D534D9" w:rsidRDefault="00D534D9" w:rsidP="00D534D9">
            <w:pPr>
              <w:pStyle w:val="ListNumber"/>
              <w:numPr>
                <w:ilvl w:val="0"/>
                <w:numId w:val="0"/>
              </w:numPr>
              <w:ind w:left="340" w:hanging="340"/>
              <w:rPr>
                <w:color w:val="FFFFFF" w:themeColor="background1"/>
              </w:rPr>
            </w:pPr>
          </w:p>
        </w:tc>
        <w:tc>
          <w:tcPr>
            <w:tcW w:w="7592" w:type="dxa"/>
          </w:tcPr>
          <w:p w:rsidR="00D534D9" w:rsidRPr="00D534D9" w:rsidRDefault="00D534D9" w:rsidP="000D27D3">
            <w:pPr>
              <w:pStyle w:val="AERquote"/>
              <w:rPr>
                <w:rStyle w:val="Strong"/>
                <w:color w:val="FFFFFF" w:themeColor="background1"/>
              </w:rPr>
            </w:pPr>
          </w:p>
        </w:tc>
      </w:tr>
      <w:tr w:rsidR="00D534D9" w:rsidTr="000D27D3">
        <w:tc>
          <w:tcPr>
            <w:tcW w:w="1101" w:type="dxa"/>
          </w:tcPr>
          <w:p w:rsidR="00D534D9" w:rsidRPr="008B7300" w:rsidRDefault="00D534D9" w:rsidP="008B7300">
            <w:pPr>
              <w:pStyle w:val="ListNumber"/>
              <w:numPr>
                <w:ilvl w:val="0"/>
                <w:numId w:val="35"/>
              </w:numPr>
            </w:pPr>
          </w:p>
        </w:tc>
        <w:tc>
          <w:tcPr>
            <w:tcW w:w="7592" w:type="dxa"/>
          </w:tcPr>
          <w:p w:rsidR="00D534D9" w:rsidRPr="00392155" w:rsidRDefault="00D534D9" w:rsidP="000D27D3">
            <w:pPr>
              <w:pStyle w:val="AERquote"/>
              <w:rPr>
                <w:rStyle w:val="Strong"/>
              </w:rPr>
            </w:pPr>
            <w:r w:rsidRPr="00392155">
              <w:rPr>
                <w:rStyle w:val="Strong"/>
              </w:rPr>
              <w:t>Clause 1.3</w:t>
            </w:r>
            <w:r>
              <w:rPr>
                <w:rStyle w:val="Strong"/>
              </w:rPr>
              <w:t xml:space="preserve"> </w:t>
            </w:r>
            <w:r>
              <w:t xml:space="preserve">[this will require </w:t>
            </w:r>
            <w:r w:rsidRPr="004B62B6">
              <w:t>consequential formatting amendments</w:t>
            </w:r>
            <w:r>
              <w:t>]</w:t>
            </w:r>
          </w:p>
          <w:p w:rsidR="00D534D9" w:rsidRPr="008868AE" w:rsidRDefault="00D534D9" w:rsidP="000D27D3">
            <w:pPr>
              <w:pStyle w:val="AERquote"/>
              <w:rPr>
                <w:rStyle w:val="AERtexthighlight"/>
                <w:strike/>
                <w:color w:val="FF0000"/>
                <w:shd w:val="clear" w:color="auto" w:fill="auto"/>
              </w:rPr>
            </w:pPr>
            <w:r w:rsidRPr="004B62B6">
              <w:t xml:space="preserve">(a) </w:t>
            </w:r>
            <w:r w:rsidRPr="008868AE">
              <w:rPr>
                <w:strike/>
                <w:color w:val="FF0000"/>
              </w:rPr>
              <w:t>ActewAGL</w:t>
            </w:r>
            <w:r w:rsidRPr="008868AE">
              <w:rPr>
                <w:rStyle w:val="AERtexthighlight"/>
                <w:strike/>
                <w:color w:val="FF0000"/>
                <w:shd w:val="clear" w:color="auto" w:fill="auto"/>
              </w:rPr>
              <w:t xml:space="preserve"> may amend the terms and conditions set out in this Agreement to accommodate a Change in Law if ActewAGL, acting reasonably, considers that the change will not adversely affect the User's rights or obligations under this Agreement.</w:t>
            </w:r>
          </w:p>
          <w:p w:rsidR="00D534D9" w:rsidRDefault="00D534D9" w:rsidP="000D27D3">
            <w:pPr>
              <w:pStyle w:val="AERquote"/>
            </w:pPr>
            <w:r w:rsidRPr="008868AE">
              <w:rPr>
                <w:strike/>
                <w:color w:val="FF0000"/>
              </w:rPr>
              <w:t xml:space="preserve">(b) </w:t>
            </w:r>
            <w:r w:rsidRPr="008868AE">
              <w:rPr>
                <w:rStyle w:val="AERtexthighlight"/>
                <w:strike/>
                <w:color w:val="FF0000"/>
                <w:shd w:val="clear" w:color="auto" w:fill="auto"/>
              </w:rPr>
              <w:t>Where clause 1.3(a) does not apply,</w:t>
            </w:r>
            <w:r w:rsidRPr="00127CFE">
              <w:t xml:space="preserve"> ActewAGL and the User may seek to amend the terms</w:t>
            </w:r>
            <w:r>
              <w:t xml:space="preserve"> </w:t>
            </w:r>
            <w:r w:rsidRPr="00127CFE">
              <w:t>and conditions set out in this Agreement to accommodate a Change in Law in accordance</w:t>
            </w:r>
            <w:r>
              <w:t xml:space="preserve"> </w:t>
            </w:r>
            <w:r w:rsidRPr="00127CFE">
              <w:t>with clauses 1.3(</w:t>
            </w:r>
            <w:r w:rsidRPr="008868AE">
              <w:rPr>
                <w:strike/>
                <w:color w:val="FF0000"/>
              </w:rPr>
              <w:t>b</w:t>
            </w:r>
            <w:r w:rsidRPr="00873E86">
              <w:rPr>
                <w:color w:val="FF0000"/>
              </w:rPr>
              <w:t>a</w:t>
            </w:r>
            <w:r>
              <w:t>)</w:t>
            </w:r>
            <w:r w:rsidRPr="00127CFE">
              <w:t>-(</w:t>
            </w:r>
            <w:r w:rsidRPr="008868AE">
              <w:rPr>
                <w:strike/>
                <w:color w:val="FF0000"/>
              </w:rPr>
              <w:t>f</w:t>
            </w:r>
            <w:r w:rsidRPr="00873E86">
              <w:rPr>
                <w:color w:val="FF0000"/>
              </w:rPr>
              <w:t>e</w:t>
            </w:r>
            <w:r>
              <w:t>)</w:t>
            </w:r>
            <w:r w:rsidRPr="00127CFE">
              <w:t>.</w:t>
            </w:r>
          </w:p>
          <w:p w:rsidR="00D534D9" w:rsidRDefault="00D534D9" w:rsidP="000D27D3"/>
        </w:tc>
      </w:tr>
      <w:tr w:rsidR="00D534D9" w:rsidTr="000D27D3">
        <w:trPr>
          <w:cnfStyle w:val="000000010000" w:firstRow="0" w:lastRow="0" w:firstColumn="0" w:lastColumn="0" w:oddVBand="0" w:evenVBand="0" w:oddHBand="0" w:evenHBand="1" w:firstRowFirstColumn="0" w:firstRowLastColumn="0" w:lastRowFirstColumn="0" w:lastRowLastColumn="0"/>
        </w:trPr>
        <w:tc>
          <w:tcPr>
            <w:tcW w:w="1101" w:type="dxa"/>
          </w:tcPr>
          <w:p w:rsidR="00D534D9" w:rsidRDefault="00D534D9" w:rsidP="000D27D3">
            <w:pPr>
              <w:pStyle w:val="ListNumber"/>
            </w:pPr>
          </w:p>
        </w:tc>
        <w:tc>
          <w:tcPr>
            <w:tcW w:w="7592" w:type="dxa"/>
          </w:tcPr>
          <w:p w:rsidR="00D534D9" w:rsidRPr="00873E86" w:rsidRDefault="00D534D9" w:rsidP="000D27D3">
            <w:pPr>
              <w:pStyle w:val="AERquote"/>
              <w:rPr>
                <w:b/>
              </w:rPr>
            </w:pPr>
            <w:r w:rsidRPr="00873E86">
              <w:rPr>
                <w:b/>
              </w:rPr>
              <w:t>Clause 32.11</w:t>
            </w:r>
          </w:p>
          <w:p w:rsidR="00D534D9" w:rsidRDefault="00D534D9" w:rsidP="000D27D3">
            <w:pPr>
              <w:pStyle w:val="AERquote"/>
            </w:pPr>
            <w:r w:rsidRPr="00B6478C">
              <w:t>In circumstances where a Gas Law applicable in one Relevant Region applies a higher standard than the</w:t>
            </w:r>
            <w:r>
              <w:t xml:space="preserve"> </w:t>
            </w:r>
            <w:r w:rsidRPr="00B6478C">
              <w:t xml:space="preserve">Gas Law which is applicable in the other Relevant Region, </w:t>
            </w:r>
            <w:r w:rsidRPr="00873E86">
              <w:rPr>
                <w:strike/>
                <w:color w:val="FF0000"/>
              </w:rPr>
              <w:t>ActewAGL may, by notice in writing, determine that</w:t>
            </w:r>
            <w:r w:rsidRPr="00B6478C">
              <w:t xml:space="preserve"> the higher standard will apply in both regions for the purposes of this Agreement.</w:t>
            </w:r>
          </w:p>
          <w:p w:rsidR="00D534D9" w:rsidRDefault="00D534D9" w:rsidP="000D27D3"/>
        </w:tc>
      </w:tr>
      <w:tr w:rsidR="00D534D9" w:rsidTr="000D27D3">
        <w:tc>
          <w:tcPr>
            <w:tcW w:w="1101" w:type="dxa"/>
          </w:tcPr>
          <w:p w:rsidR="00D534D9" w:rsidRDefault="00D534D9" w:rsidP="000D27D3">
            <w:pPr>
              <w:pStyle w:val="ListNumber"/>
            </w:pPr>
          </w:p>
        </w:tc>
        <w:tc>
          <w:tcPr>
            <w:tcW w:w="7592" w:type="dxa"/>
          </w:tcPr>
          <w:p w:rsidR="00D534D9" w:rsidRPr="00873E86" w:rsidRDefault="00D534D9" w:rsidP="000D27D3">
            <w:pPr>
              <w:pStyle w:val="AERquote"/>
              <w:rPr>
                <w:rStyle w:val="Strong"/>
              </w:rPr>
            </w:pPr>
            <w:r w:rsidRPr="00873E86">
              <w:rPr>
                <w:rStyle w:val="Strong"/>
              </w:rPr>
              <w:t>Clause 11.4</w:t>
            </w:r>
          </w:p>
          <w:p w:rsidR="00D534D9" w:rsidRDefault="00D534D9" w:rsidP="000D27D3">
            <w:pPr>
              <w:pStyle w:val="AERquote"/>
            </w:pPr>
            <w:r>
              <w:t xml:space="preserve">… </w:t>
            </w:r>
          </w:p>
          <w:p w:rsidR="00D534D9" w:rsidRPr="00873E86" w:rsidRDefault="00D534D9" w:rsidP="000D27D3">
            <w:pPr>
              <w:pStyle w:val="AERquote"/>
              <w:rPr>
                <w:rStyle w:val="AERtexthighlight"/>
                <w:strike/>
                <w:color w:val="FF0000"/>
                <w:shd w:val="clear" w:color="auto" w:fill="auto"/>
              </w:rPr>
            </w:pPr>
            <w:r w:rsidRPr="00D170A5">
              <w:t>(v) the Assignment Date for the assignment of each Bulk Transfer Delivery Point to a Tariff Category pursuant to clause 11.4(c)(iii) or clause 11.4(c)(iv) will be deemed to be 1 July 2016</w:t>
            </w:r>
            <w:r w:rsidR="00D170A5" w:rsidRPr="00D170A5">
              <w:rPr>
                <w:color w:val="FF0000"/>
              </w:rPr>
              <w:t>.</w:t>
            </w:r>
            <w:r w:rsidRPr="00873E86">
              <w:rPr>
                <w:rStyle w:val="AERtexthighlight"/>
                <w:strike/>
                <w:color w:val="FF0000"/>
                <w:shd w:val="clear" w:color="auto" w:fill="auto"/>
              </w:rPr>
              <w:t xml:space="preserve"> provided, in relation to clause 11.4(c)(iv):</w:t>
            </w:r>
          </w:p>
          <w:p w:rsidR="00D534D9" w:rsidRPr="00873E86" w:rsidRDefault="00D534D9" w:rsidP="000D27D3">
            <w:pPr>
              <w:pStyle w:val="AERquote"/>
              <w:rPr>
                <w:rStyle w:val="AERtexthighlight"/>
                <w:strike/>
                <w:color w:val="FF0000"/>
                <w:shd w:val="clear" w:color="auto" w:fill="auto"/>
              </w:rPr>
            </w:pPr>
            <w:r w:rsidRPr="00873E86">
              <w:rPr>
                <w:rStyle w:val="AERtexthighlight"/>
                <w:strike/>
                <w:color w:val="FF0000"/>
                <w:shd w:val="clear" w:color="auto" w:fill="auto"/>
              </w:rPr>
              <w:t>(A) at least 3 months’ prior to 1 July 2016, the User provides ActewAGL with:</w:t>
            </w:r>
          </w:p>
          <w:p w:rsidR="00D534D9" w:rsidRPr="00873E86" w:rsidRDefault="00D534D9" w:rsidP="000D27D3">
            <w:pPr>
              <w:pStyle w:val="AERquote"/>
              <w:rPr>
                <w:rStyle w:val="AERtexthighlight"/>
                <w:strike/>
                <w:color w:val="FF0000"/>
                <w:shd w:val="clear" w:color="auto" w:fill="auto"/>
              </w:rPr>
            </w:pPr>
            <w:r w:rsidRPr="00873E86">
              <w:rPr>
                <w:rStyle w:val="AERtexthighlight"/>
                <w:strike/>
                <w:color w:val="FF0000"/>
                <w:shd w:val="clear" w:color="auto" w:fill="auto"/>
              </w:rPr>
              <w:t>1) a list of the Delivery Points to be assigned to a different Tariff Category to the Default Tariff Category;</w:t>
            </w:r>
          </w:p>
          <w:p w:rsidR="00D534D9" w:rsidRPr="00873E86" w:rsidRDefault="00D534D9" w:rsidP="000D27D3">
            <w:pPr>
              <w:pStyle w:val="AERquote"/>
              <w:rPr>
                <w:rStyle w:val="AERtexthighlight"/>
                <w:strike/>
                <w:color w:val="FF0000"/>
                <w:shd w:val="clear" w:color="auto" w:fill="auto"/>
              </w:rPr>
            </w:pPr>
            <w:r w:rsidRPr="00873E86">
              <w:rPr>
                <w:rStyle w:val="AERtexthighlight"/>
                <w:strike/>
                <w:color w:val="FF0000"/>
                <w:shd w:val="clear" w:color="auto" w:fill="auto"/>
              </w:rPr>
              <w:t>2) the requested Tariff Category for each Delivery Point; and</w:t>
            </w:r>
          </w:p>
          <w:p w:rsidR="00D534D9" w:rsidRPr="00873E86" w:rsidRDefault="00D534D9" w:rsidP="000D27D3">
            <w:pPr>
              <w:pStyle w:val="AERquote"/>
              <w:rPr>
                <w:rStyle w:val="AERtexthighlight"/>
                <w:strike/>
                <w:color w:val="FF0000"/>
                <w:shd w:val="clear" w:color="auto" w:fill="auto"/>
              </w:rPr>
            </w:pPr>
            <w:r w:rsidRPr="00873E86">
              <w:rPr>
                <w:rStyle w:val="AERtexthighlight"/>
                <w:strike/>
                <w:color w:val="FF0000"/>
                <w:shd w:val="clear" w:color="auto" w:fill="auto"/>
              </w:rPr>
              <w:t>3) where applicable, information to demonstrate eligibility to the requested Tariff Category for each Delivery Point in accordance with the Access Arrangement;</w:t>
            </w:r>
          </w:p>
          <w:p w:rsidR="00D534D9" w:rsidRPr="00873E86" w:rsidRDefault="00D534D9" w:rsidP="000D27D3">
            <w:pPr>
              <w:pStyle w:val="AERquote"/>
              <w:rPr>
                <w:rStyle w:val="AERtexthighlight"/>
                <w:strike/>
                <w:color w:val="FF0000"/>
                <w:shd w:val="clear" w:color="auto" w:fill="auto"/>
              </w:rPr>
            </w:pPr>
            <w:r w:rsidRPr="00873E86">
              <w:rPr>
                <w:rStyle w:val="AERtexthighlight"/>
                <w:strike/>
                <w:color w:val="FF0000"/>
                <w:shd w:val="clear" w:color="auto" w:fill="auto"/>
              </w:rPr>
              <w:t>(B) the User issues a notice under this Agreement formally seeking the tariff assignments described in clause 11.4(c)(v)(A) at the same time as the Bulk Transfer notice under clause 11.4(a)(ii);</w:t>
            </w:r>
          </w:p>
          <w:p w:rsidR="00D534D9" w:rsidRPr="00873E86" w:rsidRDefault="00D534D9" w:rsidP="000D27D3">
            <w:pPr>
              <w:pStyle w:val="AERquote"/>
              <w:rPr>
                <w:rStyle w:val="AERtexthighlight"/>
                <w:strike/>
                <w:color w:val="FF0000"/>
                <w:shd w:val="clear" w:color="auto" w:fill="auto"/>
              </w:rPr>
            </w:pPr>
            <w:r w:rsidRPr="00873E86">
              <w:rPr>
                <w:rStyle w:val="AERtexthighlight"/>
                <w:strike/>
                <w:color w:val="FF0000"/>
                <w:shd w:val="clear" w:color="auto" w:fill="auto"/>
              </w:rPr>
              <w:t>(C) the tariff assignment list provided under clause 11.4(c)(v)(A) is the same as the formal tariff assignment notice provided under clause 11.4(c)(v)(B); and</w:t>
            </w:r>
          </w:p>
          <w:p w:rsidR="00D534D9" w:rsidRPr="004217FF" w:rsidRDefault="00D534D9" w:rsidP="000D27D3">
            <w:pPr>
              <w:pStyle w:val="AERquote"/>
              <w:rPr>
                <w:rStyle w:val="AERtexthighlight"/>
                <w:strike/>
                <w:shd w:val="clear" w:color="auto" w:fill="auto"/>
              </w:rPr>
            </w:pPr>
            <w:r w:rsidRPr="00873E86">
              <w:rPr>
                <w:rStyle w:val="AERtexthighlight"/>
                <w:strike/>
                <w:color w:val="FF0000"/>
                <w:shd w:val="clear" w:color="auto" w:fill="auto"/>
              </w:rPr>
              <w:t>(D) ActewAGL agrees the Delivery Point is eligible for the requested Tariff Category;</w:t>
            </w:r>
          </w:p>
          <w:p w:rsidR="00D534D9" w:rsidRDefault="00D534D9" w:rsidP="000D27D3"/>
        </w:tc>
      </w:tr>
      <w:tr w:rsidR="00D534D9" w:rsidTr="000D27D3">
        <w:trPr>
          <w:cnfStyle w:val="000000010000" w:firstRow="0" w:lastRow="0" w:firstColumn="0" w:lastColumn="0" w:oddVBand="0" w:evenVBand="0" w:oddHBand="0" w:evenHBand="1" w:firstRowFirstColumn="0" w:firstRowLastColumn="0" w:lastRowFirstColumn="0" w:lastRowLastColumn="0"/>
        </w:trPr>
        <w:tc>
          <w:tcPr>
            <w:tcW w:w="1101" w:type="dxa"/>
          </w:tcPr>
          <w:p w:rsidR="00D534D9" w:rsidRDefault="00D534D9" w:rsidP="000D27D3">
            <w:pPr>
              <w:pStyle w:val="ListNumber"/>
            </w:pPr>
          </w:p>
        </w:tc>
        <w:tc>
          <w:tcPr>
            <w:tcW w:w="7592" w:type="dxa"/>
          </w:tcPr>
          <w:p w:rsidR="00D534D9" w:rsidRPr="00873E86" w:rsidRDefault="00D534D9" w:rsidP="000D27D3">
            <w:pPr>
              <w:pStyle w:val="AERquote"/>
              <w:rPr>
                <w:rStyle w:val="Strong"/>
              </w:rPr>
            </w:pPr>
            <w:r w:rsidRPr="00873E86">
              <w:rPr>
                <w:rStyle w:val="Strong"/>
              </w:rPr>
              <w:t>Clause 1.1 Definitions and interpretation</w:t>
            </w:r>
          </w:p>
          <w:p w:rsidR="00D534D9" w:rsidRDefault="00D534D9" w:rsidP="000D27D3">
            <w:pPr>
              <w:pStyle w:val="AERquote"/>
            </w:pPr>
            <w:r w:rsidRPr="00F33F7E">
              <w:rPr>
                <w:rStyle w:val="Strong"/>
              </w:rPr>
              <w:t>Minimum Network Standards</w:t>
            </w:r>
            <w:r w:rsidRPr="00D1340D">
              <w:t xml:space="preserve"> </w:t>
            </w:r>
            <w:r w:rsidRPr="00873E86">
              <w:rPr>
                <w:strike/>
                <w:color w:val="FF0000"/>
              </w:rPr>
              <w:t>means ActewAGL’s Minimum Standards for Network Operation adopted by ActewAGL in compliance of its licence requirements in the Australian Capital Territory and New South Wales, in force from time to time;</w:t>
            </w:r>
            <w:r w:rsidRPr="00873E86">
              <w:rPr>
                <w:color w:val="FF0000"/>
              </w:rPr>
              <w:t xml:space="preserve"> </w:t>
            </w:r>
            <w:r w:rsidRPr="00873E86">
              <w:rPr>
                <w:rStyle w:val="AERtextunderline"/>
                <w:color w:val="FF0000"/>
                <w:u w:val="none"/>
              </w:rPr>
              <w:t xml:space="preserve">the Minimum Service Standards under the Utilities (Consumer Protection Code) Determination 2012, or any determination replacing that determination or if that determination is repealed and not replaced, ActewAGL Distribution's Minimum Standards for </w:t>
            </w:r>
            <w:r w:rsidRPr="00873E86">
              <w:rPr>
                <w:rStyle w:val="AERtextunderline"/>
                <w:color w:val="FF0000"/>
                <w:u w:val="none"/>
              </w:rPr>
              <w:lastRenderedPageBreak/>
              <w:t>Network Operation adopted by ActewAGL in compliance with its licence requirements in the Australian Capital Territory and New South Wales, in force from time to time.</w:t>
            </w:r>
          </w:p>
          <w:p w:rsidR="00D534D9" w:rsidRDefault="00D534D9" w:rsidP="000D27D3"/>
        </w:tc>
      </w:tr>
      <w:tr w:rsidR="00D534D9" w:rsidTr="000D27D3">
        <w:tc>
          <w:tcPr>
            <w:tcW w:w="1101" w:type="dxa"/>
          </w:tcPr>
          <w:p w:rsidR="00D534D9" w:rsidRDefault="00D534D9" w:rsidP="000D27D3">
            <w:pPr>
              <w:pStyle w:val="ListNumber"/>
            </w:pPr>
          </w:p>
        </w:tc>
        <w:tc>
          <w:tcPr>
            <w:tcW w:w="7592" w:type="dxa"/>
          </w:tcPr>
          <w:p w:rsidR="00D534D9" w:rsidRPr="00873E86" w:rsidRDefault="00D534D9" w:rsidP="000D27D3">
            <w:pPr>
              <w:pStyle w:val="AERquote"/>
              <w:rPr>
                <w:rStyle w:val="Strong"/>
              </w:rPr>
            </w:pPr>
            <w:r w:rsidRPr="00873E86">
              <w:rPr>
                <w:rStyle w:val="Strong"/>
              </w:rPr>
              <w:t>Clause 25</w:t>
            </w:r>
          </w:p>
          <w:p w:rsidR="00D534D9" w:rsidRPr="00392155" w:rsidRDefault="00D534D9" w:rsidP="000D27D3">
            <w:pPr>
              <w:pStyle w:val="AERquote"/>
              <w:rPr>
                <w:rStyle w:val="Strong"/>
              </w:rPr>
            </w:pPr>
            <w:r w:rsidRPr="00873E86">
              <w:rPr>
                <w:rStyle w:val="Strong"/>
              </w:rPr>
              <w:t>25.2 Right of ActewAGL to terminate</w:t>
            </w:r>
          </w:p>
          <w:p w:rsidR="00D534D9" w:rsidRDefault="00D534D9" w:rsidP="000D27D3">
            <w:pPr>
              <w:pStyle w:val="AERquote"/>
            </w:pPr>
            <w:r>
              <w:t>…</w:t>
            </w:r>
          </w:p>
          <w:p w:rsidR="00D534D9" w:rsidRDefault="00D534D9" w:rsidP="000D27D3">
            <w:pPr>
              <w:pStyle w:val="AERquote"/>
            </w:pPr>
            <w:r w:rsidRPr="00873E86">
              <w:rPr>
                <w:strike/>
                <w:color w:val="FF0000"/>
              </w:rPr>
              <w:t>(iii)</w:t>
            </w:r>
            <w:r w:rsidRPr="00873E86">
              <w:rPr>
                <w:color w:val="FF0000"/>
              </w:rPr>
              <w:t>(b)</w:t>
            </w:r>
            <w:r>
              <w:t xml:space="preserve"> </w:t>
            </w:r>
            <w:r w:rsidRPr="002E617F">
              <w:t>ActewAGL may only exercise its right to terminate under clause 25.2(a)(ii) if</w:t>
            </w:r>
            <w:r>
              <w:t xml:space="preserve"> </w:t>
            </w:r>
            <w:r w:rsidRPr="002E617F">
              <w:t>ActewAGL and the User, negotiating in good faith, have been unable to agree to</w:t>
            </w:r>
            <w:r>
              <w:t xml:space="preserve"> </w:t>
            </w:r>
            <w:r w:rsidRPr="002E617F">
              <w:t>amend this Agreement in accordance with clause 1.3, to deal with the impact of</w:t>
            </w:r>
            <w:r>
              <w:t xml:space="preserve"> </w:t>
            </w:r>
            <w:r w:rsidRPr="002E617F">
              <w:t>the relevant Change in Law.</w:t>
            </w:r>
          </w:p>
        </w:tc>
      </w:tr>
    </w:tbl>
    <w:p w:rsidR="00D534D9" w:rsidRDefault="00D534D9" w:rsidP="00392155">
      <w:pPr>
        <w:rPr>
          <w:rStyle w:val="Strong"/>
        </w:rPr>
      </w:pPr>
    </w:p>
    <w:p w:rsidR="002E617F" w:rsidRPr="00654B6A" w:rsidRDefault="005B1567" w:rsidP="00A1186D">
      <w:pPr>
        <w:pStyle w:val="Heading3"/>
      </w:pPr>
      <w:bookmarkStart w:id="56" w:name="_Ref430605875"/>
      <w:bookmarkStart w:id="57" w:name="_Toc435083271"/>
      <w:r>
        <w:t>Revisions to the access arrangement</w:t>
      </w:r>
      <w:bookmarkEnd w:id="56"/>
      <w:bookmarkEnd w:id="57"/>
    </w:p>
    <w:tbl>
      <w:tblPr>
        <w:tblStyle w:val="AERtable-text0"/>
        <w:tblW w:w="0" w:type="auto"/>
        <w:tblLook w:val="04A0" w:firstRow="1" w:lastRow="0" w:firstColumn="1" w:lastColumn="0" w:noHBand="0" w:noVBand="1"/>
      </w:tblPr>
      <w:tblGrid>
        <w:gridCol w:w="1101"/>
        <w:gridCol w:w="7592"/>
      </w:tblGrid>
      <w:tr w:rsidR="00FB4A0C" w:rsidTr="006008D9">
        <w:trPr>
          <w:cnfStyle w:val="100000000000" w:firstRow="1" w:lastRow="0" w:firstColumn="0" w:lastColumn="0" w:oddVBand="0" w:evenVBand="0" w:oddHBand="0" w:evenHBand="0" w:firstRowFirstColumn="0" w:firstRowLastColumn="0" w:lastRowFirstColumn="0" w:lastRowLastColumn="0"/>
          <w:tblHeader/>
        </w:trPr>
        <w:tc>
          <w:tcPr>
            <w:tcW w:w="1101" w:type="dxa"/>
          </w:tcPr>
          <w:p w:rsidR="00FB4A0C" w:rsidRDefault="00FB4A0C" w:rsidP="00FB4A0C"/>
        </w:tc>
        <w:tc>
          <w:tcPr>
            <w:tcW w:w="7592" w:type="dxa"/>
          </w:tcPr>
          <w:p w:rsidR="00FB4A0C" w:rsidRDefault="00FB4A0C" w:rsidP="00FB4A0C"/>
        </w:tc>
      </w:tr>
      <w:tr w:rsidR="00FB4A0C" w:rsidTr="00FB4A0C">
        <w:tc>
          <w:tcPr>
            <w:tcW w:w="1101" w:type="dxa"/>
          </w:tcPr>
          <w:p w:rsidR="00FB4A0C" w:rsidRDefault="00FB4A0C" w:rsidP="00FB4A0C">
            <w:pPr>
              <w:pStyle w:val="ListNumber"/>
            </w:pPr>
            <w:bookmarkStart w:id="58" w:name="_Ref430617591"/>
          </w:p>
        </w:tc>
        <w:bookmarkEnd w:id="58"/>
        <w:tc>
          <w:tcPr>
            <w:tcW w:w="7592" w:type="dxa"/>
          </w:tcPr>
          <w:p w:rsidR="00FB4A0C" w:rsidRDefault="00FB4A0C" w:rsidP="00873E86">
            <w:pPr>
              <w:pStyle w:val="AERquote"/>
            </w:pPr>
            <w:r>
              <w:t>9.1 If ActewAGL proposes a high pressure pipeline extension, it must advise the Relevant</w:t>
            </w:r>
            <w:r w:rsidR="00873E86">
              <w:t xml:space="preserve"> </w:t>
            </w:r>
            <w:r>
              <w:t>Regulator in accordance with clause 9.2 of this Access Arrangement.</w:t>
            </w:r>
          </w:p>
          <w:p w:rsidR="00FB4A0C" w:rsidRDefault="00FB4A0C" w:rsidP="00873E86">
            <w:pPr>
              <w:pStyle w:val="AERquote"/>
            </w:pPr>
          </w:p>
          <w:p w:rsidR="00FB4A0C" w:rsidRDefault="00FB4A0C" w:rsidP="00873E86">
            <w:pPr>
              <w:pStyle w:val="AERquote"/>
            </w:pPr>
            <w:r>
              <w:t>For the purposes of this section 9, a "high pressure pipeline extension" is an extension to</w:t>
            </w:r>
            <w:r w:rsidR="00873E86">
              <w:t xml:space="preserve"> </w:t>
            </w:r>
            <w:r>
              <w:t>ActewAGL's Covered Pipeline with a direct connection to a transmission pipeline that</w:t>
            </w:r>
            <w:r w:rsidR="00873E86">
              <w:t xml:space="preserve"> </w:t>
            </w:r>
            <w:r>
              <w:t>provides reticulated gas to a new development or an existing development not serviced with</w:t>
            </w:r>
            <w:r w:rsidR="00873E86">
              <w:t xml:space="preserve"> </w:t>
            </w:r>
            <w:r>
              <w:t>reticulated gas.</w:t>
            </w:r>
          </w:p>
          <w:p w:rsidR="00FB4A0C" w:rsidRDefault="00FB4A0C" w:rsidP="00FB4A0C"/>
          <w:p w:rsidR="00FB4A0C" w:rsidRPr="00873E86" w:rsidRDefault="00FB4A0C" w:rsidP="00873E86">
            <w:pPr>
              <w:pStyle w:val="AERquote"/>
              <w:rPr>
                <w:strike/>
                <w:color w:val="FF0000"/>
              </w:rPr>
            </w:pPr>
            <w:r w:rsidRPr="00873E86">
              <w:rPr>
                <w:strike/>
                <w:color w:val="FF0000"/>
              </w:rPr>
              <w:t>The anticipated extension in the Australian Capital Territory from Belconnen across the</w:t>
            </w:r>
          </w:p>
          <w:p w:rsidR="00FB4A0C" w:rsidRPr="00873E86" w:rsidRDefault="00FB4A0C" w:rsidP="00873E86">
            <w:pPr>
              <w:pStyle w:val="AERquote"/>
              <w:rPr>
                <w:strike/>
                <w:color w:val="FF0000"/>
              </w:rPr>
            </w:pPr>
            <w:r w:rsidRPr="00873E86">
              <w:rPr>
                <w:strike/>
                <w:color w:val="FF0000"/>
              </w:rPr>
              <w:t>Molonglo Valley to Phillip does not represent a high pressure pipeline extension for the</w:t>
            </w:r>
          </w:p>
          <w:p w:rsidR="00FB4A0C" w:rsidRDefault="00FB4A0C" w:rsidP="00873E86">
            <w:pPr>
              <w:pStyle w:val="AERquote"/>
            </w:pPr>
            <w:r w:rsidRPr="00873E86">
              <w:rPr>
                <w:strike/>
                <w:color w:val="FF0000"/>
              </w:rPr>
              <w:t>purposes of this section</w:t>
            </w:r>
            <w:r w:rsidR="00291AAD" w:rsidRPr="00873E86">
              <w:rPr>
                <w:strike/>
                <w:color w:val="FF0000"/>
              </w:rPr>
              <w:t xml:space="preserve"> </w:t>
            </w:r>
            <w:r w:rsidRPr="00873E86">
              <w:rPr>
                <w:strike/>
                <w:color w:val="FF0000"/>
              </w:rPr>
              <w:t>9</w:t>
            </w:r>
            <w:r w:rsidRPr="00291AAD">
              <w:t>.</w:t>
            </w:r>
          </w:p>
        </w:tc>
      </w:tr>
      <w:tr w:rsidR="00FB4A0C" w:rsidTr="00FB4A0C">
        <w:trPr>
          <w:cnfStyle w:val="000000010000" w:firstRow="0" w:lastRow="0" w:firstColumn="0" w:lastColumn="0" w:oddVBand="0" w:evenVBand="0" w:oddHBand="0" w:evenHBand="1" w:firstRowFirstColumn="0" w:firstRowLastColumn="0" w:lastRowFirstColumn="0" w:lastRowLastColumn="0"/>
        </w:trPr>
        <w:tc>
          <w:tcPr>
            <w:tcW w:w="1101" w:type="dxa"/>
          </w:tcPr>
          <w:p w:rsidR="00FB4A0C" w:rsidRDefault="00FB4A0C" w:rsidP="00FB4A0C">
            <w:pPr>
              <w:pStyle w:val="ListNumber"/>
            </w:pPr>
          </w:p>
        </w:tc>
        <w:tc>
          <w:tcPr>
            <w:tcW w:w="7592" w:type="dxa"/>
          </w:tcPr>
          <w:p w:rsidR="00873E86" w:rsidRPr="00291AAD" w:rsidRDefault="00873E86" w:rsidP="00873E86">
            <w:pPr>
              <w:pStyle w:val="AERquote"/>
              <w:rPr>
                <w:rFonts w:cstheme="minorBidi"/>
                <w:strike/>
              </w:rPr>
            </w:pPr>
            <w:r>
              <w:t>9.</w:t>
            </w:r>
            <w:r w:rsidRPr="00291AAD">
              <w:t>4</w:t>
            </w:r>
            <w:r>
              <w:t xml:space="preserve"> </w:t>
            </w:r>
            <w:r w:rsidRPr="00873E86">
              <w:rPr>
                <w:color w:val="FF0000"/>
              </w:rPr>
              <w:t xml:space="preserve">After considering </w:t>
            </w:r>
            <w:r w:rsidRPr="00FB4A0C">
              <w:rPr>
                <w:rFonts w:cstheme="minorBidi"/>
                <w:strike/>
              </w:rPr>
              <w:t>Within 20 Business Days of receiving</w:t>
            </w:r>
            <w:r>
              <w:t xml:space="preserve"> a notification under clause 9.</w:t>
            </w:r>
            <w:r w:rsidRPr="00291AAD">
              <w:t xml:space="preserve">1 </w:t>
            </w:r>
            <w:r w:rsidRPr="00873E86">
              <w:rPr>
                <w:color w:val="FF0000"/>
              </w:rPr>
              <w:t>and undertaking such consultation as the Relevant Regulator considered necessary</w:t>
            </w:r>
            <w:r>
              <w:t>, the Relevant Regulator must notify ActewAGL</w:t>
            </w:r>
            <w:r w:rsidRPr="00873E86">
              <w:rPr>
                <w:strike/>
                <w:color w:val="FF0000"/>
              </w:rPr>
              <w:t>:</w:t>
            </w:r>
          </w:p>
          <w:p w:rsidR="00873E86" w:rsidRPr="00291AAD" w:rsidRDefault="00873E86" w:rsidP="00873E86">
            <w:pPr>
              <w:pStyle w:val="AERquote"/>
              <w:rPr>
                <w:rFonts w:cstheme="minorBidi"/>
                <w:strike/>
              </w:rPr>
            </w:pPr>
            <w:r w:rsidRPr="00873E86">
              <w:rPr>
                <w:strike/>
                <w:color w:val="FF0000"/>
              </w:rPr>
              <w:t>(a)</w:t>
            </w:r>
            <w:r>
              <w:t xml:space="preserve"> of its decision on ActewAGL's proposed coverage approach for the high pressure pipeline extension</w:t>
            </w:r>
            <w:r w:rsidR="00DE4DB4">
              <w:t>.</w:t>
            </w:r>
            <w:r w:rsidRPr="00873E86">
              <w:rPr>
                <w:strike/>
                <w:color w:val="FF0000"/>
              </w:rPr>
              <w:t>; or</w:t>
            </w:r>
          </w:p>
          <w:p w:rsidR="00873E86" w:rsidRDefault="00873E86" w:rsidP="00873E86">
            <w:pPr>
              <w:pStyle w:val="AERquote"/>
            </w:pPr>
            <w:r w:rsidRPr="00873E86">
              <w:rPr>
                <w:strike/>
                <w:color w:val="FF0000"/>
              </w:rPr>
              <w:lastRenderedPageBreak/>
              <w:t>(b)</w:t>
            </w:r>
            <w:r>
              <w:t xml:space="preserve"> </w:t>
            </w:r>
            <w:r w:rsidRPr="00873E86">
              <w:rPr>
                <w:color w:val="FF0000"/>
              </w:rPr>
              <w:t>The Relevant Regulator's decision referred to in clause 9.4(a) above, may be made on such reasonable conditions as determined by the Relevant Regulator and will have the effect stated in the decision</w:t>
            </w:r>
            <w:r w:rsidRPr="00873E86">
              <w:rPr>
                <w:strike/>
                <w:color w:val="FF0000"/>
              </w:rPr>
              <w:t>whether the Relevant Regulator requires an extension of time including to allow further consultation with ActewAGL before making a decision</w:t>
            </w:r>
            <w:r w:rsidRPr="00873E86">
              <w:rPr>
                <w:color w:val="FF0000"/>
              </w:rPr>
              <w:t>.</w:t>
            </w:r>
          </w:p>
          <w:p w:rsidR="00873E86" w:rsidRDefault="00873E86" w:rsidP="00291AAD">
            <w:pPr>
              <w:spacing w:before="200" w:after="0" w:line="240" w:lineRule="auto"/>
            </w:pPr>
          </w:p>
        </w:tc>
      </w:tr>
    </w:tbl>
    <w:p w:rsidR="00FB4A0C" w:rsidRPr="00FB4A0C" w:rsidRDefault="00FB4A0C" w:rsidP="00FB4A0C"/>
    <w:p w:rsidR="00A340CC" w:rsidRDefault="00A340CC" w:rsidP="00A1186D">
      <w:pPr>
        <w:pStyle w:val="AERquote"/>
      </w:pPr>
    </w:p>
    <w:p w:rsidR="00D67D89" w:rsidRPr="005B1567" w:rsidRDefault="00D67D89" w:rsidP="00A1186D"/>
    <w:sectPr w:rsidR="00D67D89" w:rsidRPr="005B1567"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41F" w:rsidRPr="00290C63" w:rsidRDefault="0099241F" w:rsidP="00290C63">
      <w:r>
        <w:separator/>
      </w:r>
    </w:p>
    <w:p w:rsidR="0099241F" w:rsidRDefault="0099241F"/>
  </w:endnote>
  <w:endnote w:type="continuationSeparator" w:id="0">
    <w:p w:rsidR="0099241F" w:rsidRPr="00290C63" w:rsidRDefault="0099241F" w:rsidP="00290C63">
      <w:r>
        <w:continuationSeparator/>
      </w:r>
    </w:p>
    <w:p w:rsidR="0099241F" w:rsidRDefault="00992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1F" w:rsidRDefault="0099241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99241F" w:rsidRDefault="0099241F">
    <w:pPr>
      <w:pStyle w:val="Footer"/>
    </w:pPr>
  </w:p>
  <w:p w:rsidR="0099241F" w:rsidRDefault="0099241F">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99241F" w:rsidRPr="00CA52A2" w:rsidRDefault="0099241F" w:rsidP="00CA52A2">
        <w:pPr>
          <w:pStyle w:val="Footer"/>
        </w:pPr>
        <w:r w:rsidRPr="00CA52A2">
          <w:fldChar w:fldCharType="begin"/>
        </w:r>
        <w:r>
          <w:instrText xml:space="preserve"> PAGE   \* MERGEFORMAT </w:instrText>
        </w:r>
        <w:r w:rsidRPr="00CA52A2">
          <w:fldChar w:fldCharType="separate"/>
        </w:r>
        <w:r w:rsidR="00957AFC">
          <w:rPr>
            <w:noProof/>
          </w:rPr>
          <w:t>12-3</w:t>
        </w:r>
        <w:r w:rsidRPr="00CA52A2">
          <w:fldChar w:fldCharType="end"/>
        </w:r>
        <w:r w:rsidRPr="00CA52A2">
          <w:t xml:space="preserve">          Attachment </w:t>
        </w:r>
        <w:r>
          <w:t xml:space="preserve">12 </w:t>
        </w:r>
        <w:r w:rsidRPr="00CA52A2">
          <w:t xml:space="preserve">– </w:t>
        </w:r>
        <w:r>
          <w:t xml:space="preserve">Non-tariff components </w:t>
        </w:r>
        <w:r w:rsidRPr="00CA52A2">
          <w:t xml:space="preserve">| </w:t>
        </w:r>
        <w:r>
          <w:t>Draft decision: ActewAGL Distribution Access Arrangement 2016</w:t>
        </w:r>
        <w:r w:rsidRPr="00CA52A2">
          <w:t>–</w:t>
        </w:r>
        <w:r>
          <w:t>21</w:t>
        </w:r>
      </w:p>
    </w:sdtContent>
  </w:sdt>
  <w:p w:rsidR="0099241F" w:rsidRDefault="0099241F">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41F" w:rsidRPr="00290C63" w:rsidRDefault="0099241F" w:rsidP="00290C63">
      <w:r>
        <w:separator/>
      </w:r>
    </w:p>
    <w:p w:rsidR="0099241F" w:rsidRDefault="0099241F"/>
  </w:footnote>
  <w:footnote w:type="continuationSeparator" w:id="0">
    <w:p w:rsidR="0099241F" w:rsidRPr="00290C63" w:rsidRDefault="0099241F" w:rsidP="00290C63">
      <w:r>
        <w:continuationSeparator/>
      </w:r>
    </w:p>
    <w:p w:rsidR="0099241F" w:rsidRDefault="0099241F"/>
  </w:footnote>
  <w:footnote w:id="1">
    <w:p w:rsidR="0099241F" w:rsidRDefault="0099241F">
      <w:pPr>
        <w:pStyle w:val="FootnoteText"/>
      </w:pPr>
      <w:r>
        <w:rPr>
          <w:rStyle w:val="FootnoteReference"/>
        </w:rPr>
        <w:footnoteRef/>
      </w:r>
      <w:r>
        <w:t xml:space="preserve"> </w:t>
      </w:r>
      <w:r>
        <w:tab/>
        <w:t>With the exception that a service provider must comply with the queuing requirements in an applicable access arrangement: NGL, ss 135 and 322.</w:t>
      </w:r>
    </w:p>
  </w:footnote>
  <w:footnote w:id="2">
    <w:p w:rsidR="0099241F" w:rsidRDefault="0099241F">
      <w:pPr>
        <w:pStyle w:val="FootnoteText"/>
      </w:pPr>
      <w:r>
        <w:rPr>
          <w:rStyle w:val="FootnoteReference"/>
        </w:rPr>
        <w:footnoteRef/>
      </w:r>
      <w:r>
        <w:t xml:space="preserve"> </w:t>
      </w:r>
      <w:r>
        <w:tab/>
        <w:t>NGR, r. 40(3).</w:t>
      </w:r>
    </w:p>
  </w:footnote>
  <w:footnote w:id="3">
    <w:p w:rsidR="0099241F" w:rsidRDefault="0099241F">
      <w:pPr>
        <w:pStyle w:val="FootnoteText"/>
      </w:pPr>
      <w:r>
        <w:rPr>
          <w:rStyle w:val="FootnoteReference"/>
        </w:rPr>
        <w:footnoteRef/>
      </w:r>
      <w:r>
        <w:t xml:space="preserve"> </w:t>
      </w:r>
      <w:r>
        <w:tab/>
        <w:t xml:space="preserve">ActewAGL, </w:t>
      </w:r>
      <w:r w:rsidRPr="00EE03F6">
        <w:rPr>
          <w:rStyle w:val="AERtextitalic"/>
        </w:rPr>
        <w:t>Regulatory proposal, Attachment 14: Non-tariff elements</w:t>
      </w:r>
      <w:r>
        <w:t>, p. 5.</w:t>
      </w:r>
    </w:p>
  </w:footnote>
  <w:footnote w:id="4">
    <w:p w:rsidR="0099241F" w:rsidRDefault="0099241F" w:rsidP="00C50EAF">
      <w:pPr>
        <w:pStyle w:val="FootnoteText"/>
      </w:pPr>
    </w:p>
  </w:footnote>
  <w:footnote w:id="5">
    <w:p w:rsidR="0099241F" w:rsidRDefault="0099241F" w:rsidP="00602B90">
      <w:pPr>
        <w:pStyle w:val="FootnoteText"/>
      </w:pPr>
      <w:r>
        <w:rPr>
          <w:rStyle w:val="FootnoteReference"/>
        </w:rPr>
        <w:footnoteRef/>
      </w:r>
      <w:r>
        <w:t xml:space="preserve"> </w:t>
      </w:r>
      <w:r>
        <w:tab/>
        <w:t xml:space="preserve">ActewAGL, </w:t>
      </w:r>
      <w:r w:rsidRPr="005E4D44">
        <w:rPr>
          <w:i/>
        </w:rPr>
        <w:t>Access arrangement information for the 2016-21 ACT, Queanbeyan and Palerang access arrangement, Submission to the Australian Energy Regulator</w:t>
      </w:r>
      <w:r>
        <w:t>, June 2015, pp. 34–36.</w:t>
      </w:r>
    </w:p>
  </w:footnote>
  <w:footnote w:id="6">
    <w:p w:rsidR="0099241F" w:rsidRDefault="0099241F" w:rsidP="005A50CB">
      <w:pPr>
        <w:pStyle w:val="FootnoteText"/>
      </w:pPr>
      <w:r>
        <w:rPr>
          <w:rStyle w:val="FootnoteReference"/>
        </w:rPr>
        <w:footnoteRef/>
      </w:r>
      <w:r>
        <w:t xml:space="preserve"> </w:t>
      </w:r>
      <w:r>
        <w:tab/>
        <w:t xml:space="preserve">ActewAGL, </w:t>
      </w:r>
      <w:r w:rsidRPr="00EE03F6">
        <w:rPr>
          <w:rStyle w:val="AERtextitalic"/>
        </w:rPr>
        <w:t>Regulatory proposal, Attachment 14: Non-tariff elements</w:t>
      </w:r>
      <w:r>
        <w:t>, p. 10.</w:t>
      </w:r>
    </w:p>
  </w:footnote>
  <w:footnote w:id="7">
    <w:p w:rsidR="0099241F" w:rsidRDefault="0099241F" w:rsidP="00C97F98">
      <w:pPr>
        <w:pStyle w:val="FootnoteText"/>
      </w:pPr>
      <w:r>
        <w:rPr>
          <w:rStyle w:val="FootnoteReference"/>
        </w:rPr>
        <w:footnoteRef/>
      </w:r>
      <w:r>
        <w:t xml:space="preserve"> </w:t>
      </w:r>
      <w:r>
        <w:tab/>
        <w:t>NGR, r. 100; ‘Procedures’ are described at Part 15B of the NGR.</w:t>
      </w:r>
    </w:p>
  </w:footnote>
  <w:footnote w:id="8">
    <w:p w:rsidR="0099241F" w:rsidRDefault="0099241F" w:rsidP="0047575B">
      <w:pPr>
        <w:pStyle w:val="FootnoteText"/>
      </w:pPr>
      <w:r>
        <w:rPr>
          <w:rStyle w:val="FootnoteReference"/>
        </w:rPr>
        <w:footnoteRef/>
      </w:r>
      <w:r>
        <w:t xml:space="preserve"> </w:t>
      </w:r>
      <w:r>
        <w:tab/>
        <w:t xml:space="preserve">AEMO, </w:t>
      </w:r>
      <w:r w:rsidRPr="00EE03F6">
        <w:rPr>
          <w:rStyle w:val="AERtextitalic"/>
        </w:rPr>
        <w:t>Retail Market Procedures (NSW and ACT), version 13</w:t>
      </w:r>
      <w:r>
        <w:t>, 1 July 2014.</w:t>
      </w:r>
    </w:p>
  </w:footnote>
  <w:footnote w:id="9">
    <w:p w:rsidR="0099241F" w:rsidRDefault="0099241F" w:rsidP="0047575B">
      <w:pPr>
        <w:pStyle w:val="FootnoteText"/>
      </w:pPr>
      <w:r>
        <w:rPr>
          <w:rStyle w:val="FootnoteReference"/>
        </w:rPr>
        <w:footnoteRef/>
      </w:r>
      <w:r>
        <w:t xml:space="preserve"> </w:t>
      </w:r>
      <w:r>
        <w:tab/>
        <w:t>NGR, r. 40(3).</w:t>
      </w:r>
    </w:p>
  </w:footnote>
  <w:footnote w:id="10">
    <w:p w:rsidR="0099241F" w:rsidRDefault="0099241F" w:rsidP="0047575B">
      <w:pPr>
        <w:pStyle w:val="FootnoteText"/>
      </w:pPr>
      <w:r>
        <w:rPr>
          <w:rStyle w:val="FootnoteReference"/>
        </w:rPr>
        <w:footnoteRef/>
      </w:r>
      <w:r>
        <w:t xml:space="preserve"> </w:t>
      </w:r>
      <w:r>
        <w:tab/>
        <w:t>We received submissions on the terms and conditions from Origin and the North Canberra Community Council.</w:t>
      </w:r>
    </w:p>
  </w:footnote>
  <w:footnote w:id="11">
    <w:p w:rsidR="0099241F" w:rsidRDefault="0099241F" w:rsidP="0047575B">
      <w:pPr>
        <w:pStyle w:val="FootnoteText"/>
      </w:pPr>
      <w:r>
        <w:rPr>
          <w:rStyle w:val="FootnoteReference"/>
        </w:rPr>
        <w:footnoteRef/>
      </w:r>
      <w:r>
        <w:t xml:space="preserve"> </w:t>
      </w:r>
      <w:r>
        <w:tab/>
        <w:t>NGL, s. 189.</w:t>
      </w:r>
    </w:p>
  </w:footnote>
  <w:footnote w:id="12">
    <w:p w:rsidR="0099241F" w:rsidRDefault="0099241F">
      <w:pPr>
        <w:pStyle w:val="FootnoteText"/>
      </w:pPr>
      <w:r>
        <w:rPr>
          <w:rStyle w:val="FootnoteReference"/>
        </w:rPr>
        <w:footnoteRef/>
      </w:r>
      <w:r>
        <w:t xml:space="preserve"> </w:t>
      </w:r>
      <w:r>
        <w:tab/>
        <w:t xml:space="preserve">This is subject to section 135, which requires the service provider to comply with the queueing requirements of the applicable access arrangement – see section </w:t>
      </w:r>
      <w:r>
        <w:fldChar w:fldCharType="begin"/>
      </w:r>
      <w:r>
        <w:instrText xml:space="preserve"> REF _Ref429124246 \r \h </w:instrText>
      </w:r>
      <w:r>
        <w:fldChar w:fldCharType="separate"/>
      </w:r>
      <w:r>
        <w:t>12.2</w:t>
      </w:r>
      <w:r>
        <w:fldChar w:fldCharType="end"/>
      </w:r>
      <w:r>
        <w:t xml:space="preserve"> below.</w:t>
      </w:r>
    </w:p>
  </w:footnote>
  <w:footnote w:id="13">
    <w:p w:rsidR="0099241F" w:rsidRDefault="0099241F" w:rsidP="0047575B">
      <w:pPr>
        <w:pStyle w:val="FootnoteText"/>
      </w:pPr>
      <w:r>
        <w:rPr>
          <w:rStyle w:val="FootnoteReference"/>
        </w:rPr>
        <w:footnoteRef/>
      </w:r>
      <w:r>
        <w:t xml:space="preserve"> </w:t>
      </w:r>
      <w:r>
        <w:tab/>
        <w:t xml:space="preserve">See: </w:t>
      </w:r>
      <w:r w:rsidRPr="00CF2C88">
        <w:t>Application by WA Gas Networks Pty Ltd (No 3) [2012] ACompT 12</w:t>
      </w:r>
      <w:r>
        <w:t xml:space="preserve"> at [261]-[278]; and </w:t>
      </w:r>
      <w:r w:rsidRPr="00CF2C88">
        <w:t xml:space="preserve">Australian Competition and Consumer </w:t>
      </w:r>
      <w:r>
        <w:t>Commission</w:t>
      </w:r>
      <w:r w:rsidRPr="00CF2C88">
        <w:t xml:space="preserve"> v Telstra Corporation [2009] FCAFC 68</w:t>
      </w:r>
      <w:r>
        <w:t>.</w:t>
      </w:r>
    </w:p>
  </w:footnote>
  <w:footnote w:id="14">
    <w:p w:rsidR="0099241F" w:rsidRDefault="0099241F">
      <w:pPr>
        <w:pStyle w:val="FootnoteText"/>
      </w:pPr>
      <w:r>
        <w:rPr>
          <w:rStyle w:val="FootnoteReference"/>
        </w:rPr>
        <w:footnoteRef/>
      </w:r>
      <w:r>
        <w:t xml:space="preserve"> </w:t>
      </w:r>
      <w:r>
        <w:tab/>
        <w:t xml:space="preserve">ActewAGL, </w:t>
      </w:r>
      <w:r w:rsidRPr="004829EB">
        <w:rPr>
          <w:i/>
        </w:rPr>
        <w:t>Response to Information Request 025</w:t>
      </w:r>
      <w:r>
        <w:t xml:space="preserve">, 20 August 2015, p. 4; ActewAGL, </w:t>
      </w:r>
      <w:r w:rsidRPr="00B55B32">
        <w:rPr>
          <w:i/>
        </w:rPr>
        <w:t>Follow up to response to information request 025</w:t>
      </w:r>
      <w:r>
        <w:t>, 24 August, 2015.</w:t>
      </w:r>
    </w:p>
  </w:footnote>
  <w:footnote w:id="15">
    <w:p w:rsidR="0099241F" w:rsidRDefault="0099241F" w:rsidP="00393B1F">
      <w:pPr>
        <w:pStyle w:val="FootnoteText"/>
      </w:pPr>
      <w:r>
        <w:rPr>
          <w:rStyle w:val="FootnoteReference"/>
        </w:rPr>
        <w:footnoteRef/>
      </w:r>
      <w:r>
        <w:t xml:space="preserve"> </w:t>
      </w:r>
      <w:r>
        <w:tab/>
        <w:t>ActewAGL, Proposed RSA, cl</w:t>
      </w:r>
      <w:r w:rsidR="00184C50">
        <w:t>.</w:t>
      </w:r>
      <w:r>
        <w:t xml:space="preserve"> 1.1.</w:t>
      </w:r>
    </w:p>
  </w:footnote>
  <w:footnote w:id="16">
    <w:p w:rsidR="0099241F" w:rsidRDefault="0099241F" w:rsidP="003F2F24">
      <w:pPr>
        <w:pStyle w:val="FootnoteText"/>
      </w:pPr>
      <w:r>
        <w:rPr>
          <w:rStyle w:val="FootnoteReference"/>
        </w:rPr>
        <w:footnoteRef/>
      </w:r>
      <w:r>
        <w:t xml:space="preserve"> </w:t>
      </w:r>
      <w:r>
        <w:tab/>
        <w:t xml:space="preserve">ActewAGL, </w:t>
      </w:r>
      <w:r w:rsidRPr="004829EB">
        <w:rPr>
          <w:i/>
        </w:rPr>
        <w:t>Response to information Request 025</w:t>
      </w:r>
      <w:r>
        <w:t>, 20 August 2015, p. 1.</w:t>
      </w:r>
    </w:p>
  </w:footnote>
  <w:footnote w:id="17">
    <w:p w:rsidR="0099241F" w:rsidRDefault="0099241F" w:rsidP="00D66F1A">
      <w:pPr>
        <w:pStyle w:val="FootnoteText"/>
      </w:pPr>
      <w:r>
        <w:rPr>
          <w:rStyle w:val="FootnoteReference"/>
        </w:rPr>
        <w:footnoteRef/>
      </w:r>
      <w:r>
        <w:t xml:space="preserve"> </w:t>
      </w:r>
      <w:r>
        <w:tab/>
        <w:t xml:space="preserve">ActewAGL, </w:t>
      </w:r>
      <w:r w:rsidRPr="004829EB">
        <w:rPr>
          <w:i/>
        </w:rPr>
        <w:t>Response to Information Request 025</w:t>
      </w:r>
      <w:r>
        <w:t>, 20 August 2015, p. 1.</w:t>
      </w:r>
    </w:p>
  </w:footnote>
  <w:footnote w:id="18">
    <w:p w:rsidR="0099241F" w:rsidRDefault="0099241F" w:rsidP="00D66F1A">
      <w:pPr>
        <w:pStyle w:val="FootnoteText"/>
      </w:pPr>
      <w:r>
        <w:rPr>
          <w:rStyle w:val="FootnoteReference"/>
        </w:rPr>
        <w:footnoteRef/>
      </w:r>
      <w:r>
        <w:t xml:space="preserve"> </w:t>
      </w:r>
      <w:r>
        <w:tab/>
        <w:t xml:space="preserve">ActewAGL, </w:t>
      </w:r>
      <w:r w:rsidRPr="00EE03F6">
        <w:rPr>
          <w:rStyle w:val="AERtextitalic"/>
        </w:rPr>
        <w:t>Regulatory proposal, Attachment 14: Non-tariff elements</w:t>
      </w:r>
      <w:r>
        <w:t>, pp. 20–21.</w:t>
      </w:r>
    </w:p>
  </w:footnote>
  <w:footnote w:id="19">
    <w:p w:rsidR="0099241F" w:rsidRDefault="0099241F" w:rsidP="00D66F1A">
      <w:pPr>
        <w:pStyle w:val="FootnoteText"/>
      </w:pPr>
      <w:r>
        <w:rPr>
          <w:rStyle w:val="FootnoteReference"/>
        </w:rPr>
        <w:footnoteRef/>
      </w:r>
      <w:r>
        <w:t xml:space="preserve"> </w:t>
      </w:r>
      <w:r>
        <w:tab/>
        <w:t xml:space="preserve">ActewAGL, </w:t>
      </w:r>
      <w:r w:rsidRPr="004829EB">
        <w:rPr>
          <w:i/>
        </w:rPr>
        <w:t>Response to Information Request 025</w:t>
      </w:r>
      <w:r>
        <w:t>, 20 August 2015, pp. 1–2.</w:t>
      </w:r>
    </w:p>
  </w:footnote>
  <w:footnote w:id="20">
    <w:p w:rsidR="0099241F" w:rsidRDefault="0099241F">
      <w:pPr>
        <w:pStyle w:val="FootnoteText"/>
      </w:pPr>
      <w:r>
        <w:rPr>
          <w:rStyle w:val="FootnoteReference"/>
        </w:rPr>
        <w:footnoteRef/>
      </w:r>
      <w:r>
        <w:t xml:space="preserve"> </w:t>
      </w:r>
      <w:r>
        <w:tab/>
        <w:t xml:space="preserve">ActewAGL, </w:t>
      </w:r>
      <w:r w:rsidRPr="004829EB">
        <w:rPr>
          <w:i/>
        </w:rPr>
        <w:t>Response to Information Request 025</w:t>
      </w:r>
      <w:r>
        <w:t>, 20 August 2015, p. 3.</w:t>
      </w:r>
    </w:p>
  </w:footnote>
  <w:footnote w:id="21">
    <w:p w:rsidR="0099241F" w:rsidRDefault="0099241F"/>
  </w:footnote>
  <w:footnote w:id="22">
    <w:p w:rsidR="0099241F" w:rsidRDefault="0099241F" w:rsidP="00425713">
      <w:pPr>
        <w:pStyle w:val="FootnoteText"/>
      </w:pPr>
      <w:r>
        <w:rPr>
          <w:rStyle w:val="FootnoteReference"/>
        </w:rPr>
        <w:footnoteRef/>
      </w:r>
      <w:r>
        <w:t xml:space="preserve"> </w:t>
      </w:r>
      <w:r>
        <w:tab/>
        <w:t xml:space="preserve">ActewAGL, </w:t>
      </w:r>
      <w:r w:rsidRPr="00EE03F6">
        <w:rPr>
          <w:rStyle w:val="AERtextitalic"/>
        </w:rPr>
        <w:t>Regulatory proposal, Attachment 14: Non-tariff elements</w:t>
      </w:r>
      <w:r>
        <w:t>, p. 12.</w:t>
      </w:r>
    </w:p>
  </w:footnote>
  <w:footnote w:id="23">
    <w:p w:rsidR="0099241F" w:rsidRDefault="0099241F">
      <w:pPr>
        <w:pStyle w:val="FootnoteText"/>
      </w:pPr>
      <w:r>
        <w:rPr>
          <w:rStyle w:val="FootnoteReference"/>
        </w:rPr>
        <w:footnoteRef/>
      </w:r>
      <w:r>
        <w:t xml:space="preserve"> </w:t>
      </w:r>
      <w:r>
        <w:tab/>
      </w:r>
      <w:hyperlink r:id="rId1" w:history="1">
        <w:r w:rsidRPr="00C765DC">
          <w:t>AER</w:t>
        </w:r>
        <w:r>
          <w:t xml:space="preserve">, </w:t>
        </w:r>
        <w:r w:rsidRPr="00C765DC">
          <w:rPr>
            <w:rStyle w:val="Emphasis"/>
          </w:rPr>
          <w:t>Draft decision ActewAGL Distribution access arrangement - Attachment 10 - Reference tariff setting</w:t>
        </w:r>
        <w:r>
          <w:t xml:space="preserve">, </w:t>
        </w:r>
        <w:r w:rsidRPr="00C765DC">
          <w:t>November 2015</w:t>
        </w:r>
      </w:hyperlink>
      <w:r>
        <w:t>.</w:t>
      </w:r>
    </w:p>
  </w:footnote>
  <w:footnote w:id="24">
    <w:p w:rsidR="0099241F" w:rsidRDefault="0099241F">
      <w:pPr>
        <w:pStyle w:val="FootnoteText"/>
      </w:pPr>
      <w:r>
        <w:rPr>
          <w:rStyle w:val="FootnoteReference"/>
        </w:rPr>
        <w:footnoteRef/>
      </w:r>
      <w:r>
        <w:t xml:space="preserve"> </w:t>
      </w:r>
      <w:r>
        <w:tab/>
        <w:t>ActewAGL, Proposed RSA, cl</w:t>
      </w:r>
      <w:r w:rsidR="00184C50">
        <w:t>.</w:t>
      </w:r>
      <w:r>
        <w:t xml:space="preserve"> 11.4(a).</w:t>
      </w:r>
    </w:p>
  </w:footnote>
  <w:footnote w:id="25">
    <w:p w:rsidR="0099241F" w:rsidRDefault="0099241F">
      <w:pPr>
        <w:pStyle w:val="FootnoteText"/>
      </w:pPr>
      <w:r>
        <w:rPr>
          <w:rStyle w:val="FootnoteReference"/>
        </w:rPr>
        <w:footnoteRef/>
      </w:r>
      <w:r>
        <w:t xml:space="preserve"> </w:t>
      </w:r>
      <w:r>
        <w:tab/>
        <w:t>ActewAGL, Proposed RSA, c</w:t>
      </w:r>
      <w:r w:rsidRPr="00C25658">
        <w:t>l</w:t>
      </w:r>
      <w:r w:rsidR="00184C50">
        <w:t>.</w:t>
      </w:r>
      <w:r w:rsidRPr="00C25658">
        <w:t xml:space="preserve"> 11.4(c)(v)</w:t>
      </w:r>
      <w:r>
        <w:t>.</w:t>
      </w:r>
    </w:p>
  </w:footnote>
  <w:footnote w:id="26">
    <w:p w:rsidR="0099241F" w:rsidRDefault="0099241F" w:rsidP="00D4019E">
      <w:pPr>
        <w:pStyle w:val="FootnoteText"/>
      </w:pPr>
      <w:r>
        <w:rPr>
          <w:rStyle w:val="FootnoteReference"/>
        </w:rPr>
        <w:footnoteRef/>
      </w:r>
      <w:r>
        <w:t xml:space="preserve"> </w:t>
      </w:r>
      <w:r>
        <w:tab/>
        <w:t xml:space="preserve">Origin, </w:t>
      </w:r>
      <w:r w:rsidRPr="00E87F92">
        <w:rPr>
          <w:rStyle w:val="AERtextitalic"/>
        </w:rPr>
        <w:t>Submission on ActewAGL Distribution 2016-21 Access Arrangement Proposal for ACT</w:t>
      </w:r>
      <w:r>
        <w:rPr>
          <w:rStyle w:val="AERtextitalic"/>
        </w:rPr>
        <w:t>,</w:t>
      </w:r>
      <w:r w:rsidRPr="00E87F92">
        <w:t xml:space="preserve"> 10 August 2015</w:t>
      </w:r>
      <w:r>
        <w:t>, p. 8.</w:t>
      </w:r>
    </w:p>
  </w:footnote>
  <w:footnote w:id="27">
    <w:p w:rsidR="0099241F" w:rsidRDefault="0099241F">
      <w:pPr>
        <w:pStyle w:val="FootnoteText"/>
      </w:pPr>
      <w:r>
        <w:rPr>
          <w:rStyle w:val="FootnoteReference"/>
        </w:rPr>
        <w:footnoteRef/>
      </w:r>
      <w:r>
        <w:t xml:space="preserve"> </w:t>
      </w:r>
      <w:r>
        <w:tab/>
        <w:t>ActewAGL Distribution response to AER query 040, 15 October 2015.</w:t>
      </w:r>
    </w:p>
  </w:footnote>
  <w:footnote w:id="28">
    <w:p w:rsidR="0099241F" w:rsidRDefault="0099241F" w:rsidP="00C25658">
      <w:pPr>
        <w:pStyle w:val="FootnoteText"/>
      </w:pPr>
      <w:r>
        <w:rPr>
          <w:rStyle w:val="FootnoteReference"/>
        </w:rPr>
        <w:footnoteRef/>
      </w:r>
      <w:r>
        <w:t xml:space="preserve"> </w:t>
      </w:r>
      <w:r>
        <w:tab/>
        <w:t xml:space="preserve">Origin, </w:t>
      </w:r>
      <w:r w:rsidRPr="00E87F92">
        <w:rPr>
          <w:rStyle w:val="AERtextitalic"/>
        </w:rPr>
        <w:t>Submission on ActewAGL Distribution 2016-21 Access Arrangement Proposal for ACT</w:t>
      </w:r>
      <w:r>
        <w:rPr>
          <w:rStyle w:val="AERtextitalic"/>
        </w:rPr>
        <w:t>,</w:t>
      </w:r>
      <w:r w:rsidRPr="00E87F92">
        <w:t xml:space="preserve"> 10 August 2015</w:t>
      </w:r>
      <w:r>
        <w:t>, p. 8.</w:t>
      </w:r>
    </w:p>
  </w:footnote>
  <w:footnote w:id="29">
    <w:p w:rsidR="0099241F" w:rsidRDefault="0099241F" w:rsidP="00C25658">
      <w:pPr>
        <w:pStyle w:val="FootnoteText"/>
      </w:pPr>
      <w:r>
        <w:rPr>
          <w:rStyle w:val="FootnoteReference"/>
        </w:rPr>
        <w:footnoteRef/>
      </w:r>
      <w:r>
        <w:t xml:space="preserve"> </w:t>
      </w:r>
      <w:r>
        <w:tab/>
        <w:t xml:space="preserve">Origin, </w:t>
      </w:r>
      <w:r w:rsidRPr="00E87F92">
        <w:rPr>
          <w:rStyle w:val="AERtextitalic"/>
        </w:rPr>
        <w:t>Submission on ActewAGL Distribution 2016-21 Access Arrangement Proposal for ACT</w:t>
      </w:r>
      <w:r>
        <w:rPr>
          <w:rStyle w:val="AERtextitalic"/>
        </w:rPr>
        <w:t>,</w:t>
      </w:r>
      <w:r w:rsidRPr="00E87F92">
        <w:t xml:space="preserve"> 10 August 2015</w:t>
      </w:r>
      <w:r>
        <w:t>, p. 9.</w:t>
      </w:r>
    </w:p>
  </w:footnote>
  <w:footnote w:id="30">
    <w:p w:rsidR="0099241F" w:rsidRDefault="0099241F" w:rsidP="005C108A">
      <w:pPr>
        <w:pStyle w:val="FootnoteText"/>
      </w:pPr>
      <w:r>
        <w:rPr>
          <w:rStyle w:val="FootnoteReference"/>
        </w:rPr>
        <w:footnoteRef/>
      </w:r>
      <w:r>
        <w:t xml:space="preserve"> </w:t>
      </w:r>
      <w:r>
        <w:tab/>
        <w:t xml:space="preserve">ActewAGL, </w:t>
      </w:r>
      <w:r w:rsidRPr="004829EB">
        <w:rPr>
          <w:i/>
        </w:rPr>
        <w:t>Response to information request 025</w:t>
      </w:r>
      <w:r>
        <w:t>, 20 August 2015, p. 5.</w:t>
      </w:r>
    </w:p>
  </w:footnote>
  <w:footnote w:id="31">
    <w:p w:rsidR="0099241F" w:rsidRDefault="0099241F" w:rsidP="00721CFC">
      <w:pPr>
        <w:pStyle w:val="FootnoteText"/>
      </w:pPr>
      <w:r>
        <w:rPr>
          <w:rStyle w:val="FootnoteReference"/>
        </w:rPr>
        <w:footnoteRef/>
      </w:r>
      <w:r>
        <w:t xml:space="preserve"> </w:t>
      </w:r>
      <w:r>
        <w:tab/>
      </w:r>
      <w:r w:rsidRPr="00E87F92">
        <w:t xml:space="preserve">North Canberra Community Council, </w:t>
      </w:r>
      <w:r w:rsidRPr="00E87F92">
        <w:rPr>
          <w:rStyle w:val="AERtextitalic"/>
        </w:rPr>
        <w:t>Submission on ActewAGL's access arrangement proposal</w:t>
      </w:r>
      <w:r w:rsidRPr="00E87F92">
        <w:t>, 10 August 2015</w:t>
      </w:r>
      <w:r>
        <w:t>, p. 5.</w:t>
      </w:r>
    </w:p>
  </w:footnote>
  <w:footnote w:id="32">
    <w:p w:rsidR="0099241F" w:rsidRDefault="0099241F">
      <w:pPr>
        <w:pStyle w:val="FootnoteText"/>
      </w:pPr>
      <w:r>
        <w:rPr>
          <w:rStyle w:val="FootnoteReference"/>
        </w:rPr>
        <w:footnoteRef/>
      </w:r>
      <w:r w:rsidR="00184C50">
        <w:t xml:space="preserve"> </w:t>
      </w:r>
      <w:r w:rsidR="00184C50">
        <w:tab/>
        <w:t>ActewAGL, Proposed RSA, cl.</w:t>
      </w:r>
      <w:r>
        <w:t xml:space="preserve"> 1.1.</w:t>
      </w:r>
    </w:p>
  </w:footnote>
  <w:footnote w:id="33">
    <w:p w:rsidR="0099241F" w:rsidRDefault="0099241F" w:rsidP="00150BEC">
      <w:pPr>
        <w:pStyle w:val="FootnoteText"/>
      </w:pPr>
      <w:r>
        <w:rPr>
          <w:rStyle w:val="FootnoteReference"/>
        </w:rPr>
        <w:footnoteRef/>
      </w:r>
      <w:r>
        <w:t xml:space="preserve"> </w:t>
      </w:r>
      <w:r>
        <w:tab/>
        <w:t>AER,</w:t>
      </w:r>
      <w:r w:rsidR="00184C50">
        <w:t xml:space="preserve"> JGN Final decision, RSA, cl.</w:t>
      </w:r>
      <w:r>
        <w:t xml:space="preserve"> 26.</w:t>
      </w:r>
    </w:p>
  </w:footnote>
  <w:footnote w:id="34">
    <w:p w:rsidR="0099241F" w:rsidRDefault="0099241F" w:rsidP="00150BEC">
      <w:pPr>
        <w:pStyle w:val="FootnoteText"/>
      </w:pPr>
      <w:r>
        <w:rPr>
          <w:rStyle w:val="FootnoteReference"/>
        </w:rPr>
        <w:footnoteRef/>
      </w:r>
      <w:r>
        <w:t xml:space="preserve"> </w:t>
      </w:r>
      <w:r>
        <w:tab/>
      </w:r>
      <w:r w:rsidRPr="00E87F92">
        <w:t xml:space="preserve">North Canberra Community Council, </w:t>
      </w:r>
      <w:r w:rsidRPr="00E87F92">
        <w:rPr>
          <w:rStyle w:val="AERtextitalic"/>
        </w:rPr>
        <w:t>Submission on ActewAGL's access arrangement proposal</w:t>
      </w:r>
      <w:r w:rsidRPr="00E87F92">
        <w:t xml:space="preserve">, 10 August 2015, </w:t>
      </w:r>
      <w:r>
        <w:t>p. 5.</w:t>
      </w:r>
    </w:p>
  </w:footnote>
  <w:footnote w:id="35">
    <w:p w:rsidR="0099241F" w:rsidRDefault="0099241F" w:rsidP="00D7567B">
      <w:pPr>
        <w:pStyle w:val="FootnoteText"/>
      </w:pPr>
      <w:r>
        <w:rPr>
          <w:rStyle w:val="FootnoteReference"/>
        </w:rPr>
        <w:footnoteRef/>
      </w:r>
      <w:r>
        <w:t xml:space="preserve"> </w:t>
      </w:r>
      <w:r>
        <w:tab/>
        <w:t xml:space="preserve">North Canberra Community Council, </w:t>
      </w:r>
      <w:r w:rsidRPr="00E87F92">
        <w:rPr>
          <w:rStyle w:val="AERtextitalic"/>
        </w:rPr>
        <w:t>Submission on ActewAGL's access arrangement proposal</w:t>
      </w:r>
      <w:r>
        <w:t xml:space="preserve">, </w:t>
      </w:r>
      <w:r w:rsidRPr="00E87F92">
        <w:t>10 August 2015</w:t>
      </w:r>
      <w:r>
        <w:t>, p. 5.</w:t>
      </w:r>
    </w:p>
  </w:footnote>
  <w:footnote w:id="36">
    <w:p w:rsidR="0099241F" w:rsidRDefault="0099241F" w:rsidP="0077408E">
      <w:pPr>
        <w:pStyle w:val="FootnoteText"/>
      </w:pPr>
      <w:r>
        <w:rPr>
          <w:rStyle w:val="FootnoteReference"/>
        </w:rPr>
        <w:footnoteRef/>
      </w:r>
      <w:r>
        <w:t xml:space="preserve"> </w:t>
      </w:r>
      <w:r>
        <w:tab/>
        <w:t xml:space="preserve">ActewAGL, </w:t>
      </w:r>
      <w:r w:rsidRPr="004829EB">
        <w:rPr>
          <w:i/>
        </w:rPr>
        <w:t>Follow up to response to information request 025</w:t>
      </w:r>
      <w:r>
        <w:t>, 24 August, 2015.</w:t>
      </w:r>
    </w:p>
  </w:footnote>
  <w:footnote w:id="37">
    <w:p w:rsidR="0099241F" w:rsidRDefault="0099241F">
      <w:pPr>
        <w:pStyle w:val="FootnoteText"/>
      </w:pPr>
      <w:r>
        <w:rPr>
          <w:rStyle w:val="FootnoteReference"/>
        </w:rPr>
        <w:footnoteRef/>
      </w:r>
      <w:r>
        <w:t xml:space="preserve"> </w:t>
      </w:r>
      <w:r>
        <w:tab/>
        <w:t>NGR, r. 103(3)</w:t>
      </w:r>
      <w:r w:rsidR="00184C50">
        <w:t>.</w:t>
      </w:r>
    </w:p>
  </w:footnote>
  <w:footnote w:id="38">
    <w:p w:rsidR="0099241F" w:rsidRDefault="0099241F">
      <w:pPr>
        <w:pStyle w:val="FootnoteText"/>
      </w:pPr>
      <w:r>
        <w:rPr>
          <w:rStyle w:val="FootnoteReference"/>
        </w:rPr>
        <w:footnoteRef/>
      </w:r>
      <w:r>
        <w:t xml:space="preserve"> </w:t>
      </w:r>
      <w:r>
        <w:tab/>
        <w:t xml:space="preserve">ActewAGL, </w:t>
      </w:r>
      <w:r w:rsidRPr="009B581C">
        <w:rPr>
          <w:i/>
        </w:rPr>
        <w:t>Appendi</w:t>
      </w:r>
      <w:r>
        <w:rPr>
          <w:i/>
        </w:rPr>
        <w:t xml:space="preserve">x O.04 Explanation of Proposed </w:t>
      </w:r>
      <w:r w:rsidRPr="009B581C">
        <w:rPr>
          <w:i/>
        </w:rPr>
        <w:t>Amendments to 2010-15 Access Arrangement</w:t>
      </w:r>
      <w:r>
        <w:t xml:space="preserve">, </w:t>
      </w:r>
      <w:r w:rsidRPr="00F90E28">
        <w:rPr>
          <w:i/>
        </w:rPr>
        <w:t>Access Arrangement</w:t>
      </w:r>
      <w:r>
        <w:rPr>
          <w:i/>
        </w:rPr>
        <w:t xml:space="preserve"> Information</w:t>
      </w:r>
      <w:r w:rsidRPr="00F90E28">
        <w:rPr>
          <w:i/>
        </w:rPr>
        <w:t xml:space="preserve"> </w:t>
      </w:r>
      <w:r>
        <w:rPr>
          <w:i/>
        </w:rPr>
        <w:t>for the 2016-21 ACT, Que</w:t>
      </w:r>
      <w:r>
        <w:t>a</w:t>
      </w:r>
      <w:r>
        <w:rPr>
          <w:i/>
        </w:rPr>
        <w:t xml:space="preserve">nbeyan and Palerang Access Arrangement, Submission to the Australian Energy Regulator, </w:t>
      </w:r>
      <w:r>
        <w:t>June 2015, p. 11.</w:t>
      </w:r>
    </w:p>
  </w:footnote>
  <w:footnote w:id="39">
    <w:p w:rsidR="0099241F" w:rsidRDefault="0099241F">
      <w:pPr>
        <w:pStyle w:val="FootnoteText"/>
      </w:pPr>
      <w:r>
        <w:rPr>
          <w:rStyle w:val="FootnoteReference"/>
        </w:rPr>
        <w:footnoteRef/>
      </w:r>
      <w:r>
        <w:t xml:space="preserve"> </w:t>
      </w:r>
      <w:r>
        <w:tab/>
        <w:t xml:space="preserve">ActewAGL, </w:t>
      </w:r>
      <w:r w:rsidRPr="005441B2">
        <w:rPr>
          <w:i/>
        </w:rPr>
        <w:t>Attachment 14: Non-tariff elements, Access Arrangement Information for the 2016-21 ACT, Queanbeyan and Palerang Access Arrangement, Submission to the Australian Energy Regulator</w:t>
      </w:r>
      <w:r>
        <w:t>, June 2015, p. 23.</w:t>
      </w:r>
    </w:p>
  </w:footnote>
  <w:footnote w:id="40">
    <w:p w:rsidR="0099241F" w:rsidRDefault="0099241F" w:rsidP="00097655">
      <w:pPr>
        <w:pStyle w:val="FootnoteText"/>
      </w:pPr>
      <w:r>
        <w:rPr>
          <w:rStyle w:val="FootnoteReference"/>
        </w:rPr>
        <w:footnoteRef/>
      </w:r>
      <w:r>
        <w:t xml:space="preserve"> </w:t>
      </w:r>
      <w:r>
        <w:tab/>
        <w:t>NGR, r. 103.</w:t>
      </w:r>
    </w:p>
  </w:footnote>
  <w:footnote w:id="41">
    <w:p w:rsidR="0099241F" w:rsidRDefault="0099241F" w:rsidP="00097655">
      <w:pPr>
        <w:pStyle w:val="FootnoteText"/>
      </w:pPr>
      <w:r>
        <w:rPr>
          <w:rStyle w:val="FootnoteReference"/>
        </w:rPr>
        <w:footnoteRef/>
      </w:r>
      <w:r>
        <w:t xml:space="preserve"> </w:t>
      </w:r>
      <w:r>
        <w:tab/>
        <w:t xml:space="preserve">NGR, r. 103(2). The </w:t>
      </w:r>
      <w:r w:rsidRPr="009E4592">
        <w:t xml:space="preserve">AER </w:t>
      </w:r>
      <w:r>
        <w:t>notified</w:t>
      </w:r>
      <w:r w:rsidRPr="009E4592">
        <w:t xml:space="preserve"> </w:t>
      </w:r>
      <w:r>
        <w:t>ActewAGL</w:t>
      </w:r>
      <w:r w:rsidRPr="009E4592">
        <w:t xml:space="preserve"> that its access arrangement proposal must provide details of its queuing arrangements</w:t>
      </w:r>
      <w:r w:rsidRPr="002E0FD9">
        <w:t xml:space="preserve"> </w:t>
      </w:r>
      <w:r>
        <w:t>(</w:t>
      </w:r>
      <w:r w:rsidRPr="009E4592">
        <w:t xml:space="preserve">Schedule 1 clause </w:t>
      </w:r>
      <w:r>
        <w:t>19.2</w:t>
      </w:r>
      <w:r w:rsidRPr="009E4592">
        <w:t xml:space="preserve"> of the </w:t>
      </w:r>
      <w:r>
        <w:t xml:space="preserve">AER's </w:t>
      </w:r>
      <w:r w:rsidRPr="009E4592">
        <w:t>Regulation Information Notice</w:t>
      </w:r>
      <w:r>
        <w:t xml:space="preserve"> dated 17 April 2015). </w:t>
      </w:r>
    </w:p>
  </w:footnote>
  <w:footnote w:id="42">
    <w:p w:rsidR="0099241F" w:rsidRDefault="0099241F">
      <w:pPr>
        <w:pStyle w:val="FootnoteText"/>
      </w:pPr>
      <w:r>
        <w:rPr>
          <w:rStyle w:val="FootnoteReference"/>
        </w:rPr>
        <w:footnoteRef/>
      </w:r>
      <w:r>
        <w:t xml:space="preserve"> </w:t>
      </w:r>
      <w:r>
        <w:tab/>
        <w:t xml:space="preserve">ActewAGL, </w:t>
      </w:r>
      <w:r w:rsidRPr="00F90E28">
        <w:rPr>
          <w:i/>
        </w:rPr>
        <w:t xml:space="preserve">Access Arrangement </w:t>
      </w:r>
      <w:r>
        <w:rPr>
          <w:i/>
        </w:rPr>
        <w:t>for the ACT, Que</w:t>
      </w:r>
      <w:r>
        <w:t>a</w:t>
      </w:r>
      <w:r>
        <w:rPr>
          <w:i/>
        </w:rPr>
        <w:t>nbeyan and Palerang gas distribution network, 1 July 2016</w:t>
      </w:r>
      <w:r w:rsidRPr="00C50EAF">
        <w:rPr>
          <w:b/>
          <w:i/>
        </w:rPr>
        <w:t>–</w:t>
      </w:r>
      <w:r>
        <w:rPr>
          <w:i/>
        </w:rPr>
        <w:t>30 June 2021,</w:t>
      </w:r>
      <w:r w:rsidR="00184C50">
        <w:t xml:space="preserve"> 30 June 2015, cl.</w:t>
      </w:r>
      <w:r>
        <w:t xml:space="preserve"> 12.11.</w:t>
      </w:r>
    </w:p>
  </w:footnote>
  <w:footnote w:id="43">
    <w:p w:rsidR="0099241F" w:rsidRDefault="0099241F">
      <w:pPr>
        <w:pStyle w:val="FootnoteText"/>
      </w:pPr>
      <w:r>
        <w:rPr>
          <w:rStyle w:val="FootnoteReference"/>
        </w:rPr>
        <w:footnoteRef/>
      </w:r>
      <w:r>
        <w:t xml:space="preserve"> </w:t>
      </w:r>
      <w:r>
        <w:tab/>
        <w:t xml:space="preserve">ActewAGL, </w:t>
      </w:r>
      <w:r w:rsidRPr="00F90E28">
        <w:rPr>
          <w:i/>
        </w:rPr>
        <w:t xml:space="preserve">Access Arrangement </w:t>
      </w:r>
      <w:r>
        <w:rPr>
          <w:i/>
        </w:rPr>
        <w:t>for the ACT, Que</w:t>
      </w:r>
      <w:r>
        <w:t>a</w:t>
      </w:r>
      <w:r>
        <w:rPr>
          <w:i/>
        </w:rPr>
        <w:t>nbeyan and Palerang gas distribution network, 1 July 2010</w:t>
      </w:r>
      <w:r>
        <w:rPr>
          <w:rFonts w:ascii="Times New Roman" w:hAnsi="Times New Roman" w:cs="Times New Roman"/>
          <w:i/>
        </w:rPr>
        <w:t>–</w:t>
      </w:r>
      <w:r>
        <w:rPr>
          <w:i/>
        </w:rPr>
        <w:t>30 June 2015,</w:t>
      </w:r>
      <w:r w:rsidR="00184C50">
        <w:t xml:space="preserve"> April 2010, cl.</w:t>
      </w:r>
      <w:r>
        <w:t xml:space="preserve"> 9.9.</w:t>
      </w:r>
    </w:p>
  </w:footnote>
  <w:footnote w:id="44">
    <w:p w:rsidR="0099241F" w:rsidRDefault="0099241F">
      <w:pPr>
        <w:pStyle w:val="FootnoteText"/>
      </w:pPr>
      <w:r>
        <w:rPr>
          <w:rStyle w:val="FootnoteReference"/>
        </w:rPr>
        <w:footnoteRef/>
      </w:r>
      <w:r>
        <w:t xml:space="preserve"> </w:t>
      </w:r>
      <w:r>
        <w:tab/>
        <w:t xml:space="preserve">ActewAGL, </w:t>
      </w:r>
      <w:r w:rsidRPr="00F90E28">
        <w:rPr>
          <w:i/>
        </w:rPr>
        <w:t xml:space="preserve">Access Arrangement </w:t>
      </w:r>
      <w:r>
        <w:rPr>
          <w:i/>
        </w:rPr>
        <w:t>for the ACT, Que</w:t>
      </w:r>
      <w:r>
        <w:t>a</w:t>
      </w:r>
      <w:r>
        <w:rPr>
          <w:i/>
        </w:rPr>
        <w:t>nbeyan and Palerang gas distribution network, 1 July 2016–30 June 2021,</w:t>
      </w:r>
      <w:r w:rsidR="00184C50">
        <w:t xml:space="preserve"> 30 June 2015, cl. 12.12(c</w:t>
      </w:r>
      <w:r>
        <w:t>)</w:t>
      </w:r>
      <w:r w:rsidR="00184C50">
        <w:t>.</w:t>
      </w:r>
    </w:p>
  </w:footnote>
  <w:footnote w:id="45">
    <w:p w:rsidR="0099241F" w:rsidRDefault="0099241F">
      <w:pPr>
        <w:pStyle w:val="FootnoteText"/>
      </w:pPr>
      <w:r>
        <w:rPr>
          <w:rStyle w:val="FootnoteReference"/>
        </w:rPr>
        <w:footnoteRef/>
      </w:r>
      <w:r>
        <w:t xml:space="preserve"> </w:t>
      </w:r>
      <w:r>
        <w:tab/>
        <w:t xml:space="preserve">ActewAGL, </w:t>
      </w:r>
      <w:r w:rsidRPr="00780318">
        <w:rPr>
          <w:rStyle w:val="AERtextitalic"/>
        </w:rPr>
        <w:t>Access Arrangement for the ACT, Queanbeyan and Palerang gas distribution network, 1 July 2016</w:t>
      </w:r>
      <w:r>
        <w:rPr>
          <w:rStyle w:val="AERtextitalic"/>
        </w:rPr>
        <w:t>–</w:t>
      </w:r>
      <w:r w:rsidRPr="00780318">
        <w:rPr>
          <w:rStyle w:val="AERtextitalic"/>
        </w:rPr>
        <w:t>30</w:t>
      </w:r>
      <w:r>
        <w:rPr>
          <w:rStyle w:val="AERtextitalic"/>
        </w:rPr>
        <w:t> </w:t>
      </w:r>
      <w:r w:rsidRPr="00780318">
        <w:rPr>
          <w:rStyle w:val="AERtextitalic"/>
        </w:rPr>
        <w:t>June 2021</w:t>
      </w:r>
      <w:r w:rsidRPr="009C2FE6">
        <w:t>,</w:t>
      </w:r>
      <w:r>
        <w:t xml:space="preserve"> 30 June 2015, cl</w:t>
      </w:r>
      <w:r w:rsidR="00184C50">
        <w:t>.</w:t>
      </w:r>
      <w:r>
        <w:t xml:space="preserve"> 12.16, p. 37</w:t>
      </w:r>
    </w:p>
  </w:footnote>
  <w:footnote w:id="46">
    <w:p w:rsidR="0099241F" w:rsidRDefault="0099241F" w:rsidP="006058D0">
      <w:pPr>
        <w:pStyle w:val="FootnoteText"/>
      </w:pPr>
      <w:r>
        <w:rPr>
          <w:rStyle w:val="FootnoteReference"/>
        </w:rPr>
        <w:footnoteRef/>
      </w:r>
      <w:r>
        <w:t xml:space="preserve"> </w:t>
      </w:r>
      <w:r>
        <w:tab/>
      </w:r>
      <w:r w:rsidRPr="0002283B">
        <w:rPr>
          <w:szCs w:val="16"/>
        </w:rPr>
        <w:t>Rule 48(1)(g) for full access arrangements, r. 45(1)(f) for limited access arrangements for light regulation services, r. 129(1)(f) for international pipelines, and r. 24(2)(c)(v) for CTP access arrangements.</w:t>
      </w:r>
      <w:r>
        <w:rPr>
          <w:sz w:val="20"/>
        </w:rPr>
        <w:t xml:space="preserve"> </w:t>
      </w:r>
      <w:r>
        <w:t xml:space="preserve"> </w:t>
      </w:r>
    </w:p>
  </w:footnote>
  <w:footnote w:id="47">
    <w:p w:rsidR="0099241F" w:rsidRDefault="0099241F">
      <w:pPr>
        <w:pStyle w:val="FootnoteText"/>
      </w:pPr>
      <w:r>
        <w:rPr>
          <w:rStyle w:val="FootnoteReference"/>
        </w:rPr>
        <w:footnoteRef/>
      </w:r>
      <w:r>
        <w:t xml:space="preserve"> </w:t>
      </w:r>
      <w:r>
        <w:tab/>
        <w:t xml:space="preserve">ActewAGL, </w:t>
      </w:r>
      <w:r w:rsidRPr="00F90E28">
        <w:rPr>
          <w:i/>
        </w:rPr>
        <w:t xml:space="preserve">Access Arrangement </w:t>
      </w:r>
      <w:r>
        <w:rPr>
          <w:i/>
        </w:rPr>
        <w:t>for the ACT, Que</w:t>
      </w:r>
      <w:r>
        <w:t>a</w:t>
      </w:r>
      <w:r>
        <w:rPr>
          <w:i/>
        </w:rPr>
        <w:t>nbeyan and Palerang gas distribution network, 1 July 2016–30 June 2021,</w:t>
      </w:r>
      <w:r>
        <w:t xml:space="preserve"> 30 June 2015, cl</w:t>
      </w:r>
      <w:r w:rsidR="00184C50">
        <w:t>.</w:t>
      </w:r>
      <w:r>
        <w:t xml:space="preserve"> 9; ActewAGL, </w:t>
      </w:r>
      <w:r w:rsidRPr="005441B2">
        <w:rPr>
          <w:i/>
        </w:rPr>
        <w:t>Attachment 14: Non-tariff elements, Access Arrangement Information for the 2016-21 ACT, Queanbeyan and Palerang Access Arrangement, Submission to the Australian Energy Regulator</w:t>
      </w:r>
      <w:r>
        <w:t>, June 2015, pp 21-22.</w:t>
      </w:r>
    </w:p>
  </w:footnote>
  <w:footnote w:id="48">
    <w:p w:rsidR="0099241F" w:rsidRDefault="0099241F" w:rsidP="00B401A2">
      <w:pPr>
        <w:pStyle w:val="FootnoteText"/>
      </w:pPr>
      <w:r>
        <w:rPr>
          <w:rStyle w:val="FootnoteReference"/>
        </w:rPr>
        <w:footnoteRef/>
      </w:r>
      <w:r>
        <w:t xml:space="preserve"> </w:t>
      </w:r>
      <w:r>
        <w:tab/>
        <w:t xml:space="preserve">ActewAGL, </w:t>
      </w:r>
      <w:r w:rsidRPr="00780318">
        <w:rPr>
          <w:rStyle w:val="AERtextitalic"/>
        </w:rPr>
        <w:t>Access Arrangement for the ACT, Queanbeyan and Palerang gas distribution network, 1 July 2010</w:t>
      </w:r>
      <w:r>
        <w:rPr>
          <w:rStyle w:val="AERtextitalic"/>
        </w:rPr>
        <w:t>–</w:t>
      </w:r>
      <w:r w:rsidRPr="00780318">
        <w:rPr>
          <w:rStyle w:val="AERtextitalic"/>
        </w:rPr>
        <w:t>30</w:t>
      </w:r>
      <w:r>
        <w:rPr>
          <w:rStyle w:val="AERtextitalic"/>
        </w:rPr>
        <w:t> </w:t>
      </w:r>
      <w:r w:rsidRPr="00780318">
        <w:rPr>
          <w:rStyle w:val="AERtextitalic"/>
        </w:rPr>
        <w:t>June 2015</w:t>
      </w:r>
      <w:r w:rsidRPr="00780318">
        <w:t>,</w:t>
      </w:r>
      <w:r w:rsidR="00184C50">
        <w:t xml:space="preserve"> April 2010, cl.</w:t>
      </w:r>
      <w:r>
        <w:t xml:space="preserve"> 7.9.</w:t>
      </w:r>
    </w:p>
  </w:footnote>
  <w:footnote w:id="49">
    <w:p w:rsidR="0099241F" w:rsidRDefault="0099241F">
      <w:pPr>
        <w:pStyle w:val="FootnoteText"/>
      </w:pPr>
      <w:r>
        <w:rPr>
          <w:rStyle w:val="FootnoteReference"/>
        </w:rPr>
        <w:footnoteRef/>
      </w:r>
      <w:r>
        <w:t xml:space="preserve"> </w:t>
      </w:r>
      <w:r>
        <w:tab/>
        <w:t xml:space="preserve">ActewAGL, </w:t>
      </w:r>
      <w:r w:rsidRPr="009B581C">
        <w:rPr>
          <w:i/>
        </w:rPr>
        <w:t>Appendi</w:t>
      </w:r>
      <w:r>
        <w:rPr>
          <w:i/>
        </w:rPr>
        <w:t xml:space="preserve">x O.04 Explanation of Proposed </w:t>
      </w:r>
      <w:r w:rsidRPr="009B581C">
        <w:rPr>
          <w:i/>
        </w:rPr>
        <w:t>Amendments to 2010-15 Access Arrangement</w:t>
      </w:r>
      <w:r>
        <w:t xml:space="preserve">, </w:t>
      </w:r>
      <w:r w:rsidRPr="00F90E28">
        <w:rPr>
          <w:i/>
        </w:rPr>
        <w:t>Access Arrangement</w:t>
      </w:r>
      <w:r>
        <w:rPr>
          <w:i/>
        </w:rPr>
        <w:t xml:space="preserve"> Information</w:t>
      </w:r>
      <w:r w:rsidRPr="00F90E28">
        <w:rPr>
          <w:i/>
        </w:rPr>
        <w:t xml:space="preserve"> </w:t>
      </w:r>
      <w:r>
        <w:rPr>
          <w:i/>
        </w:rPr>
        <w:t>for the 2016-21 ACT, Que</w:t>
      </w:r>
      <w:r>
        <w:t>a</w:t>
      </w:r>
      <w:r>
        <w:rPr>
          <w:i/>
        </w:rPr>
        <w:t xml:space="preserve">nbeyan and Palerang Access Arrangement, Submission to the Australian Energy Regulator, </w:t>
      </w:r>
      <w:r>
        <w:t>June 2015, p. 11.</w:t>
      </w:r>
    </w:p>
  </w:footnote>
  <w:footnote w:id="50">
    <w:p w:rsidR="0099241F" w:rsidRDefault="0099241F" w:rsidP="006058D0">
      <w:pPr>
        <w:pStyle w:val="FootnoteText"/>
      </w:pPr>
      <w:r>
        <w:rPr>
          <w:rStyle w:val="FootnoteReference"/>
        </w:rPr>
        <w:footnoteRef/>
      </w:r>
      <w:r>
        <w:t xml:space="preserve"> </w:t>
      </w:r>
      <w:r>
        <w:tab/>
        <w:t>NGR, r. 104.</w:t>
      </w:r>
    </w:p>
  </w:footnote>
  <w:footnote w:id="51">
    <w:p w:rsidR="0099241F" w:rsidRDefault="0099241F" w:rsidP="0082616F">
      <w:pPr>
        <w:pStyle w:val="FootnoteText"/>
      </w:pPr>
      <w:r>
        <w:rPr>
          <w:rStyle w:val="FootnoteReference"/>
        </w:rPr>
        <w:footnoteRef/>
      </w:r>
      <w:r>
        <w:t xml:space="preserve"> </w:t>
      </w:r>
      <w:r>
        <w:tab/>
        <w:t xml:space="preserve">ActewAGL, </w:t>
      </w:r>
      <w:r w:rsidRPr="00F90E28">
        <w:rPr>
          <w:i/>
        </w:rPr>
        <w:t xml:space="preserve">Access Arrangement </w:t>
      </w:r>
      <w:r>
        <w:rPr>
          <w:i/>
        </w:rPr>
        <w:t>for the ACT, Que</w:t>
      </w:r>
      <w:r>
        <w:t>a</w:t>
      </w:r>
      <w:r>
        <w:rPr>
          <w:i/>
        </w:rPr>
        <w:t>nbeyan and Palerang gas distribution network, 1 July 2016–30 June 2021,</w:t>
      </w:r>
      <w:r>
        <w:t xml:space="preserve"> 30 June 2015, cl</w:t>
      </w:r>
      <w:r w:rsidR="00184C50">
        <w:t>.</w:t>
      </w:r>
      <w:r>
        <w:t xml:space="preserve"> 9.4.</w:t>
      </w:r>
    </w:p>
  </w:footnote>
  <w:footnote w:id="52">
    <w:p w:rsidR="0099241F" w:rsidRDefault="0099241F" w:rsidP="00397EC5">
      <w:pPr>
        <w:pStyle w:val="FootnoteText"/>
      </w:pPr>
      <w:r>
        <w:rPr>
          <w:rStyle w:val="FootnoteReference"/>
        </w:rPr>
        <w:footnoteRef/>
      </w:r>
      <w:r>
        <w:t xml:space="preserve"> </w:t>
      </w:r>
      <w:r>
        <w:tab/>
        <w:t xml:space="preserve">NGR, r. 105(2).  </w:t>
      </w:r>
    </w:p>
  </w:footnote>
  <w:footnote w:id="53">
    <w:p w:rsidR="0099241F" w:rsidRDefault="0099241F" w:rsidP="00367D37">
      <w:pPr>
        <w:pStyle w:val="FootnoteText"/>
      </w:pPr>
      <w:r>
        <w:rPr>
          <w:rStyle w:val="FootnoteReference"/>
        </w:rPr>
        <w:footnoteRef/>
      </w:r>
      <w:r>
        <w:t xml:space="preserve"> </w:t>
      </w:r>
      <w:r>
        <w:tab/>
        <w:t xml:space="preserve">AER, </w:t>
      </w:r>
      <w:r w:rsidRPr="005441B2">
        <w:rPr>
          <w:i/>
        </w:rPr>
        <w:t>Attachment 14: Non-tariff elements, Access Arran</w:t>
      </w:r>
      <w:r>
        <w:rPr>
          <w:i/>
        </w:rPr>
        <w:t>gement Information for the 2016–</w:t>
      </w:r>
      <w:r w:rsidRPr="005441B2">
        <w:rPr>
          <w:i/>
        </w:rPr>
        <w:t>21 ACT, Queanbeyan and Palerang Access Arrangement, Submission to the Australian Energy Regulator</w:t>
      </w:r>
      <w:r>
        <w:t>, June 2015, p. 22.</w:t>
      </w:r>
    </w:p>
    <w:p w:rsidR="0099241F" w:rsidRDefault="0099241F" w:rsidP="00367D37">
      <w:pPr>
        <w:pStyle w:val="FootnoteText"/>
        <w:ind w:left="0" w:firstLine="0"/>
      </w:pPr>
    </w:p>
  </w:footnote>
  <w:footnote w:id="54">
    <w:p w:rsidR="0099241F" w:rsidRDefault="0099241F" w:rsidP="009108A8">
      <w:pPr>
        <w:pStyle w:val="FootnoteText"/>
      </w:pPr>
      <w:r>
        <w:rPr>
          <w:rStyle w:val="FootnoteReference"/>
        </w:rPr>
        <w:footnoteRef/>
      </w:r>
      <w:r>
        <w:t xml:space="preserve"> </w:t>
      </w:r>
      <w:r>
        <w:tab/>
        <w:t xml:space="preserve">ActewAGL, </w:t>
      </w:r>
      <w:r w:rsidRPr="00F90E28">
        <w:rPr>
          <w:i/>
        </w:rPr>
        <w:t xml:space="preserve">Access Arrangement </w:t>
      </w:r>
      <w:r>
        <w:rPr>
          <w:i/>
        </w:rPr>
        <w:t>for the ACT, Que</w:t>
      </w:r>
      <w:r>
        <w:t>a</w:t>
      </w:r>
      <w:r>
        <w:rPr>
          <w:i/>
        </w:rPr>
        <w:t>nbeyan and Palerang gas distribution network, 1 July 2016-30 June 2021,</w:t>
      </w:r>
      <w:r>
        <w:t xml:space="preserve"> 30 June 2015, cl</w:t>
      </w:r>
      <w:r w:rsidR="00184C50">
        <w:t>.</w:t>
      </w:r>
      <w:r>
        <w:t xml:space="preserve"> 10; ActewAGL,</w:t>
      </w:r>
      <w:r w:rsidRPr="0054374E">
        <w:rPr>
          <w:i/>
        </w:rPr>
        <w:t xml:space="preserve"> Reference Service Agreement, ActewAGL’s gas distribution network</w:t>
      </w:r>
      <w:r>
        <w:t>, 1 July 2016-30 June 2021, cl</w:t>
      </w:r>
      <w:r w:rsidR="00184C50">
        <w:t>.</w:t>
      </w:r>
      <w:r>
        <w:t xml:space="preserve"> 27.</w:t>
      </w:r>
    </w:p>
  </w:footnote>
  <w:footnote w:id="55">
    <w:p w:rsidR="0099241F" w:rsidRDefault="0099241F" w:rsidP="00BE58B4">
      <w:pPr>
        <w:pStyle w:val="FootnoteText"/>
      </w:pPr>
      <w:r>
        <w:rPr>
          <w:rStyle w:val="FootnoteReference"/>
        </w:rPr>
        <w:footnoteRef/>
      </w:r>
      <w:r>
        <w:t xml:space="preserve"> </w:t>
      </w:r>
      <w:r>
        <w:tab/>
        <w:t xml:space="preserve">NGR, r. 105(1)(a). </w:t>
      </w:r>
    </w:p>
  </w:footnote>
  <w:footnote w:id="56">
    <w:p w:rsidR="0099241F" w:rsidRDefault="0099241F" w:rsidP="00F04931">
      <w:pPr>
        <w:pStyle w:val="FootnoteText"/>
      </w:pPr>
      <w:r>
        <w:rPr>
          <w:rStyle w:val="FootnoteReference"/>
        </w:rPr>
        <w:footnoteRef/>
      </w:r>
      <w:r>
        <w:t xml:space="preserve"> </w:t>
      </w:r>
      <w:r>
        <w:tab/>
      </w:r>
      <w:hyperlink r:id="rId2" w:history="1">
        <w:r w:rsidRPr="00761105">
          <w:rPr>
            <w:rStyle w:val="Hyperlink"/>
            <w:color w:val="auto"/>
            <w:sz w:val="16"/>
            <w:u w:val="none"/>
          </w:rPr>
          <w:t>www.aemo.org.au/Gas/Registration</w:t>
        </w:r>
      </w:hyperlink>
      <w:r>
        <w:t xml:space="preserve"> </w:t>
      </w:r>
      <w:r w:rsidR="00184C50">
        <w:t>.</w:t>
      </w:r>
    </w:p>
  </w:footnote>
  <w:footnote w:id="57">
    <w:p w:rsidR="0099241F" w:rsidRDefault="0099241F">
      <w:pPr>
        <w:pStyle w:val="FootnoteText"/>
      </w:pPr>
      <w:r>
        <w:rPr>
          <w:rStyle w:val="FootnoteReference"/>
        </w:rPr>
        <w:footnoteRef/>
      </w:r>
      <w:r>
        <w:t xml:space="preserve"> </w:t>
      </w:r>
      <w:r>
        <w:tab/>
        <w:t xml:space="preserve">ActewAGL, </w:t>
      </w:r>
      <w:r w:rsidRPr="00F90E28">
        <w:rPr>
          <w:i/>
        </w:rPr>
        <w:t xml:space="preserve">Access Arrangement </w:t>
      </w:r>
      <w:r>
        <w:rPr>
          <w:i/>
        </w:rPr>
        <w:t>for the ACT, Queanbeyan and Palerang gas distribution network, 1 July 2010–30 June 2015,</w:t>
      </w:r>
      <w:r>
        <w:t xml:space="preserve"> April 2010, cl</w:t>
      </w:r>
      <w:r w:rsidR="00184C50">
        <w:t>.</w:t>
      </w:r>
      <w:r>
        <w:t xml:space="preserve"> 8.1.</w:t>
      </w:r>
    </w:p>
  </w:footnote>
  <w:footnote w:id="58">
    <w:p w:rsidR="0099241F" w:rsidRDefault="0099241F">
      <w:pPr>
        <w:pStyle w:val="FootnoteText"/>
      </w:pPr>
      <w:r>
        <w:rPr>
          <w:rStyle w:val="FootnoteReference"/>
        </w:rPr>
        <w:footnoteRef/>
      </w:r>
      <w:r>
        <w:t xml:space="preserve"> </w:t>
      </w:r>
      <w:r>
        <w:tab/>
        <w:t xml:space="preserve">ActewAGL, </w:t>
      </w:r>
      <w:r w:rsidRPr="00F90E28">
        <w:rPr>
          <w:i/>
        </w:rPr>
        <w:t xml:space="preserve">Access Arrangement </w:t>
      </w:r>
      <w:r>
        <w:rPr>
          <w:i/>
        </w:rPr>
        <w:t>for the ACT, Queanbeyan and Palerang gas distribution network, 1 July 2016–30 June 2021,</w:t>
      </w:r>
      <w:r>
        <w:t xml:space="preserve"> 30 June 2015, cl</w:t>
      </w:r>
      <w:r w:rsidR="00184C50">
        <w:t>.</w:t>
      </w:r>
      <w:r>
        <w:t xml:space="preserve"> 1.10.</w:t>
      </w:r>
    </w:p>
  </w:footnote>
  <w:footnote w:id="59">
    <w:p w:rsidR="0099241F" w:rsidRDefault="0099241F" w:rsidP="002A3887">
      <w:pPr>
        <w:pStyle w:val="FootnoteText"/>
      </w:pPr>
      <w:r>
        <w:rPr>
          <w:rStyle w:val="FootnoteReference"/>
        </w:rPr>
        <w:footnoteRef/>
      </w:r>
      <w:r>
        <w:t xml:space="preserve"> </w:t>
      </w:r>
      <w:r>
        <w:tab/>
      </w:r>
      <w:r w:rsidRPr="00C50EAF">
        <w:t xml:space="preserve">ActewAGL, </w:t>
      </w:r>
      <w:r w:rsidRPr="00C50EAF">
        <w:rPr>
          <w:i/>
        </w:rPr>
        <w:t>Access Arrangement for the ACT, Que</w:t>
      </w:r>
      <w:r>
        <w:rPr>
          <w:i/>
        </w:rPr>
        <w:t>a</w:t>
      </w:r>
      <w:r w:rsidRPr="00C50EAF">
        <w:rPr>
          <w:i/>
        </w:rPr>
        <w:t>nbeyan and Palerang gas distribution network, 1 July 2016</w:t>
      </w:r>
      <w:r>
        <w:rPr>
          <w:i/>
        </w:rPr>
        <w:t>–</w:t>
      </w:r>
      <w:r w:rsidRPr="00C50EAF">
        <w:rPr>
          <w:i/>
        </w:rPr>
        <w:t>30</w:t>
      </w:r>
      <w:r>
        <w:rPr>
          <w:i/>
        </w:rPr>
        <w:t> </w:t>
      </w:r>
      <w:r w:rsidRPr="00C50EAF">
        <w:rPr>
          <w:i/>
        </w:rPr>
        <w:t>June 2021</w:t>
      </w:r>
      <w:r w:rsidRPr="00C50EAF">
        <w:t>, 30 June 2015, Schedule 1: Definitions. Applicable Law is defined as any legislation, subordinate legislation, licence code, rules, sub-code, guideline, safety case, order or regulation that applies to ActewAGL, the Network, the operation of the Network, and/or provision of services on the Network, whether specific to ActewAGL or regulating the gas industry or aspects of the gas industry more generally</w:t>
      </w:r>
      <w:r>
        <w:t xml:space="preserve"> and includes the </w:t>
      </w:r>
      <w:r w:rsidRPr="002A3887">
        <w:rPr>
          <w:i/>
        </w:rPr>
        <w:t>Utilities Act 2000</w:t>
      </w:r>
      <w:r>
        <w:t xml:space="preserve"> (ACT), the </w:t>
      </w:r>
      <w:r w:rsidRPr="002A3887">
        <w:rPr>
          <w:i/>
        </w:rPr>
        <w:t>Utilities (Technical Regulation) Act 2014</w:t>
      </w:r>
      <w:r>
        <w:t xml:space="preserve"> (ACT), the </w:t>
      </w:r>
      <w:r w:rsidRPr="002A3887">
        <w:rPr>
          <w:i/>
        </w:rPr>
        <w:t>Gas Safety Act 2000</w:t>
      </w:r>
      <w:r>
        <w:t xml:space="preserve"> (ACT), the </w:t>
      </w:r>
      <w:r w:rsidRPr="002A3887">
        <w:rPr>
          <w:i/>
        </w:rPr>
        <w:t>National Gas (ACT) Act 2008</w:t>
      </w:r>
      <w:r>
        <w:t xml:space="preserve"> (ACT), the </w:t>
      </w:r>
      <w:r w:rsidRPr="002A3887">
        <w:rPr>
          <w:i/>
        </w:rPr>
        <w:t>National Gas (New South Wales) Act 2008</w:t>
      </w:r>
      <w:r>
        <w:t xml:space="preserve"> (NSW), the Minimum Network Standards, the </w:t>
      </w:r>
      <w:r w:rsidRPr="002A3887">
        <w:rPr>
          <w:i/>
        </w:rPr>
        <w:t>Gas</w:t>
      </w:r>
      <w:r>
        <w:t xml:space="preserve"> </w:t>
      </w:r>
      <w:r w:rsidRPr="002A3887">
        <w:rPr>
          <w:i/>
        </w:rPr>
        <w:t>Supply Act 1996</w:t>
      </w:r>
      <w:r>
        <w:t xml:space="preserve"> (NSW), the National Energy Retail Law and National Energy Retail Rules, any other applicable market, industry or technical code, any licence issued under the </w:t>
      </w:r>
      <w:r w:rsidRPr="002A3887">
        <w:rPr>
          <w:i/>
        </w:rPr>
        <w:t>Utilities Act 2000</w:t>
      </w:r>
      <w:r>
        <w:t xml:space="preserve"> (ACT), the </w:t>
      </w:r>
      <w:r w:rsidRPr="002A3887">
        <w:rPr>
          <w:i/>
        </w:rPr>
        <w:t>Utilities (Technical Regulation) Act 2014</w:t>
      </w:r>
      <w:r>
        <w:t xml:space="preserve"> (ACT) and the </w:t>
      </w:r>
      <w:r w:rsidRPr="002A3887">
        <w:rPr>
          <w:i/>
        </w:rPr>
        <w:t>Gas Supply Act 1996</w:t>
      </w:r>
      <w:r>
        <w:t xml:space="preserve"> (NSW).</w:t>
      </w:r>
    </w:p>
  </w:footnote>
  <w:footnote w:id="60">
    <w:p w:rsidR="0099241F" w:rsidRDefault="0099241F">
      <w:pPr>
        <w:pStyle w:val="FootnoteText"/>
      </w:pPr>
      <w:r>
        <w:rPr>
          <w:rStyle w:val="FootnoteReference"/>
        </w:rPr>
        <w:footnoteRef/>
      </w:r>
      <w:r>
        <w:t xml:space="preserve"> </w:t>
      </w:r>
      <w:r>
        <w:tab/>
        <w:t>NGR, Part 15B Procedures.</w:t>
      </w:r>
    </w:p>
  </w:footnote>
  <w:footnote w:id="61">
    <w:p w:rsidR="0099241F" w:rsidRDefault="0099241F">
      <w:pPr>
        <w:pStyle w:val="FootnoteText"/>
      </w:pPr>
      <w:r>
        <w:rPr>
          <w:rStyle w:val="FootnoteReference"/>
        </w:rPr>
        <w:footnoteRef/>
      </w:r>
      <w:r>
        <w:t xml:space="preserve"> </w:t>
      </w:r>
      <w:r>
        <w:tab/>
        <w:t>NGR, r. 135EA(2)(q).</w:t>
      </w:r>
    </w:p>
  </w:footnote>
  <w:footnote w:id="62">
    <w:p w:rsidR="0099241F" w:rsidRDefault="0099241F" w:rsidP="008479A3">
      <w:pPr>
        <w:pStyle w:val="FootnoteText"/>
      </w:pPr>
      <w:r>
        <w:rPr>
          <w:rStyle w:val="FootnoteReference"/>
        </w:rPr>
        <w:footnoteRef/>
      </w:r>
      <w:r>
        <w:t xml:space="preserve"> </w:t>
      </w:r>
      <w:r>
        <w:tab/>
      </w:r>
      <w:r w:rsidRPr="002754BF">
        <w:t>NGR, r. 3.</w:t>
      </w:r>
    </w:p>
  </w:footnote>
  <w:footnote w:id="63">
    <w:p w:rsidR="0099241F" w:rsidRDefault="0099241F">
      <w:pPr>
        <w:pStyle w:val="FootnoteText"/>
      </w:pPr>
      <w:r>
        <w:rPr>
          <w:rStyle w:val="FootnoteReference"/>
        </w:rPr>
        <w:footnoteRef/>
      </w:r>
      <w:r>
        <w:t xml:space="preserve"> </w:t>
      </w:r>
      <w:r>
        <w:tab/>
        <w:t xml:space="preserve">ActewAGL, </w:t>
      </w:r>
      <w:r w:rsidRPr="005441B2">
        <w:rPr>
          <w:i/>
        </w:rPr>
        <w:t>Attachment 14: Non-tariff elements, Access Arran</w:t>
      </w:r>
      <w:r>
        <w:rPr>
          <w:i/>
        </w:rPr>
        <w:t>gement Information for the 2016–</w:t>
      </w:r>
      <w:r w:rsidRPr="005441B2">
        <w:rPr>
          <w:i/>
        </w:rPr>
        <w:t>21 ACT, Queanbeyan and Palerang Access Arrangement, Submission to the Australian Energy Regulator</w:t>
      </w:r>
      <w:r>
        <w:t>, June 2015, p. 39.</w:t>
      </w:r>
    </w:p>
  </w:footnote>
  <w:footnote w:id="64">
    <w:p w:rsidR="0099241F" w:rsidRDefault="0099241F" w:rsidP="00296C13">
      <w:pPr>
        <w:pStyle w:val="FootnoteText"/>
      </w:pPr>
      <w:r>
        <w:rPr>
          <w:rStyle w:val="FootnoteReference"/>
        </w:rPr>
        <w:footnoteRef/>
      </w:r>
      <w:r>
        <w:t xml:space="preserve"> </w:t>
      </w:r>
      <w:r>
        <w:tab/>
        <w:t>ActewAGL,</w:t>
      </w:r>
      <w:r w:rsidRPr="0054374E">
        <w:rPr>
          <w:i/>
        </w:rPr>
        <w:t xml:space="preserve"> Reference Service Agreement, ActewAGL’s gas distribution network</w:t>
      </w:r>
      <w:r>
        <w:t>, 1 July 2016–30 June 2021, cl</w:t>
      </w:r>
      <w:r w:rsidR="00184C50">
        <w:t>.</w:t>
      </w:r>
      <w:r>
        <w:t xml:space="preserve"> 13.</w:t>
      </w:r>
    </w:p>
  </w:footnote>
  <w:footnote w:id="65">
    <w:p w:rsidR="0099241F" w:rsidRDefault="0099241F">
      <w:pPr>
        <w:pStyle w:val="FootnoteText"/>
      </w:pPr>
      <w:r>
        <w:rPr>
          <w:rStyle w:val="FootnoteReference"/>
        </w:rPr>
        <w:footnoteRef/>
      </w:r>
      <w:r>
        <w:t xml:space="preserve"> </w:t>
      </w:r>
      <w:r>
        <w:tab/>
        <w:t xml:space="preserve">ActewAGL, </w:t>
      </w:r>
      <w:r w:rsidRPr="00F90E28">
        <w:rPr>
          <w:i/>
        </w:rPr>
        <w:t xml:space="preserve">Access Arrangement </w:t>
      </w:r>
      <w:r>
        <w:rPr>
          <w:i/>
        </w:rPr>
        <w:t>for the ACT, Queanbeyan and Palerang gas distribution network, 1 July 2016–30 June 2021,</w:t>
      </w:r>
      <w:r>
        <w:t xml:space="preserve"> 30 June 2015, cl</w:t>
      </w:r>
      <w:r w:rsidR="00184C50">
        <w:t>.</w:t>
      </w:r>
      <w:r>
        <w:t xml:space="preserve"> 1.9.</w:t>
      </w:r>
    </w:p>
  </w:footnote>
  <w:footnote w:id="66">
    <w:p w:rsidR="0099241F" w:rsidRDefault="0099241F" w:rsidP="00C76D27">
      <w:pPr>
        <w:pStyle w:val="FootnoteText"/>
      </w:pPr>
      <w:r>
        <w:rPr>
          <w:rStyle w:val="FootnoteReference"/>
        </w:rPr>
        <w:footnoteRef/>
      </w:r>
      <w:r>
        <w:t xml:space="preserve"> </w:t>
      </w:r>
      <w:r>
        <w:tab/>
      </w:r>
      <w:r w:rsidRPr="002754BF">
        <w:t>NGR, r. 50</w:t>
      </w:r>
      <w:r>
        <w:t>(1).</w:t>
      </w:r>
    </w:p>
  </w:footnote>
  <w:footnote w:id="67">
    <w:p w:rsidR="0099241F" w:rsidRDefault="0099241F" w:rsidP="00C76D27">
      <w:pPr>
        <w:pStyle w:val="FootnoteText"/>
      </w:pPr>
      <w:r>
        <w:rPr>
          <w:rStyle w:val="FootnoteReference"/>
        </w:rPr>
        <w:footnoteRef/>
      </w:r>
      <w:r>
        <w:t xml:space="preserve"> </w:t>
      </w:r>
      <w:r>
        <w:tab/>
        <w:t>NGR, r. 50(2).</w:t>
      </w:r>
    </w:p>
  </w:footnote>
  <w:footnote w:id="68">
    <w:p w:rsidR="0099241F" w:rsidRDefault="0099241F" w:rsidP="00B8491C"/>
  </w:footnote>
  <w:footnote w:id="69">
    <w:p w:rsidR="0099241F" w:rsidRDefault="0099241F">
      <w:pPr>
        <w:pStyle w:val="FootnoteText"/>
      </w:pPr>
      <w:r>
        <w:rPr>
          <w:rStyle w:val="FootnoteReference"/>
        </w:rPr>
        <w:footnoteRef/>
      </w:r>
      <w:r>
        <w:t xml:space="preserve"> </w:t>
      </w:r>
      <w:r>
        <w:tab/>
        <w:t xml:space="preserve">Released by AEMC in November 2012.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1F" w:rsidRDefault="00957AFC">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99241F">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1F" w:rsidRDefault="00957AFC">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3C68F2DE"/>
    <w:lvl w:ilvl="0">
      <w:start w:val="1"/>
      <w:numFmt w:val="decimal"/>
      <w:pStyle w:val="ListNumber"/>
      <w:lvlText w:val="%1."/>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9297983"/>
    <w:multiLevelType w:val="hybridMultilevel"/>
    <w:tmpl w:val="EC588A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04748E3"/>
    <w:multiLevelType w:val="hybridMultilevel"/>
    <w:tmpl w:val="89CA91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Symbol"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Symbol"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Symbol"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F634E4"/>
    <w:multiLevelType w:val="hybridMultilevel"/>
    <w:tmpl w:val="8788FC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E2E4C8B0"/>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9837B66"/>
    <w:multiLevelType w:val="hybridMultilevel"/>
    <w:tmpl w:val="94DE9F06"/>
    <w:lvl w:ilvl="0" w:tplc="0C09000F">
      <w:start w:val="1"/>
      <w:numFmt w:val="decimal"/>
      <w:lvlText w:val="%1."/>
      <w:lvlJc w:val="left"/>
      <w:pPr>
        <w:ind w:left="700" w:hanging="360"/>
      </w:p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0"/>
  </w:num>
  <w:num w:numId="15">
    <w:abstractNumId w:val="13"/>
  </w:num>
  <w:num w:numId="16">
    <w:abstractNumId w:val="23"/>
  </w:num>
  <w:num w:numId="17">
    <w:abstractNumId w:val="9"/>
  </w:num>
  <w:num w:numId="18">
    <w:abstractNumId w:val="15"/>
  </w:num>
  <w:num w:numId="19">
    <w:abstractNumId w:val="24"/>
  </w:num>
  <w:num w:numId="20">
    <w:abstractNumId w:val="30"/>
  </w:num>
  <w:num w:numId="21">
    <w:abstractNumId w:val="27"/>
  </w:num>
  <w:num w:numId="22">
    <w:abstractNumId w:val="25"/>
  </w:num>
  <w:num w:numId="23">
    <w:abstractNumId w:val="16"/>
  </w:num>
  <w:num w:numId="24">
    <w:abstractNumId w:val="26"/>
  </w:num>
  <w:num w:numId="25">
    <w:abstractNumId w:val="28"/>
  </w:num>
  <w:num w:numId="26">
    <w:abstractNumId w:val="19"/>
  </w:num>
  <w:num w:numId="27">
    <w:abstractNumId w:val="14"/>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 w:numId="31">
    <w:abstractNumId w:val="17"/>
  </w:num>
  <w:num w:numId="32">
    <w:abstractNumId w:val="22"/>
  </w:num>
  <w:num w:numId="33">
    <w:abstractNumId w:val="31"/>
  </w:num>
  <w:num w:numId="34">
    <w:abstractNumId w:val="12"/>
  </w:num>
  <w:num w:numId="35">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UH1dvnUDHJRWtwwilatiTZMgJwZSbh1kt5acFC00dZU=" w:saltValue="UMstkAuX8YEiBgyjEaFg2Q=="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1BBA"/>
    <w:rsid w:val="00003141"/>
    <w:rsid w:val="00005EF4"/>
    <w:rsid w:val="00006618"/>
    <w:rsid w:val="00007157"/>
    <w:rsid w:val="00010286"/>
    <w:rsid w:val="000105EC"/>
    <w:rsid w:val="00010A8C"/>
    <w:rsid w:val="00010D7A"/>
    <w:rsid w:val="00015E35"/>
    <w:rsid w:val="00020942"/>
    <w:rsid w:val="00021202"/>
    <w:rsid w:val="00021C2B"/>
    <w:rsid w:val="00024495"/>
    <w:rsid w:val="0002517F"/>
    <w:rsid w:val="00025337"/>
    <w:rsid w:val="00026495"/>
    <w:rsid w:val="0003091E"/>
    <w:rsid w:val="00033B27"/>
    <w:rsid w:val="00035052"/>
    <w:rsid w:val="00035712"/>
    <w:rsid w:val="0003578C"/>
    <w:rsid w:val="0003609C"/>
    <w:rsid w:val="00036CBD"/>
    <w:rsid w:val="0003795A"/>
    <w:rsid w:val="000401AF"/>
    <w:rsid w:val="00043212"/>
    <w:rsid w:val="00045034"/>
    <w:rsid w:val="00057626"/>
    <w:rsid w:val="00063247"/>
    <w:rsid w:val="000707C1"/>
    <w:rsid w:val="00070F9F"/>
    <w:rsid w:val="0007137B"/>
    <w:rsid w:val="00072438"/>
    <w:rsid w:val="00077D7A"/>
    <w:rsid w:val="00080419"/>
    <w:rsid w:val="00085663"/>
    <w:rsid w:val="000857B1"/>
    <w:rsid w:val="00085EBF"/>
    <w:rsid w:val="00091019"/>
    <w:rsid w:val="00091B15"/>
    <w:rsid w:val="00094E6A"/>
    <w:rsid w:val="000970ED"/>
    <w:rsid w:val="00097655"/>
    <w:rsid w:val="000A19B4"/>
    <w:rsid w:val="000A3020"/>
    <w:rsid w:val="000A6C7B"/>
    <w:rsid w:val="000B3E2D"/>
    <w:rsid w:val="000B52BD"/>
    <w:rsid w:val="000B6C06"/>
    <w:rsid w:val="000C2B40"/>
    <w:rsid w:val="000C4B6C"/>
    <w:rsid w:val="000D06C1"/>
    <w:rsid w:val="000D122C"/>
    <w:rsid w:val="000D27D3"/>
    <w:rsid w:val="000D3016"/>
    <w:rsid w:val="000D3579"/>
    <w:rsid w:val="000E1819"/>
    <w:rsid w:val="000E46A1"/>
    <w:rsid w:val="000E4821"/>
    <w:rsid w:val="000E65E2"/>
    <w:rsid w:val="000E6C72"/>
    <w:rsid w:val="000F0B2B"/>
    <w:rsid w:val="000F2C81"/>
    <w:rsid w:val="000F3E72"/>
    <w:rsid w:val="000F48B1"/>
    <w:rsid w:val="00101AB1"/>
    <w:rsid w:val="00105452"/>
    <w:rsid w:val="00107B82"/>
    <w:rsid w:val="00111A2F"/>
    <w:rsid w:val="00113C69"/>
    <w:rsid w:val="001156A2"/>
    <w:rsid w:val="00116EB2"/>
    <w:rsid w:val="0011755B"/>
    <w:rsid w:val="00124609"/>
    <w:rsid w:val="0012525F"/>
    <w:rsid w:val="00126A4C"/>
    <w:rsid w:val="00127CFE"/>
    <w:rsid w:val="00130EFE"/>
    <w:rsid w:val="00132358"/>
    <w:rsid w:val="0013647B"/>
    <w:rsid w:val="001369E4"/>
    <w:rsid w:val="00140199"/>
    <w:rsid w:val="001426DB"/>
    <w:rsid w:val="00142AB6"/>
    <w:rsid w:val="00143F81"/>
    <w:rsid w:val="0014565E"/>
    <w:rsid w:val="0014573B"/>
    <w:rsid w:val="00150BEC"/>
    <w:rsid w:val="001573E4"/>
    <w:rsid w:val="00160756"/>
    <w:rsid w:val="00160CFD"/>
    <w:rsid w:val="00161BFA"/>
    <w:rsid w:val="00166C9F"/>
    <w:rsid w:val="0017232E"/>
    <w:rsid w:val="00174102"/>
    <w:rsid w:val="001754EE"/>
    <w:rsid w:val="001763B0"/>
    <w:rsid w:val="00177458"/>
    <w:rsid w:val="00180157"/>
    <w:rsid w:val="001809C0"/>
    <w:rsid w:val="00180A4C"/>
    <w:rsid w:val="00181282"/>
    <w:rsid w:val="00182D8F"/>
    <w:rsid w:val="00184C50"/>
    <w:rsid w:val="00185176"/>
    <w:rsid w:val="00185CB9"/>
    <w:rsid w:val="00186F77"/>
    <w:rsid w:val="001874B3"/>
    <w:rsid w:val="00187802"/>
    <w:rsid w:val="001926A4"/>
    <w:rsid w:val="00192AD5"/>
    <w:rsid w:val="001A0347"/>
    <w:rsid w:val="001A1832"/>
    <w:rsid w:val="001B45A0"/>
    <w:rsid w:val="001B7D00"/>
    <w:rsid w:val="001C1A6B"/>
    <w:rsid w:val="001C1D16"/>
    <w:rsid w:val="001C4538"/>
    <w:rsid w:val="001D055E"/>
    <w:rsid w:val="001D6858"/>
    <w:rsid w:val="001D6E49"/>
    <w:rsid w:val="001D6EF1"/>
    <w:rsid w:val="001E3F15"/>
    <w:rsid w:val="001E5E6B"/>
    <w:rsid w:val="001F05A4"/>
    <w:rsid w:val="001F292F"/>
    <w:rsid w:val="001F3566"/>
    <w:rsid w:val="001F492E"/>
    <w:rsid w:val="001F6DA3"/>
    <w:rsid w:val="002010BC"/>
    <w:rsid w:val="002016E7"/>
    <w:rsid w:val="00201F98"/>
    <w:rsid w:val="00202E03"/>
    <w:rsid w:val="0020478D"/>
    <w:rsid w:val="0020492C"/>
    <w:rsid w:val="00212FB1"/>
    <w:rsid w:val="00217CEF"/>
    <w:rsid w:val="002219E9"/>
    <w:rsid w:val="00224DB9"/>
    <w:rsid w:val="00227DCE"/>
    <w:rsid w:val="002301E7"/>
    <w:rsid w:val="0023276C"/>
    <w:rsid w:val="00233727"/>
    <w:rsid w:val="00233775"/>
    <w:rsid w:val="00241151"/>
    <w:rsid w:val="0024245C"/>
    <w:rsid w:val="00251745"/>
    <w:rsid w:val="002538EB"/>
    <w:rsid w:val="00257D53"/>
    <w:rsid w:val="00263AC0"/>
    <w:rsid w:val="00264264"/>
    <w:rsid w:val="00264E74"/>
    <w:rsid w:val="0026772D"/>
    <w:rsid w:val="002733DC"/>
    <w:rsid w:val="0027350D"/>
    <w:rsid w:val="00285856"/>
    <w:rsid w:val="00286874"/>
    <w:rsid w:val="00287EA2"/>
    <w:rsid w:val="00290C63"/>
    <w:rsid w:val="00291AAD"/>
    <w:rsid w:val="00296B65"/>
    <w:rsid w:val="00296C13"/>
    <w:rsid w:val="002A3887"/>
    <w:rsid w:val="002A4386"/>
    <w:rsid w:val="002A7DEF"/>
    <w:rsid w:val="002B1003"/>
    <w:rsid w:val="002B38D9"/>
    <w:rsid w:val="002B573C"/>
    <w:rsid w:val="002B7E29"/>
    <w:rsid w:val="002C03B8"/>
    <w:rsid w:val="002C233C"/>
    <w:rsid w:val="002C2693"/>
    <w:rsid w:val="002C4883"/>
    <w:rsid w:val="002C4D61"/>
    <w:rsid w:val="002C6D80"/>
    <w:rsid w:val="002D302A"/>
    <w:rsid w:val="002D60CC"/>
    <w:rsid w:val="002D649A"/>
    <w:rsid w:val="002D72E8"/>
    <w:rsid w:val="002E29B8"/>
    <w:rsid w:val="002E617F"/>
    <w:rsid w:val="002E7B22"/>
    <w:rsid w:val="002E7B79"/>
    <w:rsid w:val="002F3D48"/>
    <w:rsid w:val="002F6E55"/>
    <w:rsid w:val="002F7986"/>
    <w:rsid w:val="00301B40"/>
    <w:rsid w:val="00302819"/>
    <w:rsid w:val="003029EE"/>
    <w:rsid w:val="0030370B"/>
    <w:rsid w:val="00305CC8"/>
    <w:rsid w:val="00307F6D"/>
    <w:rsid w:val="0031555B"/>
    <w:rsid w:val="003177A2"/>
    <w:rsid w:val="00325A28"/>
    <w:rsid w:val="003271B5"/>
    <w:rsid w:val="00327A1E"/>
    <w:rsid w:val="00331264"/>
    <w:rsid w:val="00334C8D"/>
    <w:rsid w:val="00334EE8"/>
    <w:rsid w:val="00335918"/>
    <w:rsid w:val="0034214E"/>
    <w:rsid w:val="003434AD"/>
    <w:rsid w:val="00343A18"/>
    <w:rsid w:val="00344473"/>
    <w:rsid w:val="003518B3"/>
    <w:rsid w:val="00353B01"/>
    <w:rsid w:val="003554C2"/>
    <w:rsid w:val="00356984"/>
    <w:rsid w:val="0036223C"/>
    <w:rsid w:val="00365406"/>
    <w:rsid w:val="00365420"/>
    <w:rsid w:val="00367D37"/>
    <w:rsid w:val="00372002"/>
    <w:rsid w:val="00374E2D"/>
    <w:rsid w:val="00377394"/>
    <w:rsid w:val="003846F1"/>
    <w:rsid w:val="00385A31"/>
    <w:rsid w:val="0038787F"/>
    <w:rsid w:val="00392155"/>
    <w:rsid w:val="003931A7"/>
    <w:rsid w:val="00393B1F"/>
    <w:rsid w:val="003945D1"/>
    <w:rsid w:val="00397EC5"/>
    <w:rsid w:val="003A13BF"/>
    <w:rsid w:val="003A2C98"/>
    <w:rsid w:val="003A4928"/>
    <w:rsid w:val="003B088F"/>
    <w:rsid w:val="003B0A4E"/>
    <w:rsid w:val="003B3ABE"/>
    <w:rsid w:val="003B3F9E"/>
    <w:rsid w:val="003B484F"/>
    <w:rsid w:val="003B48E1"/>
    <w:rsid w:val="003B665E"/>
    <w:rsid w:val="003B7FBA"/>
    <w:rsid w:val="003C4956"/>
    <w:rsid w:val="003C5777"/>
    <w:rsid w:val="003C611C"/>
    <w:rsid w:val="003D0138"/>
    <w:rsid w:val="003D2E4A"/>
    <w:rsid w:val="003D7DED"/>
    <w:rsid w:val="003E2590"/>
    <w:rsid w:val="003E7DF1"/>
    <w:rsid w:val="003F011B"/>
    <w:rsid w:val="003F174D"/>
    <w:rsid w:val="003F2F24"/>
    <w:rsid w:val="003F3EAC"/>
    <w:rsid w:val="003F7442"/>
    <w:rsid w:val="00401886"/>
    <w:rsid w:val="00401A32"/>
    <w:rsid w:val="00412AD7"/>
    <w:rsid w:val="00415F31"/>
    <w:rsid w:val="00416479"/>
    <w:rsid w:val="00420145"/>
    <w:rsid w:val="004217FF"/>
    <w:rsid w:val="00423A77"/>
    <w:rsid w:val="00425713"/>
    <w:rsid w:val="0042745B"/>
    <w:rsid w:val="00431459"/>
    <w:rsid w:val="00431A80"/>
    <w:rsid w:val="004444D0"/>
    <w:rsid w:val="0045777E"/>
    <w:rsid w:val="00460CE0"/>
    <w:rsid w:val="0046624C"/>
    <w:rsid w:val="00472861"/>
    <w:rsid w:val="00473A17"/>
    <w:rsid w:val="0047458B"/>
    <w:rsid w:val="00474EC7"/>
    <w:rsid w:val="0047575B"/>
    <w:rsid w:val="00475DE7"/>
    <w:rsid w:val="004770CF"/>
    <w:rsid w:val="00477630"/>
    <w:rsid w:val="00480B4B"/>
    <w:rsid w:val="00482449"/>
    <w:rsid w:val="004829EB"/>
    <w:rsid w:val="004843EB"/>
    <w:rsid w:val="00485DC4"/>
    <w:rsid w:val="00492B49"/>
    <w:rsid w:val="004A1B36"/>
    <w:rsid w:val="004A3F1C"/>
    <w:rsid w:val="004A43D1"/>
    <w:rsid w:val="004A531B"/>
    <w:rsid w:val="004B0847"/>
    <w:rsid w:val="004B355D"/>
    <w:rsid w:val="004B4412"/>
    <w:rsid w:val="004B62B6"/>
    <w:rsid w:val="004B72E1"/>
    <w:rsid w:val="004C2378"/>
    <w:rsid w:val="004C348C"/>
    <w:rsid w:val="004C493D"/>
    <w:rsid w:val="004D3790"/>
    <w:rsid w:val="004D55BA"/>
    <w:rsid w:val="004E046B"/>
    <w:rsid w:val="004E22EC"/>
    <w:rsid w:val="004E4D7D"/>
    <w:rsid w:val="004E5570"/>
    <w:rsid w:val="004E7D97"/>
    <w:rsid w:val="004F366A"/>
    <w:rsid w:val="004F462F"/>
    <w:rsid w:val="004F6A0E"/>
    <w:rsid w:val="0050387A"/>
    <w:rsid w:val="005102EF"/>
    <w:rsid w:val="00530128"/>
    <w:rsid w:val="00532467"/>
    <w:rsid w:val="00537FD6"/>
    <w:rsid w:val="0054374E"/>
    <w:rsid w:val="00543F04"/>
    <w:rsid w:val="005441B2"/>
    <w:rsid w:val="0055237C"/>
    <w:rsid w:val="00554AFD"/>
    <w:rsid w:val="005550AA"/>
    <w:rsid w:val="005642DC"/>
    <w:rsid w:val="00564A4D"/>
    <w:rsid w:val="00564C1B"/>
    <w:rsid w:val="005654C2"/>
    <w:rsid w:val="0056588A"/>
    <w:rsid w:val="00567BA5"/>
    <w:rsid w:val="005709C1"/>
    <w:rsid w:val="00571B35"/>
    <w:rsid w:val="00571D57"/>
    <w:rsid w:val="0057786B"/>
    <w:rsid w:val="00577A09"/>
    <w:rsid w:val="0058226F"/>
    <w:rsid w:val="005829C2"/>
    <w:rsid w:val="005836CB"/>
    <w:rsid w:val="00583D89"/>
    <w:rsid w:val="00584D8F"/>
    <w:rsid w:val="00584FC2"/>
    <w:rsid w:val="00586819"/>
    <w:rsid w:val="00586C31"/>
    <w:rsid w:val="00587012"/>
    <w:rsid w:val="0059704C"/>
    <w:rsid w:val="005A17C5"/>
    <w:rsid w:val="005A404D"/>
    <w:rsid w:val="005A50CB"/>
    <w:rsid w:val="005B1567"/>
    <w:rsid w:val="005B1E3C"/>
    <w:rsid w:val="005B3FB7"/>
    <w:rsid w:val="005B704A"/>
    <w:rsid w:val="005B7906"/>
    <w:rsid w:val="005C0A7F"/>
    <w:rsid w:val="005C108A"/>
    <w:rsid w:val="005C26CC"/>
    <w:rsid w:val="005C38F7"/>
    <w:rsid w:val="005C4C9C"/>
    <w:rsid w:val="005D3592"/>
    <w:rsid w:val="005D432A"/>
    <w:rsid w:val="005D7BA2"/>
    <w:rsid w:val="005E36C2"/>
    <w:rsid w:val="005E4D44"/>
    <w:rsid w:val="005E685F"/>
    <w:rsid w:val="005E707B"/>
    <w:rsid w:val="005F44C0"/>
    <w:rsid w:val="006007DE"/>
    <w:rsid w:val="006008D9"/>
    <w:rsid w:val="00600B92"/>
    <w:rsid w:val="00601638"/>
    <w:rsid w:val="00602B90"/>
    <w:rsid w:val="006052A1"/>
    <w:rsid w:val="006058D0"/>
    <w:rsid w:val="00606CDA"/>
    <w:rsid w:val="00610EF9"/>
    <w:rsid w:val="00612F4F"/>
    <w:rsid w:val="00614BC0"/>
    <w:rsid w:val="00615596"/>
    <w:rsid w:val="00615C6B"/>
    <w:rsid w:val="00621DCE"/>
    <w:rsid w:val="00622783"/>
    <w:rsid w:val="006319F0"/>
    <w:rsid w:val="00632D6D"/>
    <w:rsid w:val="006340FB"/>
    <w:rsid w:val="006363EF"/>
    <w:rsid w:val="006411A1"/>
    <w:rsid w:val="00641B36"/>
    <w:rsid w:val="0064216C"/>
    <w:rsid w:val="006422CD"/>
    <w:rsid w:val="00642C3E"/>
    <w:rsid w:val="006463FE"/>
    <w:rsid w:val="006469FB"/>
    <w:rsid w:val="006474FC"/>
    <w:rsid w:val="00651C3A"/>
    <w:rsid w:val="00651CB2"/>
    <w:rsid w:val="00654B6A"/>
    <w:rsid w:val="006560CA"/>
    <w:rsid w:val="0065736C"/>
    <w:rsid w:val="0065753E"/>
    <w:rsid w:val="0066104A"/>
    <w:rsid w:val="0066333A"/>
    <w:rsid w:val="006639EE"/>
    <w:rsid w:val="00663DAD"/>
    <w:rsid w:val="00665128"/>
    <w:rsid w:val="00665649"/>
    <w:rsid w:val="006672AA"/>
    <w:rsid w:val="00667558"/>
    <w:rsid w:val="00672E42"/>
    <w:rsid w:val="00675E20"/>
    <w:rsid w:val="00676087"/>
    <w:rsid w:val="00676679"/>
    <w:rsid w:val="006770DD"/>
    <w:rsid w:val="00683C89"/>
    <w:rsid w:val="0068487F"/>
    <w:rsid w:val="00687F15"/>
    <w:rsid w:val="0069082E"/>
    <w:rsid w:val="00691D9A"/>
    <w:rsid w:val="00692450"/>
    <w:rsid w:val="006A126D"/>
    <w:rsid w:val="006A15F1"/>
    <w:rsid w:val="006A166D"/>
    <w:rsid w:val="006A3A17"/>
    <w:rsid w:val="006A5263"/>
    <w:rsid w:val="006A552A"/>
    <w:rsid w:val="006B0653"/>
    <w:rsid w:val="006B2395"/>
    <w:rsid w:val="006B3A61"/>
    <w:rsid w:val="006B45A4"/>
    <w:rsid w:val="006B4CF9"/>
    <w:rsid w:val="006B68CF"/>
    <w:rsid w:val="006B785B"/>
    <w:rsid w:val="006B7AC8"/>
    <w:rsid w:val="006C1736"/>
    <w:rsid w:val="006C4798"/>
    <w:rsid w:val="006D4CDD"/>
    <w:rsid w:val="006D550F"/>
    <w:rsid w:val="006D6830"/>
    <w:rsid w:val="006E6CE7"/>
    <w:rsid w:val="006F1055"/>
    <w:rsid w:val="006F3AD1"/>
    <w:rsid w:val="006F3FC8"/>
    <w:rsid w:val="006F7CC3"/>
    <w:rsid w:val="0070011E"/>
    <w:rsid w:val="00700475"/>
    <w:rsid w:val="007014A1"/>
    <w:rsid w:val="00701860"/>
    <w:rsid w:val="00701CAB"/>
    <w:rsid w:val="007051DC"/>
    <w:rsid w:val="00707563"/>
    <w:rsid w:val="00710F09"/>
    <w:rsid w:val="007127D5"/>
    <w:rsid w:val="00716353"/>
    <w:rsid w:val="00717238"/>
    <w:rsid w:val="00717633"/>
    <w:rsid w:val="00720E29"/>
    <w:rsid w:val="00721CFC"/>
    <w:rsid w:val="0072348C"/>
    <w:rsid w:val="00723539"/>
    <w:rsid w:val="0072451B"/>
    <w:rsid w:val="00724A37"/>
    <w:rsid w:val="007303C3"/>
    <w:rsid w:val="00735313"/>
    <w:rsid w:val="00735374"/>
    <w:rsid w:val="00736D7A"/>
    <w:rsid w:val="007377BE"/>
    <w:rsid w:val="00741A58"/>
    <w:rsid w:val="00741C46"/>
    <w:rsid w:val="00741E23"/>
    <w:rsid w:val="007429BE"/>
    <w:rsid w:val="00743223"/>
    <w:rsid w:val="00745582"/>
    <w:rsid w:val="00746E01"/>
    <w:rsid w:val="007477F4"/>
    <w:rsid w:val="00747E0B"/>
    <w:rsid w:val="00747EEA"/>
    <w:rsid w:val="00757364"/>
    <w:rsid w:val="00757BDF"/>
    <w:rsid w:val="007606C6"/>
    <w:rsid w:val="007609D0"/>
    <w:rsid w:val="00760B0F"/>
    <w:rsid w:val="00761105"/>
    <w:rsid w:val="007618DB"/>
    <w:rsid w:val="007630F0"/>
    <w:rsid w:val="00763B0B"/>
    <w:rsid w:val="00763E5D"/>
    <w:rsid w:val="00767295"/>
    <w:rsid w:val="00767740"/>
    <w:rsid w:val="0077408E"/>
    <w:rsid w:val="00777EE6"/>
    <w:rsid w:val="00780318"/>
    <w:rsid w:val="007805C7"/>
    <w:rsid w:val="00781CE0"/>
    <w:rsid w:val="00782EEA"/>
    <w:rsid w:val="00792C15"/>
    <w:rsid w:val="007971D8"/>
    <w:rsid w:val="007B186E"/>
    <w:rsid w:val="007B2C72"/>
    <w:rsid w:val="007B3AB3"/>
    <w:rsid w:val="007C1330"/>
    <w:rsid w:val="007C168D"/>
    <w:rsid w:val="007C1C53"/>
    <w:rsid w:val="007C74BB"/>
    <w:rsid w:val="007C78BC"/>
    <w:rsid w:val="007D1315"/>
    <w:rsid w:val="007D2D13"/>
    <w:rsid w:val="007D456E"/>
    <w:rsid w:val="007E1D0F"/>
    <w:rsid w:val="007E4904"/>
    <w:rsid w:val="007E4CB5"/>
    <w:rsid w:val="007E6DD6"/>
    <w:rsid w:val="007E7B4D"/>
    <w:rsid w:val="007F066B"/>
    <w:rsid w:val="007F213A"/>
    <w:rsid w:val="007F4C9C"/>
    <w:rsid w:val="007F75C4"/>
    <w:rsid w:val="0080271E"/>
    <w:rsid w:val="008033C4"/>
    <w:rsid w:val="00806921"/>
    <w:rsid w:val="00806C88"/>
    <w:rsid w:val="0081034E"/>
    <w:rsid w:val="008221F2"/>
    <w:rsid w:val="00825985"/>
    <w:rsid w:val="0082616F"/>
    <w:rsid w:val="008344F6"/>
    <w:rsid w:val="00834E3A"/>
    <w:rsid w:val="0083510F"/>
    <w:rsid w:val="008408C5"/>
    <w:rsid w:val="00847713"/>
    <w:rsid w:val="008479A3"/>
    <w:rsid w:val="00851209"/>
    <w:rsid w:val="0085473C"/>
    <w:rsid w:val="008557AB"/>
    <w:rsid w:val="0085722A"/>
    <w:rsid w:val="008601D6"/>
    <w:rsid w:val="00864B35"/>
    <w:rsid w:val="008710AF"/>
    <w:rsid w:val="00872D83"/>
    <w:rsid w:val="00873E86"/>
    <w:rsid w:val="00882481"/>
    <w:rsid w:val="008837AC"/>
    <w:rsid w:val="00885221"/>
    <w:rsid w:val="008868AE"/>
    <w:rsid w:val="00891064"/>
    <w:rsid w:val="008920FC"/>
    <w:rsid w:val="00892C27"/>
    <w:rsid w:val="00895894"/>
    <w:rsid w:val="008A587D"/>
    <w:rsid w:val="008A6146"/>
    <w:rsid w:val="008B14A4"/>
    <w:rsid w:val="008B35CD"/>
    <w:rsid w:val="008B5FCC"/>
    <w:rsid w:val="008B7300"/>
    <w:rsid w:val="008B7544"/>
    <w:rsid w:val="008C1BC5"/>
    <w:rsid w:val="008C3374"/>
    <w:rsid w:val="008C4320"/>
    <w:rsid w:val="008C5486"/>
    <w:rsid w:val="008C6862"/>
    <w:rsid w:val="008C708B"/>
    <w:rsid w:val="008C7B96"/>
    <w:rsid w:val="008D1661"/>
    <w:rsid w:val="008D1F48"/>
    <w:rsid w:val="008D6800"/>
    <w:rsid w:val="008E169C"/>
    <w:rsid w:val="008E36F2"/>
    <w:rsid w:val="008E66C4"/>
    <w:rsid w:val="008E7031"/>
    <w:rsid w:val="008E77DE"/>
    <w:rsid w:val="008F07A3"/>
    <w:rsid w:val="008F34DD"/>
    <w:rsid w:val="009001B6"/>
    <w:rsid w:val="00900E1B"/>
    <w:rsid w:val="00901196"/>
    <w:rsid w:val="00901C3C"/>
    <w:rsid w:val="009108A8"/>
    <w:rsid w:val="00912669"/>
    <w:rsid w:val="00913E8E"/>
    <w:rsid w:val="00921225"/>
    <w:rsid w:val="00921AE6"/>
    <w:rsid w:val="0092298E"/>
    <w:rsid w:val="009233EE"/>
    <w:rsid w:val="009240ED"/>
    <w:rsid w:val="009272AD"/>
    <w:rsid w:val="009277DC"/>
    <w:rsid w:val="00927AE0"/>
    <w:rsid w:val="00931E69"/>
    <w:rsid w:val="00932BD3"/>
    <w:rsid w:val="00935DD9"/>
    <w:rsid w:val="00943474"/>
    <w:rsid w:val="009460AA"/>
    <w:rsid w:val="00951978"/>
    <w:rsid w:val="00954AE9"/>
    <w:rsid w:val="00957AFC"/>
    <w:rsid w:val="0096193F"/>
    <w:rsid w:val="00961A4A"/>
    <w:rsid w:val="0096387A"/>
    <w:rsid w:val="00964BBF"/>
    <w:rsid w:val="00965F62"/>
    <w:rsid w:val="0096615A"/>
    <w:rsid w:val="009661DE"/>
    <w:rsid w:val="009728BD"/>
    <w:rsid w:val="00974840"/>
    <w:rsid w:val="00983C25"/>
    <w:rsid w:val="009856B7"/>
    <w:rsid w:val="00985C86"/>
    <w:rsid w:val="00987896"/>
    <w:rsid w:val="00987B91"/>
    <w:rsid w:val="0099241F"/>
    <w:rsid w:val="009950F0"/>
    <w:rsid w:val="009A16D2"/>
    <w:rsid w:val="009A33DB"/>
    <w:rsid w:val="009A5113"/>
    <w:rsid w:val="009A5DB9"/>
    <w:rsid w:val="009A5FC3"/>
    <w:rsid w:val="009A6BA0"/>
    <w:rsid w:val="009B03D6"/>
    <w:rsid w:val="009B545B"/>
    <w:rsid w:val="009B581C"/>
    <w:rsid w:val="009B6F84"/>
    <w:rsid w:val="009B74B0"/>
    <w:rsid w:val="009C28E7"/>
    <w:rsid w:val="009C2E12"/>
    <w:rsid w:val="009C2FE6"/>
    <w:rsid w:val="009C6102"/>
    <w:rsid w:val="009D22FC"/>
    <w:rsid w:val="009D35D5"/>
    <w:rsid w:val="009D3906"/>
    <w:rsid w:val="009D6B46"/>
    <w:rsid w:val="009E2431"/>
    <w:rsid w:val="009E66A3"/>
    <w:rsid w:val="009F001C"/>
    <w:rsid w:val="009F18C3"/>
    <w:rsid w:val="009F3903"/>
    <w:rsid w:val="009F4940"/>
    <w:rsid w:val="009F5BA1"/>
    <w:rsid w:val="00A02A88"/>
    <w:rsid w:val="00A03087"/>
    <w:rsid w:val="00A0562E"/>
    <w:rsid w:val="00A06085"/>
    <w:rsid w:val="00A0614F"/>
    <w:rsid w:val="00A0726D"/>
    <w:rsid w:val="00A07497"/>
    <w:rsid w:val="00A1186D"/>
    <w:rsid w:val="00A12523"/>
    <w:rsid w:val="00A16547"/>
    <w:rsid w:val="00A17730"/>
    <w:rsid w:val="00A24BF0"/>
    <w:rsid w:val="00A254EB"/>
    <w:rsid w:val="00A32FBB"/>
    <w:rsid w:val="00A33C14"/>
    <w:rsid w:val="00A340CC"/>
    <w:rsid w:val="00A37D54"/>
    <w:rsid w:val="00A40F8D"/>
    <w:rsid w:val="00A41276"/>
    <w:rsid w:val="00A428EE"/>
    <w:rsid w:val="00A4478A"/>
    <w:rsid w:val="00A44852"/>
    <w:rsid w:val="00A4650A"/>
    <w:rsid w:val="00A50502"/>
    <w:rsid w:val="00A53793"/>
    <w:rsid w:val="00A5538F"/>
    <w:rsid w:val="00A57184"/>
    <w:rsid w:val="00A57A63"/>
    <w:rsid w:val="00A57D04"/>
    <w:rsid w:val="00A604A0"/>
    <w:rsid w:val="00A60773"/>
    <w:rsid w:val="00A60A26"/>
    <w:rsid w:val="00A61598"/>
    <w:rsid w:val="00A63626"/>
    <w:rsid w:val="00A70D9C"/>
    <w:rsid w:val="00A7231D"/>
    <w:rsid w:val="00A73CBE"/>
    <w:rsid w:val="00A80B84"/>
    <w:rsid w:val="00A81992"/>
    <w:rsid w:val="00A84A99"/>
    <w:rsid w:val="00A84C70"/>
    <w:rsid w:val="00A84F46"/>
    <w:rsid w:val="00A871F4"/>
    <w:rsid w:val="00A904D4"/>
    <w:rsid w:val="00AB069F"/>
    <w:rsid w:val="00AB19B8"/>
    <w:rsid w:val="00AB4709"/>
    <w:rsid w:val="00AC1B2C"/>
    <w:rsid w:val="00AC3264"/>
    <w:rsid w:val="00AC7F6E"/>
    <w:rsid w:val="00AD1369"/>
    <w:rsid w:val="00AD6D6E"/>
    <w:rsid w:val="00AE1BF1"/>
    <w:rsid w:val="00AE212E"/>
    <w:rsid w:val="00AE7D62"/>
    <w:rsid w:val="00AF0DD2"/>
    <w:rsid w:val="00B0209D"/>
    <w:rsid w:val="00B07CEA"/>
    <w:rsid w:val="00B123C5"/>
    <w:rsid w:val="00B13048"/>
    <w:rsid w:val="00B1716D"/>
    <w:rsid w:val="00B17A1D"/>
    <w:rsid w:val="00B207A0"/>
    <w:rsid w:val="00B21E90"/>
    <w:rsid w:val="00B251C5"/>
    <w:rsid w:val="00B27843"/>
    <w:rsid w:val="00B30AFD"/>
    <w:rsid w:val="00B33F6D"/>
    <w:rsid w:val="00B37542"/>
    <w:rsid w:val="00B401A2"/>
    <w:rsid w:val="00B41D4B"/>
    <w:rsid w:val="00B43FC7"/>
    <w:rsid w:val="00B514DD"/>
    <w:rsid w:val="00B51617"/>
    <w:rsid w:val="00B51F3F"/>
    <w:rsid w:val="00B52AF0"/>
    <w:rsid w:val="00B543C8"/>
    <w:rsid w:val="00B54E9E"/>
    <w:rsid w:val="00B550F3"/>
    <w:rsid w:val="00B561BD"/>
    <w:rsid w:val="00B56E03"/>
    <w:rsid w:val="00B61EDF"/>
    <w:rsid w:val="00B6478C"/>
    <w:rsid w:val="00B757A6"/>
    <w:rsid w:val="00B7635E"/>
    <w:rsid w:val="00B8080B"/>
    <w:rsid w:val="00B80ED8"/>
    <w:rsid w:val="00B82223"/>
    <w:rsid w:val="00B82613"/>
    <w:rsid w:val="00B8491C"/>
    <w:rsid w:val="00B87BA5"/>
    <w:rsid w:val="00B87C39"/>
    <w:rsid w:val="00B9165B"/>
    <w:rsid w:val="00B91DEE"/>
    <w:rsid w:val="00B9562D"/>
    <w:rsid w:val="00B96750"/>
    <w:rsid w:val="00B9682E"/>
    <w:rsid w:val="00BA056A"/>
    <w:rsid w:val="00BA4665"/>
    <w:rsid w:val="00BA68CC"/>
    <w:rsid w:val="00BB2FB2"/>
    <w:rsid w:val="00BB3304"/>
    <w:rsid w:val="00BB7528"/>
    <w:rsid w:val="00BC21A4"/>
    <w:rsid w:val="00BC7863"/>
    <w:rsid w:val="00BD310B"/>
    <w:rsid w:val="00BD3446"/>
    <w:rsid w:val="00BE1717"/>
    <w:rsid w:val="00BE1F1B"/>
    <w:rsid w:val="00BE47B5"/>
    <w:rsid w:val="00BE58B4"/>
    <w:rsid w:val="00BE7791"/>
    <w:rsid w:val="00BF220A"/>
    <w:rsid w:val="00BF5EEB"/>
    <w:rsid w:val="00BF6B3D"/>
    <w:rsid w:val="00C04223"/>
    <w:rsid w:val="00C077D8"/>
    <w:rsid w:val="00C07D70"/>
    <w:rsid w:val="00C1089E"/>
    <w:rsid w:val="00C10EDA"/>
    <w:rsid w:val="00C13744"/>
    <w:rsid w:val="00C1384D"/>
    <w:rsid w:val="00C16FF5"/>
    <w:rsid w:val="00C25658"/>
    <w:rsid w:val="00C25FA6"/>
    <w:rsid w:val="00C26756"/>
    <w:rsid w:val="00C33AF7"/>
    <w:rsid w:val="00C34766"/>
    <w:rsid w:val="00C37702"/>
    <w:rsid w:val="00C41C2A"/>
    <w:rsid w:val="00C42ACA"/>
    <w:rsid w:val="00C46362"/>
    <w:rsid w:val="00C47C2F"/>
    <w:rsid w:val="00C50EAF"/>
    <w:rsid w:val="00C538A9"/>
    <w:rsid w:val="00C53B5A"/>
    <w:rsid w:val="00C54F5A"/>
    <w:rsid w:val="00C556CF"/>
    <w:rsid w:val="00C569B4"/>
    <w:rsid w:val="00C56A3E"/>
    <w:rsid w:val="00C6281D"/>
    <w:rsid w:val="00C64959"/>
    <w:rsid w:val="00C67A92"/>
    <w:rsid w:val="00C7098C"/>
    <w:rsid w:val="00C739C4"/>
    <w:rsid w:val="00C7497E"/>
    <w:rsid w:val="00C765DC"/>
    <w:rsid w:val="00C76D27"/>
    <w:rsid w:val="00C83AA3"/>
    <w:rsid w:val="00C84560"/>
    <w:rsid w:val="00C84F52"/>
    <w:rsid w:val="00C856D4"/>
    <w:rsid w:val="00C86679"/>
    <w:rsid w:val="00C86B0D"/>
    <w:rsid w:val="00C9021E"/>
    <w:rsid w:val="00C95E1A"/>
    <w:rsid w:val="00C97F98"/>
    <w:rsid w:val="00CA3011"/>
    <w:rsid w:val="00CA489E"/>
    <w:rsid w:val="00CA52A2"/>
    <w:rsid w:val="00CA61BE"/>
    <w:rsid w:val="00CB0279"/>
    <w:rsid w:val="00CB2132"/>
    <w:rsid w:val="00CB2167"/>
    <w:rsid w:val="00CB65F4"/>
    <w:rsid w:val="00CB666B"/>
    <w:rsid w:val="00CB66B5"/>
    <w:rsid w:val="00CB6FBE"/>
    <w:rsid w:val="00CC17BD"/>
    <w:rsid w:val="00CC7BBC"/>
    <w:rsid w:val="00CC7F1D"/>
    <w:rsid w:val="00CD18CE"/>
    <w:rsid w:val="00CE1D19"/>
    <w:rsid w:val="00CE484B"/>
    <w:rsid w:val="00CF0DEE"/>
    <w:rsid w:val="00CF6EDE"/>
    <w:rsid w:val="00CF7121"/>
    <w:rsid w:val="00D006AE"/>
    <w:rsid w:val="00D01CF0"/>
    <w:rsid w:val="00D01EFD"/>
    <w:rsid w:val="00D03DB2"/>
    <w:rsid w:val="00D0442A"/>
    <w:rsid w:val="00D054EA"/>
    <w:rsid w:val="00D10638"/>
    <w:rsid w:val="00D1340D"/>
    <w:rsid w:val="00D170A5"/>
    <w:rsid w:val="00D1748C"/>
    <w:rsid w:val="00D17683"/>
    <w:rsid w:val="00D25221"/>
    <w:rsid w:val="00D34CE0"/>
    <w:rsid w:val="00D4019E"/>
    <w:rsid w:val="00D42899"/>
    <w:rsid w:val="00D45694"/>
    <w:rsid w:val="00D534D9"/>
    <w:rsid w:val="00D61388"/>
    <w:rsid w:val="00D61A54"/>
    <w:rsid w:val="00D64DEA"/>
    <w:rsid w:val="00D65139"/>
    <w:rsid w:val="00D65DA6"/>
    <w:rsid w:val="00D66F1A"/>
    <w:rsid w:val="00D67D89"/>
    <w:rsid w:val="00D7168E"/>
    <w:rsid w:val="00D718E5"/>
    <w:rsid w:val="00D71E57"/>
    <w:rsid w:val="00D75491"/>
    <w:rsid w:val="00D7567B"/>
    <w:rsid w:val="00D75AA2"/>
    <w:rsid w:val="00D761FC"/>
    <w:rsid w:val="00D76748"/>
    <w:rsid w:val="00D80893"/>
    <w:rsid w:val="00D83E63"/>
    <w:rsid w:val="00D84854"/>
    <w:rsid w:val="00D848B4"/>
    <w:rsid w:val="00D86037"/>
    <w:rsid w:val="00D92CF1"/>
    <w:rsid w:val="00D92D38"/>
    <w:rsid w:val="00D94977"/>
    <w:rsid w:val="00D950F5"/>
    <w:rsid w:val="00DA01F7"/>
    <w:rsid w:val="00DA4752"/>
    <w:rsid w:val="00DA61F3"/>
    <w:rsid w:val="00DA6B93"/>
    <w:rsid w:val="00DB0F93"/>
    <w:rsid w:val="00DB1A67"/>
    <w:rsid w:val="00DB230D"/>
    <w:rsid w:val="00DB4D32"/>
    <w:rsid w:val="00DB5074"/>
    <w:rsid w:val="00DB5B21"/>
    <w:rsid w:val="00DC7981"/>
    <w:rsid w:val="00DE1093"/>
    <w:rsid w:val="00DE258C"/>
    <w:rsid w:val="00DE4AC3"/>
    <w:rsid w:val="00DE4DB4"/>
    <w:rsid w:val="00DE4EFA"/>
    <w:rsid w:val="00DE5520"/>
    <w:rsid w:val="00DE563D"/>
    <w:rsid w:val="00DE5E2E"/>
    <w:rsid w:val="00DE617B"/>
    <w:rsid w:val="00DE772C"/>
    <w:rsid w:val="00DF3108"/>
    <w:rsid w:val="00DF312A"/>
    <w:rsid w:val="00E04818"/>
    <w:rsid w:val="00E06442"/>
    <w:rsid w:val="00E06BCF"/>
    <w:rsid w:val="00E1001C"/>
    <w:rsid w:val="00E11AF0"/>
    <w:rsid w:val="00E14673"/>
    <w:rsid w:val="00E16AD6"/>
    <w:rsid w:val="00E22B29"/>
    <w:rsid w:val="00E23993"/>
    <w:rsid w:val="00E257D6"/>
    <w:rsid w:val="00E25B8C"/>
    <w:rsid w:val="00E267AE"/>
    <w:rsid w:val="00E2733D"/>
    <w:rsid w:val="00E31059"/>
    <w:rsid w:val="00E42FFB"/>
    <w:rsid w:val="00E44C1F"/>
    <w:rsid w:val="00E45CF4"/>
    <w:rsid w:val="00E474A9"/>
    <w:rsid w:val="00E51D65"/>
    <w:rsid w:val="00E539A8"/>
    <w:rsid w:val="00E56701"/>
    <w:rsid w:val="00E60F3C"/>
    <w:rsid w:val="00E6200B"/>
    <w:rsid w:val="00E65C85"/>
    <w:rsid w:val="00E66199"/>
    <w:rsid w:val="00E711C7"/>
    <w:rsid w:val="00E7194D"/>
    <w:rsid w:val="00E755EC"/>
    <w:rsid w:val="00E7624D"/>
    <w:rsid w:val="00E8116D"/>
    <w:rsid w:val="00E8549A"/>
    <w:rsid w:val="00E87F92"/>
    <w:rsid w:val="00E9288C"/>
    <w:rsid w:val="00E94086"/>
    <w:rsid w:val="00EA1764"/>
    <w:rsid w:val="00EA2995"/>
    <w:rsid w:val="00EA3D42"/>
    <w:rsid w:val="00EA6B1B"/>
    <w:rsid w:val="00EA6F3E"/>
    <w:rsid w:val="00EB0A28"/>
    <w:rsid w:val="00EB1157"/>
    <w:rsid w:val="00EB5BC8"/>
    <w:rsid w:val="00EB606C"/>
    <w:rsid w:val="00EC04F1"/>
    <w:rsid w:val="00EC062A"/>
    <w:rsid w:val="00EC6C31"/>
    <w:rsid w:val="00ED0EC2"/>
    <w:rsid w:val="00ED1E37"/>
    <w:rsid w:val="00ED3F19"/>
    <w:rsid w:val="00ED7323"/>
    <w:rsid w:val="00ED769B"/>
    <w:rsid w:val="00EE03F6"/>
    <w:rsid w:val="00EE28F3"/>
    <w:rsid w:val="00EE50D1"/>
    <w:rsid w:val="00EE6FEF"/>
    <w:rsid w:val="00EE77FA"/>
    <w:rsid w:val="00EF016B"/>
    <w:rsid w:val="00EF0967"/>
    <w:rsid w:val="00EF5110"/>
    <w:rsid w:val="00EF54B2"/>
    <w:rsid w:val="00EF763B"/>
    <w:rsid w:val="00F01178"/>
    <w:rsid w:val="00F0334E"/>
    <w:rsid w:val="00F03FBE"/>
    <w:rsid w:val="00F04931"/>
    <w:rsid w:val="00F050EF"/>
    <w:rsid w:val="00F06739"/>
    <w:rsid w:val="00F06E12"/>
    <w:rsid w:val="00F06FE7"/>
    <w:rsid w:val="00F10411"/>
    <w:rsid w:val="00F13EBA"/>
    <w:rsid w:val="00F15882"/>
    <w:rsid w:val="00F171E0"/>
    <w:rsid w:val="00F17674"/>
    <w:rsid w:val="00F20BD3"/>
    <w:rsid w:val="00F236FB"/>
    <w:rsid w:val="00F2526A"/>
    <w:rsid w:val="00F262D6"/>
    <w:rsid w:val="00F30617"/>
    <w:rsid w:val="00F33F7E"/>
    <w:rsid w:val="00F35ACC"/>
    <w:rsid w:val="00F373A5"/>
    <w:rsid w:val="00F43536"/>
    <w:rsid w:val="00F47559"/>
    <w:rsid w:val="00F53448"/>
    <w:rsid w:val="00F56203"/>
    <w:rsid w:val="00F61176"/>
    <w:rsid w:val="00F638F0"/>
    <w:rsid w:val="00F63BF3"/>
    <w:rsid w:val="00F64C7B"/>
    <w:rsid w:val="00F65B25"/>
    <w:rsid w:val="00F66707"/>
    <w:rsid w:val="00F676DD"/>
    <w:rsid w:val="00F71667"/>
    <w:rsid w:val="00F72D6E"/>
    <w:rsid w:val="00F73E79"/>
    <w:rsid w:val="00F75A26"/>
    <w:rsid w:val="00F76706"/>
    <w:rsid w:val="00F768C8"/>
    <w:rsid w:val="00F81B8D"/>
    <w:rsid w:val="00F838B6"/>
    <w:rsid w:val="00F83FAD"/>
    <w:rsid w:val="00F86462"/>
    <w:rsid w:val="00F8653A"/>
    <w:rsid w:val="00F92349"/>
    <w:rsid w:val="00F952A0"/>
    <w:rsid w:val="00F95597"/>
    <w:rsid w:val="00F96567"/>
    <w:rsid w:val="00FA00C5"/>
    <w:rsid w:val="00FA033B"/>
    <w:rsid w:val="00FA1E49"/>
    <w:rsid w:val="00FA20AC"/>
    <w:rsid w:val="00FA3748"/>
    <w:rsid w:val="00FA3C7F"/>
    <w:rsid w:val="00FA647A"/>
    <w:rsid w:val="00FA7156"/>
    <w:rsid w:val="00FB4402"/>
    <w:rsid w:val="00FB4A0C"/>
    <w:rsid w:val="00FB60FE"/>
    <w:rsid w:val="00FB74E2"/>
    <w:rsid w:val="00FC71DC"/>
    <w:rsid w:val="00FC735C"/>
    <w:rsid w:val="00FD2ED2"/>
    <w:rsid w:val="00FD5614"/>
    <w:rsid w:val="00FD5E78"/>
    <w:rsid w:val="00FD73E1"/>
    <w:rsid w:val="00FE0BE1"/>
    <w:rsid w:val="00FE1DE9"/>
    <w:rsid w:val="00FE36AF"/>
    <w:rsid w:val="00FE39C2"/>
    <w:rsid w:val="00FE3C32"/>
    <w:rsid w:val="00FE6274"/>
    <w:rsid w:val="00FE64AE"/>
    <w:rsid w:val="00FE6A43"/>
    <w:rsid w:val="00FF64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270">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aemo.org.au/Gas/Registration" TargetMode="External"/><Relationship Id="rId1" Type="http://schemas.openxmlformats.org/officeDocument/2006/relationships/hyperlink" Target="javascript:void(0);"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76325F-154C-4ED6-816A-794EE4DE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A62F4E3B</Template>
  <TotalTime>0</TotalTime>
  <Pages>32</Pages>
  <Words>8604</Words>
  <Characters>49043</Characters>
  <Application>Microsoft Office Word</Application>
  <DocSecurity>0</DocSecurity>
  <Lines>408</Lines>
  <Paragraphs>115</Paragraphs>
  <ScaleCrop>false</ScaleCrop>
  <Company/>
  <LinksUpToDate>false</LinksUpToDate>
  <CharactersWithSpaces>57532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2015-11-23T04:41:00Z</dcterms:created>
  <dcterms:modified xsi:type="dcterms:W3CDTF">2015-11-23T04:41:00Z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8430125</vt:lpwstr>
  </property>
</Properties>
</file>