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w:eastAsiaTheme="majorEastAsia" w:hAnsi="Arial" w:cstheme="majorBidi"/>
          <w:noProof/>
          <w:sz w:val="36"/>
          <w:szCs w:val="36"/>
          <w:lang w:eastAsia="en-AU"/>
        </w:rPr>
        <w:id w:val="1021519724"/>
        <w:docPartObj>
          <w:docPartGallery w:val="Cover Pages"/>
          <w:docPartUnique/>
        </w:docPartObj>
      </w:sdtPr>
      <w:sdtEndPr/>
      <w:sdtContent>
        <w:p w:rsidR="000A6C7B" w:rsidRPr="00290C63" w:rsidRDefault="000A6C7B" w:rsidP="00D46529">
          <w:pPr>
            <w:pStyle w:val="AERbodytextnospaceleftalign"/>
          </w:pPr>
          <w:r w:rsidRPr="00290C63">
            <w:rPr>
              <w:noProof/>
              <w:lang w:eastAsia="en-AU"/>
            </w:rPr>
            <w:drawing>
              <wp:anchor distT="0" distB="0" distL="114300" distR="114300" simplePos="0" relativeHeight="251659264" behindDoc="1" locked="0" layoutInCell="1" allowOverlap="1" wp14:anchorId="6C9752E9" wp14:editId="0454B6B9">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8677B">
            <w:t>DRAFT</w:t>
          </w:r>
          <w:r w:rsidR="00DA4752">
            <w:t xml:space="preserve"> DECISION</w:t>
          </w:r>
        </w:p>
        <w:p w:rsidR="00C8677B" w:rsidRDefault="00A06085" w:rsidP="008F07A3">
          <w:pPr>
            <w:pStyle w:val="ReportSubtitle"/>
          </w:pPr>
          <w:r>
            <w:t xml:space="preserve">ActewAGL </w:t>
          </w:r>
          <w:r w:rsidR="00C8677B">
            <w:t>D</w:t>
          </w:r>
          <w:r w:rsidR="0070011E">
            <w:t>istribution</w:t>
          </w:r>
          <w:r w:rsidR="00415F31">
            <w:t xml:space="preserve"> </w:t>
          </w:r>
        </w:p>
        <w:p w:rsidR="00415F31" w:rsidRDefault="00C8677B" w:rsidP="008F07A3">
          <w:pPr>
            <w:pStyle w:val="ReportSubtitle"/>
          </w:pPr>
          <w: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5D0555">
            <w:t>2</w:t>
          </w:r>
          <w:r w:rsidR="00DA4752">
            <w:t xml:space="preserve"> </w:t>
          </w:r>
          <w:r w:rsidR="00415F31">
            <w:rPr>
              <w:rFonts w:cs="Arial"/>
            </w:rPr>
            <w:t>–</w:t>
          </w:r>
          <w:r w:rsidR="00DA4752">
            <w:t xml:space="preserve"> </w:t>
          </w:r>
          <w:r w:rsidR="005D0555">
            <w:t>Capital base</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6040720"/>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8677B">
        <w:t>draft</w:t>
      </w:r>
      <w:r w:rsidR="00415F31">
        <w:t xml:space="preserve"> decision on </w:t>
      </w:r>
      <w:r w:rsidR="005B140A">
        <w:t>ActewAGL</w:t>
      </w:r>
      <w:r w:rsidR="0092158E">
        <w:t xml:space="preserve"> Distribution</w:t>
      </w:r>
      <w:r w:rsidR="005C0A7F">
        <w:t>'s</w:t>
      </w:r>
      <w:r w:rsidR="00415F31">
        <w:t xml:space="preserve"> </w:t>
      </w:r>
      <w:r w:rsidR="00740940">
        <w:t>access arrangement for</w:t>
      </w:r>
      <w:r w:rsidR="00415F31">
        <w:t xml:space="preserve"> 201</w:t>
      </w:r>
      <w:r w:rsidR="005C0A7F">
        <w:t>6</w:t>
      </w:r>
      <w:r w:rsidR="00415F31" w:rsidRPr="00D904FA">
        <w:t>–</w:t>
      </w:r>
      <w:r w:rsidR="005B140A">
        <w:t>21.</w:t>
      </w:r>
      <w:r w:rsidR="00415F31">
        <w:t xml:space="preserve"> It should be read with </w:t>
      </w:r>
      <w:r w:rsidR="005C0A7F">
        <w:t xml:space="preserve">all </w:t>
      </w:r>
      <w:r w:rsidR="00415F31">
        <w:t xml:space="preserve">other parts of the </w:t>
      </w:r>
      <w:r w:rsidR="00C8677B">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8677B">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6" w:name="_Toc403144133"/>
      <w:bookmarkStart w:id="7" w:name="_Toc436040721"/>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A37B81"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6040720" w:history="1">
            <w:r w:rsidR="00A37B81" w:rsidRPr="004C4196">
              <w:rPr>
                <w:rStyle w:val="Hyperlink"/>
              </w:rPr>
              <w:t>Note</w:t>
            </w:r>
            <w:r w:rsidR="00A37B81">
              <w:rPr>
                <w:webHidden/>
              </w:rPr>
              <w:tab/>
            </w:r>
            <w:r w:rsidR="00A37B81">
              <w:rPr>
                <w:webHidden/>
              </w:rPr>
              <w:fldChar w:fldCharType="begin"/>
            </w:r>
            <w:r w:rsidR="00A37B81">
              <w:rPr>
                <w:webHidden/>
              </w:rPr>
              <w:instrText xml:space="preserve"> PAGEREF _Toc436040720 \h </w:instrText>
            </w:r>
            <w:r w:rsidR="00A37B81">
              <w:rPr>
                <w:webHidden/>
              </w:rPr>
            </w:r>
            <w:r w:rsidR="00A37B81">
              <w:rPr>
                <w:webHidden/>
              </w:rPr>
              <w:fldChar w:fldCharType="separate"/>
            </w:r>
            <w:r w:rsidR="00A37B81">
              <w:rPr>
                <w:webHidden/>
              </w:rPr>
              <w:t>2-2</w:t>
            </w:r>
            <w:r w:rsidR="00A37B81">
              <w:rPr>
                <w:webHidden/>
              </w:rPr>
              <w:fldChar w:fldCharType="end"/>
            </w:r>
          </w:hyperlink>
        </w:p>
        <w:p w:rsidR="00A37B81" w:rsidRDefault="00A37B81">
          <w:pPr>
            <w:pStyle w:val="TOC1"/>
            <w:rPr>
              <w:rFonts w:asciiTheme="minorHAnsi" w:eastAsiaTheme="minorEastAsia" w:hAnsiTheme="minorHAnsi"/>
              <w:b w:val="0"/>
              <w:color w:val="auto"/>
              <w:sz w:val="22"/>
              <w:lang w:val="en-AU" w:eastAsia="en-AU"/>
            </w:rPr>
          </w:pPr>
          <w:hyperlink w:anchor="_Toc436040721" w:history="1">
            <w:r w:rsidRPr="004C4196">
              <w:rPr>
                <w:rStyle w:val="Hyperlink"/>
              </w:rPr>
              <w:t>Contents</w:t>
            </w:r>
            <w:r>
              <w:rPr>
                <w:webHidden/>
              </w:rPr>
              <w:tab/>
            </w:r>
            <w:r>
              <w:rPr>
                <w:webHidden/>
              </w:rPr>
              <w:fldChar w:fldCharType="begin"/>
            </w:r>
            <w:r>
              <w:rPr>
                <w:webHidden/>
              </w:rPr>
              <w:instrText xml:space="preserve"> PAGEREF _Toc436040721 \h </w:instrText>
            </w:r>
            <w:r>
              <w:rPr>
                <w:webHidden/>
              </w:rPr>
            </w:r>
            <w:r>
              <w:rPr>
                <w:webHidden/>
              </w:rPr>
              <w:fldChar w:fldCharType="separate"/>
            </w:r>
            <w:r>
              <w:rPr>
                <w:webHidden/>
              </w:rPr>
              <w:t>2-3</w:t>
            </w:r>
            <w:r>
              <w:rPr>
                <w:webHidden/>
              </w:rPr>
              <w:fldChar w:fldCharType="end"/>
            </w:r>
          </w:hyperlink>
        </w:p>
        <w:p w:rsidR="00A37B81" w:rsidRDefault="00A37B81">
          <w:pPr>
            <w:pStyle w:val="TOC1"/>
            <w:rPr>
              <w:rFonts w:asciiTheme="minorHAnsi" w:eastAsiaTheme="minorEastAsia" w:hAnsiTheme="minorHAnsi"/>
              <w:b w:val="0"/>
              <w:color w:val="auto"/>
              <w:sz w:val="22"/>
              <w:lang w:val="en-AU" w:eastAsia="en-AU"/>
            </w:rPr>
          </w:pPr>
          <w:hyperlink w:anchor="_Toc436040722" w:history="1">
            <w:r w:rsidRPr="004C4196">
              <w:rPr>
                <w:rStyle w:val="Hyperlink"/>
              </w:rPr>
              <w:t>Shortened forms</w:t>
            </w:r>
            <w:r>
              <w:rPr>
                <w:webHidden/>
              </w:rPr>
              <w:tab/>
            </w:r>
            <w:r>
              <w:rPr>
                <w:webHidden/>
              </w:rPr>
              <w:fldChar w:fldCharType="begin"/>
            </w:r>
            <w:r>
              <w:rPr>
                <w:webHidden/>
              </w:rPr>
              <w:instrText xml:space="preserve"> PAGEREF _Toc436040722 \h </w:instrText>
            </w:r>
            <w:r>
              <w:rPr>
                <w:webHidden/>
              </w:rPr>
            </w:r>
            <w:r>
              <w:rPr>
                <w:webHidden/>
              </w:rPr>
              <w:fldChar w:fldCharType="separate"/>
            </w:r>
            <w:r>
              <w:rPr>
                <w:webHidden/>
              </w:rPr>
              <w:t>2-4</w:t>
            </w:r>
            <w:r>
              <w:rPr>
                <w:webHidden/>
              </w:rPr>
              <w:fldChar w:fldCharType="end"/>
            </w:r>
          </w:hyperlink>
        </w:p>
        <w:p w:rsidR="00A37B81" w:rsidRDefault="00A37B81">
          <w:pPr>
            <w:pStyle w:val="TOC1"/>
            <w:rPr>
              <w:rFonts w:asciiTheme="minorHAnsi" w:eastAsiaTheme="minorEastAsia" w:hAnsiTheme="minorHAnsi"/>
              <w:b w:val="0"/>
              <w:color w:val="auto"/>
              <w:sz w:val="22"/>
              <w:lang w:val="en-AU" w:eastAsia="en-AU"/>
            </w:rPr>
          </w:pPr>
          <w:hyperlink w:anchor="_Toc436040723" w:history="1">
            <w:r w:rsidRPr="004C4196">
              <w:rPr>
                <w:rStyle w:val="Hyperlink"/>
              </w:rPr>
              <w:t>2</w:t>
            </w:r>
            <w:r>
              <w:rPr>
                <w:rFonts w:asciiTheme="minorHAnsi" w:eastAsiaTheme="minorEastAsia" w:hAnsiTheme="minorHAnsi"/>
                <w:b w:val="0"/>
                <w:color w:val="auto"/>
                <w:sz w:val="22"/>
                <w:lang w:val="en-AU" w:eastAsia="en-AU"/>
              </w:rPr>
              <w:tab/>
            </w:r>
            <w:r w:rsidRPr="004C4196">
              <w:rPr>
                <w:rStyle w:val="Hyperlink"/>
              </w:rPr>
              <w:t>Capital base</w:t>
            </w:r>
            <w:r>
              <w:rPr>
                <w:webHidden/>
              </w:rPr>
              <w:tab/>
            </w:r>
            <w:r>
              <w:rPr>
                <w:webHidden/>
              </w:rPr>
              <w:fldChar w:fldCharType="begin"/>
            </w:r>
            <w:r>
              <w:rPr>
                <w:webHidden/>
              </w:rPr>
              <w:instrText xml:space="preserve"> PAGEREF _Toc436040723 \h </w:instrText>
            </w:r>
            <w:r>
              <w:rPr>
                <w:webHidden/>
              </w:rPr>
            </w:r>
            <w:r>
              <w:rPr>
                <w:webHidden/>
              </w:rPr>
              <w:fldChar w:fldCharType="separate"/>
            </w:r>
            <w:r>
              <w:rPr>
                <w:webHidden/>
              </w:rPr>
              <w:t>2-6</w:t>
            </w:r>
            <w:r>
              <w:rPr>
                <w:webHidden/>
              </w:rPr>
              <w:fldChar w:fldCharType="end"/>
            </w:r>
          </w:hyperlink>
        </w:p>
        <w:p w:rsidR="00A37B81" w:rsidRDefault="00A37B81">
          <w:pPr>
            <w:pStyle w:val="TOC2"/>
            <w:rPr>
              <w:rFonts w:asciiTheme="minorHAnsi" w:eastAsiaTheme="minorEastAsia" w:hAnsiTheme="minorHAnsi"/>
              <w:b w:val="0"/>
              <w:color w:val="auto"/>
              <w:sz w:val="22"/>
              <w:lang w:eastAsia="en-AU"/>
            </w:rPr>
          </w:pPr>
          <w:hyperlink w:anchor="_Toc436040724" w:history="1">
            <w:r w:rsidRPr="004C4196">
              <w:rPr>
                <w:rStyle w:val="Hyperlink"/>
              </w:rPr>
              <w:t>2.1</w:t>
            </w:r>
            <w:r>
              <w:rPr>
                <w:rFonts w:asciiTheme="minorHAnsi" w:eastAsiaTheme="minorEastAsia" w:hAnsiTheme="minorHAnsi"/>
                <w:b w:val="0"/>
                <w:color w:val="auto"/>
                <w:sz w:val="22"/>
                <w:lang w:eastAsia="en-AU"/>
              </w:rPr>
              <w:tab/>
            </w:r>
            <w:r w:rsidRPr="004C4196">
              <w:rPr>
                <w:rStyle w:val="Hyperlink"/>
              </w:rPr>
              <w:t>Draft decision</w:t>
            </w:r>
            <w:r>
              <w:rPr>
                <w:webHidden/>
              </w:rPr>
              <w:tab/>
            </w:r>
            <w:r>
              <w:rPr>
                <w:webHidden/>
              </w:rPr>
              <w:fldChar w:fldCharType="begin"/>
            </w:r>
            <w:r>
              <w:rPr>
                <w:webHidden/>
              </w:rPr>
              <w:instrText xml:space="preserve"> PAGEREF _Toc436040724 \h </w:instrText>
            </w:r>
            <w:r>
              <w:rPr>
                <w:webHidden/>
              </w:rPr>
            </w:r>
            <w:r>
              <w:rPr>
                <w:webHidden/>
              </w:rPr>
              <w:fldChar w:fldCharType="separate"/>
            </w:r>
            <w:r>
              <w:rPr>
                <w:webHidden/>
              </w:rPr>
              <w:t>2-6</w:t>
            </w:r>
            <w:r>
              <w:rPr>
                <w:webHidden/>
              </w:rPr>
              <w:fldChar w:fldCharType="end"/>
            </w:r>
          </w:hyperlink>
        </w:p>
        <w:p w:rsidR="00A37B81" w:rsidRDefault="00A37B81">
          <w:pPr>
            <w:pStyle w:val="TOC2"/>
            <w:rPr>
              <w:rFonts w:asciiTheme="minorHAnsi" w:eastAsiaTheme="minorEastAsia" w:hAnsiTheme="minorHAnsi"/>
              <w:b w:val="0"/>
              <w:color w:val="auto"/>
              <w:sz w:val="22"/>
              <w:lang w:eastAsia="en-AU"/>
            </w:rPr>
          </w:pPr>
          <w:hyperlink w:anchor="_Toc436040725" w:history="1">
            <w:r w:rsidRPr="004C4196">
              <w:rPr>
                <w:rStyle w:val="Hyperlink"/>
              </w:rPr>
              <w:t>2.2</w:t>
            </w:r>
            <w:r>
              <w:rPr>
                <w:rFonts w:asciiTheme="minorHAnsi" w:eastAsiaTheme="minorEastAsia" w:hAnsiTheme="minorHAnsi"/>
                <w:b w:val="0"/>
                <w:color w:val="auto"/>
                <w:sz w:val="22"/>
                <w:lang w:eastAsia="en-AU"/>
              </w:rPr>
              <w:tab/>
            </w:r>
            <w:r w:rsidRPr="004C4196">
              <w:rPr>
                <w:rStyle w:val="Hyperlink"/>
              </w:rPr>
              <w:t>ActewAGL’s proposal</w:t>
            </w:r>
            <w:r>
              <w:rPr>
                <w:webHidden/>
              </w:rPr>
              <w:tab/>
            </w:r>
            <w:r>
              <w:rPr>
                <w:webHidden/>
              </w:rPr>
              <w:fldChar w:fldCharType="begin"/>
            </w:r>
            <w:r>
              <w:rPr>
                <w:webHidden/>
              </w:rPr>
              <w:instrText xml:space="preserve"> PAGEREF _Toc436040725 \h </w:instrText>
            </w:r>
            <w:r>
              <w:rPr>
                <w:webHidden/>
              </w:rPr>
            </w:r>
            <w:r>
              <w:rPr>
                <w:webHidden/>
              </w:rPr>
              <w:fldChar w:fldCharType="separate"/>
            </w:r>
            <w:r>
              <w:rPr>
                <w:webHidden/>
              </w:rPr>
              <w:t>2-8</w:t>
            </w:r>
            <w:r>
              <w:rPr>
                <w:webHidden/>
              </w:rPr>
              <w:fldChar w:fldCharType="end"/>
            </w:r>
          </w:hyperlink>
        </w:p>
        <w:p w:rsidR="00A37B81" w:rsidRDefault="00A37B81">
          <w:pPr>
            <w:pStyle w:val="TOC3"/>
            <w:rPr>
              <w:rFonts w:asciiTheme="minorHAnsi" w:eastAsiaTheme="minorEastAsia" w:hAnsiTheme="minorHAnsi"/>
              <w:lang w:eastAsia="en-AU"/>
            </w:rPr>
          </w:pPr>
          <w:hyperlink w:anchor="_Toc436040726" w:history="1">
            <w:r w:rsidRPr="004C4196">
              <w:rPr>
                <w:rStyle w:val="Hyperlink"/>
              </w:rPr>
              <w:t>2.2.1</w:t>
            </w:r>
            <w:r>
              <w:rPr>
                <w:rFonts w:asciiTheme="minorHAnsi" w:eastAsiaTheme="minorEastAsia" w:hAnsiTheme="minorHAnsi"/>
                <w:lang w:eastAsia="en-AU"/>
              </w:rPr>
              <w:tab/>
            </w:r>
            <w:r w:rsidRPr="004C4196">
              <w:rPr>
                <w:rStyle w:val="Hyperlink"/>
              </w:rPr>
              <w:t>Opening capital base as at 1 July 2015</w:t>
            </w:r>
            <w:r>
              <w:rPr>
                <w:webHidden/>
              </w:rPr>
              <w:tab/>
            </w:r>
            <w:r>
              <w:rPr>
                <w:webHidden/>
              </w:rPr>
              <w:fldChar w:fldCharType="begin"/>
            </w:r>
            <w:r>
              <w:rPr>
                <w:webHidden/>
              </w:rPr>
              <w:instrText xml:space="preserve"> PAGEREF _Toc436040726 \h </w:instrText>
            </w:r>
            <w:r>
              <w:rPr>
                <w:webHidden/>
              </w:rPr>
            </w:r>
            <w:r>
              <w:rPr>
                <w:webHidden/>
              </w:rPr>
              <w:fldChar w:fldCharType="separate"/>
            </w:r>
            <w:r>
              <w:rPr>
                <w:webHidden/>
              </w:rPr>
              <w:t>2-8</w:t>
            </w:r>
            <w:r>
              <w:rPr>
                <w:webHidden/>
              </w:rPr>
              <w:fldChar w:fldCharType="end"/>
            </w:r>
          </w:hyperlink>
        </w:p>
        <w:p w:rsidR="00A37B81" w:rsidRDefault="00A37B81">
          <w:pPr>
            <w:pStyle w:val="TOC3"/>
            <w:rPr>
              <w:rFonts w:asciiTheme="minorHAnsi" w:eastAsiaTheme="minorEastAsia" w:hAnsiTheme="minorHAnsi"/>
              <w:lang w:eastAsia="en-AU"/>
            </w:rPr>
          </w:pPr>
          <w:hyperlink w:anchor="_Toc436040727" w:history="1">
            <w:r w:rsidRPr="004C4196">
              <w:rPr>
                <w:rStyle w:val="Hyperlink"/>
              </w:rPr>
              <w:t>2.2.2</w:t>
            </w:r>
            <w:r>
              <w:rPr>
                <w:rFonts w:asciiTheme="minorHAnsi" w:eastAsiaTheme="minorEastAsia" w:hAnsiTheme="minorHAnsi"/>
                <w:lang w:eastAsia="en-AU"/>
              </w:rPr>
              <w:tab/>
            </w:r>
            <w:r w:rsidRPr="004C4196">
              <w:rPr>
                <w:rStyle w:val="Hyperlink"/>
              </w:rPr>
              <w:t>Projected capital base over 2015–16 and the 2016–21 access arrangement period</w:t>
            </w:r>
            <w:r>
              <w:rPr>
                <w:webHidden/>
              </w:rPr>
              <w:tab/>
            </w:r>
            <w:r>
              <w:rPr>
                <w:webHidden/>
              </w:rPr>
              <w:fldChar w:fldCharType="begin"/>
            </w:r>
            <w:r>
              <w:rPr>
                <w:webHidden/>
              </w:rPr>
              <w:instrText xml:space="preserve"> PAGEREF _Toc436040727 \h </w:instrText>
            </w:r>
            <w:r>
              <w:rPr>
                <w:webHidden/>
              </w:rPr>
            </w:r>
            <w:r>
              <w:rPr>
                <w:webHidden/>
              </w:rPr>
              <w:fldChar w:fldCharType="separate"/>
            </w:r>
            <w:r>
              <w:rPr>
                <w:webHidden/>
              </w:rPr>
              <w:t>2-9</w:t>
            </w:r>
            <w:r>
              <w:rPr>
                <w:webHidden/>
              </w:rPr>
              <w:fldChar w:fldCharType="end"/>
            </w:r>
          </w:hyperlink>
        </w:p>
        <w:p w:rsidR="00A37B81" w:rsidRDefault="00A37B81">
          <w:pPr>
            <w:pStyle w:val="TOC3"/>
            <w:rPr>
              <w:rFonts w:asciiTheme="minorHAnsi" w:eastAsiaTheme="minorEastAsia" w:hAnsiTheme="minorHAnsi"/>
              <w:lang w:eastAsia="en-AU"/>
            </w:rPr>
          </w:pPr>
          <w:hyperlink w:anchor="_Toc436040728" w:history="1">
            <w:r w:rsidRPr="004C4196">
              <w:rPr>
                <w:rStyle w:val="Hyperlink"/>
              </w:rPr>
              <w:t>2.2.3</w:t>
            </w:r>
            <w:r>
              <w:rPr>
                <w:rFonts w:asciiTheme="minorHAnsi" w:eastAsiaTheme="minorEastAsia" w:hAnsiTheme="minorHAnsi"/>
                <w:lang w:eastAsia="en-AU"/>
              </w:rPr>
              <w:tab/>
            </w:r>
            <w:r w:rsidRPr="004C4196">
              <w:rPr>
                <w:rStyle w:val="Hyperlink"/>
              </w:rPr>
              <w:t>Capital base at the commencement of the 2021–26 access arrangement period</w:t>
            </w:r>
            <w:r>
              <w:rPr>
                <w:webHidden/>
              </w:rPr>
              <w:tab/>
            </w:r>
            <w:r>
              <w:rPr>
                <w:webHidden/>
              </w:rPr>
              <w:fldChar w:fldCharType="begin"/>
            </w:r>
            <w:r>
              <w:rPr>
                <w:webHidden/>
              </w:rPr>
              <w:instrText xml:space="preserve"> PAGEREF _Toc436040728 \h </w:instrText>
            </w:r>
            <w:r>
              <w:rPr>
                <w:webHidden/>
              </w:rPr>
            </w:r>
            <w:r>
              <w:rPr>
                <w:webHidden/>
              </w:rPr>
              <w:fldChar w:fldCharType="separate"/>
            </w:r>
            <w:r>
              <w:rPr>
                <w:webHidden/>
              </w:rPr>
              <w:t>2-10</w:t>
            </w:r>
            <w:r>
              <w:rPr>
                <w:webHidden/>
              </w:rPr>
              <w:fldChar w:fldCharType="end"/>
            </w:r>
          </w:hyperlink>
        </w:p>
        <w:p w:rsidR="00A37B81" w:rsidRDefault="00A37B81">
          <w:pPr>
            <w:pStyle w:val="TOC2"/>
            <w:rPr>
              <w:rFonts w:asciiTheme="minorHAnsi" w:eastAsiaTheme="minorEastAsia" w:hAnsiTheme="minorHAnsi"/>
              <w:b w:val="0"/>
              <w:color w:val="auto"/>
              <w:sz w:val="22"/>
              <w:lang w:eastAsia="en-AU"/>
            </w:rPr>
          </w:pPr>
          <w:hyperlink w:anchor="_Toc436040729" w:history="1">
            <w:r w:rsidRPr="004C4196">
              <w:rPr>
                <w:rStyle w:val="Hyperlink"/>
              </w:rPr>
              <w:t>2.3</w:t>
            </w:r>
            <w:r>
              <w:rPr>
                <w:rFonts w:asciiTheme="minorHAnsi" w:eastAsiaTheme="minorEastAsia" w:hAnsiTheme="minorHAnsi"/>
                <w:b w:val="0"/>
                <w:color w:val="auto"/>
                <w:sz w:val="22"/>
                <w:lang w:eastAsia="en-AU"/>
              </w:rPr>
              <w:tab/>
            </w:r>
            <w:r w:rsidRPr="004C4196">
              <w:rPr>
                <w:rStyle w:val="Hyperlink"/>
              </w:rPr>
              <w:t>AER’s assessment approach</w:t>
            </w:r>
            <w:r>
              <w:rPr>
                <w:webHidden/>
              </w:rPr>
              <w:tab/>
            </w:r>
            <w:r>
              <w:rPr>
                <w:webHidden/>
              </w:rPr>
              <w:fldChar w:fldCharType="begin"/>
            </w:r>
            <w:r>
              <w:rPr>
                <w:webHidden/>
              </w:rPr>
              <w:instrText xml:space="preserve"> PAGEREF _Toc436040729 \h </w:instrText>
            </w:r>
            <w:r>
              <w:rPr>
                <w:webHidden/>
              </w:rPr>
            </w:r>
            <w:r>
              <w:rPr>
                <w:webHidden/>
              </w:rPr>
              <w:fldChar w:fldCharType="separate"/>
            </w:r>
            <w:r>
              <w:rPr>
                <w:webHidden/>
              </w:rPr>
              <w:t>2-10</w:t>
            </w:r>
            <w:r>
              <w:rPr>
                <w:webHidden/>
              </w:rPr>
              <w:fldChar w:fldCharType="end"/>
            </w:r>
          </w:hyperlink>
        </w:p>
        <w:p w:rsidR="00A37B81" w:rsidRDefault="00A37B81">
          <w:pPr>
            <w:pStyle w:val="TOC3"/>
            <w:rPr>
              <w:rFonts w:asciiTheme="minorHAnsi" w:eastAsiaTheme="minorEastAsia" w:hAnsiTheme="minorHAnsi"/>
              <w:lang w:eastAsia="en-AU"/>
            </w:rPr>
          </w:pPr>
          <w:hyperlink w:anchor="_Toc436040730" w:history="1">
            <w:r w:rsidRPr="004C4196">
              <w:rPr>
                <w:rStyle w:val="Hyperlink"/>
              </w:rPr>
              <w:t>2.3.1</w:t>
            </w:r>
            <w:r>
              <w:rPr>
                <w:rFonts w:asciiTheme="minorHAnsi" w:eastAsiaTheme="minorEastAsia" w:hAnsiTheme="minorHAnsi"/>
                <w:lang w:eastAsia="en-AU"/>
              </w:rPr>
              <w:tab/>
            </w:r>
            <w:r w:rsidRPr="004C4196">
              <w:rPr>
                <w:rStyle w:val="Hyperlink"/>
              </w:rPr>
              <w:t>Interrelationships</w:t>
            </w:r>
            <w:r>
              <w:rPr>
                <w:webHidden/>
              </w:rPr>
              <w:tab/>
            </w:r>
            <w:r>
              <w:rPr>
                <w:webHidden/>
              </w:rPr>
              <w:fldChar w:fldCharType="begin"/>
            </w:r>
            <w:r>
              <w:rPr>
                <w:webHidden/>
              </w:rPr>
              <w:instrText xml:space="preserve"> PAGEREF _Toc436040730 \h </w:instrText>
            </w:r>
            <w:r>
              <w:rPr>
                <w:webHidden/>
              </w:rPr>
            </w:r>
            <w:r>
              <w:rPr>
                <w:webHidden/>
              </w:rPr>
              <w:fldChar w:fldCharType="separate"/>
            </w:r>
            <w:r>
              <w:rPr>
                <w:webHidden/>
              </w:rPr>
              <w:t>2-11</w:t>
            </w:r>
            <w:r>
              <w:rPr>
                <w:webHidden/>
              </w:rPr>
              <w:fldChar w:fldCharType="end"/>
            </w:r>
          </w:hyperlink>
        </w:p>
        <w:p w:rsidR="00A37B81" w:rsidRDefault="00A37B81">
          <w:pPr>
            <w:pStyle w:val="TOC2"/>
            <w:rPr>
              <w:rFonts w:asciiTheme="minorHAnsi" w:eastAsiaTheme="minorEastAsia" w:hAnsiTheme="minorHAnsi"/>
              <w:b w:val="0"/>
              <w:color w:val="auto"/>
              <w:sz w:val="22"/>
              <w:lang w:eastAsia="en-AU"/>
            </w:rPr>
          </w:pPr>
          <w:hyperlink w:anchor="_Toc436040731" w:history="1">
            <w:r w:rsidRPr="004C4196">
              <w:rPr>
                <w:rStyle w:val="Hyperlink"/>
              </w:rPr>
              <w:t>2.4</w:t>
            </w:r>
            <w:r>
              <w:rPr>
                <w:rFonts w:asciiTheme="minorHAnsi" w:eastAsiaTheme="minorEastAsia" w:hAnsiTheme="minorHAnsi"/>
                <w:b w:val="0"/>
                <w:color w:val="auto"/>
                <w:sz w:val="22"/>
                <w:lang w:eastAsia="en-AU"/>
              </w:rPr>
              <w:tab/>
            </w:r>
            <w:r w:rsidRPr="004C4196">
              <w:rPr>
                <w:rStyle w:val="Hyperlink"/>
              </w:rPr>
              <w:t>Reasons for draft decision</w:t>
            </w:r>
            <w:r>
              <w:rPr>
                <w:webHidden/>
              </w:rPr>
              <w:tab/>
            </w:r>
            <w:r>
              <w:rPr>
                <w:webHidden/>
              </w:rPr>
              <w:fldChar w:fldCharType="begin"/>
            </w:r>
            <w:r>
              <w:rPr>
                <w:webHidden/>
              </w:rPr>
              <w:instrText xml:space="preserve"> PAGEREF _Toc436040731 \h </w:instrText>
            </w:r>
            <w:r>
              <w:rPr>
                <w:webHidden/>
              </w:rPr>
            </w:r>
            <w:r>
              <w:rPr>
                <w:webHidden/>
              </w:rPr>
              <w:fldChar w:fldCharType="separate"/>
            </w:r>
            <w:r>
              <w:rPr>
                <w:webHidden/>
              </w:rPr>
              <w:t>2-13</w:t>
            </w:r>
            <w:r>
              <w:rPr>
                <w:webHidden/>
              </w:rPr>
              <w:fldChar w:fldCharType="end"/>
            </w:r>
          </w:hyperlink>
        </w:p>
        <w:p w:rsidR="00A37B81" w:rsidRDefault="00A37B81">
          <w:pPr>
            <w:pStyle w:val="TOC3"/>
            <w:rPr>
              <w:rFonts w:asciiTheme="minorHAnsi" w:eastAsiaTheme="minorEastAsia" w:hAnsiTheme="minorHAnsi"/>
              <w:lang w:eastAsia="en-AU"/>
            </w:rPr>
          </w:pPr>
          <w:hyperlink w:anchor="_Toc436040732" w:history="1">
            <w:r w:rsidRPr="004C4196">
              <w:rPr>
                <w:rStyle w:val="Hyperlink"/>
              </w:rPr>
              <w:t>2.4.1</w:t>
            </w:r>
            <w:r>
              <w:rPr>
                <w:rFonts w:asciiTheme="minorHAnsi" w:eastAsiaTheme="minorEastAsia" w:hAnsiTheme="minorHAnsi"/>
                <w:lang w:eastAsia="en-AU"/>
              </w:rPr>
              <w:tab/>
            </w:r>
            <w:r w:rsidRPr="004C4196">
              <w:rPr>
                <w:rStyle w:val="Hyperlink"/>
              </w:rPr>
              <w:t>Opening capital base as at 1 July 2015</w:t>
            </w:r>
            <w:r>
              <w:rPr>
                <w:webHidden/>
              </w:rPr>
              <w:tab/>
            </w:r>
            <w:r>
              <w:rPr>
                <w:webHidden/>
              </w:rPr>
              <w:fldChar w:fldCharType="begin"/>
            </w:r>
            <w:r>
              <w:rPr>
                <w:webHidden/>
              </w:rPr>
              <w:instrText xml:space="preserve"> PAGEREF _Toc436040732 \h </w:instrText>
            </w:r>
            <w:r>
              <w:rPr>
                <w:webHidden/>
              </w:rPr>
            </w:r>
            <w:r>
              <w:rPr>
                <w:webHidden/>
              </w:rPr>
              <w:fldChar w:fldCharType="separate"/>
            </w:r>
            <w:r>
              <w:rPr>
                <w:webHidden/>
              </w:rPr>
              <w:t>2-14</w:t>
            </w:r>
            <w:r>
              <w:rPr>
                <w:webHidden/>
              </w:rPr>
              <w:fldChar w:fldCharType="end"/>
            </w:r>
          </w:hyperlink>
        </w:p>
        <w:p w:rsidR="00A37B81" w:rsidRDefault="00A37B81">
          <w:pPr>
            <w:pStyle w:val="TOC3"/>
            <w:rPr>
              <w:rFonts w:asciiTheme="minorHAnsi" w:eastAsiaTheme="minorEastAsia" w:hAnsiTheme="minorHAnsi"/>
              <w:lang w:eastAsia="en-AU"/>
            </w:rPr>
          </w:pPr>
          <w:hyperlink w:anchor="_Toc436040733" w:history="1">
            <w:r w:rsidRPr="004C4196">
              <w:rPr>
                <w:rStyle w:val="Hyperlink"/>
                <w:rFonts w:eastAsia="Times New Roman"/>
              </w:rPr>
              <w:t>2.4.2</w:t>
            </w:r>
            <w:r>
              <w:rPr>
                <w:rFonts w:asciiTheme="minorHAnsi" w:eastAsiaTheme="minorEastAsia" w:hAnsiTheme="minorHAnsi"/>
                <w:lang w:eastAsia="en-AU"/>
              </w:rPr>
              <w:tab/>
            </w:r>
            <w:r w:rsidRPr="004C4196">
              <w:rPr>
                <w:rStyle w:val="Hyperlink"/>
              </w:rPr>
              <w:t>Projected capital base over 2015–16 and the 2016–21 access arrangement period</w:t>
            </w:r>
            <w:r>
              <w:rPr>
                <w:webHidden/>
              </w:rPr>
              <w:tab/>
            </w:r>
            <w:r>
              <w:rPr>
                <w:webHidden/>
              </w:rPr>
              <w:fldChar w:fldCharType="begin"/>
            </w:r>
            <w:r>
              <w:rPr>
                <w:webHidden/>
              </w:rPr>
              <w:instrText xml:space="preserve"> PAGEREF _Toc436040733 \h </w:instrText>
            </w:r>
            <w:r>
              <w:rPr>
                <w:webHidden/>
              </w:rPr>
            </w:r>
            <w:r>
              <w:rPr>
                <w:webHidden/>
              </w:rPr>
              <w:fldChar w:fldCharType="separate"/>
            </w:r>
            <w:r>
              <w:rPr>
                <w:webHidden/>
              </w:rPr>
              <w:t>2-16</w:t>
            </w:r>
            <w:r>
              <w:rPr>
                <w:webHidden/>
              </w:rPr>
              <w:fldChar w:fldCharType="end"/>
            </w:r>
          </w:hyperlink>
        </w:p>
        <w:p w:rsidR="00A37B81" w:rsidRDefault="00A37B81">
          <w:pPr>
            <w:pStyle w:val="TOC3"/>
            <w:rPr>
              <w:rFonts w:asciiTheme="minorHAnsi" w:eastAsiaTheme="minorEastAsia" w:hAnsiTheme="minorHAnsi"/>
              <w:lang w:eastAsia="en-AU"/>
            </w:rPr>
          </w:pPr>
          <w:hyperlink w:anchor="_Toc436040734" w:history="1">
            <w:r w:rsidRPr="004C4196">
              <w:rPr>
                <w:rStyle w:val="Hyperlink"/>
              </w:rPr>
              <w:t>2.4.3</w:t>
            </w:r>
            <w:r>
              <w:rPr>
                <w:rFonts w:asciiTheme="minorHAnsi" w:eastAsiaTheme="minorEastAsia" w:hAnsiTheme="minorHAnsi"/>
                <w:lang w:eastAsia="en-AU"/>
              </w:rPr>
              <w:tab/>
            </w:r>
            <w:r w:rsidRPr="004C4196">
              <w:rPr>
                <w:rStyle w:val="Hyperlink"/>
              </w:rPr>
              <w:t>Capital base at the commencement of the 2021–26 access arrangement period</w:t>
            </w:r>
            <w:r>
              <w:rPr>
                <w:webHidden/>
              </w:rPr>
              <w:tab/>
            </w:r>
            <w:r>
              <w:rPr>
                <w:webHidden/>
              </w:rPr>
              <w:fldChar w:fldCharType="begin"/>
            </w:r>
            <w:r>
              <w:rPr>
                <w:webHidden/>
              </w:rPr>
              <w:instrText xml:space="preserve"> PAGEREF _Toc436040734 \h </w:instrText>
            </w:r>
            <w:r>
              <w:rPr>
                <w:webHidden/>
              </w:rPr>
            </w:r>
            <w:r>
              <w:rPr>
                <w:webHidden/>
              </w:rPr>
              <w:fldChar w:fldCharType="separate"/>
            </w:r>
            <w:r>
              <w:rPr>
                <w:webHidden/>
              </w:rPr>
              <w:t>2-16</w:t>
            </w:r>
            <w:r>
              <w:rPr>
                <w:webHidden/>
              </w:rPr>
              <w:fldChar w:fldCharType="end"/>
            </w:r>
          </w:hyperlink>
        </w:p>
        <w:p w:rsidR="00A37B81" w:rsidRDefault="00A37B81">
          <w:pPr>
            <w:pStyle w:val="TOC2"/>
            <w:rPr>
              <w:rFonts w:asciiTheme="minorHAnsi" w:eastAsiaTheme="minorEastAsia" w:hAnsiTheme="minorHAnsi"/>
              <w:b w:val="0"/>
              <w:color w:val="auto"/>
              <w:sz w:val="22"/>
              <w:lang w:eastAsia="en-AU"/>
            </w:rPr>
          </w:pPr>
          <w:hyperlink w:anchor="_Toc436040735" w:history="1">
            <w:r w:rsidRPr="004C4196">
              <w:rPr>
                <w:rStyle w:val="Hyperlink"/>
              </w:rPr>
              <w:t>2.5</w:t>
            </w:r>
            <w:r>
              <w:rPr>
                <w:rFonts w:asciiTheme="minorHAnsi" w:eastAsiaTheme="minorEastAsia" w:hAnsiTheme="minorHAnsi"/>
                <w:b w:val="0"/>
                <w:color w:val="auto"/>
                <w:sz w:val="22"/>
                <w:lang w:eastAsia="en-AU"/>
              </w:rPr>
              <w:tab/>
            </w:r>
            <w:r w:rsidRPr="004C4196">
              <w:rPr>
                <w:rStyle w:val="Hyperlink"/>
              </w:rPr>
              <w:t>Revisions</w:t>
            </w:r>
            <w:r>
              <w:rPr>
                <w:webHidden/>
              </w:rPr>
              <w:tab/>
            </w:r>
            <w:r>
              <w:rPr>
                <w:webHidden/>
              </w:rPr>
              <w:fldChar w:fldCharType="begin"/>
            </w:r>
            <w:r>
              <w:rPr>
                <w:webHidden/>
              </w:rPr>
              <w:instrText xml:space="preserve"> PAGEREF _Toc436040735 \h </w:instrText>
            </w:r>
            <w:r>
              <w:rPr>
                <w:webHidden/>
              </w:rPr>
            </w:r>
            <w:r>
              <w:rPr>
                <w:webHidden/>
              </w:rPr>
              <w:fldChar w:fldCharType="separate"/>
            </w:r>
            <w:r>
              <w:rPr>
                <w:webHidden/>
              </w:rPr>
              <w:t>2-17</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580852" w:rsidRDefault="00DE563D" w:rsidP="00DE772C">
      <w:pPr>
        <w:pStyle w:val="UnnumberedHeading"/>
        <w:numPr>
          <w:ilvl w:val="0"/>
          <w:numId w:val="23"/>
        </w:numPr>
      </w:pPr>
      <w:bookmarkStart w:id="8" w:name="_Toc404700925"/>
      <w:bookmarkStart w:id="9" w:name="_Toc436040722"/>
      <w:r>
        <w:lastRenderedPageBreak/>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EA2310" w:rsidTr="000C05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Shortened form</w:t>
            </w:r>
          </w:p>
        </w:tc>
        <w:tc>
          <w:tcPr>
            <w:tcW w:w="5041" w:type="dxa"/>
          </w:tcPr>
          <w:p w:rsidR="00EA2310" w:rsidRDefault="00EA2310" w:rsidP="00EA2310">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AA</w:t>
            </w:r>
          </w:p>
        </w:tc>
        <w:tc>
          <w:tcPr>
            <w:tcW w:w="5041" w:type="dxa"/>
          </w:tcPr>
          <w:p w:rsidR="00EA2310" w:rsidRPr="00EA2310" w:rsidRDefault="00EA2310" w:rsidP="00EA2310">
            <w:pPr>
              <w:cnfStyle w:val="000000000000" w:firstRow="0" w:lastRow="0" w:firstColumn="0" w:lastColumn="0" w:oddVBand="0" w:evenVBand="0" w:oddHBand="0" w:evenHBand="0" w:firstRowFirstColumn="0" w:firstRowLastColumn="0" w:lastRowFirstColumn="0" w:lastRowLastColumn="0"/>
            </w:pPr>
            <w:r>
              <w:t>Access Arrangement</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AAI</w:t>
            </w:r>
          </w:p>
        </w:tc>
        <w:tc>
          <w:tcPr>
            <w:tcW w:w="5041" w:type="dxa"/>
          </w:tcPr>
          <w:p w:rsidR="00EA2310" w:rsidRPr="00EA2310" w:rsidRDefault="00EA2310" w:rsidP="00EA2310">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AER</w:t>
            </w:r>
          </w:p>
        </w:tc>
        <w:tc>
          <w:tcPr>
            <w:tcW w:w="5041" w:type="dxa"/>
          </w:tcPr>
          <w:p w:rsidR="00EA2310" w:rsidRDefault="00EA2310" w:rsidP="00EA2310">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ASA</w:t>
            </w:r>
          </w:p>
        </w:tc>
        <w:tc>
          <w:tcPr>
            <w:tcW w:w="5041" w:type="dxa"/>
          </w:tcPr>
          <w:p w:rsidR="00EA2310" w:rsidRPr="00EA2310" w:rsidRDefault="00EA2310" w:rsidP="00EA2310">
            <w:pPr>
              <w:cnfStyle w:val="000000010000" w:firstRow="0" w:lastRow="0" w:firstColumn="0" w:lastColumn="0" w:oddVBand="0" w:evenVBand="0" w:oddHBand="0" w:evenHBand="1" w:firstRowFirstColumn="0" w:firstRowLastColumn="0" w:lastRowFirstColumn="0" w:lastRowLastColumn="0"/>
            </w:pPr>
            <w:r>
              <w:t>Asset Services Agreement</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ATO</w:t>
            </w:r>
          </w:p>
        </w:tc>
        <w:tc>
          <w:tcPr>
            <w:tcW w:w="5041" w:type="dxa"/>
          </w:tcPr>
          <w:p w:rsidR="00EA2310" w:rsidRPr="00EA2310" w:rsidRDefault="00EA2310" w:rsidP="00EA2310">
            <w:pPr>
              <w:cnfStyle w:val="000000000000" w:firstRow="0" w:lastRow="0" w:firstColumn="0" w:lastColumn="0" w:oddVBand="0" w:evenVBand="0" w:oddHBand="0" w:evenHBand="0" w:firstRowFirstColumn="0" w:firstRowLastColumn="0" w:lastRowFirstColumn="0" w:lastRowLastColumn="0"/>
            </w:pPr>
            <w:r>
              <w:t>Australian Tax Office</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capex</w:t>
            </w:r>
          </w:p>
        </w:tc>
        <w:tc>
          <w:tcPr>
            <w:tcW w:w="5041" w:type="dxa"/>
          </w:tcPr>
          <w:p w:rsidR="00EA2310" w:rsidRDefault="00EA2310" w:rsidP="00EA2310">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CAPM</w:t>
            </w:r>
          </w:p>
        </w:tc>
        <w:tc>
          <w:tcPr>
            <w:tcW w:w="5041" w:type="dxa"/>
          </w:tcPr>
          <w:p w:rsidR="00EA2310" w:rsidRDefault="00EA2310" w:rsidP="00EA2310">
            <w:pPr>
              <w:numPr>
                <w:ilvl w:val="0"/>
                <w:numId w:val="24"/>
              </w:numPr>
              <w:cnfStyle w:val="000000000000" w:firstRow="0" w:lastRow="0" w:firstColumn="0" w:lastColumn="0" w:oddVBand="0" w:evenVBand="0" w:oddHBand="0" w:evenHBand="0" w:firstRowFirstColumn="0" w:firstRowLastColumn="0" w:lastRowFirstColumn="0" w:lastRowLastColumn="0"/>
            </w:pPr>
            <w:r>
              <w:t>capital asset pricing model</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CCP</w:t>
            </w:r>
          </w:p>
        </w:tc>
        <w:tc>
          <w:tcPr>
            <w:tcW w:w="5041" w:type="dxa"/>
          </w:tcPr>
          <w:p w:rsidR="00EA2310" w:rsidRDefault="00EA2310" w:rsidP="00EA2310">
            <w:pPr>
              <w:numPr>
                <w:ilvl w:val="0"/>
                <w:numId w:val="24"/>
              </w:numPr>
              <w:cnfStyle w:val="000000010000" w:firstRow="0" w:lastRow="0" w:firstColumn="0" w:lastColumn="0" w:oddVBand="0" w:evenVBand="0" w:oddHBand="0" w:evenHBand="1" w:firstRowFirstColumn="0" w:firstRowLastColumn="0" w:lastRowFirstColumn="0" w:lastRowLastColumn="0"/>
            </w:pPr>
            <w:r>
              <w:t>Consumer Challenge Panel</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CESS</w:t>
            </w:r>
          </w:p>
        </w:tc>
        <w:tc>
          <w:tcPr>
            <w:tcW w:w="5041" w:type="dxa"/>
          </w:tcPr>
          <w:p w:rsidR="00EA2310" w:rsidRDefault="00EA2310" w:rsidP="00EA2310">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CMF</w:t>
            </w:r>
          </w:p>
        </w:tc>
        <w:tc>
          <w:tcPr>
            <w:tcW w:w="5041" w:type="dxa"/>
          </w:tcPr>
          <w:p w:rsidR="00EA2310" w:rsidRPr="00EA2310" w:rsidRDefault="00EA2310" w:rsidP="00EA2310">
            <w:pPr>
              <w:cnfStyle w:val="000000010000" w:firstRow="0" w:lastRow="0" w:firstColumn="0" w:lastColumn="0" w:oddVBand="0" w:evenVBand="0" w:oddHBand="0" w:evenHBand="1" w:firstRowFirstColumn="0" w:firstRowLastColumn="0" w:lastRowFirstColumn="0" w:lastRowLastColumn="0"/>
            </w:pPr>
            <w:r>
              <w:t>construction management fee</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CPI</w:t>
            </w:r>
          </w:p>
        </w:tc>
        <w:tc>
          <w:tcPr>
            <w:tcW w:w="5041" w:type="dxa"/>
          </w:tcPr>
          <w:p w:rsidR="00EA2310" w:rsidRDefault="00EA2310" w:rsidP="00EA2310">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DAMS</w:t>
            </w:r>
          </w:p>
        </w:tc>
        <w:tc>
          <w:tcPr>
            <w:tcW w:w="5041" w:type="dxa"/>
          </w:tcPr>
          <w:p w:rsidR="00EA2310" w:rsidRPr="00EA2310" w:rsidRDefault="00EA2310" w:rsidP="00EA2310">
            <w:pPr>
              <w:cnfStyle w:val="000000010000" w:firstRow="0" w:lastRow="0" w:firstColumn="0" w:lastColumn="0" w:oddVBand="0" w:evenVBand="0" w:oddHBand="0" w:evenHBand="1" w:firstRowFirstColumn="0" w:firstRowLastColumn="0" w:lastRowFirstColumn="0" w:lastRowLastColumn="0"/>
            </w:pPr>
            <w:r>
              <w:t>Distribution Asset Management Services</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DRP</w:t>
            </w:r>
          </w:p>
        </w:tc>
        <w:tc>
          <w:tcPr>
            <w:tcW w:w="5041" w:type="dxa"/>
          </w:tcPr>
          <w:p w:rsidR="00EA2310" w:rsidRDefault="00EA2310" w:rsidP="00EA2310">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EBSS</w:t>
            </w:r>
          </w:p>
        </w:tc>
        <w:tc>
          <w:tcPr>
            <w:tcW w:w="5041" w:type="dxa"/>
          </w:tcPr>
          <w:p w:rsidR="00EA2310" w:rsidRPr="00EA2310" w:rsidRDefault="00EA2310" w:rsidP="00EA2310">
            <w:p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EIL</w:t>
            </w:r>
          </w:p>
        </w:tc>
        <w:tc>
          <w:tcPr>
            <w:tcW w:w="5041" w:type="dxa"/>
          </w:tcPr>
          <w:p w:rsidR="00EA2310" w:rsidRPr="00EA2310" w:rsidRDefault="00EA2310" w:rsidP="00EA2310">
            <w:pPr>
              <w:cnfStyle w:val="000000000000" w:firstRow="0" w:lastRow="0" w:firstColumn="0" w:lastColumn="0" w:oddVBand="0" w:evenVBand="0" w:oddHBand="0" w:evenHBand="0" w:firstRowFirstColumn="0" w:firstRowLastColumn="0" w:lastRowFirstColumn="0" w:lastRowLastColumn="0"/>
            </w:pPr>
            <w:r>
              <w:t xml:space="preserve">Energy Industry </w:t>
            </w:r>
            <w:r w:rsidRPr="00EA2310">
              <w:t>Levy</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ERP</w:t>
            </w:r>
          </w:p>
        </w:tc>
        <w:tc>
          <w:tcPr>
            <w:tcW w:w="5041" w:type="dxa"/>
          </w:tcPr>
          <w:p w:rsidR="00EA2310" w:rsidRDefault="00EA2310" w:rsidP="00EA2310">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Expenditure Guideline</w:t>
            </w:r>
          </w:p>
        </w:tc>
        <w:tc>
          <w:tcPr>
            <w:tcW w:w="5041" w:type="dxa"/>
          </w:tcPr>
          <w:p w:rsidR="00EA2310" w:rsidRPr="00EA2310" w:rsidRDefault="00EA2310" w:rsidP="00EA2310">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gamma</w:t>
            </w:r>
          </w:p>
        </w:tc>
        <w:tc>
          <w:tcPr>
            <w:tcW w:w="5041" w:type="dxa"/>
          </w:tcPr>
          <w:p w:rsidR="00EA2310" w:rsidRPr="00EA2310" w:rsidRDefault="00EA2310" w:rsidP="00EA2310">
            <w:pPr>
              <w:cnfStyle w:val="000000010000" w:firstRow="0" w:lastRow="0" w:firstColumn="0" w:lastColumn="0" w:oddVBand="0" w:evenVBand="0" w:oddHBand="0" w:evenHBand="1" w:firstRowFirstColumn="0" w:firstRowLastColumn="0" w:lastRowFirstColumn="0" w:lastRowLastColumn="0"/>
            </w:pPr>
            <w:r>
              <w:t>Value of Imputation Credits</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GSL</w:t>
            </w:r>
          </w:p>
        </w:tc>
        <w:tc>
          <w:tcPr>
            <w:tcW w:w="5041" w:type="dxa"/>
          </w:tcPr>
          <w:p w:rsidR="00EA2310" w:rsidRPr="00EA2310" w:rsidRDefault="00EA2310" w:rsidP="00EA2310">
            <w:pPr>
              <w:cnfStyle w:val="000000000000" w:firstRow="0" w:lastRow="0" w:firstColumn="0" w:lastColumn="0" w:oddVBand="0" w:evenVBand="0" w:oddHBand="0" w:evenHBand="0" w:firstRowFirstColumn="0" w:firstRowLastColumn="0" w:lastRowFirstColumn="0" w:lastRowLastColumn="0"/>
            </w:pPr>
            <w:r>
              <w:t>Guaranteed Service Level</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GTA</w:t>
            </w:r>
          </w:p>
        </w:tc>
        <w:tc>
          <w:tcPr>
            <w:tcW w:w="5041" w:type="dxa"/>
          </w:tcPr>
          <w:p w:rsidR="00EA2310" w:rsidRPr="00EA2310" w:rsidRDefault="00EA2310" w:rsidP="00EA2310">
            <w:pPr>
              <w:cnfStyle w:val="000000010000" w:firstRow="0" w:lastRow="0" w:firstColumn="0" w:lastColumn="0" w:oddVBand="0" w:evenVBand="0" w:oddHBand="0" w:evenHBand="1" w:firstRowFirstColumn="0" w:firstRowLastColumn="0" w:lastRowFirstColumn="0" w:lastRowLastColumn="0"/>
            </w:pPr>
            <w:r>
              <w:t>gas transport services agreement</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ICRC</w:t>
            </w:r>
          </w:p>
        </w:tc>
        <w:tc>
          <w:tcPr>
            <w:tcW w:w="5041" w:type="dxa"/>
          </w:tcPr>
          <w:p w:rsidR="00EA2310" w:rsidRPr="00EA2310" w:rsidRDefault="00EA2310" w:rsidP="00EA2310">
            <w:pPr>
              <w:cnfStyle w:val="000000000000" w:firstRow="0" w:lastRow="0" w:firstColumn="0" w:lastColumn="0" w:oddVBand="0" w:evenVBand="0" w:oddHBand="0" w:evenHBand="0" w:firstRowFirstColumn="0" w:firstRowLastColumn="0" w:lastRowFirstColumn="0" w:lastRowLastColumn="0"/>
            </w:pPr>
            <w:r>
              <w:t>Independent Competition and Regulatory Commission</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MRP</w:t>
            </w:r>
          </w:p>
        </w:tc>
        <w:tc>
          <w:tcPr>
            <w:tcW w:w="5041" w:type="dxa"/>
          </w:tcPr>
          <w:p w:rsidR="00EA2310" w:rsidRDefault="00EA2310" w:rsidP="00EA2310">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NECF</w:t>
            </w:r>
          </w:p>
        </w:tc>
        <w:tc>
          <w:tcPr>
            <w:tcW w:w="5041" w:type="dxa"/>
          </w:tcPr>
          <w:p w:rsidR="00EA2310" w:rsidRPr="00EA2310" w:rsidRDefault="00EA2310" w:rsidP="00EA2310">
            <w:pPr>
              <w:cnfStyle w:val="000000000000" w:firstRow="0" w:lastRow="0" w:firstColumn="0" w:lastColumn="0" w:oddVBand="0" w:evenVBand="0" w:oddHBand="0" w:evenHBand="0" w:firstRowFirstColumn="0" w:firstRowLastColumn="0" w:lastRowFirstColumn="0" w:lastRowLastColumn="0"/>
            </w:pPr>
            <w:r>
              <w:t>National Energy Customer Framework</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NERL</w:t>
            </w:r>
          </w:p>
        </w:tc>
        <w:tc>
          <w:tcPr>
            <w:tcW w:w="5041" w:type="dxa"/>
          </w:tcPr>
          <w:p w:rsidR="00EA2310" w:rsidRPr="00EA2310" w:rsidRDefault="00EA2310" w:rsidP="00EA2310">
            <w:pPr>
              <w:cnfStyle w:val="000000010000" w:firstRow="0" w:lastRow="0" w:firstColumn="0" w:lastColumn="0" w:oddVBand="0" w:evenVBand="0" w:oddHBand="0" w:evenHBand="1" w:firstRowFirstColumn="0" w:firstRowLastColumn="0" w:lastRowFirstColumn="0" w:lastRowLastColumn="0"/>
            </w:pPr>
            <w:r>
              <w:t>National Energy Retail Law</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NERR</w:t>
            </w:r>
          </w:p>
        </w:tc>
        <w:tc>
          <w:tcPr>
            <w:tcW w:w="5041" w:type="dxa"/>
          </w:tcPr>
          <w:p w:rsidR="00EA2310" w:rsidRDefault="00EA2310" w:rsidP="00EA2310">
            <w:pPr>
              <w:numPr>
                <w:ilvl w:val="0"/>
                <w:numId w:val="24"/>
              </w:numPr>
              <w:cnfStyle w:val="000000000000" w:firstRow="0" w:lastRow="0" w:firstColumn="0" w:lastColumn="0" w:oddVBand="0" w:evenVBand="0" w:oddHBand="0" w:evenHBand="0" w:firstRowFirstColumn="0" w:firstRowLastColumn="0" w:lastRowFirstColumn="0" w:lastRowLastColumn="0"/>
            </w:pPr>
            <w:r>
              <w:t>National Energy Retail Rules</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NGL</w:t>
            </w:r>
          </w:p>
        </w:tc>
        <w:tc>
          <w:tcPr>
            <w:tcW w:w="5041" w:type="dxa"/>
          </w:tcPr>
          <w:p w:rsidR="00EA2310" w:rsidRDefault="00EA2310" w:rsidP="00EA2310">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NGO</w:t>
            </w:r>
          </w:p>
        </w:tc>
        <w:tc>
          <w:tcPr>
            <w:tcW w:w="5041" w:type="dxa"/>
          </w:tcPr>
          <w:p w:rsidR="00EA2310" w:rsidRDefault="00EA2310" w:rsidP="00EA2310">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NGR</w:t>
            </w:r>
          </w:p>
        </w:tc>
        <w:tc>
          <w:tcPr>
            <w:tcW w:w="5041" w:type="dxa"/>
          </w:tcPr>
          <w:p w:rsidR="00EA2310" w:rsidRDefault="00EA2310" w:rsidP="00EA2310">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NPV</w:t>
            </w:r>
          </w:p>
        </w:tc>
        <w:tc>
          <w:tcPr>
            <w:tcW w:w="5041" w:type="dxa"/>
          </w:tcPr>
          <w:p w:rsidR="00EA2310" w:rsidRPr="00EA2310" w:rsidRDefault="00EA2310" w:rsidP="00EA2310">
            <w:pPr>
              <w:cnfStyle w:val="000000000000" w:firstRow="0" w:lastRow="0" w:firstColumn="0" w:lastColumn="0" w:oddVBand="0" w:evenVBand="0" w:oddHBand="0" w:evenHBand="0" w:firstRowFirstColumn="0" w:firstRowLastColumn="0" w:lastRowFirstColumn="0" w:lastRowLastColumn="0"/>
            </w:pPr>
            <w:r>
              <w:t>net present value</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opex</w:t>
            </w:r>
          </w:p>
        </w:tc>
        <w:tc>
          <w:tcPr>
            <w:tcW w:w="5041" w:type="dxa"/>
          </w:tcPr>
          <w:p w:rsidR="00EA2310" w:rsidRDefault="00EA2310" w:rsidP="00EA2310">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lastRenderedPageBreak/>
              <w:t>PFP</w:t>
            </w:r>
          </w:p>
        </w:tc>
        <w:tc>
          <w:tcPr>
            <w:tcW w:w="5041" w:type="dxa"/>
          </w:tcPr>
          <w:p w:rsidR="00EA2310" w:rsidRPr="00EA2310" w:rsidRDefault="00EA2310" w:rsidP="00EA2310">
            <w:pPr>
              <w:cnfStyle w:val="000000000000" w:firstRow="0" w:lastRow="0" w:firstColumn="0" w:lastColumn="0" w:oddVBand="0" w:evenVBand="0" w:oddHBand="0" w:evenHBand="0" w:firstRowFirstColumn="0" w:firstRowLastColumn="0" w:lastRowFirstColumn="0" w:lastRowLastColumn="0"/>
            </w:pPr>
            <w:r>
              <w:t>partial factor productivity</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PPI</w:t>
            </w:r>
          </w:p>
        </w:tc>
        <w:tc>
          <w:tcPr>
            <w:tcW w:w="5041" w:type="dxa"/>
          </w:tcPr>
          <w:p w:rsidR="00EA2310" w:rsidRDefault="00EA2310" w:rsidP="00EA2310">
            <w:pPr>
              <w:numPr>
                <w:ilvl w:val="0"/>
                <w:numId w:val="2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PTRM</w:t>
            </w:r>
          </w:p>
        </w:tc>
        <w:tc>
          <w:tcPr>
            <w:tcW w:w="5041" w:type="dxa"/>
          </w:tcPr>
          <w:p w:rsidR="00EA2310" w:rsidRDefault="00EA2310" w:rsidP="00EA2310">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RBA</w:t>
            </w:r>
          </w:p>
        </w:tc>
        <w:tc>
          <w:tcPr>
            <w:tcW w:w="5041" w:type="dxa"/>
          </w:tcPr>
          <w:p w:rsidR="00EA2310" w:rsidRDefault="00EA2310" w:rsidP="00EA2310">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RFM</w:t>
            </w:r>
          </w:p>
        </w:tc>
        <w:tc>
          <w:tcPr>
            <w:tcW w:w="5041" w:type="dxa"/>
          </w:tcPr>
          <w:p w:rsidR="00EA2310" w:rsidRDefault="00EA2310" w:rsidP="00EA2310">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RIN</w:t>
            </w:r>
          </w:p>
        </w:tc>
        <w:tc>
          <w:tcPr>
            <w:tcW w:w="5041" w:type="dxa"/>
          </w:tcPr>
          <w:p w:rsidR="00EA2310" w:rsidRDefault="00EA2310" w:rsidP="00EA2310">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RoLR</w:t>
            </w:r>
          </w:p>
        </w:tc>
        <w:tc>
          <w:tcPr>
            <w:tcW w:w="5041" w:type="dxa"/>
          </w:tcPr>
          <w:p w:rsidR="00EA2310" w:rsidRPr="00EA2310" w:rsidRDefault="00EA2310" w:rsidP="00EA2310">
            <w:pPr>
              <w:cnfStyle w:val="000000000000" w:firstRow="0" w:lastRow="0" w:firstColumn="0" w:lastColumn="0" w:oddVBand="0" w:evenVBand="0" w:oddHBand="0" w:evenHBand="0" w:firstRowFirstColumn="0" w:firstRowLastColumn="0" w:lastRowFirstColumn="0" w:lastRowLastColumn="0"/>
            </w:pPr>
            <w:r>
              <w:t>retailer of last resort</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RSA</w:t>
            </w:r>
          </w:p>
        </w:tc>
        <w:tc>
          <w:tcPr>
            <w:tcW w:w="5041" w:type="dxa"/>
          </w:tcPr>
          <w:p w:rsidR="00EA2310" w:rsidRPr="00EA2310" w:rsidRDefault="00EA2310" w:rsidP="00EA2310">
            <w:pPr>
              <w:cnfStyle w:val="000000010000" w:firstRow="0" w:lastRow="0" w:firstColumn="0" w:lastColumn="0" w:oddVBand="0" w:evenVBand="0" w:oddHBand="0" w:evenHBand="1" w:firstRowFirstColumn="0" w:firstRowLastColumn="0" w:lastRowFirstColumn="0" w:lastRowLastColumn="0"/>
            </w:pPr>
            <w:r>
              <w:t xml:space="preserve">Reference Service </w:t>
            </w:r>
            <w:r w:rsidRPr="00EA2310">
              <w:t>Agreement</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RPP</w:t>
            </w:r>
          </w:p>
        </w:tc>
        <w:tc>
          <w:tcPr>
            <w:tcW w:w="5041" w:type="dxa"/>
          </w:tcPr>
          <w:p w:rsidR="00EA2310" w:rsidRDefault="00EA2310" w:rsidP="00EA2310">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SLCAPM</w:t>
            </w:r>
          </w:p>
        </w:tc>
        <w:tc>
          <w:tcPr>
            <w:tcW w:w="5041" w:type="dxa"/>
          </w:tcPr>
          <w:p w:rsidR="00EA2310" w:rsidRDefault="00EA2310" w:rsidP="00EA2310">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STTM</w:t>
            </w:r>
          </w:p>
        </w:tc>
        <w:tc>
          <w:tcPr>
            <w:tcW w:w="5041" w:type="dxa"/>
          </w:tcPr>
          <w:p w:rsidR="00EA2310" w:rsidRPr="00EA2310" w:rsidRDefault="00EA2310" w:rsidP="00EA2310">
            <w:pPr>
              <w:cnfStyle w:val="000000000000" w:firstRow="0" w:lastRow="0" w:firstColumn="0" w:lastColumn="0" w:oddVBand="0" w:evenVBand="0" w:oddHBand="0" w:evenHBand="0" w:firstRowFirstColumn="0" w:firstRowLastColumn="0" w:lastRowFirstColumn="0" w:lastRowLastColumn="0"/>
            </w:pPr>
            <w:r>
              <w:t>Short Term Trading Market</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TAB</w:t>
            </w:r>
          </w:p>
        </w:tc>
        <w:tc>
          <w:tcPr>
            <w:tcW w:w="5041" w:type="dxa"/>
          </w:tcPr>
          <w:p w:rsidR="00EA2310" w:rsidRPr="00EA2310" w:rsidRDefault="00EA2310" w:rsidP="00EA2310">
            <w:pPr>
              <w:cnfStyle w:val="000000010000" w:firstRow="0" w:lastRow="0" w:firstColumn="0" w:lastColumn="0" w:oddVBand="0" w:evenVBand="0" w:oddHBand="0" w:evenHBand="1" w:firstRowFirstColumn="0" w:firstRowLastColumn="0" w:lastRowFirstColumn="0" w:lastRowLastColumn="0"/>
            </w:pPr>
            <w:r>
              <w:t>Tax asset base</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UAFG</w:t>
            </w:r>
          </w:p>
        </w:tc>
        <w:tc>
          <w:tcPr>
            <w:tcW w:w="5041" w:type="dxa"/>
          </w:tcPr>
          <w:p w:rsidR="00EA2310" w:rsidRPr="00EA2310" w:rsidRDefault="00EA2310" w:rsidP="00EA2310">
            <w:pPr>
              <w:cnfStyle w:val="000000000000" w:firstRow="0" w:lastRow="0" w:firstColumn="0" w:lastColumn="0" w:oddVBand="0" w:evenVBand="0" w:oddHBand="0" w:evenHBand="0" w:firstRowFirstColumn="0" w:firstRowLastColumn="0" w:lastRowFirstColumn="0" w:lastRowLastColumn="0"/>
            </w:pPr>
            <w:r>
              <w:t>Unaccounted for gas</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UNFT</w:t>
            </w:r>
          </w:p>
        </w:tc>
        <w:tc>
          <w:tcPr>
            <w:tcW w:w="5041" w:type="dxa"/>
          </w:tcPr>
          <w:p w:rsidR="00EA2310" w:rsidRPr="00EA2310" w:rsidRDefault="00EA2310" w:rsidP="00EA2310">
            <w:pPr>
              <w:cnfStyle w:val="000000010000" w:firstRow="0" w:lastRow="0" w:firstColumn="0" w:lastColumn="0" w:oddVBand="0" w:evenVBand="0" w:oddHBand="0" w:evenHBand="1" w:firstRowFirstColumn="0" w:firstRowLastColumn="0" w:lastRowFirstColumn="0" w:lastRowLastColumn="0"/>
            </w:pPr>
            <w:r>
              <w:t xml:space="preserve">Utilities Network </w:t>
            </w:r>
            <w:r w:rsidRPr="00EA2310">
              <w:t>Facilities Tax</w:t>
            </w:r>
          </w:p>
        </w:tc>
      </w:tr>
      <w:tr w:rsidR="00EA2310" w:rsidTr="000C0557">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WACC</w:t>
            </w:r>
          </w:p>
        </w:tc>
        <w:tc>
          <w:tcPr>
            <w:tcW w:w="5041" w:type="dxa"/>
          </w:tcPr>
          <w:p w:rsidR="00EA2310" w:rsidRDefault="00EA2310" w:rsidP="00EA2310">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EA2310"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A2310" w:rsidRDefault="00EA2310" w:rsidP="00EA2310">
            <w:pPr>
              <w:numPr>
                <w:ilvl w:val="0"/>
                <w:numId w:val="24"/>
              </w:numPr>
            </w:pPr>
            <w:r>
              <w:t>WPI</w:t>
            </w:r>
          </w:p>
        </w:tc>
        <w:tc>
          <w:tcPr>
            <w:tcW w:w="5041" w:type="dxa"/>
          </w:tcPr>
          <w:p w:rsidR="00EA2310" w:rsidRPr="00EA2310" w:rsidRDefault="00EA2310" w:rsidP="00EA2310">
            <w:pPr>
              <w:cnfStyle w:val="000000010000" w:firstRow="0" w:lastRow="0" w:firstColumn="0" w:lastColumn="0" w:oddVBand="0" w:evenVBand="0" w:oddHBand="0" w:evenHBand="1" w:firstRowFirstColumn="0" w:firstRowLastColumn="0" w:lastRowFirstColumn="0" w:lastRowLastColumn="0"/>
            </w:pPr>
            <w:r>
              <w:t>Wage Price Index</w:t>
            </w:r>
          </w:p>
        </w:tc>
      </w:tr>
    </w:tbl>
    <w:p w:rsidR="00EA2310" w:rsidRPr="00EA2310" w:rsidRDefault="00EA2310" w:rsidP="00EA2310"/>
    <w:p w:rsidR="00DE563D" w:rsidRDefault="005D0555" w:rsidP="005D0555">
      <w:pPr>
        <w:pStyle w:val="Heading1"/>
      </w:pPr>
      <w:bookmarkStart w:id="10" w:name="_Toc436040723"/>
      <w:r>
        <w:lastRenderedPageBreak/>
        <w:t>Capital base</w:t>
      </w:r>
      <w:bookmarkEnd w:id="10"/>
    </w:p>
    <w:p w:rsidR="0055229A" w:rsidRPr="004F0EB4" w:rsidRDefault="0055229A" w:rsidP="0055229A">
      <w:pPr>
        <w:rPr>
          <w:rStyle w:val="AERbody"/>
        </w:rPr>
      </w:pPr>
      <w:r w:rsidRPr="004F0EB4">
        <w:rPr>
          <w:rStyle w:val="AERbody"/>
        </w:rPr>
        <w:t xml:space="preserve">The capital base roll forward accounts for the value of </w:t>
      </w:r>
      <w:r w:rsidR="004D208D">
        <w:rPr>
          <w:rStyle w:val="AERbody"/>
        </w:rPr>
        <w:t>ActewAGL</w:t>
      </w:r>
      <w:r w:rsidR="004104D2">
        <w:rPr>
          <w:rStyle w:val="AERbody"/>
        </w:rPr>
        <w:t>’</w:t>
      </w:r>
      <w:r w:rsidRPr="004F0EB4">
        <w:rPr>
          <w:rStyle w:val="AERbody"/>
        </w:rPr>
        <w:t>s regulated assets over the access arrangement period. The opening capital base value for a regulatory year within the access arrangement period is rolled forward by indexing it for inflation, adding any conforming capex, and subtracting depreciation and other possible factors (for example, disposals or customer contributions).</w:t>
      </w:r>
      <w:r w:rsidRPr="00E00A1C">
        <w:rPr>
          <w:rStyle w:val="AERbody"/>
          <w:vertAlign w:val="superscript"/>
        </w:rPr>
        <w:footnoteReference w:id="1"/>
      </w:r>
      <w:r w:rsidRPr="004F0EB4">
        <w:rPr>
          <w:rStyle w:val="AERbody"/>
        </w:rPr>
        <w:t xml:space="preserve"> Following this process, the AER arrives at a closing value of the capital base at the end of the relevant year. The opening value of the capital base is used to determine the return of capital (regulatory depreciation) and return on capital building block allowances. </w:t>
      </w:r>
    </w:p>
    <w:p w:rsidR="0055229A" w:rsidRDefault="001577F0" w:rsidP="0055229A">
      <w:r>
        <w:t>As discussed in the overview, we decide</w:t>
      </w:r>
      <w:r w:rsidR="00162F51">
        <w:t>d</w:t>
      </w:r>
      <w:r>
        <w:t xml:space="preserve"> to apply a </w:t>
      </w:r>
      <w:r w:rsidR="003A08EC">
        <w:t>reconciliation (or ‘</w:t>
      </w:r>
      <w:r w:rsidR="00162F51">
        <w:t>true-up</w:t>
      </w:r>
      <w:r w:rsidR="003A08EC">
        <w:t>’)</w:t>
      </w:r>
      <w:r w:rsidR="00162F51">
        <w:t xml:space="preserve"> </w:t>
      </w:r>
      <w:r w:rsidR="003A08EC">
        <w:t>of</w:t>
      </w:r>
      <w:r w:rsidR="00162F51">
        <w:t xml:space="preserve"> ActewAGL</w:t>
      </w:r>
      <w:r>
        <w:t>’s revenue for the 2015–16 interval of delay.</w:t>
      </w:r>
      <w:r w:rsidRPr="001577F0">
        <w:t xml:space="preserve"> </w:t>
      </w:r>
      <w:r>
        <w:t xml:space="preserve">Consequently, we must </w:t>
      </w:r>
      <w:r w:rsidRPr="004F0EB4">
        <w:rPr>
          <w:rStyle w:val="AERbody"/>
        </w:rPr>
        <w:t xml:space="preserve">make a decision on </w:t>
      </w:r>
      <w:r>
        <w:rPr>
          <w:rStyle w:val="AERbody"/>
        </w:rPr>
        <w:t>ActewAGL’</w:t>
      </w:r>
      <w:r w:rsidRPr="004F0EB4">
        <w:rPr>
          <w:rStyle w:val="AERbody"/>
        </w:rPr>
        <w:t>s</w:t>
      </w:r>
      <w:r>
        <w:t xml:space="preserve"> opening capital base </w:t>
      </w:r>
      <w:r w:rsidR="00E96ED8">
        <w:t xml:space="preserve">as </w:t>
      </w:r>
      <w:r w:rsidR="00E26EE7">
        <w:t>at</w:t>
      </w:r>
      <w:r w:rsidR="00E96ED8">
        <w:t xml:space="preserve"> 1 July 2015</w:t>
      </w:r>
      <w:r>
        <w:t xml:space="preserve">. </w:t>
      </w:r>
      <w:r w:rsidR="001C577D">
        <w:t>W</w:t>
      </w:r>
      <w:r w:rsidR="0055229A" w:rsidRPr="004F0EB4">
        <w:rPr>
          <w:rStyle w:val="AERbody"/>
        </w:rPr>
        <w:t xml:space="preserve">e </w:t>
      </w:r>
      <w:r w:rsidR="00116DD5">
        <w:rPr>
          <w:rStyle w:val="AERbody"/>
        </w:rPr>
        <w:t xml:space="preserve">must </w:t>
      </w:r>
      <w:r w:rsidR="001C577D">
        <w:rPr>
          <w:rStyle w:val="AERbody"/>
        </w:rPr>
        <w:t>also</w:t>
      </w:r>
      <w:r w:rsidR="008D13C9">
        <w:rPr>
          <w:rStyle w:val="AERbody"/>
        </w:rPr>
        <w:t xml:space="preserve"> </w:t>
      </w:r>
      <w:r w:rsidR="00016774">
        <w:rPr>
          <w:rStyle w:val="AERbody"/>
        </w:rPr>
        <w:t>make a decision</w:t>
      </w:r>
      <w:r w:rsidR="0055229A" w:rsidRPr="004F0EB4">
        <w:rPr>
          <w:rStyle w:val="AERbody"/>
        </w:rPr>
        <w:t xml:space="preserve"> </w:t>
      </w:r>
      <w:r w:rsidR="0059210C">
        <w:rPr>
          <w:rStyle w:val="AERbody"/>
        </w:rPr>
        <w:t xml:space="preserve">on </w:t>
      </w:r>
      <w:r w:rsidR="00B30417">
        <w:rPr>
          <w:rStyle w:val="AERbody"/>
        </w:rPr>
        <w:t>ActewAGL’</w:t>
      </w:r>
      <w:r w:rsidR="0055229A" w:rsidRPr="004F0EB4">
        <w:rPr>
          <w:rStyle w:val="AERbody"/>
        </w:rPr>
        <w:t xml:space="preserve">s projected capital base </w:t>
      </w:r>
      <w:r w:rsidR="000C216D">
        <w:rPr>
          <w:rStyle w:val="AERbody"/>
        </w:rPr>
        <w:t>during</w:t>
      </w:r>
      <w:r w:rsidR="000C216D" w:rsidRPr="004F0EB4">
        <w:rPr>
          <w:rStyle w:val="AERbody"/>
        </w:rPr>
        <w:t xml:space="preserve"> </w:t>
      </w:r>
      <w:r>
        <w:rPr>
          <w:rStyle w:val="AERbody"/>
        </w:rPr>
        <w:t xml:space="preserve">2015–16 and </w:t>
      </w:r>
      <w:r w:rsidR="0055229A" w:rsidRPr="004F0EB4">
        <w:rPr>
          <w:rStyle w:val="AERbody"/>
        </w:rPr>
        <w:t>the 2016–21 access arrangement period. This attachment presents our draft decision on these matters.</w:t>
      </w:r>
    </w:p>
    <w:p w:rsidR="009A5113" w:rsidRDefault="00C8677B" w:rsidP="009A5113">
      <w:pPr>
        <w:pStyle w:val="Heading2"/>
      </w:pPr>
      <w:bookmarkStart w:id="11" w:name="_Toc408404320"/>
      <w:bookmarkStart w:id="12" w:name="_Toc436040724"/>
      <w:r>
        <w:t>Draft</w:t>
      </w:r>
      <w:r w:rsidR="009A5113" w:rsidRPr="0074565D">
        <w:t xml:space="preserve"> decision</w:t>
      </w:r>
      <w:bookmarkEnd w:id="11"/>
      <w:bookmarkEnd w:id="12"/>
    </w:p>
    <w:p w:rsidR="0055229A" w:rsidRDefault="0055229A" w:rsidP="0055229A">
      <w:pPr>
        <w:rPr>
          <w:rFonts w:eastAsia="Calibri"/>
        </w:rPr>
      </w:pPr>
      <w:r>
        <w:rPr>
          <w:rFonts w:eastAsia="Calibri"/>
        </w:rPr>
        <w:t xml:space="preserve">We do not approve </w:t>
      </w:r>
      <w:r w:rsidR="00E529C7">
        <w:rPr>
          <w:rFonts w:eastAsia="Calibri"/>
        </w:rPr>
        <w:t>ActewAGL’</w:t>
      </w:r>
      <w:r>
        <w:rPr>
          <w:rFonts w:eastAsia="Calibri"/>
        </w:rPr>
        <w:t>s proposed opening capital base of $</w:t>
      </w:r>
      <w:r w:rsidR="0059210C">
        <w:rPr>
          <w:rFonts w:eastAsia="Calibri"/>
        </w:rPr>
        <w:t>339.0</w:t>
      </w:r>
      <w:r>
        <w:rPr>
          <w:rFonts w:eastAsia="Calibri"/>
        </w:rPr>
        <w:t xml:space="preserve"> million ($nominal) as at 1 July 201</w:t>
      </w:r>
      <w:r w:rsidR="00E529C7">
        <w:rPr>
          <w:rFonts w:eastAsia="Calibri"/>
        </w:rPr>
        <w:t>5</w:t>
      </w:r>
      <w:r>
        <w:rPr>
          <w:rFonts w:eastAsia="Calibri"/>
        </w:rPr>
        <w:t>.</w:t>
      </w:r>
      <w:r w:rsidR="009D7F6F">
        <w:rPr>
          <w:rStyle w:val="FootnoteReference"/>
          <w:rFonts w:eastAsia="Calibri"/>
        </w:rPr>
        <w:footnoteReference w:id="2"/>
      </w:r>
      <w:r>
        <w:rPr>
          <w:rFonts w:eastAsia="Calibri"/>
        </w:rPr>
        <w:t xml:space="preserve"> </w:t>
      </w:r>
      <w:r w:rsidRPr="003F6033">
        <w:rPr>
          <w:rFonts w:eastAsia="Calibri"/>
        </w:rPr>
        <w:t>This is because we</w:t>
      </w:r>
      <w:r>
        <w:rPr>
          <w:rFonts w:eastAsia="Calibri"/>
        </w:rPr>
        <w:t xml:space="preserve"> </w:t>
      </w:r>
      <w:r w:rsidR="00B31D74">
        <w:rPr>
          <w:rFonts w:eastAsia="Calibri"/>
        </w:rPr>
        <w:t xml:space="preserve">do not accept the adjustment ActewAGL made to the opening capital base as at 1 July 2015 for the ‘IT systems’ asset class. </w:t>
      </w:r>
      <w:r w:rsidRPr="003F6033">
        <w:rPr>
          <w:rFonts w:eastAsia="Calibri"/>
        </w:rPr>
        <w:t xml:space="preserve">We determine an opening capital base of </w:t>
      </w:r>
      <w:r w:rsidRPr="003F6033">
        <w:rPr>
          <w:rStyle w:val="AERbody"/>
          <w:rFonts w:eastAsia="Calibri" w:cs="Times New Roman"/>
        </w:rPr>
        <w:t>$</w:t>
      </w:r>
      <w:r w:rsidR="00F9127F">
        <w:rPr>
          <w:rStyle w:val="AERbody"/>
          <w:rFonts w:eastAsia="Calibri" w:cs="Times New Roman"/>
        </w:rPr>
        <w:t xml:space="preserve">338.6 </w:t>
      </w:r>
      <w:r w:rsidRPr="003F6033">
        <w:rPr>
          <w:rStyle w:val="AERbody"/>
          <w:rFonts w:eastAsia="Calibri" w:cs="Times New Roman"/>
        </w:rPr>
        <w:t>million</w:t>
      </w:r>
      <w:r w:rsidRPr="003F6033">
        <w:rPr>
          <w:rFonts w:eastAsia="Calibri"/>
        </w:rPr>
        <w:t xml:space="preserve"> ($nominal) as at 1</w:t>
      </w:r>
      <w:r w:rsidR="001A41AD">
        <w:t> </w:t>
      </w:r>
      <w:r w:rsidRPr="003F6033">
        <w:rPr>
          <w:rFonts w:eastAsia="Calibri"/>
        </w:rPr>
        <w:t>July 201</w:t>
      </w:r>
      <w:r w:rsidR="00F9127F">
        <w:rPr>
          <w:rFonts w:eastAsia="Calibri"/>
        </w:rPr>
        <w:t>5</w:t>
      </w:r>
      <w:r w:rsidRPr="003F6033">
        <w:rPr>
          <w:rFonts w:eastAsia="Calibri"/>
        </w:rPr>
        <w:t>, which is $</w:t>
      </w:r>
      <w:r w:rsidR="00B31D74">
        <w:rPr>
          <w:rFonts w:eastAsia="Calibri"/>
        </w:rPr>
        <w:t xml:space="preserve">0.4 </w:t>
      </w:r>
      <w:r w:rsidRPr="003F6033">
        <w:rPr>
          <w:rFonts w:eastAsia="Calibri"/>
        </w:rPr>
        <w:t xml:space="preserve">million </w:t>
      </w:r>
      <w:r>
        <w:t xml:space="preserve">(or </w:t>
      </w:r>
      <w:r w:rsidR="00B31D74">
        <w:t>0.1</w:t>
      </w:r>
      <w:r>
        <w:t xml:space="preserve"> per cent) less</w:t>
      </w:r>
      <w:r w:rsidRPr="003F6033">
        <w:rPr>
          <w:rFonts w:eastAsia="Calibri"/>
        </w:rPr>
        <w:t xml:space="preserve"> than that proposed by </w:t>
      </w:r>
      <w:r w:rsidR="00F9127F">
        <w:rPr>
          <w:rFonts w:eastAsia="Calibri"/>
        </w:rPr>
        <w:t>ActewAGL</w:t>
      </w:r>
      <w:r w:rsidRPr="003F6033">
        <w:rPr>
          <w:rFonts w:eastAsia="Calibri"/>
        </w:rPr>
        <w:t xml:space="preserve">. </w:t>
      </w:r>
    </w:p>
    <w:p w:rsidR="0055229A" w:rsidRPr="004F0EB4" w:rsidRDefault="0055229A" w:rsidP="0055229A">
      <w:r w:rsidRPr="004F0EB4">
        <w:fldChar w:fldCharType="begin"/>
      </w:r>
      <w:r w:rsidRPr="004F0EB4">
        <w:instrText xml:space="preserve"> REF _Ref404157003 \h </w:instrText>
      </w:r>
      <w:r>
        <w:instrText xml:space="preserve"> \* MERGEFORMAT </w:instrText>
      </w:r>
      <w:r w:rsidRPr="004F0EB4">
        <w:fldChar w:fldCharType="separate"/>
      </w:r>
      <w:r w:rsidR="001A41AD">
        <w:t xml:space="preserve">Table </w:t>
      </w:r>
      <w:r w:rsidR="001A41AD">
        <w:rPr>
          <w:noProof/>
        </w:rPr>
        <w:t>2.1</w:t>
      </w:r>
      <w:r w:rsidRPr="004F0EB4">
        <w:fldChar w:fldCharType="end"/>
      </w:r>
      <w:r w:rsidRPr="004F0EB4">
        <w:t xml:space="preserve"> summarises our draft decision on the roll forward of </w:t>
      </w:r>
      <w:r w:rsidR="001A7AAF">
        <w:t>ActewAGL</w:t>
      </w:r>
      <w:r w:rsidR="005F2B0D">
        <w:t>’</w:t>
      </w:r>
      <w:r w:rsidRPr="004F0EB4">
        <w:t>s capital base during 201</w:t>
      </w:r>
      <w:r w:rsidR="00EB498D">
        <w:t>0</w:t>
      </w:r>
      <w:r w:rsidRPr="004F0EB4">
        <w:t>–1</w:t>
      </w:r>
      <w:r w:rsidR="00EB498D">
        <w:t>5</w:t>
      </w:r>
      <w:r w:rsidRPr="004F0EB4">
        <w:t xml:space="preserve"> access arrangement period. </w:t>
      </w:r>
    </w:p>
    <w:p w:rsidR="0055229A" w:rsidRDefault="0055229A" w:rsidP="00781EFC">
      <w:pPr>
        <w:pStyle w:val="Caption"/>
        <w:rPr>
          <w:rFonts w:eastAsia="Times New Roman"/>
        </w:rPr>
      </w:pPr>
      <w:bookmarkStart w:id="13" w:name="_Ref404157003"/>
      <w:bookmarkStart w:id="14" w:name="_Ref328756976"/>
      <w:r>
        <w:lastRenderedPageBreak/>
        <w:t xml:space="preserve">Table </w:t>
      </w:r>
      <w:fldSimple w:instr=" STYLEREF 1 \s ">
        <w:r w:rsidR="001A41AD">
          <w:rPr>
            <w:noProof/>
          </w:rPr>
          <w:t>2</w:t>
        </w:r>
      </w:fldSimple>
      <w:r w:rsidR="00954364">
        <w:t>.</w:t>
      </w:r>
      <w:fldSimple w:instr=" SEQ Table \* ARABIC \s 1 ">
        <w:r w:rsidR="001A41AD">
          <w:rPr>
            <w:noProof/>
          </w:rPr>
          <w:t>1</w:t>
        </w:r>
      </w:fldSimple>
      <w:bookmarkEnd w:id="13"/>
      <w:r>
        <w:tab/>
        <w:t>AER</w:t>
      </w:r>
      <w:r w:rsidR="00994812">
        <w:t>’</w:t>
      </w:r>
      <w:r>
        <w:t>s draft decision on A</w:t>
      </w:r>
      <w:r w:rsidR="001A7AAF">
        <w:t>ctewAGL</w:t>
      </w:r>
      <w:r w:rsidR="005F2B0D">
        <w:t>’</w:t>
      </w:r>
      <w:r>
        <w:t xml:space="preserve">s capital base roll forward for </w:t>
      </w:r>
      <w:r w:rsidR="00EB498D">
        <w:t>201</w:t>
      </w:r>
      <w:r w:rsidR="005F2B0D">
        <w:t>0</w:t>
      </w:r>
      <w:r w:rsidR="00EB498D">
        <w:t>–15</w:t>
      </w:r>
      <w:r>
        <w:t xml:space="preserve"> access arrangement period ($million, nominal)</w:t>
      </w:r>
    </w:p>
    <w:tbl>
      <w:tblPr>
        <w:tblStyle w:val="AERtable-numbers"/>
        <w:tblW w:w="8743" w:type="dxa"/>
        <w:tblLayout w:type="fixed"/>
        <w:tblLook w:val="04A0" w:firstRow="1" w:lastRow="0" w:firstColumn="1" w:lastColumn="0" w:noHBand="0" w:noVBand="1"/>
      </w:tblPr>
      <w:tblGrid>
        <w:gridCol w:w="3652"/>
        <w:gridCol w:w="811"/>
        <w:gridCol w:w="207"/>
        <w:gridCol w:w="863"/>
        <w:gridCol w:w="155"/>
        <w:gridCol w:w="915"/>
        <w:gridCol w:w="103"/>
        <w:gridCol w:w="967"/>
        <w:gridCol w:w="51"/>
        <w:gridCol w:w="1019"/>
      </w:tblGrid>
      <w:tr w:rsidR="00EB498D" w:rsidTr="009D4D25">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652" w:type="dxa"/>
            <w:noWrap/>
          </w:tcPr>
          <w:p w:rsidR="00EB498D" w:rsidRDefault="00EB498D" w:rsidP="001A41AD">
            <w:pPr>
              <w:pStyle w:val="AERtabletextleft"/>
              <w:keepNext/>
              <w:rPr>
                <w:lang w:eastAsia="en-US"/>
              </w:rPr>
            </w:pPr>
          </w:p>
        </w:tc>
        <w:tc>
          <w:tcPr>
            <w:tcW w:w="1018" w:type="dxa"/>
            <w:gridSpan w:val="2"/>
            <w:noWrap/>
            <w:hideMark/>
          </w:tcPr>
          <w:p w:rsidR="00EB498D" w:rsidRPr="006102D0" w:rsidRDefault="00EB498D" w:rsidP="001A41AD">
            <w:pPr>
              <w:pStyle w:val="AERtabletextleft"/>
              <w:keepNext/>
              <w:cnfStyle w:val="100000000000" w:firstRow="1" w:lastRow="0" w:firstColumn="0" w:lastColumn="0" w:oddVBand="0" w:evenVBand="0" w:oddHBand="0" w:evenHBand="0" w:firstRowFirstColumn="0" w:firstRowLastColumn="0" w:lastRowFirstColumn="0" w:lastRowLastColumn="0"/>
              <w:rPr>
                <w:bCs/>
                <w:lang w:eastAsia="en-US"/>
              </w:rPr>
            </w:pPr>
            <w:r>
              <w:rPr>
                <w:bCs/>
              </w:rPr>
              <w:t>2010</w:t>
            </w:r>
            <w:r w:rsidRPr="006102D0">
              <w:rPr>
                <w:bCs/>
              </w:rPr>
              <w:t>–1</w:t>
            </w:r>
            <w:r>
              <w:rPr>
                <w:bCs/>
              </w:rPr>
              <w:t>1</w:t>
            </w:r>
          </w:p>
        </w:tc>
        <w:tc>
          <w:tcPr>
            <w:tcW w:w="1018" w:type="dxa"/>
            <w:gridSpan w:val="2"/>
            <w:noWrap/>
            <w:hideMark/>
          </w:tcPr>
          <w:p w:rsidR="00EB498D" w:rsidRPr="006102D0" w:rsidRDefault="00EB498D" w:rsidP="001A41AD">
            <w:pPr>
              <w:pStyle w:val="AERtabletextleft"/>
              <w:keepNext/>
              <w:cnfStyle w:val="100000000000" w:firstRow="1" w:lastRow="0" w:firstColumn="0" w:lastColumn="0" w:oddVBand="0" w:evenVBand="0" w:oddHBand="0" w:evenHBand="0" w:firstRowFirstColumn="0" w:firstRowLastColumn="0" w:lastRowFirstColumn="0" w:lastRowLastColumn="0"/>
              <w:rPr>
                <w:bCs/>
                <w:lang w:eastAsia="en-US"/>
              </w:rPr>
            </w:pPr>
            <w:r w:rsidRPr="006102D0">
              <w:rPr>
                <w:bCs/>
              </w:rPr>
              <w:t>2011–12</w:t>
            </w:r>
          </w:p>
        </w:tc>
        <w:tc>
          <w:tcPr>
            <w:tcW w:w="1018" w:type="dxa"/>
            <w:gridSpan w:val="2"/>
            <w:noWrap/>
            <w:hideMark/>
          </w:tcPr>
          <w:p w:rsidR="00EB498D" w:rsidRPr="006102D0" w:rsidRDefault="00EB498D" w:rsidP="001A41AD">
            <w:pPr>
              <w:pStyle w:val="AERtabletextleft"/>
              <w:keepNext/>
              <w:cnfStyle w:val="100000000000" w:firstRow="1" w:lastRow="0" w:firstColumn="0" w:lastColumn="0" w:oddVBand="0" w:evenVBand="0" w:oddHBand="0" w:evenHBand="0" w:firstRowFirstColumn="0" w:firstRowLastColumn="0" w:lastRowFirstColumn="0" w:lastRowLastColumn="0"/>
              <w:rPr>
                <w:bCs/>
                <w:lang w:eastAsia="en-US"/>
              </w:rPr>
            </w:pPr>
            <w:r w:rsidRPr="006102D0">
              <w:rPr>
                <w:bCs/>
              </w:rPr>
              <w:t>2012–13</w:t>
            </w:r>
          </w:p>
        </w:tc>
        <w:tc>
          <w:tcPr>
            <w:tcW w:w="1018" w:type="dxa"/>
            <w:gridSpan w:val="2"/>
            <w:noWrap/>
            <w:hideMark/>
          </w:tcPr>
          <w:p w:rsidR="00EB498D" w:rsidRPr="006102D0" w:rsidRDefault="00EB498D" w:rsidP="001A41AD">
            <w:pPr>
              <w:pStyle w:val="AERtabletextleft"/>
              <w:keepNext/>
              <w:cnfStyle w:val="100000000000" w:firstRow="1" w:lastRow="0" w:firstColumn="0" w:lastColumn="0" w:oddVBand="0" w:evenVBand="0" w:oddHBand="0" w:evenHBand="0" w:firstRowFirstColumn="0" w:firstRowLastColumn="0" w:lastRowFirstColumn="0" w:lastRowLastColumn="0"/>
              <w:rPr>
                <w:bCs/>
                <w:lang w:eastAsia="en-US"/>
              </w:rPr>
            </w:pPr>
            <w:r w:rsidRPr="006102D0">
              <w:rPr>
                <w:bCs/>
              </w:rPr>
              <w:t>2013–14</w:t>
            </w:r>
          </w:p>
        </w:tc>
        <w:tc>
          <w:tcPr>
            <w:tcW w:w="1019" w:type="dxa"/>
            <w:noWrap/>
            <w:hideMark/>
          </w:tcPr>
          <w:p w:rsidR="00EB498D" w:rsidRPr="006102D0" w:rsidRDefault="00EB498D" w:rsidP="001A41AD">
            <w:pPr>
              <w:pStyle w:val="AERtabletextleft"/>
              <w:keepNext/>
              <w:cnfStyle w:val="100000000000" w:firstRow="1" w:lastRow="0" w:firstColumn="0" w:lastColumn="0" w:oddVBand="0" w:evenVBand="0" w:oddHBand="0" w:evenHBand="0" w:firstRowFirstColumn="0" w:firstRowLastColumn="0" w:lastRowFirstColumn="0" w:lastRowLastColumn="0"/>
              <w:rPr>
                <w:bCs/>
                <w:lang w:eastAsia="en-US"/>
              </w:rPr>
            </w:pPr>
            <w:r w:rsidRPr="006102D0">
              <w:rPr>
                <w:bCs/>
              </w:rPr>
              <w:t>2014–15</w:t>
            </w:r>
          </w:p>
        </w:tc>
      </w:tr>
      <w:tr w:rsidR="0055229A" w:rsidTr="009D4D25">
        <w:trPr>
          <w:trHeight w:val="393"/>
        </w:trPr>
        <w:tc>
          <w:tcPr>
            <w:cnfStyle w:val="001000000000" w:firstRow="0" w:lastRow="0" w:firstColumn="1" w:lastColumn="0" w:oddVBand="0" w:evenVBand="0" w:oddHBand="0" w:evenHBand="0" w:firstRowFirstColumn="0" w:firstRowLastColumn="0" w:lastRowFirstColumn="0" w:lastRowLastColumn="0"/>
            <w:tcW w:w="3652" w:type="dxa"/>
            <w:noWrap/>
            <w:hideMark/>
          </w:tcPr>
          <w:p w:rsidR="0055229A" w:rsidRPr="006102D0" w:rsidRDefault="0055229A" w:rsidP="001A41AD">
            <w:pPr>
              <w:pStyle w:val="AERtabletextleft"/>
              <w:keepNext/>
            </w:pPr>
            <w:r w:rsidRPr="006102D0">
              <w:t>Opening capital base</w:t>
            </w:r>
          </w:p>
        </w:tc>
        <w:tc>
          <w:tcPr>
            <w:tcW w:w="1018" w:type="dxa"/>
            <w:gridSpan w:val="2"/>
            <w:noWrap/>
          </w:tcPr>
          <w:p w:rsidR="0055229A" w:rsidRDefault="00203BE3"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Pr>
                <w:lang w:eastAsia="en-US"/>
              </w:rPr>
              <w:t>278.1</w:t>
            </w:r>
          </w:p>
        </w:tc>
        <w:tc>
          <w:tcPr>
            <w:tcW w:w="1018" w:type="dxa"/>
            <w:gridSpan w:val="2"/>
            <w:noWrap/>
          </w:tcPr>
          <w:p w:rsidR="0055229A" w:rsidRDefault="00203BE3"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Pr>
                <w:lang w:eastAsia="en-US"/>
              </w:rPr>
              <w:t>288.6</w:t>
            </w:r>
          </w:p>
        </w:tc>
        <w:tc>
          <w:tcPr>
            <w:tcW w:w="1018" w:type="dxa"/>
            <w:gridSpan w:val="2"/>
            <w:noWrap/>
          </w:tcPr>
          <w:p w:rsidR="0055229A" w:rsidRDefault="00203BE3"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Pr>
                <w:lang w:eastAsia="en-US"/>
              </w:rPr>
              <w:t>302.2</w:t>
            </w:r>
          </w:p>
        </w:tc>
        <w:tc>
          <w:tcPr>
            <w:tcW w:w="1018" w:type="dxa"/>
            <w:gridSpan w:val="2"/>
            <w:noWrap/>
          </w:tcPr>
          <w:p w:rsidR="0055229A" w:rsidRDefault="00203BE3"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Pr>
                <w:lang w:eastAsia="en-US"/>
              </w:rPr>
              <w:t>313.8</w:t>
            </w:r>
          </w:p>
        </w:tc>
        <w:tc>
          <w:tcPr>
            <w:tcW w:w="1019" w:type="dxa"/>
            <w:noWrap/>
          </w:tcPr>
          <w:p w:rsidR="0055229A" w:rsidRDefault="00203BE3"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Pr>
                <w:lang w:eastAsia="en-US"/>
              </w:rPr>
              <w:t>326.9</w:t>
            </w:r>
          </w:p>
        </w:tc>
      </w:tr>
      <w:tr w:rsidR="0055229A" w:rsidTr="009D4D25">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652" w:type="dxa"/>
            <w:noWrap/>
            <w:hideMark/>
          </w:tcPr>
          <w:p w:rsidR="0055229A" w:rsidRPr="006102D0" w:rsidRDefault="0055229A" w:rsidP="001A41AD">
            <w:pPr>
              <w:pStyle w:val="AERtabletextleft"/>
              <w:keepNext/>
            </w:pPr>
            <w:r w:rsidRPr="006102D0">
              <w:t>Net capex</w:t>
            </w:r>
          </w:p>
        </w:tc>
        <w:tc>
          <w:tcPr>
            <w:tcW w:w="1018" w:type="dxa"/>
            <w:gridSpan w:val="2"/>
            <w:noWrap/>
          </w:tcPr>
          <w:p w:rsidR="0055229A" w:rsidRDefault="00203BE3" w:rsidP="001A41AD">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Pr>
                <w:lang w:eastAsia="en-US"/>
              </w:rPr>
              <w:t>12.0</w:t>
            </w:r>
          </w:p>
        </w:tc>
        <w:tc>
          <w:tcPr>
            <w:tcW w:w="1018" w:type="dxa"/>
            <w:gridSpan w:val="2"/>
            <w:noWrap/>
          </w:tcPr>
          <w:p w:rsidR="0055229A" w:rsidRDefault="00203BE3" w:rsidP="001A41AD">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Pr>
                <w:lang w:eastAsia="en-US"/>
              </w:rPr>
              <w:t>15.0</w:t>
            </w:r>
          </w:p>
        </w:tc>
        <w:tc>
          <w:tcPr>
            <w:tcW w:w="1018" w:type="dxa"/>
            <w:gridSpan w:val="2"/>
            <w:noWrap/>
          </w:tcPr>
          <w:p w:rsidR="0055229A" w:rsidRDefault="00203BE3" w:rsidP="001A41AD">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Pr>
                <w:lang w:eastAsia="en-US"/>
              </w:rPr>
              <w:t>18.7</w:t>
            </w:r>
          </w:p>
        </w:tc>
        <w:tc>
          <w:tcPr>
            <w:tcW w:w="1018" w:type="dxa"/>
            <w:gridSpan w:val="2"/>
            <w:noWrap/>
          </w:tcPr>
          <w:p w:rsidR="0055229A" w:rsidRDefault="00203BE3" w:rsidP="001A41AD">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Pr>
                <w:lang w:eastAsia="en-US"/>
              </w:rPr>
              <w:t>18.6</w:t>
            </w:r>
          </w:p>
        </w:tc>
        <w:tc>
          <w:tcPr>
            <w:tcW w:w="1019" w:type="dxa"/>
            <w:noWrap/>
          </w:tcPr>
          <w:p w:rsidR="0055229A" w:rsidRDefault="00203BE3" w:rsidP="001A41AD">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Pr>
                <w:lang w:eastAsia="en-US"/>
              </w:rPr>
              <w:t>24.8</w:t>
            </w:r>
          </w:p>
        </w:tc>
      </w:tr>
      <w:tr w:rsidR="0055229A" w:rsidTr="009D4D25">
        <w:trPr>
          <w:trHeight w:val="391"/>
        </w:trPr>
        <w:tc>
          <w:tcPr>
            <w:cnfStyle w:val="001000000000" w:firstRow="0" w:lastRow="0" w:firstColumn="1" w:lastColumn="0" w:oddVBand="0" w:evenVBand="0" w:oddHBand="0" w:evenHBand="0" w:firstRowFirstColumn="0" w:firstRowLastColumn="0" w:lastRowFirstColumn="0" w:lastRowLastColumn="0"/>
            <w:tcW w:w="3652" w:type="dxa"/>
            <w:noWrap/>
            <w:hideMark/>
          </w:tcPr>
          <w:p w:rsidR="0055229A" w:rsidRPr="006102D0" w:rsidRDefault="0055229A" w:rsidP="001A41AD">
            <w:pPr>
              <w:pStyle w:val="AERtabletextleft"/>
              <w:keepNext/>
            </w:pPr>
            <w:r w:rsidRPr="006102D0">
              <w:t xml:space="preserve">Indexation of </w:t>
            </w:r>
            <w:r>
              <w:t>capital base</w:t>
            </w:r>
          </w:p>
        </w:tc>
        <w:tc>
          <w:tcPr>
            <w:tcW w:w="1018" w:type="dxa"/>
            <w:gridSpan w:val="2"/>
            <w:noWrap/>
          </w:tcPr>
          <w:p w:rsidR="0055229A" w:rsidRDefault="006A60A5"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Pr>
                <w:lang w:eastAsia="en-US"/>
              </w:rPr>
              <w:t>7.9</w:t>
            </w:r>
          </w:p>
        </w:tc>
        <w:tc>
          <w:tcPr>
            <w:tcW w:w="1018" w:type="dxa"/>
            <w:gridSpan w:val="2"/>
            <w:noWrap/>
          </w:tcPr>
          <w:p w:rsidR="0055229A" w:rsidRDefault="006A60A5"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Pr>
                <w:lang w:eastAsia="en-US"/>
              </w:rPr>
              <w:t>9.8</w:t>
            </w:r>
          </w:p>
        </w:tc>
        <w:tc>
          <w:tcPr>
            <w:tcW w:w="1018" w:type="dxa"/>
            <w:gridSpan w:val="2"/>
            <w:noWrap/>
          </w:tcPr>
          <w:p w:rsidR="0055229A" w:rsidRDefault="006A60A5"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Pr>
                <w:lang w:eastAsia="en-US"/>
              </w:rPr>
              <w:t>5.3</w:t>
            </w:r>
          </w:p>
        </w:tc>
        <w:tc>
          <w:tcPr>
            <w:tcW w:w="1018" w:type="dxa"/>
            <w:gridSpan w:val="2"/>
            <w:noWrap/>
          </w:tcPr>
          <w:p w:rsidR="0055229A" w:rsidRDefault="006A60A5"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Pr>
                <w:lang w:eastAsia="en-US"/>
              </w:rPr>
              <w:t>7.7</w:t>
            </w:r>
          </w:p>
        </w:tc>
        <w:tc>
          <w:tcPr>
            <w:tcW w:w="1019" w:type="dxa"/>
            <w:noWrap/>
          </w:tcPr>
          <w:p w:rsidR="0055229A" w:rsidRDefault="006A60A5"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Pr>
                <w:lang w:eastAsia="en-US"/>
              </w:rPr>
              <w:t>8.1</w:t>
            </w:r>
          </w:p>
        </w:tc>
      </w:tr>
      <w:tr w:rsidR="0055229A" w:rsidTr="009D4D25">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652" w:type="dxa"/>
            <w:noWrap/>
            <w:hideMark/>
          </w:tcPr>
          <w:p w:rsidR="0055229A" w:rsidRPr="006102D0" w:rsidRDefault="0055229A" w:rsidP="001A41AD">
            <w:pPr>
              <w:pStyle w:val="AERtabletextleft"/>
              <w:keepNext/>
            </w:pPr>
            <w:r w:rsidRPr="006102D0">
              <w:t>Depreciation</w:t>
            </w:r>
          </w:p>
        </w:tc>
        <w:tc>
          <w:tcPr>
            <w:tcW w:w="1018" w:type="dxa"/>
            <w:gridSpan w:val="2"/>
            <w:noWrap/>
          </w:tcPr>
          <w:p w:rsidR="0055229A" w:rsidRDefault="006A60A5" w:rsidP="001A41AD">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Pr>
                <w:lang w:eastAsia="en-US"/>
              </w:rPr>
              <w:t>–9.4</w:t>
            </w:r>
          </w:p>
        </w:tc>
        <w:tc>
          <w:tcPr>
            <w:tcW w:w="1018" w:type="dxa"/>
            <w:gridSpan w:val="2"/>
            <w:noWrap/>
          </w:tcPr>
          <w:p w:rsidR="0055229A" w:rsidRDefault="006A60A5" w:rsidP="001A41AD">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Pr>
                <w:lang w:eastAsia="en-US"/>
              </w:rPr>
              <w:t>–11.2</w:t>
            </w:r>
          </w:p>
        </w:tc>
        <w:tc>
          <w:tcPr>
            <w:tcW w:w="1018" w:type="dxa"/>
            <w:gridSpan w:val="2"/>
            <w:noWrap/>
          </w:tcPr>
          <w:p w:rsidR="0055229A" w:rsidRDefault="006A60A5" w:rsidP="001A41AD">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Pr>
                <w:lang w:eastAsia="en-US"/>
              </w:rPr>
              <w:t>–12.5</w:t>
            </w:r>
          </w:p>
        </w:tc>
        <w:tc>
          <w:tcPr>
            <w:tcW w:w="1018" w:type="dxa"/>
            <w:gridSpan w:val="2"/>
            <w:noWrap/>
          </w:tcPr>
          <w:p w:rsidR="0055229A" w:rsidRDefault="006A60A5" w:rsidP="001A41AD">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Pr>
                <w:lang w:eastAsia="en-US"/>
              </w:rPr>
              <w:t>–13.2</w:t>
            </w:r>
          </w:p>
        </w:tc>
        <w:tc>
          <w:tcPr>
            <w:tcW w:w="1019" w:type="dxa"/>
            <w:noWrap/>
          </w:tcPr>
          <w:p w:rsidR="0055229A" w:rsidRDefault="006A60A5" w:rsidP="001A41AD">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Pr>
                <w:lang w:eastAsia="en-US"/>
              </w:rPr>
              <w:t>–13.7</w:t>
            </w:r>
          </w:p>
        </w:tc>
      </w:tr>
      <w:tr w:rsidR="0055229A" w:rsidTr="009D4D25">
        <w:trPr>
          <w:trHeight w:val="429"/>
        </w:trPr>
        <w:tc>
          <w:tcPr>
            <w:cnfStyle w:val="001000000000" w:firstRow="0" w:lastRow="0" w:firstColumn="1" w:lastColumn="0" w:oddVBand="0" w:evenVBand="0" w:oddHBand="0" w:evenHBand="0" w:firstRowFirstColumn="0" w:firstRowLastColumn="0" w:lastRowFirstColumn="0" w:lastRowLastColumn="0"/>
            <w:tcW w:w="3652" w:type="dxa"/>
            <w:noWrap/>
            <w:hideMark/>
          </w:tcPr>
          <w:p w:rsidR="0055229A" w:rsidRPr="006102D0" w:rsidRDefault="0055229A" w:rsidP="001A41AD">
            <w:pPr>
              <w:pStyle w:val="AERtabletextleft"/>
              <w:keepNext/>
            </w:pPr>
            <w:r w:rsidRPr="006102D0">
              <w:t xml:space="preserve">Closing capital base </w:t>
            </w:r>
          </w:p>
        </w:tc>
        <w:tc>
          <w:tcPr>
            <w:tcW w:w="1018" w:type="dxa"/>
            <w:gridSpan w:val="2"/>
            <w:noWrap/>
          </w:tcPr>
          <w:p w:rsidR="0055229A" w:rsidRDefault="0031181F"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Pr>
                <w:lang w:eastAsia="en-US"/>
              </w:rPr>
              <w:t>288.6</w:t>
            </w:r>
          </w:p>
        </w:tc>
        <w:tc>
          <w:tcPr>
            <w:tcW w:w="1018" w:type="dxa"/>
            <w:gridSpan w:val="2"/>
            <w:noWrap/>
          </w:tcPr>
          <w:p w:rsidR="0055229A" w:rsidRDefault="0031181F"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Pr>
                <w:lang w:eastAsia="en-US"/>
              </w:rPr>
              <w:t>302.2</w:t>
            </w:r>
          </w:p>
        </w:tc>
        <w:tc>
          <w:tcPr>
            <w:tcW w:w="1018" w:type="dxa"/>
            <w:gridSpan w:val="2"/>
            <w:noWrap/>
          </w:tcPr>
          <w:p w:rsidR="0055229A" w:rsidRDefault="0031181F"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Pr>
                <w:lang w:eastAsia="en-US"/>
              </w:rPr>
              <w:t>313.8</w:t>
            </w:r>
          </w:p>
        </w:tc>
        <w:tc>
          <w:tcPr>
            <w:tcW w:w="1018" w:type="dxa"/>
            <w:gridSpan w:val="2"/>
            <w:noWrap/>
          </w:tcPr>
          <w:p w:rsidR="0055229A" w:rsidRDefault="0031181F"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Pr>
                <w:lang w:eastAsia="en-US"/>
              </w:rPr>
              <w:t>326.9</w:t>
            </w:r>
          </w:p>
        </w:tc>
        <w:tc>
          <w:tcPr>
            <w:tcW w:w="1019" w:type="dxa"/>
            <w:noWrap/>
          </w:tcPr>
          <w:p w:rsidR="0055229A" w:rsidRDefault="0031181F"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Pr>
                <w:lang w:eastAsia="en-US"/>
              </w:rPr>
              <w:t>346.1</w:t>
            </w:r>
          </w:p>
        </w:tc>
      </w:tr>
      <w:tr w:rsidR="0055229A" w:rsidTr="009D4D25">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3652" w:type="dxa"/>
            <w:noWrap/>
            <w:hideMark/>
          </w:tcPr>
          <w:p w:rsidR="0055229A" w:rsidRPr="006102D0" w:rsidRDefault="0055229A" w:rsidP="00A22236">
            <w:pPr>
              <w:pStyle w:val="AERtabletextleft"/>
            </w:pPr>
            <w:r w:rsidRPr="006102D0">
              <w:t>Adjustment for difference between estimated and actual capital expenditure in 20</w:t>
            </w:r>
            <w:r w:rsidR="00A22236">
              <w:t>09</w:t>
            </w:r>
            <w:r w:rsidRPr="006102D0">
              <w:t>–1</w:t>
            </w:r>
            <w:r w:rsidR="00A22236">
              <w:t>0</w:t>
            </w:r>
            <w:r w:rsidRPr="00DF119C">
              <w:rPr>
                <w:vertAlign w:val="superscript"/>
              </w:rPr>
              <w:t>a</w:t>
            </w:r>
          </w:p>
        </w:tc>
        <w:tc>
          <w:tcPr>
            <w:tcW w:w="1018" w:type="dxa"/>
            <w:gridSpan w:val="2"/>
            <w:noWrap/>
          </w:tcPr>
          <w:p w:rsidR="0055229A" w:rsidRDefault="0055229A" w:rsidP="009D4D25">
            <w:pPr>
              <w:pStyle w:val="AERtabletextleft"/>
              <w:cnfStyle w:val="000000010000" w:firstRow="0" w:lastRow="0" w:firstColumn="0" w:lastColumn="0" w:oddVBand="0" w:evenVBand="0" w:oddHBand="0" w:evenHBand="1" w:firstRowFirstColumn="0" w:firstRowLastColumn="0" w:lastRowFirstColumn="0" w:lastRowLastColumn="0"/>
              <w:rPr>
                <w:lang w:eastAsia="en-US"/>
              </w:rPr>
            </w:pPr>
          </w:p>
        </w:tc>
        <w:tc>
          <w:tcPr>
            <w:tcW w:w="1018" w:type="dxa"/>
            <w:gridSpan w:val="2"/>
            <w:noWrap/>
          </w:tcPr>
          <w:p w:rsidR="0055229A" w:rsidRDefault="0055229A" w:rsidP="009D4D25">
            <w:pPr>
              <w:pStyle w:val="AERtabletextleft"/>
              <w:cnfStyle w:val="000000010000" w:firstRow="0" w:lastRow="0" w:firstColumn="0" w:lastColumn="0" w:oddVBand="0" w:evenVBand="0" w:oddHBand="0" w:evenHBand="1" w:firstRowFirstColumn="0" w:firstRowLastColumn="0" w:lastRowFirstColumn="0" w:lastRowLastColumn="0"/>
              <w:rPr>
                <w:lang w:eastAsia="en-US"/>
              </w:rPr>
            </w:pPr>
          </w:p>
        </w:tc>
        <w:tc>
          <w:tcPr>
            <w:tcW w:w="1018" w:type="dxa"/>
            <w:gridSpan w:val="2"/>
            <w:noWrap/>
          </w:tcPr>
          <w:p w:rsidR="0055229A" w:rsidRDefault="0055229A" w:rsidP="009D4D25">
            <w:pPr>
              <w:pStyle w:val="AERtabletextleft"/>
              <w:cnfStyle w:val="000000010000" w:firstRow="0" w:lastRow="0" w:firstColumn="0" w:lastColumn="0" w:oddVBand="0" w:evenVBand="0" w:oddHBand="0" w:evenHBand="1" w:firstRowFirstColumn="0" w:firstRowLastColumn="0" w:lastRowFirstColumn="0" w:lastRowLastColumn="0"/>
              <w:rPr>
                <w:lang w:eastAsia="en-US"/>
              </w:rPr>
            </w:pPr>
          </w:p>
        </w:tc>
        <w:tc>
          <w:tcPr>
            <w:tcW w:w="1018" w:type="dxa"/>
            <w:gridSpan w:val="2"/>
            <w:noWrap/>
          </w:tcPr>
          <w:p w:rsidR="0055229A" w:rsidRDefault="0055229A" w:rsidP="009D4D25">
            <w:pPr>
              <w:pStyle w:val="AERtabletextleft"/>
              <w:cnfStyle w:val="000000010000" w:firstRow="0" w:lastRow="0" w:firstColumn="0" w:lastColumn="0" w:oddVBand="0" w:evenVBand="0" w:oddHBand="0" w:evenHBand="1" w:firstRowFirstColumn="0" w:firstRowLastColumn="0" w:lastRowFirstColumn="0" w:lastRowLastColumn="0"/>
              <w:rPr>
                <w:lang w:eastAsia="en-US"/>
              </w:rPr>
            </w:pPr>
          </w:p>
        </w:tc>
        <w:tc>
          <w:tcPr>
            <w:tcW w:w="1019" w:type="dxa"/>
            <w:noWrap/>
          </w:tcPr>
          <w:p w:rsidR="0055229A" w:rsidRDefault="0031181F" w:rsidP="009D4D25">
            <w:pPr>
              <w:pStyle w:val="AERtabletextleft"/>
              <w:cnfStyle w:val="000000010000" w:firstRow="0" w:lastRow="0" w:firstColumn="0" w:lastColumn="0" w:oddVBand="0" w:evenVBand="0" w:oddHBand="0" w:evenHBand="1" w:firstRowFirstColumn="0" w:firstRowLastColumn="0" w:lastRowFirstColumn="0" w:lastRowLastColumn="0"/>
              <w:rPr>
                <w:lang w:eastAsia="en-US"/>
              </w:rPr>
            </w:pPr>
            <w:r>
              <w:rPr>
                <w:lang w:eastAsia="en-US"/>
              </w:rPr>
              <w:t>–7.5</w:t>
            </w:r>
          </w:p>
        </w:tc>
      </w:tr>
      <w:tr w:rsidR="0055229A" w:rsidRPr="00451AB4" w:rsidTr="009D4D25">
        <w:trPr>
          <w:trHeight w:val="303"/>
        </w:trPr>
        <w:tc>
          <w:tcPr>
            <w:cnfStyle w:val="001000000000" w:firstRow="0" w:lastRow="0" w:firstColumn="1" w:lastColumn="0" w:oddVBand="0" w:evenVBand="0" w:oddHBand="0" w:evenHBand="0" w:firstRowFirstColumn="0" w:firstRowLastColumn="0" w:lastRowFirstColumn="0" w:lastRowLastColumn="0"/>
            <w:tcW w:w="3652" w:type="dxa"/>
            <w:noWrap/>
            <w:hideMark/>
          </w:tcPr>
          <w:p w:rsidR="0055229A" w:rsidRPr="00451AB4" w:rsidRDefault="0055229A" w:rsidP="009D4D25">
            <w:pPr>
              <w:pStyle w:val="AERtabletextleft"/>
              <w:rPr>
                <w:rStyle w:val="Strong"/>
                <w:bCs w:val="0"/>
              </w:rPr>
            </w:pPr>
            <w:r w:rsidRPr="00451AB4">
              <w:rPr>
                <w:rStyle w:val="Strong"/>
                <w:bCs w:val="0"/>
              </w:rPr>
              <w:t>Ope</w:t>
            </w:r>
            <w:r w:rsidR="00A22236">
              <w:rPr>
                <w:rStyle w:val="Strong"/>
                <w:bCs w:val="0"/>
              </w:rPr>
              <w:t>ning capital base at 1 July 2015</w:t>
            </w:r>
          </w:p>
        </w:tc>
        <w:tc>
          <w:tcPr>
            <w:tcW w:w="811" w:type="dxa"/>
            <w:noWrap/>
          </w:tcPr>
          <w:p w:rsidR="0055229A" w:rsidRPr="00451AB4" w:rsidRDefault="0055229A" w:rsidP="009D4D25">
            <w:pPr>
              <w:pStyle w:val="AERtabletextleft"/>
              <w:cnfStyle w:val="000000000000" w:firstRow="0" w:lastRow="0" w:firstColumn="0" w:lastColumn="0" w:oddVBand="0" w:evenVBand="0" w:oddHBand="0" w:evenHBand="0" w:firstRowFirstColumn="0" w:firstRowLastColumn="0" w:lastRowFirstColumn="0" w:lastRowLastColumn="0"/>
              <w:rPr>
                <w:rStyle w:val="Strong"/>
                <w:lang w:eastAsia="en-US"/>
              </w:rPr>
            </w:pPr>
          </w:p>
        </w:tc>
        <w:tc>
          <w:tcPr>
            <w:tcW w:w="1070" w:type="dxa"/>
            <w:gridSpan w:val="2"/>
            <w:noWrap/>
          </w:tcPr>
          <w:p w:rsidR="0055229A" w:rsidRPr="00451AB4" w:rsidRDefault="0055229A" w:rsidP="009D4D25">
            <w:pPr>
              <w:pStyle w:val="AERtabletextleft"/>
              <w:cnfStyle w:val="000000000000" w:firstRow="0" w:lastRow="0" w:firstColumn="0" w:lastColumn="0" w:oddVBand="0" w:evenVBand="0" w:oddHBand="0" w:evenHBand="0" w:firstRowFirstColumn="0" w:firstRowLastColumn="0" w:lastRowFirstColumn="0" w:lastRowLastColumn="0"/>
              <w:rPr>
                <w:rStyle w:val="Strong"/>
                <w:lang w:eastAsia="en-US"/>
              </w:rPr>
            </w:pPr>
          </w:p>
        </w:tc>
        <w:tc>
          <w:tcPr>
            <w:tcW w:w="1070" w:type="dxa"/>
            <w:gridSpan w:val="2"/>
            <w:noWrap/>
          </w:tcPr>
          <w:p w:rsidR="0055229A" w:rsidRPr="00451AB4" w:rsidRDefault="0055229A" w:rsidP="009D4D25">
            <w:pPr>
              <w:pStyle w:val="AERtabletextleft"/>
              <w:cnfStyle w:val="000000000000" w:firstRow="0" w:lastRow="0" w:firstColumn="0" w:lastColumn="0" w:oddVBand="0" w:evenVBand="0" w:oddHBand="0" w:evenHBand="0" w:firstRowFirstColumn="0" w:firstRowLastColumn="0" w:lastRowFirstColumn="0" w:lastRowLastColumn="0"/>
              <w:rPr>
                <w:rStyle w:val="Strong"/>
                <w:lang w:eastAsia="en-US"/>
              </w:rPr>
            </w:pPr>
          </w:p>
        </w:tc>
        <w:tc>
          <w:tcPr>
            <w:tcW w:w="1070" w:type="dxa"/>
            <w:gridSpan w:val="2"/>
            <w:noWrap/>
          </w:tcPr>
          <w:p w:rsidR="0055229A" w:rsidRPr="00816887" w:rsidRDefault="0055229A" w:rsidP="009D4D25">
            <w:pPr>
              <w:pStyle w:val="AERtabletextleft"/>
              <w:cnfStyle w:val="000000000000" w:firstRow="0" w:lastRow="0" w:firstColumn="0" w:lastColumn="0" w:oddVBand="0" w:evenVBand="0" w:oddHBand="0" w:evenHBand="0" w:firstRowFirstColumn="0" w:firstRowLastColumn="0" w:lastRowFirstColumn="0" w:lastRowLastColumn="0"/>
              <w:rPr>
                <w:rStyle w:val="Strong"/>
                <w:lang w:eastAsia="en-US"/>
              </w:rPr>
            </w:pPr>
          </w:p>
        </w:tc>
        <w:tc>
          <w:tcPr>
            <w:tcW w:w="1070" w:type="dxa"/>
            <w:gridSpan w:val="2"/>
            <w:noWrap/>
          </w:tcPr>
          <w:p w:rsidR="0055229A" w:rsidRPr="00B06932" w:rsidRDefault="0031181F" w:rsidP="009D4D25">
            <w:pPr>
              <w:pStyle w:val="AERtabletextleft"/>
              <w:cnfStyle w:val="000000000000" w:firstRow="0" w:lastRow="0" w:firstColumn="0" w:lastColumn="0" w:oddVBand="0" w:evenVBand="0" w:oddHBand="0" w:evenHBand="0" w:firstRowFirstColumn="0" w:firstRowLastColumn="0" w:lastRowFirstColumn="0" w:lastRowLastColumn="0"/>
              <w:rPr>
                <w:rStyle w:val="Strong"/>
                <w:lang w:eastAsia="en-US"/>
              </w:rPr>
            </w:pPr>
            <w:r>
              <w:rPr>
                <w:rStyle w:val="Strong"/>
                <w:lang w:eastAsia="en-US"/>
              </w:rPr>
              <w:t>338.6</w:t>
            </w:r>
          </w:p>
        </w:tc>
      </w:tr>
    </w:tbl>
    <w:bookmarkEnd w:id="14"/>
    <w:p w:rsidR="0055229A" w:rsidRPr="001A7AAF" w:rsidRDefault="0055229A" w:rsidP="001A7AAF">
      <w:pPr>
        <w:pStyle w:val="AERtablesource"/>
        <w:rPr>
          <w:rFonts w:eastAsia="Calibri"/>
        </w:rPr>
      </w:pPr>
      <w:r w:rsidRPr="001A7AAF">
        <w:rPr>
          <w:rFonts w:eastAsia="Calibri"/>
        </w:rPr>
        <w:t xml:space="preserve">Source: </w:t>
      </w:r>
      <w:r w:rsidRPr="001A7AAF">
        <w:rPr>
          <w:rFonts w:eastAsia="Calibri"/>
        </w:rPr>
        <w:tab/>
        <w:t>AER analysis.</w:t>
      </w:r>
    </w:p>
    <w:p w:rsidR="0055229A" w:rsidRPr="001A7AAF" w:rsidRDefault="0055229A" w:rsidP="001A7AAF">
      <w:pPr>
        <w:pStyle w:val="AERtablesource"/>
        <w:rPr>
          <w:rFonts w:eastAsia="Calibri"/>
        </w:rPr>
      </w:pPr>
      <w:r w:rsidRPr="001A7AAF">
        <w:rPr>
          <w:rFonts w:eastAsia="Calibri"/>
        </w:rPr>
        <w:t>(a)</w:t>
      </w:r>
      <w:r w:rsidRPr="001A7AAF">
        <w:rPr>
          <w:rFonts w:eastAsia="Calibri"/>
        </w:rPr>
        <w:tab/>
        <w:t xml:space="preserve">Comprising the difference </w:t>
      </w:r>
      <w:r w:rsidRPr="001A7AAF">
        <w:t>between the actual and estimated capex for 20</w:t>
      </w:r>
      <w:r w:rsidR="00800CC8" w:rsidRPr="001A7AAF">
        <w:t>09</w:t>
      </w:r>
      <w:r w:rsidRPr="001A7AAF">
        <w:t>–1</w:t>
      </w:r>
      <w:r w:rsidR="00800CC8" w:rsidRPr="001A7AAF">
        <w:t>0</w:t>
      </w:r>
      <w:r w:rsidRPr="001A7AAF">
        <w:t xml:space="preserve"> </w:t>
      </w:r>
      <w:r w:rsidRPr="001A7AAF">
        <w:rPr>
          <w:rFonts w:eastAsia="Calibri"/>
        </w:rPr>
        <w:t xml:space="preserve">and the return on that </w:t>
      </w:r>
      <w:r w:rsidRPr="001A7AAF">
        <w:t>difference</w:t>
      </w:r>
      <w:r w:rsidRPr="001A7AAF">
        <w:rPr>
          <w:rFonts w:eastAsia="Calibri"/>
        </w:rPr>
        <w:t>.</w:t>
      </w:r>
    </w:p>
    <w:p w:rsidR="0055229A" w:rsidRDefault="0055229A" w:rsidP="001A7AAF">
      <w:pPr>
        <w:rPr>
          <w:rStyle w:val="AERbody"/>
          <w:rFonts w:eastAsia="Calibri" w:cs="Times New Roman"/>
        </w:rPr>
      </w:pPr>
      <w:bookmarkStart w:id="15" w:name="_Ref398891994"/>
      <w:r>
        <w:rPr>
          <w:rStyle w:val="AERbody"/>
          <w:rFonts w:eastAsia="Calibri" w:cs="Times New Roman"/>
        </w:rPr>
        <w:t xml:space="preserve">We do not approve </w:t>
      </w:r>
      <w:r w:rsidR="001A7AAF">
        <w:rPr>
          <w:rStyle w:val="AERbody"/>
          <w:rFonts w:eastAsia="Calibri" w:cs="Times New Roman"/>
        </w:rPr>
        <w:t>ActewAGL</w:t>
      </w:r>
      <w:r w:rsidR="008B44C0">
        <w:rPr>
          <w:rStyle w:val="AERbody"/>
          <w:rFonts w:eastAsia="Calibri" w:cs="Times New Roman"/>
        </w:rPr>
        <w:t>’</w:t>
      </w:r>
      <w:r>
        <w:rPr>
          <w:rStyle w:val="AERbody"/>
          <w:rFonts w:eastAsia="Calibri" w:cs="Times New Roman"/>
        </w:rPr>
        <w:t xml:space="preserve">s proposed roll forward of its projected capital base over </w:t>
      </w:r>
      <w:r w:rsidR="006E3EC1">
        <w:rPr>
          <w:rStyle w:val="AERbody"/>
          <w:rFonts w:eastAsia="Calibri" w:cs="Times New Roman"/>
        </w:rPr>
        <w:t xml:space="preserve">2015–16 and </w:t>
      </w:r>
      <w:r>
        <w:rPr>
          <w:rStyle w:val="AERbody"/>
          <w:rFonts w:eastAsia="Calibri" w:cs="Times New Roman"/>
        </w:rPr>
        <w:t>the 2016–21 access arrangement period, and do not approve its closing capital base at 30 June 2021 of $</w:t>
      </w:r>
      <w:r w:rsidR="006E3EC1">
        <w:rPr>
          <w:rStyle w:val="AERbody"/>
          <w:rFonts w:eastAsia="Calibri" w:cs="Times New Roman"/>
        </w:rPr>
        <w:t>467</w:t>
      </w:r>
      <w:r>
        <w:rPr>
          <w:rStyle w:val="AERbody"/>
          <w:rFonts w:eastAsia="Calibri" w:cs="Times New Roman"/>
        </w:rPr>
        <w:t>.</w:t>
      </w:r>
      <w:r w:rsidR="006E3EC1">
        <w:rPr>
          <w:rStyle w:val="AERbody"/>
          <w:rFonts w:eastAsia="Calibri" w:cs="Times New Roman"/>
        </w:rPr>
        <w:t>2</w:t>
      </w:r>
      <w:r>
        <w:rPr>
          <w:rStyle w:val="AERbody"/>
          <w:rFonts w:eastAsia="Calibri" w:cs="Times New Roman"/>
        </w:rPr>
        <w:t> million ($nominal).</w:t>
      </w:r>
      <w:r w:rsidR="00C331ED">
        <w:rPr>
          <w:rStyle w:val="FootnoteReference"/>
          <w:rFonts w:eastAsia="Calibri" w:cs="Times New Roman"/>
        </w:rPr>
        <w:footnoteReference w:id="3"/>
      </w:r>
      <w:r>
        <w:rPr>
          <w:rStyle w:val="AERbody"/>
          <w:rFonts w:eastAsia="Calibri" w:cs="Times New Roman"/>
        </w:rPr>
        <w:t xml:space="preserve"> This is because we have not approved A</w:t>
      </w:r>
      <w:r w:rsidR="001A7AAF">
        <w:rPr>
          <w:rStyle w:val="AERbody"/>
          <w:rFonts w:eastAsia="Calibri" w:cs="Times New Roman"/>
        </w:rPr>
        <w:t>ctewAGL</w:t>
      </w:r>
      <w:r w:rsidR="00C20674">
        <w:rPr>
          <w:rStyle w:val="AERbody"/>
          <w:rFonts w:eastAsia="Calibri" w:cs="Times New Roman"/>
        </w:rPr>
        <w:t>’</w:t>
      </w:r>
      <w:r>
        <w:rPr>
          <w:rStyle w:val="AERbody"/>
          <w:rFonts w:eastAsia="Calibri" w:cs="Times New Roman"/>
        </w:rPr>
        <w:t>s proposed inputs to the projected capital base roll forward, specifically the opening capital base</w:t>
      </w:r>
      <w:r w:rsidR="00582D24">
        <w:rPr>
          <w:rStyle w:val="AERbody"/>
          <w:rFonts w:eastAsia="Calibri" w:cs="Times New Roman"/>
        </w:rPr>
        <w:t xml:space="preserve"> as at 1 July 2015</w:t>
      </w:r>
      <w:r>
        <w:rPr>
          <w:rStyle w:val="AERbody"/>
          <w:rFonts w:eastAsia="Calibri" w:cs="Times New Roman"/>
        </w:rPr>
        <w:t>, forecast capex, forecast inflation and depreciation. Based on our approved amounts for these inputs, we determine a projected closing capital base of $</w:t>
      </w:r>
      <w:r w:rsidR="00474AA5">
        <w:rPr>
          <w:rStyle w:val="AERbody"/>
          <w:rFonts w:eastAsia="Calibri" w:cs="Times New Roman"/>
        </w:rPr>
        <w:t>419.7</w:t>
      </w:r>
      <w:r>
        <w:rPr>
          <w:rStyle w:val="AERbody"/>
          <w:rFonts w:eastAsia="Calibri" w:cs="Times New Roman"/>
        </w:rPr>
        <w:t xml:space="preserve"> million ($nominal) as at 30 June 2021. This is $</w:t>
      </w:r>
      <w:r w:rsidR="00474AA5">
        <w:rPr>
          <w:rStyle w:val="AERbody"/>
          <w:rFonts w:eastAsia="Calibri" w:cs="Times New Roman"/>
        </w:rPr>
        <w:t>47.5</w:t>
      </w:r>
      <w:r>
        <w:rPr>
          <w:rStyle w:val="AERbody"/>
          <w:rFonts w:eastAsia="Calibri" w:cs="Times New Roman"/>
        </w:rPr>
        <w:t> million ($nominal) less than that proposed by A</w:t>
      </w:r>
      <w:r w:rsidR="00582D24">
        <w:rPr>
          <w:rStyle w:val="AERbody"/>
          <w:rFonts w:eastAsia="Calibri" w:cs="Times New Roman"/>
        </w:rPr>
        <w:t>ctewAGL</w:t>
      </w:r>
      <w:r>
        <w:rPr>
          <w:rStyle w:val="AERbody"/>
          <w:rFonts w:eastAsia="Calibri" w:cs="Times New Roman"/>
        </w:rPr>
        <w:t xml:space="preserve">, a reduction of </w:t>
      </w:r>
      <w:r w:rsidR="00474AA5">
        <w:rPr>
          <w:rStyle w:val="AERbody"/>
          <w:rFonts w:eastAsia="Calibri" w:cs="Times New Roman"/>
        </w:rPr>
        <w:t>10.2</w:t>
      </w:r>
      <w:r>
        <w:rPr>
          <w:rStyle w:val="AERbody"/>
          <w:rFonts w:eastAsia="Calibri" w:cs="Times New Roman"/>
        </w:rPr>
        <w:t xml:space="preserve"> per cent. </w:t>
      </w:r>
    </w:p>
    <w:p w:rsidR="0055229A" w:rsidRDefault="0055229A" w:rsidP="0055229A">
      <w:pPr>
        <w:rPr>
          <w:rStyle w:val="AERbody"/>
          <w:rFonts w:eastAsia="Calibri" w:cs="Times New Roman"/>
        </w:rPr>
      </w:pPr>
      <w:r>
        <w:fldChar w:fldCharType="begin"/>
      </w:r>
      <w:r>
        <w:rPr>
          <w:rStyle w:val="AERbody"/>
          <w:rFonts w:eastAsia="Calibri" w:cs="Times New Roman"/>
        </w:rPr>
        <w:instrText xml:space="preserve"> REF _Ref404703901 \h </w:instrText>
      </w:r>
      <w:r>
        <w:instrText xml:space="preserve"> \* MERGEFORMAT </w:instrText>
      </w:r>
      <w:r>
        <w:fldChar w:fldCharType="separate"/>
      </w:r>
      <w:r w:rsidR="001A41AD">
        <w:t xml:space="preserve">Table </w:t>
      </w:r>
      <w:r w:rsidR="001A41AD">
        <w:rPr>
          <w:noProof/>
        </w:rPr>
        <w:t>2.2</w:t>
      </w:r>
      <w:r>
        <w:fldChar w:fldCharType="end"/>
      </w:r>
      <w:r>
        <w:rPr>
          <w:rStyle w:val="AERbody"/>
          <w:rFonts w:eastAsia="Calibri" w:cs="Times New Roman"/>
        </w:rPr>
        <w:t xml:space="preserve"> sets out the projected roll forward of the capital base during </w:t>
      </w:r>
      <w:r w:rsidR="00976056">
        <w:rPr>
          <w:rStyle w:val="AERbody"/>
          <w:rFonts w:eastAsia="Calibri" w:cs="Times New Roman"/>
        </w:rPr>
        <w:t xml:space="preserve">2015–16 and </w:t>
      </w:r>
      <w:r>
        <w:rPr>
          <w:rStyle w:val="AERbody"/>
          <w:rFonts w:eastAsia="Calibri" w:cs="Times New Roman"/>
        </w:rPr>
        <w:t>the 2016–21 access arrangement period.</w:t>
      </w:r>
    </w:p>
    <w:p w:rsidR="0055229A" w:rsidRPr="00954364" w:rsidRDefault="0055229A" w:rsidP="00781EFC">
      <w:pPr>
        <w:pStyle w:val="Caption"/>
      </w:pPr>
      <w:bookmarkStart w:id="16" w:name="_Ref404703901"/>
      <w:r>
        <w:lastRenderedPageBreak/>
        <w:t xml:space="preserve">Table </w:t>
      </w:r>
      <w:fldSimple w:instr=" STYLEREF 1 \s ">
        <w:r w:rsidR="001A41AD">
          <w:rPr>
            <w:noProof/>
          </w:rPr>
          <w:t>2</w:t>
        </w:r>
      </w:fldSimple>
      <w:r w:rsidR="00954364">
        <w:t>.</w:t>
      </w:r>
      <w:fldSimple w:instr=" SEQ Table \* ARABIC \s 1 ">
        <w:r w:rsidR="001A41AD">
          <w:rPr>
            <w:noProof/>
          </w:rPr>
          <w:t>2</w:t>
        </w:r>
      </w:fldSimple>
      <w:bookmarkEnd w:id="15"/>
      <w:bookmarkEnd w:id="16"/>
      <w:r w:rsidR="005E5AE1">
        <w:tab/>
        <w:t>AER’</w:t>
      </w:r>
      <w:r>
        <w:t xml:space="preserve">s draft decision on projected capital base roll forward for </w:t>
      </w:r>
      <w:r w:rsidR="002F28CB">
        <w:t xml:space="preserve">2015–16 and </w:t>
      </w:r>
      <w:r>
        <w:t>the 2016–21 access arrangement period ($million, nominal)</w:t>
      </w:r>
      <w:bookmarkStart w:id="17" w:name="_Ref328757042"/>
    </w:p>
    <w:tbl>
      <w:tblPr>
        <w:tblStyle w:val="AERtable-numbers"/>
        <w:tblW w:w="8728" w:type="dxa"/>
        <w:tblLayout w:type="fixed"/>
        <w:tblLook w:val="04A0" w:firstRow="1" w:lastRow="0" w:firstColumn="1" w:lastColumn="0" w:noHBand="0" w:noVBand="1"/>
      </w:tblPr>
      <w:tblGrid>
        <w:gridCol w:w="2518"/>
        <w:gridCol w:w="1035"/>
        <w:gridCol w:w="1035"/>
        <w:gridCol w:w="1035"/>
        <w:gridCol w:w="1035"/>
        <w:gridCol w:w="1035"/>
        <w:gridCol w:w="1035"/>
      </w:tblGrid>
      <w:tr w:rsidR="002F28CB" w:rsidTr="000103F4">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noWrap/>
          </w:tcPr>
          <w:p w:rsidR="002F28CB" w:rsidRDefault="002F28CB" w:rsidP="001A41AD">
            <w:pPr>
              <w:pStyle w:val="AERtabletextleft"/>
              <w:keepNext/>
              <w:jc w:val="right"/>
              <w:rPr>
                <w:lang w:eastAsia="en-US"/>
              </w:rPr>
            </w:pPr>
          </w:p>
        </w:tc>
        <w:tc>
          <w:tcPr>
            <w:tcW w:w="1035" w:type="dxa"/>
            <w:tcBorders>
              <w:top w:val="nil"/>
              <w:left w:val="nil"/>
              <w:bottom w:val="nil"/>
              <w:right w:val="nil"/>
            </w:tcBorders>
          </w:tcPr>
          <w:p w:rsidR="002F28CB" w:rsidRDefault="002F28CB" w:rsidP="001A41AD">
            <w:pPr>
              <w:pStyle w:val="AERtabletextleft"/>
              <w:keepNext/>
              <w:cnfStyle w:val="100000000000" w:firstRow="1" w:lastRow="0" w:firstColumn="0" w:lastColumn="0" w:oddVBand="0" w:evenVBand="0" w:oddHBand="0" w:evenHBand="0" w:firstRowFirstColumn="0" w:firstRowLastColumn="0" w:lastRowFirstColumn="0" w:lastRowLastColumn="0"/>
            </w:pPr>
            <w:r>
              <w:t>2015–16</w:t>
            </w:r>
          </w:p>
        </w:tc>
        <w:tc>
          <w:tcPr>
            <w:tcW w:w="1035" w:type="dxa"/>
            <w:tcBorders>
              <w:top w:val="nil"/>
              <w:left w:val="nil"/>
              <w:bottom w:val="nil"/>
              <w:right w:val="nil"/>
            </w:tcBorders>
            <w:noWrap/>
            <w:hideMark/>
          </w:tcPr>
          <w:p w:rsidR="002F28CB" w:rsidRDefault="002F28CB" w:rsidP="001A41AD">
            <w:pPr>
              <w:pStyle w:val="AERtabletextleft"/>
              <w:keepNext/>
              <w:cnfStyle w:val="100000000000" w:firstRow="1" w:lastRow="0" w:firstColumn="0" w:lastColumn="0" w:oddVBand="0" w:evenVBand="0" w:oddHBand="0" w:evenHBand="0" w:firstRowFirstColumn="0" w:firstRowLastColumn="0" w:lastRowFirstColumn="0" w:lastRowLastColumn="0"/>
              <w:rPr>
                <w:lang w:eastAsia="en-US"/>
              </w:rPr>
            </w:pPr>
            <w:r>
              <w:t>2016–17</w:t>
            </w:r>
          </w:p>
        </w:tc>
        <w:tc>
          <w:tcPr>
            <w:tcW w:w="1035" w:type="dxa"/>
            <w:tcBorders>
              <w:top w:val="nil"/>
              <w:left w:val="nil"/>
              <w:bottom w:val="nil"/>
              <w:right w:val="nil"/>
            </w:tcBorders>
            <w:noWrap/>
            <w:hideMark/>
          </w:tcPr>
          <w:p w:rsidR="002F28CB" w:rsidRDefault="002F28CB" w:rsidP="001A41AD">
            <w:pPr>
              <w:pStyle w:val="AERtabletextleft"/>
              <w:keepNext/>
              <w:cnfStyle w:val="100000000000" w:firstRow="1" w:lastRow="0" w:firstColumn="0" w:lastColumn="0" w:oddVBand="0" w:evenVBand="0" w:oddHBand="0" w:evenHBand="0" w:firstRowFirstColumn="0" w:firstRowLastColumn="0" w:lastRowFirstColumn="0" w:lastRowLastColumn="0"/>
              <w:rPr>
                <w:lang w:eastAsia="en-US"/>
              </w:rPr>
            </w:pPr>
            <w:r>
              <w:t>2017–18</w:t>
            </w:r>
          </w:p>
        </w:tc>
        <w:tc>
          <w:tcPr>
            <w:tcW w:w="1035" w:type="dxa"/>
            <w:tcBorders>
              <w:top w:val="nil"/>
              <w:left w:val="nil"/>
              <w:bottom w:val="nil"/>
              <w:right w:val="nil"/>
            </w:tcBorders>
            <w:noWrap/>
            <w:hideMark/>
          </w:tcPr>
          <w:p w:rsidR="002F28CB" w:rsidRDefault="002F28CB" w:rsidP="001A41AD">
            <w:pPr>
              <w:pStyle w:val="AERtabletextleft"/>
              <w:keepNext/>
              <w:cnfStyle w:val="100000000000" w:firstRow="1" w:lastRow="0" w:firstColumn="0" w:lastColumn="0" w:oddVBand="0" w:evenVBand="0" w:oddHBand="0" w:evenHBand="0" w:firstRowFirstColumn="0" w:firstRowLastColumn="0" w:lastRowFirstColumn="0" w:lastRowLastColumn="0"/>
              <w:rPr>
                <w:lang w:eastAsia="en-US"/>
              </w:rPr>
            </w:pPr>
            <w:r>
              <w:t>2018–19</w:t>
            </w:r>
          </w:p>
        </w:tc>
        <w:tc>
          <w:tcPr>
            <w:tcW w:w="1035" w:type="dxa"/>
            <w:tcBorders>
              <w:top w:val="nil"/>
              <w:left w:val="nil"/>
              <w:bottom w:val="nil"/>
              <w:right w:val="nil"/>
            </w:tcBorders>
            <w:noWrap/>
            <w:hideMark/>
          </w:tcPr>
          <w:p w:rsidR="002F28CB" w:rsidRDefault="002F28CB" w:rsidP="001A41AD">
            <w:pPr>
              <w:pStyle w:val="AERtabletextleft"/>
              <w:keepNext/>
              <w:cnfStyle w:val="100000000000" w:firstRow="1" w:lastRow="0" w:firstColumn="0" w:lastColumn="0" w:oddVBand="0" w:evenVBand="0" w:oddHBand="0" w:evenHBand="0" w:firstRowFirstColumn="0" w:firstRowLastColumn="0" w:lastRowFirstColumn="0" w:lastRowLastColumn="0"/>
              <w:rPr>
                <w:lang w:eastAsia="en-US"/>
              </w:rPr>
            </w:pPr>
            <w:r>
              <w:t>2019–20</w:t>
            </w:r>
          </w:p>
        </w:tc>
        <w:tc>
          <w:tcPr>
            <w:tcW w:w="1035" w:type="dxa"/>
            <w:tcBorders>
              <w:top w:val="nil"/>
              <w:left w:val="nil"/>
              <w:bottom w:val="nil"/>
              <w:right w:val="nil"/>
            </w:tcBorders>
            <w:noWrap/>
            <w:hideMark/>
          </w:tcPr>
          <w:p w:rsidR="002F28CB" w:rsidRPr="003B707F" w:rsidRDefault="002F28CB" w:rsidP="001A41AD">
            <w:pPr>
              <w:pStyle w:val="AERtabletextleft"/>
              <w:keepNext/>
              <w:cnfStyle w:val="100000000000" w:firstRow="1" w:lastRow="0" w:firstColumn="0" w:lastColumn="0" w:oddVBand="0" w:evenVBand="0" w:oddHBand="0" w:evenHBand="0" w:firstRowFirstColumn="0" w:firstRowLastColumn="0" w:lastRowFirstColumn="0" w:lastRowLastColumn="0"/>
              <w:rPr>
                <w:rStyle w:val="AERsuperscript"/>
                <w:rFonts w:eastAsiaTheme="minorHAnsi" w:cstheme="minorBidi"/>
                <w:bCs/>
                <w:color w:val="076A92" w:themeColor="text1"/>
                <w:sz w:val="20"/>
                <w:szCs w:val="18"/>
                <w:vertAlign w:val="baseline"/>
                <w:lang w:eastAsia="en-US"/>
              </w:rPr>
            </w:pPr>
            <w:r w:rsidRPr="003B707F">
              <w:rPr>
                <w:rStyle w:val="AERsuperscript"/>
                <w:sz w:val="20"/>
                <w:vertAlign w:val="baseline"/>
              </w:rPr>
              <w:t>2020–21</w:t>
            </w:r>
          </w:p>
        </w:tc>
      </w:tr>
      <w:tr w:rsidR="00707A15" w:rsidTr="000103F4">
        <w:trPr>
          <w:trHeight w:val="354"/>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noWrap/>
            <w:hideMark/>
          </w:tcPr>
          <w:p w:rsidR="00707A15" w:rsidRDefault="00707A15" w:rsidP="001A41AD">
            <w:pPr>
              <w:pStyle w:val="AERtabletextleft"/>
              <w:keepNext/>
              <w:rPr>
                <w:lang w:eastAsia="en-US"/>
              </w:rPr>
            </w:pPr>
            <w:r>
              <w:t>Opening capital base</w:t>
            </w:r>
          </w:p>
        </w:tc>
        <w:tc>
          <w:tcPr>
            <w:tcW w:w="1035" w:type="dxa"/>
            <w:tcBorders>
              <w:top w:val="nil"/>
              <w:left w:val="nil"/>
              <w:bottom w:val="nil"/>
              <w:right w:val="nil"/>
            </w:tcBorders>
          </w:tcPr>
          <w:p w:rsidR="00707A15" w:rsidRPr="007003F0" w:rsidRDefault="00707A15"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7003F0">
              <w:rPr>
                <w:lang w:eastAsia="en-US"/>
              </w:rPr>
              <w:t>338.6</w:t>
            </w:r>
          </w:p>
        </w:tc>
        <w:tc>
          <w:tcPr>
            <w:tcW w:w="1035" w:type="dxa"/>
            <w:tcBorders>
              <w:top w:val="nil"/>
              <w:left w:val="nil"/>
              <w:bottom w:val="nil"/>
              <w:right w:val="nil"/>
            </w:tcBorders>
            <w:noWrap/>
          </w:tcPr>
          <w:p w:rsidR="00707A15" w:rsidRPr="007003F0" w:rsidRDefault="00707A15"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7003F0">
              <w:rPr>
                <w:lang w:eastAsia="en-US"/>
              </w:rPr>
              <w:t>365.0</w:t>
            </w:r>
          </w:p>
        </w:tc>
        <w:tc>
          <w:tcPr>
            <w:tcW w:w="1035" w:type="dxa"/>
            <w:tcBorders>
              <w:top w:val="nil"/>
              <w:left w:val="nil"/>
              <w:bottom w:val="nil"/>
              <w:right w:val="nil"/>
            </w:tcBorders>
            <w:noWrap/>
          </w:tcPr>
          <w:p w:rsidR="00707A15" w:rsidRPr="007003F0" w:rsidRDefault="00707A15"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7003F0">
              <w:rPr>
                <w:lang w:eastAsia="en-US"/>
              </w:rPr>
              <w:t>378.9</w:t>
            </w:r>
          </w:p>
        </w:tc>
        <w:tc>
          <w:tcPr>
            <w:tcW w:w="1035" w:type="dxa"/>
            <w:tcBorders>
              <w:top w:val="nil"/>
              <w:left w:val="nil"/>
              <w:bottom w:val="nil"/>
              <w:right w:val="nil"/>
            </w:tcBorders>
            <w:noWrap/>
          </w:tcPr>
          <w:p w:rsidR="00707A15" w:rsidRPr="007003F0" w:rsidRDefault="00707A15"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7003F0">
              <w:rPr>
                <w:lang w:eastAsia="en-US"/>
              </w:rPr>
              <w:t>392.0</w:t>
            </w:r>
          </w:p>
        </w:tc>
        <w:tc>
          <w:tcPr>
            <w:tcW w:w="1035" w:type="dxa"/>
            <w:tcBorders>
              <w:top w:val="nil"/>
              <w:left w:val="nil"/>
              <w:bottom w:val="nil"/>
              <w:right w:val="nil"/>
            </w:tcBorders>
            <w:noWrap/>
          </w:tcPr>
          <w:p w:rsidR="00707A15" w:rsidRPr="007003F0" w:rsidRDefault="00707A15"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7003F0">
              <w:rPr>
                <w:lang w:eastAsia="en-US"/>
              </w:rPr>
              <w:t>403.9</w:t>
            </w:r>
          </w:p>
        </w:tc>
        <w:tc>
          <w:tcPr>
            <w:tcW w:w="1035" w:type="dxa"/>
            <w:tcBorders>
              <w:top w:val="nil"/>
              <w:left w:val="nil"/>
              <w:bottom w:val="nil"/>
              <w:right w:val="nil"/>
            </w:tcBorders>
            <w:noWrap/>
          </w:tcPr>
          <w:p w:rsidR="00707A15" w:rsidRPr="007003F0" w:rsidRDefault="00707A15" w:rsidP="001A41AD">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7003F0">
              <w:rPr>
                <w:lang w:eastAsia="en-US"/>
              </w:rPr>
              <w:t>411.4</w:t>
            </w:r>
          </w:p>
        </w:tc>
      </w:tr>
      <w:tr w:rsidR="00707A15" w:rsidTr="000103F4">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noWrap/>
            <w:hideMark/>
          </w:tcPr>
          <w:p w:rsidR="00707A15" w:rsidRDefault="00707A15" w:rsidP="001A41AD">
            <w:pPr>
              <w:pStyle w:val="AERtabletextleft"/>
              <w:keepNext/>
              <w:rPr>
                <w:lang w:eastAsia="en-US"/>
              </w:rPr>
            </w:pPr>
            <w:r>
              <w:t>Net capex</w:t>
            </w:r>
          </w:p>
        </w:tc>
        <w:tc>
          <w:tcPr>
            <w:tcW w:w="1035" w:type="dxa"/>
            <w:tcBorders>
              <w:top w:val="nil"/>
              <w:left w:val="nil"/>
              <w:bottom w:val="nil"/>
              <w:right w:val="nil"/>
            </w:tcBorders>
          </w:tcPr>
          <w:p w:rsidR="00707A15" w:rsidRPr="007003F0" w:rsidRDefault="00707A15" w:rsidP="001A41AD">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7003F0">
              <w:rPr>
                <w:lang w:eastAsia="en-US"/>
              </w:rPr>
              <w:t>30.2</w:t>
            </w:r>
          </w:p>
        </w:tc>
        <w:tc>
          <w:tcPr>
            <w:tcW w:w="1035" w:type="dxa"/>
            <w:tcBorders>
              <w:top w:val="nil"/>
              <w:left w:val="nil"/>
              <w:bottom w:val="nil"/>
              <w:right w:val="nil"/>
            </w:tcBorders>
            <w:noWrap/>
          </w:tcPr>
          <w:p w:rsidR="00707A15" w:rsidRPr="007003F0" w:rsidRDefault="00707A15" w:rsidP="001A41AD">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7003F0">
              <w:rPr>
                <w:lang w:eastAsia="en-US"/>
              </w:rPr>
              <w:t>18.3</w:t>
            </w:r>
          </w:p>
        </w:tc>
        <w:tc>
          <w:tcPr>
            <w:tcW w:w="1035" w:type="dxa"/>
            <w:tcBorders>
              <w:top w:val="nil"/>
              <w:left w:val="nil"/>
              <w:bottom w:val="nil"/>
              <w:right w:val="nil"/>
            </w:tcBorders>
            <w:noWrap/>
          </w:tcPr>
          <w:p w:rsidR="00707A15" w:rsidRPr="007003F0" w:rsidRDefault="00707A15" w:rsidP="001A41AD">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7003F0">
              <w:rPr>
                <w:lang w:eastAsia="en-US"/>
              </w:rPr>
              <w:t>18.1</w:t>
            </w:r>
          </w:p>
        </w:tc>
        <w:tc>
          <w:tcPr>
            <w:tcW w:w="1035" w:type="dxa"/>
            <w:tcBorders>
              <w:top w:val="nil"/>
              <w:left w:val="nil"/>
              <w:bottom w:val="nil"/>
              <w:right w:val="nil"/>
            </w:tcBorders>
            <w:noWrap/>
          </w:tcPr>
          <w:p w:rsidR="00707A15" w:rsidRPr="007003F0" w:rsidRDefault="00707A15" w:rsidP="001A41AD">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7003F0">
              <w:rPr>
                <w:lang w:eastAsia="en-US"/>
              </w:rPr>
              <w:t>17.7</w:t>
            </w:r>
          </w:p>
        </w:tc>
        <w:tc>
          <w:tcPr>
            <w:tcW w:w="1035" w:type="dxa"/>
            <w:tcBorders>
              <w:top w:val="nil"/>
              <w:left w:val="nil"/>
              <w:bottom w:val="nil"/>
              <w:right w:val="nil"/>
            </w:tcBorders>
            <w:noWrap/>
          </w:tcPr>
          <w:p w:rsidR="00707A15" w:rsidRPr="007003F0" w:rsidRDefault="00707A15" w:rsidP="001A41AD">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7003F0">
              <w:rPr>
                <w:lang w:eastAsia="en-US"/>
              </w:rPr>
              <w:t>14.1</w:t>
            </w:r>
          </w:p>
        </w:tc>
        <w:tc>
          <w:tcPr>
            <w:tcW w:w="1035" w:type="dxa"/>
            <w:tcBorders>
              <w:top w:val="nil"/>
              <w:left w:val="nil"/>
              <w:bottom w:val="nil"/>
              <w:right w:val="nil"/>
            </w:tcBorders>
            <w:noWrap/>
          </w:tcPr>
          <w:p w:rsidR="00707A15" w:rsidRPr="007003F0" w:rsidRDefault="00707A15" w:rsidP="001A41AD">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7003F0">
              <w:rPr>
                <w:lang w:eastAsia="en-US"/>
              </w:rPr>
              <w:t>15.8</w:t>
            </w:r>
          </w:p>
        </w:tc>
      </w:tr>
      <w:tr w:rsidR="00707A15" w:rsidTr="000103F4">
        <w:trPr>
          <w:trHeight w:val="424"/>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noWrap/>
            <w:hideMark/>
          </w:tcPr>
          <w:p w:rsidR="00707A15" w:rsidRDefault="00707A15" w:rsidP="009D4D25">
            <w:pPr>
              <w:pStyle w:val="AERtabletextleft"/>
              <w:rPr>
                <w:lang w:eastAsia="en-US"/>
              </w:rPr>
            </w:pPr>
            <w:r>
              <w:t>Indexation of capital base</w:t>
            </w:r>
          </w:p>
        </w:tc>
        <w:tc>
          <w:tcPr>
            <w:tcW w:w="1035" w:type="dxa"/>
            <w:tcBorders>
              <w:top w:val="nil"/>
              <w:left w:val="nil"/>
              <w:bottom w:val="nil"/>
              <w:right w:val="nil"/>
            </w:tcBorders>
          </w:tcPr>
          <w:p w:rsidR="00707A15" w:rsidRPr="007003F0" w:rsidRDefault="00707A15" w:rsidP="007003F0">
            <w:pPr>
              <w:pStyle w:val="AERtabletextleft"/>
              <w:cnfStyle w:val="000000000000" w:firstRow="0" w:lastRow="0" w:firstColumn="0" w:lastColumn="0" w:oddVBand="0" w:evenVBand="0" w:oddHBand="0" w:evenHBand="0" w:firstRowFirstColumn="0" w:firstRowLastColumn="0" w:lastRowFirstColumn="0" w:lastRowLastColumn="0"/>
              <w:rPr>
                <w:lang w:eastAsia="en-US"/>
              </w:rPr>
            </w:pPr>
            <w:r w:rsidRPr="007003F0">
              <w:rPr>
                <w:lang w:eastAsia="en-US"/>
              </w:rPr>
              <w:t>8.5</w:t>
            </w:r>
          </w:p>
        </w:tc>
        <w:tc>
          <w:tcPr>
            <w:tcW w:w="1035" w:type="dxa"/>
            <w:tcBorders>
              <w:top w:val="nil"/>
              <w:left w:val="nil"/>
              <w:bottom w:val="nil"/>
              <w:right w:val="nil"/>
            </w:tcBorders>
            <w:noWrap/>
          </w:tcPr>
          <w:p w:rsidR="00707A15" w:rsidRPr="007003F0" w:rsidRDefault="00707A15" w:rsidP="007003F0">
            <w:pPr>
              <w:pStyle w:val="AERtabletextleft"/>
              <w:cnfStyle w:val="000000000000" w:firstRow="0" w:lastRow="0" w:firstColumn="0" w:lastColumn="0" w:oddVBand="0" w:evenVBand="0" w:oddHBand="0" w:evenHBand="0" w:firstRowFirstColumn="0" w:firstRowLastColumn="0" w:lastRowFirstColumn="0" w:lastRowLastColumn="0"/>
              <w:rPr>
                <w:lang w:eastAsia="en-US"/>
              </w:rPr>
            </w:pPr>
            <w:r w:rsidRPr="007003F0">
              <w:rPr>
                <w:lang w:eastAsia="en-US"/>
              </w:rPr>
              <w:t>9.1</w:t>
            </w:r>
          </w:p>
        </w:tc>
        <w:tc>
          <w:tcPr>
            <w:tcW w:w="1035" w:type="dxa"/>
            <w:tcBorders>
              <w:top w:val="nil"/>
              <w:left w:val="nil"/>
              <w:bottom w:val="nil"/>
              <w:right w:val="nil"/>
            </w:tcBorders>
            <w:noWrap/>
          </w:tcPr>
          <w:p w:rsidR="00707A15" w:rsidRPr="007003F0" w:rsidRDefault="00707A15" w:rsidP="007003F0">
            <w:pPr>
              <w:pStyle w:val="AERtabletextleft"/>
              <w:cnfStyle w:val="000000000000" w:firstRow="0" w:lastRow="0" w:firstColumn="0" w:lastColumn="0" w:oddVBand="0" w:evenVBand="0" w:oddHBand="0" w:evenHBand="0" w:firstRowFirstColumn="0" w:firstRowLastColumn="0" w:lastRowFirstColumn="0" w:lastRowLastColumn="0"/>
              <w:rPr>
                <w:lang w:eastAsia="en-US"/>
              </w:rPr>
            </w:pPr>
            <w:r w:rsidRPr="007003F0">
              <w:rPr>
                <w:lang w:eastAsia="en-US"/>
              </w:rPr>
              <w:t>9.5</w:t>
            </w:r>
          </w:p>
        </w:tc>
        <w:tc>
          <w:tcPr>
            <w:tcW w:w="1035" w:type="dxa"/>
            <w:tcBorders>
              <w:top w:val="nil"/>
              <w:left w:val="nil"/>
              <w:bottom w:val="nil"/>
              <w:right w:val="nil"/>
            </w:tcBorders>
            <w:noWrap/>
          </w:tcPr>
          <w:p w:rsidR="00707A15" w:rsidRPr="007003F0" w:rsidRDefault="00707A15" w:rsidP="007003F0">
            <w:pPr>
              <w:pStyle w:val="AERtabletextleft"/>
              <w:cnfStyle w:val="000000000000" w:firstRow="0" w:lastRow="0" w:firstColumn="0" w:lastColumn="0" w:oddVBand="0" w:evenVBand="0" w:oddHBand="0" w:evenHBand="0" w:firstRowFirstColumn="0" w:firstRowLastColumn="0" w:lastRowFirstColumn="0" w:lastRowLastColumn="0"/>
              <w:rPr>
                <w:lang w:eastAsia="en-US"/>
              </w:rPr>
            </w:pPr>
            <w:r w:rsidRPr="007003F0">
              <w:rPr>
                <w:lang w:eastAsia="en-US"/>
              </w:rPr>
              <w:t>9.8</w:t>
            </w:r>
          </w:p>
        </w:tc>
        <w:tc>
          <w:tcPr>
            <w:tcW w:w="1035" w:type="dxa"/>
            <w:tcBorders>
              <w:top w:val="nil"/>
              <w:left w:val="nil"/>
              <w:bottom w:val="nil"/>
              <w:right w:val="nil"/>
            </w:tcBorders>
            <w:noWrap/>
          </w:tcPr>
          <w:p w:rsidR="00707A15" w:rsidRPr="007003F0" w:rsidRDefault="00707A15" w:rsidP="007003F0">
            <w:pPr>
              <w:pStyle w:val="AERtabletextleft"/>
              <w:cnfStyle w:val="000000000000" w:firstRow="0" w:lastRow="0" w:firstColumn="0" w:lastColumn="0" w:oddVBand="0" w:evenVBand="0" w:oddHBand="0" w:evenHBand="0" w:firstRowFirstColumn="0" w:firstRowLastColumn="0" w:lastRowFirstColumn="0" w:lastRowLastColumn="0"/>
              <w:rPr>
                <w:lang w:eastAsia="en-US"/>
              </w:rPr>
            </w:pPr>
            <w:r w:rsidRPr="007003F0">
              <w:rPr>
                <w:lang w:eastAsia="en-US"/>
              </w:rPr>
              <w:t>10.1</w:t>
            </w:r>
          </w:p>
        </w:tc>
        <w:tc>
          <w:tcPr>
            <w:tcW w:w="1035" w:type="dxa"/>
            <w:tcBorders>
              <w:top w:val="nil"/>
              <w:left w:val="nil"/>
              <w:bottom w:val="nil"/>
              <w:right w:val="nil"/>
            </w:tcBorders>
            <w:noWrap/>
          </w:tcPr>
          <w:p w:rsidR="00707A15" w:rsidRPr="007003F0" w:rsidRDefault="00707A15" w:rsidP="007003F0">
            <w:pPr>
              <w:pStyle w:val="AERtabletextleft"/>
              <w:cnfStyle w:val="000000000000" w:firstRow="0" w:lastRow="0" w:firstColumn="0" w:lastColumn="0" w:oddVBand="0" w:evenVBand="0" w:oddHBand="0" w:evenHBand="0" w:firstRowFirstColumn="0" w:firstRowLastColumn="0" w:lastRowFirstColumn="0" w:lastRowLastColumn="0"/>
              <w:rPr>
                <w:lang w:eastAsia="en-US"/>
              </w:rPr>
            </w:pPr>
            <w:r w:rsidRPr="007003F0">
              <w:rPr>
                <w:lang w:eastAsia="en-US"/>
              </w:rPr>
              <w:t>10.3</w:t>
            </w:r>
          </w:p>
        </w:tc>
      </w:tr>
      <w:tr w:rsidR="00707A15" w:rsidTr="000103F4">
        <w:trPr>
          <w:cnfStyle w:val="000000010000" w:firstRow="0" w:lastRow="0" w:firstColumn="0" w:lastColumn="0" w:oddVBand="0" w:evenVBand="0" w:oddHBand="0" w:evenHBand="1"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noWrap/>
            <w:hideMark/>
          </w:tcPr>
          <w:p w:rsidR="00707A15" w:rsidRDefault="00707A15" w:rsidP="009D4D25">
            <w:pPr>
              <w:pStyle w:val="AERtabletextleft"/>
              <w:rPr>
                <w:lang w:eastAsia="en-US"/>
              </w:rPr>
            </w:pPr>
            <w:r>
              <w:t>Depreciation</w:t>
            </w:r>
          </w:p>
        </w:tc>
        <w:tc>
          <w:tcPr>
            <w:tcW w:w="1035" w:type="dxa"/>
            <w:tcBorders>
              <w:top w:val="nil"/>
              <w:left w:val="nil"/>
              <w:bottom w:val="nil"/>
              <w:right w:val="nil"/>
            </w:tcBorders>
          </w:tcPr>
          <w:p w:rsidR="00707A15" w:rsidRPr="007003F0" w:rsidRDefault="00707A15" w:rsidP="007003F0">
            <w:pPr>
              <w:pStyle w:val="AERtabletextleft"/>
              <w:cnfStyle w:val="000000010000" w:firstRow="0" w:lastRow="0" w:firstColumn="0" w:lastColumn="0" w:oddVBand="0" w:evenVBand="0" w:oddHBand="0" w:evenHBand="1" w:firstRowFirstColumn="0" w:firstRowLastColumn="0" w:lastRowFirstColumn="0" w:lastRowLastColumn="0"/>
              <w:rPr>
                <w:lang w:eastAsia="en-US"/>
              </w:rPr>
            </w:pPr>
            <w:r w:rsidRPr="007003F0">
              <w:rPr>
                <w:lang w:eastAsia="en-US"/>
              </w:rPr>
              <w:t>–12.2</w:t>
            </w:r>
          </w:p>
        </w:tc>
        <w:tc>
          <w:tcPr>
            <w:tcW w:w="1035" w:type="dxa"/>
            <w:tcBorders>
              <w:top w:val="nil"/>
              <w:left w:val="nil"/>
              <w:bottom w:val="nil"/>
              <w:right w:val="nil"/>
            </w:tcBorders>
            <w:noWrap/>
          </w:tcPr>
          <w:p w:rsidR="00707A15" w:rsidRPr="007003F0" w:rsidRDefault="00707A15" w:rsidP="007003F0">
            <w:pPr>
              <w:pStyle w:val="AERtabletextleft"/>
              <w:cnfStyle w:val="000000010000" w:firstRow="0" w:lastRow="0" w:firstColumn="0" w:lastColumn="0" w:oddVBand="0" w:evenVBand="0" w:oddHBand="0" w:evenHBand="1" w:firstRowFirstColumn="0" w:firstRowLastColumn="0" w:lastRowFirstColumn="0" w:lastRowLastColumn="0"/>
              <w:rPr>
                <w:lang w:eastAsia="en-US"/>
              </w:rPr>
            </w:pPr>
            <w:r w:rsidRPr="007003F0">
              <w:rPr>
                <w:lang w:eastAsia="en-US"/>
              </w:rPr>
              <w:t>–13.4</w:t>
            </w:r>
          </w:p>
        </w:tc>
        <w:tc>
          <w:tcPr>
            <w:tcW w:w="1035" w:type="dxa"/>
            <w:tcBorders>
              <w:top w:val="nil"/>
              <w:left w:val="nil"/>
              <w:bottom w:val="nil"/>
              <w:right w:val="nil"/>
            </w:tcBorders>
            <w:noWrap/>
          </w:tcPr>
          <w:p w:rsidR="00707A15" w:rsidRPr="007003F0" w:rsidRDefault="00707A15" w:rsidP="007003F0">
            <w:pPr>
              <w:pStyle w:val="AERtabletextleft"/>
              <w:cnfStyle w:val="000000010000" w:firstRow="0" w:lastRow="0" w:firstColumn="0" w:lastColumn="0" w:oddVBand="0" w:evenVBand="0" w:oddHBand="0" w:evenHBand="1" w:firstRowFirstColumn="0" w:firstRowLastColumn="0" w:lastRowFirstColumn="0" w:lastRowLastColumn="0"/>
              <w:rPr>
                <w:lang w:eastAsia="en-US"/>
              </w:rPr>
            </w:pPr>
            <w:r w:rsidRPr="007003F0">
              <w:rPr>
                <w:lang w:eastAsia="en-US"/>
              </w:rPr>
              <w:t>–14.5</w:t>
            </w:r>
          </w:p>
        </w:tc>
        <w:tc>
          <w:tcPr>
            <w:tcW w:w="1035" w:type="dxa"/>
            <w:tcBorders>
              <w:top w:val="nil"/>
              <w:left w:val="nil"/>
              <w:bottom w:val="nil"/>
              <w:right w:val="nil"/>
            </w:tcBorders>
            <w:noWrap/>
          </w:tcPr>
          <w:p w:rsidR="00707A15" w:rsidRPr="007003F0" w:rsidRDefault="00707A15" w:rsidP="007003F0">
            <w:pPr>
              <w:pStyle w:val="AERtabletextleft"/>
              <w:cnfStyle w:val="000000010000" w:firstRow="0" w:lastRow="0" w:firstColumn="0" w:lastColumn="0" w:oddVBand="0" w:evenVBand="0" w:oddHBand="0" w:evenHBand="1" w:firstRowFirstColumn="0" w:firstRowLastColumn="0" w:lastRowFirstColumn="0" w:lastRowLastColumn="0"/>
              <w:rPr>
                <w:lang w:eastAsia="en-US"/>
              </w:rPr>
            </w:pPr>
            <w:r w:rsidRPr="007003F0">
              <w:rPr>
                <w:lang w:eastAsia="en-US"/>
              </w:rPr>
              <w:t>–15.6</w:t>
            </w:r>
          </w:p>
        </w:tc>
        <w:tc>
          <w:tcPr>
            <w:tcW w:w="1035" w:type="dxa"/>
            <w:tcBorders>
              <w:top w:val="nil"/>
              <w:left w:val="nil"/>
              <w:bottom w:val="nil"/>
              <w:right w:val="nil"/>
            </w:tcBorders>
            <w:noWrap/>
          </w:tcPr>
          <w:p w:rsidR="00707A15" w:rsidRPr="007003F0" w:rsidRDefault="00707A15" w:rsidP="007003F0">
            <w:pPr>
              <w:pStyle w:val="AERtabletextleft"/>
              <w:cnfStyle w:val="000000010000" w:firstRow="0" w:lastRow="0" w:firstColumn="0" w:lastColumn="0" w:oddVBand="0" w:evenVBand="0" w:oddHBand="0" w:evenHBand="1" w:firstRowFirstColumn="0" w:firstRowLastColumn="0" w:lastRowFirstColumn="0" w:lastRowLastColumn="0"/>
              <w:rPr>
                <w:lang w:eastAsia="en-US"/>
              </w:rPr>
            </w:pPr>
            <w:r w:rsidRPr="007003F0">
              <w:rPr>
                <w:lang w:eastAsia="en-US"/>
              </w:rPr>
              <w:t>–16.7</w:t>
            </w:r>
          </w:p>
        </w:tc>
        <w:tc>
          <w:tcPr>
            <w:tcW w:w="1035" w:type="dxa"/>
            <w:tcBorders>
              <w:top w:val="nil"/>
              <w:left w:val="nil"/>
              <w:bottom w:val="nil"/>
              <w:right w:val="nil"/>
            </w:tcBorders>
            <w:noWrap/>
          </w:tcPr>
          <w:p w:rsidR="00707A15" w:rsidRPr="007003F0" w:rsidRDefault="00707A15" w:rsidP="007003F0">
            <w:pPr>
              <w:pStyle w:val="AERtabletextleft"/>
              <w:cnfStyle w:val="000000010000" w:firstRow="0" w:lastRow="0" w:firstColumn="0" w:lastColumn="0" w:oddVBand="0" w:evenVBand="0" w:oddHBand="0" w:evenHBand="1" w:firstRowFirstColumn="0" w:firstRowLastColumn="0" w:lastRowFirstColumn="0" w:lastRowLastColumn="0"/>
              <w:rPr>
                <w:lang w:eastAsia="en-US"/>
              </w:rPr>
            </w:pPr>
            <w:r w:rsidRPr="007003F0">
              <w:rPr>
                <w:lang w:eastAsia="en-US"/>
              </w:rPr>
              <w:t>–17.7</w:t>
            </w:r>
          </w:p>
        </w:tc>
      </w:tr>
      <w:tr w:rsidR="00707A15" w:rsidTr="000103F4">
        <w:trPr>
          <w:trHeight w:val="428"/>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single" w:sz="4" w:space="0" w:color="365F91"/>
              <w:right w:val="nil"/>
            </w:tcBorders>
            <w:noWrap/>
            <w:hideMark/>
          </w:tcPr>
          <w:p w:rsidR="00707A15" w:rsidRDefault="00707A15" w:rsidP="009D4D25">
            <w:pPr>
              <w:pStyle w:val="AERtabletextleft"/>
              <w:rPr>
                <w:lang w:eastAsia="en-US"/>
              </w:rPr>
            </w:pPr>
            <w:r>
              <w:t>Closing capital base</w:t>
            </w:r>
          </w:p>
        </w:tc>
        <w:tc>
          <w:tcPr>
            <w:tcW w:w="1035" w:type="dxa"/>
            <w:tcBorders>
              <w:top w:val="nil"/>
              <w:left w:val="nil"/>
              <w:bottom w:val="single" w:sz="4" w:space="0" w:color="365F91"/>
              <w:right w:val="nil"/>
            </w:tcBorders>
          </w:tcPr>
          <w:p w:rsidR="00707A15" w:rsidRPr="007003F0" w:rsidRDefault="00707A15" w:rsidP="007003F0">
            <w:pPr>
              <w:pStyle w:val="AERtabletextleft"/>
              <w:cnfStyle w:val="000000000000" w:firstRow="0" w:lastRow="0" w:firstColumn="0" w:lastColumn="0" w:oddVBand="0" w:evenVBand="0" w:oddHBand="0" w:evenHBand="0" w:firstRowFirstColumn="0" w:firstRowLastColumn="0" w:lastRowFirstColumn="0" w:lastRowLastColumn="0"/>
              <w:rPr>
                <w:lang w:eastAsia="en-US"/>
              </w:rPr>
            </w:pPr>
            <w:r w:rsidRPr="007003F0">
              <w:rPr>
                <w:lang w:eastAsia="en-US"/>
              </w:rPr>
              <w:t>365.0</w:t>
            </w:r>
          </w:p>
        </w:tc>
        <w:tc>
          <w:tcPr>
            <w:tcW w:w="1035" w:type="dxa"/>
            <w:tcBorders>
              <w:top w:val="nil"/>
              <w:left w:val="nil"/>
              <w:bottom w:val="single" w:sz="4" w:space="0" w:color="365F91"/>
              <w:right w:val="nil"/>
            </w:tcBorders>
            <w:noWrap/>
          </w:tcPr>
          <w:p w:rsidR="00707A15" w:rsidRPr="007003F0" w:rsidRDefault="00707A15" w:rsidP="007003F0">
            <w:pPr>
              <w:pStyle w:val="AERtabletextleft"/>
              <w:cnfStyle w:val="000000000000" w:firstRow="0" w:lastRow="0" w:firstColumn="0" w:lastColumn="0" w:oddVBand="0" w:evenVBand="0" w:oddHBand="0" w:evenHBand="0" w:firstRowFirstColumn="0" w:firstRowLastColumn="0" w:lastRowFirstColumn="0" w:lastRowLastColumn="0"/>
              <w:rPr>
                <w:lang w:eastAsia="en-US"/>
              </w:rPr>
            </w:pPr>
            <w:r w:rsidRPr="007003F0">
              <w:rPr>
                <w:lang w:eastAsia="en-US"/>
              </w:rPr>
              <w:t>378.9</w:t>
            </w:r>
          </w:p>
        </w:tc>
        <w:tc>
          <w:tcPr>
            <w:tcW w:w="1035" w:type="dxa"/>
            <w:tcBorders>
              <w:top w:val="nil"/>
              <w:left w:val="nil"/>
              <w:bottom w:val="single" w:sz="4" w:space="0" w:color="365F91"/>
              <w:right w:val="nil"/>
            </w:tcBorders>
            <w:noWrap/>
          </w:tcPr>
          <w:p w:rsidR="00707A15" w:rsidRPr="007003F0" w:rsidRDefault="00707A15" w:rsidP="007003F0">
            <w:pPr>
              <w:pStyle w:val="AERtabletextleft"/>
              <w:cnfStyle w:val="000000000000" w:firstRow="0" w:lastRow="0" w:firstColumn="0" w:lastColumn="0" w:oddVBand="0" w:evenVBand="0" w:oddHBand="0" w:evenHBand="0" w:firstRowFirstColumn="0" w:firstRowLastColumn="0" w:lastRowFirstColumn="0" w:lastRowLastColumn="0"/>
              <w:rPr>
                <w:lang w:eastAsia="en-US"/>
              </w:rPr>
            </w:pPr>
            <w:r w:rsidRPr="007003F0">
              <w:rPr>
                <w:lang w:eastAsia="en-US"/>
              </w:rPr>
              <w:t>392.0</w:t>
            </w:r>
          </w:p>
        </w:tc>
        <w:tc>
          <w:tcPr>
            <w:tcW w:w="1035" w:type="dxa"/>
            <w:tcBorders>
              <w:top w:val="nil"/>
              <w:left w:val="nil"/>
              <w:bottom w:val="single" w:sz="4" w:space="0" w:color="365F91"/>
              <w:right w:val="nil"/>
            </w:tcBorders>
            <w:noWrap/>
          </w:tcPr>
          <w:p w:rsidR="00707A15" w:rsidRPr="007003F0" w:rsidRDefault="00707A15" w:rsidP="007003F0">
            <w:pPr>
              <w:pStyle w:val="AERtabletextleft"/>
              <w:cnfStyle w:val="000000000000" w:firstRow="0" w:lastRow="0" w:firstColumn="0" w:lastColumn="0" w:oddVBand="0" w:evenVBand="0" w:oddHBand="0" w:evenHBand="0" w:firstRowFirstColumn="0" w:firstRowLastColumn="0" w:lastRowFirstColumn="0" w:lastRowLastColumn="0"/>
              <w:rPr>
                <w:lang w:eastAsia="en-US"/>
              </w:rPr>
            </w:pPr>
            <w:r w:rsidRPr="007003F0">
              <w:rPr>
                <w:lang w:eastAsia="en-US"/>
              </w:rPr>
              <w:t>403.9</w:t>
            </w:r>
          </w:p>
        </w:tc>
        <w:tc>
          <w:tcPr>
            <w:tcW w:w="1035" w:type="dxa"/>
            <w:tcBorders>
              <w:top w:val="nil"/>
              <w:left w:val="nil"/>
              <w:bottom w:val="single" w:sz="4" w:space="0" w:color="365F91"/>
              <w:right w:val="nil"/>
            </w:tcBorders>
            <w:noWrap/>
          </w:tcPr>
          <w:p w:rsidR="00707A15" w:rsidRPr="007003F0" w:rsidRDefault="00707A15" w:rsidP="007003F0">
            <w:pPr>
              <w:pStyle w:val="AERtabletextleft"/>
              <w:cnfStyle w:val="000000000000" w:firstRow="0" w:lastRow="0" w:firstColumn="0" w:lastColumn="0" w:oddVBand="0" w:evenVBand="0" w:oddHBand="0" w:evenHBand="0" w:firstRowFirstColumn="0" w:firstRowLastColumn="0" w:lastRowFirstColumn="0" w:lastRowLastColumn="0"/>
              <w:rPr>
                <w:lang w:eastAsia="en-US"/>
              </w:rPr>
            </w:pPr>
            <w:r w:rsidRPr="007003F0">
              <w:rPr>
                <w:lang w:eastAsia="en-US"/>
              </w:rPr>
              <w:t>411.4</w:t>
            </w:r>
          </w:p>
        </w:tc>
        <w:tc>
          <w:tcPr>
            <w:tcW w:w="1035" w:type="dxa"/>
            <w:tcBorders>
              <w:top w:val="nil"/>
              <w:left w:val="nil"/>
              <w:bottom w:val="single" w:sz="4" w:space="0" w:color="365F91"/>
              <w:right w:val="nil"/>
            </w:tcBorders>
            <w:noWrap/>
          </w:tcPr>
          <w:p w:rsidR="00707A15" w:rsidRPr="007003F0" w:rsidRDefault="00707A15" w:rsidP="007003F0">
            <w:pPr>
              <w:pStyle w:val="AERtabletextleft"/>
              <w:cnfStyle w:val="000000000000" w:firstRow="0" w:lastRow="0" w:firstColumn="0" w:lastColumn="0" w:oddVBand="0" w:evenVBand="0" w:oddHBand="0" w:evenHBand="0" w:firstRowFirstColumn="0" w:firstRowLastColumn="0" w:lastRowFirstColumn="0" w:lastRowLastColumn="0"/>
              <w:rPr>
                <w:lang w:eastAsia="en-US"/>
              </w:rPr>
            </w:pPr>
            <w:r w:rsidRPr="007003F0">
              <w:rPr>
                <w:lang w:eastAsia="en-US"/>
              </w:rPr>
              <w:t>419.7</w:t>
            </w:r>
          </w:p>
        </w:tc>
      </w:tr>
    </w:tbl>
    <w:bookmarkEnd w:id="17"/>
    <w:p w:rsidR="0055229A" w:rsidRDefault="0055229A" w:rsidP="0055229A">
      <w:pPr>
        <w:pStyle w:val="AERtablesource"/>
        <w:rPr>
          <w:rFonts w:ascii="Gautami" w:eastAsia="Calibri" w:hAnsi="Gautami"/>
        </w:rPr>
      </w:pPr>
      <w:r>
        <w:rPr>
          <w:rFonts w:eastAsia="Calibri"/>
        </w:rPr>
        <w:t xml:space="preserve">Source: </w:t>
      </w:r>
      <w:r>
        <w:rPr>
          <w:rFonts w:eastAsia="Calibri"/>
        </w:rPr>
        <w:tab/>
        <w:t>AER analysis.</w:t>
      </w:r>
    </w:p>
    <w:p w:rsidR="009A5113" w:rsidRDefault="005B140A" w:rsidP="009A5113">
      <w:pPr>
        <w:pStyle w:val="Heading2"/>
      </w:pPr>
      <w:bookmarkStart w:id="18" w:name="_Toc436040725"/>
      <w:r>
        <w:t>ActewAGL</w:t>
      </w:r>
      <w:r w:rsidR="000A517F">
        <w:t>’</w:t>
      </w:r>
      <w:r w:rsidR="005C0A7F">
        <w:t>s proposal</w:t>
      </w:r>
      <w:bookmarkEnd w:id="18"/>
    </w:p>
    <w:p w:rsidR="0055229A" w:rsidRPr="00451AB4" w:rsidRDefault="004F6644" w:rsidP="0055229A">
      <w:r>
        <w:t>ActewAGL</w:t>
      </w:r>
      <w:r w:rsidR="0055229A">
        <w:t>’s</w:t>
      </w:r>
      <w:r w:rsidR="00E32796">
        <w:t xml:space="preserve"> </w:t>
      </w:r>
      <w:r w:rsidR="001F03B3">
        <w:t xml:space="preserve">proposed </w:t>
      </w:r>
      <w:r w:rsidR="00E32796">
        <w:t>RFM and</w:t>
      </w:r>
      <w:r w:rsidR="0055229A">
        <w:t xml:space="preserve"> </w:t>
      </w:r>
      <w:r w:rsidR="00E32796">
        <w:t xml:space="preserve">PTRM for </w:t>
      </w:r>
      <w:r w:rsidR="00B43E7A">
        <w:t>the reconciliation of revenue for 2015–16 interval of delay</w:t>
      </w:r>
      <w:r w:rsidR="0055229A">
        <w:t xml:space="preserve"> </w:t>
      </w:r>
      <w:r w:rsidR="00F13906">
        <w:t>contain the</w:t>
      </w:r>
      <w:r w:rsidR="0055229A">
        <w:t xml:space="preserve"> opening capital base at 1 July 201</w:t>
      </w:r>
      <w:r w:rsidR="00E32796">
        <w:t>5</w:t>
      </w:r>
      <w:r w:rsidR="0055229A">
        <w:t xml:space="preserve">, projected capital base over </w:t>
      </w:r>
      <w:r w:rsidR="00E32796">
        <w:t xml:space="preserve">2015–16 and </w:t>
      </w:r>
      <w:r w:rsidR="0055229A">
        <w:t>the 2016–21 access arrangement period</w:t>
      </w:r>
      <w:r w:rsidR="00D0733A">
        <w:t>.</w:t>
      </w:r>
      <w:r w:rsidR="004304E3">
        <w:rPr>
          <w:rStyle w:val="FootnoteReference"/>
        </w:rPr>
        <w:footnoteReference w:id="4"/>
      </w:r>
      <w:r w:rsidR="00D0733A">
        <w:t xml:space="preserve"> </w:t>
      </w:r>
      <w:r w:rsidR="001F03B3">
        <w:t>ActewAGL</w:t>
      </w:r>
      <w:r w:rsidR="00D0733A">
        <w:t xml:space="preserve"> </w:t>
      </w:r>
      <w:r w:rsidR="001F03B3">
        <w:t xml:space="preserve">proposed </w:t>
      </w:r>
      <w:r w:rsidR="00AF0BCE">
        <w:t xml:space="preserve">the </w:t>
      </w:r>
      <w:r w:rsidR="0055229A">
        <w:t>depreciation</w:t>
      </w:r>
      <w:r w:rsidR="00AF0BCE">
        <w:t xml:space="preserve"> approach</w:t>
      </w:r>
      <w:r w:rsidR="0055229A">
        <w:t xml:space="preserve"> </w:t>
      </w:r>
      <w:r w:rsidR="007A134F">
        <w:t xml:space="preserve">to be adopted </w:t>
      </w:r>
      <w:r w:rsidR="0055229A">
        <w:t xml:space="preserve">for </w:t>
      </w:r>
      <w:r w:rsidR="00EB46F5">
        <w:t>rolling forward the capital base from 1 July 201</w:t>
      </w:r>
      <w:r w:rsidR="000C5202">
        <w:t>6</w:t>
      </w:r>
      <w:r w:rsidR="00EB46F5">
        <w:t xml:space="preserve"> to 30 June 2021 </w:t>
      </w:r>
      <w:r w:rsidR="0055229A">
        <w:t>at the next access arrangement review.</w:t>
      </w:r>
      <w:r w:rsidR="001F03B3">
        <w:t xml:space="preserve"> It also proposed </w:t>
      </w:r>
      <w:r w:rsidR="00170FAD">
        <w:t>the</w:t>
      </w:r>
      <w:r w:rsidR="001F03B3">
        <w:t xml:space="preserve"> </w:t>
      </w:r>
      <w:r w:rsidR="000B4613">
        <w:t>depreciation</w:t>
      </w:r>
      <w:r w:rsidR="00AF0BCE">
        <w:t xml:space="preserve"> approach</w:t>
      </w:r>
      <w:r w:rsidR="007A134F">
        <w:t xml:space="preserve"> </w:t>
      </w:r>
      <w:r w:rsidR="00170FAD">
        <w:t xml:space="preserve">to be used </w:t>
      </w:r>
      <w:r w:rsidR="00F21C48">
        <w:t>for 2015–16</w:t>
      </w:r>
      <w:r w:rsidR="001B6A41">
        <w:t xml:space="preserve"> when establishing the opening capital base in 2021</w:t>
      </w:r>
      <w:r w:rsidR="00F21C48">
        <w:t>.</w:t>
      </w:r>
      <w:r w:rsidR="00157B33">
        <w:rPr>
          <w:rStyle w:val="FootnoteReference"/>
        </w:rPr>
        <w:footnoteReference w:id="5"/>
      </w:r>
    </w:p>
    <w:p w:rsidR="0055229A" w:rsidRDefault="0055229A" w:rsidP="0055229A">
      <w:pPr>
        <w:pStyle w:val="Heading3"/>
      </w:pPr>
      <w:bookmarkStart w:id="19" w:name="_Toc429575466"/>
      <w:bookmarkStart w:id="20" w:name="_Toc436040726"/>
      <w:r>
        <w:t>Opening capital base as at 1 July 201</w:t>
      </w:r>
      <w:bookmarkEnd w:id="19"/>
      <w:r w:rsidR="00F13906">
        <w:t>5</w:t>
      </w:r>
      <w:bookmarkEnd w:id="20"/>
    </w:p>
    <w:p w:rsidR="00884CFB" w:rsidRPr="00DD10F2" w:rsidRDefault="006F0387" w:rsidP="00247EC5">
      <w:pPr>
        <w:rPr>
          <w:rFonts w:eastAsia="Calibri"/>
        </w:rPr>
      </w:pPr>
      <w:r>
        <w:t>ActewAGL</w:t>
      </w:r>
      <w:r w:rsidR="0055229A">
        <w:t xml:space="preserve"> proposed an opening capital base as at 1 July 201</w:t>
      </w:r>
      <w:r w:rsidR="008903C3">
        <w:t>5</w:t>
      </w:r>
      <w:r w:rsidR="0055229A">
        <w:t xml:space="preserve"> of $</w:t>
      </w:r>
      <w:r w:rsidR="008903C3">
        <w:t>339</w:t>
      </w:r>
      <w:r w:rsidR="0055229A">
        <w:t>.</w:t>
      </w:r>
      <w:r w:rsidR="008903C3">
        <w:t>0</w:t>
      </w:r>
      <w:r w:rsidR="0055229A">
        <w:t xml:space="preserve"> million</w:t>
      </w:r>
      <w:r w:rsidR="00FB637B">
        <w:t xml:space="preserve"> </w:t>
      </w:r>
      <w:r w:rsidR="0055229A">
        <w:t>($nominal). This amount is calculated by rolling forward the opening capital base as at 1 July 201</w:t>
      </w:r>
      <w:r w:rsidR="008903C3">
        <w:t>0</w:t>
      </w:r>
      <w:r w:rsidR="0055229A">
        <w:t xml:space="preserve"> of $</w:t>
      </w:r>
      <w:r w:rsidR="008903C3">
        <w:t>278.1</w:t>
      </w:r>
      <w:r w:rsidR="0055229A">
        <w:t xml:space="preserve"> million ($nominal) by adding actual net capex, removing approved forecast depreciation and adding inflation indexation on the opening capital base in each year of the 201</w:t>
      </w:r>
      <w:r w:rsidR="008903C3">
        <w:t>0</w:t>
      </w:r>
      <w:r w:rsidR="0055229A">
        <w:t>–1</w:t>
      </w:r>
      <w:r w:rsidR="008903C3">
        <w:t>5</w:t>
      </w:r>
      <w:r w:rsidR="0055229A">
        <w:t xml:space="preserve"> access arrangement period.</w:t>
      </w:r>
      <w:r w:rsidR="0055229A">
        <w:rPr>
          <w:rStyle w:val="FootnoteReference"/>
        </w:rPr>
        <w:footnoteReference w:id="6"/>
      </w:r>
      <w:r w:rsidR="003C0964">
        <w:t xml:space="preserve"> It </w:t>
      </w:r>
      <w:r w:rsidR="00884CFB">
        <w:t xml:space="preserve">made </w:t>
      </w:r>
      <w:r w:rsidR="007444DA">
        <w:t xml:space="preserve">and </w:t>
      </w:r>
      <w:r w:rsidR="003C0964">
        <w:t>adjust</w:t>
      </w:r>
      <w:r w:rsidR="00884CFB">
        <w:t xml:space="preserve">ment for the </w:t>
      </w:r>
      <w:r w:rsidR="00884CFB">
        <w:rPr>
          <w:rFonts w:eastAsia="Calibri"/>
        </w:rPr>
        <w:t xml:space="preserve">difference </w:t>
      </w:r>
      <w:r w:rsidR="00884CFB">
        <w:t>between the ac</w:t>
      </w:r>
      <w:r w:rsidR="00680029">
        <w:t>tual and estimated capex for 2009</w:t>
      </w:r>
      <w:r w:rsidR="00884CFB">
        <w:t>–1</w:t>
      </w:r>
      <w:r w:rsidR="00680029">
        <w:t>0</w:t>
      </w:r>
      <w:r w:rsidR="00884CFB">
        <w:rPr>
          <w:rFonts w:eastAsia="Calibri"/>
        </w:rPr>
        <w:t>.</w:t>
      </w:r>
      <w:r w:rsidR="005208C3">
        <w:rPr>
          <w:rFonts w:eastAsia="Calibri"/>
        </w:rPr>
        <w:t xml:space="preserve"> It also proposed to exclude </w:t>
      </w:r>
      <w:r w:rsidR="007444DA">
        <w:rPr>
          <w:rFonts w:eastAsia="Calibri"/>
        </w:rPr>
        <w:t>over</w:t>
      </w:r>
      <w:r w:rsidR="005208C3">
        <w:rPr>
          <w:rFonts w:eastAsia="Calibri"/>
        </w:rPr>
        <w:t xml:space="preserve"> depreciated IT systems </w:t>
      </w:r>
      <w:r w:rsidR="00606D52">
        <w:rPr>
          <w:rFonts w:eastAsia="Calibri"/>
        </w:rPr>
        <w:t xml:space="preserve">capital base value </w:t>
      </w:r>
      <w:r w:rsidR="00B60379">
        <w:rPr>
          <w:rFonts w:eastAsia="Calibri"/>
        </w:rPr>
        <w:t xml:space="preserve">(with negative values on 30 June 2015) </w:t>
      </w:r>
      <w:r w:rsidR="005208C3">
        <w:rPr>
          <w:rFonts w:eastAsia="Calibri"/>
        </w:rPr>
        <w:t>from the opening capital base as at 1 July 2015.</w:t>
      </w:r>
      <w:r w:rsidR="007174B3">
        <w:rPr>
          <w:rStyle w:val="FootnoteReference"/>
          <w:rFonts w:eastAsia="Calibri"/>
        </w:rPr>
        <w:footnoteReference w:id="7"/>
      </w:r>
    </w:p>
    <w:p w:rsidR="0055229A" w:rsidRDefault="006F0387" w:rsidP="0055229A">
      <w:r>
        <w:t>ActewAGL</w:t>
      </w:r>
      <w:r w:rsidR="00884CFB">
        <w:t>’</w:t>
      </w:r>
      <w:r w:rsidR="0055229A">
        <w:t>s proposed capital base roll forward during the 201</w:t>
      </w:r>
      <w:r w:rsidR="00FB637B">
        <w:t>0</w:t>
      </w:r>
      <w:r w:rsidR="0055229A">
        <w:t>–1</w:t>
      </w:r>
      <w:r w:rsidR="00FB637B">
        <w:t>5</w:t>
      </w:r>
      <w:r w:rsidR="0055229A">
        <w:t xml:space="preserve"> access arrangement period is shown in </w:t>
      </w:r>
      <w:r w:rsidR="0055229A">
        <w:fldChar w:fldCharType="begin"/>
      </w:r>
      <w:r w:rsidR="0055229A">
        <w:instrText xml:space="preserve"> REF  _Ref398274257 \* Lower \h  \* MERGEFORMAT </w:instrText>
      </w:r>
      <w:r w:rsidR="0055229A">
        <w:fldChar w:fldCharType="separate"/>
      </w:r>
      <w:r w:rsidR="001A41AD">
        <w:t xml:space="preserve">table </w:t>
      </w:r>
      <w:r w:rsidR="001A41AD">
        <w:rPr>
          <w:noProof/>
        </w:rPr>
        <w:t>2.3</w:t>
      </w:r>
      <w:r w:rsidR="0055229A">
        <w:fldChar w:fldCharType="end"/>
      </w:r>
      <w:r w:rsidR="0055229A">
        <w:t>.</w:t>
      </w:r>
    </w:p>
    <w:p w:rsidR="0055229A" w:rsidRDefault="0055229A" w:rsidP="00954364">
      <w:pPr>
        <w:pStyle w:val="Caption"/>
      </w:pPr>
      <w:bookmarkStart w:id="21" w:name="_Ref398274257"/>
      <w:bookmarkStart w:id="22" w:name="_Ref398274250"/>
      <w:r>
        <w:lastRenderedPageBreak/>
        <w:t xml:space="preserve">Table </w:t>
      </w:r>
      <w:fldSimple w:instr=" STYLEREF 1 \s ">
        <w:r w:rsidR="001A41AD">
          <w:rPr>
            <w:noProof/>
          </w:rPr>
          <w:t>2</w:t>
        </w:r>
      </w:fldSimple>
      <w:r w:rsidR="00954364">
        <w:t>.</w:t>
      </w:r>
      <w:fldSimple w:instr=" SEQ Table \* ARABIC \s 1 ">
        <w:r w:rsidR="001A41AD">
          <w:rPr>
            <w:noProof/>
          </w:rPr>
          <w:t>3</w:t>
        </w:r>
      </w:fldSimple>
      <w:bookmarkEnd w:id="21"/>
      <w:r>
        <w:tab/>
      </w:r>
      <w:r w:rsidR="006F0387">
        <w:t>ActewAGL</w:t>
      </w:r>
      <w:r>
        <w:t>'s proposed capital base roll forward</w:t>
      </w:r>
      <w:r w:rsidR="001F03B3">
        <w:t xml:space="preserve"> during the 2010</w:t>
      </w:r>
      <w:r>
        <w:t>–1</w:t>
      </w:r>
      <w:r w:rsidR="001F03B3">
        <w:t>5</w:t>
      </w:r>
      <w:r>
        <w:t xml:space="preserve"> access arrangement period ($million, nominal)</w:t>
      </w:r>
      <w:bookmarkEnd w:id="22"/>
    </w:p>
    <w:tbl>
      <w:tblPr>
        <w:tblStyle w:val="AERtable-numbers"/>
        <w:tblW w:w="8739" w:type="dxa"/>
        <w:tblLayout w:type="fixed"/>
        <w:tblLook w:val="04A0" w:firstRow="1" w:lastRow="0" w:firstColumn="1" w:lastColumn="0" w:noHBand="0" w:noVBand="1"/>
      </w:tblPr>
      <w:tblGrid>
        <w:gridCol w:w="3652"/>
        <w:gridCol w:w="1017"/>
        <w:gridCol w:w="1017"/>
        <w:gridCol w:w="1018"/>
        <w:gridCol w:w="1017"/>
        <w:gridCol w:w="1018"/>
      </w:tblGrid>
      <w:tr w:rsidR="001F03B3" w:rsidTr="009D4D25">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F03B3" w:rsidRDefault="001F03B3" w:rsidP="009D4D25">
            <w:pPr>
              <w:pStyle w:val="AERtabletextleft"/>
              <w:jc w:val="right"/>
            </w:pPr>
          </w:p>
        </w:tc>
        <w:tc>
          <w:tcPr>
            <w:tcW w:w="1017" w:type="dxa"/>
            <w:tcBorders>
              <w:top w:val="nil"/>
              <w:left w:val="nil"/>
              <w:bottom w:val="nil"/>
              <w:right w:val="nil"/>
            </w:tcBorders>
            <w:hideMark/>
          </w:tcPr>
          <w:p w:rsidR="001F03B3" w:rsidRDefault="001F03B3" w:rsidP="001F03B3">
            <w:pPr>
              <w:pStyle w:val="AERtabletextleft"/>
              <w:cnfStyle w:val="100000000000" w:firstRow="1" w:lastRow="0" w:firstColumn="0" w:lastColumn="0" w:oddVBand="0" w:evenVBand="0" w:oddHBand="0" w:evenHBand="0" w:firstRowFirstColumn="0" w:firstRowLastColumn="0" w:lastRowFirstColumn="0" w:lastRowLastColumn="0"/>
            </w:pPr>
            <w:r>
              <w:t>2010–11</w:t>
            </w:r>
          </w:p>
        </w:tc>
        <w:tc>
          <w:tcPr>
            <w:tcW w:w="1017" w:type="dxa"/>
            <w:tcBorders>
              <w:top w:val="nil"/>
              <w:left w:val="nil"/>
              <w:bottom w:val="nil"/>
              <w:right w:val="nil"/>
            </w:tcBorders>
            <w:hideMark/>
          </w:tcPr>
          <w:p w:rsidR="001F03B3" w:rsidRDefault="001F03B3" w:rsidP="008903C3">
            <w:pPr>
              <w:pStyle w:val="AERtabletextleft"/>
              <w:cnfStyle w:val="100000000000" w:firstRow="1" w:lastRow="0" w:firstColumn="0" w:lastColumn="0" w:oddVBand="0" w:evenVBand="0" w:oddHBand="0" w:evenHBand="0" w:firstRowFirstColumn="0" w:firstRowLastColumn="0" w:lastRowFirstColumn="0" w:lastRowLastColumn="0"/>
            </w:pPr>
            <w:r>
              <w:t>2011–12</w:t>
            </w:r>
          </w:p>
        </w:tc>
        <w:tc>
          <w:tcPr>
            <w:tcW w:w="1018" w:type="dxa"/>
            <w:tcBorders>
              <w:top w:val="nil"/>
              <w:left w:val="nil"/>
              <w:bottom w:val="nil"/>
              <w:right w:val="nil"/>
            </w:tcBorders>
            <w:hideMark/>
          </w:tcPr>
          <w:p w:rsidR="001F03B3" w:rsidRDefault="001F03B3" w:rsidP="008903C3">
            <w:pPr>
              <w:pStyle w:val="AERtabletextleft"/>
              <w:cnfStyle w:val="100000000000" w:firstRow="1" w:lastRow="0" w:firstColumn="0" w:lastColumn="0" w:oddVBand="0" w:evenVBand="0" w:oddHBand="0" w:evenHBand="0" w:firstRowFirstColumn="0" w:firstRowLastColumn="0" w:lastRowFirstColumn="0" w:lastRowLastColumn="0"/>
            </w:pPr>
            <w:r>
              <w:t>2012–13</w:t>
            </w:r>
          </w:p>
        </w:tc>
        <w:tc>
          <w:tcPr>
            <w:tcW w:w="1017" w:type="dxa"/>
            <w:tcBorders>
              <w:top w:val="nil"/>
              <w:left w:val="nil"/>
              <w:bottom w:val="nil"/>
              <w:right w:val="nil"/>
            </w:tcBorders>
            <w:hideMark/>
          </w:tcPr>
          <w:p w:rsidR="001F03B3" w:rsidRDefault="001F03B3" w:rsidP="008903C3">
            <w:pPr>
              <w:pStyle w:val="AERtabletextleft"/>
              <w:cnfStyle w:val="100000000000" w:firstRow="1" w:lastRow="0" w:firstColumn="0" w:lastColumn="0" w:oddVBand="0" w:evenVBand="0" w:oddHBand="0" w:evenHBand="0" w:firstRowFirstColumn="0" w:firstRowLastColumn="0" w:lastRowFirstColumn="0" w:lastRowLastColumn="0"/>
            </w:pPr>
            <w:r>
              <w:t>2013–14</w:t>
            </w:r>
          </w:p>
        </w:tc>
        <w:tc>
          <w:tcPr>
            <w:tcW w:w="1018" w:type="dxa"/>
            <w:tcBorders>
              <w:top w:val="nil"/>
              <w:left w:val="nil"/>
              <w:bottom w:val="nil"/>
              <w:right w:val="nil"/>
            </w:tcBorders>
            <w:hideMark/>
          </w:tcPr>
          <w:p w:rsidR="001F03B3" w:rsidRDefault="001F03B3" w:rsidP="008903C3">
            <w:pPr>
              <w:pStyle w:val="AERtabletextleft"/>
              <w:cnfStyle w:val="100000000000" w:firstRow="1" w:lastRow="0" w:firstColumn="0" w:lastColumn="0" w:oddVBand="0" w:evenVBand="0" w:oddHBand="0" w:evenHBand="0" w:firstRowFirstColumn="0" w:firstRowLastColumn="0" w:lastRowFirstColumn="0" w:lastRowLastColumn="0"/>
            </w:pPr>
            <w:r>
              <w:t>2014–15</w:t>
            </w:r>
          </w:p>
        </w:tc>
      </w:tr>
      <w:tr w:rsidR="008903C3" w:rsidTr="009D4D25">
        <w:trPr>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8903C3" w:rsidRDefault="008903C3" w:rsidP="009D4D25">
            <w:pPr>
              <w:pStyle w:val="AERtabletextleft"/>
            </w:pPr>
            <w:r>
              <w:t>Opening capital base</w:t>
            </w:r>
          </w:p>
        </w:tc>
        <w:tc>
          <w:tcPr>
            <w:tcW w:w="1017" w:type="dxa"/>
            <w:tcBorders>
              <w:top w:val="nil"/>
              <w:left w:val="nil"/>
              <w:bottom w:val="nil"/>
              <w:right w:val="nil"/>
            </w:tcBorders>
            <w:hideMark/>
          </w:tcPr>
          <w:p w:rsidR="008903C3" w:rsidRDefault="008903C3" w:rsidP="009D4D25">
            <w:pPr>
              <w:pStyle w:val="AERtabletextleft"/>
              <w:cnfStyle w:val="000000000000" w:firstRow="0" w:lastRow="0" w:firstColumn="0" w:lastColumn="0" w:oddVBand="0" w:evenVBand="0" w:oddHBand="0" w:evenHBand="0" w:firstRowFirstColumn="0" w:firstRowLastColumn="0" w:lastRowFirstColumn="0" w:lastRowLastColumn="0"/>
            </w:pPr>
            <w:r>
              <w:rPr>
                <w:lang w:eastAsia="en-US"/>
              </w:rPr>
              <w:t>278.1</w:t>
            </w:r>
          </w:p>
        </w:tc>
        <w:tc>
          <w:tcPr>
            <w:tcW w:w="1017" w:type="dxa"/>
            <w:tcBorders>
              <w:top w:val="nil"/>
              <w:left w:val="nil"/>
              <w:bottom w:val="nil"/>
              <w:right w:val="nil"/>
            </w:tcBorders>
            <w:hideMark/>
          </w:tcPr>
          <w:p w:rsidR="008903C3" w:rsidRDefault="008903C3" w:rsidP="009D4D25">
            <w:pPr>
              <w:pStyle w:val="AERtabletextleft"/>
              <w:cnfStyle w:val="000000000000" w:firstRow="0" w:lastRow="0" w:firstColumn="0" w:lastColumn="0" w:oddVBand="0" w:evenVBand="0" w:oddHBand="0" w:evenHBand="0" w:firstRowFirstColumn="0" w:firstRowLastColumn="0" w:lastRowFirstColumn="0" w:lastRowLastColumn="0"/>
            </w:pPr>
            <w:r>
              <w:rPr>
                <w:lang w:eastAsia="en-US"/>
              </w:rPr>
              <w:t>288.6</w:t>
            </w:r>
          </w:p>
        </w:tc>
        <w:tc>
          <w:tcPr>
            <w:tcW w:w="1018" w:type="dxa"/>
            <w:tcBorders>
              <w:top w:val="nil"/>
              <w:left w:val="nil"/>
              <w:bottom w:val="nil"/>
              <w:right w:val="nil"/>
            </w:tcBorders>
            <w:hideMark/>
          </w:tcPr>
          <w:p w:rsidR="008903C3" w:rsidRDefault="008903C3" w:rsidP="009D4D25">
            <w:pPr>
              <w:pStyle w:val="AERtabletextleft"/>
              <w:cnfStyle w:val="000000000000" w:firstRow="0" w:lastRow="0" w:firstColumn="0" w:lastColumn="0" w:oddVBand="0" w:evenVBand="0" w:oddHBand="0" w:evenHBand="0" w:firstRowFirstColumn="0" w:firstRowLastColumn="0" w:lastRowFirstColumn="0" w:lastRowLastColumn="0"/>
            </w:pPr>
            <w:r>
              <w:rPr>
                <w:lang w:eastAsia="en-US"/>
              </w:rPr>
              <w:t>302.2</w:t>
            </w:r>
          </w:p>
        </w:tc>
        <w:tc>
          <w:tcPr>
            <w:tcW w:w="1017" w:type="dxa"/>
            <w:tcBorders>
              <w:top w:val="nil"/>
              <w:left w:val="nil"/>
              <w:bottom w:val="nil"/>
              <w:right w:val="nil"/>
            </w:tcBorders>
            <w:hideMark/>
          </w:tcPr>
          <w:p w:rsidR="008903C3" w:rsidRDefault="008903C3" w:rsidP="009D4D25">
            <w:pPr>
              <w:pStyle w:val="AERtabletextleft"/>
              <w:cnfStyle w:val="000000000000" w:firstRow="0" w:lastRow="0" w:firstColumn="0" w:lastColumn="0" w:oddVBand="0" w:evenVBand="0" w:oddHBand="0" w:evenHBand="0" w:firstRowFirstColumn="0" w:firstRowLastColumn="0" w:lastRowFirstColumn="0" w:lastRowLastColumn="0"/>
            </w:pPr>
            <w:r>
              <w:rPr>
                <w:lang w:eastAsia="en-US"/>
              </w:rPr>
              <w:t>313.8</w:t>
            </w:r>
          </w:p>
        </w:tc>
        <w:tc>
          <w:tcPr>
            <w:tcW w:w="1018" w:type="dxa"/>
            <w:tcBorders>
              <w:top w:val="nil"/>
              <w:left w:val="nil"/>
              <w:bottom w:val="nil"/>
              <w:right w:val="nil"/>
            </w:tcBorders>
            <w:hideMark/>
          </w:tcPr>
          <w:p w:rsidR="008903C3" w:rsidRDefault="008903C3" w:rsidP="009D4D25">
            <w:pPr>
              <w:pStyle w:val="AERtabletextleft"/>
              <w:cnfStyle w:val="000000000000" w:firstRow="0" w:lastRow="0" w:firstColumn="0" w:lastColumn="0" w:oddVBand="0" w:evenVBand="0" w:oddHBand="0" w:evenHBand="0" w:firstRowFirstColumn="0" w:firstRowLastColumn="0" w:lastRowFirstColumn="0" w:lastRowLastColumn="0"/>
            </w:pPr>
            <w:r>
              <w:rPr>
                <w:lang w:eastAsia="en-US"/>
              </w:rPr>
              <w:t>326.9</w:t>
            </w:r>
          </w:p>
        </w:tc>
      </w:tr>
      <w:tr w:rsidR="008903C3" w:rsidTr="009D4D25">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8903C3" w:rsidRDefault="008903C3" w:rsidP="009D4D25">
            <w:pPr>
              <w:pStyle w:val="AERtabletextleft"/>
            </w:pPr>
            <w:r>
              <w:t xml:space="preserve">Net capex </w:t>
            </w:r>
          </w:p>
        </w:tc>
        <w:tc>
          <w:tcPr>
            <w:tcW w:w="1017" w:type="dxa"/>
            <w:tcBorders>
              <w:top w:val="nil"/>
              <w:left w:val="nil"/>
              <w:bottom w:val="nil"/>
              <w:right w:val="nil"/>
            </w:tcBorders>
            <w:hideMark/>
          </w:tcPr>
          <w:p w:rsidR="008903C3" w:rsidRDefault="008903C3" w:rsidP="009D4D25">
            <w:pPr>
              <w:pStyle w:val="AERtabletextleft"/>
              <w:cnfStyle w:val="000000010000" w:firstRow="0" w:lastRow="0" w:firstColumn="0" w:lastColumn="0" w:oddVBand="0" w:evenVBand="0" w:oddHBand="0" w:evenHBand="1" w:firstRowFirstColumn="0" w:firstRowLastColumn="0" w:lastRowFirstColumn="0" w:lastRowLastColumn="0"/>
            </w:pPr>
            <w:r>
              <w:rPr>
                <w:lang w:eastAsia="en-US"/>
              </w:rPr>
              <w:t>12.0</w:t>
            </w:r>
          </w:p>
        </w:tc>
        <w:tc>
          <w:tcPr>
            <w:tcW w:w="1017" w:type="dxa"/>
            <w:tcBorders>
              <w:top w:val="nil"/>
              <w:left w:val="nil"/>
              <w:bottom w:val="nil"/>
              <w:right w:val="nil"/>
            </w:tcBorders>
            <w:hideMark/>
          </w:tcPr>
          <w:p w:rsidR="008903C3" w:rsidRDefault="008903C3" w:rsidP="009D4D25">
            <w:pPr>
              <w:pStyle w:val="AERtabletextleft"/>
              <w:cnfStyle w:val="000000010000" w:firstRow="0" w:lastRow="0" w:firstColumn="0" w:lastColumn="0" w:oddVBand="0" w:evenVBand="0" w:oddHBand="0" w:evenHBand="1" w:firstRowFirstColumn="0" w:firstRowLastColumn="0" w:lastRowFirstColumn="0" w:lastRowLastColumn="0"/>
            </w:pPr>
            <w:r>
              <w:rPr>
                <w:lang w:eastAsia="en-US"/>
              </w:rPr>
              <w:t>15.0</w:t>
            </w:r>
          </w:p>
        </w:tc>
        <w:tc>
          <w:tcPr>
            <w:tcW w:w="1018" w:type="dxa"/>
            <w:tcBorders>
              <w:top w:val="nil"/>
              <w:left w:val="nil"/>
              <w:bottom w:val="nil"/>
              <w:right w:val="nil"/>
            </w:tcBorders>
            <w:hideMark/>
          </w:tcPr>
          <w:p w:rsidR="008903C3" w:rsidRDefault="008903C3" w:rsidP="009D4D25">
            <w:pPr>
              <w:pStyle w:val="AERtabletextleft"/>
              <w:cnfStyle w:val="000000010000" w:firstRow="0" w:lastRow="0" w:firstColumn="0" w:lastColumn="0" w:oddVBand="0" w:evenVBand="0" w:oddHBand="0" w:evenHBand="1" w:firstRowFirstColumn="0" w:firstRowLastColumn="0" w:lastRowFirstColumn="0" w:lastRowLastColumn="0"/>
            </w:pPr>
            <w:r>
              <w:rPr>
                <w:lang w:eastAsia="en-US"/>
              </w:rPr>
              <w:t>18.7</w:t>
            </w:r>
          </w:p>
        </w:tc>
        <w:tc>
          <w:tcPr>
            <w:tcW w:w="1017" w:type="dxa"/>
            <w:tcBorders>
              <w:top w:val="nil"/>
              <w:left w:val="nil"/>
              <w:bottom w:val="nil"/>
              <w:right w:val="nil"/>
            </w:tcBorders>
            <w:hideMark/>
          </w:tcPr>
          <w:p w:rsidR="008903C3" w:rsidRDefault="008903C3" w:rsidP="009D4D25">
            <w:pPr>
              <w:pStyle w:val="AERtabletextleft"/>
              <w:cnfStyle w:val="000000010000" w:firstRow="0" w:lastRow="0" w:firstColumn="0" w:lastColumn="0" w:oddVBand="0" w:evenVBand="0" w:oddHBand="0" w:evenHBand="1" w:firstRowFirstColumn="0" w:firstRowLastColumn="0" w:lastRowFirstColumn="0" w:lastRowLastColumn="0"/>
            </w:pPr>
            <w:r>
              <w:rPr>
                <w:lang w:eastAsia="en-US"/>
              </w:rPr>
              <w:t>18.6</w:t>
            </w:r>
          </w:p>
        </w:tc>
        <w:tc>
          <w:tcPr>
            <w:tcW w:w="1018" w:type="dxa"/>
            <w:tcBorders>
              <w:top w:val="nil"/>
              <w:left w:val="nil"/>
              <w:bottom w:val="nil"/>
              <w:right w:val="nil"/>
            </w:tcBorders>
            <w:hideMark/>
          </w:tcPr>
          <w:p w:rsidR="008903C3" w:rsidRDefault="008903C3" w:rsidP="009D4D25">
            <w:pPr>
              <w:pStyle w:val="AERtabletextleft"/>
              <w:cnfStyle w:val="000000010000" w:firstRow="0" w:lastRow="0" w:firstColumn="0" w:lastColumn="0" w:oddVBand="0" w:evenVBand="0" w:oddHBand="0" w:evenHBand="1" w:firstRowFirstColumn="0" w:firstRowLastColumn="0" w:lastRowFirstColumn="0" w:lastRowLastColumn="0"/>
            </w:pPr>
            <w:r>
              <w:rPr>
                <w:lang w:eastAsia="en-US"/>
              </w:rPr>
              <w:t>24.8</w:t>
            </w:r>
          </w:p>
        </w:tc>
      </w:tr>
      <w:tr w:rsidR="008903C3" w:rsidTr="00247EC5">
        <w:trPr>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8903C3" w:rsidRDefault="008903C3" w:rsidP="009D4D25">
            <w:pPr>
              <w:pStyle w:val="AERtabletextleft"/>
            </w:pPr>
            <w:r>
              <w:t xml:space="preserve">Indexation of capital base </w:t>
            </w:r>
          </w:p>
        </w:tc>
        <w:tc>
          <w:tcPr>
            <w:tcW w:w="1017" w:type="dxa"/>
            <w:tcBorders>
              <w:top w:val="nil"/>
              <w:left w:val="nil"/>
              <w:bottom w:val="nil"/>
              <w:right w:val="nil"/>
            </w:tcBorders>
          </w:tcPr>
          <w:p w:rsidR="008903C3" w:rsidRDefault="008903C3" w:rsidP="009D4D25">
            <w:pPr>
              <w:pStyle w:val="AERtabletextleft"/>
              <w:cnfStyle w:val="000000000000" w:firstRow="0" w:lastRow="0" w:firstColumn="0" w:lastColumn="0" w:oddVBand="0" w:evenVBand="0" w:oddHBand="0" w:evenHBand="0" w:firstRowFirstColumn="0" w:firstRowLastColumn="0" w:lastRowFirstColumn="0" w:lastRowLastColumn="0"/>
            </w:pPr>
            <w:r>
              <w:rPr>
                <w:lang w:eastAsia="en-US"/>
              </w:rPr>
              <w:t>7.9</w:t>
            </w:r>
          </w:p>
        </w:tc>
        <w:tc>
          <w:tcPr>
            <w:tcW w:w="1017" w:type="dxa"/>
            <w:tcBorders>
              <w:top w:val="nil"/>
              <w:left w:val="nil"/>
              <w:bottom w:val="nil"/>
              <w:right w:val="nil"/>
            </w:tcBorders>
          </w:tcPr>
          <w:p w:rsidR="008903C3" w:rsidRDefault="008903C3" w:rsidP="009D4D25">
            <w:pPr>
              <w:pStyle w:val="AERtabletextleft"/>
              <w:cnfStyle w:val="000000000000" w:firstRow="0" w:lastRow="0" w:firstColumn="0" w:lastColumn="0" w:oddVBand="0" w:evenVBand="0" w:oddHBand="0" w:evenHBand="0" w:firstRowFirstColumn="0" w:firstRowLastColumn="0" w:lastRowFirstColumn="0" w:lastRowLastColumn="0"/>
            </w:pPr>
            <w:r>
              <w:rPr>
                <w:lang w:eastAsia="en-US"/>
              </w:rPr>
              <w:t>9.8</w:t>
            </w:r>
          </w:p>
        </w:tc>
        <w:tc>
          <w:tcPr>
            <w:tcW w:w="1018" w:type="dxa"/>
            <w:tcBorders>
              <w:top w:val="nil"/>
              <w:left w:val="nil"/>
              <w:bottom w:val="nil"/>
              <w:right w:val="nil"/>
            </w:tcBorders>
          </w:tcPr>
          <w:p w:rsidR="008903C3" w:rsidRDefault="008903C3" w:rsidP="009D4D25">
            <w:pPr>
              <w:pStyle w:val="AERtabletextleft"/>
              <w:cnfStyle w:val="000000000000" w:firstRow="0" w:lastRow="0" w:firstColumn="0" w:lastColumn="0" w:oddVBand="0" w:evenVBand="0" w:oddHBand="0" w:evenHBand="0" w:firstRowFirstColumn="0" w:firstRowLastColumn="0" w:lastRowFirstColumn="0" w:lastRowLastColumn="0"/>
            </w:pPr>
            <w:r>
              <w:rPr>
                <w:lang w:eastAsia="en-US"/>
              </w:rPr>
              <w:t>5.3</w:t>
            </w:r>
          </w:p>
        </w:tc>
        <w:tc>
          <w:tcPr>
            <w:tcW w:w="1017" w:type="dxa"/>
            <w:tcBorders>
              <w:top w:val="nil"/>
              <w:left w:val="nil"/>
              <w:bottom w:val="nil"/>
              <w:right w:val="nil"/>
            </w:tcBorders>
          </w:tcPr>
          <w:p w:rsidR="008903C3" w:rsidRDefault="008903C3" w:rsidP="009D4D25">
            <w:pPr>
              <w:pStyle w:val="AERtabletextleft"/>
              <w:cnfStyle w:val="000000000000" w:firstRow="0" w:lastRow="0" w:firstColumn="0" w:lastColumn="0" w:oddVBand="0" w:evenVBand="0" w:oddHBand="0" w:evenHBand="0" w:firstRowFirstColumn="0" w:firstRowLastColumn="0" w:lastRowFirstColumn="0" w:lastRowLastColumn="0"/>
            </w:pPr>
            <w:r>
              <w:rPr>
                <w:lang w:eastAsia="en-US"/>
              </w:rPr>
              <w:t>7.7</w:t>
            </w:r>
          </w:p>
        </w:tc>
        <w:tc>
          <w:tcPr>
            <w:tcW w:w="1018" w:type="dxa"/>
            <w:tcBorders>
              <w:top w:val="nil"/>
              <w:left w:val="nil"/>
              <w:bottom w:val="nil"/>
              <w:right w:val="nil"/>
            </w:tcBorders>
          </w:tcPr>
          <w:p w:rsidR="008903C3" w:rsidRDefault="008903C3" w:rsidP="009D4D25">
            <w:pPr>
              <w:pStyle w:val="AERtabletextleft"/>
              <w:cnfStyle w:val="000000000000" w:firstRow="0" w:lastRow="0" w:firstColumn="0" w:lastColumn="0" w:oddVBand="0" w:evenVBand="0" w:oddHBand="0" w:evenHBand="0" w:firstRowFirstColumn="0" w:firstRowLastColumn="0" w:lastRowFirstColumn="0" w:lastRowLastColumn="0"/>
            </w:pPr>
            <w:r>
              <w:rPr>
                <w:lang w:eastAsia="en-US"/>
              </w:rPr>
              <w:t>8.1</w:t>
            </w:r>
          </w:p>
        </w:tc>
      </w:tr>
      <w:tr w:rsidR="008903C3" w:rsidTr="00247EC5">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8903C3" w:rsidRDefault="008903C3" w:rsidP="009D4D25">
            <w:pPr>
              <w:pStyle w:val="AERtabletextleft"/>
            </w:pPr>
            <w:r>
              <w:t xml:space="preserve">Depreciation </w:t>
            </w:r>
          </w:p>
        </w:tc>
        <w:tc>
          <w:tcPr>
            <w:tcW w:w="1017" w:type="dxa"/>
            <w:tcBorders>
              <w:top w:val="nil"/>
              <w:left w:val="nil"/>
              <w:bottom w:val="nil"/>
              <w:right w:val="nil"/>
            </w:tcBorders>
          </w:tcPr>
          <w:p w:rsidR="008903C3" w:rsidRDefault="008903C3" w:rsidP="009D4D25">
            <w:pPr>
              <w:pStyle w:val="AERtabletextleft"/>
              <w:cnfStyle w:val="000000010000" w:firstRow="0" w:lastRow="0" w:firstColumn="0" w:lastColumn="0" w:oddVBand="0" w:evenVBand="0" w:oddHBand="0" w:evenHBand="1" w:firstRowFirstColumn="0" w:firstRowLastColumn="0" w:lastRowFirstColumn="0" w:lastRowLastColumn="0"/>
            </w:pPr>
            <w:r>
              <w:rPr>
                <w:lang w:eastAsia="en-US"/>
              </w:rPr>
              <w:t>–9.4</w:t>
            </w:r>
          </w:p>
        </w:tc>
        <w:tc>
          <w:tcPr>
            <w:tcW w:w="1017" w:type="dxa"/>
            <w:tcBorders>
              <w:top w:val="nil"/>
              <w:left w:val="nil"/>
              <w:bottom w:val="nil"/>
              <w:right w:val="nil"/>
            </w:tcBorders>
          </w:tcPr>
          <w:p w:rsidR="008903C3" w:rsidRDefault="008903C3" w:rsidP="009D4D25">
            <w:pPr>
              <w:pStyle w:val="AERtabletextleft"/>
              <w:cnfStyle w:val="000000010000" w:firstRow="0" w:lastRow="0" w:firstColumn="0" w:lastColumn="0" w:oddVBand="0" w:evenVBand="0" w:oddHBand="0" w:evenHBand="1" w:firstRowFirstColumn="0" w:firstRowLastColumn="0" w:lastRowFirstColumn="0" w:lastRowLastColumn="0"/>
            </w:pPr>
            <w:r>
              <w:rPr>
                <w:lang w:eastAsia="en-US"/>
              </w:rPr>
              <w:t>–11.2</w:t>
            </w:r>
          </w:p>
        </w:tc>
        <w:tc>
          <w:tcPr>
            <w:tcW w:w="1018" w:type="dxa"/>
            <w:tcBorders>
              <w:top w:val="nil"/>
              <w:left w:val="nil"/>
              <w:bottom w:val="nil"/>
              <w:right w:val="nil"/>
            </w:tcBorders>
          </w:tcPr>
          <w:p w:rsidR="008903C3" w:rsidRDefault="008903C3" w:rsidP="009D4D25">
            <w:pPr>
              <w:pStyle w:val="AERtabletextleft"/>
              <w:cnfStyle w:val="000000010000" w:firstRow="0" w:lastRow="0" w:firstColumn="0" w:lastColumn="0" w:oddVBand="0" w:evenVBand="0" w:oddHBand="0" w:evenHBand="1" w:firstRowFirstColumn="0" w:firstRowLastColumn="0" w:lastRowFirstColumn="0" w:lastRowLastColumn="0"/>
            </w:pPr>
            <w:r>
              <w:rPr>
                <w:lang w:eastAsia="en-US"/>
              </w:rPr>
              <w:t>–12.5</w:t>
            </w:r>
          </w:p>
        </w:tc>
        <w:tc>
          <w:tcPr>
            <w:tcW w:w="1017" w:type="dxa"/>
            <w:tcBorders>
              <w:top w:val="nil"/>
              <w:left w:val="nil"/>
              <w:bottom w:val="nil"/>
              <w:right w:val="nil"/>
            </w:tcBorders>
          </w:tcPr>
          <w:p w:rsidR="008903C3" w:rsidRDefault="008903C3" w:rsidP="009D4D25">
            <w:pPr>
              <w:pStyle w:val="AERtabletextleft"/>
              <w:cnfStyle w:val="000000010000" w:firstRow="0" w:lastRow="0" w:firstColumn="0" w:lastColumn="0" w:oddVBand="0" w:evenVBand="0" w:oddHBand="0" w:evenHBand="1" w:firstRowFirstColumn="0" w:firstRowLastColumn="0" w:lastRowFirstColumn="0" w:lastRowLastColumn="0"/>
            </w:pPr>
            <w:r>
              <w:rPr>
                <w:lang w:eastAsia="en-US"/>
              </w:rPr>
              <w:t>–13.2</w:t>
            </w:r>
          </w:p>
        </w:tc>
        <w:tc>
          <w:tcPr>
            <w:tcW w:w="1018" w:type="dxa"/>
            <w:tcBorders>
              <w:top w:val="nil"/>
              <w:left w:val="nil"/>
              <w:bottom w:val="nil"/>
              <w:right w:val="nil"/>
            </w:tcBorders>
          </w:tcPr>
          <w:p w:rsidR="008903C3" w:rsidRDefault="008903C3" w:rsidP="009D4D25">
            <w:pPr>
              <w:pStyle w:val="AERtabletextleft"/>
              <w:cnfStyle w:val="000000010000" w:firstRow="0" w:lastRow="0" w:firstColumn="0" w:lastColumn="0" w:oddVBand="0" w:evenVBand="0" w:oddHBand="0" w:evenHBand="1" w:firstRowFirstColumn="0" w:firstRowLastColumn="0" w:lastRowFirstColumn="0" w:lastRowLastColumn="0"/>
            </w:pPr>
            <w:r>
              <w:rPr>
                <w:lang w:eastAsia="en-US"/>
              </w:rPr>
              <w:t>–13.7</w:t>
            </w:r>
          </w:p>
        </w:tc>
      </w:tr>
      <w:tr w:rsidR="008903C3" w:rsidTr="00247EC5">
        <w:trPr>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8903C3" w:rsidRDefault="008903C3" w:rsidP="009D4D25">
            <w:pPr>
              <w:pStyle w:val="AERtabletextleft"/>
              <w:rPr>
                <w:lang w:eastAsia="en-US"/>
              </w:rPr>
            </w:pPr>
            <w:r>
              <w:t>Closing capital base</w:t>
            </w:r>
          </w:p>
        </w:tc>
        <w:tc>
          <w:tcPr>
            <w:tcW w:w="1017" w:type="dxa"/>
            <w:tcBorders>
              <w:top w:val="nil"/>
              <w:left w:val="nil"/>
              <w:bottom w:val="nil"/>
              <w:right w:val="nil"/>
            </w:tcBorders>
          </w:tcPr>
          <w:p w:rsidR="008903C3" w:rsidRDefault="008903C3" w:rsidP="009D4D25">
            <w:pPr>
              <w:pStyle w:val="AERtabletextleft"/>
              <w:cnfStyle w:val="000000000000" w:firstRow="0" w:lastRow="0" w:firstColumn="0" w:lastColumn="0" w:oddVBand="0" w:evenVBand="0" w:oddHBand="0" w:evenHBand="0" w:firstRowFirstColumn="0" w:firstRowLastColumn="0" w:lastRowFirstColumn="0" w:lastRowLastColumn="0"/>
              <w:rPr>
                <w:lang w:eastAsia="en-US"/>
              </w:rPr>
            </w:pPr>
            <w:r>
              <w:rPr>
                <w:lang w:eastAsia="en-US"/>
              </w:rPr>
              <w:t>288.6</w:t>
            </w:r>
          </w:p>
        </w:tc>
        <w:tc>
          <w:tcPr>
            <w:tcW w:w="1017" w:type="dxa"/>
            <w:tcBorders>
              <w:top w:val="nil"/>
              <w:left w:val="nil"/>
              <w:bottom w:val="nil"/>
              <w:right w:val="nil"/>
            </w:tcBorders>
          </w:tcPr>
          <w:p w:rsidR="008903C3" w:rsidRDefault="008903C3" w:rsidP="009D4D25">
            <w:pPr>
              <w:pStyle w:val="AERtabletextleft"/>
              <w:cnfStyle w:val="000000000000" w:firstRow="0" w:lastRow="0" w:firstColumn="0" w:lastColumn="0" w:oddVBand="0" w:evenVBand="0" w:oddHBand="0" w:evenHBand="0" w:firstRowFirstColumn="0" w:firstRowLastColumn="0" w:lastRowFirstColumn="0" w:lastRowLastColumn="0"/>
              <w:rPr>
                <w:lang w:eastAsia="en-US"/>
              </w:rPr>
            </w:pPr>
            <w:r>
              <w:rPr>
                <w:lang w:eastAsia="en-US"/>
              </w:rPr>
              <w:t>302.2</w:t>
            </w:r>
          </w:p>
        </w:tc>
        <w:tc>
          <w:tcPr>
            <w:tcW w:w="1018" w:type="dxa"/>
            <w:tcBorders>
              <w:top w:val="nil"/>
              <w:left w:val="nil"/>
              <w:bottom w:val="nil"/>
              <w:right w:val="nil"/>
            </w:tcBorders>
          </w:tcPr>
          <w:p w:rsidR="008903C3" w:rsidRDefault="008903C3" w:rsidP="009D4D25">
            <w:pPr>
              <w:pStyle w:val="AERtabletextleft"/>
              <w:cnfStyle w:val="000000000000" w:firstRow="0" w:lastRow="0" w:firstColumn="0" w:lastColumn="0" w:oddVBand="0" w:evenVBand="0" w:oddHBand="0" w:evenHBand="0" w:firstRowFirstColumn="0" w:firstRowLastColumn="0" w:lastRowFirstColumn="0" w:lastRowLastColumn="0"/>
              <w:rPr>
                <w:lang w:eastAsia="en-US"/>
              </w:rPr>
            </w:pPr>
            <w:r>
              <w:rPr>
                <w:lang w:eastAsia="en-US"/>
              </w:rPr>
              <w:t>313.8</w:t>
            </w:r>
          </w:p>
        </w:tc>
        <w:tc>
          <w:tcPr>
            <w:tcW w:w="1017" w:type="dxa"/>
            <w:tcBorders>
              <w:top w:val="nil"/>
              <w:left w:val="nil"/>
              <w:bottom w:val="nil"/>
              <w:right w:val="nil"/>
            </w:tcBorders>
          </w:tcPr>
          <w:p w:rsidR="008903C3" w:rsidRDefault="008903C3" w:rsidP="009D4D25">
            <w:pPr>
              <w:pStyle w:val="AERtabletextleft"/>
              <w:cnfStyle w:val="000000000000" w:firstRow="0" w:lastRow="0" w:firstColumn="0" w:lastColumn="0" w:oddVBand="0" w:evenVBand="0" w:oddHBand="0" w:evenHBand="0" w:firstRowFirstColumn="0" w:firstRowLastColumn="0" w:lastRowFirstColumn="0" w:lastRowLastColumn="0"/>
              <w:rPr>
                <w:lang w:eastAsia="en-US"/>
              </w:rPr>
            </w:pPr>
            <w:r>
              <w:rPr>
                <w:lang w:eastAsia="en-US"/>
              </w:rPr>
              <w:t>326.9</w:t>
            </w:r>
          </w:p>
        </w:tc>
        <w:tc>
          <w:tcPr>
            <w:tcW w:w="1018" w:type="dxa"/>
            <w:tcBorders>
              <w:top w:val="nil"/>
              <w:left w:val="nil"/>
              <w:bottom w:val="nil"/>
              <w:right w:val="nil"/>
            </w:tcBorders>
          </w:tcPr>
          <w:p w:rsidR="008903C3" w:rsidRDefault="008903C3" w:rsidP="009D4D25">
            <w:pPr>
              <w:pStyle w:val="AERtabletextleft"/>
              <w:cnfStyle w:val="000000000000" w:firstRow="0" w:lastRow="0" w:firstColumn="0" w:lastColumn="0" w:oddVBand="0" w:evenVBand="0" w:oddHBand="0" w:evenHBand="0" w:firstRowFirstColumn="0" w:firstRowLastColumn="0" w:lastRowFirstColumn="0" w:lastRowLastColumn="0"/>
              <w:rPr>
                <w:lang w:eastAsia="en-US"/>
              </w:rPr>
            </w:pPr>
            <w:r>
              <w:rPr>
                <w:lang w:eastAsia="en-US"/>
              </w:rPr>
              <w:t>346.1</w:t>
            </w:r>
          </w:p>
        </w:tc>
      </w:tr>
      <w:tr w:rsidR="008903C3" w:rsidTr="00247EC5">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8903C3" w:rsidRDefault="008903C3" w:rsidP="003C0964">
            <w:pPr>
              <w:pStyle w:val="AERtabletextleft"/>
              <w:rPr>
                <w:lang w:eastAsia="en-US"/>
              </w:rPr>
            </w:pPr>
            <w:r>
              <w:t>Adjustment for 20</w:t>
            </w:r>
            <w:r w:rsidR="003C0964">
              <w:t>09</w:t>
            </w:r>
            <w:r>
              <w:t>–1</w:t>
            </w:r>
            <w:r w:rsidR="003C0964">
              <w:t>0</w:t>
            </w:r>
            <w:r>
              <w:t xml:space="preserve"> capex</w:t>
            </w:r>
            <w:r w:rsidRPr="00DD10F2">
              <w:rPr>
                <w:vertAlign w:val="superscript"/>
              </w:rPr>
              <w:t>a</w:t>
            </w:r>
          </w:p>
        </w:tc>
        <w:tc>
          <w:tcPr>
            <w:tcW w:w="1017" w:type="dxa"/>
            <w:tcBorders>
              <w:top w:val="nil"/>
              <w:left w:val="nil"/>
              <w:bottom w:val="nil"/>
              <w:right w:val="nil"/>
            </w:tcBorders>
          </w:tcPr>
          <w:p w:rsidR="008903C3" w:rsidRDefault="008903C3" w:rsidP="009D4D25">
            <w:pPr>
              <w:pStyle w:val="AERtabletextleft"/>
              <w:cnfStyle w:val="000000010000" w:firstRow="0" w:lastRow="0" w:firstColumn="0" w:lastColumn="0" w:oddVBand="0" w:evenVBand="0" w:oddHBand="0" w:evenHBand="1" w:firstRowFirstColumn="0" w:firstRowLastColumn="0" w:lastRowFirstColumn="0" w:lastRowLastColumn="0"/>
              <w:rPr>
                <w:lang w:eastAsia="en-US"/>
              </w:rPr>
            </w:pPr>
          </w:p>
        </w:tc>
        <w:tc>
          <w:tcPr>
            <w:tcW w:w="1017" w:type="dxa"/>
            <w:tcBorders>
              <w:top w:val="nil"/>
              <w:left w:val="nil"/>
              <w:bottom w:val="nil"/>
              <w:right w:val="nil"/>
            </w:tcBorders>
          </w:tcPr>
          <w:p w:rsidR="008903C3" w:rsidRDefault="008903C3" w:rsidP="009D4D25">
            <w:pPr>
              <w:pStyle w:val="AERtabletextleft"/>
              <w:cnfStyle w:val="000000010000" w:firstRow="0" w:lastRow="0" w:firstColumn="0" w:lastColumn="0" w:oddVBand="0" w:evenVBand="0" w:oddHBand="0" w:evenHBand="1" w:firstRowFirstColumn="0" w:firstRowLastColumn="0" w:lastRowFirstColumn="0" w:lastRowLastColumn="0"/>
              <w:rPr>
                <w:lang w:eastAsia="en-US"/>
              </w:rPr>
            </w:pPr>
          </w:p>
        </w:tc>
        <w:tc>
          <w:tcPr>
            <w:tcW w:w="1018" w:type="dxa"/>
            <w:tcBorders>
              <w:top w:val="nil"/>
              <w:left w:val="nil"/>
              <w:bottom w:val="nil"/>
              <w:right w:val="nil"/>
            </w:tcBorders>
          </w:tcPr>
          <w:p w:rsidR="008903C3" w:rsidRDefault="008903C3" w:rsidP="009D4D25">
            <w:pPr>
              <w:pStyle w:val="AERtabletextleft"/>
              <w:cnfStyle w:val="000000010000" w:firstRow="0" w:lastRow="0" w:firstColumn="0" w:lastColumn="0" w:oddVBand="0" w:evenVBand="0" w:oddHBand="0" w:evenHBand="1" w:firstRowFirstColumn="0" w:firstRowLastColumn="0" w:lastRowFirstColumn="0" w:lastRowLastColumn="0"/>
              <w:rPr>
                <w:lang w:eastAsia="en-US"/>
              </w:rPr>
            </w:pPr>
          </w:p>
        </w:tc>
        <w:tc>
          <w:tcPr>
            <w:tcW w:w="1017" w:type="dxa"/>
            <w:tcBorders>
              <w:top w:val="nil"/>
              <w:left w:val="nil"/>
              <w:bottom w:val="nil"/>
              <w:right w:val="nil"/>
            </w:tcBorders>
          </w:tcPr>
          <w:p w:rsidR="008903C3" w:rsidRDefault="008903C3" w:rsidP="009D4D25">
            <w:pPr>
              <w:pStyle w:val="AERtabletextleft"/>
              <w:cnfStyle w:val="000000010000" w:firstRow="0" w:lastRow="0" w:firstColumn="0" w:lastColumn="0" w:oddVBand="0" w:evenVBand="0" w:oddHBand="0" w:evenHBand="1" w:firstRowFirstColumn="0" w:firstRowLastColumn="0" w:lastRowFirstColumn="0" w:lastRowLastColumn="0"/>
              <w:rPr>
                <w:lang w:eastAsia="en-US"/>
              </w:rPr>
            </w:pPr>
          </w:p>
        </w:tc>
        <w:tc>
          <w:tcPr>
            <w:tcW w:w="1018" w:type="dxa"/>
            <w:tcBorders>
              <w:top w:val="nil"/>
              <w:left w:val="nil"/>
              <w:bottom w:val="nil"/>
              <w:right w:val="nil"/>
            </w:tcBorders>
          </w:tcPr>
          <w:p w:rsidR="008903C3" w:rsidRDefault="008903C3" w:rsidP="009D4D25">
            <w:pPr>
              <w:pStyle w:val="AERtabletextleft"/>
              <w:cnfStyle w:val="000000010000" w:firstRow="0" w:lastRow="0" w:firstColumn="0" w:lastColumn="0" w:oddVBand="0" w:evenVBand="0" w:oddHBand="0" w:evenHBand="1" w:firstRowFirstColumn="0" w:firstRowLastColumn="0" w:lastRowFirstColumn="0" w:lastRowLastColumn="0"/>
              <w:rPr>
                <w:lang w:eastAsia="en-US"/>
              </w:rPr>
            </w:pPr>
            <w:r>
              <w:rPr>
                <w:lang w:eastAsia="en-US"/>
              </w:rPr>
              <w:t>–7.5</w:t>
            </w:r>
          </w:p>
        </w:tc>
      </w:tr>
      <w:tr w:rsidR="008903C3" w:rsidTr="008903C3">
        <w:trPr>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tcPr>
          <w:p w:rsidR="008903C3" w:rsidRDefault="008903C3" w:rsidP="009D4D25">
            <w:pPr>
              <w:pStyle w:val="AERtabletextleft"/>
            </w:pPr>
            <w:r>
              <w:t>Exclusion of fully depreciated assets (with negative values on 30 June 2015)</w:t>
            </w:r>
          </w:p>
        </w:tc>
        <w:tc>
          <w:tcPr>
            <w:tcW w:w="1017" w:type="dxa"/>
            <w:tcBorders>
              <w:top w:val="nil"/>
              <w:left w:val="nil"/>
              <w:bottom w:val="nil"/>
              <w:right w:val="nil"/>
            </w:tcBorders>
          </w:tcPr>
          <w:p w:rsidR="008903C3" w:rsidRDefault="008903C3" w:rsidP="009D4D25">
            <w:pPr>
              <w:pStyle w:val="AERtabletextleft"/>
              <w:cnfStyle w:val="000000000000" w:firstRow="0" w:lastRow="0" w:firstColumn="0" w:lastColumn="0" w:oddVBand="0" w:evenVBand="0" w:oddHBand="0" w:evenHBand="0" w:firstRowFirstColumn="0" w:firstRowLastColumn="0" w:lastRowFirstColumn="0" w:lastRowLastColumn="0"/>
            </w:pPr>
          </w:p>
        </w:tc>
        <w:tc>
          <w:tcPr>
            <w:tcW w:w="1017" w:type="dxa"/>
            <w:tcBorders>
              <w:top w:val="nil"/>
              <w:left w:val="nil"/>
              <w:bottom w:val="nil"/>
              <w:right w:val="nil"/>
            </w:tcBorders>
          </w:tcPr>
          <w:p w:rsidR="008903C3" w:rsidRDefault="008903C3" w:rsidP="009D4D25">
            <w:pPr>
              <w:pStyle w:val="AERtabletextleft"/>
              <w:cnfStyle w:val="000000000000" w:firstRow="0" w:lastRow="0" w:firstColumn="0" w:lastColumn="0" w:oddVBand="0" w:evenVBand="0" w:oddHBand="0" w:evenHBand="0" w:firstRowFirstColumn="0" w:firstRowLastColumn="0" w:lastRowFirstColumn="0" w:lastRowLastColumn="0"/>
            </w:pPr>
          </w:p>
        </w:tc>
        <w:tc>
          <w:tcPr>
            <w:tcW w:w="1018" w:type="dxa"/>
            <w:tcBorders>
              <w:top w:val="nil"/>
              <w:left w:val="nil"/>
              <w:bottom w:val="nil"/>
              <w:right w:val="nil"/>
            </w:tcBorders>
          </w:tcPr>
          <w:p w:rsidR="008903C3" w:rsidRDefault="008903C3" w:rsidP="009D4D25">
            <w:pPr>
              <w:pStyle w:val="AERtabletextleft"/>
              <w:cnfStyle w:val="000000000000" w:firstRow="0" w:lastRow="0" w:firstColumn="0" w:lastColumn="0" w:oddVBand="0" w:evenVBand="0" w:oddHBand="0" w:evenHBand="0" w:firstRowFirstColumn="0" w:firstRowLastColumn="0" w:lastRowFirstColumn="0" w:lastRowLastColumn="0"/>
            </w:pPr>
          </w:p>
        </w:tc>
        <w:tc>
          <w:tcPr>
            <w:tcW w:w="1017" w:type="dxa"/>
            <w:tcBorders>
              <w:top w:val="nil"/>
              <w:left w:val="nil"/>
              <w:bottom w:val="nil"/>
              <w:right w:val="nil"/>
            </w:tcBorders>
          </w:tcPr>
          <w:p w:rsidR="008903C3" w:rsidRDefault="008903C3" w:rsidP="009D4D25">
            <w:pPr>
              <w:pStyle w:val="AERtabletextleft"/>
              <w:cnfStyle w:val="000000000000" w:firstRow="0" w:lastRow="0" w:firstColumn="0" w:lastColumn="0" w:oddVBand="0" w:evenVBand="0" w:oddHBand="0" w:evenHBand="0" w:firstRowFirstColumn="0" w:firstRowLastColumn="0" w:lastRowFirstColumn="0" w:lastRowLastColumn="0"/>
            </w:pPr>
          </w:p>
        </w:tc>
        <w:tc>
          <w:tcPr>
            <w:tcW w:w="1018" w:type="dxa"/>
            <w:tcBorders>
              <w:top w:val="nil"/>
              <w:left w:val="nil"/>
              <w:bottom w:val="nil"/>
              <w:right w:val="nil"/>
            </w:tcBorders>
          </w:tcPr>
          <w:p w:rsidR="008903C3" w:rsidRDefault="00FB637B" w:rsidP="009D4D25">
            <w:pPr>
              <w:pStyle w:val="AERtabletextleft"/>
              <w:cnfStyle w:val="000000000000" w:firstRow="0" w:lastRow="0" w:firstColumn="0" w:lastColumn="0" w:oddVBand="0" w:evenVBand="0" w:oddHBand="0" w:evenHBand="0" w:firstRowFirstColumn="0" w:firstRowLastColumn="0" w:lastRowFirstColumn="0" w:lastRowLastColumn="0"/>
            </w:pPr>
            <w:r>
              <w:t>0.4</w:t>
            </w:r>
          </w:p>
        </w:tc>
      </w:tr>
      <w:tr w:rsidR="008903C3" w:rsidTr="00247EC5">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8903C3" w:rsidRDefault="008903C3" w:rsidP="003C0964">
            <w:pPr>
              <w:pStyle w:val="AERtabletextleft"/>
              <w:rPr>
                <w:rStyle w:val="Strong"/>
                <w:lang w:eastAsia="en-US"/>
              </w:rPr>
            </w:pPr>
            <w:r>
              <w:rPr>
                <w:rStyle w:val="Strong"/>
              </w:rPr>
              <w:t>Opening capital base at 1 July 201</w:t>
            </w:r>
            <w:r w:rsidR="003C0964">
              <w:rPr>
                <w:rStyle w:val="Strong"/>
              </w:rPr>
              <w:t>5</w:t>
            </w:r>
          </w:p>
        </w:tc>
        <w:tc>
          <w:tcPr>
            <w:tcW w:w="1017" w:type="dxa"/>
            <w:tcBorders>
              <w:top w:val="nil"/>
              <w:left w:val="nil"/>
              <w:bottom w:val="single" w:sz="4" w:space="0" w:color="365F91"/>
              <w:right w:val="nil"/>
            </w:tcBorders>
          </w:tcPr>
          <w:p w:rsidR="008903C3" w:rsidRDefault="008903C3" w:rsidP="009D4D25">
            <w:pPr>
              <w:pStyle w:val="AERtabletextleft"/>
              <w:cnfStyle w:val="000000010000" w:firstRow="0" w:lastRow="0" w:firstColumn="0" w:lastColumn="0" w:oddVBand="0" w:evenVBand="0" w:oddHBand="0" w:evenHBand="1" w:firstRowFirstColumn="0" w:firstRowLastColumn="0" w:lastRowFirstColumn="0" w:lastRowLastColumn="0"/>
              <w:rPr>
                <w:rStyle w:val="Strong"/>
                <w:lang w:eastAsia="en-US"/>
              </w:rPr>
            </w:pPr>
          </w:p>
        </w:tc>
        <w:tc>
          <w:tcPr>
            <w:tcW w:w="1017" w:type="dxa"/>
            <w:tcBorders>
              <w:top w:val="nil"/>
              <w:left w:val="nil"/>
              <w:bottom w:val="single" w:sz="4" w:space="0" w:color="365F91"/>
              <w:right w:val="nil"/>
            </w:tcBorders>
          </w:tcPr>
          <w:p w:rsidR="008903C3" w:rsidRDefault="008903C3" w:rsidP="009D4D25">
            <w:pPr>
              <w:pStyle w:val="AERtabletextleft"/>
              <w:cnfStyle w:val="000000010000" w:firstRow="0" w:lastRow="0" w:firstColumn="0" w:lastColumn="0" w:oddVBand="0" w:evenVBand="0" w:oddHBand="0" w:evenHBand="1" w:firstRowFirstColumn="0" w:firstRowLastColumn="0" w:lastRowFirstColumn="0" w:lastRowLastColumn="0"/>
              <w:rPr>
                <w:rStyle w:val="Strong"/>
                <w:lang w:eastAsia="en-US"/>
              </w:rPr>
            </w:pPr>
          </w:p>
        </w:tc>
        <w:tc>
          <w:tcPr>
            <w:tcW w:w="1018" w:type="dxa"/>
            <w:tcBorders>
              <w:top w:val="nil"/>
              <w:left w:val="nil"/>
              <w:bottom w:val="single" w:sz="4" w:space="0" w:color="365F91"/>
              <w:right w:val="nil"/>
            </w:tcBorders>
          </w:tcPr>
          <w:p w:rsidR="008903C3" w:rsidRDefault="008903C3" w:rsidP="009D4D25">
            <w:pPr>
              <w:pStyle w:val="AERtabletextleft"/>
              <w:cnfStyle w:val="000000010000" w:firstRow="0" w:lastRow="0" w:firstColumn="0" w:lastColumn="0" w:oddVBand="0" w:evenVBand="0" w:oddHBand="0" w:evenHBand="1" w:firstRowFirstColumn="0" w:firstRowLastColumn="0" w:lastRowFirstColumn="0" w:lastRowLastColumn="0"/>
              <w:rPr>
                <w:rStyle w:val="Strong"/>
                <w:lang w:eastAsia="en-US"/>
              </w:rPr>
            </w:pPr>
          </w:p>
        </w:tc>
        <w:tc>
          <w:tcPr>
            <w:tcW w:w="1017" w:type="dxa"/>
            <w:tcBorders>
              <w:top w:val="nil"/>
              <w:left w:val="nil"/>
              <w:bottom w:val="single" w:sz="4" w:space="0" w:color="365F91"/>
              <w:right w:val="nil"/>
            </w:tcBorders>
          </w:tcPr>
          <w:p w:rsidR="008903C3" w:rsidRDefault="008903C3" w:rsidP="009D4D25">
            <w:pPr>
              <w:pStyle w:val="AERtabletextleft"/>
              <w:cnfStyle w:val="000000010000" w:firstRow="0" w:lastRow="0" w:firstColumn="0" w:lastColumn="0" w:oddVBand="0" w:evenVBand="0" w:oddHBand="0" w:evenHBand="1" w:firstRowFirstColumn="0" w:firstRowLastColumn="0" w:lastRowFirstColumn="0" w:lastRowLastColumn="0"/>
              <w:rPr>
                <w:rStyle w:val="Strong"/>
                <w:lang w:eastAsia="en-US"/>
              </w:rPr>
            </w:pPr>
          </w:p>
        </w:tc>
        <w:tc>
          <w:tcPr>
            <w:tcW w:w="1018" w:type="dxa"/>
            <w:tcBorders>
              <w:top w:val="nil"/>
              <w:left w:val="nil"/>
              <w:bottom w:val="single" w:sz="4" w:space="0" w:color="365F91"/>
              <w:right w:val="nil"/>
            </w:tcBorders>
          </w:tcPr>
          <w:p w:rsidR="008903C3" w:rsidRDefault="008903C3" w:rsidP="001F0489">
            <w:pPr>
              <w:pStyle w:val="AERtabletextleft"/>
              <w:cnfStyle w:val="000000010000" w:firstRow="0" w:lastRow="0" w:firstColumn="0" w:lastColumn="0" w:oddVBand="0" w:evenVBand="0" w:oddHBand="0" w:evenHBand="1" w:firstRowFirstColumn="0" w:firstRowLastColumn="0" w:lastRowFirstColumn="0" w:lastRowLastColumn="0"/>
              <w:rPr>
                <w:rStyle w:val="Strong"/>
                <w:lang w:eastAsia="en-US"/>
              </w:rPr>
            </w:pPr>
            <w:r>
              <w:rPr>
                <w:rStyle w:val="Strong"/>
                <w:lang w:eastAsia="en-US"/>
              </w:rPr>
              <w:t>33</w:t>
            </w:r>
            <w:r w:rsidR="00FB637B">
              <w:rPr>
                <w:rStyle w:val="Strong"/>
                <w:lang w:eastAsia="en-US"/>
              </w:rPr>
              <w:t>9</w:t>
            </w:r>
            <w:r>
              <w:rPr>
                <w:rStyle w:val="Strong"/>
                <w:lang w:eastAsia="en-US"/>
              </w:rPr>
              <w:t>.</w:t>
            </w:r>
            <w:r w:rsidR="00FB637B">
              <w:rPr>
                <w:rStyle w:val="Strong"/>
                <w:lang w:eastAsia="en-US"/>
              </w:rPr>
              <w:t>0</w:t>
            </w:r>
          </w:p>
        </w:tc>
      </w:tr>
    </w:tbl>
    <w:p w:rsidR="0055229A" w:rsidRDefault="0055229A" w:rsidP="0055229A">
      <w:pPr>
        <w:pStyle w:val="AERtablesource"/>
        <w:rPr>
          <w:rStyle w:val="AERtextitalic"/>
          <w:rFonts w:eastAsia="Calibri"/>
          <w:i w:val="0"/>
        </w:rPr>
      </w:pPr>
      <w:r>
        <w:rPr>
          <w:rFonts w:eastAsia="Calibri"/>
        </w:rPr>
        <w:t xml:space="preserve">Source: </w:t>
      </w:r>
      <w:r>
        <w:rPr>
          <w:rFonts w:eastAsia="Calibri"/>
        </w:rPr>
        <w:tab/>
      </w:r>
      <w:r w:rsidR="006F0387">
        <w:rPr>
          <w:rFonts w:eastAsia="Calibri"/>
        </w:rPr>
        <w:t>ActewAGL</w:t>
      </w:r>
      <w:r>
        <w:rPr>
          <w:rFonts w:eastAsia="Calibri"/>
        </w:rPr>
        <w:t xml:space="preserve">, </w:t>
      </w:r>
      <w:r w:rsidRPr="00FC1999">
        <w:rPr>
          <w:rStyle w:val="AERtextitalic"/>
          <w:rFonts w:eastAsia="Calibri"/>
        </w:rPr>
        <w:t xml:space="preserve">Proposed </w:t>
      </w:r>
      <w:r>
        <w:rPr>
          <w:rStyle w:val="AERtextitalic"/>
          <w:rFonts w:eastAsia="Calibri"/>
        </w:rPr>
        <w:t>RFM</w:t>
      </w:r>
      <w:r w:rsidR="00FB637B">
        <w:rPr>
          <w:rStyle w:val="AERtextitalic"/>
          <w:rFonts w:eastAsia="Calibri"/>
        </w:rPr>
        <w:t xml:space="preserve"> (Alternative approach)</w:t>
      </w:r>
      <w:r>
        <w:rPr>
          <w:rStyle w:val="AERtextitalic"/>
          <w:rFonts w:eastAsia="Calibri"/>
        </w:rPr>
        <w:t xml:space="preserve">, </w:t>
      </w:r>
      <w:r w:rsidR="00FB637B">
        <w:rPr>
          <w:rStyle w:val="AERtextitalic"/>
          <w:rFonts w:eastAsia="Calibri"/>
          <w:i w:val="0"/>
        </w:rPr>
        <w:t>June</w:t>
      </w:r>
      <w:r w:rsidR="00FB637B" w:rsidRPr="00F95C06">
        <w:rPr>
          <w:rStyle w:val="AERtextitalic"/>
          <w:rFonts w:eastAsia="Calibri"/>
          <w:i w:val="0"/>
        </w:rPr>
        <w:t xml:space="preserve"> </w:t>
      </w:r>
      <w:r w:rsidRPr="00F95C06">
        <w:rPr>
          <w:rStyle w:val="AERtextitalic"/>
          <w:rFonts w:eastAsia="Calibri"/>
          <w:i w:val="0"/>
        </w:rPr>
        <w:t>2015</w:t>
      </w:r>
      <w:r w:rsidR="00FB637B">
        <w:rPr>
          <w:rStyle w:val="AERtextitalic"/>
          <w:rFonts w:eastAsia="Calibri"/>
          <w:i w:val="0"/>
        </w:rPr>
        <w:t>; AER analysis.</w:t>
      </w:r>
    </w:p>
    <w:p w:rsidR="0055229A" w:rsidRPr="00DD10F2" w:rsidRDefault="0055229A" w:rsidP="0055229A">
      <w:pPr>
        <w:pStyle w:val="AERtablesource"/>
        <w:rPr>
          <w:rFonts w:eastAsia="Calibri"/>
        </w:rPr>
      </w:pPr>
      <w:r>
        <w:rPr>
          <w:rFonts w:eastAsia="Calibri"/>
        </w:rPr>
        <w:t>(a)</w:t>
      </w:r>
      <w:r>
        <w:rPr>
          <w:rFonts w:eastAsia="Calibri"/>
        </w:rPr>
        <w:tab/>
        <w:t xml:space="preserve">Comprising the difference </w:t>
      </w:r>
      <w:r>
        <w:t>between the actual and estimated capex for 20</w:t>
      </w:r>
      <w:r w:rsidR="00195BDA">
        <w:t>09</w:t>
      </w:r>
      <w:r>
        <w:t>–1</w:t>
      </w:r>
      <w:r w:rsidR="00195BDA">
        <w:t>0</w:t>
      </w:r>
      <w:r>
        <w:t xml:space="preserve"> </w:t>
      </w:r>
      <w:r>
        <w:rPr>
          <w:rFonts w:eastAsia="Calibri"/>
        </w:rPr>
        <w:t xml:space="preserve">and the return on that </w:t>
      </w:r>
      <w:r>
        <w:t>difference</w:t>
      </w:r>
      <w:r>
        <w:rPr>
          <w:rFonts w:eastAsia="Calibri"/>
        </w:rPr>
        <w:t>.</w:t>
      </w:r>
    </w:p>
    <w:p w:rsidR="0055229A" w:rsidRDefault="0055229A" w:rsidP="0055229A">
      <w:pPr>
        <w:pStyle w:val="Heading3"/>
      </w:pPr>
      <w:bookmarkStart w:id="23" w:name="_Toc404256802"/>
      <w:bookmarkStart w:id="24" w:name="_Toc404158163"/>
      <w:bookmarkStart w:id="25" w:name="_Toc404157800"/>
      <w:bookmarkStart w:id="26" w:name="_Toc429575467"/>
      <w:bookmarkStart w:id="27" w:name="_Toc436040727"/>
      <w:r w:rsidRPr="003B67F0">
        <w:t xml:space="preserve">Projected capital base over </w:t>
      </w:r>
      <w:r w:rsidR="007D10EA">
        <w:t xml:space="preserve">2015–16 and </w:t>
      </w:r>
      <w:r w:rsidRPr="003B67F0">
        <w:t>the 2016–21 access arrangement period</w:t>
      </w:r>
      <w:bookmarkEnd w:id="23"/>
      <w:bookmarkEnd w:id="24"/>
      <w:bookmarkEnd w:id="25"/>
      <w:bookmarkEnd w:id="26"/>
      <w:bookmarkEnd w:id="27"/>
    </w:p>
    <w:p w:rsidR="0055229A" w:rsidRDefault="006F0387" w:rsidP="0055229A">
      <w:pPr>
        <w:rPr>
          <w:rFonts w:eastAsia="Calibri"/>
        </w:rPr>
      </w:pPr>
      <w:r>
        <w:rPr>
          <w:rFonts w:eastAsia="Calibri"/>
        </w:rPr>
        <w:t>ActewAGL</w:t>
      </w:r>
      <w:r w:rsidR="0055229A">
        <w:rPr>
          <w:rFonts w:eastAsia="Calibri"/>
        </w:rPr>
        <w:t xml:space="preserve"> proposed a projected closing capital base as at 30 June 2021 of $</w:t>
      </w:r>
      <w:r w:rsidR="00C6632A">
        <w:rPr>
          <w:rFonts w:eastAsia="Calibri"/>
        </w:rPr>
        <w:t>467.2</w:t>
      </w:r>
      <w:r w:rsidR="0055229A">
        <w:rPr>
          <w:rFonts w:eastAsia="Calibri"/>
        </w:rPr>
        <w:t xml:space="preserve"> million ($nominal). </w:t>
      </w:r>
      <w:r>
        <w:rPr>
          <w:rFonts w:eastAsia="Calibri"/>
        </w:rPr>
        <w:t>ActewAGL</w:t>
      </w:r>
      <w:r w:rsidR="0055229A">
        <w:rPr>
          <w:rFonts w:eastAsia="Calibri"/>
        </w:rPr>
        <w:t xml:space="preserve"> determined this value by adjusting the closing value at 30 June 201</w:t>
      </w:r>
      <w:r w:rsidR="00FE19DA">
        <w:rPr>
          <w:rFonts w:eastAsia="Calibri"/>
        </w:rPr>
        <w:t>5</w:t>
      </w:r>
      <w:r w:rsidR="0055229A">
        <w:rPr>
          <w:rFonts w:eastAsia="Calibri"/>
        </w:rPr>
        <w:t xml:space="preserve"> for </w:t>
      </w:r>
      <w:r w:rsidR="00EA3BE6" w:rsidRPr="00EA3BE6">
        <w:t>inflation (attachment 3)</w:t>
      </w:r>
      <w:r w:rsidR="00EA3BE6">
        <w:t xml:space="preserve">, </w:t>
      </w:r>
      <w:r w:rsidR="00EA3BE6" w:rsidRPr="00EA3BE6">
        <w:t>depreciation (attachment</w:t>
      </w:r>
      <w:r w:rsidR="00EA3BE6">
        <w:t> </w:t>
      </w:r>
      <w:r w:rsidR="00EA3BE6" w:rsidRPr="00EA3BE6">
        <w:t>5)</w:t>
      </w:r>
      <w:r w:rsidR="00EA3BE6">
        <w:t xml:space="preserve"> and</w:t>
      </w:r>
      <w:r w:rsidR="00EA3BE6" w:rsidRPr="00EA3BE6">
        <w:t xml:space="preserve"> </w:t>
      </w:r>
      <w:r w:rsidR="0055229A">
        <w:rPr>
          <w:rFonts w:eastAsia="Calibri"/>
        </w:rPr>
        <w:t xml:space="preserve">forecast net capex (attachment 6). The projected roll forward of the capital base during the </w:t>
      </w:r>
      <w:r w:rsidR="000B07BB">
        <w:rPr>
          <w:rFonts w:eastAsia="Calibri"/>
        </w:rPr>
        <w:t xml:space="preserve">2015–16 and the </w:t>
      </w:r>
      <w:r w:rsidR="0055229A">
        <w:rPr>
          <w:rFonts w:eastAsia="Calibri"/>
        </w:rPr>
        <w:t>2016–21 access arrangement period is shown in</w:t>
      </w:r>
      <w:r w:rsidR="0055229A">
        <w:t xml:space="preserve"> </w:t>
      </w:r>
      <w:r w:rsidR="0055229A">
        <w:fldChar w:fldCharType="begin"/>
      </w:r>
      <w:r w:rsidR="0055229A">
        <w:instrText xml:space="preserve"> REF _Ref398219730 \h  \* MERGEFORMAT </w:instrText>
      </w:r>
      <w:r w:rsidR="0055229A">
        <w:fldChar w:fldCharType="separate"/>
      </w:r>
      <w:r w:rsidR="009D5DC4">
        <w:t>t</w:t>
      </w:r>
      <w:r w:rsidR="001A41AD">
        <w:t xml:space="preserve">able </w:t>
      </w:r>
      <w:r w:rsidR="001A41AD">
        <w:rPr>
          <w:noProof/>
        </w:rPr>
        <w:t>2.4</w:t>
      </w:r>
      <w:r w:rsidR="0055229A">
        <w:fldChar w:fldCharType="end"/>
      </w:r>
      <w:r w:rsidR="0055229A">
        <w:rPr>
          <w:rFonts w:eastAsia="Calibri"/>
        </w:rPr>
        <w:t xml:space="preserve">. </w:t>
      </w:r>
    </w:p>
    <w:p w:rsidR="0055229A" w:rsidRPr="005D7122" w:rsidRDefault="0055229A" w:rsidP="00781EFC">
      <w:pPr>
        <w:pStyle w:val="Caption"/>
      </w:pPr>
      <w:bookmarkStart w:id="28" w:name="_Ref398219730"/>
      <w:bookmarkStart w:id="29" w:name="_Ref329098245"/>
      <w:r>
        <w:lastRenderedPageBreak/>
        <w:t xml:space="preserve">Table </w:t>
      </w:r>
      <w:fldSimple w:instr=" STYLEREF 1 \s ">
        <w:r w:rsidR="001A41AD">
          <w:rPr>
            <w:noProof/>
          </w:rPr>
          <w:t>2</w:t>
        </w:r>
      </w:fldSimple>
      <w:r w:rsidR="005D7122">
        <w:t>.</w:t>
      </w:r>
      <w:fldSimple w:instr=" SEQ Table \* ARABIC \s 1 ">
        <w:r w:rsidR="001A41AD">
          <w:rPr>
            <w:noProof/>
          </w:rPr>
          <w:t>4</w:t>
        </w:r>
      </w:fldSimple>
      <w:bookmarkEnd w:id="28"/>
      <w:r>
        <w:tab/>
        <w:t>A</w:t>
      </w:r>
      <w:r w:rsidR="006F0387">
        <w:t>ctewAGL</w:t>
      </w:r>
      <w:r>
        <w:t xml:space="preserve">'s proposed projected capital base roll forward during </w:t>
      </w:r>
      <w:r w:rsidR="00AF0BCE">
        <w:t xml:space="preserve">2015–16 and </w:t>
      </w:r>
      <w:r>
        <w:t>the 2016–21 access arrangement period ($million, nominal)</w:t>
      </w:r>
      <w:bookmarkEnd w:id="29"/>
    </w:p>
    <w:tbl>
      <w:tblPr>
        <w:tblStyle w:val="AERtable-numbers"/>
        <w:tblW w:w="8558" w:type="dxa"/>
        <w:tblLayout w:type="fixed"/>
        <w:tblLook w:val="04A0" w:firstRow="1" w:lastRow="0" w:firstColumn="1" w:lastColumn="0" w:noHBand="0" w:noVBand="1"/>
      </w:tblPr>
      <w:tblGrid>
        <w:gridCol w:w="2518"/>
        <w:gridCol w:w="1006"/>
        <w:gridCol w:w="1007"/>
        <w:gridCol w:w="1007"/>
        <w:gridCol w:w="1006"/>
        <w:gridCol w:w="1007"/>
        <w:gridCol w:w="1007"/>
      </w:tblGrid>
      <w:tr w:rsidR="004A24D5" w:rsidTr="00247EC5">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hideMark/>
          </w:tcPr>
          <w:p w:rsidR="00AF0BCE" w:rsidRDefault="00AF0BCE" w:rsidP="00B30ADF">
            <w:pPr>
              <w:pStyle w:val="AERtabletextleft"/>
              <w:keepNext/>
              <w:jc w:val="right"/>
            </w:pPr>
          </w:p>
        </w:tc>
        <w:tc>
          <w:tcPr>
            <w:tcW w:w="1006" w:type="dxa"/>
            <w:tcBorders>
              <w:top w:val="nil"/>
              <w:left w:val="nil"/>
              <w:bottom w:val="nil"/>
              <w:right w:val="nil"/>
            </w:tcBorders>
          </w:tcPr>
          <w:p w:rsidR="00AF0BCE" w:rsidRDefault="00AF0BCE" w:rsidP="00B30ADF">
            <w:pPr>
              <w:pStyle w:val="AERtabletextleft"/>
              <w:keepNext/>
              <w:cnfStyle w:val="100000000000" w:firstRow="1" w:lastRow="0" w:firstColumn="0" w:lastColumn="0" w:oddVBand="0" w:evenVBand="0" w:oddHBand="0" w:evenHBand="0" w:firstRowFirstColumn="0" w:firstRowLastColumn="0" w:lastRowFirstColumn="0" w:lastRowLastColumn="0"/>
            </w:pPr>
            <w:r>
              <w:t>2015–16</w:t>
            </w:r>
          </w:p>
        </w:tc>
        <w:tc>
          <w:tcPr>
            <w:tcW w:w="1007" w:type="dxa"/>
            <w:tcBorders>
              <w:top w:val="nil"/>
              <w:left w:val="nil"/>
              <w:bottom w:val="nil"/>
              <w:right w:val="nil"/>
            </w:tcBorders>
            <w:hideMark/>
          </w:tcPr>
          <w:p w:rsidR="00AF0BCE" w:rsidRDefault="00AF0BCE" w:rsidP="00B30ADF">
            <w:pPr>
              <w:pStyle w:val="AERtabletextleft"/>
              <w:keepNext/>
              <w:cnfStyle w:val="100000000000" w:firstRow="1" w:lastRow="0" w:firstColumn="0" w:lastColumn="0" w:oddVBand="0" w:evenVBand="0" w:oddHBand="0" w:evenHBand="0" w:firstRowFirstColumn="0" w:firstRowLastColumn="0" w:lastRowFirstColumn="0" w:lastRowLastColumn="0"/>
            </w:pPr>
            <w:r>
              <w:t>2016–17</w:t>
            </w:r>
          </w:p>
        </w:tc>
        <w:tc>
          <w:tcPr>
            <w:tcW w:w="1007" w:type="dxa"/>
            <w:tcBorders>
              <w:top w:val="nil"/>
              <w:left w:val="nil"/>
              <w:bottom w:val="nil"/>
              <w:right w:val="nil"/>
            </w:tcBorders>
            <w:hideMark/>
          </w:tcPr>
          <w:p w:rsidR="00AF0BCE" w:rsidRDefault="00AF0BCE" w:rsidP="00B30ADF">
            <w:pPr>
              <w:pStyle w:val="AERtabletextleft"/>
              <w:keepNext/>
              <w:cnfStyle w:val="100000000000" w:firstRow="1" w:lastRow="0" w:firstColumn="0" w:lastColumn="0" w:oddVBand="0" w:evenVBand="0" w:oddHBand="0" w:evenHBand="0" w:firstRowFirstColumn="0" w:firstRowLastColumn="0" w:lastRowFirstColumn="0" w:lastRowLastColumn="0"/>
            </w:pPr>
            <w:r>
              <w:t>2017–18</w:t>
            </w:r>
          </w:p>
        </w:tc>
        <w:tc>
          <w:tcPr>
            <w:tcW w:w="1006" w:type="dxa"/>
            <w:tcBorders>
              <w:top w:val="nil"/>
              <w:left w:val="nil"/>
              <w:bottom w:val="nil"/>
              <w:right w:val="nil"/>
            </w:tcBorders>
            <w:hideMark/>
          </w:tcPr>
          <w:p w:rsidR="00AF0BCE" w:rsidRDefault="00AF0BCE" w:rsidP="00B30ADF">
            <w:pPr>
              <w:pStyle w:val="AERtabletextleft"/>
              <w:keepNext/>
              <w:cnfStyle w:val="100000000000" w:firstRow="1" w:lastRow="0" w:firstColumn="0" w:lastColumn="0" w:oddVBand="0" w:evenVBand="0" w:oddHBand="0" w:evenHBand="0" w:firstRowFirstColumn="0" w:firstRowLastColumn="0" w:lastRowFirstColumn="0" w:lastRowLastColumn="0"/>
            </w:pPr>
            <w:r>
              <w:t>2018–19</w:t>
            </w:r>
          </w:p>
        </w:tc>
        <w:tc>
          <w:tcPr>
            <w:tcW w:w="1007" w:type="dxa"/>
            <w:tcBorders>
              <w:top w:val="nil"/>
              <w:left w:val="nil"/>
              <w:bottom w:val="nil"/>
              <w:right w:val="nil"/>
            </w:tcBorders>
            <w:hideMark/>
          </w:tcPr>
          <w:p w:rsidR="00AF0BCE" w:rsidRDefault="00AF0BCE" w:rsidP="00B30ADF">
            <w:pPr>
              <w:pStyle w:val="AERtabletextleft"/>
              <w:keepNext/>
              <w:cnfStyle w:val="100000000000" w:firstRow="1" w:lastRow="0" w:firstColumn="0" w:lastColumn="0" w:oddVBand="0" w:evenVBand="0" w:oddHBand="0" w:evenHBand="0" w:firstRowFirstColumn="0" w:firstRowLastColumn="0" w:lastRowFirstColumn="0" w:lastRowLastColumn="0"/>
            </w:pPr>
            <w:r>
              <w:t>2019–20</w:t>
            </w:r>
          </w:p>
        </w:tc>
        <w:tc>
          <w:tcPr>
            <w:tcW w:w="1007" w:type="dxa"/>
            <w:tcBorders>
              <w:top w:val="nil"/>
              <w:left w:val="nil"/>
              <w:bottom w:val="nil"/>
              <w:right w:val="nil"/>
            </w:tcBorders>
            <w:hideMark/>
          </w:tcPr>
          <w:p w:rsidR="00AF0BCE" w:rsidRDefault="00AF0BCE" w:rsidP="00B30ADF">
            <w:pPr>
              <w:pStyle w:val="AERtabletextleft"/>
              <w:keepNext/>
              <w:cnfStyle w:val="100000000000" w:firstRow="1" w:lastRow="0" w:firstColumn="0" w:lastColumn="0" w:oddVBand="0" w:evenVBand="0" w:oddHBand="0" w:evenHBand="0" w:firstRowFirstColumn="0" w:firstRowLastColumn="0" w:lastRowFirstColumn="0" w:lastRowLastColumn="0"/>
            </w:pPr>
            <w:r>
              <w:t>2020–21</w:t>
            </w:r>
          </w:p>
        </w:tc>
      </w:tr>
      <w:tr w:rsidR="004A24D5" w:rsidTr="00247EC5">
        <w:trPr>
          <w:trHeight w:val="246"/>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hideMark/>
          </w:tcPr>
          <w:p w:rsidR="00AF0BCE" w:rsidRDefault="00AF0BCE" w:rsidP="00B30ADF">
            <w:pPr>
              <w:pStyle w:val="AERtabletextleft"/>
              <w:keepNext/>
            </w:pPr>
            <w:r>
              <w:t>Opening capital base</w:t>
            </w:r>
          </w:p>
        </w:tc>
        <w:tc>
          <w:tcPr>
            <w:tcW w:w="1006" w:type="dxa"/>
            <w:tcBorders>
              <w:top w:val="nil"/>
              <w:left w:val="nil"/>
              <w:bottom w:val="nil"/>
              <w:right w:val="nil"/>
            </w:tcBorders>
          </w:tcPr>
          <w:p w:rsidR="00AF0BCE" w:rsidRDefault="004A24D5" w:rsidP="00B30ADF">
            <w:pPr>
              <w:pStyle w:val="AERtabletextleft"/>
              <w:keepNext/>
              <w:cnfStyle w:val="000000000000" w:firstRow="0" w:lastRow="0" w:firstColumn="0" w:lastColumn="0" w:oddVBand="0" w:evenVBand="0" w:oddHBand="0" w:evenHBand="0" w:firstRowFirstColumn="0" w:firstRowLastColumn="0" w:lastRowFirstColumn="0" w:lastRowLastColumn="0"/>
            </w:pPr>
            <w:r>
              <w:t>339.0</w:t>
            </w:r>
          </w:p>
        </w:tc>
        <w:tc>
          <w:tcPr>
            <w:tcW w:w="1007" w:type="dxa"/>
            <w:tcBorders>
              <w:top w:val="nil"/>
              <w:left w:val="nil"/>
              <w:bottom w:val="nil"/>
              <w:right w:val="nil"/>
            </w:tcBorders>
            <w:hideMark/>
          </w:tcPr>
          <w:p w:rsidR="00AF0BCE" w:rsidRDefault="004A24D5" w:rsidP="00B30ADF">
            <w:pPr>
              <w:pStyle w:val="AERtabletextleft"/>
              <w:keepNext/>
              <w:cnfStyle w:val="000000000000" w:firstRow="0" w:lastRow="0" w:firstColumn="0" w:lastColumn="0" w:oddVBand="0" w:evenVBand="0" w:oddHBand="0" w:evenHBand="0" w:firstRowFirstColumn="0" w:firstRowLastColumn="0" w:lastRowFirstColumn="0" w:lastRowLastColumn="0"/>
            </w:pPr>
            <w:r>
              <w:t>370.1</w:t>
            </w:r>
          </w:p>
        </w:tc>
        <w:tc>
          <w:tcPr>
            <w:tcW w:w="1007" w:type="dxa"/>
            <w:tcBorders>
              <w:top w:val="nil"/>
              <w:left w:val="nil"/>
              <w:bottom w:val="nil"/>
              <w:right w:val="nil"/>
            </w:tcBorders>
            <w:hideMark/>
          </w:tcPr>
          <w:p w:rsidR="00AF0BCE" w:rsidRDefault="004A24D5" w:rsidP="00B30ADF">
            <w:pPr>
              <w:pStyle w:val="AERtabletextleft"/>
              <w:keepNext/>
              <w:cnfStyle w:val="000000000000" w:firstRow="0" w:lastRow="0" w:firstColumn="0" w:lastColumn="0" w:oddVBand="0" w:evenVBand="0" w:oddHBand="0" w:evenHBand="0" w:firstRowFirstColumn="0" w:firstRowLastColumn="0" w:lastRowFirstColumn="0" w:lastRowLastColumn="0"/>
            </w:pPr>
            <w:r>
              <w:t>389.3</w:t>
            </w:r>
          </w:p>
        </w:tc>
        <w:tc>
          <w:tcPr>
            <w:tcW w:w="1006" w:type="dxa"/>
            <w:tcBorders>
              <w:top w:val="nil"/>
              <w:left w:val="nil"/>
              <w:bottom w:val="nil"/>
              <w:right w:val="nil"/>
            </w:tcBorders>
          </w:tcPr>
          <w:p w:rsidR="00AF0BCE" w:rsidRDefault="004A24D5" w:rsidP="00B30ADF">
            <w:pPr>
              <w:pStyle w:val="AERtabletextleft"/>
              <w:keepNext/>
              <w:cnfStyle w:val="000000000000" w:firstRow="0" w:lastRow="0" w:firstColumn="0" w:lastColumn="0" w:oddVBand="0" w:evenVBand="0" w:oddHBand="0" w:evenHBand="0" w:firstRowFirstColumn="0" w:firstRowLastColumn="0" w:lastRowFirstColumn="0" w:lastRowLastColumn="0"/>
            </w:pPr>
            <w:r>
              <w:t>412.7</w:t>
            </w:r>
          </w:p>
        </w:tc>
        <w:tc>
          <w:tcPr>
            <w:tcW w:w="1007" w:type="dxa"/>
            <w:tcBorders>
              <w:top w:val="nil"/>
              <w:left w:val="nil"/>
              <w:bottom w:val="nil"/>
              <w:right w:val="nil"/>
            </w:tcBorders>
          </w:tcPr>
          <w:p w:rsidR="00AF0BCE" w:rsidRDefault="004A24D5" w:rsidP="00B30ADF">
            <w:pPr>
              <w:pStyle w:val="AERtabletextleft"/>
              <w:keepNext/>
              <w:cnfStyle w:val="000000000000" w:firstRow="0" w:lastRow="0" w:firstColumn="0" w:lastColumn="0" w:oddVBand="0" w:evenVBand="0" w:oddHBand="0" w:evenHBand="0" w:firstRowFirstColumn="0" w:firstRowLastColumn="0" w:lastRowFirstColumn="0" w:lastRowLastColumn="0"/>
            </w:pPr>
            <w:r>
              <w:t>433.7</w:t>
            </w:r>
          </w:p>
        </w:tc>
        <w:tc>
          <w:tcPr>
            <w:tcW w:w="1007" w:type="dxa"/>
            <w:tcBorders>
              <w:top w:val="nil"/>
              <w:left w:val="nil"/>
              <w:bottom w:val="nil"/>
              <w:right w:val="nil"/>
            </w:tcBorders>
          </w:tcPr>
          <w:p w:rsidR="00AF0BCE" w:rsidRDefault="004A24D5" w:rsidP="00B30ADF">
            <w:pPr>
              <w:pStyle w:val="AERtabletextleft"/>
              <w:keepNext/>
              <w:cnfStyle w:val="000000000000" w:firstRow="0" w:lastRow="0" w:firstColumn="0" w:lastColumn="0" w:oddVBand="0" w:evenVBand="0" w:oddHBand="0" w:evenHBand="0" w:firstRowFirstColumn="0" w:firstRowLastColumn="0" w:lastRowFirstColumn="0" w:lastRowLastColumn="0"/>
            </w:pPr>
            <w:r>
              <w:t>454.0</w:t>
            </w:r>
          </w:p>
        </w:tc>
      </w:tr>
      <w:tr w:rsidR="004A24D5" w:rsidTr="00247EC5">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hideMark/>
          </w:tcPr>
          <w:p w:rsidR="00AF0BCE" w:rsidRDefault="00AF0BCE" w:rsidP="00B30ADF">
            <w:pPr>
              <w:pStyle w:val="AERtabletextleft"/>
              <w:keepNext/>
            </w:pPr>
            <w:r>
              <w:t xml:space="preserve">Net capex </w:t>
            </w:r>
          </w:p>
        </w:tc>
        <w:tc>
          <w:tcPr>
            <w:tcW w:w="1006" w:type="dxa"/>
            <w:tcBorders>
              <w:top w:val="nil"/>
              <w:left w:val="nil"/>
              <w:bottom w:val="nil"/>
              <w:right w:val="nil"/>
            </w:tcBorders>
          </w:tcPr>
          <w:p w:rsidR="00AF0BCE" w:rsidRDefault="004A24D5" w:rsidP="00B30ADF">
            <w:pPr>
              <w:pStyle w:val="AERtabletextleft"/>
              <w:keepNext/>
              <w:cnfStyle w:val="000000010000" w:firstRow="0" w:lastRow="0" w:firstColumn="0" w:lastColumn="0" w:oddVBand="0" w:evenVBand="0" w:oddHBand="0" w:evenHBand="1" w:firstRowFirstColumn="0" w:firstRowLastColumn="0" w:lastRowFirstColumn="0" w:lastRowLastColumn="0"/>
            </w:pPr>
            <w:r>
              <w:t>34.8</w:t>
            </w:r>
          </w:p>
        </w:tc>
        <w:tc>
          <w:tcPr>
            <w:tcW w:w="1007" w:type="dxa"/>
            <w:tcBorders>
              <w:top w:val="nil"/>
              <w:left w:val="nil"/>
              <w:bottom w:val="nil"/>
              <w:right w:val="nil"/>
            </w:tcBorders>
          </w:tcPr>
          <w:p w:rsidR="00AF0BCE" w:rsidRDefault="004A24D5" w:rsidP="00B30ADF">
            <w:pPr>
              <w:pStyle w:val="AERtabletextleft"/>
              <w:keepNext/>
              <w:cnfStyle w:val="000000010000" w:firstRow="0" w:lastRow="0" w:firstColumn="0" w:lastColumn="0" w:oddVBand="0" w:evenVBand="0" w:oddHBand="0" w:evenHBand="1" w:firstRowFirstColumn="0" w:firstRowLastColumn="0" w:lastRowFirstColumn="0" w:lastRowLastColumn="0"/>
            </w:pPr>
            <w:r>
              <w:t>23.5</w:t>
            </w:r>
          </w:p>
        </w:tc>
        <w:tc>
          <w:tcPr>
            <w:tcW w:w="1007" w:type="dxa"/>
            <w:tcBorders>
              <w:top w:val="nil"/>
              <w:left w:val="nil"/>
              <w:bottom w:val="nil"/>
              <w:right w:val="nil"/>
            </w:tcBorders>
          </w:tcPr>
          <w:p w:rsidR="00AF0BCE" w:rsidRDefault="004A24D5" w:rsidP="00B30ADF">
            <w:pPr>
              <w:pStyle w:val="AERtabletextleft"/>
              <w:keepNext/>
              <w:cnfStyle w:val="000000010000" w:firstRow="0" w:lastRow="0" w:firstColumn="0" w:lastColumn="0" w:oddVBand="0" w:evenVBand="0" w:oddHBand="0" w:evenHBand="1" w:firstRowFirstColumn="0" w:firstRowLastColumn="0" w:lastRowFirstColumn="0" w:lastRowLastColumn="0"/>
            </w:pPr>
            <w:r>
              <w:t>28.5</w:t>
            </w:r>
          </w:p>
        </w:tc>
        <w:tc>
          <w:tcPr>
            <w:tcW w:w="1006" w:type="dxa"/>
            <w:tcBorders>
              <w:top w:val="nil"/>
              <w:left w:val="nil"/>
              <w:bottom w:val="nil"/>
              <w:right w:val="nil"/>
            </w:tcBorders>
          </w:tcPr>
          <w:p w:rsidR="00AF0BCE" w:rsidRDefault="004A24D5" w:rsidP="00B30ADF">
            <w:pPr>
              <w:pStyle w:val="AERtabletextleft"/>
              <w:keepNext/>
              <w:cnfStyle w:val="000000010000" w:firstRow="0" w:lastRow="0" w:firstColumn="0" w:lastColumn="0" w:oddVBand="0" w:evenVBand="0" w:oddHBand="0" w:evenHBand="1" w:firstRowFirstColumn="0" w:firstRowLastColumn="0" w:lastRowFirstColumn="0" w:lastRowLastColumn="0"/>
            </w:pPr>
            <w:r>
              <w:t>27.0</w:t>
            </w:r>
          </w:p>
        </w:tc>
        <w:tc>
          <w:tcPr>
            <w:tcW w:w="1007" w:type="dxa"/>
            <w:tcBorders>
              <w:top w:val="nil"/>
              <w:left w:val="nil"/>
              <w:bottom w:val="nil"/>
              <w:right w:val="nil"/>
            </w:tcBorders>
          </w:tcPr>
          <w:p w:rsidR="00AF0BCE" w:rsidRDefault="004A24D5" w:rsidP="00B30ADF">
            <w:pPr>
              <w:pStyle w:val="AERtabletextleft"/>
              <w:keepNext/>
              <w:cnfStyle w:val="000000010000" w:firstRow="0" w:lastRow="0" w:firstColumn="0" w:lastColumn="0" w:oddVBand="0" w:evenVBand="0" w:oddHBand="0" w:evenHBand="1" w:firstRowFirstColumn="0" w:firstRowLastColumn="0" w:lastRowFirstColumn="0" w:lastRowLastColumn="0"/>
            </w:pPr>
            <w:r>
              <w:t>27.2</w:t>
            </w:r>
          </w:p>
        </w:tc>
        <w:tc>
          <w:tcPr>
            <w:tcW w:w="1007" w:type="dxa"/>
            <w:tcBorders>
              <w:top w:val="nil"/>
              <w:left w:val="nil"/>
              <w:bottom w:val="nil"/>
              <w:right w:val="nil"/>
            </w:tcBorders>
          </w:tcPr>
          <w:p w:rsidR="00AF0BCE" w:rsidRDefault="004A24D5" w:rsidP="00B30ADF">
            <w:pPr>
              <w:pStyle w:val="AERtabletextleft"/>
              <w:keepNext/>
              <w:cnfStyle w:val="000000010000" w:firstRow="0" w:lastRow="0" w:firstColumn="0" w:lastColumn="0" w:oddVBand="0" w:evenVBand="0" w:oddHBand="0" w:evenHBand="1" w:firstRowFirstColumn="0" w:firstRowLastColumn="0" w:lastRowFirstColumn="0" w:lastRowLastColumn="0"/>
            </w:pPr>
            <w:r>
              <w:t>21.1</w:t>
            </w:r>
          </w:p>
        </w:tc>
      </w:tr>
      <w:tr w:rsidR="004A24D5" w:rsidTr="00247EC5">
        <w:trPr>
          <w:trHeight w:val="246"/>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hideMark/>
          </w:tcPr>
          <w:p w:rsidR="00AF0BCE" w:rsidRDefault="00AF0BCE" w:rsidP="00B30ADF">
            <w:pPr>
              <w:pStyle w:val="AERtabletextleft"/>
              <w:keepNext/>
            </w:pPr>
            <w:r>
              <w:t>Indexation of capital base</w:t>
            </w:r>
          </w:p>
        </w:tc>
        <w:tc>
          <w:tcPr>
            <w:tcW w:w="1006" w:type="dxa"/>
            <w:tcBorders>
              <w:top w:val="nil"/>
              <w:left w:val="nil"/>
              <w:bottom w:val="nil"/>
              <w:right w:val="nil"/>
            </w:tcBorders>
          </w:tcPr>
          <w:p w:rsidR="00AF0BCE" w:rsidRDefault="004A24D5" w:rsidP="00B30ADF">
            <w:pPr>
              <w:pStyle w:val="AERtabletextleft"/>
              <w:keepNext/>
              <w:cnfStyle w:val="000000000000" w:firstRow="0" w:lastRow="0" w:firstColumn="0" w:lastColumn="0" w:oddVBand="0" w:evenVBand="0" w:oddHBand="0" w:evenHBand="0" w:firstRowFirstColumn="0" w:firstRowLastColumn="0" w:lastRowFirstColumn="0" w:lastRowLastColumn="0"/>
            </w:pPr>
            <w:r>
              <w:t>8.6</w:t>
            </w:r>
          </w:p>
        </w:tc>
        <w:tc>
          <w:tcPr>
            <w:tcW w:w="1007" w:type="dxa"/>
            <w:tcBorders>
              <w:top w:val="nil"/>
              <w:left w:val="nil"/>
              <w:bottom w:val="nil"/>
              <w:right w:val="nil"/>
            </w:tcBorders>
          </w:tcPr>
          <w:p w:rsidR="00AF0BCE" w:rsidRDefault="004A24D5" w:rsidP="00B30ADF">
            <w:pPr>
              <w:pStyle w:val="AERtabletextleft"/>
              <w:keepNext/>
              <w:cnfStyle w:val="000000000000" w:firstRow="0" w:lastRow="0" w:firstColumn="0" w:lastColumn="0" w:oddVBand="0" w:evenVBand="0" w:oddHBand="0" w:evenHBand="0" w:firstRowFirstColumn="0" w:firstRowLastColumn="0" w:lastRowFirstColumn="0" w:lastRowLastColumn="0"/>
            </w:pPr>
            <w:r>
              <w:t>9.4</w:t>
            </w:r>
          </w:p>
        </w:tc>
        <w:tc>
          <w:tcPr>
            <w:tcW w:w="1007" w:type="dxa"/>
            <w:tcBorders>
              <w:top w:val="nil"/>
              <w:left w:val="nil"/>
              <w:bottom w:val="nil"/>
              <w:right w:val="nil"/>
            </w:tcBorders>
          </w:tcPr>
          <w:p w:rsidR="00AF0BCE" w:rsidRDefault="004A24D5" w:rsidP="00B30ADF">
            <w:pPr>
              <w:pStyle w:val="AERtabletextleft"/>
              <w:keepNext/>
              <w:cnfStyle w:val="000000000000" w:firstRow="0" w:lastRow="0" w:firstColumn="0" w:lastColumn="0" w:oddVBand="0" w:evenVBand="0" w:oddHBand="0" w:evenHBand="0" w:firstRowFirstColumn="0" w:firstRowLastColumn="0" w:lastRowFirstColumn="0" w:lastRowLastColumn="0"/>
            </w:pPr>
            <w:r>
              <w:t>9.9</w:t>
            </w:r>
          </w:p>
        </w:tc>
        <w:tc>
          <w:tcPr>
            <w:tcW w:w="1006" w:type="dxa"/>
            <w:tcBorders>
              <w:top w:val="nil"/>
              <w:left w:val="nil"/>
              <w:bottom w:val="nil"/>
              <w:right w:val="nil"/>
            </w:tcBorders>
          </w:tcPr>
          <w:p w:rsidR="00AF0BCE" w:rsidRDefault="004A24D5" w:rsidP="00B30ADF">
            <w:pPr>
              <w:pStyle w:val="AERtabletextleft"/>
              <w:keepNext/>
              <w:cnfStyle w:val="000000000000" w:firstRow="0" w:lastRow="0" w:firstColumn="0" w:lastColumn="0" w:oddVBand="0" w:evenVBand="0" w:oddHBand="0" w:evenHBand="0" w:firstRowFirstColumn="0" w:firstRowLastColumn="0" w:lastRowFirstColumn="0" w:lastRowLastColumn="0"/>
            </w:pPr>
            <w:r>
              <w:t>10.5</w:t>
            </w:r>
          </w:p>
        </w:tc>
        <w:tc>
          <w:tcPr>
            <w:tcW w:w="1007" w:type="dxa"/>
            <w:tcBorders>
              <w:top w:val="nil"/>
              <w:left w:val="nil"/>
              <w:bottom w:val="nil"/>
              <w:right w:val="nil"/>
            </w:tcBorders>
          </w:tcPr>
          <w:p w:rsidR="00AF0BCE" w:rsidRDefault="004A24D5" w:rsidP="00B30ADF">
            <w:pPr>
              <w:pStyle w:val="AERtabletextleft"/>
              <w:keepNext/>
              <w:cnfStyle w:val="000000000000" w:firstRow="0" w:lastRow="0" w:firstColumn="0" w:lastColumn="0" w:oddVBand="0" w:evenVBand="0" w:oddHBand="0" w:evenHBand="0" w:firstRowFirstColumn="0" w:firstRowLastColumn="0" w:lastRowFirstColumn="0" w:lastRowLastColumn="0"/>
            </w:pPr>
            <w:r>
              <w:t>11.1</w:t>
            </w:r>
          </w:p>
        </w:tc>
        <w:tc>
          <w:tcPr>
            <w:tcW w:w="1007" w:type="dxa"/>
            <w:tcBorders>
              <w:top w:val="nil"/>
              <w:left w:val="nil"/>
              <w:bottom w:val="nil"/>
              <w:right w:val="nil"/>
            </w:tcBorders>
          </w:tcPr>
          <w:p w:rsidR="00AF0BCE" w:rsidRDefault="004A24D5" w:rsidP="00B30ADF">
            <w:pPr>
              <w:pStyle w:val="AERtabletextleft"/>
              <w:keepNext/>
              <w:cnfStyle w:val="000000000000" w:firstRow="0" w:lastRow="0" w:firstColumn="0" w:lastColumn="0" w:oddVBand="0" w:evenVBand="0" w:oddHBand="0" w:evenHBand="0" w:firstRowFirstColumn="0" w:firstRowLastColumn="0" w:lastRowFirstColumn="0" w:lastRowLastColumn="0"/>
            </w:pPr>
            <w:r>
              <w:t>11.6</w:t>
            </w:r>
          </w:p>
        </w:tc>
      </w:tr>
      <w:tr w:rsidR="004A24D5" w:rsidTr="00247EC5">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hideMark/>
          </w:tcPr>
          <w:p w:rsidR="00AF0BCE" w:rsidRDefault="00AF0BCE" w:rsidP="00B30ADF">
            <w:pPr>
              <w:pStyle w:val="AERtabletextleft"/>
              <w:keepNext/>
            </w:pPr>
            <w:r>
              <w:t>Depreciation</w:t>
            </w:r>
          </w:p>
        </w:tc>
        <w:tc>
          <w:tcPr>
            <w:tcW w:w="1006" w:type="dxa"/>
            <w:tcBorders>
              <w:top w:val="nil"/>
              <w:left w:val="nil"/>
              <w:bottom w:val="nil"/>
              <w:right w:val="nil"/>
            </w:tcBorders>
          </w:tcPr>
          <w:p w:rsidR="00AF0BCE" w:rsidRDefault="004A24D5" w:rsidP="00B30ADF">
            <w:pPr>
              <w:pStyle w:val="AERtabletextleft"/>
              <w:keepNext/>
              <w:cnfStyle w:val="000000010000" w:firstRow="0" w:lastRow="0" w:firstColumn="0" w:lastColumn="0" w:oddVBand="0" w:evenVBand="0" w:oddHBand="0" w:evenHBand="1" w:firstRowFirstColumn="0" w:firstRowLastColumn="0" w:lastRowFirstColumn="0" w:lastRowLastColumn="0"/>
            </w:pPr>
            <w:r>
              <w:t>–12.3</w:t>
            </w:r>
          </w:p>
        </w:tc>
        <w:tc>
          <w:tcPr>
            <w:tcW w:w="1007" w:type="dxa"/>
            <w:tcBorders>
              <w:top w:val="nil"/>
              <w:left w:val="nil"/>
              <w:bottom w:val="nil"/>
              <w:right w:val="nil"/>
            </w:tcBorders>
          </w:tcPr>
          <w:p w:rsidR="00AF0BCE" w:rsidRDefault="004A24D5" w:rsidP="00B30ADF">
            <w:pPr>
              <w:pStyle w:val="AERtabletextleft"/>
              <w:keepNext/>
              <w:cnfStyle w:val="000000010000" w:firstRow="0" w:lastRow="0" w:firstColumn="0" w:lastColumn="0" w:oddVBand="0" w:evenVBand="0" w:oddHBand="0" w:evenHBand="1" w:firstRowFirstColumn="0" w:firstRowLastColumn="0" w:lastRowFirstColumn="0" w:lastRowLastColumn="0"/>
            </w:pPr>
            <w:r>
              <w:t>–13.7</w:t>
            </w:r>
          </w:p>
        </w:tc>
        <w:tc>
          <w:tcPr>
            <w:tcW w:w="1007" w:type="dxa"/>
            <w:tcBorders>
              <w:top w:val="nil"/>
              <w:left w:val="nil"/>
              <w:bottom w:val="nil"/>
              <w:right w:val="nil"/>
            </w:tcBorders>
          </w:tcPr>
          <w:p w:rsidR="00AF0BCE" w:rsidRDefault="004A24D5" w:rsidP="00B30ADF">
            <w:pPr>
              <w:pStyle w:val="AERtabletextleft"/>
              <w:keepNext/>
              <w:cnfStyle w:val="000000010000" w:firstRow="0" w:lastRow="0" w:firstColumn="0" w:lastColumn="0" w:oddVBand="0" w:evenVBand="0" w:oddHBand="0" w:evenHBand="1" w:firstRowFirstColumn="0" w:firstRowLastColumn="0" w:lastRowFirstColumn="0" w:lastRowLastColumn="0"/>
            </w:pPr>
            <w:r>
              <w:t>–15.0</w:t>
            </w:r>
          </w:p>
        </w:tc>
        <w:tc>
          <w:tcPr>
            <w:tcW w:w="1006" w:type="dxa"/>
            <w:tcBorders>
              <w:top w:val="nil"/>
              <w:left w:val="nil"/>
              <w:bottom w:val="nil"/>
              <w:right w:val="nil"/>
            </w:tcBorders>
          </w:tcPr>
          <w:p w:rsidR="00AF0BCE" w:rsidRDefault="004A24D5" w:rsidP="00B30ADF">
            <w:pPr>
              <w:pStyle w:val="AERtabletextleft"/>
              <w:keepNext/>
              <w:cnfStyle w:val="000000010000" w:firstRow="0" w:lastRow="0" w:firstColumn="0" w:lastColumn="0" w:oddVBand="0" w:evenVBand="0" w:oddHBand="0" w:evenHBand="1" w:firstRowFirstColumn="0" w:firstRowLastColumn="0" w:lastRowFirstColumn="0" w:lastRowLastColumn="0"/>
            </w:pPr>
            <w:r>
              <w:t>–16.5</w:t>
            </w:r>
          </w:p>
        </w:tc>
        <w:tc>
          <w:tcPr>
            <w:tcW w:w="1007" w:type="dxa"/>
            <w:tcBorders>
              <w:top w:val="nil"/>
              <w:left w:val="nil"/>
              <w:bottom w:val="nil"/>
              <w:right w:val="nil"/>
            </w:tcBorders>
          </w:tcPr>
          <w:p w:rsidR="00AF0BCE" w:rsidRDefault="004A24D5" w:rsidP="00B30ADF">
            <w:pPr>
              <w:pStyle w:val="AERtabletextleft"/>
              <w:keepNext/>
              <w:cnfStyle w:val="000000010000" w:firstRow="0" w:lastRow="0" w:firstColumn="0" w:lastColumn="0" w:oddVBand="0" w:evenVBand="0" w:oddHBand="0" w:evenHBand="1" w:firstRowFirstColumn="0" w:firstRowLastColumn="0" w:lastRowFirstColumn="0" w:lastRowLastColumn="0"/>
            </w:pPr>
            <w:r>
              <w:t>–</w:t>
            </w:r>
            <w:r w:rsidR="00156DAA">
              <w:t>18.1</w:t>
            </w:r>
          </w:p>
        </w:tc>
        <w:tc>
          <w:tcPr>
            <w:tcW w:w="1007" w:type="dxa"/>
            <w:tcBorders>
              <w:top w:val="nil"/>
              <w:left w:val="nil"/>
              <w:bottom w:val="nil"/>
              <w:right w:val="nil"/>
            </w:tcBorders>
          </w:tcPr>
          <w:p w:rsidR="00AF0BCE" w:rsidRDefault="00156DAA" w:rsidP="00B30ADF">
            <w:pPr>
              <w:pStyle w:val="AERtabletextleft"/>
              <w:keepNext/>
              <w:cnfStyle w:val="000000010000" w:firstRow="0" w:lastRow="0" w:firstColumn="0" w:lastColumn="0" w:oddVBand="0" w:evenVBand="0" w:oddHBand="0" w:evenHBand="1" w:firstRowFirstColumn="0" w:firstRowLastColumn="0" w:lastRowFirstColumn="0" w:lastRowLastColumn="0"/>
            </w:pPr>
            <w:r>
              <w:t>–19.4</w:t>
            </w:r>
          </w:p>
        </w:tc>
      </w:tr>
      <w:tr w:rsidR="004A24D5" w:rsidTr="00247EC5">
        <w:trPr>
          <w:trHeight w:val="246"/>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single" w:sz="4" w:space="0" w:color="365F91"/>
              <w:right w:val="nil"/>
            </w:tcBorders>
            <w:hideMark/>
          </w:tcPr>
          <w:p w:rsidR="00AF0BCE" w:rsidRDefault="00AF0BCE" w:rsidP="00B30ADF">
            <w:pPr>
              <w:pStyle w:val="AERtabletextleft"/>
              <w:keepNext/>
            </w:pPr>
            <w:r>
              <w:t>Closing capital base</w:t>
            </w:r>
          </w:p>
        </w:tc>
        <w:tc>
          <w:tcPr>
            <w:tcW w:w="1006" w:type="dxa"/>
            <w:tcBorders>
              <w:top w:val="nil"/>
              <w:left w:val="nil"/>
              <w:bottom w:val="single" w:sz="4" w:space="0" w:color="365F91"/>
              <w:right w:val="nil"/>
            </w:tcBorders>
          </w:tcPr>
          <w:p w:rsidR="00AF0BCE" w:rsidRDefault="00156DAA" w:rsidP="00B30ADF">
            <w:pPr>
              <w:pStyle w:val="AERtabletextleft"/>
              <w:keepNext/>
              <w:cnfStyle w:val="000000000000" w:firstRow="0" w:lastRow="0" w:firstColumn="0" w:lastColumn="0" w:oddVBand="0" w:evenVBand="0" w:oddHBand="0" w:evenHBand="0" w:firstRowFirstColumn="0" w:firstRowLastColumn="0" w:lastRowFirstColumn="0" w:lastRowLastColumn="0"/>
            </w:pPr>
            <w:r>
              <w:t>370.1</w:t>
            </w:r>
          </w:p>
        </w:tc>
        <w:tc>
          <w:tcPr>
            <w:tcW w:w="1007" w:type="dxa"/>
            <w:tcBorders>
              <w:top w:val="nil"/>
              <w:left w:val="nil"/>
              <w:bottom w:val="single" w:sz="4" w:space="0" w:color="365F91"/>
              <w:right w:val="nil"/>
            </w:tcBorders>
          </w:tcPr>
          <w:p w:rsidR="00AF0BCE" w:rsidRDefault="00156DAA" w:rsidP="00B30ADF">
            <w:pPr>
              <w:pStyle w:val="AERtabletextleft"/>
              <w:keepNext/>
              <w:cnfStyle w:val="000000000000" w:firstRow="0" w:lastRow="0" w:firstColumn="0" w:lastColumn="0" w:oddVBand="0" w:evenVBand="0" w:oddHBand="0" w:evenHBand="0" w:firstRowFirstColumn="0" w:firstRowLastColumn="0" w:lastRowFirstColumn="0" w:lastRowLastColumn="0"/>
            </w:pPr>
            <w:r>
              <w:t>389.3</w:t>
            </w:r>
          </w:p>
        </w:tc>
        <w:tc>
          <w:tcPr>
            <w:tcW w:w="1007" w:type="dxa"/>
            <w:tcBorders>
              <w:top w:val="nil"/>
              <w:left w:val="nil"/>
              <w:bottom w:val="single" w:sz="4" w:space="0" w:color="365F91"/>
              <w:right w:val="nil"/>
            </w:tcBorders>
          </w:tcPr>
          <w:p w:rsidR="00AF0BCE" w:rsidRDefault="00156DAA" w:rsidP="00B30ADF">
            <w:pPr>
              <w:pStyle w:val="AERtabletextleft"/>
              <w:keepNext/>
              <w:cnfStyle w:val="000000000000" w:firstRow="0" w:lastRow="0" w:firstColumn="0" w:lastColumn="0" w:oddVBand="0" w:evenVBand="0" w:oddHBand="0" w:evenHBand="0" w:firstRowFirstColumn="0" w:firstRowLastColumn="0" w:lastRowFirstColumn="0" w:lastRowLastColumn="0"/>
            </w:pPr>
            <w:r>
              <w:t>412.7</w:t>
            </w:r>
          </w:p>
        </w:tc>
        <w:tc>
          <w:tcPr>
            <w:tcW w:w="1006" w:type="dxa"/>
            <w:tcBorders>
              <w:top w:val="nil"/>
              <w:left w:val="nil"/>
              <w:bottom w:val="single" w:sz="4" w:space="0" w:color="365F91"/>
              <w:right w:val="nil"/>
            </w:tcBorders>
          </w:tcPr>
          <w:p w:rsidR="00AF0BCE" w:rsidRDefault="00156DAA" w:rsidP="00B30ADF">
            <w:pPr>
              <w:pStyle w:val="AERtabletextleft"/>
              <w:keepNext/>
              <w:cnfStyle w:val="000000000000" w:firstRow="0" w:lastRow="0" w:firstColumn="0" w:lastColumn="0" w:oddVBand="0" w:evenVBand="0" w:oddHBand="0" w:evenHBand="0" w:firstRowFirstColumn="0" w:firstRowLastColumn="0" w:lastRowFirstColumn="0" w:lastRowLastColumn="0"/>
            </w:pPr>
            <w:r>
              <w:t>433.7</w:t>
            </w:r>
          </w:p>
        </w:tc>
        <w:tc>
          <w:tcPr>
            <w:tcW w:w="1007" w:type="dxa"/>
            <w:tcBorders>
              <w:top w:val="nil"/>
              <w:left w:val="nil"/>
              <w:bottom w:val="single" w:sz="4" w:space="0" w:color="365F91"/>
              <w:right w:val="nil"/>
            </w:tcBorders>
          </w:tcPr>
          <w:p w:rsidR="00AF0BCE" w:rsidRDefault="00156DAA" w:rsidP="00B30ADF">
            <w:pPr>
              <w:pStyle w:val="AERtabletextleft"/>
              <w:keepNext/>
              <w:cnfStyle w:val="000000000000" w:firstRow="0" w:lastRow="0" w:firstColumn="0" w:lastColumn="0" w:oddVBand="0" w:evenVBand="0" w:oddHBand="0" w:evenHBand="0" w:firstRowFirstColumn="0" w:firstRowLastColumn="0" w:lastRowFirstColumn="0" w:lastRowLastColumn="0"/>
            </w:pPr>
            <w:r>
              <w:t>454.0</w:t>
            </w:r>
          </w:p>
        </w:tc>
        <w:tc>
          <w:tcPr>
            <w:tcW w:w="1007" w:type="dxa"/>
            <w:tcBorders>
              <w:top w:val="nil"/>
              <w:left w:val="nil"/>
              <w:bottom w:val="single" w:sz="4" w:space="0" w:color="365F91"/>
              <w:right w:val="nil"/>
            </w:tcBorders>
          </w:tcPr>
          <w:p w:rsidR="00AF0BCE" w:rsidRDefault="00156DAA" w:rsidP="00B30ADF">
            <w:pPr>
              <w:pStyle w:val="AERtabletextleft"/>
              <w:keepNext/>
              <w:cnfStyle w:val="000000000000" w:firstRow="0" w:lastRow="0" w:firstColumn="0" w:lastColumn="0" w:oddVBand="0" w:evenVBand="0" w:oddHBand="0" w:evenHBand="0" w:firstRowFirstColumn="0" w:firstRowLastColumn="0" w:lastRowFirstColumn="0" w:lastRowLastColumn="0"/>
            </w:pPr>
            <w:r>
              <w:t>467.2</w:t>
            </w:r>
          </w:p>
        </w:tc>
      </w:tr>
    </w:tbl>
    <w:p w:rsidR="0055229A" w:rsidRDefault="0055229A" w:rsidP="0055229A">
      <w:pPr>
        <w:pStyle w:val="AERtablesource"/>
      </w:pPr>
      <w:r>
        <w:rPr>
          <w:rFonts w:eastAsia="Calibri"/>
        </w:rPr>
        <w:t xml:space="preserve">Source: </w:t>
      </w:r>
      <w:r>
        <w:rPr>
          <w:rFonts w:eastAsia="Calibri"/>
        </w:rPr>
        <w:tab/>
      </w:r>
      <w:r w:rsidR="006F0387">
        <w:rPr>
          <w:rFonts w:eastAsia="Calibri"/>
        </w:rPr>
        <w:t>ActewAGL</w:t>
      </w:r>
      <w:r>
        <w:t xml:space="preserve">, </w:t>
      </w:r>
      <w:r>
        <w:rPr>
          <w:rStyle w:val="AERtextitalic"/>
        </w:rPr>
        <w:t>Proposed PTRM</w:t>
      </w:r>
      <w:r w:rsidR="00AF0BCE">
        <w:rPr>
          <w:rStyle w:val="AERtextitalic"/>
        </w:rPr>
        <w:t xml:space="preserve"> (alternative approach)</w:t>
      </w:r>
      <w:r>
        <w:t xml:space="preserve">, </w:t>
      </w:r>
      <w:r w:rsidR="00AF0BCE">
        <w:t>June</w:t>
      </w:r>
      <w:r>
        <w:t xml:space="preserve"> 2015.</w:t>
      </w:r>
    </w:p>
    <w:p w:rsidR="0055229A" w:rsidRDefault="0055229A" w:rsidP="0055229A">
      <w:pPr>
        <w:pStyle w:val="Heading3"/>
      </w:pPr>
      <w:bookmarkStart w:id="30" w:name="_Toc429575468"/>
      <w:bookmarkStart w:id="31" w:name="_Toc436040728"/>
      <w:r>
        <w:t xml:space="preserve">Capital base at the commencement of </w:t>
      </w:r>
      <w:r w:rsidR="00045BBC">
        <w:t xml:space="preserve">the </w:t>
      </w:r>
      <w:r>
        <w:t>2021–26 access arrangement period</w:t>
      </w:r>
      <w:bookmarkEnd w:id="30"/>
      <w:bookmarkEnd w:id="31"/>
    </w:p>
    <w:p w:rsidR="00AF0BCE" w:rsidRPr="00451AB4" w:rsidRDefault="006F0387" w:rsidP="00AF0BCE">
      <w:r>
        <w:t>ActewAGL</w:t>
      </w:r>
      <w:r w:rsidR="0055229A">
        <w:t xml:space="preserve"> proposed to use forecast depreciation </w:t>
      </w:r>
      <w:r w:rsidR="007444DA">
        <w:t xml:space="preserve">approved in the final decision of this access arrangement review </w:t>
      </w:r>
      <w:r w:rsidR="0055229A">
        <w:t xml:space="preserve">to determine the opening capital base as at 1 July 2021. </w:t>
      </w:r>
      <w:r w:rsidR="00AF0BCE">
        <w:t>This app</w:t>
      </w:r>
      <w:r w:rsidR="00F23AE0">
        <w:t>roach is for 2015–16 and the 2016</w:t>
      </w:r>
      <w:r w:rsidR="00AF0BCE">
        <w:t>–2</w:t>
      </w:r>
      <w:r w:rsidR="00F23AE0">
        <w:t>1</w:t>
      </w:r>
      <w:r w:rsidR="00AF0BCE">
        <w:t xml:space="preserve"> access arrangement period. It stated that this will result in a consistent treatment of depreciation throughout 2015</w:t>
      </w:r>
      <w:r w:rsidR="00F23AE0">
        <w:t>–16 and the 2016</w:t>
      </w:r>
      <w:r w:rsidR="00AF0BCE">
        <w:t xml:space="preserve">–21 </w:t>
      </w:r>
      <w:r w:rsidR="00F23AE0">
        <w:t xml:space="preserve">access arrangement </w:t>
      </w:r>
      <w:r w:rsidR="00AF0BCE">
        <w:t>period.</w:t>
      </w:r>
      <w:r w:rsidR="00AF0BCE">
        <w:rPr>
          <w:rStyle w:val="FootnoteReference"/>
        </w:rPr>
        <w:footnoteReference w:id="8"/>
      </w:r>
    </w:p>
    <w:p w:rsidR="009A5113" w:rsidRDefault="009A5113" w:rsidP="009A5113">
      <w:pPr>
        <w:pStyle w:val="Heading2"/>
      </w:pPr>
      <w:bookmarkStart w:id="32" w:name="_Toc430706230"/>
      <w:bookmarkStart w:id="33" w:name="_Toc408404322"/>
      <w:bookmarkStart w:id="34" w:name="_Toc436040729"/>
      <w:bookmarkEnd w:id="32"/>
      <w:r w:rsidRPr="0074565D">
        <w:t>AER’s assessment approach</w:t>
      </w:r>
      <w:bookmarkEnd w:id="33"/>
      <w:bookmarkEnd w:id="34"/>
    </w:p>
    <w:p w:rsidR="0055229A" w:rsidRDefault="0055229A" w:rsidP="0055229A">
      <w:pPr>
        <w:rPr>
          <w:rFonts w:eastAsia="Calibri"/>
        </w:rPr>
      </w:pPr>
      <w:r>
        <w:rPr>
          <w:rFonts w:eastAsia="Calibri"/>
        </w:rPr>
        <w:t xml:space="preserve">Our approach to assessing </w:t>
      </w:r>
      <w:r w:rsidR="00165636">
        <w:rPr>
          <w:rFonts w:eastAsia="Calibri"/>
        </w:rPr>
        <w:t>ActewAGL’</w:t>
      </w:r>
      <w:r>
        <w:rPr>
          <w:rFonts w:eastAsia="Calibri"/>
        </w:rPr>
        <w:t>s projected capital base is consistent with that adopted in previous gas decisions made under the NGR.</w:t>
      </w:r>
      <w:r>
        <w:rPr>
          <w:rStyle w:val="FootnoteReference"/>
          <w:rFonts w:eastAsia="Calibri"/>
        </w:rPr>
        <w:footnoteReference w:id="9"/>
      </w:r>
      <w:r>
        <w:rPr>
          <w:rFonts w:eastAsia="Calibri"/>
        </w:rPr>
        <w:t xml:space="preserve"> In accordance with rule 77(2) and rule 78 of the NGR, we applied three steps to calculate the projected capital base:</w:t>
      </w:r>
    </w:p>
    <w:p w:rsidR="0055229A" w:rsidRPr="00897684" w:rsidRDefault="0055229A" w:rsidP="0055229A">
      <w:pPr>
        <w:pStyle w:val="AERbulletlistfirststyle"/>
      </w:pPr>
      <w:r w:rsidRPr="00897684">
        <w:t xml:space="preserve">First, we confirm the value of the opening capital base for the first year of the </w:t>
      </w:r>
      <w:r>
        <w:br/>
      </w:r>
      <w:r w:rsidRPr="00897684">
        <w:t>201</w:t>
      </w:r>
      <w:r w:rsidR="00662CAC">
        <w:t>0</w:t>
      </w:r>
      <w:r w:rsidRPr="00897684">
        <w:t>–1</w:t>
      </w:r>
      <w:r w:rsidR="00662CAC">
        <w:t>5</w:t>
      </w:r>
      <w:r w:rsidRPr="00897684">
        <w:t xml:space="preserve"> access arrangement period (in this case, 1 July 201</w:t>
      </w:r>
      <w:r w:rsidR="00662CAC">
        <w:t>0</w:t>
      </w:r>
      <w:r w:rsidRPr="00897684">
        <w:t xml:space="preserve">). </w:t>
      </w:r>
      <w:r>
        <w:t>T</w:t>
      </w:r>
      <w:r w:rsidRPr="00897684">
        <w:t>his includes making an adjustment to account for any difference between actual and estimated capex in the final year of the previous access arrangement period (in this case, 20</w:t>
      </w:r>
      <w:r w:rsidR="00662CAC">
        <w:t>09</w:t>
      </w:r>
      <w:r w:rsidRPr="00897684">
        <w:t>–1</w:t>
      </w:r>
      <w:r w:rsidR="00662CAC">
        <w:t>0</w:t>
      </w:r>
      <w:r w:rsidRPr="00897684">
        <w:t xml:space="preserve">). </w:t>
      </w:r>
      <w:r>
        <w:t>This adjustment must also remove any benefit or penalty associated with any difference between the estimated and actual capex for that year.</w:t>
      </w:r>
      <w:r>
        <w:rPr>
          <w:rStyle w:val="FootnoteReference"/>
        </w:rPr>
        <w:footnoteReference w:id="10"/>
      </w:r>
      <w:r>
        <w:t xml:space="preserve"> We </w:t>
      </w:r>
      <w:r>
        <w:lastRenderedPageBreak/>
        <w:t xml:space="preserve">note that this adjustment </w:t>
      </w:r>
      <w:r w:rsidRPr="00897684">
        <w:t xml:space="preserve">is subject to any </w:t>
      </w:r>
      <w:r>
        <w:t xml:space="preserve">further </w:t>
      </w:r>
      <w:r w:rsidRPr="00897684">
        <w:t xml:space="preserve">changes made in our assessment of conforming capex for </w:t>
      </w:r>
      <w:r>
        <w:t>20</w:t>
      </w:r>
      <w:r w:rsidR="00662CAC">
        <w:t>09</w:t>
      </w:r>
      <w:r>
        <w:t>–1</w:t>
      </w:r>
      <w:r w:rsidR="00662CAC">
        <w:t>0</w:t>
      </w:r>
      <w:r w:rsidRPr="00897684">
        <w:t xml:space="preserve">. </w:t>
      </w:r>
    </w:p>
    <w:p w:rsidR="0055229A" w:rsidRPr="00897684" w:rsidRDefault="0055229A" w:rsidP="0055229A">
      <w:pPr>
        <w:pStyle w:val="AERbulletlistfirststyle"/>
      </w:pPr>
      <w:r w:rsidRPr="00897684">
        <w:t>Second, the opening capital base as at 1 July 201</w:t>
      </w:r>
      <w:r w:rsidR="009B402D">
        <w:t>0</w:t>
      </w:r>
      <w:r w:rsidRPr="00897684">
        <w:t xml:space="preserve"> is rolled forward to determine the closing capital base as at 30 June 201</w:t>
      </w:r>
      <w:r w:rsidR="009B402D">
        <w:t>5</w:t>
      </w:r>
      <w:r w:rsidRPr="00897684">
        <w:t>. This closing capital base is also used as the value of the opening capital base for the access arrangement period as at 1</w:t>
      </w:r>
      <w:r w:rsidR="00045BBC">
        <w:t> </w:t>
      </w:r>
      <w:r w:rsidRPr="00897684">
        <w:t>July 201</w:t>
      </w:r>
      <w:r w:rsidR="009B402D">
        <w:t>5</w:t>
      </w:r>
      <w:r w:rsidRPr="00897684">
        <w:t>. This involves:</w:t>
      </w:r>
      <w:r w:rsidRPr="00110FA0">
        <w:rPr>
          <w:rStyle w:val="FootnoteReference"/>
        </w:rPr>
        <w:footnoteReference w:id="11"/>
      </w:r>
    </w:p>
    <w:p w:rsidR="0055229A" w:rsidRPr="00897684" w:rsidRDefault="0055229A" w:rsidP="0055229A">
      <w:pPr>
        <w:pStyle w:val="AERbulletlistsecondstyle"/>
      </w:pPr>
      <w:r w:rsidRPr="00897684">
        <w:t>adding conforming actual capex for each year—this requires assessing the capex and determining that it is consistent with the provisions of the 201</w:t>
      </w:r>
      <w:r w:rsidR="009B402D">
        <w:t>0</w:t>
      </w:r>
      <w:r w:rsidRPr="00897684">
        <w:t>–1</w:t>
      </w:r>
      <w:r w:rsidR="009B402D">
        <w:t>5</w:t>
      </w:r>
      <w:r w:rsidRPr="00897684">
        <w:t xml:space="preserve"> access arrangement and data from audited annual reporting regulatory information notices, as well as the definition of 'conforming capital expenditure' in the NGR</w:t>
      </w:r>
      <w:r w:rsidRPr="009B563C">
        <w:rPr>
          <w:rStyle w:val="FootnoteReference"/>
        </w:rPr>
        <w:footnoteReference w:id="12"/>
      </w:r>
    </w:p>
    <w:p w:rsidR="0055229A" w:rsidRPr="00897684" w:rsidRDefault="0055229A" w:rsidP="0055229A">
      <w:pPr>
        <w:pStyle w:val="AERbulletlistsecondstyle"/>
      </w:pPr>
      <w:r w:rsidRPr="00897684">
        <w:t>removing forecast depreciation for each year based on the approach approved for the 201</w:t>
      </w:r>
      <w:r w:rsidR="00AB217C">
        <w:t>0</w:t>
      </w:r>
      <w:r w:rsidRPr="00897684">
        <w:t>–1</w:t>
      </w:r>
      <w:r w:rsidR="00AB217C">
        <w:t>5</w:t>
      </w:r>
      <w:r w:rsidRPr="00897684">
        <w:t xml:space="preserve"> access arrangement</w:t>
      </w:r>
    </w:p>
    <w:p w:rsidR="0055229A" w:rsidRPr="00897684" w:rsidRDefault="0055229A" w:rsidP="0055229A">
      <w:pPr>
        <w:pStyle w:val="AERbulletlistsecondstyle"/>
      </w:pPr>
      <w:r w:rsidRPr="00897684">
        <w:t>removing any capital contributions during the 201</w:t>
      </w:r>
      <w:r w:rsidR="00AB217C">
        <w:t>0</w:t>
      </w:r>
      <w:r w:rsidRPr="00897684">
        <w:t>–1</w:t>
      </w:r>
      <w:r w:rsidR="00AB217C">
        <w:t>5</w:t>
      </w:r>
      <w:r w:rsidRPr="00897684">
        <w:t xml:space="preserve"> access arrangement period</w:t>
      </w:r>
    </w:p>
    <w:p w:rsidR="0055229A" w:rsidRPr="00897684" w:rsidRDefault="0055229A" w:rsidP="0055229A">
      <w:pPr>
        <w:pStyle w:val="AERbulletlistsecondstyle"/>
      </w:pPr>
      <w:r w:rsidRPr="00897684">
        <w:t xml:space="preserve">adding any speculative capex or redundant assets that were </w:t>
      </w:r>
      <w:r w:rsidR="007444DA">
        <w:t xml:space="preserve">to be </w:t>
      </w:r>
      <w:r w:rsidRPr="00897684">
        <w:t xml:space="preserve">reused during </w:t>
      </w:r>
      <w:r w:rsidR="004206E1">
        <w:t xml:space="preserve">2015–16 and </w:t>
      </w:r>
      <w:r w:rsidRPr="00897684">
        <w:t>the 2016–21 access arrangement period</w:t>
      </w:r>
    </w:p>
    <w:p w:rsidR="0055229A" w:rsidRPr="00897684" w:rsidRDefault="0055229A" w:rsidP="0055229A">
      <w:pPr>
        <w:pStyle w:val="AERbulletlistsecondstyle"/>
      </w:pPr>
      <w:r w:rsidRPr="00897684">
        <w:t>removing any redundant assets and disposals during the 201</w:t>
      </w:r>
      <w:r w:rsidR="004206E1">
        <w:t>0</w:t>
      </w:r>
      <w:r w:rsidRPr="00897684">
        <w:t>–1</w:t>
      </w:r>
      <w:r w:rsidR="004206E1">
        <w:t>5</w:t>
      </w:r>
      <w:r w:rsidRPr="00897684">
        <w:t xml:space="preserve"> access arrangement period</w:t>
      </w:r>
    </w:p>
    <w:p w:rsidR="0055229A" w:rsidRPr="00897684" w:rsidRDefault="0055229A" w:rsidP="0055229A">
      <w:pPr>
        <w:pStyle w:val="AERbulletlistsecondstyle"/>
      </w:pPr>
      <w:r w:rsidRPr="00897684">
        <w:t>indexing the roll forward each year for actual inflation.</w:t>
      </w:r>
    </w:p>
    <w:p w:rsidR="0055229A" w:rsidRPr="00897684" w:rsidRDefault="0055229A" w:rsidP="0055229A">
      <w:pPr>
        <w:pStyle w:val="AERbulletlistfirststyle"/>
      </w:pPr>
      <w:r w:rsidRPr="00897684">
        <w:t xml:space="preserve">Third, the capital base is projected over </w:t>
      </w:r>
      <w:r w:rsidR="004206E1">
        <w:t xml:space="preserve">2015–16 and </w:t>
      </w:r>
      <w:r w:rsidRPr="00897684">
        <w:t>the 2016–21 access arrangement period by rolling forward the opening capital base as at 1 July 201</w:t>
      </w:r>
      <w:r w:rsidR="004206E1">
        <w:t>5</w:t>
      </w:r>
      <w:r w:rsidRPr="00897684">
        <w:t xml:space="preserve"> to 30 June 2021. This involves performing the following on the opening capital base:</w:t>
      </w:r>
      <w:r w:rsidRPr="001351FF">
        <w:rPr>
          <w:rStyle w:val="FootnoteReference"/>
        </w:rPr>
        <w:footnoteReference w:id="13"/>
      </w:r>
    </w:p>
    <w:p w:rsidR="0055229A" w:rsidRPr="00897684" w:rsidRDefault="0055229A" w:rsidP="0055229A">
      <w:pPr>
        <w:pStyle w:val="AERbulletlistsecondstyle"/>
      </w:pPr>
      <w:r w:rsidRPr="00897684">
        <w:t>adding forecast conforming capex for each year</w:t>
      </w:r>
    </w:p>
    <w:p w:rsidR="0055229A" w:rsidRPr="00897684" w:rsidRDefault="0055229A" w:rsidP="0055229A">
      <w:pPr>
        <w:pStyle w:val="AERbulletlistsecondstyle"/>
      </w:pPr>
      <w:r w:rsidRPr="00897684">
        <w:t>removing forecast depreciation for each year</w:t>
      </w:r>
    </w:p>
    <w:p w:rsidR="0055229A" w:rsidRPr="00897684" w:rsidRDefault="0055229A" w:rsidP="0055229A">
      <w:pPr>
        <w:pStyle w:val="AERbulletlistsecondstyle"/>
      </w:pPr>
      <w:r w:rsidRPr="00897684">
        <w:t xml:space="preserve">removing the forecast value of assets to be disposed of during </w:t>
      </w:r>
      <w:r w:rsidR="004206E1">
        <w:t xml:space="preserve">2015–16 and </w:t>
      </w:r>
      <w:r w:rsidRPr="00897684">
        <w:t>the 2016–21 access arrangement period</w:t>
      </w:r>
    </w:p>
    <w:p w:rsidR="0055229A" w:rsidRPr="00897684" w:rsidRDefault="0055229A" w:rsidP="0055229A">
      <w:pPr>
        <w:pStyle w:val="AERbulletlistsecondstyle"/>
      </w:pPr>
      <w:r w:rsidRPr="00897684">
        <w:t>indexing the capital base of the roll forward each year for forecast inflation.</w:t>
      </w:r>
    </w:p>
    <w:p w:rsidR="005C0A7F" w:rsidRDefault="005C0A7F" w:rsidP="005C0A7F">
      <w:pPr>
        <w:pStyle w:val="Heading3"/>
      </w:pPr>
      <w:bookmarkStart w:id="35" w:name="_Toc436040730"/>
      <w:r>
        <w:t>Interrelationships</w:t>
      </w:r>
      <w:bookmarkEnd w:id="35"/>
    </w:p>
    <w:p w:rsidR="0055229A" w:rsidRDefault="0055229A" w:rsidP="0055229A">
      <w:r>
        <w:t>The level of the capital base substantially impacts the service provider's revenue and the price consumers pay. It is an input into the determination of the return on capital and depreciation (return of capital) allowances.</w:t>
      </w:r>
      <w:r>
        <w:rPr>
          <w:rStyle w:val="FootnoteReference"/>
        </w:rPr>
        <w:footnoteReference w:id="14"/>
      </w:r>
      <w:r>
        <w:t xml:space="preserve"> Factors that influence the capital base will therefore flow through to these building block components and the annual </w:t>
      </w:r>
      <w:r>
        <w:lastRenderedPageBreak/>
        <w:t>building block revenue requirement. Other things being equal, a higher capital base increases both the return on capital and depreciation allowances. In turn, it increases the service provider's revenue, and prices for its services.</w:t>
      </w:r>
    </w:p>
    <w:p w:rsidR="0055229A" w:rsidRDefault="0055229A" w:rsidP="0055229A">
      <w:r>
        <w:t>The capital base is determined by various factors, including;</w:t>
      </w:r>
    </w:p>
    <w:p w:rsidR="0055229A" w:rsidRPr="00897684" w:rsidRDefault="0055229A" w:rsidP="0055229A">
      <w:pPr>
        <w:pStyle w:val="AERbulletlistfirststyle"/>
      </w:pPr>
      <w:r w:rsidRPr="00897684">
        <w:t>the opening capital base (meaning the value of existing assets at the beginning of the access arrangement period)</w:t>
      </w:r>
    </w:p>
    <w:p w:rsidR="0055229A" w:rsidRPr="00897684" w:rsidRDefault="0055229A" w:rsidP="0055229A">
      <w:pPr>
        <w:pStyle w:val="AERbulletlistfirststyle"/>
      </w:pPr>
      <w:r w:rsidRPr="00897684">
        <w:t>net capex</w:t>
      </w:r>
      <w:r w:rsidRPr="00897684">
        <w:rPr>
          <w:rStyle w:val="FootnoteReference"/>
        </w:rPr>
        <w:footnoteReference w:id="15"/>
      </w:r>
    </w:p>
    <w:p w:rsidR="0055229A" w:rsidRPr="00897684" w:rsidRDefault="0055229A" w:rsidP="0055229A">
      <w:pPr>
        <w:pStyle w:val="AERbulletlistfirststyle"/>
      </w:pPr>
      <w:r w:rsidRPr="00897684">
        <w:t>depreciation</w:t>
      </w:r>
    </w:p>
    <w:p w:rsidR="0055229A" w:rsidRPr="00897684" w:rsidRDefault="0055229A" w:rsidP="0055229A">
      <w:pPr>
        <w:pStyle w:val="AERbulletlistfirststyle"/>
      </w:pPr>
      <w:r w:rsidRPr="00897684">
        <w:t>indexation adjustment – so the capital base is presented in nominal terms, consistent with the rate of return.</w:t>
      </w:r>
    </w:p>
    <w:p w:rsidR="0055229A" w:rsidRDefault="0055229A" w:rsidP="0055229A">
      <w:r>
        <w:t xml:space="preserve">The opening capital base depends on the value of existing assets as well as actual conforming net capex, actual inflation outcomes and depreciation in the past. </w:t>
      </w:r>
    </w:p>
    <w:p w:rsidR="0055229A" w:rsidRDefault="0055229A" w:rsidP="0055229A">
      <w:r>
        <w:t xml:space="preserve">The capital base when projected to the end of the access arrangement period may increase due to forecast new capex and the indexation adjustment. The size of the indexation adjustment depends on expected inflation (which also affects the nominal rate of return or WACC) and the size of the capital base at the start of each year. </w:t>
      </w:r>
    </w:p>
    <w:p w:rsidR="0055229A" w:rsidRDefault="0055229A" w:rsidP="0055229A">
      <w:r>
        <w:t>Depreciation reduces the capital base. The depreciation allowance depends on the size of the opening capital base and the forecast net capex. By convention, the indexation adjustment is also offset against depreciation to prevent double counting of inflation in the capital base and WACC, which are both presented in nominal terms. This reduces the apparent size of the depreciation building block that feeds into the annual building block model for setting revenue.</w:t>
      </w:r>
    </w:p>
    <w:p w:rsidR="0055229A" w:rsidRDefault="0055229A" w:rsidP="0055229A">
      <w:r>
        <w:rPr>
          <w:rStyle w:val="AERbody"/>
          <w:rFonts w:cs="Times New Roman"/>
        </w:rPr>
        <w:fldChar w:fldCharType="begin"/>
      </w:r>
      <w:r>
        <w:rPr>
          <w:rStyle w:val="AERbody"/>
          <w:rFonts w:cs="Times New Roman"/>
        </w:rPr>
        <w:instrText xml:space="preserve"> REF _Ref404157407 \h  \* MERGEFORMAT </w:instrText>
      </w:r>
      <w:r>
        <w:rPr>
          <w:rStyle w:val="AERbody"/>
          <w:rFonts w:cs="Times New Roman"/>
        </w:rPr>
      </w:r>
      <w:r>
        <w:rPr>
          <w:rStyle w:val="AERbody"/>
          <w:rFonts w:cs="Times New Roman"/>
        </w:rPr>
        <w:fldChar w:fldCharType="separate"/>
      </w:r>
      <w:r w:rsidR="001A41AD">
        <w:t xml:space="preserve">Figure </w:t>
      </w:r>
      <w:r w:rsidR="001A41AD">
        <w:rPr>
          <w:noProof/>
        </w:rPr>
        <w:t>2.1</w:t>
      </w:r>
      <w:r>
        <w:rPr>
          <w:rStyle w:val="AERbody"/>
          <w:rFonts w:cs="Times New Roman"/>
        </w:rPr>
        <w:fldChar w:fldCharType="end"/>
      </w:r>
      <w:r>
        <w:rPr>
          <w:rStyle w:val="AERbody"/>
          <w:rFonts w:cs="Times New Roman"/>
        </w:rPr>
        <w:t xml:space="preserve"> shows</w:t>
      </w:r>
      <w:r>
        <w:t xml:space="preserve"> the key drivers of the change in the capital base over</w:t>
      </w:r>
      <w:r w:rsidR="00745BBA">
        <w:t xml:space="preserve"> 2015–16 and</w:t>
      </w:r>
      <w:r>
        <w:t xml:space="preserve"> the 2016–21 access arrangement period as proposed by A</w:t>
      </w:r>
      <w:r w:rsidR="00165636">
        <w:t>ctewAGL</w:t>
      </w:r>
      <w:r>
        <w:t>.</w:t>
      </w:r>
      <w:r w:rsidR="00745BBA">
        <w:rPr>
          <w:rStyle w:val="FootnoteReference"/>
        </w:rPr>
        <w:footnoteReference w:id="16"/>
      </w:r>
      <w:r>
        <w:t xml:space="preserve"> Overall, the closing capital base at the end of </w:t>
      </w:r>
      <w:r w:rsidR="006D68E3">
        <w:t>2015–16 and</w:t>
      </w:r>
      <w:r>
        <w:t xml:space="preserve"> </w:t>
      </w:r>
      <w:r w:rsidR="00045BBC">
        <w:t xml:space="preserve">the </w:t>
      </w:r>
      <w:r>
        <w:t xml:space="preserve">2016–21 access arrangement period would be </w:t>
      </w:r>
      <w:r w:rsidR="006D68E3">
        <w:rPr>
          <w:rStyle w:val="AERbody"/>
          <w:rFonts w:cs="Times New Roman"/>
        </w:rPr>
        <w:t>3</w:t>
      </w:r>
      <w:r w:rsidR="00A24AF1">
        <w:rPr>
          <w:rStyle w:val="AERbody"/>
          <w:rFonts w:cs="Times New Roman"/>
        </w:rPr>
        <w:t>8</w:t>
      </w:r>
      <w:r>
        <w:rPr>
          <w:rStyle w:val="AERbody"/>
          <w:rFonts w:cs="Times New Roman"/>
        </w:rPr>
        <w:t xml:space="preserve"> per cent</w:t>
      </w:r>
      <w:r>
        <w:t xml:space="preserve"> higher than the opening capital base at the start of that period based on the proposal, in nominal terms. The proposed </w:t>
      </w:r>
      <w:r>
        <w:rPr>
          <w:rStyle w:val="AERbody"/>
          <w:rFonts w:cs="Times New Roman"/>
        </w:rPr>
        <w:t xml:space="preserve">forecast net capex increases the capital base by about </w:t>
      </w:r>
      <w:r w:rsidR="00AA7738">
        <w:rPr>
          <w:rStyle w:val="AERbody"/>
          <w:rFonts w:cs="Times New Roman"/>
        </w:rPr>
        <w:t>4</w:t>
      </w:r>
      <w:r w:rsidR="00A24AF1">
        <w:rPr>
          <w:rStyle w:val="AERbody"/>
          <w:rFonts w:cs="Times New Roman"/>
        </w:rPr>
        <w:t>8</w:t>
      </w:r>
      <w:r>
        <w:rPr>
          <w:rStyle w:val="AERbody"/>
          <w:rFonts w:cs="Times New Roman"/>
        </w:rPr>
        <w:t xml:space="preserve"> per cent, while forecast inflation increases it by about 1</w:t>
      </w:r>
      <w:r w:rsidR="00AA7738">
        <w:rPr>
          <w:rStyle w:val="AERbody"/>
          <w:rFonts w:cs="Times New Roman"/>
        </w:rPr>
        <w:t>8</w:t>
      </w:r>
      <w:r>
        <w:rPr>
          <w:rStyle w:val="AERbody"/>
          <w:rFonts w:cs="Times New Roman"/>
        </w:rPr>
        <w:t xml:space="preserve"> per cent. Forecast depreciation, on the other hand, reduces the capital base by about 2</w:t>
      </w:r>
      <w:r w:rsidR="00AA7738">
        <w:rPr>
          <w:rStyle w:val="AERbody"/>
          <w:rFonts w:cs="Times New Roman"/>
        </w:rPr>
        <w:t>8</w:t>
      </w:r>
      <w:r>
        <w:rPr>
          <w:rStyle w:val="AERbody"/>
          <w:rFonts w:cs="Times New Roman"/>
        </w:rPr>
        <w:t xml:space="preserve"> per cent.</w:t>
      </w:r>
      <w:r>
        <w:t xml:space="preserve"> </w:t>
      </w:r>
    </w:p>
    <w:p w:rsidR="00C641BF" w:rsidRDefault="0055229A" w:rsidP="0055229A">
      <w:pPr>
        <w:rPr>
          <w:rStyle w:val="AERbody"/>
        </w:rPr>
      </w:pPr>
      <w:r w:rsidRPr="005E052C">
        <w:rPr>
          <w:rStyle w:val="AERbody"/>
        </w:rPr>
        <w:t>The capital base would rise</w:t>
      </w:r>
      <w:r>
        <w:rPr>
          <w:rStyle w:val="AERbody"/>
        </w:rPr>
        <w:t xml:space="preserve"> by </w:t>
      </w:r>
      <w:r w:rsidR="00FE7DBD">
        <w:rPr>
          <w:rStyle w:val="AERbody"/>
        </w:rPr>
        <w:t>22</w:t>
      </w:r>
      <w:r>
        <w:rPr>
          <w:rStyle w:val="AERbody"/>
        </w:rPr>
        <w:t xml:space="preserve"> per cent</w:t>
      </w:r>
      <w:r w:rsidRPr="005E052C">
        <w:rPr>
          <w:rStyle w:val="AERbody"/>
        </w:rPr>
        <w:t xml:space="preserve"> in real terms over</w:t>
      </w:r>
      <w:r w:rsidR="00FE7DBD">
        <w:rPr>
          <w:rStyle w:val="AERbody"/>
        </w:rPr>
        <w:t xml:space="preserve"> 2015–16 and</w:t>
      </w:r>
      <w:r w:rsidRPr="005E052C">
        <w:rPr>
          <w:rStyle w:val="AERbody"/>
        </w:rPr>
        <w:t xml:space="preserve"> the 2016–21 </w:t>
      </w:r>
      <w:r>
        <w:rPr>
          <w:rStyle w:val="AERbody"/>
        </w:rPr>
        <w:t>access arrangement</w:t>
      </w:r>
      <w:r w:rsidRPr="005E052C">
        <w:rPr>
          <w:rStyle w:val="AERbody"/>
        </w:rPr>
        <w:t xml:space="preserve"> period based on A</w:t>
      </w:r>
      <w:r w:rsidR="00165636">
        <w:rPr>
          <w:rStyle w:val="AERbody"/>
        </w:rPr>
        <w:t>ctewAGL’</w:t>
      </w:r>
      <w:r w:rsidRPr="005E052C">
        <w:rPr>
          <w:rStyle w:val="AERbody"/>
        </w:rPr>
        <w:t xml:space="preserve">s proposal. </w:t>
      </w:r>
      <w:r w:rsidRPr="006311E4">
        <w:rPr>
          <w:rStyle w:val="AERbody"/>
        </w:rPr>
        <w:t xml:space="preserve">We consider the depreciation amount to be generally reasonable and satisfy the requirements of the </w:t>
      </w:r>
      <w:r>
        <w:rPr>
          <w:rStyle w:val="AERbody"/>
        </w:rPr>
        <w:t>NGR</w:t>
      </w:r>
      <w:r w:rsidRPr="006311E4">
        <w:rPr>
          <w:rStyle w:val="AERbody"/>
        </w:rPr>
        <w:t xml:space="preserve"> in terms of the assigned asset lives.</w:t>
      </w:r>
      <w:r>
        <w:rPr>
          <w:rStyle w:val="FootnoteReference"/>
        </w:rPr>
        <w:footnoteReference w:id="17"/>
      </w:r>
      <w:r w:rsidR="001928B9">
        <w:rPr>
          <w:rStyle w:val="AERbody"/>
        </w:rPr>
        <w:t xml:space="preserve"> However, t</w:t>
      </w:r>
      <w:r w:rsidRPr="005E052C">
        <w:rPr>
          <w:rStyle w:val="AERbody"/>
        </w:rPr>
        <w:t xml:space="preserve">he depreciation amount </w:t>
      </w:r>
      <w:r>
        <w:rPr>
          <w:rStyle w:val="AERbody"/>
        </w:rPr>
        <w:t xml:space="preserve">is indicative as it </w:t>
      </w:r>
      <w:r w:rsidRPr="005E052C">
        <w:rPr>
          <w:rStyle w:val="AERbody"/>
        </w:rPr>
        <w:t xml:space="preserve">also largely depends on the opening capital base (which in turn </w:t>
      </w:r>
      <w:r w:rsidRPr="005E052C">
        <w:rPr>
          <w:rStyle w:val="AERbody"/>
        </w:rPr>
        <w:lastRenderedPageBreak/>
        <w:t xml:space="preserve">depends on </w:t>
      </w:r>
      <w:r w:rsidR="007338FF">
        <w:rPr>
          <w:rStyle w:val="AERbody"/>
        </w:rPr>
        <w:t xml:space="preserve">forecast </w:t>
      </w:r>
      <w:r w:rsidRPr="005E052C">
        <w:rPr>
          <w:rStyle w:val="AERbody"/>
        </w:rPr>
        <w:t>capex).</w:t>
      </w:r>
      <w:r w:rsidR="001928B9">
        <w:rPr>
          <w:rStyle w:val="AERbody"/>
        </w:rPr>
        <w:t xml:space="preserve"> W</w:t>
      </w:r>
      <w:r w:rsidRPr="005E052C">
        <w:rPr>
          <w:rStyle w:val="AERbody"/>
        </w:rPr>
        <w:t xml:space="preserve">e </w:t>
      </w:r>
      <w:r w:rsidR="00AB7276">
        <w:rPr>
          <w:rStyle w:val="AERbody"/>
        </w:rPr>
        <w:t>consider</w:t>
      </w:r>
      <w:r w:rsidRPr="005E052C">
        <w:rPr>
          <w:rStyle w:val="AERbody"/>
        </w:rPr>
        <w:t xml:space="preserve"> the size of the </w:t>
      </w:r>
      <w:r w:rsidR="001928B9">
        <w:rPr>
          <w:rStyle w:val="AERbody"/>
        </w:rPr>
        <w:t xml:space="preserve">proposed </w:t>
      </w:r>
      <w:r w:rsidRPr="005E052C">
        <w:rPr>
          <w:rStyle w:val="AERbody"/>
        </w:rPr>
        <w:t>forecast net capex</w:t>
      </w:r>
      <w:r w:rsidR="00AB7276">
        <w:rPr>
          <w:rStyle w:val="AERbody"/>
        </w:rPr>
        <w:t xml:space="preserve"> to be a significant issue</w:t>
      </w:r>
      <w:r w:rsidRPr="005E052C">
        <w:rPr>
          <w:rStyle w:val="AERbody"/>
        </w:rPr>
        <w:t xml:space="preserve">. </w:t>
      </w:r>
      <w:r w:rsidRPr="005E052C">
        <w:rPr>
          <w:rStyle w:val="AERbody"/>
        </w:rPr>
        <w:fldChar w:fldCharType="begin"/>
      </w:r>
      <w:r w:rsidRPr="005E052C">
        <w:rPr>
          <w:rStyle w:val="AERbody"/>
        </w:rPr>
        <w:instrText xml:space="preserve"> REF _Ref404157407 \h  \* MERGEFORMAT </w:instrText>
      </w:r>
      <w:r w:rsidRPr="005E052C">
        <w:rPr>
          <w:rStyle w:val="AERbody"/>
        </w:rPr>
      </w:r>
      <w:r w:rsidRPr="005E052C">
        <w:rPr>
          <w:rStyle w:val="AERbody"/>
        </w:rPr>
        <w:fldChar w:fldCharType="separate"/>
      </w:r>
      <w:r w:rsidR="001A41AD" w:rsidRPr="00045BBC">
        <w:rPr>
          <w:rStyle w:val="AERbody"/>
        </w:rPr>
        <w:t>Figure 2.1</w:t>
      </w:r>
      <w:r w:rsidRPr="005E052C">
        <w:rPr>
          <w:rStyle w:val="AERbody"/>
        </w:rPr>
        <w:fldChar w:fldCharType="end"/>
      </w:r>
      <w:r w:rsidRPr="005E052C">
        <w:rPr>
          <w:rStyle w:val="AERbody"/>
        </w:rPr>
        <w:t xml:space="preserve"> shows forecast net capex is the largest driver of the increase in the capital base</w:t>
      </w:r>
      <w:r w:rsidR="007F2A66">
        <w:rPr>
          <w:rStyle w:val="AERbody"/>
        </w:rPr>
        <w:t>.</w:t>
      </w:r>
      <w:r w:rsidR="00C641BF">
        <w:rPr>
          <w:rStyle w:val="FootnoteReference"/>
        </w:rPr>
        <w:footnoteReference w:id="18"/>
      </w:r>
      <w:r w:rsidR="007F2A66">
        <w:rPr>
          <w:rStyle w:val="AERbody"/>
        </w:rPr>
        <w:t xml:space="preserve"> </w:t>
      </w:r>
    </w:p>
    <w:p w:rsidR="0055229A" w:rsidRDefault="0055229A" w:rsidP="0055229A">
      <w:r>
        <w:t xml:space="preserve">A ten per cent increase in the opening capital base </w:t>
      </w:r>
      <w:r>
        <w:rPr>
          <w:rStyle w:val="AERbody"/>
          <w:rFonts w:cs="Times New Roman"/>
        </w:rPr>
        <w:t xml:space="preserve">causes revenues to increase by about </w:t>
      </w:r>
      <w:r w:rsidR="009D7E17">
        <w:rPr>
          <w:rStyle w:val="AERbody"/>
          <w:rFonts w:cs="Times New Roman"/>
        </w:rPr>
        <w:t>five </w:t>
      </w:r>
      <w:r>
        <w:rPr>
          <w:rStyle w:val="AERbody"/>
          <w:rFonts w:cs="Times New Roman"/>
        </w:rPr>
        <w:t>per cent. However, the impact on revenues of the annual change in capital base depends on the source of the capital base change, as some drivers affect more than one building block cost.</w:t>
      </w:r>
      <w:r>
        <w:rPr>
          <w:rStyle w:val="FootnoteReference"/>
        </w:rPr>
        <w:footnoteReference w:id="19"/>
      </w:r>
      <w:r>
        <w:t xml:space="preserve"> </w:t>
      </w:r>
    </w:p>
    <w:p w:rsidR="0055229A" w:rsidRDefault="0055229A" w:rsidP="0055229A">
      <w:pPr>
        <w:pStyle w:val="Caption"/>
        <w:rPr>
          <w:noProof/>
          <w:lang w:eastAsia="en-AU"/>
        </w:rPr>
      </w:pPr>
      <w:bookmarkStart w:id="36" w:name="_Ref404157407"/>
      <w:bookmarkStart w:id="37" w:name="_Ref398273927"/>
      <w:r>
        <w:t xml:space="preserve">Figure </w:t>
      </w:r>
      <w:fldSimple w:instr=" STYLEREF 1 \s ">
        <w:r w:rsidR="001A41AD">
          <w:rPr>
            <w:noProof/>
          </w:rPr>
          <w:t>2</w:t>
        </w:r>
      </w:fldSimple>
      <w:r w:rsidR="00A7307B">
        <w:t>.</w:t>
      </w:r>
      <w:fldSimple w:instr=" SEQ Figure \* ARABIC \s 1 ">
        <w:r w:rsidR="001A41AD">
          <w:rPr>
            <w:noProof/>
          </w:rPr>
          <w:t>1</w:t>
        </w:r>
      </w:fldSimple>
      <w:bookmarkEnd w:id="36"/>
      <w:r>
        <w:tab/>
        <w:t xml:space="preserve">Key drivers of changes in the </w:t>
      </w:r>
      <w:r w:rsidR="006A4FB9">
        <w:t>capital base</w:t>
      </w:r>
      <w:r w:rsidR="0005650B">
        <w:t xml:space="preserve"> ($</w:t>
      </w:r>
      <w:r>
        <w:t>million, nominal)</w:t>
      </w:r>
      <w:bookmarkEnd w:id="37"/>
      <w:r>
        <w:t xml:space="preserve"> </w:t>
      </w:r>
    </w:p>
    <w:p w:rsidR="0055229A" w:rsidRPr="002E1256" w:rsidRDefault="0062727C" w:rsidP="0055229A">
      <w:pPr>
        <w:rPr>
          <w:lang w:eastAsia="en-AU"/>
        </w:rPr>
      </w:pPr>
      <w:r>
        <w:rPr>
          <w:noProof/>
          <w:lang w:eastAsia="en-AU"/>
        </w:rPr>
        <w:drawing>
          <wp:inline distT="0" distB="0" distL="0" distR="0" wp14:anchorId="7BEB5DDD" wp14:editId="0F7CEA30">
            <wp:extent cx="5395595" cy="34201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5595" cy="3420110"/>
                    </a:xfrm>
                    <a:prstGeom prst="rect">
                      <a:avLst/>
                    </a:prstGeom>
                    <a:noFill/>
                  </pic:spPr>
                </pic:pic>
              </a:graphicData>
            </a:graphic>
          </wp:inline>
        </w:drawing>
      </w:r>
    </w:p>
    <w:p w:rsidR="0055229A" w:rsidRDefault="0055229A" w:rsidP="0055229A">
      <w:pPr>
        <w:pStyle w:val="AERtablesource"/>
        <w:ind w:left="0" w:firstLine="0"/>
      </w:pPr>
      <w:r>
        <w:t xml:space="preserve">Source: </w:t>
      </w:r>
      <w:r>
        <w:tab/>
        <w:t xml:space="preserve">AER analysis. </w:t>
      </w:r>
    </w:p>
    <w:p w:rsidR="0055229A" w:rsidRDefault="009A5113" w:rsidP="009A5113">
      <w:pPr>
        <w:pStyle w:val="Heading2"/>
      </w:pPr>
      <w:bookmarkStart w:id="38" w:name="_Toc408404324"/>
      <w:bookmarkStart w:id="39" w:name="_Toc436040731"/>
      <w:r w:rsidRPr="0074565D">
        <w:t xml:space="preserve">Reasons for </w:t>
      </w:r>
      <w:r w:rsidR="00C8677B">
        <w:t>draft</w:t>
      </w:r>
      <w:r w:rsidR="00651CB2" w:rsidRPr="0074565D">
        <w:t xml:space="preserve"> </w:t>
      </w:r>
      <w:r w:rsidRPr="0074565D">
        <w:t>decision</w:t>
      </w:r>
      <w:bookmarkEnd w:id="38"/>
      <w:bookmarkEnd w:id="39"/>
    </w:p>
    <w:p w:rsidR="0055229A" w:rsidRDefault="0055229A" w:rsidP="0055229A">
      <w:pPr>
        <w:rPr>
          <w:rStyle w:val="AERbody"/>
          <w:rFonts w:cs="Times New Roman"/>
        </w:rPr>
      </w:pPr>
      <w:r>
        <w:t xml:space="preserve">We do not </w:t>
      </w:r>
      <w:r>
        <w:rPr>
          <w:rStyle w:val="AERbody"/>
          <w:rFonts w:cs="Times New Roman"/>
        </w:rPr>
        <w:t>approve A</w:t>
      </w:r>
      <w:r w:rsidR="00165636">
        <w:rPr>
          <w:rStyle w:val="AERbody"/>
          <w:rFonts w:cs="Times New Roman"/>
        </w:rPr>
        <w:t>ctewAGL’</w:t>
      </w:r>
      <w:r>
        <w:rPr>
          <w:rStyle w:val="AERbody"/>
          <w:rFonts w:cs="Times New Roman"/>
        </w:rPr>
        <w:t>s proposed opening capital base of $</w:t>
      </w:r>
      <w:r w:rsidR="00AF0BCE">
        <w:rPr>
          <w:rStyle w:val="AERbody"/>
          <w:rFonts w:cs="Times New Roman"/>
        </w:rPr>
        <w:t>339.0</w:t>
      </w:r>
      <w:r>
        <w:rPr>
          <w:rStyle w:val="AERbody"/>
          <w:rFonts w:cs="Times New Roman"/>
        </w:rPr>
        <w:t xml:space="preserve"> million ($nominal) as at 1 July 201</w:t>
      </w:r>
      <w:r w:rsidR="00AF0BCE">
        <w:rPr>
          <w:rStyle w:val="AERbody"/>
          <w:rFonts w:cs="Times New Roman"/>
        </w:rPr>
        <w:t>5</w:t>
      </w:r>
      <w:r>
        <w:rPr>
          <w:rStyle w:val="AERbody"/>
          <w:rFonts w:cs="Times New Roman"/>
        </w:rPr>
        <w:t>. We have instead determined an opening capital base value of $</w:t>
      </w:r>
      <w:r w:rsidR="00AF0BCE">
        <w:rPr>
          <w:rStyle w:val="AERbody"/>
          <w:rFonts w:cs="Times New Roman"/>
        </w:rPr>
        <w:t xml:space="preserve">338.6 </w:t>
      </w:r>
      <w:r>
        <w:rPr>
          <w:rStyle w:val="AERbody"/>
          <w:rFonts w:cs="Times New Roman"/>
        </w:rPr>
        <w:t>million ($nominal) as at 1 July 201</w:t>
      </w:r>
      <w:r w:rsidR="00AF0BCE">
        <w:rPr>
          <w:rStyle w:val="AERbody"/>
          <w:rFonts w:cs="Times New Roman"/>
        </w:rPr>
        <w:t>5</w:t>
      </w:r>
      <w:r>
        <w:rPr>
          <w:rStyle w:val="AERbody"/>
          <w:rFonts w:cs="Times New Roman"/>
        </w:rPr>
        <w:t>, a reduction of $</w:t>
      </w:r>
      <w:r w:rsidR="00AF0BCE">
        <w:rPr>
          <w:rStyle w:val="AERbody"/>
          <w:rFonts w:cs="Times New Roman"/>
        </w:rPr>
        <w:t xml:space="preserve">0.4 </w:t>
      </w:r>
      <w:r>
        <w:rPr>
          <w:rStyle w:val="AERbody"/>
          <w:rFonts w:cs="Times New Roman"/>
        </w:rPr>
        <w:t xml:space="preserve">million or </w:t>
      </w:r>
      <w:r w:rsidR="00683AB8">
        <w:rPr>
          <w:rStyle w:val="AERbody"/>
          <w:rFonts w:cs="Times New Roman"/>
        </w:rPr>
        <w:t>0.1</w:t>
      </w:r>
      <w:r w:rsidR="00045BBC">
        <w:rPr>
          <w:rStyle w:val="AERbody"/>
        </w:rPr>
        <w:t> </w:t>
      </w:r>
      <w:r>
        <w:rPr>
          <w:rStyle w:val="AERbody"/>
          <w:rFonts w:cs="Times New Roman"/>
        </w:rPr>
        <w:t xml:space="preserve">per cent from the proposed value. This is </w:t>
      </w:r>
      <w:r w:rsidR="0002729C">
        <w:rPr>
          <w:rStyle w:val="AERbody"/>
          <w:rFonts w:cs="Times New Roman"/>
        </w:rPr>
        <w:t xml:space="preserve">because </w:t>
      </w:r>
      <w:r w:rsidR="0002729C">
        <w:t xml:space="preserve">we do not accept ActewAGL’s </w:t>
      </w:r>
      <w:r w:rsidR="0002729C">
        <w:lastRenderedPageBreak/>
        <w:t xml:space="preserve">proposal to </w:t>
      </w:r>
      <w:r w:rsidR="00FE19DA">
        <w:t>exclude</w:t>
      </w:r>
      <w:r w:rsidR="0002729C">
        <w:t xml:space="preserve"> the negative opening capital base</w:t>
      </w:r>
      <w:r w:rsidR="00FE19DA">
        <w:t xml:space="preserve"> value</w:t>
      </w:r>
      <w:r w:rsidR="0002729C">
        <w:t xml:space="preserve"> for the ‘IT systems’ asset class</w:t>
      </w:r>
      <w:r w:rsidR="00683AB8">
        <w:t xml:space="preserve"> from the </w:t>
      </w:r>
      <w:r w:rsidR="00E86253">
        <w:t xml:space="preserve">proposed </w:t>
      </w:r>
      <w:r w:rsidR="00683AB8">
        <w:t>PTRM (about –$0.4 million)</w:t>
      </w:r>
      <w:r w:rsidR="0002729C">
        <w:t>.</w:t>
      </w:r>
      <w:r w:rsidR="0068351C">
        <w:rPr>
          <w:rStyle w:val="FootnoteReference"/>
        </w:rPr>
        <w:footnoteReference w:id="20"/>
      </w:r>
      <w:r w:rsidR="0002729C">
        <w:t xml:space="preserve"> </w:t>
      </w:r>
      <w:r w:rsidR="0002729C">
        <w:rPr>
          <w:rStyle w:val="AERbody"/>
          <w:rFonts w:cs="Times New Roman"/>
        </w:rPr>
        <w:t xml:space="preserve"> </w:t>
      </w:r>
    </w:p>
    <w:p w:rsidR="0055229A" w:rsidRDefault="0055229A" w:rsidP="0055229A">
      <w:pPr>
        <w:rPr>
          <w:rStyle w:val="AERbody"/>
          <w:rFonts w:cs="Times New Roman"/>
        </w:rPr>
      </w:pPr>
      <w:r>
        <w:rPr>
          <w:rStyle w:val="AERbody"/>
          <w:rFonts w:cs="Times New Roman"/>
        </w:rPr>
        <w:t>We also do not approve A</w:t>
      </w:r>
      <w:r w:rsidR="00165636">
        <w:rPr>
          <w:rStyle w:val="AERbody"/>
          <w:rFonts w:cs="Times New Roman"/>
        </w:rPr>
        <w:t>ctewAGL’</w:t>
      </w:r>
      <w:r>
        <w:rPr>
          <w:rStyle w:val="AERbody"/>
          <w:rFonts w:cs="Times New Roman"/>
        </w:rPr>
        <w:t>s projected closing capital base of $</w:t>
      </w:r>
      <w:r w:rsidR="00683AB8">
        <w:rPr>
          <w:rStyle w:val="AERbody"/>
          <w:rFonts w:cs="Times New Roman"/>
        </w:rPr>
        <w:t>467.2</w:t>
      </w:r>
      <w:r>
        <w:rPr>
          <w:rStyle w:val="AERbody"/>
          <w:rFonts w:cs="Times New Roman"/>
        </w:rPr>
        <w:t> million ($nominal) as at 30 June 2021. We instead determine a closing capital base of $</w:t>
      </w:r>
      <w:r w:rsidR="00EB43A1">
        <w:rPr>
          <w:rStyle w:val="AERbody"/>
          <w:rFonts w:cs="Times New Roman"/>
        </w:rPr>
        <w:t>419.7</w:t>
      </w:r>
      <w:r>
        <w:rPr>
          <w:rStyle w:val="AERbody"/>
          <w:rFonts w:cs="Times New Roman"/>
        </w:rPr>
        <w:t xml:space="preserve"> million ($nominal) as at 30 June 2021, a reduction of $</w:t>
      </w:r>
      <w:r w:rsidR="006A60BE">
        <w:rPr>
          <w:rStyle w:val="AERbody"/>
          <w:rFonts w:cs="Times New Roman"/>
        </w:rPr>
        <w:t xml:space="preserve">47.5 </w:t>
      </w:r>
      <w:r>
        <w:rPr>
          <w:rStyle w:val="AERbody"/>
          <w:rFonts w:cs="Times New Roman"/>
        </w:rPr>
        <w:t xml:space="preserve">million or </w:t>
      </w:r>
      <w:r w:rsidR="006A60BE">
        <w:rPr>
          <w:rStyle w:val="AERbody"/>
          <w:rFonts w:cs="Times New Roman"/>
        </w:rPr>
        <w:t xml:space="preserve">10.2 </w:t>
      </w:r>
      <w:r>
        <w:rPr>
          <w:rStyle w:val="AERbody"/>
          <w:rFonts w:cs="Times New Roman"/>
        </w:rPr>
        <w:t>per cent from the proposed value. The main reasons for the reduction are our adjustments to its opening capital base as at 1 July 201</w:t>
      </w:r>
      <w:r w:rsidR="000E3727">
        <w:rPr>
          <w:rStyle w:val="AERbody"/>
          <w:rFonts w:cs="Times New Roman"/>
        </w:rPr>
        <w:t>5</w:t>
      </w:r>
      <w:r>
        <w:rPr>
          <w:rStyle w:val="AERbody"/>
          <w:rFonts w:cs="Times New Roman"/>
        </w:rPr>
        <w:t xml:space="preserve"> (section </w:t>
      </w:r>
      <w:r w:rsidR="00781EFC">
        <w:rPr>
          <w:rStyle w:val="AERbody"/>
          <w:rFonts w:cs="Times New Roman"/>
        </w:rPr>
        <w:fldChar w:fldCharType="begin"/>
      </w:r>
      <w:r w:rsidR="00781EFC">
        <w:rPr>
          <w:rStyle w:val="AERbody"/>
          <w:rFonts w:cs="Times New Roman"/>
        </w:rPr>
        <w:instrText xml:space="preserve"> REF _Ref435518049 \r \h </w:instrText>
      </w:r>
      <w:r w:rsidR="00781EFC">
        <w:rPr>
          <w:rStyle w:val="AERbody"/>
          <w:rFonts w:cs="Times New Roman"/>
        </w:rPr>
      </w:r>
      <w:r w:rsidR="00781EFC">
        <w:rPr>
          <w:rStyle w:val="AERbody"/>
          <w:rFonts w:cs="Times New Roman"/>
        </w:rPr>
        <w:fldChar w:fldCharType="separate"/>
      </w:r>
      <w:r w:rsidR="001A41AD">
        <w:rPr>
          <w:rStyle w:val="AERbody"/>
          <w:rFonts w:cs="Times New Roman"/>
        </w:rPr>
        <w:t>2.4.1</w:t>
      </w:r>
      <w:r w:rsidR="00781EFC">
        <w:rPr>
          <w:rStyle w:val="AERbody"/>
          <w:rFonts w:cs="Times New Roman"/>
        </w:rPr>
        <w:fldChar w:fldCharType="end"/>
      </w:r>
      <w:r>
        <w:rPr>
          <w:rStyle w:val="AERbody"/>
          <w:rFonts w:cs="Times New Roman"/>
        </w:rPr>
        <w:t xml:space="preserve">), </w:t>
      </w:r>
      <w:r w:rsidR="006A60BE">
        <w:rPr>
          <w:rStyle w:val="AERbody"/>
          <w:rFonts w:cs="Times New Roman"/>
        </w:rPr>
        <w:t xml:space="preserve">forecast depreciation (attachment 5) and </w:t>
      </w:r>
      <w:r>
        <w:rPr>
          <w:rStyle w:val="AERbody"/>
          <w:rFonts w:cs="Times New Roman"/>
        </w:rPr>
        <w:t>forecast net capex (attachment 6).</w:t>
      </w:r>
    </w:p>
    <w:p w:rsidR="0055229A" w:rsidRDefault="0055229A" w:rsidP="0055229A">
      <w:r>
        <w:t>We are satisfied each of these amendments is necessary having regard to the requirements of the NGR. The reasons for our decision are discussed below.</w:t>
      </w:r>
    </w:p>
    <w:p w:rsidR="00CC4CB7" w:rsidRDefault="00CC4CB7" w:rsidP="00CC4CB7">
      <w:pPr>
        <w:pStyle w:val="Heading3"/>
      </w:pPr>
      <w:bookmarkStart w:id="40" w:name="_Ref435518049"/>
      <w:bookmarkStart w:id="41" w:name="_Toc404256806"/>
      <w:bookmarkStart w:id="42" w:name="_Toc404158167"/>
      <w:bookmarkStart w:id="43" w:name="_Toc404157804"/>
      <w:bookmarkStart w:id="44" w:name="_Toc429575472"/>
      <w:bookmarkStart w:id="45" w:name="_Toc436040732"/>
      <w:r>
        <w:t>Opening capital base as at 1 July 2015</w:t>
      </w:r>
      <w:bookmarkEnd w:id="40"/>
      <w:bookmarkEnd w:id="45"/>
    </w:p>
    <w:bookmarkEnd w:id="41"/>
    <w:bookmarkEnd w:id="42"/>
    <w:bookmarkEnd w:id="43"/>
    <w:bookmarkEnd w:id="44"/>
    <w:p w:rsidR="0055229A" w:rsidRDefault="0055229A" w:rsidP="0055229A">
      <w:r>
        <w:t>To determine the opening capital base as at 1 July 201</w:t>
      </w:r>
      <w:r w:rsidR="00623846">
        <w:t>5</w:t>
      </w:r>
      <w:r>
        <w:t xml:space="preserve"> we have assessed A</w:t>
      </w:r>
      <w:r w:rsidR="00165636">
        <w:t>ctewAGL’</w:t>
      </w:r>
      <w:r>
        <w:t>s proposed roll forward of its capital base over the 201</w:t>
      </w:r>
      <w:r w:rsidR="00623846">
        <w:t>0</w:t>
      </w:r>
      <w:r>
        <w:t>–1</w:t>
      </w:r>
      <w:r w:rsidR="00623846">
        <w:t>5</w:t>
      </w:r>
      <w:r>
        <w:t xml:space="preserve"> access arrangement period to determine a closing capital base value at 30 June 201</w:t>
      </w:r>
      <w:r w:rsidR="00623846">
        <w:t>5</w:t>
      </w:r>
      <w:r>
        <w:t>. As part of this, we reviewed the following key inputs in the calculation of the capital base roll forward:</w:t>
      </w:r>
    </w:p>
    <w:p w:rsidR="0055229A" w:rsidRPr="00357682" w:rsidRDefault="0055229A" w:rsidP="0055229A">
      <w:pPr>
        <w:pStyle w:val="AERbulletlistfirststyle"/>
      </w:pPr>
      <w:r w:rsidRPr="00357682">
        <w:t>adjustment for actual capex in 20</w:t>
      </w:r>
      <w:r>
        <w:t>0</w:t>
      </w:r>
      <w:r w:rsidR="00623846">
        <w:t>9</w:t>
      </w:r>
      <w:r w:rsidRPr="00357682">
        <w:t>–1</w:t>
      </w:r>
      <w:r w:rsidR="00623846">
        <w:t>0</w:t>
      </w:r>
    </w:p>
    <w:p w:rsidR="0055229A" w:rsidRPr="00357682" w:rsidRDefault="0055229A" w:rsidP="0055229A">
      <w:pPr>
        <w:pStyle w:val="AERbulletlistfirststyle"/>
      </w:pPr>
      <w:r w:rsidRPr="00357682">
        <w:t>conforming capex in the 201</w:t>
      </w:r>
      <w:r w:rsidR="00623846">
        <w:t>0</w:t>
      </w:r>
      <w:r w:rsidRPr="00357682">
        <w:t>–1</w:t>
      </w:r>
      <w:r w:rsidR="00623846">
        <w:t>5</w:t>
      </w:r>
      <w:r w:rsidRPr="00357682">
        <w:t xml:space="preserve"> access arrangement period</w:t>
      </w:r>
    </w:p>
    <w:p w:rsidR="0055229A" w:rsidRPr="00357682" w:rsidRDefault="0055229A" w:rsidP="0055229A">
      <w:pPr>
        <w:pStyle w:val="AERbulletlistfirststyle"/>
      </w:pPr>
      <w:r w:rsidRPr="00357682">
        <w:t>depreciation amounts in the 201</w:t>
      </w:r>
      <w:r w:rsidR="00623846">
        <w:t>0</w:t>
      </w:r>
      <w:r w:rsidRPr="00357682">
        <w:t>–1</w:t>
      </w:r>
      <w:r w:rsidR="00623846">
        <w:t>5</w:t>
      </w:r>
      <w:r w:rsidRPr="00357682">
        <w:t xml:space="preserve"> access arrangement period.</w:t>
      </w:r>
    </w:p>
    <w:p w:rsidR="00D63769" w:rsidRDefault="00CA1142" w:rsidP="0055229A">
      <w:r>
        <w:t>We accept the proposed values for the above key inputs</w:t>
      </w:r>
      <w:r w:rsidR="000E3727">
        <w:t>.</w:t>
      </w:r>
      <w:r>
        <w:t xml:space="preserve"> </w:t>
      </w:r>
      <w:r w:rsidR="00D63769">
        <w:t xml:space="preserve">Our assessment of these proposed key inputs are discussed </w:t>
      </w:r>
      <w:r>
        <w:t>further</w:t>
      </w:r>
      <w:r w:rsidR="00D63769">
        <w:t xml:space="preserve"> below.</w:t>
      </w:r>
    </w:p>
    <w:p w:rsidR="00A54F60" w:rsidRDefault="0055229A" w:rsidP="0055229A">
      <w:r>
        <w:t>We also review</w:t>
      </w:r>
      <w:r w:rsidR="00165636">
        <w:t>ed the other key inputs into ActewAGL’</w:t>
      </w:r>
      <w:r>
        <w:t>s proposed capital base roll forward during the 201</w:t>
      </w:r>
      <w:r w:rsidR="00623846">
        <w:t>0</w:t>
      </w:r>
      <w:r>
        <w:t>–1</w:t>
      </w:r>
      <w:r w:rsidR="00623846">
        <w:t>5</w:t>
      </w:r>
      <w:r>
        <w:t xml:space="preserve"> access arrangement period, such as CPI, rate of return, and asset lives. We found </w:t>
      </w:r>
      <w:r w:rsidR="00623846">
        <w:t>the</w:t>
      </w:r>
      <w:r w:rsidR="00D63769">
        <w:t xml:space="preserve"> proposed</w:t>
      </w:r>
      <w:r>
        <w:t xml:space="preserve"> </w:t>
      </w:r>
      <w:r w:rsidR="00D63769">
        <w:t xml:space="preserve">input values </w:t>
      </w:r>
      <w:r>
        <w:t>are consistent with relevant data sources such as ABS data and the 201</w:t>
      </w:r>
      <w:r w:rsidR="000E3727">
        <w:t>0</w:t>
      </w:r>
      <w:r>
        <w:t>–1</w:t>
      </w:r>
      <w:r w:rsidR="000E3727">
        <w:t>5</w:t>
      </w:r>
      <w:r>
        <w:t xml:space="preserve"> decision models.</w:t>
      </w:r>
      <w:r w:rsidR="00BA01A2">
        <w:t xml:space="preserve"> </w:t>
      </w:r>
    </w:p>
    <w:p w:rsidR="0079629B" w:rsidRDefault="00431B8A" w:rsidP="0055229A">
      <w:r>
        <w:t>Although we accept the key inputs</w:t>
      </w:r>
      <w:r w:rsidR="000E3727">
        <w:t xml:space="preserve"> in the proposed RFM</w:t>
      </w:r>
      <w:r>
        <w:t xml:space="preserve">, we do not accept ActewAGL’s proposal to exclude the negative opening value of –$0.4 million ($nominal) for the ‘IT systems’ asset class from </w:t>
      </w:r>
      <w:r w:rsidR="00AB7276">
        <w:t>its proposed opening capital base at 1</w:t>
      </w:r>
      <w:r w:rsidR="00045BBC">
        <w:t> </w:t>
      </w:r>
      <w:r w:rsidR="00AB7276">
        <w:t>July 2015</w:t>
      </w:r>
      <w:r>
        <w:t>.</w:t>
      </w:r>
      <w:r w:rsidR="00D63769">
        <w:t xml:space="preserve"> </w:t>
      </w:r>
    </w:p>
    <w:p w:rsidR="0079629B" w:rsidRPr="0018381D" w:rsidRDefault="0079629B" w:rsidP="002D663F">
      <w:pPr>
        <w:pStyle w:val="HeadingBoldBlue"/>
        <w:keepNext/>
        <w:numPr>
          <w:ilvl w:val="0"/>
          <w:numId w:val="28"/>
        </w:numPr>
        <w:tabs>
          <w:tab w:val="clear" w:pos="1021"/>
        </w:tabs>
        <w:spacing w:before="120" w:after="120" w:line="288" w:lineRule="auto"/>
        <w:outlineLvl w:val="9"/>
        <w:rPr>
          <w:rFonts w:eastAsia="Calibri"/>
        </w:rPr>
      </w:pPr>
      <w:r w:rsidRPr="0018381D">
        <w:rPr>
          <w:rFonts w:eastAsia="Calibri"/>
        </w:rPr>
        <w:t>Opening capital base for ‘IT systems’</w:t>
      </w:r>
      <w:r w:rsidR="00184149" w:rsidRPr="0018381D">
        <w:rPr>
          <w:rFonts w:eastAsia="Calibri"/>
        </w:rPr>
        <w:t xml:space="preserve"> asset class</w:t>
      </w:r>
    </w:p>
    <w:p w:rsidR="00BF2C6E" w:rsidRDefault="00734E26" w:rsidP="0055229A">
      <w:r>
        <w:t xml:space="preserve">The opening capital base as at 1 July 2015 for the ‘IT systems’ asset class is negative (about –0.4 million). </w:t>
      </w:r>
      <w:r w:rsidR="007F4620">
        <w:t xml:space="preserve">ActewAGL has </w:t>
      </w:r>
      <w:r w:rsidR="00D35872">
        <w:t>excluded</w:t>
      </w:r>
      <w:r w:rsidR="007F4620">
        <w:t xml:space="preserve"> this amount from the opening capital </w:t>
      </w:r>
      <w:r w:rsidR="007F4620">
        <w:lastRenderedPageBreak/>
        <w:t>base as at 1 July 2015</w:t>
      </w:r>
      <w:r w:rsidR="00D35872">
        <w:t xml:space="preserve"> in </w:t>
      </w:r>
      <w:r w:rsidR="00AB7276">
        <w:t xml:space="preserve">its </w:t>
      </w:r>
      <w:r w:rsidR="00D35872">
        <w:t>proposed PTRM</w:t>
      </w:r>
      <w:r w:rsidR="007F4620">
        <w:t>.</w:t>
      </w:r>
      <w:r w:rsidR="000103F4">
        <w:rPr>
          <w:rStyle w:val="FootnoteReference"/>
        </w:rPr>
        <w:footnoteReference w:id="21"/>
      </w:r>
      <w:r w:rsidR="00D35872">
        <w:t xml:space="preserve"> It noted that </w:t>
      </w:r>
      <w:r w:rsidR="0046719F">
        <w:t>it</w:t>
      </w:r>
      <w:r w:rsidR="00D35872">
        <w:t xml:space="preserve"> has done so because IT systems capital base has been fully depreciated</w:t>
      </w:r>
      <w:r w:rsidR="00BF2C6E">
        <w:t xml:space="preserve"> at 30 June 2015</w:t>
      </w:r>
      <w:r w:rsidR="00D35872">
        <w:t>.</w:t>
      </w:r>
      <w:r w:rsidR="000103F4">
        <w:rPr>
          <w:rStyle w:val="FootnoteReference"/>
        </w:rPr>
        <w:footnoteReference w:id="22"/>
      </w:r>
    </w:p>
    <w:p w:rsidR="0055229A" w:rsidRDefault="00BF2C6E" w:rsidP="0055229A">
      <w:r>
        <w:t xml:space="preserve">We do not agree with ActewAGL that the </w:t>
      </w:r>
      <w:r w:rsidR="007765E2">
        <w:t xml:space="preserve">IT systems capital base </w:t>
      </w:r>
      <w:r w:rsidR="00AB7276">
        <w:t>can be considered as being</w:t>
      </w:r>
      <w:r w:rsidR="007765E2">
        <w:t xml:space="preserve"> </w:t>
      </w:r>
      <w:r w:rsidR="00AB7276">
        <w:t>“</w:t>
      </w:r>
      <w:r w:rsidR="007765E2">
        <w:t>fully depreciated</w:t>
      </w:r>
      <w:r w:rsidR="00AB7276">
        <w:t>”</w:t>
      </w:r>
      <w:r w:rsidR="007765E2">
        <w:t>.</w:t>
      </w:r>
      <w:r w:rsidR="00AB7276">
        <w:t xml:space="preserve"> Instead, we consider the approach used to roll forward the capital base and the resulting negative value for the ‘IT systems’ asset class means there is an over </w:t>
      </w:r>
      <w:r w:rsidR="000A094C">
        <w:t>recovery</w:t>
      </w:r>
      <w:r w:rsidR="00AB7276">
        <w:t xml:space="preserve"> for that </w:t>
      </w:r>
      <w:r w:rsidR="00621FDE">
        <w:t xml:space="preserve">asset </w:t>
      </w:r>
      <w:r w:rsidR="00AB7276">
        <w:t>class.</w:t>
      </w:r>
      <w:r w:rsidR="005A117E">
        <w:rPr>
          <w:rStyle w:val="FootnoteReference"/>
        </w:rPr>
        <w:footnoteReference w:id="23"/>
      </w:r>
      <w:r w:rsidR="007765E2">
        <w:t xml:space="preserve"> We note that the negative value</w:t>
      </w:r>
      <w:r w:rsidR="00734E26">
        <w:t xml:space="preserve"> is </w:t>
      </w:r>
      <w:r w:rsidR="000A7554">
        <w:t>due to</w:t>
      </w:r>
      <w:r w:rsidR="00734E26">
        <w:t xml:space="preserve"> ActewAGL</w:t>
      </w:r>
      <w:r w:rsidR="000A7554">
        <w:t>’s adjustment to</w:t>
      </w:r>
      <w:r w:rsidR="00734E26">
        <w:t xml:space="preserve"> </w:t>
      </w:r>
      <w:r w:rsidR="007765E2">
        <w:t>the</w:t>
      </w:r>
      <w:r w:rsidR="00734E26">
        <w:t xml:space="preserve"> 2013–14 capex to reverse the effect of an incorrect record in </w:t>
      </w:r>
      <w:r w:rsidR="000D0075">
        <w:t>2012–13</w:t>
      </w:r>
      <w:r w:rsidR="00734E26">
        <w:t>.</w:t>
      </w:r>
      <w:r w:rsidR="0016682D">
        <w:rPr>
          <w:rStyle w:val="FootnoteReference"/>
        </w:rPr>
        <w:footnoteReference w:id="24"/>
      </w:r>
      <w:r w:rsidR="00734E26">
        <w:t xml:space="preserve"> </w:t>
      </w:r>
      <w:r w:rsidR="007765E2">
        <w:t>It</w:t>
      </w:r>
      <w:r w:rsidR="00734E26">
        <w:t xml:space="preserve"> is also </w:t>
      </w:r>
      <w:r w:rsidR="000A7554">
        <w:t>due to</w:t>
      </w:r>
      <w:r w:rsidR="00734E26">
        <w:t xml:space="preserve"> </w:t>
      </w:r>
      <w:r w:rsidR="007765E2">
        <w:t>ActewAGL’s adjustment to the</w:t>
      </w:r>
      <w:r w:rsidR="00734E26">
        <w:t xml:space="preserve"> 2009–10</w:t>
      </w:r>
      <w:r w:rsidR="00623846">
        <w:t xml:space="preserve"> </w:t>
      </w:r>
      <w:r w:rsidR="00734E26">
        <w:t>capex</w:t>
      </w:r>
      <w:r w:rsidR="000A7554">
        <w:t xml:space="preserve"> </w:t>
      </w:r>
      <w:r w:rsidR="007765E2">
        <w:t>for overspending the capex allowance for that year</w:t>
      </w:r>
      <w:r w:rsidR="00734E26">
        <w:t xml:space="preserve">. </w:t>
      </w:r>
      <w:r w:rsidR="007118D4">
        <w:t>Therefore</w:t>
      </w:r>
      <w:r w:rsidR="00396844">
        <w:t>,</w:t>
      </w:r>
      <w:r w:rsidR="007118D4">
        <w:t xml:space="preserve"> </w:t>
      </w:r>
      <w:r w:rsidR="000A7554">
        <w:t>the</w:t>
      </w:r>
      <w:r w:rsidR="007118D4">
        <w:t xml:space="preserve"> negative </w:t>
      </w:r>
      <w:r w:rsidR="003848E1">
        <w:t xml:space="preserve">opening capital base </w:t>
      </w:r>
      <w:r w:rsidR="007118D4">
        <w:t xml:space="preserve">value </w:t>
      </w:r>
      <w:r w:rsidR="00EC35A3">
        <w:t>reflects</w:t>
      </w:r>
      <w:r w:rsidR="003848E1">
        <w:t xml:space="preserve"> </w:t>
      </w:r>
      <w:r w:rsidR="007765E2">
        <w:t>over recovery by ActewAGL</w:t>
      </w:r>
      <w:r w:rsidR="000D0075">
        <w:t xml:space="preserve"> in 2009–10 and 2012–13</w:t>
      </w:r>
      <w:r w:rsidR="007765E2">
        <w:t xml:space="preserve">. </w:t>
      </w:r>
      <w:r w:rsidR="00A76543">
        <w:t>For this reason, we consider t</w:t>
      </w:r>
      <w:r w:rsidR="007765E2">
        <w:t xml:space="preserve">his negative value </w:t>
      </w:r>
      <w:r w:rsidR="007118D4">
        <w:t xml:space="preserve">should </w:t>
      </w:r>
      <w:r w:rsidR="00DD0103">
        <w:t xml:space="preserve">not </w:t>
      </w:r>
      <w:r w:rsidR="007118D4">
        <w:t xml:space="preserve">be </w:t>
      </w:r>
      <w:r w:rsidR="00DD0103">
        <w:t>excluded from</w:t>
      </w:r>
      <w:r w:rsidR="007118D4">
        <w:t xml:space="preserve"> the opening capital base </w:t>
      </w:r>
      <w:r w:rsidR="007765E2">
        <w:t>as at 1 July 2015</w:t>
      </w:r>
      <w:r w:rsidR="00DD0103">
        <w:t xml:space="preserve">. </w:t>
      </w:r>
      <w:r w:rsidR="00C348AE">
        <w:t>We have therefore added this small negative value back to the opening capital base a</w:t>
      </w:r>
      <w:r w:rsidR="00C73186">
        <w:t>s</w:t>
      </w:r>
      <w:r w:rsidR="00C348AE">
        <w:t>s</w:t>
      </w:r>
      <w:r w:rsidR="00C73186">
        <w:t>e</w:t>
      </w:r>
      <w:r w:rsidR="00C348AE">
        <w:t xml:space="preserve">t at 1 July 2015. </w:t>
      </w:r>
      <w:r w:rsidR="000A094C">
        <w:t xml:space="preserve">This </w:t>
      </w:r>
      <w:r w:rsidR="007C7C66">
        <w:t>amendment</w:t>
      </w:r>
      <w:r w:rsidR="00845A1D">
        <w:t xml:space="preserve"> </w:t>
      </w:r>
      <w:r w:rsidR="000A094C">
        <w:t>will</w:t>
      </w:r>
      <w:r w:rsidR="005A117E">
        <w:t xml:space="preserve"> </w:t>
      </w:r>
      <w:r w:rsidR="00DD0103">
        <w:t>result</w:t>
      </w:r>
      <w:r w:rsidR="007765E2">
        <w:t xml:space="preserve"> </w:t>
      </w:r>
      <w:r w:rsidR="00DD0103">
        <w:t>in the ‘IT systems’ asset class being</w:t>
      </w:r>
      <w:r w:rsidR="007765E2">
        <w:t xml:space="preserve"> fully depreciated by way o</w:t>
      </w:r>
      <w:r w:rsidR="00DD0103">
        <w:t>f</w:t>
      </w:r>
      <w:r w:rsidR="007765E2">
        <w:t xml:space="preserve"> returning </w:t>
      </w:r>
      <w:r w:rsidR="00DD0103">
        <w:t xml:space="preserve">the negative value </w:t>
      </w:r>
      <w:r w:rsidR="007765E2">
        <w:t xml:space="preserve">to customers within 2015–16 and </w:t>
      </w:r>
      <w:r w:rsidR="00045BBC">
        <w:t xml:space="preserve">the </w:t>
      </w:r>
      <w:r w:rsidR="007765E2">
        <w:t>2016–21 access arrangement period.</w:t>
      </w:r>
      <w:r w:rsidR="007118D4">
        <w:t xml:space="preserve"> </w:t>
      </w:r>
    </w:p>
    <w:p w:rsidR="0055229A" w:rsidRDefault="0055229A" w:rsidP="0055229A">
      <w:pPr>
        <w:pStyle w:val="HeadingBoldBlue"/>
        <w:keepNext/>
        <w:numPr>
          <w:ilvl w:val="0"/>
          <w:numId w:val="28"/>
        </w:numPr>
        <w:tabs>
          <w:tab w:val="clear" w:pos="1021"/>
        </w:tabs>
        <w:spacing w:before="120" w:after="120" w:line="288" w:lineRule="auto"/>
        <w:outlineLvl w:val="9"/>
        <w:rPr>
          <w:rFonts w:eastAsia="Calibri"/>
        </w:rPr>
      </w:pPr>
      <w:r>
        <w:rPr>
          <w:rFonts w:eastAsia="Calibri"/>
        </w:rPr>
        <w:t>Adjustment for actual capex in 20</w:t>
      </w:r>
      <w:r w:rsidR="002E0E15">
        <w:rPr>
          <w:rFonts w:eastAsia="Calibri"/>
        </w:rPr>
        <w:t>09</w:t>
      </w:r>
      <w:r>
        <w:rPr>
          <w:rFonts w:eastAsia="Calibri"/>
        </w:rPr>
        <w:t>–1</w:t>
      </w:r>
      <w:r w:rsidR="002E0E15">
        <w:rPr>
          <w:rFonts w:eastAsia="Calibri"/>
        </w:rPr>
        <w:t>0</w:t>
      </w:r>
    </w:p>
    <w:p w:rsidR="00BF00A2" w:rsidRDefault="00BF00A2" w:rsidP="0055229A">
      <w:r>
        <w:t xml:space="preserve">We accept </w:t>
      </w:r>
      <w:r w:rsidR="00165636">
        <w:t>ActewAGL</w:t>
      </w:r>
      <w:r>
        <w:t>’s</w:t>
      </w:r>
      <w:r w:rsidR="0055229A">
        <w:t xml:space="preserve"> propos</w:t>
      </w:r>
      <w:r>
        <w:t>al</w:t>
      </w:r>
      <w:r w:rsidR="0055229A">
        <w:t xml:space="preserve"> to remove $7.</w:t>
      </w:r>
      <w:r w:rsidR="00801528">
        <w:t xml:space="preserve">5 </w:t>
      </w:r>
      <w:r w:rsidR="0055229A">
        <w:t xml:space="preserve">million ($nominal) from its capital base for adjusting the difference between estimated and actual </w:t>
      </w:r>
      <w:r w:rsidR="00165636">
        <w:t>capex for 20</w:t>
      </w:r>
      <w:r w:rsidR="00801528">
        <w:t>09</w:t>
      </w:r>
      <w:r w:rsidR="00165636">
        <w:t>–1</w:t>
      </w:r>
      <w:r w:rsidR="00801528">
        <w:t>0</w:t>
      </w:r>
      <w:r w:rsidR="00165636">
        <w:t xml:space="preserve">. </w:t>
      </w:r>
      <w:r w:rsidR="0055229A">
        <w:t>A</w:t>
      </w:r>
      <w:r w:rsidR="00165636">
        <w:t>ctewAGL’</w:t>
      </w:r>
      <w:r w:rsidR="0055229A">
        <w:t>s proposal used the AER’s RFM for electricity service providers, which provides for this adjustment. Under the RFM, the capital base is adjusted for the difference between estimated and actual capex for the final year of the previous access arrangement period (in this case 200</w:t>
      </w:r>
      <w:r w:rsidR="005A117E">
        <w:t>9</w:t>
      </w:r>
      <w:r w:rsidR="0055229A">
        <w:t>–1</w:t>
      </w:r>
      <w:r w:rsidR="005A117E">
        <w:t>0</w:t>
      </w:r>
      <w:r w:rsidR="0055229A">
        <w:t>) and the accumulated return on capital associated with that difference.</w:t>
      </w:r>
      <w:r w:rsidR="0055229A">
        <w:rPr>
          <w:rStyle w:val="FootnoteReference"/>
        </w:rPr>
        <w:footnoteReference w:id="25"/>
      </w:r>
      <w:r w:rsidR="0055229A">
        <w:t xml:space="preserve"> </w:t>
      </w:r>
    </w:p>
    <w:p w:rsidR="0055229A" w:rsidRDefault="0055229A" w:rsidP="0055229A">
      <w:pPr>
        <w:pStyle w:val="HeadingBoldBlue"/>
        <w:keepNext/>
        <w:numPr>
          <w:ilvl w:val="0"/>
          <w:numId w:val="28"/>
        </w:numPr>
        <w:tabs>
          <w:tab w:val="clear" w:pos="1021"/>
        </w:tabs>
        <w:spacing w:before="120" w:after="120" w:line="288" w:lineRule="auto"/>
        <w:outlineLvl w:val="9"/>
      </w:pPr>
      <w:bookmarkStart w:id="46" w:name="_Ref333306080"/>
      <w:r>
        <w:t>Conforming capital expenditure in the 201</w:t>
      </w:r>
      <w:r w:rsidR="00AF570D">
        <w:t>0</w:t>
      </w:r>
      <w:r>
        <w:t>–1</w:t>
      </w:r>
      <w:r w:rsidR="00AF570D">
        <w:t>5</w:t>
      </w:r>
      <w:r>
        <w:t xml:space="preserve"> access arrangement period</w:t>
      </w:r>
      <w:bookmarkEnd w:id="46"/>
    </w:p>
    <w:p w:rsidR="0055229A" w:rsidRDefault="0055229A" w:rsidP="0055229A">
      <w:r>
        <w:t>Our assessment of conforming capex</w:t>
      </w:r>
      <w:r w:rsidR="005A117E">
        <w:t xml:space="preserve"> (net of customer contributions)</w:t>
      </w:r>
      <w:r>
        <w:t xml:space="preserve"> is set out in the </w:t>
      </w:r>
      <w:r>
        <w:rPr>
          <w:rStyle w:val="AERbody"/>
          <w:rFonts w:eastAsia="Calibri" w:cs="Times New Roman"/>
        </w:rPr>
        <w:t>capex attachment 6. In</w:t>
      </w:r>
      <w:r>
        <w:t xml:space="preserve"> determining the opening capital base as at 1 July 201</w:t>
      </w:r>
      <w:r w:rsidR="00AF570D">
        <w:t>5</w:t>
      </w:r>
      <w:r>
        <w:t>, we assessed whether A</w:t>
      </w:r>
      <w:r w:rsidR="00165636">
        <w:t>ctewAGL’</w:t>
      </w:r>
      <w:r>
        <w:t>s proposed capex amounts for the 201</w:t>
      </w:r>
      <w:r w:rsidR="00AF570D">
        <w:t>0</w:t>
      </w:r>
      <w:r>
        <w:t>–1</w:t>
      </w:r>
      <w:r w:rsidR="00AF570D">
        <w:t>5</w:t>
      </w:r>
      <w:r>
        <w:t xml:space="preserve"> access arrangement are properly accounted for in the capital base roll forward. </w:t>
      </w:r>
    </w:p>
    <w:p w:rsidR="0014252D" w:rsidRDefault="0055229A" w:rsidP="005D7122">
      <w:pPr>
        <w:rPr>
          <w:i/>
          <w:iCs/>
        </w:rPr>
      </w:pPr>
      <w:r>
        <w:t>W</w:t>
      </w:r>
      <w:r w:rsidR="00165636">
        <w:t>e accept that ActewAGL’</w:t>
      </w:r>
      <w:r>
        <w:t>s proposed capex for the 201</w:t>
      </w:r>
      <w:r w:rsidR="00AF570D">
        <w:t>0</w:t>
      </w:r>
      <w:r>
        <w:t>–1</w:t>
      </w:r>
      <w:r w:rsidR="00AF570D">
        <w:t>5</w:t>
      </w:r>
      <w:r>
        <w:t xml:space="preserve"> access arrangement period is properly included in the capital base roll forward and is consistent with the requirements of the NGR.</w:t>
      </w:r>
      <w:r>
        <w:rPr>
          <w:rStyle w:val="FootnoteReference"/>
          <w:rFonts w:eastAsia="Calibri"/>
        </w:rPr>
        <w:footnoteReference w:id="26"/>
      </w:r>
      <w:r>
        <w:t xml:space="preserve"> </w:t>
      </w:r>
      <w:r w:rsidR="0014252D">
        <w:t xml:space="preserve">We note that </w:t>
      </w:r>
      <w:r w:rsidR="0014252D" w:rsidRPr="0014252D">
        <w:t xml:space="preserve">the proposed </w:t>
      </w:r>
      <w:r w:rsidR="0014252D" w:rsidRPr="005D7122">
        <w:rPr>
          <w:iCs/>
        </w:rPr>
        <w:t xml:space="preserve">capex for 2014–15 are estimates. Therefore the ‘approved’ capex in this draft decision for 2014–15 are </w:t>
      </w:r>
      <w:r w:rsidR="0014252D" w:rsidRPr="005D7122">
        <w:rPr>
          <w:iCs/>
        </w:rPr>
        <w:lastRenderedPageBreak/>
        <w:t>placeholder amounts. We expect ActewAGL will provide actual capex for 2014</w:t>
      </w:r>
      <w:r w:rsidR="002412C1">
        <w:rPr>
          <w:iCs/>
        </w:rPr>
        <w:t>–</w:t>
      </w:r>
      <w:r w:rsidR="0014252D" w:rsidRPr="005D7122">
        <w:rPr>
          <w:iCs/>
        </w:rPr>
        <w:t>15 in its revised proposal. We will assess whether this capex is conforming capex in our final decision.</w:t>
      </w:r>
    </w:p>
    <w:p w:rsidR="002E0E15" w:rsidRDefault="002E0E15" w:rsidP="002E0E15">
      <w:pPr>
        <w:pStyle w:val="HeadingBoldBlue"/>
        <w:keepNext/>
        <w:numPr>
          <w:ilvl w:val="0"/>
          <w:numId w:val="28"/>
        </w:numPr>
        <w:tabs>
          <w:tab w:val="clear" w:pos="1021"/>
        </w:tabs>
        <w:spacing w:before="120" w:after="120" w:line="288" w:lineRule="auto"/>
        <w:outlineLvl w:val="9"/>
        <w:rPr>
          <w:rFonts w:eastAsia="Calibri"/>
        </w:rPr>
      </w:pPr>
      <w:r>
        <w:rPr>
          <w:rFonts w:eastAsia="Calibri"/>
        </w:rPr>
        <w:t xml:space="preserve">Depreciation used in the </w:t>
      </w:r>
      <w:r w:rsidR="0062727C">
        <w:rPr>
          <w:rFonts w:eastAsia="Calibri"/>
        </w:rPr>
        <w:t>201</w:t>
      </w:r>
      <w:r w:rsidR="0062727C">
        <w:t>0</w:t>
      </w:r>
      <w:r>
        <w:rPr>
          <w:rFonts w:eastAsia="Calibri"/>
        </w:rPr>
        <w:t>–</w:t>
      </w:r>
      <w:r w:rsidR="00BE68DA">
        <w:rPr>
          <w:rFonts w:eastAsia="Calibri"/>
        </w:rPr>
        <w:t>1</w:t>
      </w:r>
      <w:r w:rsidR="00BE68DA">
        <w:t>5</w:t>
      </w:r>
      <w:r w:rsidR="00BE68DA">
        <w:rPr>
          <w:rFonts w:eastAsia="Calibri"/>
        </w:rPr>
        <w:t xml:space="preserve"> </w:t>
      </w:r>
      <w:r>
        <w:rPr>
          <w:rFonts w:eastAsia="Calibri"/>
        </w:rPr>
        <w:t>access arrangement period</w:t>
      </w:r>
    </w:p>
    <w:p w:rsidR="002E0E15" w:rsidRDefault="002E0E15" w:rsidP="002E0E15">
      <w:pPr>
        <w:pStyle w:val="ListParagraph"/>
        <w:numPr>
          <w:ilvl w:val="0"/>
          <w:numId w:val="28"/>
        </w:numPr>
      </w:pPr>
      <w:r>
        <w:t>Under the NGR, the AER must subtract from the capital base depreciation calculated in accordance with the relevant access arrangement.</w:t>
      </w:r>
      <w:r>
        <w:rPr>
          <w:rStyle w:val="FootnoteReference"/>
          <w:rFonts w:eastAsia="Calibri"/>
        </w:rPr>
        <w:footnoteReference w:id="27"/>
      </w:r>
      <w:r>
        <w:t xml:space="preserve"> </w:t>
      </w:r>
    </w:p>
    <w:p w:rsidR="002E0E15" w:rsidRPr="005E052C" w:rsidRDefault="002C039F" w:rsidP="002E0E15">
      <w:pPr>
        <w:pStyle w:val="ListParagraph"/>
        <w:numPr>
          <w:ilvl w:val="0"/>
          <w:numId w:val="28"/>
        </w:numPr>
      </w:pPr>
      <w:r>
        <w:t>We approve ActewAGL’</w:t>
      </w:r>
      <w:r w:rsidR="002E0E15">
        <w:t xml:space="preserve">s proposal to roll forward the capital base to 1 July 2015 using forecast depreciation (straight-line method, adjusted for actual inflation). This is consistent with </w:t>
      </w:r>
      <w:r w:rsidR="00FE1E3A">
        <w:t>clause 4.17 of the approved</w:t>
      </w:r>
      <w:r w:rsidR="002E0E15">
        <w:t xml:space="preserve"> 2010–15 access arrangement. We also consider the amount of forecast depreciation </w:t>
      </w:r>
      <w:r w:rsidR="00FE1E3A">
        <w:t xml:space="preserve">subtracted from the </w:t>
      </w:r>
      <w:r w:rsidR="00BA01A2">
        <w:t>capital base is correct and reflect</w:t>
      </w:r>
      <w:r w:rsidR="00045BBC">
        <w:t>s</w:t>
      </w:r>
      <w:r w:rsidR="00BA01A2">
        <w:t xml:space="preserve"> the approved forecast depreciation for the 2010–15 access arrangement.</w:t>
      </w:r>
    </w:p>
    <w:p w:rsidR="0055229A" w:rsidRDefault="0055229A" w:rsidP="0055229A">
      <w:pPr>
        <w:pStyle w:val="Heading3"/>
        <w:rPr>
          <w:rFonts w:eastAsia="Times New Roman"/>
        </w:rPr>
      </w:pPr>
      <w:bookmarkStart w:id="47" w:name="_Toc404256807"/>
      <w:bookmarkStart w:id="48" w:name="_Toc404158168"/>
      <w:bookmarkStart w:id="49" w:name="_Toc404157805"/>
      <w:bookmarkStart w:id="50" w:name="_Toc429575473"/>
      <w:bookmarkStart w:id="51" w:name="_Toc436040733"/>
      <w:r>
        <w:t xml:space="preserve">Projected capital base </w:t>
      </w:r>
      <w:r w:rsidR="00BE68DA">
        <w:t xml:space="preserve">over </w:t>
      </w:r>
      <w:r w:rsidR="002C039F">
        <w:t xml:space="preserve">2015–16 and </w:t>
      </w:r>
      <w:r>
        <w:t>the 2016–21 access arrangement period</w:t>
      </w:r>
      <w:bookmarkEnd w:id="47"/>
      <w:bookmarkEnd w:id="48"/>
      <w:bookmarkEnd w:id="49"/>
      <w:bookmarkEnd w:id="50"/>
      <w:bookmarkEnd w:id="51"/>
    </w:p>
    <w:p w:rsidR="0055229A" w:rsidRDefault="0055229A" w:rsidP="0055229A">
      <w:pPr>
        <w:rPr>
          <w:rStyle w:val="AERbody"/>
          <w:rFonts w:eastAsia="Calibri" w:cs="Times New Roman"/>
        </w:rPr>
      </w:pPr>
      <w:r>
        <w:rPr>
          <w:rStyle w:val="AERbody"/>
          <w:rFonts w:eastAsia="Calibri" w:cs="Times New Roman"/>
        </w:rPr>
        <w:t>We forecast A</w:t>
      </w:r>
      <w:r w:rsidR="00AD215F">
        <w:rPr>
          <w:rStyle w:val="AERbody"/>
          <w:rFonts w:eastAsia="Calibri" w:cs="Times New Roman"/>
        </w:rPr>
        <w:t>ctewAGL’</w:t>
      </w:r>
      <w:r>
        <w:rPr>
          <w:rStyle w:val="AERbody"/>
          <w:rFonts w:eastAsia="Calibri" w:cs="Times New Roman"/>
        </w:rPr>
        <w:t>s projected capital base at 30 June 2021 to be $</w:t>
      </w:r>
      <w:r w:rsidR="004E3EE9">
        <w:rPr>
          <w:rStyle w:val="AERbody"/>
          <w:rFonts w:eastAsia="Calibri" w:cs="Times New Roman"/>
        </w:rPr>
        <w:t xml:space="preserve">419.7 </w:t>
      </w:r>
      <w:r>
        <w:rPr>
          <w:rStyle w:val="AERbody"/>
          <w:rFonts w:eastAsia="Calibri" w:cs="Times New Roman"/>
        </w:rPr>
        <w:t>million ($nominal), a reduction of $</w:t>
      </w:r>
      <w:r w:rsidR="004E3EE9">
        <w:rPr>
          <w:rStyle w:val="AERbody"/>
          <w:rFonts w:eastAsia="Calibri" w:cs="Times New Roman"/>
        </w:rPr>
        <w:t xml:space="preserve">47.5 </w:t>
      </w:r>
      <w:r>
        <w:rPr>
          <w:rStyle w:val="AERbody"/>
          <w:rFonts w:eastAsia="Calibri" w:cs="Times New Roman"/>
        </w:rPr>
        <w:t xml:space="preserve">million or </w:t>
      </w:r>
      <w:r w:rsidR="004E3EE9">
        <w:rPr>
          <w:rStyle w:val="AERbody"/>
          <w:rFonts w:eastAsia="Calibri" w:cs="Times New Roman"/>
        </w:rPr>
        <w:t xml:space="preserve">10.2 </w:t>
      </w:r>
      <w:r>
        <w:rPr>
          <w:rStyle w:val="AERbody"/>
          <w:rFonts w:eastAsia="Calibri" w:cs="Times New Roman"/>
        </w:rPr>
        <w:t>per cent from A</w:t>
      </w:r>
      <w:r w:rsidR="00AD215F">
        <w:rPr>
          <w:rStyle w:val="AERbody"/>
          <w:rFonts w:eastAsia="Calibri" w:cs="Times New Roman"/>
        </w:rPr>
        <w:t>ctewAGL’</w:t>
      </w:r>
      <w:r>
        <w:rPr>
          <w:rStyle w:val="AERbody"/>
          <w:rFonts w:eastAsia="Calibri" w:cs="Times New Roman"/>
        </w:rPr>
        <w:t>s proposal. This results from our draft decision on the inputs to the determination of the projected capital base. We have amended the inputs in the following ways:</w:t>
      </w:r>
    </w:p>
    <w:p w:rsidR="0055229A" w:rsidRPr="003C0C11" w:rsidRDefault="0055229A" w:rsidP="0055229A">
      <w:pPr>
        <w:pStyle w:val="AERbulletlistfirststyle"/>
        <w:rPr>
          <w:rStyle w:val="AERbody"/>
        </w:rPr>
      </w:pPr>
      <w:r w:rsidRPr="003C0C11">
        <w:rPr>
          <w:rStyle w:val="AERbody"/>
        </w:rPr>
        <w:t>Reduced A</w:t>
      </w:r>
      <w:r w:rsidR="00AD215F">
        <w:rPr>
          <w:rStyle w:val="AERbody"/>
        </w:rPr>
        <w:t>ctewAGL’</w:t>
      </w:r>
      <w:r w:rsidRPr="003C0C11">
        <w:rPr>
          <w:rStyle w:val="AERbody"/>
        </w:rPr>
        <w:t>s opening capital base as at 1 July 201</w:t>
      </w:r>
      <w:r w:rsidR="00AD215F">
        <w:rPr>
          <w:rStyle w:val="AERbody"/>
        </w:rPr>
        <w:t>5</w:t>
      </w:r>
      <w:r w:rsidRPr="003C0C11">
        <w:rPr>
          <w:rStyle w:val="AERbody"/>
        </w:rPr>
        <w:t xml:space="preserve"> to $</w:t>
      </w:r>
      <w:r w:rsidR="006B2C0B">
        <w:rPr>
          <w:rStyle w:val="AERbody"/>
        </w:rPr>
        <w:t xml:space="preserve">0.4 </w:t>
      </w:r>
      <w:r w:rsidRPr="003C0C11">
        <w:rPr>
          <w:rStyle w:val="AERbody"/>
        </w:rPr>
        <w:t xml:space="preserve">million ($nominal) or by </w:t>
      </w:r>
      <w:r w:rsidR="006B2C0B">
        <w:rPr>
          <w:rStyle w:val="AERbody"/>
        </w:rPr>
        <w:t>0.1</w:t>
      </w:r>
      <w:r w:rsidRPr="003C0C11">
        <w:rPr>
          <w:rStyle w:val="AERbody"/>
        </w:rPr>
        <w:t> per cent to reflect the changes required in this attachment.</w:t>
      </w:r>
    </w:p>
    <w:p w:rsidR="0055229A" w:rsidRPr="003C0C11" w:rsidRDefault="0055229A" w:rsidP="0055229A">
      <w:pPr>
        <w:pStyle w:val="AERbulletlistfirststyle"/>
        <w:rPr>
          <w:rStyle w:val="AERbody"/>
        </w:rPr>
      </w:pPr>
      <w:r w:rsidRPr="003C0C11">
        <w:rPr>
          <w:rStyle w:val="AERbody"/>
        </w:rPr>
        <w:t>Reduced A</w:t>
      </w:r>
      <w:r w:rsidR="00AD215F">
        <w:rPr>
          <w:rStyle w:val="AERbody"/>
        </w:rPr>
        <w:t>ctewAGL’</w:t>
      </w:r>
      <w:r w:rsidRPr="003C0C11">
        <w:rPr>
          <w:rStyle w:val="AERbody"/>
        </w:rPr>
        <w:t xml:space="preserve">s proposed forecast net capex </w:t>
      </w:r>
      <w:r w:rsidR="009E3963">
        <w:rPr>
          <w:rStyle w:val="AERbody"/>
        </w:rPr>
        <w:t xml:space="preserve">over 2015–16 and the 2016–21 access arrangement period </w:t>
      </w:r>
      <w:r w:rsidRPr="003C0C11">
        <w:rPr>
          <w:rStyle w:val="AERbody"/>
        </w:rPr>
        <w:t>by $</w:t>
      </w:r>
      <w:r w:rsidR="0077749E">
        <w:rPr>
          <w:rStyle w:val="AERbody"/>
        </w:rPr>
        <w:t>42.2</w:t>
      </w:r>
      <w:r>
        <w:rPr>
          <w:rStyle w:val="AERbody"/>
        </w:rPr>
        <w:t xml:space="preserve"> million ($</w:t>
      </w:r>
      <w:r w:rsidRPr="003C0C11">
        <w:rPr>
          <w:rStyle w:val="AERbody"/>
        </w:rPr>
        <w:t>20</w:t>
      </w:r>
      <w:r>
        <w:rPr>
          <w:rStyle w:val="AERbody"/>
        </w:rPr>
        <w:t>1</w:t>
      </w:r>
      <w:r w:rsidR="00BD7CD9">
        <w:rPr>
          <w:rStyle w:val="AERbody"/>
        </w:rPr>
        <w:t>4</w:t>
      </w:r>
      <w:r>
        <w:rPr>
          <w:rStyle w:val="AERbody"/>
        </w:rPr>
        <w:t>–1</w:t>
      </w:r>
      <w:r w:rsidR="00BD7CD9">
        <w:rPr>
          <w:rStyle w:val="AERbody"/>
        </w:rPr>
        <w:t>5</w:t>
      </w:r>
      <w:r w:rsidRPr="003C0C11">
        <w:rPr>
          <w:rStyle w:val="AERbody"/>
        </w:rPr>
        <w:t xml:space="preserve">) or </w:t>
      </w:r>
      <w:r w:rsidR="0077749E">
        <w:rPr>
          <w:rStyle w:val="AERbody"/>
        </w:rPr>
        <w:t>28.9</w:t>
      </w:r>
      <w:r w:rsidRPr="003C0C11">
        <w:rPr>
          <w:rStyle w:val="AERbody"/>
        </w:rPr>
        <w:t xml:space="preserve"> per cent. Our assessment of the proposed forecast capex is set out in </w:t>
      </w:r>
      <w:r w:rsidR="00E93C76">
        <w:rPr>
          <w:rStyle w:val="AERbody"/>
        </w:rPr>
        <w:t xml:space="preserve">capex </w:t>
      </w:r>
      <w:r w:rsidRPr="003C0C11">
        <w:rPr>
          <w:rStyle w:val="AERbody"/>
        </w:rPr>
        <w:t>attachment 6.</w:t>
      </w:r>
    </w:p>
    <w:p w:rsidR="0055229A" w:rsidRPr="003C0C11" w:rsidRDefault="0055229A" w:rsidP="0055229A">
      <w:pPr>
        <w:pStyle w:val="AERbulletlistfirststyle"/>
        <w:rPr>
          <w:rStyle w:val="AERbody"/>
        </w:rPr>
      </w:pPr>
      <w:r w:rsidRPr="003C0C11">
        <w:rPr>
          <w:rStyle w:val="AERbody"/>
        </w:rPr>
        <w:t>Reduced A</w:t>
      </w:r>
      <w:r w:rsidR="00AD215F">
        <w:rPr>
          <w:rStyle w:val="AERbody"/>
        </w:rPr>
        <w:t>ctewAGL’</w:t>
      </w:r>
      <w:r w:rsidRPr="003C0C11">
        <w:rPr>
          <w:rStyle w:val="AERbody"/>
        </w:rPr>
        <w:t xml:space="preserve">s proposed forecast </w:t>
      </w:r>
      <w:r>
        <w:rPr>
          <w:rStyle w:val="AERbody"/>
        </w:rPr>
        <w:t xml:space="preserve">regulatory </w:t>
      </w:r>
      <w:r w:rsidRPr="003C0C11">
        <w:rPr>
          <w:rStyle w:val="AERbody"/>
        </w:rPr>
        <w:t>depreciation allowance</w:t>
      </w:r>
      <w:r w:rsidR="00783D07">
        <w:rPr>
          <w:rStyle w:val="AERbody"/>
        </w:rPr>
        <w:t xml:space="preserve"> over 2015–16 and the 2016–21 access arrangement period </w:t>
      </w:r>
      <w:r w:rsidRPr="003C0C11">
        <w:rPr>
          <w:rStyle w:val="AERbody"/>
        </w:rPr>
        <w:t>by $</w:t>
      </w:r>
      <w:r w:rsidR="00783D07">
        <w:rPr>
          <w:rStyle w:val="AERbody"/>
        </w:rPr>
        <w:t xml:space="preserve">1.1 </w:t>
      </w:r>
      <w:r w:rsidRPr="003C0C11">
        <w:rPr>
          <w:rStyle w:val="AERbody"/>
        </w:rPr>
        <w:t xml:space="preserve">million ($nominal) or </w:t>
      </w:r>
      <w:r w:rsidR="00783D07">
        <w:rPr>
          <w:rStyle w:val="AERbody"/>
        </w:rPr>
        <w:t>3.2</w:t>
      </w:r>
      <w:r w:rsidRPr="003C0C11">
        <w:rPr>
          <w:rStyle w:val="AERbody"/>
        </w:rPr>
        <w:t xml:space="preserve"> per cent.</w:t>
      </w:r>
      <w:r>
        <w:rPr>
          <w:rStyle w:val="FootnoteReference"/>
        </w:rPr>
        <w:footnoteReference w:id="28"/>
      </w:r>
      <w:r w:rsidRPr="003C0C11">
        <w:rPr>
          <w:rStyle w:val="AERbody"/>
        </w:rPr>
        <w:t xml:space="preserve"> </w:t>
      </w:r>
      <w:r>
        <w:rPr>
          <w:rStyle w:val="AERbody"/>
        </w:rPr>
        <w:t>Our</w:t>
      </w:r>
      <w:r w:rsidRPr="003C0C11">
        <w:rPr>
          <w:rStyle w:val="AERbody"/>
        </w:rPr>
        <w:t xml:space="preserve"> assessment of the proposed forecast depreciation is set out in depreciation attachment 5. </w:t>
      </w:r>
    </w:p>
    <w:p w:rsidR="0055229A" w:rsidRDefault="001F6AA3" w:rsidP="0055229A">
      <w:pPr>
        <w:pStyle w:val="AERbulletlistfirststyle"/>
      </w:pPr>
      <w:r>
        <w:rPr>
          <w:rStyle w:val="AERbody"/>
        </w:rPr>
        <w:t>Updated</w:t>
      </w:r>
      <w:r w:rsidR="00BA4531">
        <w:rPr>
          <w:rStyle w:val="AERbody"/>
        </w:rPr>
        <w:t xml:space="preserve"> the</w:t>
      </w:r>
      <w:r w:rsidR="0055229A" w:rsidRPr="003C0C11">
        <w:rPr>
          <w:rStyle w:val="AERbody"/>
        </w:rPr>
        <w:t xml:space="preserve"> forecast inflation </w:t>
      </w:r>
      <w:r w:rsidR="00D85498">
        <w:rPr>
          <w:rStyle w:val="AERbody"/>
        </w:rPr>
        <w:t>to</w:t>
      </w:r>
      <w:r w:rsidR="00D85498" w:rsidRPr="003C0C11">
        <w:rPr>
          <w:rStyle w:val="AERbody"/>
        </w:rPr>
        <w:t xml:space="preserve"> </w:t>
      </w:r>
      <w:r w:rsidR="00BA4531">
        <w:rPr>
          <w:rStyle w:val="AERbody"/>
        </w:rPr>
        <w:t>2.5</w:t>
      </w:r>
      <w:r w:rsidR="0055229A" w:rsidRPr="003C0C11">
        <w:rPr>
          <w:rStyle w:val="AERbody"/>
        </w:rPr>
        <w:t xml:space="preserve"> per cent per annum for </w:t>
      </w:r>
      <w:r w:rsidR="00D85498">
        <w:rPr>
          <w:rStyle w:val="AERbody"/>
        </w:rPr>
        <w:t xml:space="preserve">2015–16 and </w:t>
      </w:r>
      <w:r w:rsidR="0055229A" w:rsidRPr="003C0C11">
        <w:rPr>
          <w:rStyle w:val="AERbody"/>
        </w:rPr>
        <w:t>the 2016–21 access arrangement period.</w:t>
      </w:r>
      <w:r w:rsidR="0055229A" w:rsidRPr="00CC1C12">
        <w:rPr>
          <w:rStyle w:val="AERbody"/>
          <w:vertAlign w:val="superscript"/>
        </w:rPr>
        <w:t xml:space="preserve"> </w:t>
      </w:r>
      <w:r w:rsidR="0055229A" w:rsidRPr="003C0C11">
        <w:rPr>
          <w:rStyle w:val="AERbody"/>
        </w:rPr>
        <w:t>Our assessment of A</w:t>
      </w:r>
      <w:r w:rsidR="00AD215F">
        <w:rPr>
          <w:rStyle w:val="AERbody"/>
        </w:rPr>
        <w:t>ctewAGL’</w:t>
      </w:r>
      <w:r w:rsidR="0055229A" w:rsidRPr="003C0C11">
        <w:rPr>
          <w:rStyle w:val="AERbody"/>
        </w:rPr>
        <w:t>s proposed forecast inflation is set out in rate of return attachment 3.</w:t>
      </w:r>
    </w:p>
    <w:p w:rsidR="0055229A" w:rsidRDefault="0055229A" w:rsidP="0055229A">
      <w:pPr>
        <w:pStyle w:val="Heading3"/>
      </w:pPr>
      <w:bookmarkStart w:id="52" w:name="_Toc429575474"/>
      <w:bookmarkStart w:id="53" w:name="_Toc436040734"/>
      <w:r>
        <w:t>Capital base at the commencement of the 2021–26 access arrangement period</w:t>
      </w:r>
      <w:bookmarkEnd w:id="52"/>
      <w:bookmarkEnd w:id="53"/>
    </w:p>
    <w:p w:rsidR="0055229A" w:rsidRPr="00BF4761" w:rsidRDefault="0055229A" w:rsidP="00666917">
      <w:r>
        <w:t>The capital base at the commencement of the 2021–26 access arrangement period will be subject to adjustments consistent with the NGR.</w:t>
      </w:r>
      <w:r>
        <w:rPr>
          <w:rStyle w:val="FootnoteReference"/>
          <w:rFonts w:eastAsia="Calibri"/>
        </w:rPr>
        <w:footnoteReference w:id="29"/>
      </w:r>
      <w:r>
        <w:t xml:space="preserve"> </w:t>
      </w:r>
      <w:r w:rsidR="001018DD">
        <w:t>The adjustments for ActewAGL</w:t>
      </w:r>
      <w:r>
        <w:t xml:space="preserve"> </w:t>
      </w:r>
      <w:r>
        <w:lastRenderedPageBreak/>
        <w:t>include (but are not limited to)</w:t>
      </w:r>
      <w:r w:rsidR="00AF570D">
        <w:t xml:space="preserve"> </w:t>
      </w:r>
      <w:r w:rsidRPr="00BF4761">
        <w:t xml:space="preserve">actual inflation and approved depreciation over </w:t>
      </w:r>
      <w:r w:rsidR="001018DD">
        <w:t>2015–16 and</w:t>
      </w:r>
      <w:r w:rsidR="00B258FC">
        <w:t xml:space="preserve"> the</w:t>
      </w:r>
      <w:r w:rsidR="001018DD">
        <w:t xml:space="preserve"> </w:t>
      </w:r>
      <w:r w:rsidRPr="00BF4761">
        <w:t>2016–21 access arrangement period.</w:t>
      </w:r>
      <w:r w:rsidR="001018DD">
        <w:rPr>
          <w:rStyle w:val="FootnoteReference"/>
        </w:rPr>
        <w:footnoteReference w:id="30"/>
      </w:r>
      <w:r w:rsidRPr="00BF4761">
        <w:t xml:space="preserve"> </w:t>
      </w:r>
    </w:p>
    <w:p w:rsidR="0055229A" w:rsidRDefault="001018DD" w:rsidP="0055229A">
      <w:r>
        <w:t>We accept ActewAGL’</w:t>
      </w:r>
      <w:r w:rsidR="0055229A">
        <w:t xml:space="preserve">s proposal to use forecast depreciation for </w:t>
      </w:r>
      <w:r w:rsidR="00C039DB">
        <w:t xml:space="preserve">2015–16 and </w:t>
      </w:r>
      <w:r w:rsidR="0055229A">
        <w:t>the 2016–21 access arrangement period to establish A</w:t>
      </w:r>
      <w:r>
        <w:t>ctewAGL</w:t>
      </w:r>
      <w:r w:rsidR="0055229A">
        <w:t>’s opening capital base as at 1 July 2021.</w:t>
      </w:r>
      <w:r w:rsidR="0055229A">
        <w:rPr>
          <w:rStyle w:val="FootnoteReference"/>
          <w:rFonts w:eastAsia="Calibri"/>
        </w:rPr>
        <w:footnoteReference w:id="31"/>
      </w:r>
      <w:r w:rsidR="0055229A">
        <w:t xml:space="preserve"> We approved such an approach in our recent gas decisions.</w:t>
      </w:r>
      <w:r w:rsidR="0055229A">
        <w:rPr>
          <w:rStyle w:val="FootnoteReference"/>
          <w:rFonts w:eastAsia="Calibri"/>
        </w:rPr>
        <w:footnoteReference w:id="32"/>
      </w:r>
      <w:r w:rsidR="0055229A">
        <w:t xml:space="preserve"> This approach is also consistent with the approach outlined in our </w:t>
      </w:r>
      <w:r w:rsidR="0055229A" w:rsidRPr="00845A1D">
        <w:rPr>
          <w:rStyle w:val="AERtextitalic"/>
        </w:rPr>
        <w:t>Access Arrangement Guideline</w:t>
      </w:r>
      <w:r w:rsidR="0055229A">
        <w:t>.</w:t>
      </w:r>
      <w:r w:rsidR="0055229A">
        <w:rPr>
          <w:rStyle w:val="FootnoteReference"/>
          <w:rFonts w:eastAsia="Calibri"/>
        </w:rPr>
        <w:footnoteReference w:id="33"/>
      </w:r>
      <w:r w:rsidR="0055229A" w:rsidRPr="00357ACD">
        <w:t xml:space="preserve"> </w:t>
      </w:r>
      <w:r w:rsidR="0055229A">
        <w:t>The amount of the forecast depreciation is to be approved by us in the final decision for</w:t>
      </w:r>
      <w:r w:rsidR="00050DBF">
        <w:t xml:space="preserve"> 2015–16 and </w:t>
      </w:r>
      <w:r w:rsidR="00C039DB">
        <w:t xml:space="preserve">the </w:t>
      </w:r>
      <w:r w:rsidR="0055229A">
        <w:t>2016–21 access arrangement period.</w:t>
      </w:r>
    </w:p>
    <w:p w:rsidR="0055229A" w:rsidRPr="00CF5ECE" w:rsidRDefault="0055229A" w:rsidP="0055229A">
      <w:pPr>
        <w:pStyle w:val="Heading2"/>
      </w:pPr>
      <w:bookmarkStart w:id="54" w:name="_Toc430706237"/>
      <w:bookmarkStart w:id="55" w:name="_Toc429575475"/>
      <w:bookmarkStart w:id="56" w:name="_Toc436040735"/>
      <w:bookmarkEnd w:id="54"/>
      <w:r w:rsidRPr="00CF5ECE">
        <w:t>Revisions</w:t>
      </w:r>
      <w:bookmarkEnd w:id="55"/>
      <w:bookmarkEnd w:id="56"/>
    </w:p>
    <w:p w:rsidR="0055229A" w:rsidRPr="00EF727D" w:rsidRDefault="00F33A3E" w:rsidP="0055229A">
      <w:r>
        <w:t xml:space="preserve">We </w:t>
      </w:r>
      <w:r w:rsidR="0055229A" w:rsidRPr="00CF5ECE">
        <w:t>require the following revisions to make the access arrangement proposal acceptable:</w:t>
      </w:r>
    </w:p>
    <w:p w:rsidR="0055229A" w:rsidRDefault="0055229A" w:rsidP="0055229A">
      <w:pPr>
        <w:pStyle w:val="AERrevisionbox"/>
        <w:pBdr>
          <w:top w:val="single" w:sz="4" w:space="1" w:color="auto"/>
          <w:left w:val="single" w:sz="4" w:space="4" w:color="auto"/>
          <w:bottom w:val="single" w:sz="4" w:space="1" w:color="auto"/>
          <w:right w:val="single" w:sz="4" w:space="4" w:color="auto"/>
        </w:pBdr>
        <w:shd w:val="clear" w:color="auto" w:fill="E0E0E0"/>
        <w:spacing w:before="0" w:line="288" w:lineRule="auto"/>
        <w:jc w:val="both"/>
        <w:rPr>
          <w:rFonts w:eastAsia="Calibri"/>
        </w:rPr>
      </w:pPr>
      <w:r w:rsidRPr="00103B25">
        <w:rPr>
          <w:rStyle w:val="Strong"/>
          <w:rFonts w:eastAsia="Calibri"/>
        </w:rPr>
        <w:t>Revision 2.1</w:t>
      </w:r>
      <w:r w:rsidRPr="00103B25">
        <w:rPr>
          <w:rFonts w:eastAsia="Calibri"/>
        </w:rPr>
        <w:t xml:space="preserve">: Make all necessary amendments to reflect </w:t>
      </w:r>
      <w:r w:rsidR="00F33A3E">
        <w:t>this</w:t>
      </w:r>
      <w:r w:rsidRPr="00103B25">
        <w:rPr>
          <w:rFonts w:eastAsia="Calibri"/>
        </w:rPr>
        <w:t xml:space="preserve"> draft decision on the roll forward of the capital base for the 201</w:t>
      </w:r>
      <w:r w:rsidR="00C039DB">
        <w:rPr>
          <w:rFonts w:eastAsia="Calibri"/>
        </w:rPr>
        <w:t>0</w:t>
      </w:r>
      <w:r w:rsidRPr="00103B25">
        <w:rPr>
          <w:rFonts w:eastAsia="Calibri"/>
        </w:rPr>
        <w:t>–1</w:t>
      </w:r>
      <w:r w:rsidR="00C039DB">
        <w:rPr>
          <w:rFonts w:eastAsia="Calibri"/>
        </w:rPr>
        <w:t>5</w:t>
      </w:r>
      <w:r w:rsidRPr="00103B25">
        <w:rPr>
          <w:rFonts w:eastAsia="Calibri"/>
        </w:rPr>
        <w:t xml:space="preserve"> access arrangement period, as set out in</w:t>
      </w:r>
      <w:r>
        <w:rPr>
          <w:rFonts w:eastAsia="Calibri"/>
        </w:rPr>
        <w:t xml:space="preserve"> </w:t>
      </w:r>
      <w:r>
        <w:rPr>
          <w:rFonts w:eastAsia="Calibri"/>
        </w:rPr>
        <w:fldChar w:fldCharType="begin"/>
      </w:r>
      <w:r>
        <w:rPr>
          <w:rFonts w:eastAsia="Calibri"/>
        </w:rPr>
        <w:instrText xml:space="preserve"> REF _Ref404157003 \h  \* MERGEFORMAT </w:instrText>
      </w:r>
      <w:r>
        <w:rPr>
          <w:rFonts w:eastAsia="Calibri"/>
        </w:rPr>
      </w:r>
      <w:r>
        <w:rPr>
          <w:rFonts w:eastAsia="Calibri"/>
        </w:rPr>
        <w:fldChar w:fldCharType="separate"/>
      </w:r>
      <w:r w:rsidR="00CE6133">
        <w:t>t</w:t>
      </w:r>
      <w:r w:rsidR="001A41AD">
        <w:t xml:space="preserve">able </w:t>
      </w:r>
      <w:r w:rsidR="001A41AD">
        <w:rPr>
          <w:noProof/>
        </w:rPr>
        <w:t>2.1</w:t>
      </w:r>
      <w:r>
        <w:rPr>
          <w:rFonts w:eastAsia="Calibri"/>
        </w:rPr>
        <w:fldChar w:fldCharType="end"/>
      </w:r>
      <w:r w:rsidRPr="00103B25">
        <w:rPr>
          <w:rFonts w:eastAsia="Calibri"/>
        </w:rPr>
        <w:t>.</w:t>
      </w:r>
    </w:p>
    <w:p w:rsidR="0055229A" w:rsidRDefault="0055229A" w:rsidP="0055229A">
      <w:pPr>
        <w:pStyle w:val="AERrevisionbox"/>
        <w:pBdr>
          <w:top w:val="single" w:sz="4" w:space="1" w:color="auto"/>
          <w:left w:val="single" w:sz="4" w:space="4" w:color="auto"/>
          <w:bottom w:val="single" w:sz="4" w:space="1" w:color="auto"/>
          <w:right w:val="single" w:sz="4" w:space="4" w:color="auto"/>
        </w:pBdr>
        <w:shd w:val="clear" w:color="auto" w:fill="E0E0E0"/>
        <w:spacing w:before="0" w:line="288" w:lineRule="auto"/>
        <w:jc w:val="both"/>
        <w:rPr>
          <w:rFonts w:eastAsia="Calibri"/>
        </w:rPr>
      </w:pPr>
      <w:r w:rsidRPr="00752809">
        <w:rPr>
          <w:rStyle w:val="Strong"/>
          <w:rFonts w:eastAsia="Calibri"/>
        </w:rPr>
        <w:t>Revision 2.1</w:t>
      </w:r>
      <w:r w:rsidRPr="00752809">
        <w:rPr>
          <w:rFonts w:eastAsia="Calibri"/>
        </w:rPr>
        <w:t xml:space="preserve">: Make all necessary amendments to reflect </w:t>
      </w:r>
      <w:r w:rsidR="00F33A3E">
        <w:t>this</w:t>
      </w:r>
      <w:r w:rsidRPr="00752809">
        <w:rPr>
          <w:rFonts w:eastAsia="Calibri"/>
        </w:rPr>
        <w:t xml:space="preserve"> draft decision on the </w:t>
      </w:r>
      <w:r>
        <w:rPr>
          <w:rFonts w:eastAsia="Calibri"/>
        </w:rPr>
        <w:t>projected opening cap</w:t>
      </w:r>
      <w:r w:rsidRPr="00752809">
        <w:rPr>
          <w:rFonts w:eastAsia="Calibri"/>
        </w:rPr>
        <w:t xml:space="preserve">ital base for </w:t>
      </w:r>
      <w:r w:rsidR="00C039DB">
        <w:rPr>
          <w:rFonts w:eastAsia="Calibri"/>
        </w:rPr>
        <w:t xml:space="preserve">2015–16 and the </w:t>
      </w:r>
      <w:r w:rsidRPr="00752809">
        <w:rPr>
          <w:rFonts w:eastAsia="Calibri"/>
        </w:rPr>
        <w:t>201</w:t>
      </w:r>
      <w:r>
        <w:rPr>
          <w:rFonts w:eastAsia="Calibri"/>
        </w:rPr>
        <w:t>6–21</w:t>
      </w:r>
      <w:r w:rsidRPr="00752809">
        <w:rPr>
          <w:rFonts w:eastAsia="Calibri"/>
        </w:rPr>
        <w:t xml:space="preserve"> access arrangement period, as set out in</w:t>
      </w:r>
      <w:r>
        <w:rPr>
          <w:rFonts w:eastAsia="Calibri"/>
        </w:rPr>
        <w:t xml:space="preserve"> </w:t>
      </w:r>
      <w:r>
        <w:rPr>
          <w:rFonts w:eastAsia="Calibri"/>
        </w:rPr>
        <w:fldChar w:fldCharType="begin"/>
      </w:r>
      <w:r>
        <w:rPr>
          <w:rFonts w:eastAsia="Calibri"/>
        </w:rPr>
        <w:instrText xml:space="preserve"> REF _Ref404703901 \h  \* MERGEFORMAT </w:instrText>
      </w:r>
      <w:r>
        <w:rPr>
          <w:rFonts w:eastAsia="Calibri"/>
        </w:rPr>
      </w:r>
      <w:r>
        <w:rPr>
          <w:rFonts w:eastAsia="Calibri"/>
        </w:rPr>
        <w:fldChar w:fldCharType="separate"/>
      </w:r>
      <w:r w:rsidR="00CE6133">
        <w:t>t</w:t>
      </w:r>
      <w:r w:rsidR="001A41AD">
        <w:t xml:space="preserve">able </w:t>
      </w:r>
      <w:r w:rsidR="001A41AD">
        <w:rPr>
          <w:noProof/>
        </w:rPr>
        <w:t>2.2</w:t>
      </w:r>
      <w:r>
        <w:rPr>
          <w:rFonts w:eastAsia="Calibri"/>
        </w:rPr>
        <w:fldChar w:fldCharType="end"/>
      </w:r>
      <w:r>
        <w:rPr>
          <w:rFonts w:eastAsia="Calibri"/>
        </w:rPr>
        <w:t>.</w:t>
      </w:r>
    </w:p>
    <w:p w:rsidR="0055229A" w:rsidRPr="00474EC7" w:rsidRDefault="0055229A" w:rsidP="0055229A"/>
    <w:p w:rsidR="00474EC7" w:rsidRPr="00474EC7" w:rsidRDefault="00474EC7" w:rsidP="00D30F12">
      <w:pPr>
        <w:spacing w:line="240" w:lineRule="auto"/>
      </w:pPr>
    </w:p>
    <w:sectPr w:rsidR="00474EC7" w:rsidRPr="00474EC7" w:rsidSect="00B757A6">
      <w:headerReference w:type="even" r:id="rId13"/>
      <w:footerReference w:type="even" r:id="rId14"/>
      <w:footerReference w:type="default" r:id="rId15"/>
      <w:headerReference w:type="first" r:id="rId16"/>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8DA" w:rsidRPr="00290C63" w:rsidRDefault="00BE68DA" w:rsidP="00290C63">
      <w:r>
        <w:separator/>
      </w:r>
    </w:p>
    <w:p w:rsidR="00BE68DA" w:rsidRDefault="00BE68DA"/>
  </w:endnote>
  <w:endnote w:type="continuationSeparator" w:id="0">
    <w:p w:rsidR="00BE68DA" w:rsidRPr="00290C63" w:rsidRDefault="00BE68DA" w:rsidP="00290C63">
      <w:r>
        <w:continuationSeparator/>
      </w:r>
    </w:p>
    <w:p w:rsidR="00BE68DA" w:rsidRDefault="00BE6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DA" w:rsidRDefault="00BE68D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BE68DA" w:rsidRDefault="00BE68DA">
    <w:pPr>
      <w:pStyle w:val="Footer"/>
    </w:pPr>
  </w:p>
  <w:p w:rsidR="00BE68DA" w:rsidRDefault="00BE68DA">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BE68DA" w:rsidRPr="00CA52A2" w:rsidRDefault="00BE68DA" w:rsidP="00CA52A2">
        <w:pPr>
          <w:pStyle w:val="Footer"/>
        </w:pPr>
        <w:r w:rsidRPr="00CA52A2">
          <w:fldChar w:fldCharType="begin"/>
        </w:r>
        <w:r>
          <w:instrText xml:space="preserve"> PAGE   \* MERGEFORMAT </w:instrText>
        </w:r>
        <w:r w:rsidRPr="00CA52A2">
          <w:fldChar w:fldCharType="separate"/>
        </w:r>
        <w:r w:rsidR="00C529F6">
          <w:rPr>
            <w:noProof/>
          </w:rPr>
          <w:t>2-3</w:t>
        </w:r>
        <w:r w:rsidRPr="00CA52A2">
          <w:fldChar w:fldCharType="end"/>
        </w:r>
        <w:r>
          <w:t xml:space="preserve">    Attachment 2 </w:t>
        </w:r>
        <w:r w:rsidRPr="00CA52A2">
          <w:t xml:space="preserve">– </w:t>
        </w:r>
        <w:r>
          <w:t xml:space="preserve">Capital base </w:t>
        </w:r>
        <w:r w:rsidRPr="00CA52A2">
          <w:t xml:space="preserve">| </w:t>
        </w:r>
        <w:r>
          <w:t>Draft decision: ActewAGL Distribution Access Arrangement 2016</w:t>
        </w:r>
        <w:r w:rsidRPr="00CA52A2">
          <w:t>–</w:t>
        </w:r>
        <w:r>
          <w:t>21</w:t>
        </w:r>
      </w:p>
    </w:sdtContent>
  </w:sdt>
  <w:p w:rsidR="00BE68DA" w:rsidRDefault="00BE68DA">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8DA" w:rsidRPr="00290C63" w:rsidRDefault="00BE68DA" w:rsidP="00290C63">
      <w:r>
        <w:separator/>
      </w:r>
    </w:p>
    <w:p w:rsidR="00BE68DA" w:rsidRDefault="00BE68DA"/>
  </w:footnote>
  <w:footnote w:type="continuationSeparator" w:id="0">
    <w:p w:rsidR="00BE68DA" w:rsidRPr="00290C63" w:rsidRDefault="00BE68DA" w:rsidP="00290C63">
      <w:r>
        <w:continuationSeparator/>
      </w:r>
    </w:p>
    <w:p w:rsidR="00BE68DA" w:rsidRDefault="00BE68DA"/>
  </w:footnote>
  <w:footnote w:id="1">
    <w:p w:rsidR="00BE68DA" w:rsidRPr="003B67F0" w:rsidRDefault="00BE68DA" w:rsidP="0055229A">
      <w:pPr>
        <w:pStyle w:val="FootnoteText"/>
        <w:rPr>
          <w:rStyle w:val="AERtexthighlight"/>
          <w:shd w:val="clear" w:color="auto" w:fill="auto"/>
        </w:rPr>
      </w:pPr>
      <w:r w:rsidRPr="003F6033">
        <w:rPr>
          <w:rStyle w:val="FootnoteReference"/>
        </w:rPr>
        <w:footnoteRef/>
      </w:r>
      <w:r w:rsidRPr="003F6033">
        <w:rPr>
          <w:rStyle w:val="FootnoteReference"/>
        </w:rPr>
        <w:t xml:space="preserve"> </w:t>
      </w:r>
      <w:r>
        <w:rPr>
          <w:rStyle w:val="AERtexthighlight"/>
          <w:shd w:val="clear" w:color="auto" w:fill="auto"/>
        </w:rPr>
        <w:tab/>
        <w:t>The term ‘</w:t>
      </w:r>
      <w:r w:rsidRPr="003B67F0">
        <w:rPr>
          <w:rStyle w:val="AERtexthighlight"/>
          <w:shd w:val="clear" w:color="auto" w:fill="auto"/>
        </w:rPr>
        <w:t>rolled forward</w:t>
      </w:r>
      <w:r>
        <w:rPr>
          <w:rStyle w:val="AERtexthighlight"/>
          <w:shd w:val="clear" w:color="auto" w:fill="auto"/>
        </w:rPr>
        <w:t>’</w:t>
      </w:r>
      <w:r w:rsidRPr="003B67F0">
        <w:rPr>
          <w:rStyle w:val="AERtexthighlight"/>
          <w:shd w:val="clear" w:color="auto" w:fill="auto"/>
        </w:rPr>
        <w:t xml:space="preserve"> means the process of carrying over the value of the capital base from one regulatory year to the next.     </w:t>
      </w:r>
    </w:p>
  </w:footnote>
  <w:footnote w:id="2">
    <w:p w:rsidR="00BE68DA" w:rsidRDefault="00BE68DA">
      <w:pPr>
        <w:pStyle w:val="FootnoteText"/>
      </w:pPr>
      <w:r>
        <w:rPr>
          <w:rStyle w:val="FootnoteReference"/>
        </w:rPr>
        <w:footnoteRef/>
      </w:r>
      <w:r>
        <w:t xml:space="preserve"> </w:t>
      </w:r>
      <w:r>
        <w:tab/>
        <w:t xml:space="preserve">ActewAGL, </w:t>
      </w:r>
      <w:r w:rsidRPr="00F264CD">
        <w:rPr>
          <w:i/>
        </w:rPr>
        <w:t>Proposed PTRM (alternative approach)</w:t>
      </w:r>
      <w:r>
        <w:t>, June 2015.</w:t>
      </w:r>
    </w:p>
  </w:footnote>
  <w:footnote w:id="3">
    <w:p w:rsidR="00BE68DA" w:rsidRDefault="00BE68DA">
      <w:pPr>
        <w:pStyle w:val="FootnoteText"/>
      </w:pPr>
      <w:r>
        <w:rPr>
          <w:rStyle w:val="FootnoteReference"/>
        </w:rPr>
        <w:footnoteRef/>
      </w:r>
      <w:r>
        <w:t xml:space="preserve"> </w:t>
      </w:r>
      <w:r>
        <w:tab/>
        <w:t xml:space="preserve">ActewAGL, </w:t>
      </w:r>
      <w:r w:rsidRPr="00C331ED">
        <w:rPr>
          <w:i/>
        </w:rPr>
        <w:t>Proposed PTRM (Alternative approach)</w:t>
      </w:r>
      <w:r>
        <w:t>, June 2015.</w:t>
      </w:r>
    </w:p>
  </w:footnote>
  <w:footnote w:id="4">
    <w:p w:rsidR="00BE68DA" w:rsidRDefault="00BE68DA">
      <w:pPr>
        <w:pStyle w:val="FootnoteText"/>
      </w:pPr>
      <w:r>
        <w:rPr>
          <w:rStyle w:val="FootnoteReference"/>
        </w:rPr>
        <w:footnoteRef/>
      </w:r>
      <w:r>
        <w:t xml:space="preserve"> </w:t>
      </w:r>
      <w:r>
        <w:tab/>
        <w:t xml:space="preserve">ActewAGL, </w:t>
      </w:r>
      <w:r w:rsidRPr="004304E3">
        <w:rPr>
          <w:i/>
        </w:rPr>
        <w:t>Proposed RFM (Alternative approach)</w:t>
      </w:r>
      <w:r>
        <w:t xml:space="preserve">, June 2015; ActewAGL, </w:t>
      </w:r>
      <w:r w:rsidRPr="004304E3">
        <w:rPr>
          <w:i/>
        </w:rPr>
        <w:t>Proposed PTRM (Alternative approach)</w:t>
      </w:r>
      <w:r>
        <w:t>, June 2015.</w:t>
      </w:r>
    </w:p>
  </w:footnote>
  <w:footnote w:id="5">
    <w:p w:rsidR="00BE68DA" w:rsidRDefault="00BE68DA">
      <w:pPr>
        <w:pStyle w:val="FootnoteText"/>
      </w:pPr>
      <w:r>
        <w:rPr>
          <w:rStyle w:val="FootnoteReference"/>
        </w:rPr>
        <w:footnoteRef/>
      </w:r>
      <w:r>
        <w:t xml:space="preserve"> </w:t>
      </w:r>
      <w:r>
        <w:tab/>
        <w:t xml:space="preserve">ActewAGL, </w:t>
      </w:r>
      <w:r w:rsidR="00DB4337">
        <w:rPr>
          <w:rStyle w:val="AERtextitalic"/>
        </w:rPr>
        <w:t>Access arrangement information</w:t>
      </w:r>
      <w:r w:rsidR="00AC3E96">
        <w:rPr>
          <w:rStyle w:val="AERtextitalic"/>
        </w:rPr>
        <w:t xml:space="preserve"> for the 2016–21 ACT, Queenbeyan and Palerang access arrangement: Attachment 7 Capital base</w:t>
      </w:r>
      <w:r>
        <w:t>, June 2015, pp. 11–12.</w:t>
      </w:r>
    </w:p>
  </w:footnote>
  <w:footnote w:id="6">
    <w:p w:rsidR="00BE68DA" w:rsidRDefault="00BE68DA" w:rsidP="0055229A">
      <w:pPr>
        <w:pStyle w:val="FootnoteText"/>
        <w:rPr>
          <w:rFonts w:eastAsia="Times New Roman"/>
        </w:rPr>
      </w:pPr>
      <w:r>
        <w:rPr>
          <w:rStyle w:val="FootnoteReference"/>
        </w:rPr>
        <w:footnoteRef/>
      </w:r>
      <w:r>
        <w:t xml:space="preserve"> </w:t>
      </w:r>
      <w:r>
        <w:tab/>
        <w:t xml:space="preserve">ActewAGL, </w:t>
      </w:r>
      <w:r w:rsidR="00AC3E96">
        <w:rPr>
          <w:rStyle w:val="AERtextitalic"/>
        </w:rPr>
        <w:t>Access arrangement information for the 2016–21 ACT, Queenbeyan and Palerang access arrangement: Attachment 7 Capital base</w:t>
      </w:r>
      <w:r>
        <w:t xml:space="preserve">, June 2015, pp. 6–9. </w:t>
      </w:r>
    </w:p>
  </w:footnote>
  <w:footnote w:id="7">
    <w:p w:rsidR="007174B3" w:rsidRDefault="007174B3">
      <w:pPr>
        <w:pStyle w:val="FootnoteText"/>
      </w:pPr>
      <w:r>
        <w:rPr>
          <w:rStyle w:val="FootnoteReference"/>
        </w:rPr>
        <w:footnoteRef/>
      </w:r>
      <w:r>
        <w:t xml:space="preserve"> </w:t>
      </w:r>
      <w:r>
        <w:tab/>
        <w:t xml:space="preserve">ActewAGL, </w:t>
      </w:r>
      <w:r w:rsidR="00AC3E96">
        <w:rPr>
          <w:rStyle w:val="AERtextitalic"/>
        </w:rPr>
        <w:t>Access arrangement information for the 2016–21 ACT, Queenbeyan and Palerang access arrangement: Attachment 7 Capital base</w:t>
      </w:r>
      <w:r>
        <w:t>, June 2015, p. 9.</w:t>
      </w:r>
    </w:p>
  </w:footnote>
  <w:footnote w:id="8">
    <w:p w:rsidR="00BE68DA" w:rsidRDefault="00BE68DA" w:rsidP="00AF0BCE">
      <w:pPr>
        <w:pStyle w:val="FootnoteText"/>
      </w:pPr>
      <w:r>
        <w:rPr>
          <w:rStyle w:val="FootnoteReference"/>
        </w:rPr>
        <w:footnoteRef/>
      </w:r>
      <w:r w:rsidR="00043FA6">
        <w:t xml:space="preserve"> </w:t>
      </w:r>
      <w:r w:rsidR="00043FA6">
        <w:tab/>
        <w:t xml:space="preserve">ActewAGL, </w:t>
      </w:r>
      <w:r w:rsidR="00AC3E96">
        <w:rPr>
          <w:rStyle w:val="AERtextitalic"/>
        </w:rPr>
        <w:t>Access arrangement information for the 2016–21 ACT, Queenbeyan and Palerang access arrangement: Attachment 7 Capital base</w:t>
      </w:r>
      <w:r w:rsidR="00043FA6">
        <w:t xml:space="preserve">, June 2015, </w:t>
      </w:r>
      <w:r>
        <w:t>pp. 11–12.</w:t>
      </w:r>
    </w:p>
  </w:footnote>
  <w:footnote w:id="9">
    <w:p w:rsidR="00BE68DA" w:rsidRDefault="00BE68DA" w:rsidP="0055229A">
      <w:pPr>
        <w:pStyle w:val="FootnoteText"/>
        <w:rPr>
          <w:rFonts w:eastAsia="Times New Roman"/>
        </w:rPr>
      </w:pPr>
      <w:r>
        <w:rPr>
          <w:rStyle w:val="FootnoteReference"/>
        </w:rPr>
        <w:footnoteRef/>
      </w:r>
      <w:r>
        <w:t xml:space="preserve"> </w:t>
      </w:r>
      <w:r>
        <w:tab/>
        <w:t xml:space="preserve">For example, </w:t>
      </w:r>
      <w:r>
        <w:rPr>
          <w:rFonts w:eastAsia="Calibri"/>
        </w:rPr>
        <w:t xml:space="preserve">AER, </w:t>
      </w:r>
      <w:r>
        <w:rPr>
          <w:rStyle w:val="AERtextitalic"/>
          <w:rFonts w:eastAsia="Calibri"/>
        </w:rPr>
        <w:t>Final decision: Envestra (Victoria) access arrangement 2013–17 proposal</w:t>
      </w:r>
      <w:r>
        <w:rPr>
          <w:rFonts w:eastAsia="Calibri"/>
        </w:rPr>
        <w:t xml:space="preserve">, March 2013; AER, </w:t>
      </w:r>
      <w:r>
        <w:rPr>
          <w:rStyle w:val="AERtextitalic"/>
          <w:rFonts w:eastAsia="Calibri"/>
        </w:rPr>
        <w:t>Final decision: AusNet (SP AusNet) access arrangement proposal 2013–17</w:t>
      </w:r>
      <w:r>
        <w:rPr>
          <w:rFonts w:eastAsia="Calibri"/>
        </w:rPr>
        <w:t>, March 2013; AER,</w:t>
      </w:r>
      <w:r>
        <w:rPr>
          <w:rStyle w:val="AERtextitalic"/>
          <w:rFonts w:eastAsia="Calibri"/>
        </w:rPr>
        <w:t xml:space="preserve"> Final decision: Multinet Gas access arrangement proposal 2013–17</w:t>
      </w:r>
      <w:r>
        <w:rPr>
          <w:rFonts w:eastAsia="Calibri"/>
        </w:rPr>
        <w:t xml:space="preserve">, March 2013; AER, </w:t>
      </w:r>
      <w:r w:rsidRPr="00476A30">
        <w:rPr>
          <w:rFonts w:eastAsia="Calibri"/>
          <w:i/>
        </w:rPr>
        <w:t>Final decision: Jemena Gas Networks (NSW) access arrangement 2015–20</w:t>
      </w:r>
      <w:r>
        <w:rPr>
          <w:rFonts w:eastAsia="Calibri"/>
        </w:rPr>
        <w:t>, June 2015.</w:t>
      </w:r>
    </w:p>
  </w:footnote>
  <w:footnote w:id="10">
    <w:p w:rsidR="00BE68DA" w:rsidRDefault="00BE68DA" w:rsidP="0055229A">
      <w:pPr>
        <w:pStyle w:val="FootnoteText"/>
      </w:pPr>
      <w:r>
        <w:rPr>
          <w:rStyle w:val="FootnoteReference"/>
        </w:rPr>
        <w:footnoteRef/>
      </w:r>
      <w:r>
        <w:t xml:space="preserve"> </w:t>
      </w:r>
      <w:r>
        <w:tab/>
      </w:r>
      <w:r>
        <w:rPr>
          <w:rFonts w:eastAsia="Calibri"/>
        </w:rPr>
        <w:t>NGR, r. 77(2).</w:t>
      </w:r>
    </w:p>
  </w:footnote>
  <w:footnote w:id="11">
    <w:p w:rsidR="00BE68DA" w:rsidRDefault="00BE68DA" w:rsidP="0055229A">
      <w:pPr>
        <w:pStyle w:val="FootnoteText"/>
      </w:pPr>
      <w:r>
        <w:rPr>
          <w:rStyle w:val="FootnoteReference"/>
        </w:rPr>
        <w:footnoteRef/>
      </w:r>
      <w:r>
        <w:t xml:space="preserve"> </w:t>
      </w:r>
      <w:r>
        <w:tab/>
      </w:r>
      <w:r>
        <w:rPr>
          <w:rFonts w:eastAsia="Calibri"/>
        </w:rPr>
        <w:t>NGR, r. 77(2).</w:t>
      </w:r>
    </w:p>
  </w:footnote>
  <w:footnote w:id="12">
    <w:p w:rsidR="00BE68DA" w:rsidRDefault="00BE68DA" w:rsidP="0055229A">
      <w:pPr>
        <w:pStyle w:val="FootnoteText"/>
      </w:pPr>
      <w:r>
        <w:rPr>
          <w:rStyle w:val="FootnoteReference"/>
        </w:rPr>
        <w:footnoteRef/>
      </w:r>
      <w:r>
        <w:t xml:space="preserve"> </w:t>
      </w:r>
      <w:r>
        <w:tab/>
      </w:r>
      <w:r>
        <w:rPr>
          <w:rFonts w:eastAsia="Calibri"/>
        </w:rPr>
        <w:t>NGR, r. 77(2).</w:t>
      </w:r>
    </w:p>
  </w:footnote>
  <w:footnote w:id="13">
    <w:p w:rsidR="00BE68DA" w:rsidRDefault="00BE68DA" w:rsidP="0055229A">
      <w:pPr>
        <w:pStyle w:val="FootnoteText"/>
      </w:pPr>
      <w:r>
        <w:rPr>
          <w:rStyle w:val="FootnoteReference"/>
        </w:rPr>
        <w:footnoteRef/>
      </w:r>
      <w:r>
        <w:t xml:space="preserve"> </w:t>
      </w:r>
      <w:r>
        <w:tab/>
      </w:r>
      <w:r>
        <w:rPr>
          <w:rFonts w:eastAsia="Calibri"/>
        </w:rPr>
        <w:t>NGR, r. 78.</w:t>
      </w:r>
    </w:p>
  </w:footnote>
  <w:footnote w:id="14">
    <w:p w:rsidR="00BE68DA" w:rsidRDefault="00BE68DA" w:rsidP="0055229A">
      <w:pPr>
        <w:pStyle w:val="FootnoteText"/>
      </w:pPr>
      <w:r>
        <w:rPr>
          <w:rStyle w:val="FootnoteReference"/>
        </w:rPr>
        <w:footnoteRef/>
      </w:r>
      <w:r>
        <w:t xml:space="preserve"> </w:t>
      </w:r>
      <w:r>
        <w:tab/>
        <w:t>The size of the capital base also impacts the benchmark debt raising cost allowance. However, this amount is usually relatively small and therefore not a significant determinant of revenues overall.</w:t>
      </w:r>
    </w:p>
  </w:footnote>
  <w:footnote w:id="15">
    <w:p w:rsidR="00BE68DA" w:rsidRDefault="00BE68DA" w:rsidP="0055229A">
      <w:pPr>
        <w:pStyle w:val="FootnoteText"/>
      </w:pPr>
      <w:r>
        <w:rPr>
          <w:rStyle w:val="FootnoteReference"/>
        </w:rPr>
        <w:footnoteRef/>
      </w:r>
      <w:r>
        <w:t xml:space="preserve"> </w:t>
      </w:r>
      <w:r>
        <w:tab/>
        <w:t xml:space="preserve">Net capex is gross capex less disposals and capital contributions. </w:t>
      </w:r>
    </w:p>
  </w:footnote>
  <w:footnote w:id="16">
    <w:p w:rsidR="00BE68DA" w:rsidRDefault="00BE68DA">
      <w:pPr>
        <w:pStyle w:val="FootnoteText"/>
      </w:pPr>
      <w:r>
        <w:rPr>
          <w:rStyle w:val="FootnoteReference"/>
        </w:rPr>
        <w:footnoteRef/>
      </w:r>
      <w:r>
        <w:t xml:space="preserve"> </w:t>
      </w:r>
      <w:r>
        <w:tab/>
        <w:t xml:space="preserve">ActewAGL, </w:t>
      </w:r>
      <w:r w:rsidRPr="00247EC5">
        <w:rPr>
          <w:i/>
        </w:rPr>
        <w:t>Proposed PTRM (Alternative approach)</w:t>
      </w:r>
      <w:r>
        <w:t>, June 2015; AER analysis.</w:t>
      </w:r>
    </w:p>
  </w:footnote>
  <w:footnote w:id="17">
    <w:p w:rsidR="00BE68DA" w:rsidRDefault="00BE68DA" w:rsidP="0055229A">
      <w:pPr>
        <w:pStyle w:val="FootnoteText"/>
      </w:pPr>
      <w:r>
        <w:rPr>
          <w:rStyle w:val="FootnoteReference"/>
        </w:rPr>
        <w:footnoteRef/>
      </w:r>
      <w:r>
        <w:t xml:space="preserve"> </w:t>
      </w:r>
      <w:r>
        <w:tab/>
        <w:t>Refer to attachment 5 for the discussion on depreciation.</w:t>
      </w:r>
    </w:p>
  </w:footnote>
  <w:footnote w:id="18">
    <w:p w:rsidR="00BE68DA" w:rsidRDefault="00BE68DA">
      <w:pPr>
        <w:pStyle w:val="FootnoteText"/>
      </w:pPr>
      <w:r>
        <w:rPr>
          <w:rStyle w:val="FootnoteReference"/>
        </w:rPr>
        <w:footnoteRef/>
      </w:r>
      <w:r w:rsidRPr="00C641BF">
        <w:rPr>
          <w:rStyle w:val="FootnoteReference"/>
        </w:rPr>
        <w:t xml:space="preserve"> </w:t>
      </w:r>
      <w:r w:rsidRPr="00C641BF">
        <w:rPr>
          <w:rStyle w:val="FootnoteReference"/>
        </w:rPr>
        <w:tab/>
      </w:r>
      <w:r w:rsidRPr="00C641BF">
        <w:t>Refer to attachment 6 for the discussion on forecast capex.</w:t>
      </w:r>
      <w:r w:rsidRPr="00C641BF">
        <w:rPr>
          <w:rStyle w:val="FootnoteReference"/>
        </w:rPr>
        <w:t xml:space="preserve"> </w:t>
      </w:r>
    </w:p>
  </w:footnote>
  <w:footnote w:id="19">
    <w:p w:rsidR="00BE68DA" w:rsidRDefault="00BE68DA" w:rsidP="0055229A">
      <w:pPr>
        <w:pStyle w:val="FootnoteText"/>
      </w:pPr>
      <w:r>
        <w:rPr>
          <w:rStyle w:val="FootnoteReference"/>
        </w:rPr>
        <w:footnoteRef/>
      </w:r>
      <w:r>
        <w:t xml:space="preserve"> </w:t>
      </w:r>
      <w:r>
        <w:tab/>
        <w:t>If capex causes the capital base increase, then return on capital, depreciation, and debt raising costs all increase too. If a reduction in depreciation causes the capital base increase, revenue could increase or decrease. In this case, the higher return on capital is offset (perhaps more than offset) by the reduction in depreciation allowance. Inflation naturally increases the capital base in nominal terms. However, the real impact from changing the inflation forecast is inconsequential as revenues are updated annually by actual inflation and the X factor, which is generally unaffected by the assumed forecast inflation rate.</w:t>
      </w:r>
    </w:p>
  </w:footnote>
  <w:footnote w:id="20">
    <w:p w:rsidR="00BE68DA" w:rsidRDefault="00BE68DA" w:rsidP="0068351C">
      <w:pPr>
        <w:pStyle w:val="FootnoteText"/>
      </w:pPr>
      <w:r>
        <w:rPr>
          <w:rStyle w:val="FootnoteReference"/>
        </w:rPr>
        <w:footnoteRef/>
      </w:r>
      <w:r>
        <w:t xml:space="preserve"> </w:t>
      </w:r>
      <w:r>
        <w:tab/>
        <w:t xml:space="preserve">ActewAGL, </w:t>
      </w:r>
      <w:r w:rsidRPr="00E86253">
        <w:rPr>
          <w:i/>
        </w:rPr>
        <w:t>Proposed PTRM (Alternative approach)</w:t>
      </w:r>
      <w:r>
        <w:t>, June 2015.</w:t>
      </w:r>
    </w:p>
  </w:footnote>
  <w:footnote w:id="21">
    <w:p w:rsidR="00BE68DA" w:rsidRDefault="00BE68DA" w:rsidP="000103F4">
      <w:pPr>
        <w:pStyle w:val="FootnoteText"/>
      </w:pPr>
      <w:r>
        <w:rPr>
          <w:rStyle w:val="FootnoteReference"/>
        </w:rPr>
        <w:footnoteRef/>
      </w:r>
      <w:r>
        <w:t xml:space="preserve"> </w:t>
      </w:r>
      <w:r>
        <w:tab/>
        <w:t xml:space="preserve">ActewAGL, </w:t>
      </w:r>
      <w:r w:rsidRPr="006443A0">
        <w:rPr>
          <w:i/>
        </w:rPr>
        <w:t>Proposed PTRM (Alternative approach)</w:t>
      </w:r>
      <w:r>
        <w:t>, June 2015.</w:t>
      </w:r>
    </w:p>
  </w:footnote>
  <w:footnote w:id="22">
    <w:p w:rsidR="00BE68DA" w:rsidRDefault="00BE68DA">
      <w:pPr>
        <w:pStyle w:val="FootnoteText"/>
      </w:pPr>
      <w:r>
        <w:rPr>
          <w:rStyle w:val="FootnoteReference"/>
        </w:rPr>
        <w:footnoteRef/>
      </w:r>
      <w:r>
        <w:t xml:space="preserve"> </w:t>
      </w:r>
      <w:r>
        <w:tab/>
        <w:t xml:space="preserve">ActewAGL, </w:t>
      </w:r>
      <w:r w:rsidRPr="006443A0">
        <w:rPr>
          <w:i/>
        </w:rPr>
        <w:t>Proposed PTRM (Alternative approach)</w:t>
      </w:r>
      <w:r>
        <w:t>, June 2015.</w:t>
      </w:r>
    </w:p>
  </w:footnote>
  <w:footnote w:id="23">
    <w:p w:rsidR="00BE68DA" w:rsidRDefault="00BE68DA">
      <w:pPr>
        <w:pStyle w:val="FootnoteText"/>
      </w:pPr>
      <w:r>
        <w:rPr>
          <w:rStyle w:val="FootnoteReference"/>
        </w:rPr>
        <w:footnoteRef/>
      </w:r>
      <w:r>
        <w:t xml:space="preserve"> </w:t>
      </w:r>
      <w:r>
        <w:tab/>
        <w:t>This situation can arise particularly when the roll forward approach uses actual conforming capex and approved forecast depreciation.</w:t>
      </w:r>
    </w:p>
  </w:footnote>
  <w:footnote w:id="24">
    <w:p w:rsidR="0016682D" w:rsidRDefault="0016682D">
      <w:pPr>
        <w:pStyle w:val="FootnoteText"/>
      </w:pPr>
      <w:r>
        <w:rPr>
          <w:rStyle w:val="FootnoteReference"/>
        </w:rPr>
        <w:footnoteRef/>
      </w:r>
      <w:r>
        <w:t xml:space="preserve"> </w:t>
      </w:r>
      <w:r>
        <w:tab/>
        <w:t xml:space="preserve">ActewAGL, </w:t>
      </w:r>
      <w:r w:rsidRPr="0016682D">
        <w:rPr>
          <w:rStyle w:val="AERtextitalic"/>
        </w:rPr>
        <w:t>Response to AER information request AER ActewAGL 026: Roll forward model</w:t>
      </w:r>
      <w:r>
        <w:t>, 24 August 2015.</w:t>
      </w:r>
    </w:p>
  </w:footnote>
  <w:footnote w:id="25">
    <w:p w:rsidR="00BE68DA" w:rsidRDefault="00BE68DA" w:rsidP="0055229A">
      <w:pPr>
        <w:pStyle w:val="FootnoteText"/>
      </w:pPr>
      <w:r>
        <w:rPr>
          <w:rStyle w:val="FootnoteReference"/>
        </w:rPr>
        <w:footnoteRef/>
      </w:r>
      <w:r>
        <w:t xml:space="preserve"> </w:t>
      </w:r>
      <w:r>
        <w:tab/>
        <w:t>NGR, r. 77(2)(a).</w:t>
      </w:r>
    </w:p>
  </w:footnote>
  <w:footnote w:id="26">
    <w:p w:rsidR="00BE68DA" w:rsidRDefault="00BE68DA" w:rsidP="0055229A">
      <w:pPr>
        <w:pStyle w:val="FootnoteText"/>
      </w:pPr>
      <w:r>
        <w:rPr>
          <w:rStyle w:val="FootnoteReference"/>
        </w:rPr>
        <w:footnoteRef/>
      </w:r>
      <w:r>
        <w:t xml:space="preserve"> </w:t>
      </w:r>
      <w:r>
        <w:tab/>
        <w:t xml:space="preserve">NGR, </w:t>
      </w:r>
      <w:r>
        <w:rPr>
          <w:rFonts w:eastAsia="Calibri"/>
        </w:rPr>
        <w:t>r. 77(2)(b).</w:t>
      </w:r>
    </w:p>
  </w:footnote>
  <w:footnote w:id="27">
    <w:p w:rsidR="00BE68DA" w:rsidRDefault="00BE68DA" w:rsidP="002E0E15">
      <w:pPr>
        <w:pStyle w:val="FootnoteText"/>
      </w:pPr>
      <w:r>
        <w:rPr>
          <w:rStyle w:val="FootnoteReference"/>
        </w:rPr>
        <w:footnoteRef/>
      </w:r>
      <w:r>
        <w:t xml:space="preserve"> </w:t>
      </w:r>
      <w:r>
        <w:tab/>
        <w:t xml:space="preserve">NGR, </w:t>
      </w:r>
      <w:r>
        <w:rPr>
          <w:rFonts w:eastAsia="Calibri"/>
        </w:rPr>
        <w:t>r. 77(2)(d).</w:t>
      </w:r>
    </w:p>
  </w:footnote>
  <w:footnote w:id="28">
    <w:p w:rsidR="00BE68DA" w:rsidRDefault="00BE68DA" w:rsidP="0055229A">
      <w:pPr>
        <w:pStyle w:val="FootnoteText"/>
      </w:pPr>
      <w:r>
        <w:rPr>
          <w:rStyle w:val="FootnoteReference"/>
        </w:rPr>
        <w:footnoteRef/>
      </w:r>
      <w:r>
        <w:t xml:space="preserve"> </w:t>
      </w:r>
      <w:r>
        <w:tab/>
        <w:t>Regulatory depreciation is the net total of straight-line depreciation and inflation indexation of the capital base.</w:t>
      </w:r>
    </w:p>
  </w:footnote>
  <w:footnote w:id="29">
    <w:p w:rsidR="00BE68DA" w:rsidRDefault="00BE68DA" w:rsidP="0055229A">
      <w:pPr>
        <w:pStyle w:val="FootnoteText"/>
      </w:pPr>
      <w:r>
        <w:rPr>
          <w:rStyle w:val="FootnoteReference"/>
        </w:rPr>
        <w:footnoteRef/>
      </w:r>
      <w:r>
        <w:t xml:space="preserve"> </w:t>
      </w:r>
      <w:r>
        <w:tab/>
        <w:t xml:space="preserve">NGR, </w:t>
      </w:r>
      <w:r>
        <w:rPr>
          <w:rFonts w:eastAsia="Calibri"/>
        </w:rPr>
        <w:t>r. 77(2).</w:t>
      </w:r>
    </w:p>
  </w:footnote>
  <w:footnote w:id="30">
    <w:p w:rsidR="00BE68DA" w:rsidRDefault="00BE68DA">
      <w:pPr>
        <w:pStyle w:val="FootnoteText"/>
      </w:pPr>
      <w:r>
        <w:rPr>
          <w:rStyle w:val="FootnoteReference"/>
        </w:rPr>
        <w:footnoteRef/>
      </w:r>
      <w:r>
        <w:t xml:space="preserve"> </w:t>
      </w:r>
      <w:r>
        <w:tab/>
        <w:t>At the time of the final decision for this reset, we will have the actual capex for the last year of the 2010–15 access arrangement period (2014–15). Therefore there is no need to make a true-up adjustment for 2014–15 capex at the next reset.</w:t>
      </w:r>
    </w:p>
  </w:footnote>
  <w:footnote w:id="31">
    <w:p w:rsidR="00BE68DA" w:rsidRDefault="00BE68DA" w:rsidP="0055229A">
      <w:pPr>
        <w:pStyle w:val="FootnoteText"/>
      </w:pPr>
      <w:r>
        <w:rPr>
          <w:rStyle w:val="FootnoteReference"/>
        </w:rPr>
        <w:footnoteRef/>
      </w:r>
      <w:r>
        <w:t xml:space="preserve"> </w:t>
      </w:r>
      <w:r>
        <w:tab/>
        <w:t xml:space="preserve">ActewAGL, </w:t>
      </w:r>
      <w:r w:rsidR="00AC3E96">
        <w:rPr>
          <w:rStyle w:val="AERtextitalic"/>
        </w:rPr>
        <w:t>Access arrangement information for the 2016–21 ACT, Queenbeyan and Palerang access arrangement: Attachment 7 Capital base</w:t>
      </w:r>
      <w:r>
        <w:t xml:space="preserve">, June 2015, pp. 11–12. </w:t>
      </w:r>
      <w:r w:rsidRPr="00357ACD">
        <w:t>The amount of the forecast depreciation</w:t>
      </w:r>
      <w:r>
        <w:t xml:space="preserve"> to be used for rolling forward the capital base at the next reset</w:t>
      </w:r>
      <w:r w:rsidRPr="00357ACD">
        <w:t xml:space="preserve"> </w:t>
      </w:r>
      <w:r>
        <w:t>will be set out</w:t>
      </w:r>
      <w:r w:rsidRPr="00357ACD">
        <w:t xml:space="preserve"> in </w:t>
      </w:r>
      <w:r>
        <w:t>our</w:t>
      </w:r>
      <w:r w:rsidRPr="00357ACD">
        <w:t xml:space="preserve"> final decision for </w:t>
      </w:r>
      <w:r>
        <w:t>ActewAGL</w:t>
      </w:r>
      <w:r w:rsidRPr="00357ACD">
        <w:t xml:space="preserve">’s </w:t>
      </w:r>
      <w:r>
        <w:t xml:space="preserve">2015–16 and </w:t>
      </w:r>
      <w:r w:rsidRPr="00357ACD">
        <w:t>2016–21 access arrangement period.</w:t>
      </w:r>
    </w:p>
  </w:footnote>
  <w:footnote w:id="32">
    <w:p w:rsidR="00BE68DA" w:rsidRDefault="00BE68DA" w:rsidP="0055229A">
      <w:pPr>
        <w:pStyle w:val="FootnoteText"/>
      </w:pPr>
      <w:r>
        <w:rPr>
          <w:rStyle w:val="FootnoteReference"/>
        </w:rPr>
        <w:footnoteRef/>
      </w:r>
      <w:r>
        <w:t xml:space="preserve"> </w:t>
      </w:r>
      <w:r>
        <w:tab/>
      </w:r>
      <w:r>
        <w:rPr>
          <w:rFonts w:eastAsia="Calibri"/>
        </w:rPr>
        <w:t xml:space="preserve">AER, </w:t>
      </w:r>
      <w:r>
        <w:rPr>
          <w:rStyle w:val="AERtextitalic"/>
          <w:rFonts w:eastAsia="Calibri"/>
        </w:rPr>
        <w:t>Final decision: APT Allgas access arrangement</w:t>
      </w:r>
      <w:r>
        <w:rPr>
          <w:rFonts w:eastAsia="Calibri"/>
        </w:rPr>
        <w:t xml:space="preserve">, June 2011, p. 13; AER, </w:t>
      </w:r>
      <w:r>
        <w:rPr>
          <w:rStyle w:val="AERtextitalic"/>
          <w:rFonts w:eastAsia="Calibri"/>
        </w:rPr>
        <w:t>Final decision: Envestra access arrangement Qld</w:t>
      </w:r>
      <w:r>
        <w:rPr>
          <w:rFonts w:eastAsia="Calibri"/>
        </w:rPr>
        <w:t xml:space="preserve">, June 2011, p. 25; AER, </w:t>
      </w:r>
      <w:r>
        <w:rPr>
          <w:rStyle w:val="AERtextitalic"/>
          <w:rFonts w:eastAsia="Calibri"/>
        </w:rPr>
        <w:t>Final decision: Envestra access arrangement SA</w:t>
      </w:r>
      <w:r>
        <w:rPr>
          <w:rFonts w:eastAsia="Calibri"/>
        </w:rPr>
        <w:t xml:space="preserve">, June 2011, p. 28; AER, </w:t>
      </w:r>
      <w:r>
        <w:rPr>
          <w:rStyle w:val="AERtextitalic"/>
          <w:rFonts w:eastAsia="Calibri"/>
        </w:rPr>
        <w:t>Final decision: Envestra (Victoria) access arrangement proposal 2013–17 Part2: Attachments</w:t>
      </w:r>
      <w:r>
        <w:rPr>
          <w:rFonts w:eastAsia="Calibri"/>
        </w:rPr>
        <w:t xml:space="preserve">, March 2013, p. 24; AER, </w:t>
      </w:r>
      <w:r>
        <w:rPr>
          <w:rStyle w:val="AERtextitalic"/>
          <w:rFonts w:eastAsia="Calibri"/>
        </w:rPr>
        <w:t>Final decision: AusNet (SP AusNet) arrangement proposal 2013–17 Part2: Attachments</w:t>
      </w:r>
      <w:r>
        <w:rPr>
          <w:rFonts w:eastAsia="Calibri"/>
        </w:rPr>
        <w:t>, March 2013, p. 23; AER,</w:t>
      </w:r>
      <w:r>
        <w:rPr>
          <w:rStyle w:val="AERtextitalic"/>
          <w:rFonts w:eastAsia="Calibri"/>
        </w:rPr>
        <w:t xml:space="preserve"> Final decision: MultiNet Gas arrangement proposal 2013–17</w:t>
      </w:r>
      <w:r>
        <w:rPr>
          <w:rFonts w:eastAsia="Calibri"/>
        </w:rPr>
        <w:t xml:space="preserve">, March 2013, p. 2; AER, </w:t>
      </w:r>
      <w:r w:rsidRPr="007530D7">
        <w:rPr>
          <w:rFonts w:eastAsia="Calibri"/>
          <w:i/>
        </w:rPr>
        <w:t>Final decision: Jemena Gas Networks 2015–20, Attachment 2</w:t>
      </w:r>
      <w:r>
        <w:rPr>
          <w:rFonts w:eastAsia="Calibri"/>
        </w:rPr>
        <w:t>, June 2015, p. 2.</w:t>
      </w:r>
    </w:p>
  </w:footnote>
  <w:footnote w:id="33">
    <w:p w:rsidR="00BE68DA" w:rsidRDefault="00BE68DA" w:rsidP="0055229A">
      <w:pPr>
        <w:pStyle w:val="FootnoteText"/>
      </w:pPr>
      <w:r>
        <w:rPr>
          <w:rStyle w:val="FootnoteReference"/>
        </w:rPr>
        <w:footnoteRef/>
      </w:r>
      <w:r>
        <w:t xml:space="preserve"> </w:t>
      </w:r>
      <w:r>
        <w:tab/>
        <w:t xml:space="preserve">AER, </w:t>
      </w:r>
      <w:r>
        <w:rPr>
          <w:rStyle w:val="AERtextitalic"/>
        </w:rPr>
        <w:t>Final access arrangement guideline</w:t>
      </w:r>
      <w:r>
        <w:t>, March 2009, pp. 61</w:t>
      </w:r>
      <w:r>
        <w:rPr>
          <w:rFonts w:cs="Gautami"/>
        </w:rPr>
        <w:t>–</w:t>
      </w:r>
      <w:r>
        <w:t>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DA" w:rsidRDefault="00C529F6">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BE68DA">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DA" w:rsidRDefault="00C529F6">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17DA5FC6"/>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DCD70A3"/>
    <w:multiLevelType w:val="hybridMultilevel"/>
    <w:tmpl w:val="3BAEEDBA"/>
    <w:lvl w:ilvl="0" w:tplc="733E7EE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lm+qAc3uHvy6nPSpNDrnkANBEZSwhVdq7BGDXNuWj9M=" w:saltValue="eDxkDcHciC4AZ6jm0nLJjQ=="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10286"/>
    <w:rsid w:val="000103F4"/>
    <w:rsid w:val="00016774"/>
    <w:rsid w:val="00021202"/>
    <w:rsid w:val="00021C2B"/>
    <w:rsid w:val="0002517F"/>
    <w:rsid w:val="00026495"/>
    <w:rsid w:val="0002729C"/>
    <w:rsid w:val="0003578C"/>
    <w:rsid w:val="000401AF"/>
    <w:rsid w:val="00043FA6"/>
    <w:rsid w:val="00045BBC"/>
    <w:rsid w:val="00050DBF"/>
    <w:rsid w:val="0005650B"/>
    <w:rsid w:val="00063247"/>
    <w:rsid w:val="00070F9F"/>
    <w:rsid w:val="0007137B"/>
    <w:rsid w:val="00085663"/>
    <w:rsid w:val="00085EBF"/>
    <w:rsid w:val="00091B15"/>
    <w:rsid w:val="000A094C"/>
    <w:rsid w:val="000A3020"/>
    <w:rsid w:val="000A517F"/>
    <w:rsid w:val="000A6C7B"/>
    <w:rsid w:val="000A7554"/>
    <w:rsid w:val="000B07BB"/>
    <w:rsid w:val="000B4613"/>
    <w:rsid w:val="000B769F"/>
    <w:rsid w:val="000C216D"/>
    <w:rsid w:val="000C2B40"/>
    <w:rsid w:val="000C5202"/>
    <w:rsid w:val="000D0075"/>
    <w:rsid w:val="000D06C1"/>
    <w:rsid w:val="000D122C"/>
    <w:rsid w:val="000D3016"/>
    <w:rsid w:val="000D79F3"/>
    <w:rsid w:val="000E1819"/>
    <w:rsid w:val="000E3727"/>
    <w:rsid w:val="000E4821"/>
    <w:rsid w:val="000E644A"/>
    <w:rsid w:val="000E6C72"/>
    <w:rsid w:val="000F0B2B"/>
    <w:rsid w:val="000F3E72"/>
    <w:rsid w:val="000F422F"/>
    <w:rsid w:val="000F48B1"/>
    <w:rsid w:val="000F7F19"/>
    <w:rsid w:val="00100F6A"/>
    <w:rsid w:val="001018DD"/>
    <w:rsid w:val="00112A8A"/>
    <w:rsid w:val="00116DD5"/>
    <w:rsid w:val="00116EB2"/>
    <w:rsid w:val="00124609"/>
    <w:rsid w:val="00126A4C"/>
    <w:rsid w:val="00126FDF"/>
    <w:rsid w:val="00131914"/>
    <w:rsid w:val="0014252D"/>
    <w:rsid w:val="00142AB6"/>
    <w:rsid w:val="00142EBE"/>
    <w:rsid w:val="0014573B"/>
    <w:rsid w:val="00156B0D"/>
    <w:rsid w:val="00156DAA"/>
    <w:rsid w:val="001573E4"/>
    <w:rsid w:val="001577F0"/>
    <w:rsid w:val="00157B33"/>
    <w:rsid w:val="00160756"/>
    <w:rsid w:val="00162F51"/>
    <w:rsid w:val="00165636"/>
    <w:rsid w:val="0016682D"/>
    <w:rsid w:val="00170FAD"/>
    <w:rsid w:val="0017232E"/>
    <w:rsid w:val="00174102"/>
    <w:rsid w:val="001754EE"/>
    <w:rsid w:val="00177400"/>
    <w:rsid w:val="00180157"/>
    <w:rsid w:val="0018381D"/>
    <w:rsid w:val="00184149"/>
    <w:rsid w:val="00185CB9"/>
    <w:rsid w:val="00186F77"/>
    <w:rsid w:val="001926A4"/>
    <w:rsid w:val="001928B9"/>
    <w:rsid w:val="00192AD5"/>
    <w:rsid w:val="00195BDA"/>
    <w:rsid w:val="001A41AD"/>
    <w:rsid w:val="001A7AAF"/>
    <w:rsid w:val="001B45A0"/>
    <w:rsid w:val="001B6A41"/>
    <w:rsid w:val="001B7D00"/>
    <w:rsid w:val="001C577D"/>
    <w:rsid w:val="001D055E"/>
    <w:rsid w:val="001F03B3"/>
    <w:rsid w:val="001F0489"/>
    <w:rsid w:val="001F05A4"/>
    <w:rsid w:val="001F071D"/>
    <w:rsid w:val="001F492E"/>
    <w:rsid w:val="001F6AA3"/>
    <w:rsid w:val="001F6DA3"/>
    <w:rsid w:val="002010BC"/>
    <w:rsid w:val="002016E7"/>
    <w:rsid w:val="00201F98"/>
    <w:rsid w:val="00202E03"/>
    <w:rsid w:val="00203BE3"/>
    <w:rsid w:val="0020478D"/>
    <w:rsid w:val="0020492C"/>
    <w:rsid w:val="00205121"/>
    <w:rsid w:val="00224DB9"/>
    <w:rsid w:val="00227DCE"/>
    <w:rsid w:val="0023276C"/>
    <w:rsid w:val="00233775"/>
    <w:rsid w:val="002344CA"/>
    <w:rsid w:val="002412C1"/>
    <w:rsid w:val="00247EC5"/>
    <w:rsid w:val="00251745"/>
    <w:rsid w:val="002636BF"/>
    <w:rsid w:val="00263AC0"/>
    <w:rsid w:val="00264264"/>
    <w:rsid w:val="00266190"/>
    <w:rsid w:val="0026772D"/>
    <w:rsid w:val="00275233"/>
    <w:rsid w:val="0028040E"/>
    <w:rsid w:val="00286874"/>
    <w:rsid w:val="00286E67"/>
    <w:rsid w:val="00290C63"/>
    <w:rsid w:val="00292A24"/>
    <w:rsid w:val="00296B65"/>
    <w:rsid w:val="002A24D0"/>
    <w:rsid w:val="002A7DEF"/>
    <w:rsid w:val="002B1003"/>
    <w:rsid w:val="002B573C"/>
    <w:rsid w:val="002C039F"/>
    <w:rsid w:val="002C0741"/>
    <w:rsid w:val="002C233C"/>
    <w:rsid w:val="002D663F"/>
    <w:rsid w:val="002D72E8"/>
    <w:rsid w:val="002E0E15"/>
    <w:rsid w:val="002E7B22"/>
    <w:rsid w:val="002F28CB"/>
    <w:rsid w:val="002F7986"/>
    <w:rsid w:val="00301B40"/>
    <w:rsid w:val="003029EE"/>
    <w:rsid w:val="0030370B"/>
    <w:rsid w:val="00305CC8"/>
    <w:rsid w:val="00307F6D"/>
    <w:rsid w:val="0031181F"/>
    <w:rsid w:val="003177A2"/>
    <w:rsid w:val="003271B5"/>
    <w:rsid w:val="00327A1E"/>
    <w:rsid w:val="00331264"/>
    <w:rsid w:val="00334C8D"/>
    <w:rsid w:val="00343A18"/>
    <w:rsid w:val="00344473"/>
    <w:rsid w:val="00344D9B"/>
    <w:rsid w:val="003518B3"/>
    <w:rsid w:val="003706D4"/>
    <w:rsid w:val="00381D87"/>
    <w:rsid w:val="003846F1"/>
    <w:rsid w:val="003848E1"/>
    <w:rsid w:val="00392FEC"/>
    <w:rsid w:val="003931A7"/>
    <w:rsid w:val="00396844"/>
    <w:rsid w:val="003A08EC"/>
    <w:rsid w:val="003B3590"/>
    <w:rsid w:val="003B38DD"/>
    <w:rsid w:val="003B484F"/>
    <w:rsid w:val="003B7FBA"/>
    <w:rsid w:val="003C0964"/>
    <w:rsid w:val="003F174D"/>
    <w:rsid w:val="003F7442"/>
    <w:rsid w:val="003F7467"/>
    <w:rsid w:val="00404E30"/>
    <w:rsid w:val="004104D2"/>
    <w:rsid w:val="00415F31"/>
    <w:rsid w:val="004206E1"/>
    <w:rsid w:val="00423A77"/>
    <w:rsid w:val="004304E3"/>
    <w:rsid w:val="00431B8A"/>
    <w:rsid w:val="004500AD"/>
    <w:rsid w:val="0045777E"/>
    <w:rsid w:val="0046719F"/>
    <w:rsid w:val="00474AA5"/>
    <w:rsid w:val="00474EC7"/>
    <w:rsid w:val="00477A84"/>
    <w:rsid w:val="00480A5D"/>
    <w:rsid w:val="00480B4B"/>
    <w:rsid w:val="00485DC4"/>
    <w:rsid w:val="00491116"/>
    <w:rsid w:val="004A24D5"/>
    <w:rsid w:val="004A43D1"/>
    <w:rsid w:val="004B355D"/>
    <w:rsid w:val="004B4412"/>
    <w:rsid w:val="004B61AB"/>
    <w:rsid w:val="004C01AC"/>
    <w:rsid w:val="004C348C"/>
    <w:rsid w:val="004D208D"/>
    <w:rsid w:val="004D55BA"/>
    <w:rsid w:val="004E22EC"/>
    <w:rsid w:val="004E3EE9"/>
    <w:rsid w:val="004E7BDB"/>
    <w:rsid w:val="004F6644"/>
    <w:rsid w:val="004F6A0E"/>
    <w:rsid w:val="005122FA"/>
    <w:rsid w:val="005208C3"/>
    <w:rsid w:val="005217F4"/>
    <w:rsid w:val="00530128"/>
    <w:rsid w:val="00532467"/>
    <w:rsid w:val="00537FD6"/>
    <w:rsid w:val="00542648"/>
    <w:rsid w:val="00543A1F"/>
    <w:rsid w:val="00543F2E"/>
    <w:rsid w:val="005514D2"/>
    <w:rsid w:val="0055229A"/>
    <w:rsid w:val="00564A4D"/>
    <w:rsid w:val="0056588A"/>
    <w:rsid w:val="00567BA5"/>
    <w:rsid w:val="00571B35"/>
    <w:rsid w:val="00571D57"/>
    <w:rsid w:val="005751E3"/>
    <w:rsid w:val="00577A09"/>
    <w:rsid w:val="00580852"/>
    <w:rsid w:val="005829C2"/>
    <w:rsid w:val="00582D24"/>
    <w:rsid w:val="00584D8F"/>
    <w:rsid w:val="00586819"/>
    <w:rsid w:val="0059210C"/>
    <w:rsid w:val="0059704C"/>
    <w:rsid w:val="005A117E"/>
    <w:rsid w:val="005A404D"/>
    <w:rsid w:val="005B140A"/>
    <w:rsid w:val="005B1E3C"/>
    <w:rsid w:val="005B3FB7"/>
    <w:rsid w:val="005B704A"/>
    <w:rsid w:val="005C0A7F"/>
    <w:rsid w:val="005C1F89"/>
    <w:rsid w:val="005C26CC"/>
    <w:rsid w:val="005C4C9C"/>
    <w:rsid w:val="005D0555"/>
    <w:rsid w:val="005D7122"/>
    <w:rsid w:val="005D7BA2"/>
    <w:rsid w:val="005E36C2"/>
    <w:rsid w:val="005E5AE1"/>
    <w:rsid w:val="005E678D"/>
    <w:rsid w:val="005E7FA8"/>
    <w:rsid w:val="005F2B0D"/>
    <w:rsid w:val="006007DE"/>
    <w:rsid w:val="00600B92"/>
    <w:rsid w:val="00601638"/>
    <w:rsid w:val="00606D52"/>
    <w:rsid w:val="00607E1D"/>
    <w:rsid w:val="00610EF9"/>
    <w:rsid w:val="00612F4F"/>
    <w:rsid w:val="00615C6B"/>
    <w:rsid w:val="00621DCE"/>
    <w:rsid w:val="00621FDE"/>
    <w:rsid w:val="00623764"/>
    <w:rsid w:val="00623846"/>
    <w:rsid w:val="0062727C"/>
    <w:rsid w:val="00632D6D"/>
    <w:rsid w:val="006353DE"/>
    <w:rsid w:val="00642C3E"/>
    <w:rsid w:val="006443A0"/>
    <w:rsid w:val="0065194D"/>
    <w:rsid w:val="00651C3A"/>
    <w:rsid w:val="00651CB2"/>
    <w:rsid w:val="006560CA"/>
    <w:rsid w:val="0066104A"/>
    <w:rsid w:val="006623A0"/>
    <w:rsid w:val="00662CAC"/>
    <w:rsid w:val="00663DAD"/>
    <w:rsid w:val="00665649"/>
    <w:rsid w:val="00666917"/>
    <w:rsid w:val="006672AA"/>
    <w:rsid w:val="00675E20"/>
    <w:rsid w:val="00676679"/>
    <w:rsid w:val="00680029"/>
    <w:rsid w:val="0068351C"/>
    <w:rsid w:val="00683AB8"/>
    <w:rsid w:val="00683C89"/>
    <w:rsid w:val="00691D9A"/>
    <w:rsid w:val="006A4FB9"/>
    <w:rsid w:val="006A60A5"/>
    <w:rsid w:val="006A60BE"/>
    <w:rsid w:val="006B2395"/>
    <w:rsid w:val="006B2C0B"/>
    <w:rsid w:val="006B45A4"/>
    <w:rsid w:val="006B4CF9"/>
    <w:rsid w:val="006B62F3"/>
    <w:rsid w:val="006B785B"/>
    <w:rsid w:val="006B7AC8"/>
    <w:rsid w:val="006C1736"/>
    <w:rsid w:val="006C4767"/>
    <w:rsid w:val="006C4798"/>
    <w:rsid w:val="006D550F"/>
    <w:rsid w:val="006D68E3"/>
    <w:rsid w:val="006D77C4"/>
    <w:rsid w:val="006E3EC1"/>
    <w:rsid w:val="006F0387"/>
    <w:rsid w:val="006F3AD1"/>
    <w:rsid w:val="006F3FC8"/>
    <w:rsid w:val="0070011E"/>
    <w:rsid w:val="007003F0"/>
    <w:rsid w:val="00701CAB"/>
    <w:rsid w:val="007044AE"/>
    <w:rsid w:val="00707563"/>
    <w:rsid w:val="00707A15"/>
    <w:rsid w:val="007118D4"/>
    <w:rsid w:val="007174B3"/>
    <w:rsid w:val="0072348C"/>
    <w:rsid w:val="00724A37"/>
    <w:rsid w:val="007303C3"/>
    <w:rsid w:val="007338FF"/>
    <w:rsid w:val="00734E26"/>
    <w:rsid w:val="00740940"/>
    <w:rsid w:val="00741C46"/>
    <w:rsid w:val="00741E23"/>
    <w:rsid w:val="007429BE"/>
    <w:rsid w:val="00743223"/>
    <w:rsid w:val="007444DA"/>
    <w:rsid w:val="00745BBA"/>
    <w:rsid w:val="00746E01"/>
    <w:rsid w:val="00747EEA"/>
    <w:rsid w:val="00757364"/>
    <w:rsid w:val="00757BDF"/>
    <w:rsid w:val="007609D0"/>
    <w:rsid w:val="00763E5D"/>
    <w:rsid w:val="00767740"/>
    <w:rsid w:val="007765E2"/>
    <w:rsid w:val="0077749E"/>
    <w:rsid w:val="00777EE6"/>
    <w:rsid w:val="00781EFC"/>
    <w:rsid w:val="00782EEA"/>
    <w:rsid w:val="00783D07"/>
    <w:rsid w:val="0079629B"/>
    <w:rsid w:val="00797FD1"/>
    <w:rsid w:val="007A134F"/>
    <w:rsid w:val="007B186E"/>
    <w:rsid w:val="007B2C72"/>
    <w:rsid w:val="007C1C53"/>
    <w:rsid w:val="007C74BB"/>
    <w:rsid w:val="007C7C66"/>
    <w:rsid w:val="007D10EA"/>
    <w:rsid w:val="007D28E0"/>
    <w:rsid w:val="007D456E"/>
    <w:rsid w:val="007E4904"/>
    <w:rsid w:val="007E4CB5"/>
    <w:rsid w:val="007F066B"/>
    <w:rsid w:val="007F1C43"/>
    <w:rsid w:val="007F213A"/>
    <w:rsid w:val="007F2358"/>
    <w:rsid w:val="007F2A66"/>
    <w:rsid w:val="007F4620"/>
    <w:rsid w:val="007F75C4"/>
    <w:rsid w:val="00800CC8"/>
    <w:rsid w:val="00801528"/>
    <w:rsid w:val="008033C4"/>
    <w:rsid w:val="00806C88"/>
    <w:rsid w:val="0081034E"/>
    <w:rsid w:val="008221F2"/>
    <w:rsid w:val="00825985"/>
    <w:rsid w:val="008344F6"/>
    <w:rsid w:val="0083510F"/>
    <w:rsid w:val="008408C5"/>
    <w:rsid w:val="00845A1D"/>
    <w:rsid w:val="0084770A"/>
    <w:rsid w:val="00851209"/>
    <w:rsid w:val="00851901"/>
    <w:rsid w:val="0085722A"/>
    <w:rsid w:val="00864B35"/>
    <w:rsid w:val="00882481"/>
    <w:rsid w:val="008837AC"/>
    <w:rsid w:val="00884CFB"/>
    <w:rsid w:val="008903C3"/>
    <w:rsid w:val="00896941"/>
    <w:rsid w:val="008A587D"/>
    <w:rsid w:val="008B077A"/>
    <w:rsid w:val="008B35CD"/>
    <w:rsid w:val="008B44C0"/>
    <w:rsid w:val="008B5FCC"/>
    <w:rsid w:val="008B7544"/>
    <w:rsid w:val="008C1EB8"/>
    <w:rsid w:val="008C3374"/>
    <w:rsid w:val="008C5486"/>
    <w:rsid w:val="008C708B"/>
    <w:rsid w:val="008D0573"/>
    <w:rsid w:val="008D13C9"/>
    <w:rsid w:val="008D1661"/>
    <w:rsid w:val="008D6800"/>
    <w:rsid w:val="008E6C1E"/>
    <w:rsid w:val="008E7031"/>
    <w:rsid w:val="008E77DE"/>
    <w:rsid w:val="008F07A3"/>
    <w:rsid w:val="008F1242"/>
    <w:rsid w:val="008F34DD"/>
    <w:rsid w:val="009001B6"/>
    <w:rsid w:val="00900E1B"/>
    <w:rsid w:val="00901C3C"/>
    <w:rsid w:val="0092158E"/>
    <w:rsid w:val="009233EE"/>
    <w:rsid w:val="009272AD"/>
    <w:rsid w:val="009277DC"/>
    <w:rsid w:val="00945794"/>
    <w:rsid w:val="0094609B"/>
    <w:rsid w:val="009460AA"/>
    <w:rsid w:val="00950FB9"/>
    <w:rsid w:val="00951978"/>
    <w:rsid w:val="00954364"/>
    <w:rsid w:val="00961A4A"/>
    <w:rsid w:val="009661DE"/>
    <w:rsid w:val="00975397"/>
    <w:rsid w:val="00976056"/>
    <w:rsid w:val="00983C25"/>
    <w:rsid w:val="009856B7"/>
    <w:rsid w:val="00985C86"/>
    <w:rsid w:val="00994812"/>
    <w:rsid w:val="009A5113"/>
    <w:rsid w:val="009A5FC3"/>
    <w:rsid w:val="009B120D"/>
    <w:rsid w:val="009B402D"/>
    <w:rsid w:val="009B4F9C"/>
    <w:rsid w:val="009B6F84"/>
    <w:rsid w:val="009B74B0"/>
    <w:rsid w:val="009D3906"/>
    <w:rsid w:val="009D4D25"/>
    <w:rsid w:val="009D5542"/>
    <w:rsid w:val="009D5DC4"/>
    <w:rsid w:val="009D6B46"/>
    <w:rsid w:val="009D7E17"/>
    <w:rsid w:val="009D7F6F"/>
    <w:rsid w:val="009E3963"/>
    <w:rsid w:val="009F1C4B"/>
    <w:rsid w:val="009F2A60"/>
    <w:rsid w:val="009F4940"/>
    <w:rsid w:val="009F5BA1"/>
    <w:rsid w:val="00A021C6"/>
    <w:rsid w:val="00A02A88"/>
    <w:rsid w:val="00A0562E"/>
    <w:rsid w:val="00A06085"/>
    <w:rsid w:val="00A0726D"/>
    <w:rsid w:val="00A21326"/>
    <w:rsid w:val="00A22236"/>
    <w:rsid w:val="00A24AF1"/>
    <w:rsid w:val="00A32FBB"/>
    <w:rsid w:val="00A3438E"/>
    <w:rsid w:val="00A37B81"/>
    <w:rsid w:val="00A428EE"/>
    <w:rsid w:val="00A4478A"/>
    <w:rsid w:val="00A44852"/>
    <w:rsid w:val="00A4650A"/>
    <w:rsid w:val="00A50502"/>
    <w:rsid w:val="00A54F60"/>
    <w:rsid w:val="00A57D04"/>
    <w:rsid w:val="00A60A26"/>
    <w:rsid w:val="00A61598"/>
    <w:rsid w:val="00A7307B"/>
    <w:rsid w:val="00A76543"/>
    <w:rsid w:val="00A84A99"/>
    <w:rsid w:val="00A84F46"/>
    <w:rsid w:val="00A871F4"/>
    <w:rsid w:val="00A975DD"/>
    <w:rsid w:val="00A97615"/>
    <w:rsid w:val="00AA7738"/>
    <w:rsid w:val="00AB217C"/>
    <w:rsid w:val="00AB7276"/>
    <w:rsid w:val="00AC1B2C"/>
    <w:rsid w:val="00AC3264"/>
    <w:rsid w:val="00AC3D4E"/>
    <w:rsid w:val="00AC3E96"/>
    <w:rsid w:val="00AD0FDD"/>
    <w:rsid w:val="00AD215F"/>
    <w:rsid w:val="00AE1BF1"/>
    <w:rsid w:val="00AF0BCE"/>
    <w:rsid w:val="00AF0DD2"/>
    <w:rsid w:val="00AF2CD4"/>
    <w:rsid w:val="00AF570D"/>
    <w:rsid w:val="00B015D3"/>
    <w:rsid w:val="00B0209D"/>
    <w:rsid w:val="00B07CEA"/>
    <w:rsid w:val="00B13048"/>
    <w:rsid w:val="00B1716D"/>
    <w:rsid w:val="00B17A1D"/>
    <w:rsid w:val="00B207A0"/>
    <w:rsid w:val="00B20BB3"/>
    <w:rsid w:val="00B258FC"/>
    <w:rsid w:val="00B30417"/>
    <w:rsid w:val="00B30ADF"/>
    <w:rsid w:val="00B31D74"/>
    <w:rsid w:val="00B413C2"/>
    <w:rsid w:val="00B43E7A"/>
    <w:rsid w:val="00B514DD"/>
    <w:rsid w:val="00B51F3F"/>
    <w:rsid w:val="00B52AF0"/>
    <w:rsid w:val="00B561BD"/>
    <w:rsid w:val="00B56E03"/>
    <w:rsid w:val="00B60379"/>
    <w:rsid w:val="00B61EDF"/>
    <w:rsid w:val="00B757A6"/>
    <w:rsid w:val="00B8080B"/>
    <w:rsid w:val="00B82223"/>
    <w:rsid w:val="00B87BA5"/>
    <w:rsid w:val="00B87C39"/>
    <w:rsid w:val="00B9057C"/>
    <w:rsid w:val="00B9562D"/>
    <w:rsid w:val="00BA01A2"/>
    <w:rsid w:val="00BA3406"/>
    <w:rsid w:val="00BA4531"/>
    <w:rsid w:val="00BA4665"/>
    <w:rsid w:val="00BB2FB2"/>
    <w:rsid w:val="00BB3304"/>
    <w:rsid w:val="00BB7528"/>
    <w:rsid w:val="00BD310B"/>
    <w:rsid w:val="00BD3446"/>
    <w:rsid w:val="00BD7CD9"/>
    <w:rsid w:val="00BE1F1B"/>
    <w:rsid w:val="00BE47B5"/>
    <w:rsid w:val="00BE68DA"/>
    <w:rsid w:val="00BF00A2"/>
    <w:rsid w:val="00BF2C6E"/>
    <w:rsid w:val="00C039DB"/>
    <w:rsid w:val="00C04223"/>
    <w:rsid w:val="00C13A0F"/>
    <w:rsid w:val="00C20674"/>
    <w:rsid w:val="00C222DC"/>
    <w:rsid w:val="00C25FA6"/>
    <w:rsid w:val="00C27A93"/>
    <w:rsid w:val="00C331ED"/>
    <w:rsid w:val="00C348AE"/>
    <w:rsid w:val="00C42ACA"/>
    <w:rsid w:val="00C529F6"/>
    <w:rsid w:val="00C538A9"/>
    <w:rsid w:val="00C53B5A"/>
    <w:rsid w:val="00C54F5A"/>
    <w:rsid w:val="00C569B4"/>
    <w:rsid w:val="00C56A3E"/>
    <w:rsid w:val="00C57FCD"/>
    <w:rsid w:val="00C641BF"/>
    <w:rsid w:val="00C6632A"/>
    <w:rsid w:val="00C67A92"/>
    <w:rsid w:val="00C73186"/>
    <w:rsid w:val="00C7497E"/>
    <w:rsid w:val="00C84560"/>
    <w:rsid w:val="00C84F52"/>
    <w:rsid w:val="00C86679"/>
    <w:rsid w:val="00C8677B"/>
    <w:rsid w:val="00CA1142"/>
    <w:rsid w:val="00CA489E"/>
    <w:rsid w:val="00CA52A2"/>
    <w:rsid w:val="00CB0279"/>
    <w:rsid w:val="00CB666B"/>
    <w:rsid w:val="00CC2FFB"/>
    <w:rsid w:val="00CC4CB7"/>
    <w:rsid w:val="00CC7F1D"/>
    <w:rsid w:val="00CE484B"/>
    <w:rsid w:val="00CE6133"/>
    <w:rsid w:val="00CF0DEE"/>
    <w:rsid w:val="00CF6EDE"/>
    <w:rsid w:val="00D006AE"/>
    <w:rsid w:val="00D01CF0"/>
    <w:rsid w:val="00D01EFD"/>
    <w:rsid w:val="00D0383E"/>
    <w:rsid w:val="00D0442A"/>
    <w:rsid w:val="00D0733A"/>
    <w:rsid w:val="00D11A16"/>
    <w:rsid w:val="00D17683"/>
    <w:rsid w:val="00D222AF"/>
    <w:rsid w:val="00D25BBE"/>
    <w:rsid w:val="00D30F12"/>
    <w:rsid w:val="00D35872"/>
    <w:rsid w:val="00D42666"/>
    <w:rsid w:val="00D438E3"/>
    <w:rsid w:val="00D45694"/>
    <w:rsid w:val="00D46529"/>
    <w:rsid w:val="00D61388"/>
    <w:rsid w:val="00D61A54"/>
    <w:rsid w:val="00D63769"/>
    <w:rsid w:val="00D64DEA"/>
    <w:rsid w:val="00D67C38"/>
    <w:rsid w:val="00D7168E"/>
    <w:rsid w:val="00D71E57"/>
    <w:rsid w:val="00D75AA2"/>
    <w:rsid w:val="00D80893"/>
    <w:rsid w:val="00D832A6"/>
    <w:rsid w:val="00D84854"/>
    <w:rsid w:val="00D848B4"/>
    <w:rsid w:val="00D85498"/>
    <w:rsid w:val="00D92CF1"/>
    <w:rsid w:val="00D92D38"/>
    <w:rsid w:val="00D950F5"/>
    <w:rsid w:val="00DA4752"/>
    <w:rsid w:val="00DA61F3"/>
    <w:rsid w:val="00DA6B93"/>
    <w:rsid w:val="00DB0F93"/>
    <w:rsid w:val="00DB1A67"/>
    <w:rsid w:val="00DB4337"/>
    <w:rsid w:val="00DB5074"/>
    <w:rsid w:val="00DB5B21"/>
    <w:rsid w:val="00DC7981"/>
    <w:rsid w:val="00DD0103"/>
    <w:rsid w:val="00DE1093"/>
    <w:rsid w:val="00DE4EFA"/>
    <w:rsid w:val="00DE5520"/>
    <w:rsid w:val="00DE563D"/>
    <w:rsid w:val="00DE5E2E"/>
    <w:rsid w:val="00DE772C"/>
    <w:rsid w:val="00DF312A"/>
    <w:rsid w:val="00DF6AD7"/>
    <w:rsid w:val="00E03967"/>
    <w:rsid w:val="00E04818"/>
    <w:rsid w:val="00E06442"/>
    <w:rsid w:val="00E06BCF"/>
    <w:rsid w:val="00E1001C"/>
    <w:rsid w:val="00E23993"/>
    <w:rsid w:val="00E257D6"/>
    <w:rsid w:val="00E25B8C"/>
    <w:rsid w:val="00E26EE7"/>
    <w:rsid w:val="00E32796"/>
    <w:rsid w:val="00E51D65"/>
    <w:rsid w:val="00E529C7"/>
    <w:rsid w:val="00E6200B"/>
    <w:rsid w:val="00E65C85"/>
    <w:rsid w:val="00E66199"/>
    <w:rsid w:val="00E711C7"/>
    <w:rsid w:val="00E755EC"/>
    <w:rsid w:val="00E7624D"/>
    <w:rsid w:val="00E85251"/>
    <w:rsid w:val="00E86253"/>
    <w:rsid w:val="00E93C76"/>
    <w:rsid w:val="00E96ED8"/>
    <w:rsid w:val="00EA2310"/>
    <w:rsid w:val="00EA3BE6"/>
    <w:rsid w:val="00EA3D42"/>
    <w:rsid w:val="00EA6B1B"/>
    <w:rsid w:val="00EB43A1"/>
    <w:rsid w:val="00EB46F5"/>
    <w:rsid w:val="00EB498D"/>
    <w:rsid w:val="00EB5BC8"/>
    <w:rsid w:val="00EB606C"/>
    <w:rsid w:val="00EC04F1"/>
    <w:rsid w:val="00EC35A3"/>
    <w:rsid w:val="00EC7FDE"/>
    <w:rsid w:val="00ED0EC2"/>
    <w:rsid w:val="00ED7323"/>
    <w:rsid w:val="00EE28F3"/>
    <w:rsid w:val="00EE50D1"/>
    <w:rsid w:val="00EE5E29"/>
    <w:rsid w:val="00EE77FA"/>
    <w:rsid w:val="00EF5110"/>
    <w:rsid w:val="00F0334E"/>
    <w:rsid w:val="00F04B3C"/>
    <w:rsid w:val="00F10411"/>
    <w:rsid w:val="00F13906"/>
    <w:rsid w:val="00F15882"/>
    <w:rsid w:val="00F171E0"/>
    <w:rsid w:val="00F20BD3"/>
    <w:rsid w:val="00F21C48"/>
    <w:rsid w:val="00F23AE0"/>
    <w:rsid w:val="00F2526A"/>
    <w:rsid w:val="00F264CD"/>
    <w:rsid w:val="00F33A3E"/>
    <w:rsid w:val="00F373A5"/>
    <w:rsid w:val="00F47559"/>
    <w:rsid w:val="00F53550"/>
    <w:rsid w:val="00F5476E"/>
    <w:rsid w:val="00F576A8"/>
    <w:rsid w:val="00F61176"/>
    <w:rsid w:val="00F64C7B"/>
    <w:rsid w:val="00F65B25"/>
    <w:rsid w:val="00F676DD"/>
    <w:rsid w:val="00F71667"/>
    <w:rsid w:val="00F75A26"/>
    <w:rsid w:val="00F76706"/>
    <w:rsid w:val="00F768C8"/>
    <w:rsid w:val="00F81B8D"/>
    <w:rsid w:val="00F83FAD"/>
    <w:rsid w:val="00F8653A"/>
    <w:rsid w:val="00F9127F"/>
    <w:rsid w:val="00F92349"/>
    <w:rsid w:val="00F952A0"/>
    <w:rsid w:val="00FA3C7F"/>
    <w:rsid w:val="00FB4402"/>
    <w:rsid w:val="00FB60FE"/>
    <w:rsid w:val="00FB637B"/>
    <w:rsid w:val="00FB74E2"/>
    <w:rsid w:val="00FC71DC"/>
    <w:rsid w:val="00FD2ED2"/>
    <w:rsid w:val="00FD5614"/>
    <w:rsid w:val="00FD5E78"/>
    <w:rsid w:val="00FE0BE1"/>
    <w:rsid w:val="00FE19DA"/>
    <w:rsid w:val="00FE1DE9"/>
    <w:rsid w:val="00FE1E3A"/>
    <w:rsid w:val="00FE36AF"/>
    <w:rsid w:val="00FE39C2"/>
    <w:rsid w:val="00FE3C32"/>
    <w:rsid w:val="00FE64AE"/>
    <w:rsid w:val="00FE7DBD"/>
    <w:rsid w:val="00FF5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644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4A2500-2844-4406-86E6-832B66F4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A62F4E3B</Template>
  <TotalTime>0</TotalTime>
  <Pages>18</Pages>
  <Words>4106</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2015-11-23T00:18:00Z</dcterms:created>
  <dcterms:modified xsi:type="dcterms:W3CDTF">2015-11-23T00:19:00Z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8430257</vt:lpwstr>
  </property>
</Properties>
</file>