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90C0DE6" wp14:editId="1E7E051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DE0A1E">
            <w:t>DRAFT</w:t>
          </w:r>
          <w:r w:rsidR="00DA4752">
            <w:t xml:space="preserve"> DECISION</w:t>
          </w:r>
        </w:p>
        <w:p w:rsidR="00DE0A1E" w:rsidRDefault="00A06085" w:rsidP="008F07A3">
          <w:pPr>
            <w:pStyle w:val="ReportSubtitle"/>
          </w:pPr>
          <w:r>
            <w:t xml:space="preserve">ActewAGL </w:t>
          </w:r>
          <w:r w:rsidR="00DE0A1E">
            <w:t>D</w:t>
          </w:r>
          <w:r w:rsidR="0070011E">
            <w:t>istribution</w:t>
          </w:r>
        </w:p>
        <w:p w:rsidR="00415F31" w:rsidRDefault="00DE0A1E"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832A6">
            <w:t>5</w:t>
          </w:r>
          <w:r w:rsidR="00DA4752">
            <w:t xml:space="preserve"> </w:t>
          </w:r>
          <w:r w:rsidR="00415F31">
            <w:rPr>
              <w:rFonts w:cs="Arial"/>
            </w:rPr>
            <w:t>–</w:t>
          </w:r>
          <w:r w:rsidR="00DA4752">
            <w:t xml:space="preserve"> </w:t>
          </w:r>
          <w:r w:rsidR="00D832A6">
            <w:t>Regulatory depreciation</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 xml:space="preserve">Melbourne </w:t>
      </w:r>
      <w:r w:rsidR="00B27FDD">
        <w:t xml:space="preserve">Vic </w:t>
      </w:r>
      <w:r>
        <w:t>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bookmarkStart w:id="4" w:name="_GoBack"/>
      <w:bookmarkEnd w:id="4"/>
    </w:p>
    <w:p w:rsidR="008F07A3" w:rsidRDefault="00DA61F3" w:rsidP="00DE772C">
      <w:pPr>
        <w:pStyle w:val="UnnumberedHeading"/>
        <w:numPr>
          <w:ilvl w:val="0"/>
          <w:numId w:val="23"/>
        </w:numPr>
      </w:pPr>
      <w:bookmarkStart w:id="5" w:name="_Toc436041911"/>
      <w:r>
        <w:lastRenderedPageBreak/>
        <w:t>N</w:t>
      </w:r>
      <w:r w:rsidR="008F07A3">
        <w:t>ote</w:t>
      </w:r>
      <w:bookmarkEnd w:id="0"/>
      <w:bookmarkEnd w:id="1"/>
      <w:bookmarkEnd w:id="2"/>
      <w:bookmarkEnd w:id="3"/>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DE0A1E">
        <w:t>draft</w:t>
      </w:r>
      <w:r w:rsidR="00415F31">
        <w:t xml:space="preserve"> decision on </w:t>
      </w:r>
      <w:r w:rsidR="005B140A">
        <w:t>ActewAGL</w:t>
      </w:r>
      <w:r w:rsidR="00155337">
        <w:t xml:space="preserve"> Distribution</w:t>
      </w:r>
      <w:r w:rsidR="004F1EC7">
        <w:t>’</w:t>
      </w:r>
      <w:r w:rsidR="005C0A7F">
        <w:t>s</w:t>
      </w:r>
      <w:r w:rsidR="00415F31">
        <w:t xml:space="preserve"> </w:t>
      </w:r>
      <w:r w:rsidR="00DE0A1E">
        <w:t>access</w:t>
      </w:r>
      <w:r w:rsidR="00415F31">
        <w:t xml:space="preserve"> </w:t>
      </w:r>
      <w:r w:rsidR="00DE0A1E">
        <w:t>arrangement for</w:t>
      </w:r>
      <w:r w:rsidR="00415F31">
        <w:t xml:space="preserve"> 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DE0A1E">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DE0A1E">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191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969C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1911" w:history="1">
            <w:r w:rsidR="008969CC" w:rsidRPr="008F627A">
              <w:rPr>
                <w:rStyle w:val="Hyperlink"/>
              </w:rPr>
              <w:t>Note</w:t>
            </w:r>
            <w:r w:rsidR="008969CC">
              <w:rPr>
                <w:webHidden/>
              </w:rPr>
              <w:tab/>
            </w:r>
            <w:r w:rsidR="008969CC">
              <w:rPr>
                <w:webHidden/>
              </w:rPr>
              <w:fldChar w:fldCharType="begin"/>
            </w:r>
            <w:r w:rsidR="008969CC">
              <w:rPr>
                <w:webHidden/>
              </w:rPr>
              <w:instrText xml:space="preserve"> PAGEREF _Toc436041911 \h </w:instrText>
            </w:r>
            <w:r w:rsidR="008969CC">
              <w:rPr>
                <w:webHidden/>
              </w:rPr>
            </w:r>
            <w:r w:rsidR="008969CC">
              <w:rPr>
                <w:webHidden/>
              </w:rPr>
              <w:fldChar w:fldCharType="separate"/>
            </w:r>
            <w:r w:rsidR="008969CC">
              <w:rPr>
                <w:webHidden/>
              </w:rPr>
              <w:t>5-2</w:t>
            </w:r>
            <w:r w:rsidR="008969CC">
              <w:rPr>
                <w:webHidden/>
              </w:rPr>
              <w:fldChar w:fldCharType="end"/>
            </w:r>
          </w:hyperlink>
        </w:p>
        <w:p w:rsidR="008969CC" w:rsidRDefault="008969CC">
          <w:pPr>
            <w:pStyle w:val="TOC1"/>
            <w:rPr>
              <w:rFonts w:asciiTheme="minorHAnsi" w:eastAsiaTheme="minorEastAsia" w:hAnsiTheme="minorHAnsi"/>
              <w:b w:val="0"/>
              <w:color w:val="auto"/>
              <w:sz w:val="22"/>
              <w:lang w:val="en-AU" w:eastAsia="en-AU"/>
            </w:rPr>
          </w:pPr>
          <w:hyperlink w:anchor="_Toc436041912" w:history="1">
            <w:r w:rsidRPr="008F627A">
              <w:rPr>
                <w:rStyle w:val="Hyperlink"/>
              </w:rPr>
              <w:t>Contents</w:t>
            </w:r>
            <w:r>
              <w:rPr>
                <w:webHidden/>
              </w:rPr>
              <w:tab/>
            </w:r>
            <w:r>
              <w:rPr>
                <w:webHidden/>
              </w:rPr>
              <w:fldChar w:fldCharType="begin"/>
            </w:r>
            <w:r>
              <w:rPr>
                <w:webHidden/>
              </w:rPr>
              <w:instrText xml:space="preserve"> PAGEREF _Toc436041912 \h </w:instrText>
            </w:r>
            <w:r>
              <w:rPr>
                <w:webHidden/>
              </w:rPr>
            </w:r>
            <w:r>
              <w:rPr>
                <w:webHidden/>
              </w:rPr>
              <w:fldChar w:fldCharType="separate"/>
            </w:r>
            <w:r>
              <w:rPr>
                <w:webHidden/>
              </w:rPr>
              <w:t>5-3</w:t>
            </w:r>
            <w:r>
              <w:rPr>
                <w:webHidden/>
              </w:rPr>
              <w:fldChar w:fldCharType="end"/>
            </w:r>
          </w:hyperlink>
        </w:p>
        <w:p w:rsidR="008969CC" w:rsidRDefault="008969CC">
          <w:pPr>
            <w:pStyle w:val="TOC1"/>
            <w:rPr>
              <w:rFonts w:asciiTheme="minorHAnsi" w:eastAsiaTheme="minorEastAsia" w:hAnsiTheme="minorHAnsi"/>
              <w:b w:val="0"/>
              <w:color w:val="auto"/>
              <w:sz w:val="22"/>
              <w:lang w:val="en-AU" w:eastAsia="en-AU"/>
            </w:rPr>
          </w:pPr>
          <w:hyperlink w:anchor="_Toc436041913" w:history="1">
            <w:r w:rsidRPr="008F627A">
              <w:rPr>
                <w:rStyle w:val="Hyperlink"/>
              </w:rPr>
              <w:t>Shortened forms</w:t>
            </w:r>
            <w:r>
              <w:rPr>
                <w:webHidden/>
              </w:rPr>
              <w:tab/>
            </w:r>
            <w:r>
              <w:rPr>
                <w:webHidden/>
              </w:rPr>
              <w:fldChar w:fldCharType="begin"/>
            </w:r>
            <w:r>
              <w:rPr>
                <w:webHidden/>
              </w:rPr>
              <w:instrText xml:space="preserve"> PAGEREF _Toc436041913 \h </w:instrText>
            </w:r>
            <w:r>
              <w:rPr>
                <w:webHidden/>
              </w:rPr>
            </w:r>
            <w:r>
              <w:rPr>
                <w:webHidden/>
              </w:rPr>
              <w:fldChar w:fldCharType="separate"/>
            </w:r>
            <w:r>
              <w:rPr>
                <w:webHidden/>
              </w:rPr>
              <w:t>5-4</w:t>
            </w:r>
            <w:r>
              <w:rPr>
                <w:webHidden/>
              </w:rPr>
              <w:fldChar w:fldCharType="end"/>
            </w:r>
          </w:hyperlink>
        </w:p>
        <w:p w:rsidR="008969CC" w:rsidRDefault="008969CC">
          <w:pPr>
            <w:pStyle w:val="TOC1"/>
            <w:rPr>
              <w:rFonts w:asciiTheme="minorHAnsi" w:eastAsiaTheme="minorEastAsia" w:hAnsiTheme="minorHAnsi"/>
              <w:b w:val="0"/>
              <w:color w:val="auto"/>
              <w:sz w:val="22"/>
              <w:lang w:val="en-AU" w:eastAsia="en-AU"/>
            </w:rPr>
          </w:pPr>
          <w:hyperlink w:anchor="_Toc436041914" w:history="1">
            <w:r w:rsidRPr="008F627A">
              <w:rPr>
                <w:rStyle w:val="Hyperlink"/>
              </w:rPr>
              <w:t>5</w:t>
            </w:r>
            <w:r>
              <w:rPr>
                <w:rFonts w:asciiTheme="minorHAnsi" w:eastAsiaTheme="minorEastAsia" w:hAnsiTheme="minorHAnsi"/>
                <w:b w:val="0"/>
                <w:color w:val="auto"/>
                <w:sz w:val="22"/>
                <w:lang w:val="en-AU" w:eastAsia="en-AU"/>
              </w:rPr>
              <w:tab/>
            </w:r>
            <w:r w:rsidRPr="008F627A">
              <w:rPr>
                <w:rStyle w:val="Hyperlink"/>
              </w:rPr>
              <w:t>Regulatory depreciation</w:t>
            </w:r>
            <w:r>
              <w:rPr>
                <w:webHidden/>
              </w:rPr>
              <w:tab/>
            </w:r>
            <w:r>
              <w:rPr>
                <w:webHidden/>
              </w:rPr>
              <w:fldChar w:fldCharType="begin"/>
            </w:r>
            <w:r>
              <w:rPr>
                <w:webHidden/>
              </w:rPr>
              <w:instrText xml:space="preserve"> PAGEREF _Toc436041914 \h </w:instrText>
            </w:r>
            <w:r>
              <w:rPr>
                <w:webHidden/>
              </w:rPr>
            </w:r>
            <w:r>
              <w:rPr>
                <w:webHidden/>
              </w:rPr>
              <w:fldChar w:fldCharType="separate"/>
            </w:r>
            <w:r>
              <w:rPr>
                <w:webHidden/>
              </w:rPr>
              <w:t>5-6</w:t>
            </w:r>
            <w:r>
              <w:rPr>
                <w:webHidden/>
              </w:rPr>
              <w:fldChar w:fldCharType="end"/>
            </w:r>
          </w:hyperlink>
        </w:p>
        <w:p w:rsidR="008969CC" w:rsidRDefault="008969CC">
          <w:pPr>
            <w:pStyle w:val="TOC2"/>
            <w:rPr>
              <w:rFonts w:asciiTheme="minorHAnsi" w:eastAsiaTheme="minorEastAsia" w:hAnsiTheme="minorHAnsi"/>
              <w:b w:val="0"/>
              <w:color w:val="auto"/>
              <w:sz w:val="22"/>
              <w:lang w:eastAsia="en-AU"/>
            </w:rPr>
          </w:pPr>
          <w:hyperlink w:anchor="_Toc436041915" w:history="1">
            <w:r w:rsidRPr="008F627A">
              <w:rPr>
                <w:rStyle w:val="Hyperlink"/>
              </w:rPr>
              <w:t>5.1</w:t>
            </w:r>
            <w:r>
              <w:rPr>
                <w:rFonts w:asciiTheme="minorHAnsi" w:eastAsiaTheme="minorEastAsia" w:hAnsiTheme="minorHAnsi"/>
                <w:b w:val="0"/>
                <w:color w:val="auto"/>
                <w:sz w:val="22"/>
                <w:lang w:eastAsia="en-AU"/>
              </w:rPr>
              <w:tab/>
            </w:r>
            <w:r w:rsidRPr="008F627A">
              <w:rPr>
                <w:rStyle w:val="Hyperlink"/>
              </w:rPr>
              <w:t>Draft decision</w:t>
            </w:r>
            <w:r>
              <w:rPr>
                <w:webHidden/>
              </w:rPr>
              <w:tab/>
            </w:r>
            <w:r>
              <w:rPr>
                <w:webHidden/>
              </w:rPr>
              <w:fldChar w:fldCharType="begin"/>
            </w:r>
            <w:r>
              <w:rPr>
                <w:webHidden/>
              </w:rPr>
              <w:instrText xml:space="preserve"> PAGEREF _Toc436041915 \h </w:instrText>
            </w:r>
            <w:r>
              <w:rPr>
                <w:webHidden/>
              </w:rPr>
            </w:r>
            <w:r>
              <w:rPr>
                <w:webHidden/>
              </w:rPr>
              <w:fldChar w:fldCharType="separate"/>
            </w:r>
            <w:r>
              <w:rPr>
                <w:webHidden/>
              </w:rPr>
              <w:t>5-6</w:t>
            </w:r>
            <w:r>
              <w:rPr>
                <w:webHidden/>
              </w:rPr>
              <w:fldChar w:fldCharType="end"/>
            </w:r>
          </w:hyperlink>
        </w:p>
        <w:p w:rsidR="008969CC" w:rsidRDefault="008969CC">
          <w:pPr>
            <w:pStyle w:val="TOC2"/>
            <w:rPr>
              <w:rFonts w:asciiTheme="minorHAnsi" w:eastAsiaTheme="minorEastAsia" w:hAnsiTheme="minorHAnsi"/>
              <w:b w:val="0"/>
              <w:color w:val="auto"/>
              <w:sz w:val="22"/>
              <w:lang w:eastAsia="en-AU"/>
            </w:rPr>
          </w:pPr>
          <w:hyperlink w:anchor="_Toc436041916" w:history="1">
            <w:r w:rsidRPr="008F627A">
              <w:rPr>
                <w:rStyle w:val="Hyperlink"/>
              </w:rPr>
              <w:t>5.2</w:t>
            </w:r>
            <w:r>
              <w:rPr>
                <w:rFonts w:asciiTheme="minorHAnsi" w:eastAsiaTheme="minorEastAsia" w:hAnsiTheme="minorHAnsi"/>
                <w:b w:val="0"/>
                <w:color w:val="auto"/>
                <w:sz w:val="22"/>
                <w:lang w:eastAsia="en-AU"/>
              </w:rPr>
              <w:tab/>
            </w:r>
            <w:r w:rsidRPr="008F627A">
              <w:rPr>
                <w:rStyle w:val="Hyperlink"/>
              </w:rPr>
              <w:t>ActewAGL’s proposal</w:t>
            </w:r>
            <w:r>
              <w:rPr>
                <w:webHidden/>
              </w:rPr>
              <w:tab/>
            </w:r>
            <w:r>
              <w:rPr>
                <w:webHidden/>
              </w:rPr>
              <w:fldChar w:fldCharType="begin"/>
            </w:r>
            <w:r>
              <w:rPr>
                <w:webHidden/>
              </w:rPr>
              <w:instrText xml:space="preserve"> PAGEREF _Toc436041916 \h </w:instrText>
            </w:r>
            <w:r>
              <w:rPr>
                <w:webHidden/>
              </w:rPr>
            </w:r>
            <w:r>
              <w:rPr>
                <w:webHidden/>
              </w:rPr>
              <w:fldChar w:fldCharType="separate"/>
            </w:r>
            <w:r>
              <w:rPr>
                <w:webHidden/>
              </w:rPr>
              <w:t>5-7</w:t>
            </w:r>
            <w:r>
              <w:rPr>
                <w:webHidden/>
              </w:rPr>
              <w:fldChar w:fldCharType="end"/>
            </w:r>
          </w:hyperlink>
        </w:p>
        <w:p w:rsidR="008969CC" w:rsidRDefault="008969CC">
          <w:pPr>
            <w:pStyle w:val="TOC2"/>
            <w:rPr>
              <w:rFonts w:asciiTheme="minorHAnsi" w:eastAsiaTheme="minorEastAsia" w:hAnsiTheme="minorHAnsi"/>
              <w:b w:val="0"/>
              <w:color w:val="auto"/>
              <w:sz w:val="22"/>
              <w:lang w:eastAsia="en-AU"/>
            </w:rPr>
          </w:pPr>
          <w:hyperlink w:anchor="_Toc436041917" w:history="1">
            <w:r w:rsidRPr="008F627A">
              <w:rPr>
                <w:rStyle w:val="Hyperlink"/>
              </w:rPr>
              <w:t>5.3</w:t>
            </w:r>
            <w:r>
              <w:rPr>
                <w:rFonts w:asciiTheme="minorHAnsi" w:eastAsiaTheme="minorEastAsia" w:hAnsiTheme="minorHAnsi"/>
                <w:b w:val="0"/>
                <w:color w:val="auto"/>
                <w:sz w:val="22"/>
                <w:lang w:eastAsia="en-AU"/>
              </w:rPr>
              <w:tab/>
            </w:r>
            <w:r w:rsidRPr="008F627A">
              <w:rPr>
                <w:rStyle w:val="Hyperlink"/>
              </w:rPr>
              <w:t>AER’s assessment approach</w:t>
            </w:r>
            <w:r>
              <w:rPr>
                <w:webHidden/>
              </w:rPr>
              <w:tab/>
            </w:r>
            <w:r>
              <w:rPr>
                <w:webHidden/>
              </w:rPr>
              <w:fldChar w:fldCharType="begin"/>
            </w:r>
            <w:r>
              <w:rPr>
                <w:webHidden/>
              </w:rPr>
              <w:instrText xml:space="preserve"> PAGEREF _Toc436041917 \h </w:instrText>
            </w:r>
            <w:r>
              <w:rPr>
                <w:webHidden/>
              </w:rPr>
            </w:r>
            <w:r>
              <w:rPr>
                <w:webHidden/>
              </w:rPr>
              <w:fldChar w:fldCharType="separate"/>
            </w:r>
            <w:r>
              <w:rPr>
                <w:webHidden/>
              </w:rPr>
              <w:t>5-8</w:t>
            </w:r>
            <w:r>
              <w:rPr>
                <w:webHidden/>
              </w:rPr>
              <w:fldChar w:fldCharType="end"/>
            </w:r>
          </w:hyperlink>
        </w:p>
        <w:p w:rsidR="008969CC" w:rsidRDefault="008969CC">
          <w:pPr>
            <w:pStyle w:val="TOC3"/>
            <w:rPr>
              <w:rFonts w:asciiTheme="minorHAnsi" w:eastAsiaTheme="minorEastAsia" w:hAnsiTheme="minorHAnsi"/>
              <w:lang w:eastAsia="en-AU"/>
            </w:rPr>
          </w:pPr>
          <w:hyperlink w:anchor="_Toc436041918" w:history="1">
            <w:r w:rsidRPr="008F627A">
              <w:rPr>
                <w:rStyle w:val="Hyperlink"/>
              </w:rPr>
              <w:t>5.3.1</w:t>
            </w:r>
            <w:r>
              <w:rPr>
                <w:rFonts w:asciiTheme="minorHAnsi" w:eastAsiaTheme="minorEastAsia" w:hAnsiTheme="minorHAnsi"/>
                <w:lang w:eastAsia="en-AU"/>
              </w:rPr>
              <w:tab/>
            </w:r>
            <w:r w:rsidRPr="008F627A">
              <w:rPr>
                <w:rStyle w:val="Hyperlink"/>
              </w:rPr>
              <w:t>Interrelationships</w:t>
            </w:r>
            <w:r>
              <w:rPr>
                <w:webHidden/>
              </w:rPr>
              <w:tab/>
            </w:r>
            <w:r>
              <w:rPr>
                <w:webHidden/>
              </w:rPr>
              <w:fldChar w:fldCharType="begin"/>
            </w:r>
            <w:r>
              <w:rPr>
                <w:webHidden/>
              </w:rPr>
              <w:instrText xml:space="preserve"> PAGEREF _Toc436041918 \h </w:instrText>
            </w:r>
            <w:r>
              <w:rPr>
                <w:webHidden/>
              </w:rPr>
            </w:r>
            <w:r>
              <w:rPr>
                <w:webHidden/>
              </w:rPr>
              <w:fldChar w:fldCharType="separate"/>
            </w:r>
            <w:r>
              <w:rPr>
                <w:webHidden/>
              </w:rPr>
              <w:t>5-11</w:t>
            </w:r>
            <w:r>
              <w:rPr>
                <w:webHidden/>
              </w:rPr>
              <w:fldChar w:fldCharType="end"/>
            </w:r>
          </w:hyperlink>
        </w:p>
        <w:p w:rsidR="008969CC" w:rsidRDefault="008969CC">
          <w:pPr>
            <w:pStyle w:val="TOC2"/>
            <w:rPr>
              <w:rFonts w:asciiTheme="minorHAnsi" w:eastAsiaTheme="minorEastAsia" w:hAnsiTheme="minorHAnsi"/>
              <w:b w:val="0"/>
              <w:color w:val="auto"/>
              <w:sz w:val="22"/>
              <w:lang w:eastAsia="en-AU"/>
            </w:rPr>
          </w:pPr>
          <w:hyperlink w:anchor="_Toc436041919" w:history="1">
            <w:r w:rsidRPr="008F627A">
              <w:rPr>
                <w:rStyle w:val="Hyperlink"/>
              </w:rPr>
              <w:t>5.4</w:t>
            </w:r>
            <w:r>
              <w:rPr>
                <w:rFonts w:asciiTheme="minorHAnsi" w:eastAsiaTheme="minorEastAsia" w:hAnsiTheme="minorHAnsi"/>
                <w:b w:val="0"/>
                <w:color w:val="auto"/>
                <w:sz w:val="22"/>
                <w:lang w:eastAsia="en-AU"/>
              </w:rPr>
              <w:tab/>
            </w:r>
            <w:r w:rsidRPr="008F627A">
              <w:rPr>
                <w:rStyle w:val="Hyperlink"/>
              </w:rPr>
              <w:t>Reasons for draft decision</w:t>
            </w:r>
            <w:r>
              <w:rPr>
                <w:webHidden/>
              </w:rPr>
              <w:tab/>
            </w:r>
            <w:r>
              <w:rPr>
                <w:webHidden/>
              </w:rPr>
              <w:fldChar w:fldCharType="begin"/>
            </w:r>
            <w:r>
              <w:rPr>
                <w:webHidden/>
              </w:rPr>
              <w:instrText xml:space="preserve"> PAGEREF _Toc436041919 \h </w:instrText>
            </w:r>
            <w:r>
              <w:rPr>
                <w:webHidden/>
              </w:rPr>
            </w:r>
            <w:r>
              <w:rPr>
                <w:webHidden/>
              </w:rPr>
              <w:fldChar w:fldCharType="separate"/>
            </w:r>
            <w:r>
              <w:rPr>
                <w:webHidden/>
              </w:rPr>
              <w:t>5-12</w:t>
            </w:r>
            <w:r>
              <w:rPr>
                <w:webHidden/>
              </w:rPr>
              <w:fldChar w:fldCharType="end"/>
            </w:r>
          </w:hyperlink>
        </w:p>
        <w:p w:rsidR="008969CC" w:rsidRDefault="008969CC">
          <w:pPr>
            <w:pStyle w:val="TOC3"/>
            <w:rPr>
              <w:rFonts w:asciiTheme="minorHAnsi" w:eastAsiaTheme="minorEastAsia" w:hAnsiTheme="minorHAnsi"/>
              <w:lang w:eastAsia="en-AU"/>
            </w:rPr>
          </w:pPr>
          <w:hyperlink w:anchor="_Toc436041920" w:history="1">
            <w:r w:rsidRPr="008F627A">
              <w:rPr>
                <w:rStyle w:val="Hyperlink"/>
              </w:rPr>
              <w:t>5.4.1</w:t>
            </w:r>
            <w:r>
              <w:rPr>
                <w:rFonts w:asciiTheme="minorHAnsi" w:eastAsiaTheme="minorEastAsia" w:hAnsiTheme="minorHAnsi"/>
                <w:lang w:eastAsia="en-AU"/>
              </w:rPr>
              <w:tab/>
            </w:r>
            <w:r w:rsidRPr="008F627A">
              <w:rPr>
                <w:rStyle w:val="Hyperlink"/>
              </w:rPr>
              <w:t>Regulatory depreciation method</w:t>
            </w:r>
            <w:r>
              <w:rPr>
                <w:webHidden/>
              </w:rPr>
              <w:tab/>
            </w:r>
            <w:r>
              <w:rPr>
                <w:webHidden/>
              </w:rPr>
              <w:fldChar w:fldCharType="begin"/>
            </w:r>
            <w:r>
              <w:rPr>
                <w:webHidden/>
              </w:rPr>
              <w:instrText xml:space="preserve"> PAGEREF _Toc436041920 \h </w:instrText>
            </w:r>
            <w:r>
              <w:rPr>
                <w:webHidden/>
              </w:rPr>
            </w:r>
            <w:r>
              <w:rPr>
                <w:webHidden/>
              </w:rPr>
              <w:fldChar w:fldCharType="separate"/>
            </w:r>
            <w:r>
              <w:rPr>
                <w:webHidden/>
              </w:rPr>
              <w:t>5-13</w:t>
            </w:r>
            <w:r>
              <w:rPr>
                <w:webHidden/>
              </w:rPr>
              <w:fldChar w:fldCharType="end"/>
            </w:r>
          </w:hyperlink>
        </w:p>
        <w:p w:rsidR="008969CC" w:rsidRDefault="008969CC">
          <w:pPr>
            <w:pStyle w:val="TOC3"/>
            <w:rPr>
              <w:rFonts w:asciiTheme="minorHAnsi" w:eastAsiaTheme="minorEastAsia" w:hAnsiTheme="minorHAnsi"/>
              <w:lang w:eastAsia="en-AU"/>
            </w:rPr>
          </w:pPr>
          <w:hyperlink w:anchor="_Toc436041921" w:history="1">
            <w:r w:rsidRPr="008F627A">
              <w:rPr>
                <w:rStyle w:val="Hyperlink"/>
              </w:rPr>
              <w:t>5.4.2</w:t>
            </w:r>
            <w:r>
              <w:rPr>
                <w:rFonts w:asciiTheme="minorHAnsi" w:eastAsiaTheme="minorEastAsia" w:hAnsiTheme="minorHAnsi"/>
                <w:lang w:eastAsia="en-AU"/>
              </w:rPr>
              <w:tab/>
            </w:r>
            <w:r w:rsidRPr="008F627A">
              <w:rPr>
                <w:rStyle w:val="Hyperlink"/>
              </w:rPr>
              <w:t>Asset lives</w:t>
            </w:r>
            <w:r>
              <w:rPr>
                <w:webHidden/>
              </w:rPr>
              <w:tab/>
            </w:r>
            <w:r>
              <w:rPr>
                <w:webHidden/>
              </w:rPr>
              <w:fldChar w:fldCharType="begin"/>
            </w:r>
            <w:r>
              <w:rPr>
                <w:webHidden/>
              </w:rPr>
              <w:instrText xml:space="preserve"> PAGEREF _Toc436041921 \h </w:instrText>
            </w:r>
            <w:r>
              <w:rPr>
                <w:webHidden/>
              </w:rPr>
            </w:r>
            <w:r>
              <w:rPr>
                <w:webHidden/>
              </w:rPr>
              <w:fldChar w:fldCharType="separate"/>
            </w:r>
            <w:r>
              <w:rPr>
                <w:webHidden/>
              </w:rPr>
              <w:t>5-15</w:t>
            </w:r>
            <w:r>
              <w:rPr>
                <w:webHidden/>
              </w:rPr>
              <w:fldChar w:fldCharType="end"/>
            </w:r>
          </w:hyperlink>
        </w:p>
        <w:p w:rsidR="008969CC" w:rsidRDefault="008969CC">
          <w:pPr>
            <w:pStyle w:val="TOC2"/>
            <w:rPr>
              <w:rFonts w:asciiTheme="minorHAnsi" w:eastAsiaTheme="minorEastAsia" w:hAnsiTheme="minorHAnsi"/>
              <w:b w:val="0"/>
              <w:color w:val="auto"/>
              <w:sz w:val="22"/>
              <w:lang w:eastAsia="en-AU"/>
            </w:rPr>
          </w:pPr>
          <w:hyperlink w:anchor="_Toc436041922" w:history="1">
            <w:r w:rsidRPr="008F627A">
              <w:rPr>
                <w:rStyle w:val="Hyperlink"/>
              </w:rPr>
              <w:t>5.5</w:t>
            </w:r>
            <w:r>
              <w:rPr>
                <w:rFonts w:asciiTheme="minorHAnsi" w:eastAsiaTheme="minorEastAsia" w:hAnsiTheme="minorHAnsi"/>
                <w:b w:val="0"/>
                <w:color w:val="auto"/>
                <w:sz w:val="22"/>
                <w:lang w:eastAsia="en-AU"/>
              </w:rPr>
              <w:tab/>
            </w:r>
            <w:r w:rsidRPr="008F627A">
              <w:rPr>
                <w:rStyle w:val="Hyperlink"/>
              </w:rPr>
              <w:t>Revisions</w:t>
            </w:r>
            <w:r>
              <w:rPr>
                <w:webHidden/>
              </w:rPr>
              <w:tab/>
            </w:r>
            <w:r>
              <w:rPr>
                <w:webHidden/>
              </w:rPr>
              <w:fldChar w:fldCharType="begin"/>
            </w:r>
            <w:r>
              <w:rPr>
                <w:webHidden/>
              </w:rPr>
              <w:instrText xml:space="preserve"> PAGEREF _Toc436041922 \h </w:instrText>
            </w:r>
            <w:r>
              <w:rPr>
                <w:webHidden/>
              </w:rPr>
            </w:r>
            <w:r>
              <w:rPr>
                <w:webHidden/>
              </w:rPr>
              <w:fldChar w:fldCharType="separate"/>
            </w:r>
            <w:r>
              <w:rPr>
                <w:webHidden/>
              </w:rPr>
              <w:t>5-16</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1913"/>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840958"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Shortened form</w:t>
            </w:r>
          </w:p>
        </w:tc>
        <w:tc>
          <w:tcPr>
            <w:tcW w:w="5041" w:type="dxa"/>
          </w:tcPr>
          <w:p w:rsidR="00840958" w:rsidRDefault="00840958" w:rsidP="00840958">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AA</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Access Arrangement</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AAI</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AER</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ASA</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Asset Services Agreement</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ATO</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Australian Tax Office</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capex</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CAPM</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CCP</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CESS</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CMF</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construction management fee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CPI</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DAMS</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DRP</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EBSS</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EIL</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 xml:space="preserve">Energy Industry </w:t>
            </w:r>
            <w:r w:rsidRPr="00840958">
              <w:t>Levy</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ERP</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Expenditure Guideline</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gamma</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Value of Imputation Credits</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GSL</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Guaranteed Service Level</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GTA</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ICRC</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MRP</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NECF</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NERL</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National Energy Retail Law</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NERR</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NGL</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NGO</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NGR</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NPV</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net present value</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opex</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lastRenderedPageBreak/>
              <w:t>PFP</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partial factor productivity</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PPI</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PTRM</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RBA</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RFM</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RIN</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RoLR</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retailer of last resort</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RSA</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 xml:space="preserve">Reference Service </w:t>
            </w:r>
            <w:r w:rsidRPr="00840958">
              <w:t>Agreement</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RPP</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SLCAPM</w:t>
            </w:r>
          </w:p>
        </w:tc>
        <w:tc>
          <w:tcPr>
            <w:tcW w:w="5041" w:type="dxa"/>
          </w:tcPr>
          <w:p w:rsidR="00840958" w:rsidRDefault="00840958" w:rsidP="00840958">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STTM</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Short Term Trading Market</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TAB</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Tax asset base</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UAFG</w:t>
            </w:r>
          </w:p>
        </w:tc>
        <w:tc>
          <w:tcPr>
            <w:tcW w:w="5041" w:type="dxa"/>
          </w:tcPr>
          <w:p w:rsidR="00840958" w:rsidRPr="00840958" w:rsidRDefault="00840958" w:rsidP="00840958">
            <w:pPr>
              <w:cnfStyle w:val="000000000000" w:firstRow="0" w:lastRow="0" w:firstColumn="0" w:lastColumn="0" w:oddVBand="0" w:evenVBand="0" w:oddHBand="0" w:evenHBand="0" w:firstRowFirstColumn="0" w:firstRowLastColumn="0" w:lastRowFirstColumn="0" w:lastRowLastColumn="0"/>
            </w:pPr>
            <w:r>
              <w:t>Unaccounted for gas</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UNFT</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 xml:space="preserve">Utilities Network </w:t>
            </w:r>
            <w:r w:rsidRPr="00840958">
              <w:t>Facilities Tax</w:t>
            </w:r>
          </w:p>
        </w:tc>
      </w:tr>
      <w:tr w:rsidR="00840958" w:rsidTr="000C0557">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WACC</w:t>
            </w:r>
          </w:p>
        </w:tc>
        <w:tc>
          <w:tcPr>
            <w:tcW w:w="5041" w:type="dxa"/>
          </w:tcPr>
          <w:p w:rsidR="00840958" w:rsidRDefault="00840958" w:rsidP="00840958">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8409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0958" w:rsidRDefault="00840958" w:rsidP="00840958">
            <w:pPr>
              <w:numPr>
                <w:ilvl w:val="0"/>
                <w:numId w:val="24"/>
              </w:numPr>
            </w:pPr>
            <w:r>
              <w:t>WPI</w:t>
            </w:r>
          </w:p>
        </w:tc>
        <w:tc>
          <w:tcPr>
            <w:tcW w:w="5041" w:type="dxa"/>
          </w:tcPr>
          <w:p w:rsidR="00840958" w:rsidRPr="00840958" w:rsidRDefault="00840958" w:rsidP="00840958">
            <w:pPr>
              <w:cnfStyle w:val="000000010000" w:firstRow="0" w:lastRow="0" w:firstColumn="0" w:lastColumn="0" w:oddVBand="0" w:evenVBand="0" w:oddHBand="0" w:evenHBand="1" w:firstRowFirstColumn="0" w:firstRowLastColumn="0" w:lastRowFirstColumn="0" w:lastRowLastColumn="0"/>
            </w:pPr>
            <w:r>
              <w:t>Wage Price Index</w:t>
            </w:r>
          </w:p>
        </w:tc>
      </w:tr>
    </w:tbl>
    <w:p w:rsidR="00840958" w:rsidRPr="00840958" w:rsidRDefault="00840958" w:rsidP="00840958"/>
    <w:p w:rsidR="00DE563D" w:rsidRDefault="00D832A6" w:rsidP="00D832A6">
      <w:pPr>
        <w:pStyle w:val="Heading1"/>
      </w:pPr>
      <w:bookmarkStart w:id="10" w:name="_Toc436041914"/>
      <w:r>
        <w:lastRenderedPageBreak/>
        <w:t>Regulatory depreciation</w:t>
      </w:r>
      <w:bookmarkEnd w:id="10"/>
    </w:p>
    <w:p w:rsidR="00B41164" w:rsidRPr="00A575B0" w:rsidRDefault="002D7525" w:rsidP="00B41164">
      <w:r w:rsidRPr="00CA36EA">
        <w:t xml:space="preserve">When determining the total revenue for </w:t>
      </w:r>
      <w:r w:rsidR="006C5960">
        <w:t>ActewAGL</w:t>
      </w:r>
      <w:r w:rsidRPr="00CA36EA">
        <w:t xml:space="preserve">, </w:t>
      </w:r>
      <w:r>
        <w:t>we</w:t>
      </w:r>
      <w:r w:rsidRPr="00CA36EA">
        <w:t xml:space="preserve"> must decide on the depreciation for the projected capital base (</w:t>
      </w:r>
      <w:r>
        <w:t>otherwise referred to as</w:t>
      </w:r>
      <w:r w:rsidRPr="00CA36EA">
        <w:t xml:space="preserve"> </w:t>
      </w:r>
      <w:r w:rsidR="00A94B09">
        <w:t>‘</w:t>
      </w:r>
      <w:r w:rsidRPr="00CA36EA">
        <w:t>return of capital</w:t>
      </w:r>
      <w:r w:rsidR="00A94B09">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period and the depreciation allowance in the total revenue requirement.</w:t>
      </w:r>
      <w:r w:rsidR="0067601A">
        <w:rPr>
          <w:rStyle w:val="FootnoteReference"/>
        </w:rPr>
        <w:footnoteReference w:id="2"/>
      </w:r>
      <w:r w:rsidR="004A6AF0">
        <w:t xml:space="preserve"> A</w:t>
      </w:r>
      <w:r w:rsidR="00B41164">
        <w:t>s discussed in the overview, we decide</w:t>
      </w:r>
      <w:r w:rsidR="00C329DF">
        <w:t>d</w:t>
      </w:r>
      <w:r w:rsidR="00B41164">
        <w:t xml:space="preserve"> to apply a </w:t>
      </w:r>
      <w:r w:rsidR="001057C0">
        <w:t>reconciliation (or ‘true-up’)</w:t>
      </w:r>
      <w:r w:rsidR="00B41164">
        <w:t xml:space="preserve"> </w:t>
      </w:r>
      <w:r w:rsidR="001057C0">
        <w:t>of</w:t>
      </w:r>
      <w:r w:rsidR="00B41164">
        <w:t xml:space="preserve"> ActewAGL’s revenue</w:t>
      </w:r>
      <w:r w:rsidR="007A5F67">
        <w:t xml:space="preserve"> for the 2015–16 interval of delay</w:t>
      </w:r>
      <w:r w:rsidR="00B41164">
        <w:t>. Consequently</w:t>
      </w:r>
      <w:r w:rsidR="00F75F4B">
        <w:t>,</w:t>
      </w:r>
      <w:r w:rsidR="00B41164">
        <w:t xml:space="preserve"> we </w:t>
      </w:r>
      <w:r w:rsidR="00A34AF4">
        <w:t>must</w:t>
      </w:r>
      <w:r w:rsidR="004A6AF0">
        <w:t xml:space="preserve"> also</w:t>
      </w:r>
      <w:r w:rsidR="00B41164">
        <w:t xml:space="preserve"> determine </w:t>
      </w:r>
      <w:r w:rsidR="004A6AF0">
        <w:t>a</w:t>
      </w:r>
      <w:r w:rsidR="00B41164">
        <w:t xml:space="preserve"> </w:t>
      </w:r>
      <w:r w:rsidR="0067601A">
        <w:t xml:space="preserve">regulatory depreciation allowance </w:t>
      </w:r>
      <w:r w:rsidR="00123265">
        <w:t>for 2015–16.</w:t>
      </w:r>
      <w:r w:rsidR="00B41164">
        <w:t xml:space="preserve"> </w:t>
      </w:r>
    </w:p>
    <w:p w:rsidR="002D7525" w:rsidRPr="00CA36EA" w:rsidRDefault="00B41164" w:rsidP="002D7525">
      <w:r>
        <w:t>This attachment outlines o</w:t>
      </w:r>
      <w:r w:rsidR="002D7525">
        <w:t>ur</w:t>
      </w:r>
      <w:r w:rsidR="002D7525" w:rsidRPr="00CA36EA">
        <w:t xml:space="preserve"> draft decision on </w:t>
      </w:r>
      <w:r w:rsidR="006C5960">
        <w:t>ActewAGL</w:t>
      </w:r>
      <w:r w:rsidR="004D2C60">
        <w:t>’</w:t>
      </w:r>
      <w:r w:rsidR="002D7525">
        <w:t xml:space="preserve">s </w:t>
      </w:r>
      <w:r w:rsidR="002D7525" w:rsidRPr="00CA36EA">
        <w:t xml:space="preserve">annual regulatory depreciation allowance </w:t>
      </w:r>
      <w:r>
        <w:t>for 2015–16 and the</w:t>
      </w:r>
      <w:r w:rsidRPr="00B41164">
        <w:t xml:space="preserve"> </w:t>
      </w:r>
      <w:r>
        <w:t>2016–21</w:t>
      </w:r>
      <w:r w:rsidRPr="00CA36EA">
        <w:t xml:space="preserve"> access arrangement period</w:t>
      </w:r>
      <w:r w:rsidR="002D7525" w:rsidRPr="00CA36EA">
        <w:t xml:space="preserve">. </w:t>
      </w:r>
      <w:r w:rsidR="002D7525">
        <w:t>Our</w:t>
      </w:r>
      <w:r w:rsidR="002D7525" w:rsidRPr="00CA36EA">
        <w:t xml:space="preserve"> consideration of specific matters that affect the estimate of regulatory depreciation is also outlined in this attachment. These include:</w:t>
      </w:r>
    </w:p>
    <w:p w:rsidR="002D7525" w:rsidRPr="00A575B0" w:rsidRDefault="002D7525" w:rsidP="002D7525">
      <w:pPr>
        <w:pStyle w:val="AERbulletlistfirststyle"/>
        <w:ind w:left="360" w:hanging="360"/>
      </w:pPr>
      <w:r w:rsidRPr="00A575B0">
        <w:t>the standard asset lives for depreciating new assets associated with forecast capex</w:t>
      </w:r>
      <w:r w:rsidRPr="00B9583E">
        <w:rPr>
          <w:rFonts w:cstheme="minorBidi"/>
          <w:vertAlign w:val="superscript"/>
        </w:rPr>
        <w:footnoteReference w:id="3"/>
      </w:r>
    </w:p>
    <w:p w:rsidR="002D7525" w:rsidRDefault="002D7525" w:rsidP="002D7525">
      <w:pPr>
        <w:pStyle w:val="AERbulletlistfirststyle"/>
        <w:ind w:left="360" w:hanging="360"/>
      </w:pPr>
      <w:r w:rsidRPr="00A575B0">
        <w:t>the remaining asset lives for depreciating existing assets in the opening capital base.</w:t>
      </w:r>
      <w:r w:rsidRPr="00B9583E">
        <w:rPr>
          <w:rFonts w:cstheme="minorBidi"/>
          <w:vertAlign w:val="superscript"/>
        </w:rPr>
        <w:footnoteReference w:id="4"/>
      </w:r>
    </w:p>
    <w:p w:rsidR="009A5113" w:rsidRDefault="00DE0A1E" w:rsidP="009A5113">
      <w:pPr>
        <w:pStyle w:val="Heading2"/>
      </w:pPr>
      <w:bookmarkStart w:id="11" w:name="_Toc408404320"/>
      <w:bookmarkStart w:id="12" w:name="_Toc436041915"/>
      <w:r>
        <w:t>Draft</w:t>
      </w:r>
      <w:r w:rsidR="009A5113" w:rsidRPr="0074565D">
        <w:t xml:space="preserve"> decision</w:t>
      </w:r>
      <w:bookmarkEnd w:id="11"/>
      <w:bookmarkEnd w:id="12"/>
    </w:p>
    <w:p w:rsidR="002D7525" w:rsidRDefault="002D7525" w:rsidP="002D7525">
      <w:r>
        <w:t>We</w:t>
      </w:r>
      <w:r w:rsidRPr="00CA36EA">
        <w:t xml:space="preserve"> approve</w:t>
      </w:r>
      <w:r>
        <w:t xml:space="preserve"> </w:t>
      </w:r>
      <w:r w:rsidR="006C5960">
        <w:t>ActewAGL</w:t>
      </w:r>
      <w:r w:rsidR="00A94B09">
        <w:t>’</w:t>
      </w:r>
      <w:r>
        <w:t>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However, we do not approve </w:t>
      </w:r>
      <w:r w:rsidR="006C5960">
        <w:t>ActewAGL</w:t>
      </w:r>
      <w:r w:rsidR="000F357C">
        <w:t>’</w:t>
      </w:r>
      <w:r>
        <w:t>s proposed regulatory depreciation allowance of $</w:t>
      </w:r>
      <w:r w:rsidR="00D617F4">
        <w:t xml:space="preserve">33.9 </w:t>
      </w:r>
      <w:r>
        <w:t xml:space="preserve">million ($nominal) for </w:t>
      </w:r>
      <w:r w:rsidR="004105DB">
        <w:t xml:space="preserve">2015–16 and </w:t>
      </w:r>
      <w:r>
        <w:t>the 2016–21 access arrangement period.</w:t>
      </w:r>
      <w:r w:rsidR="00F84E8D">
        <w:rPr>
          <w:rStyle w:val="FootnoteReference"/>
        </w:rPr>
        <w:footnoteReference w:id="5"/>
      </w:r>
      <w:r>
        <w:t xml:space="preserve"> This is </w:t>
      </w:r>
      <w:r w:rsidR="00FA7F90">
        <w:t xml:space="preserve">mainly </w:t>
      </w:r>
      <w:r>
        <w:t xml:space="preserve">because of </w:t>
      </w:r>
      <w:r w:rsidR="000C2734">
        <w:t>our decision to not depreciate forecast land and easement capex</w:t>
      </w:r>
      <w:r w:rsidR="008E487B">
        <w:t xml:space="preserve"> (discussed in section </w:t>
      </w:r>
      <w:r w:rsidR="008E487B">
        <w:fldChar w:fldCharType="begin"/>
      </w:r>
      <w:r w:rsidR="008E487B">
        <w:instrText xml:space="preserve"> REF _Ref432606800 \r \h </w:instrText>
      </w:r>
      <w:r w:rsidR="008E487B">
        <w:fldChar w:fldCharType="separate"/>
      </w:r>
      <w:r w:rsidR="00F81198">
        <w:t>5.4.2.1</w:t>
      </w:r>
      <w:r w:rsidR="008E487B">
        <w:fldChar w:fldCharType="end"/>
      </w:r>
      <w:r w:rsidR="008E487B">
        <w:t>)</w:t>
      </w:r>
      <w:r w:rsidR="000C2734">
        <w:t xml:space="preserve"> </w:t>
      </w:r>
      <w:r w:rsidR="008E487B">
        <w:t xml:space="preserve">and also </w:t>
      </w:r>
      <w:r>
        <w:t xml:space="preserve">our </w:t>
      </w:r>
      <w:r w:rsidR="00A94875">
        <w:t>amendments</w:t>
      </w:r>
      <w:r>
        <w:t xml:space="preserve"> to other components of </w:t>
      </w:r>
      <w:r w:rsidR="006C5960">
        <w:t>ActewAGL</w:t>
      </w:r>
      <w:r>
        <w:t>’s</w:t>
      </w:r>
      <w:r w:rsidRPr="001C0783">
        <w:t xml:space="preserve"> </w:t>
      </w:r>
      <w:r>
        <w:t>proposal.</w:t>
      </w:r>
      <w:r w:rsidR="00FA7F90" w:rsidRPr="00FA7F90">
        <w:t xml:space="preserve"> </w:t>
      </w:r>
      <w:r w:rsidR="00FA7F90">
        <w:t xml:space="preserve">Discussed in other attachments, these determinations include the </w:t>
      </w:r>
      <w:r w:rsidR="00FA7F90" w:rsidRPr="001C0783">
        <w:t xml:space="preserve">forecast </w:t>
      </w:r>
      <w:r w:rsidR="00FA7F90">
        <w:t>cap</w:t>
      </w:r>
      <w:r w:rsidR="00FA7F90" w:rsidRPr="001C0783">
        <w:t>ex</w:t>
      </w:r>
      <w:r w:rsidR="00FA7F90">
        <w:t xml:space="preserve"> (attachment </w:t>
      </w:r>
      <w:r w:rsidR="002C2476">
        <w:t>6</w:t>
      </w:r>
      <w:r w:rsidR="00FA7F90">
        <w:t>) and the</w:t>
      </w:r>
      <w:r w:rsidR="00FA7F90" w:rsidRPr="001C0783">
        <w:t xml:space="preserve"> </w:t>
      </w:r>
      <w:r w:rsidR="00FA7F90">
        <w:t xml:space="preserve">projected </w:t>
      </w:r>
      <w:r w:rsidR="00FA7F90" w:rsidRPr="001C0783">
        <w:t xml:space="preserve">opening </w:t>
      </w:r>
      <w:r w:rsidR="00FA7F90">
        <w:t xml:space="preserve">capital base (attachment </w:t>
      </w:r>
      <w:r w:rsidR="002C2476">
        <w:t>2</w:t>
      </w:r>
      <w:r w:rsidR="00FA7F90">
        <w:t>).</w:t>
      </w:r>
    </w:p>
    <w:p w:rsidR="00530FEE" w:rsidRDefault="002D7525" w:rsidP="00530FEE">
      <w:r w:rsidRPr="00A27483">
        <w:t xml:space="preserve">We approve </w:t>
      </w:r>
      <w:r w:rsidR="006C5960">
        <w:t>ActewAGL</w:t>
      </w:r>
      <w:r w:rsidR="005334D8">
        <w:t>’</w:t>
      </w:r>
      <w:r w:rsidRPr="00A27483">
        <w:t xml:space="preserve">s proposed standard asset lives assigned to each of its asset classes for </w:t>
      </w:r>
      <w:r w:rsidR="00213C0C">
        <w:t xml:space="preserve">2015–16 and </w:t>
      </w:r>
      <w:r w:rsidRPr="00A27483">
        <w:t xml:space="preserve">the 2016–21 access arrangement period. This is because they are consistent with the approved standard </w:t>
      </w:r>
      <w:r>
        <w:t>asset</w:t>
      </w:r>
      <w:r w:rsidRPr="00A27483">
        <w:t xml:space="preserve"> lives for the 201</w:t>
      </w:r>
      <w:r w:rsidR="001F0E2D">
        <w:t>0</w:t>
      </w:r>
      <w:r w:rsidRPr="00A27483">
        <w:t>–1</w:t>
      </w:r>
      <w:r w:rsidR="001F0E2D">
        <w:t>5</w:t>
      </w:r>
      <w:r w:rsidRPr="00A27483">
        <w:t xml:space="preserve"> access arrangement period. Also, they are </w:t>
      </w:r>
      <w:r w:rsidR="001446F6">
        <w:t xml:space="preserve">broadly </w:t>
      </w:r>
      <w:r w:rsidRPr="00A27483">
        <w:t xml:space="preserve">comparable with the standard asset lives </w:t>
      </w:r>
      <w:r w:rsidRPr="00A27483">
        <w:lastRenderedPageBreak/>
        <w:t>approved in our recent determinations for other gas distribution service providers.</w:t>
      </w:r>
      <w:r w:rsidRPr="00B04F70">
        <w:rPr>
          <w:vertAlign w:val="superscript"/>
        </w:rPr>
        <w:footnoteReference w:id="6"/>
      </w:r>
      <w:r w:rsidR="00F84E8D">
        <w:t xml:space="preserve"> </w:t>
      </w:r>
      <w:r w:rsidR="00530FEE">
        <w:t xml:space="preserve">In addition to the proposed asset classes, we created a ‘Land and easement’ asset class for ActewAGL’s forecast </w:t>
      </w:r>
      <w:r w:rsidR="00A7607A">
        <w:t>l</w:t>
      </w:r>
      <w:r w:rsidR="00530FEE">
        <w:t xml:space="preserve">and capex in 2015–16 and </w:t>
      </w:r>
      <w:r w:rsidR="001446F6">
        <w:t xml:space="preserve">the </w:t>
      </w:r>
      <w:r w:rsidR="00530FEE">
        <w:t xml:space="preserve">2016–21 access arrangement </w:t>
      </w:r>
      <w:r w:rsidR="00143CDD">
        <w:t>period</w:t>
      </w:r>
      <w:r w:rsidR="00530FEE">
        <w:t>. We have not applied a standard ass</w:t>
      </w:r>
      <w:r w:rsidR="00A7607A">
        <w:t>et lif</w:t>
      </w:r>
      <w:r w:rsidR="00463619">
        <w:t xml:space="preserve">e to this new asset class </w:t>
      </w:r>
      <w:r w:rsidR="00530FEE">
        <w:t xml:space="preserve">because land </w:t>
      </w:r>
      <w:r w:rsidR="002C6A40">
        <w:t>assets (</w:t>
      </w:r>
      <w:r w:rsidR="00530FEE">
        <w:t xml:space="preserve">and </w:t>
      </w:r>
      <w:r w:rsidR="002C6A40">
        <w:t>related purchases)</w:t>
      </w:r>
      <w:r w:rsidR="00530FEE">
        <w:t xml:space="preserve"> </w:t>
      </w:r>
      <w:r w:rsidR="002C6A40">
        <w:t xml:space="preserve">do </w:t>
      </w:r>
      <w:r w:rsidR="00530FEE">
        <w:t>no</w:t>
      </w:r>
      <w:r w:rsidR="002C6A40">
        <w:t>t d</w:t>
      </w:r>
      <w:r w:rsidR="00530FEE">
        <w:t>epreciat</w:t>
      </w:r>
      <w:r w:rsidR="002C6A40">
        <w:t>e</w:t>
      </w:r>
      <w:r w:rsidR="00530FEE">
        <w:t>.</w:t>
      </w:r>
    </w:p>
    <w:p w:rsidR="008B2F53" w:rsidRDefault="008B2F53" w:rsidP="008B2F53">
      <w:r>
        <w:t>We accept ActewAGL</w:t>
      </w:r>
      <w:r w:rsidR="004D2C60">
        <w:t>’</w:t>
      </w:r>
      <w:r>
        <w:t>s proposed weighted average method to calculate the remaining asset lives as at 1 July 2015.</w:t>
      </w:r>
      <w:r>
        <w:rPr>
          <w:rStyle w:val="FootnoteReference"/>
        </w:rPr>
        <w:footnoteReference w:id="7"/>
      </w:r>
      <w:r>
        <w:t xml:space="preserve"> We also accept the proposed remaining asset lives as at 1 July 2015</w:t>
      </w:r>
      <w:r w:rsidR="00E03AB3">
        <w:t>.</w:t>
      </w:r>
    </w:p>
    <w:p w:rsidR="002D7525" w:rsidRPr="00A27483" w:rsidRDefault="002D7525" w:rsidP="002D7525">
      <w:r w:rsidRPr="00A27483">
        <w:t xml:space="preserve">Our draft decision on </w:t>
      </w:r>
      <w:r w:rsidR="006C5960">
        <w:t>ActewAGL</w:t>
      </w:r>
      <w:r w:rsidR="005334D8">
        <w:t>’</w:t>
      </w:r>
      <w:r w:rsidRPr="00A27483">
        <w:t>s regulatory depreciation allowance is $</w:t>
      </w:r>
      <w:r w:rsidR="002C2476">
        <w:t xml:space="preserve">32.9 </w:t>
      </w:r>
      <w:r w:rsidRPr="00A27483">
        <w:t xml:space="preserve">million ($nominal) </w:t>
      </w:r>
      <w:r w:rsidR="00ED7C37">
        <w:t xml:space="preserve">in total for 2015–16 and </w:t>
      </w:r>
      <w:r w:rsidRPr="00A27483">
        <w:t xml:space="preserve">the 2016–21 access arrangement period as set out in </w:t>
      </w:r>
      <w:r w:rsidRPr="00A27483">
        <w:fldChar w:fldCharType="begin"/>
      </w:r>
      <w:r w:rsidRPr="00A27483">
        <w:instrText xml:space="preserve"> REF  _Ref398282397 \* Lower \h  \* MERGEFORMAT </w:instrText>
      </w:r>
      <w:r w:rsidRPr="00A27483">
        <w:fldChar w:fldCharType="separate"/>
      </w:r>
      <w:r w:rsidR="00AC3D86">
        <w:t>table 5.1</w:t>
      </w:r>
      <w:r w:rsidRPr="00A27483">
        <w:fldChar w:fldCharType="end"/>
      </w:r>
      <w:r w:rsidRPr="00A27483">
        <w:t>.</w:t>
      </w:r>
    </w:p>
    <w:p w:rsidR="002D7525" w:rsidRDefault="002D7525" w:rsidP="00D61E1D">
      <w:pPr>
        <w:pStyle w:val="Caption"/>
      </w:pPr>
      <w:bookmarkStart w:id="13" w:name="_Ref398282397"/>
      <w:r>
        <w:t xml:space="preserve">Table </w:t>
      </w:r>
      <w:r w:rsidR="006367CD">
        <w:fldChar w:fldCharType="begin"/>
      </w:r>
      <w:r w:rsidR="006367CD">
        <w:instrText xml:space="preserve"> STYLEREF 1 \s </w:instrText>
      </w:r>
      <w:r w:rsidR="006367CD">
        <w:fldChar w:fldCharType="separate"/>
      </w:r>
      <w:r w:rsidR="00F81198">
        <w:rPr>
          <w:noProof/>
        </w:rPr>
        <w:t>5</w:t>
      </w:r>
      <w:r w:rsidR="006367CD">
        <w:rPr>
          <w:noProof/>
        </w:rPr>
        <w:fldChar w:fldCharType="end"/>
      </w:r>
      <w:r w:rsidR="00D61E1D">
        <w:t>.</w:t>
      </w:r>
      <w:r w:rsidR="0035420C">
        <w:fldChar w:fldCharType="begin"/>
      </w:r>
      <w:r w:rsidR="0035420C">
        <w:instrText xml:space="preserve"> SEQ Table \* ARABIC \s 1 </w:instrText>
      </w:r>
      <w:r w:rsidR="0035420C">
        <w:fldChar w:fldCharType="separate"/>
      </w:r>
      <w:r w:rsidR="00F81198">
        <w:rPr>
          <w:noProof/>
        </w:rPr>
        <w:t>1</w:t>
      </w:r>
      <w:r w:rsidR="0035420C">
        <w:rPr>
          <w:noProof/>
        </w:rPr>
        <w:fldChar w:fldCharType="end"/>
      </w:r>
      <w:bookmarkEnd w:id="13"/>
      <w:r w:rsidR="001B455B">
        <w:tab/>
        <w:t>AER’</w:t>
      </w:r>
      <w:r>
        <w:t>s draft decision on A</w:t>
      </w:r>
      <w:r w:rsidR="006C5960">
        <w:t>ctewAGL</w:t>
      </w:r>
      <w:r w:rsidR="001B455B">
        <w:t>’</w:t>
      </w:r>
      <w:r>
        <w:t xml:space="preserve">s regulatory depreciation allowance for </w:t>
      </w:r>
      <w:r w:rsidR="00004CD1">
        <w:t xml:space="preserve">2015–16 and </w:t>
      </w:r>
      <w:r>
        <w:t>the 2016–21 access arrangement period ($million, nominal)</w:t>
      </w:r>
    </w:p>
    <w:tbl>
      <w:tblPr>
        <w:tblStyle w:val="AERtable-numbers"/>
        <w:tblW w:w="8725" w:type="dxa"/>
        <w:tblLayout w:type="fixed"/>
        <w:tblLook w:val="04A0" w:firstRow="1" w:lastRow="0" w:firstColumn="1" w:lastColumn="0" w:noHBand="0" w:noVBand="1"/>
      </w:tblPr>
      <w:tblGrid>
        <w:gridCol w:w="2569"/>
        <w:gridCol w:w="879"/>
        <w:gridCol w:w="879"/>
        <w:gridCol w:w="880"/>
        <w:gridCol w:w="879"/>
        <w:gridCol w:w="880"/>
        <w:gridCol w:w="879"/>
        <w:gridCol w:w="880"/>
      </w:tblGrid>
      <w:tr w:rsidR="00004CD1" w:rsidRPr="00A575B0" w:rsidTr="00004CD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004CD1" w:rsidRPr="00A575B0" w:rsidRDefault="00004CD1" w:rsidP="00743825"/>
        </w:tc>
        <w:tc>
          <w:tcPr>
            <w:tcW w:w="879" w:type="dxa"/>
          </w:tcPr>
          <w:p w:rsidR="00004CD1" w:rsidRPr="00A575B0" w:rsidRDefault="00004CD1" w:rsidP="00743825">
            <w:pPr>
              <w:cnfStyle w:val="100000000000" w:firstRow="1" w:lastRow="0" w:firstColumn="0" w:lastColumn="0" w:oddVBand="0" w:evenVBand="0" w:oddHBand="0" w:evenHBand="0" w:firstRowFirstColumn="0" w:firstRowLastColumn="0" w:lastRowFirstColumn="0" w:lastRowLastColumn="0"/>
            </w:pPr>
            <w:r>
              <w:t>2015–16</w:t>
            </w:r>
          </w:p>
        </w:tc>
        <w:tc>
          <w:tcPr>
            <w:tcW w:w="879" w:type="dxa"/>
            <w:noWrap/>
          </w:tcPr>
          <w:p w:rsidR="00004CD1" w:rsidRPr="00A575B0" w:rsidRDefault="00004CD1" w:rsidP="00743825">
            <w:pPr>
              <w:cnfStyle w:val="100000000000" w:firstRow="1" w:lastRow="0" w:firstColumn="0" w:lastColumn="0" w:oddVBand="0" w:evenVBand="0" w:oddHBand="0" w:evenHBand="0" w:firstRowFirstColumn="0" w:firstRowLastColumn="0" w:lastRowFirstColumn="0" w:lastRowLastColumn="0"/>
            </w:pPr>
            <w:r w:rsidRPr="00A575B0">
              <w:t>2016–17</w:t>
            </w:r>
          </w:p>
        </w:tc>
        <w:tc>
          <w:tcPr>
            <w:tcW w:w="880" w:type="dxa"/>
            <w:noWrap/>
          </w:tcPr>
          <w:p w:rsidR="00004CD1" w:rsidRPr="00A575B0" w:rsidRDefault="00004CD1" w:rsidP="00743825">
            <w:pPr>
              <w:cnfStyle w:val="100000000000" w:firstRow="1" w:lastRow="0" w:firstColumn="0" w:lastColumn="0" w:oddVBand="0" w:evenVBand="0" w:oddHBand="0" w:evenHBand="0" w:firstRowFirstColumn="0" w:firstRowLastColumn="0" w:lastRowFirstColumn="0" w:lastRowLastColumn="0"/>
            </w:pPr>
            <w:r w:rsidRPr="00A575B0">
              <w:t>2017–18</w:t>
            </w:r>
          </w:p>
        </w:tc>
        <w:tc>
          <w:tcPr>
            <w:tcW w:w="879" w:type="dxa"/>
            <w:noWrap/>
          </w:tcPr>
          <w:p w:rsidR="00004CD1" w:rsidRPr="005B4094" w:rsidRDefault="00004CD1" w:rsidP="00743825">
            <w:pPr>
              <w:cnfStyle w:val="100000000000" w:firstRow="1" w:lastRow="0" w:firstColumn="0" w:lastColumn="0" w:oddVBand="0" w:evenVBand="0" w:oddHBand="0" w:evenHBand="0" w:firstRowFirstColumn="0" w:firstRowLastColumn="0" w:lastRowFirstColumn="0" w:lastRowLastColumn="0"/>
            </w:pPr>
            <w:r w:rsidRPr="005B4094">
              <w:t>2018–19</w:t>
            </w:r>
          </w:p>
        </w:tc>
        <w:tc>
          <w:tcPr>
            <w:tcW w:w="880" w:type="dxa"/>
            <w:noWrap/>
          </w:tcPr>
          <w:p w:rsidR="00004CD1" w:rsidRPr="00F77C82" w:rsidRDefault="00004CD1" w:rsidP="00743825">
            <w:pPr>
              <w:cnfStyle w:val="100000000000" w:firstRow="1" w:lastRow="0" w:firstColumn="0" w:lastColumn="0" w:oddVBand="0" w:evenVBand="0" w:oddHBand="0" w:evenHBand="0" w:firstRowFirstColumn="0" w:firstRowLastColumn="0" w:lastRowFirstColumn="0" w:lastRowLastColumn="0"/>
            </w:pPr>
            <w:r w:rsidRPr="005B4094">
              <w:t>2019–20</w:t>
            </w:r>
          </w:p>
        </w:tc>
        <w:tc>
          <w:tcPr>
            <w:tcW w:w="879" w:type="dxa"/>
            <w:noWrap/>
          </w:tcPr>
          <w:p w:rsidR="00004CD1" w:rsidRPr="00F77C82" w:rsidRDefault="00004CD1" w:rsidP="00743825">
            <w:pPr>
              <w:cnfStyle w:val="100000000000" w:firstRow="1" w:lastRow="0" w:firstColumn="0" w:lastColumn="0" w:oddVBand="0" w:evenVBand="0" w:oddHBand="0" w:evenHBand="0" w:firstRowFirstColumn="0" w:firstRowLastColumn="0" w:lastRowFirstColumn="0" w:lastRowLastColumn="0"/>
            </w:pPr>
            <w:r w:rsidRPr="00F77C82">
              <w:t>2020–21</w:t>
            </w:r>
          </w:p>
        </w:tc>
        <w:tc>
          <w:tcPr>
            <w:tcW w:w="880" w:type="dxa"/>
          </w:tcPr>
          <w:p w:rsidR="00004CD1" w:rsidRPr="00F77C82" w:rsidRDefault="00004CD1" w:rsidP="00743825">
            <w:pPr>
              <w:cnfStyle w:val="100000000000" w:firstRow="1" w:lastRow="0" w:firstColumn="0" w:lastColumn="0" w:oddVBand="0" w:evenVBand="0" w:oddHBand="0" w:evenHBand="0" w:firstRowFirstColumn="0" w:firstRowLastColumn="0" w:lastRowFirstColumn="0" w:lastRowLastColumn="0"/>
            </w:pPr>
            <w:r w:rsidRPr="00F77C82">
              <w:t>Total</w:t>
            </w:r>
          </w:p>
        </w:tc>
      </w:tr>
      <w:tr w:rsidR="002E4A92" w:rsidRPr="009603F9" w:rsidTr="00004CD1">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2E4A92" w:rsidRPr="009603F9" w:rsidRDefault="002E4A92" w:rsidP="00743825">
            <w:r w:rsidRPr="009603F9">
              <w:t>Straight-line depreciation</w:t>
            </w:r>
          </w:p>
        </w:tc>
        <w:tc>
          <w:tcPr>
            <w:tcW w:w="879" w:type="dxa"/>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12.2</w:t>
            </w:r>
          </w:p>
        </w:tc>
        <w:tc>
          <w:tcPr>
            <w:tcW w:w="879" w:type="dxa"/>
            <w:noWrap/>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13.4</w:t>
            </w:r>
          </w:p>
        </w:tc>
        <w:tc>
          <w:tcPr>
            <w:tcW w:w="880" w:type="dxa"/>
            <w:noWrap/>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14.5</w:t>
            </w:r>
          </w:p>
        </w:tc>
        <w:tc>
          <w:tcPr>
            <w:tcW w:w="879" w:type="dxa"/>
            <w:noWrap/>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15.6</w:t>
            </w:r>
          </w:p>
        </w:tc>
        <w:tc>
          <w:tcPr>
            <w:tcW w:w="880" w:type="dxa"/>
            <w:noWrap/>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16.7</w:t>
            </w:r>
          </w:p>
        </w:tc>
        <w:tc>
          <w:tcPr>
            <w:tcW w:w="879" w:type="dxa"/>
            <w:noWrap/>
          </w:tcPr>
          <w:p w:rsidR="002E4A92" w:rsidRDefault="002E4A92">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17.7</w:t>
            </w:r>
          </w:p>
        </w:tc>
        <w:tc>
          <w:tcPr>
            <w:tcW w:w="880" w:type="dxa"/>
          </w:tcPr>
          <w:p w:rsidR="002E4A92" w:rsidRPr="009603F9" w:rsidRDefault="002E4A92" w:rsidP="00743825">
            <w:pPr>
              <w:cnfStyle w:val="000000000000" w:firstRow="0" w:lastRow="0" w:firstColumn="0" w:lastColumn="0" w:oddVBand="0" w:evenVBand="0" w:oddHBand="0" w:evenHBand="0" w:firstRowFirstColumn="0" w:firstRowLastColumn="0" w:lastRowFirstColumn="0" w:lastRowLastColumn="0"/>
            </w:pPr>
            <w:r>
              <w:t>90.1</w:t>
            </w:r>
          </w:p>
        </w:tc>
      </w:tr>
      <w:tr w:rsidR="002E4A92" w:rsidRPr="009603F9" w:rsidTr="00004CD1">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2E4A92" w:rsidRPr="009603F9" w:rsidRDefault="002E4A92" w:rsidP="00743825">
            <w:r w:rsidRPr="009603F9">
              <w:rPr>
                <w:rStyle w:val="AERtextitalic"/>
              </w:rPr>
              <w:t>Less:</w:t>
            </w:r>
            <w:r w:rsidRPr="009603F9">
              <w:t xml:space="preserve"> indexation on capital base </w:t>
            </w:r>
          </w:p>
        </w:tc>
        <w:tc>
          <w:tcPr>
            <w:tcW w:w="879" w:type="dxa"/>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8.5</w:t>
            </w:r>
          </w:p>
        </w:tc>
        <w:tc>
          <w:tcPr>
            <w:tcW w:w="879" w:type="dxa"/>
            <w:noWrap/>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9.1</w:t>
            </w:r>
          </w:p>
        </w:tc>
        <w:tc>
          <w:tcPr>
            <w:tcW w:w="880" w:type="dxa"/>
            <w:noWrap/>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9.5</w:t>
            </w:r>
          </w:p>
        </w:tc>
        <w:tc>
          <w:tcPr>
            <w:tcW w:w="879" w:type="dxa"/>
            <w:noWrap/>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9.8</w:t>
            </w:r>
          </w:p>
        </w:tc>
        <w:tc>
          <w:tcPr>
            <w:tcW w:w="880" w:type="dxa"/>
            <w:noWrap/>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10.1</w:t>
            </w:r>
          </w:p>
        </w:tc>
        <w:tc>
          <w:tcPr>
            <w:tcW w:w="879" w:type="dxa"/>
            <w:noWrap/>
          </w:tcPr>
          <w:p w:rsidR="002E4A92" w:rsidRDefault="002E4A92">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10.3</w:t>
            </w:r>
          </w:p>
        </w:tc>
        <w:tc>
          <w:tcPr>
            <w:tcW w:w="880" w:type="dxa"/>
          </w:tcPr>
          <w:p w:rsidR="002E4A92" w:rsidRPr="009603F9" w:rsidRDefault="002E4A92" w:rsidP="00743825">
            <w:pPr>
              <w:cnfStyle w:val="000000010000" w:firstRow="0" w:lastRow="0" w:firstColumn="0" w:lastColumn="0" w:oddVBand="0" w:evenVBand="0" w:oddHBand="0" w:evenHBand="1" w:firstRowFirstColumn="0" w:firstRowLastColumn="0" w:lastRowFirstColumn="0" w:lastRowLastColumn="0"/>
            </w:pPr>
            <w:r>
              <w:t>57.2</w:t>
            </w:r>
          </w:p>
        </w:tc>
      </w:tr>
      <w:tr w:rsidR="002E4A92" w:rsidRPr="00A575B0" w:rsidTr="00004CD1">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2E4A92" w:rsidRPr="00A575B0" w:rsidRDefault="002E4A92" w:rsidP="00743825">
            <w:pPr>
              <w:rPr>
                <w:rStyle w:val="Strong"/>
              </w:rPr>
            </w:pPr>
            <w:r w:rsidRPr="00A575B0">
              <w:rPr>
                <w:rStyle w:val="Strong"/>
              </w:rPr>
              <w:t>Regulatory depreciation</w:t>
            </w:r>
          </w:p>
        </w:tc>
        <w:tc>
          <w:tcPr>
            <w:tcW w:w="879" w:type="dxa"/>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3.7</w:t>
            </w:r>
          </w:p>
        </w:tc>
        <w:tc>
          <w:tcPr>
            <w:tcW w:w="879" w:type="dxa"/>
            <w:noWrap/>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4.3</w:t>
            </w:r>
          </w:p>
        </w:tc>
        <w:tc>
          <w:tcPr>
            <w:tcW w:w="880" w:type="dxa"/>
            <w:noWrap/>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5.0</w:t>
            </w:r>
          </w:p>
        </w:tc>
        <w:tc>
          <w:tcPr>
            <w:tcW w:w="879" w:type="dxa"/>
            <w:noWrap/>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5.8</w:t>
            </w:r>
          </w:p>
        </w:tc>
        <w:tc>
          <w:tcPr>
            <w:tcW w:w="880" w:type="dxa"/>
            <w:noWrap/>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6.6</w:t>
            </w:r>
          </w:p>
        </w:tc>
        <w:tc>
          <w:tcPr>
            <w:tcW w:w="879" w:type="dxa"/>
            <w:noWrap/>
          </w:tcPr>
          <w:p w:rsidR="002E4A92" w:rsidRPr="002E4A92" w:rsidRDefault="002E4A92">
            <w:pPr>
              <w:cnfStyle w:val="000000000000" w:firstRow="0" w:lastRow="0" w:firstColumn="0" w:lastColumn="0" w:oddVBand="0" w:evenVBand="0" w:oddHBand="0" w:evenHBand="0" w:firstRowFirstColumn="0" w:firstRowLastColumn="0" w:lastRowFirstColumn="0" w:lastRowLastColumn="0"/>
              <w:rPr>
                <w:rFonts w:cs="Arial"/>
                <w:b/>
                <w:color w:val="000000"/>
                <w:szCs w:val="16"/>
              </w:rPr>
            </w:pPr>
            <w:r w:rsidRPr="002E4A92">
              <w:rPr>
                <w:rFonts w:cs="Arial"/>
                <w:b/>
                <w:color w:val="000000"/>
                <w:szCs w:val="16"/>
              </w:rPr>
              <w:t>7.5</w:t>
            </w:r>
          </w:p>
        </w:tc>
        <w:tc>
          <w:tcPr>
            <w:tcW w:w="880" w:type="dxa"/>
          </w:tcPr>
          <w:p w:rsidR="002E4A92" w:rsidRPr="00A575B0" w:rsidRDefault="002E4A92"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32.9</w:t>
            </w:r>
          </w:p>
        </w:tc>
      </w:tr>
    </w:tbl>
    <w:p w:rsidR="002D7525" w:rsidRPr="00B551FF" w:rsidRDefault="002D7525" w:rsidP="002D7525">
      <w:pPr>
        <w:pStyle w:val="AERtablesource"/>
        <w:keepNext/>
      </w:pPr>
      <w:r>
        <w:t xml:space="preserve">Source: </w:t>
      </w:r>
      <w:r>
        <w:tab/>
        <w:t xml:space="preserve">AER analysis. </w:t>
      </w:r>
    </w:p>
    <w:p w:rsidR="009A5113" w:rsidRDefault="005B140A" w:rsidP="009A5113">
      <w:pPr>
        <w:pStyle w:val="Heading2"/>
      </w:pPr>
      <w:bookmarkStart w:id="14" w:name="_Toc436041916"/>
      <w:r>
        <w:t>ActewAGL</w:t>
      </w:r>
      <w:r w:rsidR="006349D8">
        <w:t>’</w:t>
      </w:r>
      <w:r w:rsidR="005C0A7F">
        <w:t>s proposal</w:t>
      </w:r>
      <w:bookmarkEnd w:id="14"/>
    </w:p>
    <w:p w:rsidR="00ED7C37" w:rsidRDefault="00ED7C37" w:rsidP="002D7525">
      <w:r>
        <w:t>As discussed in the overview, we decide</w:t>
      </w:r>
      <w:r w:rsidR="00D301CB">
        <w:t>d</w:t>
      </w:r>
      <w:r>
        <w:t xml:space="preserve"> to apply a </w:t>
      </w:r>
      <w:r w:rsidR="001057C0">
        <w:t>reconciliation of</w:t>
      </w:r>
      <w:r>
        <w:t xml:space="preserve"> ActewAGL’s 2015–16 revenue. Therefore, we </w:t>
      </w:r>
      <w:r w:rsidR="00DD19B4">
        <w:t xml:space="preserve">have </w:t>
      </w:r>
      <w:r w:rsidR="00387EA9">
        <w:t>assessed</w:t>
      </w:r>
      <w:r>
        <w:t xml:space="preserve"> the</w:t>
      </w:r>
      <w:r w:rsidR="00D154C6">
        <w:t xml:space="preserve"> </w:t>
      </w:r>
      <w:r w:rsidR="00387EA9">
        <w:t>depreciation schedule as</w:t>
      </w:r>
      <w:r w:rsidR="00D154C6">
        <w:t xml:space="preserve"> </w:t>
      </w:r>
      <w:r w:rsidR="00387EA9">
        <w:t xml:space="preserve">set out </w:t>
      </w:r>
      <w:r w:rsidR="00D154C6">
        <w:t>in the</w:t>
      </w:r>
      <w:r>
        <w:t xml:space="preserve"> </w:t>
      </w:r>
      <w:r w:rsidR="00095EFF">
        <w:t>PTRM</w:t>
      </w:r>
      <w:r>
        <w:t xml:space="preserve"> submitted by ActewAGL </w:t>
      </w:r>
      <w:r w:rsidR="00D301CB">
        <w:t xml:space="preserve">which contains the proposed approach </w:t>
      </w:r>
      <w:r>
        <w:t xml:space="preserve">for </w:t>
      </w:r>
      <w:r w:rsidR="001057C0">
        <w:t xml:space="preserve">the reconciliation of revenue for </w:t>
      </w:r>
      <w:r w:rsidR="00AC4FB3">
        <w:t xml:space="preserve">the </w:t>
      </w:r>
      <w:r w:rsidR="00D301CB">
        <w:t>2015–16</w:t>
      </w:r>
      <w:r w:rsidR="001057C0">
        <w:t xml:space="preserve"> interval of delay</w:t>
      </w:r>
      <w:r>
        <w:t>.</w:t>
      </w:r>
    </w:p>
    <w:p w:rsidR="002D7525" w:rsidRDefault="006C5960" w:rsidP="002D7525">
      <w:r>
        <w:t>ActewAGL</w:t>
      </w:r>
      <w:r w:rsidR="0033201F">
        <w:t xml:space="preserve"> used the AER’s </w:t>
      </w:r>
      <w:r w:rsidR="00DE554F">
        <w:t>post-tax revenue model (</w:t>
      </w:r>
      <w:r w:rsidR="0033201F">
        <w:t>PTRM</w:t>
      </w:r>
      <w:r w:rsidR="00DE554F">
        <w:t>)</w:t>
      </w:r>
      <w:r w:rsidR="0033201F">
        <w:t xml:space="preserve"> to calculate the forecast depreciation for</w:t>
      </w:r>
      <w:r w:rsidR="002D7525">
        <w:t xml:space="preserve"> </w:t>
      </w:r>
      <w:r w:rsidR="00387EA9">
        <w:t xml:space="preserve">2015–16 and </w:t>
      </w:r>
      <w:r w:rsidR="002D7525">
        <w:t>the 2016–21 access arrangement period. It proposed to apply the same standard asset lives as those approved by the AER over the 201</w:t>
      </w:r>
      <w:r w:rsidR="00D35EF4">
        <w:t>0</w:t>
      </w:r>
      <w:r w:rsidR="002D7525">
        <w:t>–1</w:t>
      </w:r>
      <w:r w:rsidR="00D35EF4">
        <w:t>5</w:t>
      </w:r>
      <w:r w:rsidR="002D7525">
        <w:t xml:space="preserve"> access arrangement period. It also proposed to use the </w:t>
      </w:r>
      <w:r w:rsidR="00D508A2">
        <w:t xml:space="preserve">weighted average approach as </w:t>
      </w:r>
      <w:r w:rsidR="00D508A2">
        <w:lastRenderedPageBreak/>
        <w:t xml:space="preserve">set out in the AER’s </w:t>
      </w:r>
      <w:r w:rsidR="00DE554F">
        <w:t>roll forward model (</w:t>
      </w:r>
      <w:r w:rsidR="00D508A2">
        <w:t>RFM</w:t>
      </w:r>
      <w:r w:rsidR="00DE554F">
        <w:t>)</w:t>
      </w:r>
      <w:r w:rsidR="002D7525">
        <w:t xml:space="preserve"> to determine the remaining asset life of the capital base at the start of </w:t>
      </w:r>
      <w:r w:rsidR="004A350E">
        <w:t xml:space="preserve">2015–16 and </w:t>
      </w:r>
      <w:r w:rsidR="002D7525">
        <w:t>the 2016–21 access arrangement period.</w:t>
      </w:r>
      <w:r w:rsidR="002D7525" w:rsidRPr="00B04F70">
        <w:rPr>
          <w:vertAlign w:val="superscript"/>
        </w:rPr>
        <w:footnoteReference w:id="8"/>
      </w:r>
      <w:r w:rsidR="002D7525">
        <w:t xml:space="preserve"> </w:t>
      </w:r>
    </w:p>
    <w:p w:rsidR="002D7525" w:rsidRPr="00CA36EA" w:rsidRDefault="005D1D94" w:rsidP="002D7525">
      <w:r>
        <w:t>ActewAGL</w:t>
      </w:r>
      <w:r w:rsidR="004D2C60">
        <w:t>’</w:t>
      </w:r>
      <w:r w:rsidR="002D7525" w:rsidRPr="00CA36EA">
        <w:t xml:space="preserve">s proposed </w:t>
      </w:r>
      <w:r w:rsidR="002D7525">
        <w:t xml:space="preserve">regulatory </w:t>
      </w:r>
      <w:r w:rsidR="002D7525" w:rsidRPr="00CA36EA">
        <w:t xml:space="preserve">depreciation for </w:t>
      </w:r>
      <w:r w:rsidR="00DD19B4">
        <w:t xml:space="preserve">2015–16 and </w:t>
      </w:r>
      <w:r w:rsidR="002D7525">
        <w:t>the</w:t>
      </w:r>
      <w:r w:rsidR="002D7525" w:rsidRPr="00CA36EA">
        <w:t xml:space="preserve"> </w:t>
      </w:r>
      <w:r w:rsidR="002D7525">
        <w:t>2016–21</w:t>
      </w:r>
      <w:r w:rsidR="002D7525" w:rsidRPr="00CA36EA">
        <w:t xml:space="preserve"> access arrangement period is set out in</w:t>
      </w:r>
      <w:r w:rsidR="002D7525">
        <w:t xml:space="preserve"> </w:t>
      </w:r>
      <w:r w:rsidR="002D7525">
        <w:fldChar w:fldCharType="begin"/>
      </w:r>
      <w:r w:rsidR="002D7525">
        <w:instrText xml:space="preserve"> REF  _Ref398892142 \* Lower \h  \* MERGEFORMAT </w:instrText>
      </w:r>
      <w:r w:rsidR="002D7525">
        <w:fldChar w:fldCharType="separate"/>
      </w:r>
      <w:r w:rsidR="00AC3D86">
        <w:t>table 5.2</w:t>
      </w:r>
      <w:r w:rsidR="002D7525">
        <w:fldChar w:fldCharType="end"/>
      </w:r>
      <w:r w:rsidR="002D7525">
        <w:t>.</w:t>
      </w:r>
      <w:r w:rsidR="002D7525" w:rsidRPr="00964F02">
        <w:t xml:space="preserve"> </w:t>
      </w:r>
      <w:r w:rsidR="002D7525">
        <w:t>Its proposed standard asset lives and remaining asset lives at 1 July 201</w:t>
      </w:r>
      <w:r w:rsidR="00796D1F">
        <w:t>5</w:t>
      </w:r>
      <w:r w:rsidR="002D7525">
        <w:t xml:space="preserve"> is set out in </w:t>
      </w:r>
      <w:r w:rsidR="00D61E1D">
        <w:fldChar w:fldCharType="begin"/>
      </w:r>
      <w:r w:rsidR="00D61E1D">
        <w:instrText xml:space="preserve"> REF _Ref398276644 \h </w:instrText>
      </w:r>
      <w:r w:rsidR="00D61E1D">
        <w:fldChar w:fldCharType="separate"/>
      </w:r>
      <w:r w:rsidR="00AC3D86">
        <w:t xml:space="preserve">Table </w:t>
      </w:r>
      <w:r w:rsidR="00AC3D86">
        <w:rPr>
          <w:noProof/>
        </w:rPr>
        <w:t>5</w:t>
      </w:r>
      <w:r w:rsidR="00AC3D86">
        <w:t>.</w:t>
      </w:r>
      <w:r w:rsidR="00AC3D86">
        <w:rPr>
          <w:noProof/>
        </w:rPr>
        <w:t>3</w:t>
      </w:r>
      <w:r w:rsidR="00D61E1D">
        <w:fldChar w:fldCharType="end"/>
      </w:r>
      <w:r w:rsidR="002D7525">
        <w:t>.</w:t>
      </w:r>
    </w:p>
    <w:p w:rsidR="002D7525" w:rsidRPr="00F56E79" w:rsidRDefault="002D7525" w:rsidP="00D61E1D">
      <w:pPr>
        <w:pStyle w:val="Caption"/>
      </w:pPr>
      <w:bookmarkStart w:id="15" w:name="_Ref398892142"/>
      <w:r>
        <w:t xml:space="preserve">Table </w:t>
      </w:r>
      <w:r w:rsidR="006367CD">
        <w:fldChar w:fldCharType="begin"/>
      </w:r>
      <w:r w:rsidR="006367CD">
        <w:instrText xml:space="preserve"> STYLEREF 1 \s </w:instrText>
      </w:r>
      <w:r w:rsidR="006367CD">
        <w:fldChar w:fldCharType="separate"/>
      </w:r>
      <w:r w:rsidR="00F81198">
        <w:rPr>
          <w:noProof/>
        </w:rPr>
        <w:t>5</w:t>
      </w:r>
      <w:r w:rsidR="006367CD">
        <w:rPr>
          <w:noProof/>
        </w:rPr>
        <w:fldChar w:fldCharType="end"/>
      </w:r>
      <w:r w:rsidR="00D61E1D">
        <w:t>.</w:t>
      </w:r>
      <w:r w:rsidR="0035420C">
        <w:fldChar w:fldCharType="begin"/>
      </w:r>
      <w:r w:rsidR="0035420C">
        <w:instrText xml:space="preserve"> SEQ Table \* ARABIC \s 1 </w:instrText>
      </w:r>
      <w:r w:rsidR="0035420C">
        <w:fldChar w:fldCharType="separate"/>
      </w:r>
      <w:r w:rsidR="00F81198">
        <w:rPr>
          <w:noProof/>
        </w:rPr>
        <w:t>2</w:t>
      </w:r>
      <w:r w:rsidR="0035420C">
        <w:rPr>
          <w:noProof/>
        </w:rPr>
        <w:fldChar w:fldCharType="end"/>
      </w:r>
      <w:bookmarkEnd w:id="15"/>
      <w:r w:rsidR="0078724D">
        <w:tab/>
        <w:t>ActewAGL</w:t>
      </w:r>
      <w:r w:rsidR="004D2C60">
        <w:t>’</w:t>
      </w:r>
      <w:r w:rsidRPr="00F56E79">
        <w:t xml:space="preserve">s proposed </w:t>
      </w:r>
      <w:r>
        <w:t xml:space="preserve">regulatory </w:t>
      </w:r>
      <w:r w:rsidRPr="00F56E79">
        <w:t>depreciation for</w:t>
      </w:r>
      <w:r w:rsidR="00251308">
        <w:t xml:space="preserve"> 2015–16 and</w:t>
      </w:r>
      <w:r w:rsidRPr="00F56E79">
        <w:t xml:space="preserve"> </w:t>
      </w:r>
      <w:r>
        <w:t xml:space="preserve">the 2016–21 </w:t>
      </w:r>
      <w:r w:rsidRPr="00F56E79">
        <w:t>access arrangement period ($million, nominal)</w:t>
      </w:r>
    </w:p>
    <w:tbl>
      <w:tblPr>
        <w:tblStyle w:val="AERtable-numbers"/>
        <w:tblW w:w="8705" w:type="dxa"/>
        <w:tblLayout w:type="fixed"/>
        <w:tblLook w:val="04A0" w:firstRow="1" w:lastRow="0" w:firstColumn="1" w:lastColumn="0" w:noHBand="0" w:noVBand="1"/>
      </w:tblPr>
      <w:tblGrid>
        <w:gridCol w:w="2563"/>
        <w:gridCol w:w="877"/>
        <w:gridCol w:w="877"/>
        <w:gridCol w:w="878"/>
        <w:gridCol w:w="877"/>
        <w:gridCol w:w="878"/>
        <w:gridCol w:w="877"/>
        <w:gridCol w:w="878"/>
      </w:tblGrid>
      <w:tr w:rsidR="00251308" w:rsidRPr="00A575B0" w:rsidTr="00004CD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251308" w:rsidRPr="00A575B0" w:rsidRDefault="00251308" w:rsidP="00743825"/>
        </w:tc>
        <w:tc>
          <w:tcPr>
            <w:tcW w:w="877" w:type="dxa"/>
          </w:tcPr>
          <w:p w:rsidR="00251308" w:rsidRPr="00A575B0" w:rsidRDefault="00004CD1" w:rsidP="00743825">
            <w:pPr>
              <w:cnfStyle w:val="100000000000" w:firstRow="1" w:lastRow="0" w:firstColumn="0" w:lastColumn="0" w:oddVBand="0" w:evenVBand="0" w:oddHBand="0" w:evenHBand="0" w:firstRowFirstColumn="0" w:firstRowLastColumn="0" w:lastRowFirstColumn="0" w:lastRowLastColumn="0"/>
            </w:pPr>
            <w:r>
              <w:t>2015–16</w:t>
            </w:r>
          </w:p>
        </w:tc>
        <w:tc>
          <w:tcPr>
            <w:tcW w:w="877" w:type="dxa"/>
            <w:noWrap/>
          </w:tcPr>
          <w:p w:rsidR="00251308" w:rsidRPr="00A575B0" w:rsidRDefault="00251308" w:rsidP="00743825">
            <w:pPr>
              <w:cnfStyle w:val="100000000000" w:firstRow="1" w:lastRow="0" w:firstColumn="0" w:lastColumn="0" w:oddVBand="0" w:evenVBand="0" w:oddHBand="0" w:evenHBand="0" w:firstRowFirstColumn="0" w:firstRowLastColumn="0" w:lastRowFirstColumn="0" w:lastRowLastColumn="0"/>
            </w:pPr>
            <w:r w:rsidRPr="00A575B0">
              <w:t>2016–17</w:t>
            </w:r>
          </w:p>
        </w:tc>
        <w:tc>
          <w:tcPr>
            <w:tcW w:w="878" w:type="dxa"/>
            <w:noWrap/>
          </w:tcPr>
          <w:p w:rsidR="00251308" w:rsidRPr="00F77C82" w:rsidRDefault="00251308" w:rsidP="00743825">
            <w:pPr>
              <w:cnfStyle w:val="100000000000" w:firstRow="1" w:lastRow="0" w:firstColumn="0" w:lastColumn="0" w:oddVBand="0" w:evenVBand="0" w:oddHBand="0" w:evenHBand="0" w:firstRowFirstColumn="0" w:firstRowLastColumn="0" w:lastRowFirstColumn="0" w:lastRowLastColumn="0"/>
            </w:pPr>
            <w:r w:rsidRPr="005B4094">
              <w:t>2017–18</w:t>
            </w:r>
          </w:p>
        </w:tc>
        <w:tc>
          <w:tcPr>
            <w:tcW w:w="877" w:type="dxa"/>
            <w:noWrap/>
          </w:tcPr>
          <w:p w:rsidR="00251308" w:rsidRPr="00F77C82" w:rsidRDefault="00251308" w:rsidP="00743825">
            <w:pPr>
              <w:cnfStyle w:val="100000000000" w:firstRow="1" w:lastRow="0" w:firstColumn="0" w:lastColumn="0" w:oddVBand="0" w:evenVBand="0" w:oddHBand="0" w:evenHBand="0" w:firstRowFirstColumn="0" w:firstRowLastColumn="0" w:lastRowFirstColumn="0" w:lastRowLastColumn="0"/>
            </w:pPr>
            <w:r w:rsidRPr="00964F02">
              <w:t>2018–19</w:t>
            </w:r>
          </w:p>
        </w:tc>
        <w:tc>
          <w:tcPr>
            <w:tcW w:w="878" w:type="dxa"/>
            <w:noWrap/>
          </w:tcPr>
          <w:p w:rsidR="00251308" w:rsidRPr="00F77C82" w:rsidRDefault="00251308" w:rsidP="00743825">
            <w:pPr>
              <w:cnfStyle w:val="100000000000" w:firstRow="1" w:lastRow="0" w:firstColumn="0" w:lastColumn="0" w:oddVBand="0" w:evenVBand="0" w:oddHBand="0" w:evenHBand="0" w:firstRowFirstColumn="0" w:firstRowLastColumn="0" w:lastRowFirstColumn="0" w:lastRowLastColumn="0"/>
            </w:pPr>
            <w:r w:rsidRPr="00964F02">
              <w:t>2019–20</w:t>
            </w:r>
          </w:p>
        </w:tc>
        <w:tc>
          <w:tcPr>
            <w:tcW w:w="877" w:type="dxa"/>
            <w:noWrap/>
          </w:tcPr>
          <w:p w:rsidR="00251308" w:rsidRPr="00F77C82" w:rsidRDefault="00251308" w:rsidP="00743825">
            <w:pPr>
              <w:cnfStyle w:val="100000000000" w:firstRow="1" w:lastRow="0" w:firstColumn="0" w:lastColumn="0" w:oddVBand="0" w:evenVBand="0" w:oddHBand="0" w:evenHBand="0" w:firstRowFirstColumn="0" w:firstRowLastColumn="0" w:lastRowFirstColumn="0" w:lastRowLastColumn="0"/>
            </w:pPr>
            <w:r w:rsidRPr="00964F02">
              <w:t>2020–21</w:t>
            </w:r>
          </w:p>
        </w:tc>
        <w:tc>
          <w:tcPr>
            <w:tcW w:w="878" w:type="dxa"/>
          </w:tcPr>
          <w:p w:rsidR="00251308" w:rsidRPr="00F77C82" w:rsidRDefault="00251308" w:rsidP="00743825">
            <w:pPr>
              <w:cnfStyle w:val="100000000000" w:firstRow="1" w:lastRow="0" w:firstColumn="0" w:lastColumn="0" w:oddVBand="0" w:evenVBand="0" w:oddHBand="0" w:evenHBand="0" w:firstRowFirstColumn="0" w:firstRowLastColumn="0" w:lastRowFirstColumn="0" w:lastRowLastColumn="0"/>
            </w:pPr>
            <w:r w:rsidRPr="00964F02">
              <w:t>Total</w:t>
            </w:r>
          </w:p>
        </w:tc>
      </w:tr>
      <w:tr w:rsidR="00251308" w:rsidRPr="009603F9" w:rsidTr="00004CD1">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51308" w:rsidRPr="009603F9" w:rsidRDefault="00251308" w:rsidP="00743825">
            <w:r w:rsidRPr="009603F9">
              <w:t>Straight-line depreciation</w:t>
            </w:r>
          </w:p>
        </w:tc>
        <w:tc>
          <w:tcPr>
            <w:tcW w:w="877" w:type="dxa"/>
          </w:tcPr>
          <w:p w:rsidR="00251308" w:rsidRPr="00A575B0" w:rsidRDefault="002A5729" w:rsidP="00743825">
            <w:pPr>
              <w:cnfStyle w:val="000000000000" w:firstRow="0" w:lastRow="0" w:firstColumn="0" w:lastColumn="0" w:oddVBand="0" w:evenVBand="0" w:oddHBand="0" w:evenHBand="0" w:firstRowFirstColumn="0" w:firstRowLastColumn="0" w:lastRowFirstColumn="0" w:lastRowLastColumn="0"/>
            </w:pPr>
            <w:r>
              <w:t>12.3</w:t>
            </w:r>
          </w:p>
        </w:tc>
        <w:tc>
          <w:tcPr>
            <w:tcW w:w="877" w:type="dxa"/>
            <w:noWrap/>
          </w:tcPr>
          <w:p w:rsidR="00251308" w:rsidRPr="00A575B0" w:rsidRDefault="002A5729" w:rsidP="00743825">
            <w:pPr>
              <w:cnfStyle w:val="000000000000" w:firstRow="0" w:lastRow="0" w:firstColumn="0" w:lastColumn="0" w:oddVBand="0" w:evenVBand="0" w:oddHBand="0" w:evenHBand="0" w:firstRowFirstColumn="0" w:firstRowLastColumn="0" w:lastRowFirstColumn="0" w:lastRowLastColumn="0"/>
            </w:pPr>
            <w:r>
              <w:t>13.7</w:t>
            </w:r>
          </w:p>
        </w:tc>
        <w:tc>
          <w:tcPr>
            <w:tcW w:w="878" w:type="dxa"/>
            <w:noWrap/>
          </w:tcPr>
          <w:p w:rsidR="00251308" w:rsidRPr="005B4094" w:rsidRDefault="002A5729" w:rsidP="00743825">
            <w:pPr>
              <w:cnfStyle w:val="000000000000" w:firstRow="0" w:lastRow="0" w:firstColumn="0" w:lastColumn="0" w:oddVBand="0" w:evenVBand="0" w:oddHBand="0" w:evenHBand="0" w:firstRowFirstColumn="0" w:firstRowLastColumn="0" w:lastRowFirstColumn="0" w:lastRowLastColumn="0"/>
            </w:pPr>
            <w:r>
              <w:t>15.0</w:t>
            </w:r>
          </w:p>
        </w:tc>
        <w:tc>
          <w:tcPr>
            <w:tcW w:w="877" w:type="dxa"/>
            <w:noWrap/>
          </w:tcPr>
          <w:p w:rsidR="00251308" w:rsidRPr="005B4094" w:rsidRDefault="002A5729" w:rsidP="00743825">
            <w:pPr>
              <w:cnfStyle w:val="000000000000" w:firstRow="0" w:lastRow="0" w:firstColumn="0" w:lastColumn="0" w:oddVBand="0" w:evenVBand="0" w:oddHBand="0" w:evenHBand="0" w:firstRowFirstColumn="0" w:firstRowLastColumn="0" w:lastRowFirstColumn="0" w:lastRowLastColumn="0"/>
            </w:pPr>
            <w:r>
              <w:t>16.5</w:t>
            </w:r>
          </w:p>
        </w:tc>
        <w:tc>
          <w:tcPr>
            <w:tcW w:w="878" w:type="dxa"/>
            <w:noWrap/>
          </w:tcPr>
          <w:p w:rsidR="00251308" w:rsidRPr="00F77C82" w:rsidRDefault="002A5729" w:rsidP="00743825">
            <w:pPr>
              <w:cnfStyle w:val="000000000000" w:firstRow="0" w:lastRow="0" w:firstColumn="0" w:lastColumn="0" w:oddVBand="0" w:evenVBand="0" w:oddHBand="0" w:evenHBand="0" w:firstRowFirstColumn="0" w:firstRowLastColumn="0" w:lastRowFirstColumn="0" w:lastRowLastColumn="0"/>
            </w:pPr>
            <w:r>
              <w:t>18.1</w:t>
            </w:r>
          </w:p>
        </w:tc>
        <w:tc>
          <w:tcPr>
            <w:tcW w:w="877" w:type="dxa"/>
            <w:noWrap/>
          </w:tcPr>
          <w:p w:rsidR="00251308" w:rsidRPr="00F77C82" w:rsidRDefault="002A5729" w:rsidP="00743825">
            <w:pPr>
              <w:cnfStyle w:val="000000000000" w:firstRow="0" w:lastRow="0" w:firstColumn="0" w:lastColumn="0" w:oddVBand="0" w:evenVBand="0" w:oddHBand="0" w:evenHBand="0" w:firstRowFirstColumn="0" w:firstRowLastColumn="0" w:lastRowFirstColumn="0" w:lastRowLastColumn="0"/>
            </w:pPr>
            <w:r>
              <w:t>19.4</w:t>
            </w:r>
          </w:p>
        </w:tc>
        <w:tc>
          <w:tcPr>
            <w:tcW w:w="878" w:type="dxa"/>
          </w:tcPr>
          <w:p w:rsidR="00251308" w:rsidRPr="00F77C82" w:rsidRDefault="002A5729" w:rsidP="00743825">
            <w:pPr>
              <w:cnfStyle w:val="000000000000" w:firstRow="0" w:lastRow="0" w:firstColumn="0" w:lastColumn="0" w:oddVBand="0" w:evenVBand="0" w:oddHBand="0" w:evenHBand="0" w:firstRowFirstColumn="0" w:firstRowLastColumn="0" w:lastRowFirstColumn="0" w:lastRowLastColumn="0"/>
            </w:pPr>
            <w:r>
              <w:t>95.1</w:t>
            </w:r>
          </w:p>
        </w:tc>
      </w:tr>
      <w:tr w:rsidR="00251308" w:rsidRPr="009603F9" w:rsidTr="00004CD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51308" w:rsidRPr="009603F9" w:rsidRDefault="00251308" w:rsidP="00743825">
            <w:r w:rsidRPr="009603F9">
              <w:rPr>
                <w:rStyle w:val="AERtextitalic"/>
              </w:rPr>
              <w:t>Less:</w:t>
            </w:r>
            <w:r w:rsidRPr="00964F02">
              <w:rPr>
                <w:rStyle w:val="AERtextitalic"/>
                <w:rFonts w:eastAsiaTheme="minorHAnsi" w:cstheme="minorBidi"/>
                <w:sz w:val="22"/>
                <w:szCs w:val="22"/>
              </w:rPr>
              <w:t xml:space="preserve"> </w:t>
            </w:r>
            <w:r w:rsidRPr="009603F9">
              <w:t xml:space="preserve">indexation on capital base </w:t>
            </w:r>
          </w:p>
        </w:tc>
        <w:tc>
          <w:tcPr>
            <w:tcW w:w="877" w:type="dxa"/>
          </w:tcPr>
          <w:p w:rsidR="00251308" w:rsidRDefault="002A5729" w:rsidP="00743825">
            <w:pPr>
              <w:cnfStyle w:val="000000010000" w:firstRow="0" w:lastRow="0" w:firstColumn="0" w:lastColumn="0" w:oddVBand="0" w:evenVBand="0" w:oddHBand="0" w:evenHBand="1" w:firstRowFirstColumn="0" w:firstRowLastColumn="0" w:lastRowFirstColumn="0" w:lastRowLastColumn="0"/>
            </w:pPr>
            <w:r>
              <w:t>8.6</w:t>
            </w:r>
          </w:p>
        </w:tc>
        <w:tc>
          <w:tcPr>
            <w:tcW w:w="877" w:type="dxa"/>
            <w:noWrap/>
          </w:tcPr>
          <w:p w:rsidR="00251308" w:rsidRPr="00A575B0" w:rsidRDefault="002A5729" w:rsidP="00743825">
            <w:pPr>
              <w:cnfStyle w:val="000000010000" w:firstRow="0" w:lastRow="0" w:firstColumn="0" w:lastColumn="0" w:oddVBand="0" w:evenVBand="0" w:oddHBand="0" w:evenHBand="1" w:firstRowFirstColumn="0" w:firstRowLastColumn="0" w:lastRowFirstColumn="0" w:lastRowLastColumn="0"/>
            </w:pPr>
            <w:r>
              <w:t>9.4</w:t>
            </w:r>
          </w:p>
        </w:tc>
        <w:tc>
          <w:tcPr>
            <w:tcW w:w="878" w:type="dxa"/>
            <w:noWrap/>
          </w:tcPr>
          <w:p w:rsidR="00251308" w:rsidRPr="005B4094" w:rsidRDefault="002A5729" w:rsidP="00743825">
            <w:pPr>
              <w:cnfStyle w:val="000000010000" w:firstRow="0" w:lastRow="0" w:firstColumn="0" w:lastColumn="0" w:oddVBand="0" w:evenVBand="0" w:oddHBand="0" w:evenHBand="1" w:firstRowFirstColumn="0" w:firstRowLastColumn="0" w:lastRowFirstColumn="0" w:lastRowLastColumn="0"/>
            </w:pPr>
            <w:r>
              <w:t>9.9</w:t>
            </w:r>
          </w:p>
        </w:tc>
        <w:tc>
          <w:tcPr>
            <w:tcW w:w="877" w:type="dxa"/>
            <w:noWrap/>
          </w:tcPr>
          <w:p w:rsidR="00251308" w:rsidRPr="005B4094" w:rsidRDefault="002A5729" w:rsidP="00743825">
            <w:pPr>
              <w:cnfStyle w:val="000000010000" w:firstRow="0" w:lastRow="0" w:firstColumn="0" w:lastColumn="0" w:oddVBand="0" w:evenVBand="0" w:oddHBand="0" w:evenHBand="1" w:firstRowFirstColumn="0" w:firstRowLastColumn="0" w:lastRowFirstColumn="0" w:lastRowLastColumn="0"/>
            </w:pPr>
            <w:r>
              <w:t>10.5</w:t>
            </w:r>
          </w:p>
        </w:tc>
        <w:tc>
          <w:tcPr>
            <w:tcW w:w="878" w:type="dxa"/>
            <w:noWrap/>
          </w:tcPr>
          <w:p w:rsidR="00251308" w:rsidRPr="005B4094" w:rsidRDefault="002A5729" w:rsidP="00743825">
            <w:pPr>
              <w:cnfStyle w:val="000000010000" w:firstRow="0" w:lastRow="0" w:firstColumn="0" w:lastColumn="0" w:oddVBand="0" w:evenVBand="0" w:oddHBand="0" w:evenHBand="1" w:firstRowFirstColumn="0" w:firstRowLastColumn="0" w:lastRowFirstColumn="0" w:lastRowLastColumn="0"/>
            </w:pPr>
            <w:r>
              <w:t>11.1</w:t>
            </w:r>
          </w:p>
        </w:tc>
        <w:tc>
          <w:tcPr>
            <w:tcW w:w="877" w:type="dxa"/>
            <w:noWrap/>
          </w:tcPr>
          <w:p w:rsidR="00251308" w:rsidRPr="00F77C82" w:rsidRDefault="002A5729" w:rsidP="00743825">
            <w:pPr>
              <w:cnfStyle w:val="000000010000" w:firstRow="0" w:lastRow="0" w:firstColumn="0" w:lastColumn="0" w:oddVBand="0" w:evenVBand="0" w:oddHBand="0" w:evenHBand="1" w:firstRowFirstColumn="0" w:firstRowLastColumn="0" w:lastRowFirstColumn="0" w:lastRowLastColumn="0"/>
            </w:pPr>
            <w:r>
              <w:t>11.6</w:t>
            </w:r>
          </w:p>
        </w:tc>
        <w:tc>
          <w:tcPr>
            <w:tcW w:w="878" w:type="dxa"/>
          </w:tcPr>
          <w:p w:rsidR="00251308" w:rsidRPr="00F77C82" w:rsidRDefault="002A5729" w:rsidP="00743825">
            <w:pPr>
              <w:cnfStyle w:val="000000010000" w:firstRow="0" w:lastRow="0" w:firstColumn="0" w:lastColumn="0" w:oddVBand="0" w:evenVBand="0" w:oddHBand="0" w:evenHBand="1" w:firstRowFirstColumn="0" w:firstRowLastColumn="0" w:lastRowFirstColumn="0" w:lastRowLastColumn="0"/>
            </w:pPr>
            <w:r>
              <w:t>61.1</w:t>
            </w:r>
          </w:p>
        </w:tc>
      </w:tr>
      <w:tr w:rsidR="00251308" w:rsidRPr="00A575B0" w:rsidTr="00004CD1">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51308" w:rsidRPr="005B4094" w:rsidRDefault="00251308" w:rsidP="00743825">
            <w:pPr>
              <w:rPr>
                <w:rStyle w:val="Strong"/>
              </w:rPr>
            </w:pPr>
            <w:r w:rsidRPr="00A575B0">
              <w:rPr>
                <w:rStyle w:val="Strong"/>
              </w:rPr>
              <w:t>Regulatory depreciation</w:t>
            </w:r>
          </w:p>
        </w:tc>
        <w:tc>
          <w:tcPr>
            <w:tcW w:w="877" w:type="dxa"/>
          </w:tcPr>
          <w:p w:rsidR="00251308"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3.7</w:t>
            </w:r>
          </w:p>
        </w:tc>
        <w:tc>
          <w:tcPr>
            <w:tcW w:w="877" w:type="dxa"/>
            <w:noWrap/>
          </w:tcPr>
          <w:p w:rsidR="00251308" w:rsidRPr="005B4094"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4.3</w:t>
            </w:r>
          </w:p>
        </w:tc>
        <w:tc>
          <w:tcPr>
            <w:tcW w:w="878" w:type="dxa"/>
            <w:noWrap/>
          </w:tcPr>
          <w:p w:rsidR="00251308" w:rsidRPr="00964F02"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5.1</w:t>
            </w:r>
          </w:p>
        </w:tc>
        <w:tc>
          <w:tcPr>
            <w:tcW w:w="877" w:type="dxa"/>
            <w:noWrap/>
          </w:tcPr>
          <w:p w:rsidR="00251308" w:rsidRPr="00964F02"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6.0</w:t>
            </w:r>
          </w:p>
        </w:tc>
        <w:tc>
          <w:tcPr>
            <w:tcW w:w="878" w:type="dxa"/>
            <w:noWrap/>
          </w:tcPr>
          <w:p w:rsidR="00251308" w:rsidRPr="00964F02"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7.0</w:t>
            </w:r>
          </w:p>
        </w:tc>
        <w:tc>
          <w:tcPr>
            <w:tcW w:w="877" w:type="dxa"/>
            <w:noWrap/>
          </w:tcPr>
          <w:p w:rsidR="00251308" w:rsidRPr="00964F02"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7.9</w:t>
            </w:r>
          </w:p>
        </w:tc>
        <w:tc>
          <w:tcPr>
            <w:tcW w:w="878" w:type="dxa"/>
          </w:tcPr>
          <w:p w:rsidR="00251308" w:rsidRPr="00964F02" w:rsidRDefault="002A5729" w:rsidP="0074382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33.9</w:t>
            </w:r>
          </w:p>
        </w:tc>
      </w:tr>
    </w:tbl>
    <w:p w:rsidR="002D7525" w:rsidRDefault="002D7525" w:rsidP="002D7525">
      <w:pPr>
        <w:pStyle w:val="AERtablesource"/>
      </w:pPr>
      <w:r w:rsidRPr="00F56E79">
        <w:rPr>
          <w:rFonts w:eastAsia="Calibri"/>
        </w:rPr>
        <w:t xml:space="preserve">Source: </w:t>
      </w:r>
      <w:r w:rsidRPr="00F56E79">
        <w:rPr>
          <w:rFonts w:eastAsia="Calibri"/>
        </w:rPr>
        <w:tab/>
      </w:r>
      <w:r w:rsidR="00044CF7">
        <w:rPr>
          <w:rFonts w:eastAsia="Calibri"/>
        </w:rPr>
        <w:t>ActewAGL</w:t>
      </w:r>
      <w:r w:rsidRPr="001A2042">
        <w:t xml:space="preserve">, </w:t>
      </w:r>
      <w:r w:rsidR="00044CF7">
        <w:rPr>
          <w:rStyle w:val="AERtextitalic"/>
        </w:rPr>
        <w:t>Proposed PTRM</w:t>
      </w:r>
      <w:r w:rsidR="002A1446">
        <w:rPr>
          <w:rStyle w:val="AERtextitalic"/>
        </w:rPr>
        <w:t xml:space="preserve"> (alternative approach)</w:t>
      </w:r>
      <w:r w:rsidR="00044CF7">
        <w:rPr>
          <w:rStyle w:val="AERtextitalic"/>
        </w:rPr>
        <w:t xml:space="preserve">, </w:t>
      </w:r>
      <w:r w:rsidR="006940FC" w:rsidRPr="006940FC">
        <w:rPr>
          <w:rStyle w:val="AERtextitalic"/>
          <w:i w:val="0"/>
        </w:rPr>
        <w:t>June 2015.</w:t>
      </w:r>
    </w:p>
    <w:p w:rsidR="002D7525" w:rsidRPr="00D538E2" w:rsidRDefault="002D7525" w:rsidP="002D7525">
      <w:pPr>
        <w:pStyle w:val="AERtablesource"/>
      </w:pPr>
      <w:r w:rsidRPr="001776AC">
        <w:t>N</w:t>
      </w:r>
      <w:r w:rsidRPr="00D538E2">
        <w:t xml:space="preserve">ote: </w:t>
      </w:r>
      <w:r w:rsidRPr="00D538E2">
        <w:tab/>
        <w:t>Numbers may not add due to rounding differences.</w:t>
      </w:r>
    </w:p>
    <w:p w:rsidR="002D7525" w:rsidRDefault="002D7525" w:rsidP="00D61E1D">
      <w:pPr>
        <w:pStyle w:val="Caption"/>
      </w:pPr>
      <w:bookmarkStart w:id="16" w:name="_Ref398276644"/>
      <w:bookmarkStart w:id="17" w:name="_Ref404704623"/>
      <w:r>
        <w:t xml:space="preserve">Table </w:t>
      </w:r>
      <w:r w:rsidR="006367CD">
        <w:fldChar w:fldCharType="begin"/>
      </w:r>
      <w:r w:rsidR="006367CD">
        <w:instrText xml:space="preserve"> STYLEREF 1 \s </w:instrText>
      </w:r>
      <w:r w:rsidR="006367CD">
        <w:fldChar w:fldCharType="separate"/>
      </w:r>
      <w:r w:rsidR="00F81198">
        <w:rPr>
          <w:noProof/>
        </w:rPr>
        <w:t>5</w:t>
      </w:r>
      <w:r w:rsidR="006367CD">
        <w:rPr>
          <w:noProof/>
        </w:rPr>
        <w:fldChar w:fldCharType="end"/>
      </w:r>
      <w:r w:rsidR="00D61E1D">
        <w:t>.</w:t>
      </w:r>
      <w:r w:rsidR="0035420C">
        <w:fldChar w:fldCharType="begin"/>
      </w:r>
      <w:r w:rsidR="0035420C">
        <w:instrText xml:space="preserve"> SEQ Table \* ARABIC \s 1 </w:instrText>
      </w:r>
      <w:r w:rsidR="0035420C">
        <w:fldChar w:fldCharType="separate"/>
      </w:r>
      <w:r w:rsidR="00F81198">
        <w:rPr>
          <w:noProof/>
        </w:rPr>
        <w:t>3</w:t>
      </w:r>
      <w:r w:rsidR="0035420C">
        <w:rPr>
          <w:noProof/>
        </w:rPr>
        <w:fldChar w:fldCharType="end"/>
      </w:r>
      <w:bookmarkEnd w:id="16"/>
      <w:bookmarkEnd w:id="17"/>
      <w:r w:rsidR="003F5EF5">
        <w:tab/>
        <w:t>ActewAGL</w:t>
      </w:r>
      <w:r w:rsidR="004D2C60">
        <w:t>’</w:t>
      </w:r>
      <w:r>
        <w:t>s proposed standard asset lives and remaining asset lives at 1 July 201</w:t>
      </w:r>
      <w:r w:rsidR="003E4C63">
        <w:t>5</w:t>
      </w:r>
      <w:r>
        <w:t xml:space="preserve"> (years)</w:t>
      </w:r>
    </w:p>
    <w:tbl>
      <w:tblPr>
        <w:tblStyle w:val="AERtable-numbers"/>
        <w:tblW w:w="8680" w:type="dxa"/>
        <w:tblLayout w:type="fixed"/>
        <w:tblLook w:val="04A0" w:firstRow="1" w:lastRow="0" w:firstColumn="1" w:lastColumn="0" w:noHBand="0" w:noVBand="1"/>
      </w:tblPr>
      <w:tblGrid>
        <w:gridCol w:w="4042"/>
        <w:gridCol w:w="2249"/>
        <w:gridCol w:w="2389"/>
      </w:tblGrid>
      <w:tr w:rsidR="002D7525" w:rsidRPr="00FA750D" w:rsidTr="003A732F">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4042" w:type="dxa"/>
            <w:noWrap/>
            <w:hideMark/>
          </w:tcPr>
          <w:p w:rsidR="002D7525" w:rsidRPr="00FA750D" w:rsidRDefault="002D7525" w:rsidP="00743825"/>
        </w:tc>
        <w:tc>
          <w:tcPr>
            <w:tcW w:w="2249" w:type="dxa"/>
          </w:tcPr>
          <w:p w:rsidR="002D7525" w:rsidRPr="00FA750D" w:rsidRDefault="002D7525" w:rsidP="00743825">
            <w:pPr>
              <w:cnfStyle w:val="100000000000" w:firstRow="1" w:lastRow="0" w:firstColumn="0" w:lastColumn="0" w:oddVBand="0" w:evenVBand="0" w:oddHBand="0" w:evenHBand="0" w:firstRowFirstColumn="0" w:firstRowLastColumn="0" w:lastRowFirstColumn="0" w:lastRowLastColumn="0"/>
            </w:pPr>
            <w:r w:rsidRPr="00FA750D">
              <w:t xml:space="preserve">Standard asset life </w:t>
            </w:r>
          </w:p>
        </w:tc>
        <w:tc>
          <w:tcPr>
            <w:tcW w:w="2389" w:type="dxa"/>
          </w:tcPr>
          <w:p w:rsidR="002D7525" w:rsidRPr="00847659" w:rsidRDefault="002D7525" w:rsidP="00743825">
            <w:pPr>
              <w:cnfStyle w:val="100000000000" w:firstRow="1" w:lastRow="0" w:firstColumn="0" w:lastColumn="0" w:oddVBand="0" w:evenVBand="0" w:oddHBand="0" w:evenHBand="0" w:firstRowFirstColumn="0" w:firstRowLastColumn="0" w:lastRowFirstColumn="0" w:lastRowLastColumn="0"/>
            </w:pPr>
            <w:r w:rsidRPr="00847659">
              <w:t>Remaining asset life</w:t>
            </w:r>
          </w:p>
        </w:tc>
      </w:tr>
      <w:tr w:rsidR="00E34933" w:rsidRPr="00FA750D" w:rsidTr="003A732F">
        <w:trPr>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D776C6" w:rsidP="00B05B18">
            <w:bookmarkStart w:id="18" w:name="RANGE!G7"/>
            <w:r>
              <w:t>HP m</w:t>
            </w:r>
            <w:r w:rsidR="00E34933" w:rsidRPr="00B05B18">
              <w:t>ains</w:t>
            </w:r>
            <w:bookmarkEnd w:id="18"/>
          </w:p>
        </w:tc>
        <w:tc>
          <w:tcPr>
            <w:tcW w:w="2249" w:type="dxa"/>
            <w:vAlign w:val="bottom"/>
          </w:tcPr>
          <w:p w:rsidR="00E34933" w:rsidRPr="00B05B18" w:rsidRDefault="00E34933"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bookmarkStart w:id="19" w:name="RANGE!M7"/>
            <w:r w:rsidRPr="00B05B18">
              <w:rPr>
                <w:sz w:val="16"/>
                <w:szCs w:val="16"/>
              </w:rPr>
              <w:t>80</w:t>
            </w:r>
            <w:bookmarkEnd w:id="19"/>
          </w:p>
        </w:tc>
        <w:tc>
          <w:tcPr>
            <w:tcW w:w="2389" w:type="dxa"/>
            <w:vAlign w:val="bottom"/>
          </w:tcPr>
          <w:p w:rsidR="00E34933" w:rsidRPr="00E34933" w:rsidRDefault="00E34933">
            <w:pPr>
              <w:cnfStyle w:val="000000000000" w:firstRow="0" w:lastRow="0" w:firstColumn="0" w:lastColumn="0" w:oddVBand="0" w:evenVBand="0" w:oddHBand="0" w:evenHBand="0" w:firstRowFirstColumn="0" w:firstRowLastColumn="0" w:lastRowFirstColumn="0" w:lastRowLastColumn="0"/>
              <w:rPr>
                <w:rFonts w:cs="Arial"/>
                <w:szCs w:val="16"/>
              </w:rPr>
            </w:pPr>
            <w:bookmarkStart w:id="20" w:name="RANGE!L7"/>
            <w:r w:rsidRPr="00E34933">
              <w:rPr>
                <w:rFonts w:cs="Arial"/>
                <w:szCs w:val="16"/>
              </w:rPr>
              <w:t>64.1</w:t>
            </w:r>
            <w:bookmarkEnd w:id="20"/>
          </w:p>
        </w:tc>
      </w:tr>
      <w:tr w:rsidR="00E34933" w:rsidRPr="00FA750D" w:rsidTr="003A732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D776C6" w:rsidP="00B05B18">
            <w:bookmarkStart w:id="21" w:name="RANGE!G8"/>
            <w:r>
              <w:t>HP s</w:t>
            </w:r>
            <w:r w:rsidR="00E34933" w:rsidRPr="00B05B18">
              <w:t>ervices</w:t>
            </w:r>
            <w:bookmarkEnd w:id="21"/>
          </w:p>
        </w:tc>
        <w:tc>
          <w:tcPr>
            <w:tcW w:w="2249" w:type="dxa"/>
            <w:vAlign w:val="bottom"/>
          </w:tcPr>
          <w:p w:rsidR="00E34933" w:rsidRPr="00B05B18" w:rsidRDefault="00E34933" w:rsidP="00B05B18">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bookmarkStart w:id="22" w:name="RANGE!M8"/>
            <w:r w:rsidRPr="00B05B18">
              <w:rPr>
                <w:sz w:val="16"/>
                <w:szCs w:val="16"/>
              </w:rPr>
              <w:t>50</w:t>
            </w:r>
            <w:bookmarkEnd w:id="22"/>
          </w:p>
        </w:tc>
        <w:tc>
          <w:tcPr>
            <w:tcW w:w="2389" w:type="dxa"/>
            <w:vAlign w:val="bottom"/>
          </w:tcPr>
          <w:p w:rsidR="00E34933" w:rsidRPr="00E34933" w:rsidRDefault="00E34933">
            <w:pPr>
              <w:cnfStyle w:val="000000010000" w:firstRow="0" w:lastRow="0" w:firstColumn="0" w:lastColumn="0" w:oddVBand="0" w:evenVBand="0" w:oddHBand="0" w:evenHBand="1" w:firstRowFirstColumn="0" w:firstRowLastColumn="0" w:lastRowFirstColumn="0" w:lastRowLastColumn="0"/>
              <w:rPr>
                <w:rFonts w:cs="Arial"/>
                <w:szCs w:val="16"/>
              </w:rPr>
            </w:pPr>
            <w:bookmarkStart w:id="23" w:name="RANGE!L8"/>
            <w:r w:rsidRPr="00E34933">
              <w:rPr>
                <w:rFonts w:cs="Arial"/>
                <w:szCs w:val="16"/>
              </w:rPr>
              <w:t>27.5</w:t>
            </w:r>
            <w:bookmarkEnd w:id="23"/>
          </w:p>
        </w:tc>
      </w:tr>
      <w:tr w:rsidR="00E34933" w:rsidRPr="00FA750D" w:rsidTr="003A732F">
        <w:trPr>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D776C6" w:rsidP="00B05B18">
            <w:bookmarkStart w:id="24" w:name="RANGE!G9"/>
            <w:r>
              <w:t>MP m</w:t>
            </w:r>
            <w:r w:rsidR="00E34933" w:rsidRPr="00B05B18">
              <w:t>ains</w:t>
            </w:r>
            <w:bookmarkEnd w:id="24"/>
          </w:p>
        </w:tc>
        <w:tc>
          <w:tcPr>
            <w:tcW w:w="2249" w:type="dxa"/>
            <w:vAlign w:val="bottom"/>
          </w:tcPr>
          <w:p w:rsidR="00E34933" w:rsidRPr="00B05B18" w:rsidRDefault="00E34933"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bookmarkStart w:id="25" w:name="RANGE!M9"/>
            <w:r w:rsidRPr="00B05B18">
              <w:rPr>
                <w:sz w:val="16"/>
                <w:szCs w:val="16"/>
              </w:rPr>
              <w:t>50</w:t>
            </w:r>
            <w:bookmarkEnd w:id="25"/>
          </w:p>
        </w:tc>
        <w:tc>
          <w:tcPr>
            <w:tcW w:w="2389" w:type="dxa"/>
            <w:vAlign w:val="bottom"/>
          </w:tcPr>
          <w:p w:rsidR="00E34933" w:rsidRPr="00E34933" w:rsidRDefault="00E34933">
            <w:pPr>
              <w:cnfStyle w:val="000000000000" w:firstRow="0" w:lastRow="0" w:firstColumn="0" w:lastColumn="0" w:oddVBand="0" w:evenVBand="0" w:oddHBand="0" w:evenHBand="0" w:firstRowFirstColumn="0" w:firstRowLastColumn="0" w:lastRowFirstColumn="0" w:lastRowLastColumn="0"/>
              <w:rPr>
                <w:rFonts w:cs="Arial"/>
                <w:szCs w:val="16"/>
              </w:rPr>
            </w:pPr>
            <w:bookmarkStart w:id="26" w:name="RANGE!L9"/>
            <w:r w:rsidRPr="00E34933">
              <w:rPr>
                <w:rFonts w:cs="Arial"/>
                <w:szCs w:val="16"/>
              </w:rPr>
              <w:t>27.4</w:t>
            </w:r>
            <w:bookmarkEnd w:id="26"/>
          </w:p>
        </w:tc>
      </w:tr>
      <w:tr w:rsidR="00E34933" w:rsidRPr="00FA750D" w:rsidTr="003A732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D776C6" w:rsidP="00B05B18">
            <w:bookmarkStart w:id="27" w:name="RANGE!G10"/>
            <w:r>
              <w:t>MP s</w:t>
            </w:r>
            <w:r w:rsidR="00E34933" w:rsidRPr="00B05B18">
              <w:t>ervices</w:t>
            </w:r>
            <w:bookmarkEnd w:id="27"/>
          </w:p>
        </w:tc>
        <w:tc>
          <w:tcPr>
            <w:tcW w:w="2249" w:type="dxa"/>
            <w:vAlign w:val="bottom"/>
          </w:tcPr>
          <w:p w:rsidR="00E34933" w:rsidRPr="00B05B18" w:rsidRDefault="00E34933" w:rsidP="00B05B18">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bookmarkStart w:id="28" w:name="RANGE!M10"/>
            <w:r w:rsidRPr="00B05B18">
              <w:rPr>
                <w:sz w:val="16"/>
                <w:szCs w:val="16"/>
              </w:rPr>
              <w:t>50</w:t>
            </w:r>
            <w:bookmarkEnd w:id="28"/>
          </w:p>
        </w:tc>
        <w:tc>
          <w:tcPr>
            <w:tcW w:w="2389" w:type="dxa"/>
            <w:vAlign w:val="bottom"/>
          </w:tcPr>
          <w:p w:rsidR="00E34933" w:rsidRPr="00E34933" w:rsidRDefault="00E34933">
            <w:pPr>
              <w:cnfStyle w:val="000000010000" w:firstRow="0" w:lastRow="0" w:firstColumn="0" w:lastColumn="0" w:oddVBand="0" w:evenVBand="0" w:oddHBand="0" w:evenHBand="1" w:firstRowFirstColumn="0" w:firstRowLastColumn="0" w:lastRowFirstColumn="0" w:lastRowLastColumn="0"/>
              <w:rPr>
                <w:rFonts w:cs="Arial"/>
                <w:szCs w:val="16"/>
              </w:rPr>
            </w:pPr>
            <w:bookmarkStart w:id="29" w:name="RANGE!L10"/>
            <w:r w:rsidRPr="00E34933">
              <w:rPr>
                <w:rFonts w:cs="Arial"/>
                <w:szCs w:val="16"/>
              </w:rPr>
              <w:t>37.5</w:t>
            </w:r>
            <w:bookmarkEnd w:id="29"/>
          </w:p>
        </w:tc>
      </w:tr>
      <w:tr w:rsidR="00E34933" w:rsidRPr="00FA750D" w:rsidTr="003A732F">
        <w:trPr>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D776C6" w:rsidP="00B05B18">
            <w:bookmarkStart w:id="30" w:name="RANGE!G11"/>
            <w:r>
              <w:t xml:space="preserve">TRS &amp; DRS </w:t>
            </w:r>
            <w:r w:rsidR="00953824">
              <w:t xml:space="preserve">— </w:t>
            </w:r>
            <w:r>
              <w:t>valves &amp; r</w:t>
            </w:r>
            <w:r w:rsidR="00E34933" w:rsidRPr="00B05B18">
              <w:t>egulators</w:t>
            </w:r>
            <w:bookmarkEnd w:id="30"/>
          </w:p>
        </w:tc>
        <w:tc>
          <w:tcPr>
            <w:tcW w:w="2249" w:type="dxa"/>
            <w:vAlign w:val="bottom"/>
          </w:tcPr>
          <w:p w:rsidR="00E34933" w:rsidRPr="00B05B18" w:rsidRDefault="00E34933"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bookmarkStart w:id="31" w:name="RANGE!M11"/>
            <w:r w:rsidRPr="00B05B18">
              <w:rPr>
                <w:sz w:val="16"/>
                <w:szCs w:val="16"/>
              </w:rPr>
              <w:t>15</w:t>
            </w:r>
            <w:bookmarkEnd w:id="31"/>
          </w:p>
        </w:tc>
        <w:tc>
          <w:tcPr>
            <w:tcW w:w="2389" w:type="dxa"/>
            <w:vAlign w:val="bottom"/>
          </w:tcPr>
          <w:p w:rsidR="00E34933" w:rsidRPr="00E34933" w:rsidRDefault="00E34933">
            <w:pPr>
              <w:cnfStyle w:val="000000000000" w:firstRow="0" w:lastRow="0" w:firstColumn="0" w:lastColumn="0" w:oddVBand="0" w:evenVBand="0" w:oddHBand="0" w:evenHBand="0" w:firstRowFirstColumn="0" w:firstRowLastColumn="0" w:lastRowFirstColumn="0" w:lastRowLastColumn="0"/>
              <w:rPr>
                <w:rFonts w:cs="Arial"/>
                <w:szCs w:val="16"/>
              </w:rPr>
            </w:pPr>
            <w:bookmarkStart w:id="32" w:name="RANGE!L11"/>
            <w:r w:rsidRPr="00E34933">
              <w:rPr>
                <w:rFonts w:cs="Arial"/>
                <w:szCs w:val="16"/>
              </w:rPr>
              <w:t>11.6</w:t>
            </w:r>
            <w:bookmarkEnd w:id="32"/>
          </w:p>
        </w:tc>
      </w:tr>
      <w:tr w:rsidR="00E34933" w:rsidRPr="00FA750D" w:rsidTr="003A732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E34933" w:rsidP="00B05B18">
            <w:bookmarkStart w:id="33" w:name="RANGE!G12"/>
            <w:r w:rsidRPr="00B05B18">
              <w:t>Contract meters</w:t>
            </w:r>
            <w:bookmarkEnd w:id="33"/>
          </w:p>
        </w:tc>
        <w:tc>
          <w:tcPr>
            <w:tcW w:w="2249" w:type="dxa"/>
            <w:vAlign w:val="bottom"/>
          </w:tcPr>
          <w:p w:rsidR="00E34933" w:rsidRPr="00B05B18" w:rsidRDefault="00E34933" w:rsidP="00B05B18">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bookmarkStart w:id="34" w:name="RANGE!M12"/>
            <w:r w:rsidRPr="00B05B18">
              <w:rPr>
                <w:sz w:val="16"/>
                <w:szCs w:val="16"/>
              </w:rPr>
              <w:t>15</w:t>
            </w:r>
            <w:bookmarkEnd w:id="34"/>
          </w:p>
        </w:tc>
        <w:tc>
          <w:tcPr>
            <w:tcW w:w="2389" w:type="dxa"/>
            <w:vAlign w:val="bottom"/>
          </w:tcPr>
          <w:p w:rsidR="00E34933" w:rsidRPr="00E34933" w:rsidRDefault="00E34933">
            <w:pPr>
              <w:cnfStyle w:val="000000010000" w:firstRow="0" w:lastRow="0" w:firstColumn="0" w:lastColumn="0" w:oddVBand="0" w:evenVBand="0" w:oddHBand="0" w:evenHBand="1" w:firstRowFirstColumn="0" w:firstRowLastColumn="0" w:lastRowFirstColumn="0" w:lastRowLastColumn="0"/>
              <w:rPr>
                <w:rFonts w:cs="Arial"/>
                <w:szCs w:val="16"/>
              </w:rPr>
            </w:pPr>
            <w:bookmarkStart w:id="35" w:name="RANGE!L12"/>
            <w:r w:rsidRPr="00E34933">
              <w:rPr>
                <w:rFonts w:cs="Arial"/>
                <w:szCs w:val="16"/>
              </w:rPr>
              <w:t>12.8</w:t>
            </w:r>
            <w:bookmarkEnd w:id="35"/>
          </w:p>
        </w:tc>
      </w:tr>
      <w:tr w:rsidR="00E34933" w:rsidRPr="00FA750D" w:rsidTr="003A732F">
        <w:trPr>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E34933" w:rsidP="00B05B18">
            <w:bookmarkStart w:id="36" w:name="RANGE!G13"/>
            <w:r w:rsidRPr="00B05B18">
              <w:t>Tariff meters</w:t>
            </w:r>
            <w:bookmarkEnd w:id="36"/>
          </w:p>
        </w:tc>
        <w:tc>
          <w:tcPr>
            <w:tcW w:w="2249" w:type="dxa"/>
            <w:vAlign w:val="bottom"/>
          </w:tcPr>
          <w:p w:rsidR="00E34933" w:rsidRPr="00B05B18" w:rsidRDefault="00E34933"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bookmarkStart w:id="37" w:name="RANGE!M13"/>
            <w:r w:rsidRPr="00B05B18">
              <w:rPr>
                <w:sz w:val="16"/>
                <w:szCs w:val="16"/>
              </w:rPr>
              <w:t>15</w:t>
            </w:r>
            <w:bookmarkEnd w:id="37"/>
          </w:p>
        </w:tc>
        <w:tc>
          <w:tcPr>
            <w:tcW w:w="2389" w:type="dxa"/>
            <w:vAlign w:val="bottom"/>
          </w:tcPr>
          <w:p w:rsidR="00E34933" w:rsidRPr="00E34933" w:rsidRDefault="00E34933">
            <w:pPr>
              <w:cnfStyle w:val="000000000000" w:firstRow="0" w:lastRow="0" w:firstColumn="0" w:lastColumn="0" w:oddVBand="0" w:evenVBand="0" w:oddHBand="0" w:evenHBand="0" w:firstRowFirstColumn="0" w:firstRowLastColumn="0" w:lastRowFirstColumn="0" w:lastRowLastColumn="0"/>
              <w:rPr>
                <w:rFonts w:cs="Arial"/>
                <w:szCs w:val="16"/>
              </w:rPr>
            </w:pPr>
            <w:bookmarkStart w:id="38" w:name="RANGE!L13"/>
            <w:r w:rsidRPr="00E34933">
              <w:rPr>
                <w:rFonts w:cs="Arial"/>
                <w:szCs w:val="16"/>
              </w:rPr>
              <w:t>11.0</w:t>
            </w:r>
            <w:bookmarkEnd w:id="38"/>
          </w:p>
        </w:tc>
      </w:tr>
      <w:tr w:rsidR="00E34933" w:rsidRPr="00FA750D" w:rsidTr="003A732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E34933" w:rsidRPr="00B05B18" w:rsidRDefault="00E34933" w:rsidP="00B05B18">
            <w:bookmarkStart w:id="39" w:name="RANGE!G14"/>
            <w:r w:rsidRPr="00B05B18">
              <w:t>Regulatory costs</w:t>
            </w:r>
            <w:bookmarkEnd w:id="39"/>
          </w:p>
        </w:tc>
        <w:tc>
          <w:tcPr>
            <w:tcW w:w="2249" w:type="dxa"/>
            <w:vAlign w:val="bottom"/>
          </w:tcPr>
          <w:p w:rsidR="00E34933" w:rsidRPr="00B05B18" w:rsidRDefault="00E34933" w:rsidP="00B05B18">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bookmarkStart w:id="40" w:name="RANGE!M14"/>
            <w:r w:rsidRPr="00B05B18">
              <w:rPr>
                <w:sz w:val="16"/>
                <w:szCs w:val="16"/>
              </w:rPr>
              <w:t>5</w:t>
            </w:r>
            <w:bookmarkEnd w:id="40"/>
          </w:p>
        </w:tc>
        <w:tc>
          <w:tcPr>
            <w:tcW w:w="2389" w:type="dxa"/>
            <w:vAlign w:val="bottom"/>
          </w:tcPr>
          <w:p w:rsidR="00E34933" w:rsidRPr="00E34933" w:rsidRDefault="00E34933">
            <w:pPr>
              <w:cnfStyle w:val="000000010000" w:firstRow="0" w:lastRow="0" w:firstColumn="0" w:lastColumn="0" w:oddVBand="0" w:evenVBand="0" w:oddHBand="0" w:evenHBand="1" w:firstRowFirstColumn="0" w:firstRowLastColumn="0" w:lastRowFirstColumn="0" w:lastRowLastColumn="0"/>
              <w:rPr>
                <w:rFonts w:cs="Arial"/>
                <w:szCs w:val="16"/>
              </w:rPr>
            </w:pPr>
            <w:bookmarkStart w:id="41" w:name="RANGE!L14"/>
            <w:r w:rsidRPr="00E34933">
              <w:rPr>
                <w:rFonts w:cs="Arial"/>
                <w:szCs w:val="16"/>
              </w:rPr>
              <w:t>1.0</w:t>
            </w:r>
            <w:bookmarkEnd w:id="41"/>
          </w:p>
        </w:tc>
      </w:tr>
      <w:tr w:rsidR="003F5EF5" w:rsidRPr="00FA750D" w:rsidTr="003A732F">
        <w:trPr>
          <w:trHeight w:val="289"/>
        </w:trPr>
        <w:tc>
          <w:tcPr>
            <w:cnfStyle w:val="001000000000" w:firstRow="0" w:lastRow="0" w:firstColumn="1" w:lastColumn="0" w:oddVBand="0" w:evenVBand="0" w:oddHBand="0" w:evenHBand="0" w:firstRowFirstColumn="0" w:firstRowLastColumn="0" w:lastRowFirstColumn="0" w:lastRowLastColumn="0"/>
            <w:tcW w:w="4042" w:type="dxa"/>
            <w:noWrap/>
            <w:vAlign w:val="bottom"/>
          </w:tcPr>
          <w:p w:rsidR="003F5EF5" w:rsidRPr="00B05B18" w:rsidRDefault="00D776C6" w:rsidP="00B05B18">
            <w:bookmarkStart w:id="42" w:name="RANGE!G15"/>
            <w:r>
              <w:t>IT s</w:t>
            </w:r>
            <w:r w:rsidR="003F5EF5" w:rsidRPr="00B05B18">
              <w:t>ystem</w:t>
            </w:r>
            <w:bookmarkEnd w:id="42"/>
          </w:p>
        </w:tc>
        <w:tc>
          <w:tcPr>
            <w:tcW w:w="2249" w:type="dxa"/>
            <w:vAlign w:val="bottom"/>
          </w:tcPr>
          <w:p w:rsidR="003F5EF5" w:rsidRPr="00B05B18" w:rsidRDefault="003F5EF5"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bookmarkStart w:id="43" w:name="RANGE!M15"/>
            <w:r w:rsidRPr="00B05B18">
              <w:rPr>
                <w:sz w:val="16"/>
                <w:szCs w:val="16"/>
              </w:rPr>
              <w:t>5</w:t>
            </w:r>
            <w:bookmarkEnd w:id="43"/>
          </w:p>
        </w:tc>
        <w:tc>
          <w:tcPr>
            <w:tcW w:w="2389" w:type="dxa"/>
            <w:vAlign w:val="bottom"/>
          </w:tcPr>
          <w:p w:rsidR="003F5EF5" w:rsidRPr="00E34933" w:rsidRDefault="00E34933" w:rsidP="00B05B18">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E34933">
              <w:rPr>
                <w:sz w:val="16"/>
                <w:szCs w:val="16"/>
              </w:rPr>
              <w:t>5.4</w:t>
            </w:r>
          </w:p>
        </w:tc>
      </w:tr>
    </w:tbl>
    <w:p w:rsidR="002D7525" w:rsidRDefault="002D7525" w:rsidP="002D7525">
      <w:pPr>
        <w:pStyle w:val="AERtablesource"/>
        <w:rPr>
          <w:rFonts w:eastAsia="Calibri"/>
        </w:rPr>
      </w:pPr>
      <w:r>
        <w:rPr>
          <w:rFonts w:eastAsia="Calibri"/>
        </w:rPr>
        <w:t>S</w:t>
      </w:r>
      <w:r w:rsidRPr="00620397">
        <w:rPr>
          <w:rFonts w:eastAsia="Calibri"/>
        </w:rPr>
        <w:t xml:space="preserve">ource: </w:t>
      </w:r>
      <w:r w:rsidRPr="00620397">
        <w:rPr>
          <w:rFonts w:eastAsia="Calibri"/>
        </w:rPr>
        <w:tab/>
      </w:r>
      <w:r w:rsidR="002A1446">
        <w:rPr>
          <w:rFonts w:eastAsia="Calibri"/>
        </w:rPr>
        <w:t>ActewAGL</w:t>
      </w:r>
      <w:r w:rsidR="002A1446" w:rsidRPr="001A2042">
        <w:t xml:space="preserve">, </w:t>
      </w:r>
      <w:r w:rsidR="002A1446">
        <w:rPr>
          <w:rStyle w:val="AERtextitalic"/>
        </w:rPr>
        <w:t>Proposed PTRM</w:t>
      </w:r>
      <w:r w:rsidR="00A82E64">
        <w:rPr>
          <w:rStyle w:val="AERtextitalic"/>
        </w:rPr>
        <w:t xml:space="preserve"> (alternative approach)</w:t>
      </w:r>
      <w:r w:rsidR="002A1446">
        <w:rPr>
          <w:rStyle w:val="AERtextitalic"/>
        </w:rPr>
        <w:t xml:space="preserve">, </w:t>
      </w:r>
      <w:r w:rsidR="002A1446" w:rsidRPr="006940FC">
        <w:rPr>
          <w:rStyle w:val="AERtextitalic"/>
          <w:i w:val="0"/>
        </w:rPr>
        <w:t>June 2015.</w:t>
      </w:r>
    </w:p>
    <w:p w:rsidR="009A5113" w:rsidRDefault="009A5113" w:rsidP="009A5113">
      <w:pPr>
        <w:pStyle w:val="Heading2"/>
      </w:pPr>
      <w:bookmarkStart w:id="44" w:name="_Toc408404322"/>
      <w:bookmarkStart w:id="45" w:name="_Ref429991037"/>
      <w:bookmarkStart w:id="46" w:name="_Toc436041917"/>
      <w:r w:rsidRPr="0074565D">
        <w:t>AER’s assessment approach</w:t>
      </w:r>
      <w:bookmarkEnd w:id="44"/>
      <w:bookmarkEnd w:id="45"/>
      <w:bookmarkEnd w:id="46"/>
    </w:p>
    <w:p w:rsidR="003A6682" w:rsidRDefault="002D7525" w:rsidP="002D7525">
      <w:r w:rsidRPr="00471C48">
        <w:t xml:space="preserve">In its access arrangement proposal, </w:t>
      </w:r>
      <w:r w:rsidR="006C5960">
        <w:t>ActewAGL</w:t>
      </w:r>
      <w:r w:rsidRPr="00471C48">
        <w:t xml:space="preserve"> must provide a forecast of depreciation for the </w:t>
      </w:r>
      <w:r>
        <w:t>2016–21</w:t>
      </w:r>
      <w:r w:rsidRPr="00471C48">
        <w:t xml:space="preserve"> access arrangement period, including a demonstration of how the </w:t>
      </w:r>
      <w:r w:rsidRPr="00471C48">
        <w:lastRenderedPageBreak/>
        <w:t>forecast is derived on the basis of the proposed depreciation method.</w:t>
      </w:r>
      <w:r w:rsidRPr="00471C48">
        <w:rPr>
          <w:rStyle w:val="FootnoteReference"/>
        </w:rPr>
        <w:footnoteReference w:id="9"/>
      </w:r>
      <w:r w:rsidRPr="00471C48">
        <w:t xml:space="preserve"> </w:t>
      </w:r>
      <w:r w:rsidR="003A732F">
        <w:t>As discussed in the overview, we decide</w:t>
      </w:r>
      <w:r w:rsidR="00D301CB">
        <w:t>d</w:t>
      </w:r>
      <w:r w:rsidR="003A732F">
        <w:t xml:space="preserve"> to apply a </w:t>
      </w:r>
      <w:r w:rsidR="001057C0">
        <w:t>reconciliation of</w:t>
      </w:r>
      <w:r w:rsidR="003A732F">
        <w:t xml:space="preserve"> ActewAGL’s 2015–16 revenue. Consequently, we must also determine a regulatory depreciation allowance for 2015–16. </w:t>
      </w:r>
      <w:r w:rsidR="00E32020">
        <w:t xml:space="preserve">ActewAGL has </w:t>
      </w:r>
      <w:r w:rsidR="004A0E18">
        <w:t>included in its proposal</w:t>
      </w:r>
      <w:r w:rsidR="00E32020">
        <w:t xml:space="preserve"> a PTRM </w:t>
      </w:r>
      <w:r w:rsidR="004A0E18">
        <w:t xml:space="preserve">containing its proposed approach </w:t>
      </w:r>
      <w:r w:rsidR="00E32020">
        <w:t xml:space="preserve">for </w:t>
      </w:r>
      <w:r w:rsidR="001057C0">
        <w:t xml:space="preserve">the reconciliation of revenue for </w:t>
      </w:r>
      <w:r w:rsidR="00AC4FB3">
        <w:t xml:space="preserve">the </w:t>
      </w:r>
      <w:r w:rsidR="004A0E18">
        <w:t xml:space="preserve">2015–16 </w:t>
      </w:r>
      <w:r w:rsidR="001057C0">
        <w:t>interval of delay</w:t>
      </w:r>
      <w:r w:rsidR="004A0E18">
        <w:t>,</w:t>
      </w:r>
      <w:r w:rsidR="00E32020">
        <w:t xml:space="preserve"> which set</w:t>
      </w:r>
      <w:r w:rsidR="004A0E18">
        <w:t>s</w:t>
      </w:r>
      <w:r w:rsidR="00E32020">
        <w:t xml:space="preserve"> out the depreciation values and method for 2015–16 and the 2016–21 access arrangement period. </w:t>
      </w:r>
      <w:r w:rsidR="003A6682">
        <w:t xml:space="preserve">We </w:t>
      </w:r>
      <w:r w:rsidR="004A0E18">
        <w:t xml:space="preserve">are satisfied with the proposed approach and have </w:t>
      </w:r>
      <w:r w:rsidR="003A6682">
        <w:t>adopt</w:t>
      </w:r>
      <w:r w:rsidR="004A0E18">
        <w:t>ed</w:t>
      </w:r>
      <w:r w:rsidR="003A6682">
        <w:t xml:space="preserve"> the same approach for assessing the depreciation </w:t>
      </w:r>
      <w:r w:rsidR="000E7F1E">
        <w:t xml:space="preserve">schedule </w:t>
      </w:r>
      <w:r w:rsidR="003A6682">
        <w:t xml:space="preserve">for 2015–16 as for the 2016–21 access arrangement period. </w:t>
      </w:r>
    </w:p>
    <w:p w:rsidR="002D7525" w:rsidRPr="00471C48" w:rsidRDefault="002D7525" w:rsidP="002D7525">
      <w:pPr>
        <w:rPr>
          <w:rFonts w:eastAsia="Calibri"/>
        </w:rPr>
      </w:pPr>
      <w:r w:rsidRPr="00471C48">
        <w:rPr>
          <w:rFonts w:eastAsia="Calibri"/>
        </w:rPr>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471C48">
        <w:rPr>
          <w:rStyle w:val="FootnoteReference"/>
          <w:rFonts w:eastAsia="Calibri"/>
        </w:rPr>
        <w:footnoteReference w:id="10"/>
      </w:r>
      <w:r w:rsidRPr="00471C48">
        <w:rPr>
          <w:rFonts w:eastAsia="Calibri"/>
        </w:rPr>
        <w:t xml:space="preserve"> In making a decision on the proposed depreciation schedule, </w:t>
      </w:r>
      <w:r>
        <w:rPr>
          <w:rFonts w:eastAsia="Calibri"/>
        </w:rPr>
        <w:t>we</w:t>
      </w:r>
      <w:r w:rsidRPr="00471C48">
        <w:rPr>
          <w:rFonts w:eastAsia="Calibri"/>
        </w:rPr>
        <w:t xml:space="preserve"> assess the compliance of the proposed depreciation schedule with the depreciation criteria set out in the NG</w:t>
      </w:r>
      <w:r w:rsidRPr="00471C48">
        <w:rPr>
          <w:rStyle w:val="AERbody"/>
          <w:rFonts w:eastAsia="Calibri"/>
        </w:rPr>
        <w:t>R.</w:t>
      </w:r>
      <w:r w:rsidRPr="00471C48">
        <w:rPr>
          <w:rStyle w:val="FootnoteReference"/>
          <w:rFonts w:eastAsia="Calibri"/>
        </w:rPr>
        <w:footnoteReference w:id="11"/>
      </w:r>
      <w:r w:rsidRPr="00471C48">
        <w:rPr>
          <w:rStyle w:val="AERbody"/>
          <w:rFonts w:eastAsia="Calibri"/>
        </w:rPr>
        <w:t xml:space="preserve"> </w:t>
      </w:r>
      <w:r>
        <w:t>We</w:t>
      </w:r>
      <w:r w:rsidRPr="00471C48">
        <w:t xml:space="preserve"> must also take into account the NGO and the revenue and pricing principles.</w:t>
      </w:r>
      <w:r w:rsidRPr="00471C48">
        <w:rPr>
          <w:rStyle w:val="FootnoteReference"/>
        </w:rPr>
        <w:footnoteReference w:id="12"/>
      </w:r>
    </w:p>
    <w:p w:rsidR="002D7525" w:rsidRPr="00471C48" w:rsidRDefault="002D7525" w:rsidP="002D7525">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3"/>
      </w:r>
      <w:r w:rsidRPr="00471C48">
        <w:rPr>
          <w:rStyle w:val="AERbody"/>
        </w:rPr>
        <w:t xml:space="preserve"> The depreciation criteria state that </w:t>
      </w:r>
      <w:r w:rsidRPr="00471C48">
        <w:t>the depreciation schedule should be designed:</w:t>
      </w:r>
    </w:p>
    <w:p w:rsidR="002D7525" w:rsidRPr="00B9583E" w:rsidRDefault="002D7525" w:rsidP="002D7525">
      <w:pPr>
        <w:pStyle w:val="AERbulletlistfirststyle"/>
        <w:ind w:left="360" w:hanging="360"/>
      </w:pPr>
      <w:r w:rsidRPr="00B9583E">
        <w:t>so that reference tariffs will vary, over time, in a way that promotes efficient growth in the market for reference services</w:t>
      </w:r>
      <w:r w:rsidRPr="00B9583E">
        <w:rPr>
          <w:rStyle w:val="FootnoteReference"/>
        </w:rPr>
        <w:footnoteReference w:id="14"/>
      </w:r>
    </w:p>
    <w:p w:rsidR="002D7525" w:rsidRPr="00B9583E" w:rsidRDefault="002D7525" w:rsidP="002D7525">
      <w:pPr>
        <w:pStyle w:val="AERbulletlistfirststyle"/>
        <w:ind w:left="360" w:hanging="360"/>
      </w:pPr>
      <w:r w:rsidRPr="00B9583E">
        <w:t>so that each asset or group of assets is depreciated over the economic life of that asset or group of assets</w:t>
      </w:r>
      <w:r w:rsidRPr="00B9583E">
        <w:rPr>
          <w:rStyle w:val="FootnoteReference"/>
        </w:rPr>
        <w:footnoteReference w:id="15"/>
      </w:r>
    </w:p>
    <w:p w:rsidR="002D7525" w:rsidRPr="00B9583E" w:rsidRDefault="002D7525" w:rsidP="002D7525">
      <w:pPr>
        <w:pStyle w:val="AERbulletlistfirststyle"/>
        <w:ind w:left="360" w:hanging="360"/>
      </w:pPr>
      <w:r w:rsidRPr="00B9583E">
        <w:t>so as to allow, as far as reasonably practicable, for adjustment reflecting changes in the expected economic life of a particular asset, or a particular group of assets</w:t>
      </w:r>
      <w:r w:rsidRPr="00B9583E">
        <w:rPr>
          <w:rStyle w:val="FootnoteReference"/>
        </w:rPr>
        <w:footnoteReference w:id="16"/>
      </w:r>
    </w:p>
    <w:p w:rsidR="002D7525" w:rsidRPr="00B9583E" w:rsidRDefault="002D7525" w:rsidP="002D7525">
      <w:pPr>
        <w:pStyle w:val="AERbulletlistfirststyle"/>
        <w:ind w:left="360" w:hanging="360"/>
      </w:pPr>
      <w:r w:rsidRPr="00B9583E">
        <w:t>so that (subject to the rules about capital redundancy), an asset is depreciated only once</w:t>
      </w:r>
      <w:r w:rsidRPr="00B9583E">
        <w:rPr>
          <w:rStyle w:val="FootnoteReference"/>
        </w:rPr>
        <w:footnoteReference w:id="17"/>
      </w:r>
      <w:r w:rsidRPr="00B9583E">
        <w:t xml:space="preserve"> </w:t>
      </w:r>
    </w:p>
    <w:p w:rsidR="002D7525" w:rsidRPr="00B9583E" w:rsidRDefault="002D7525" w:rsidP="002D7525">
      <w:pPr>
        <w:pStyle w:val="AERbulletlistfirststyle"/>
        <w:ind w:left="360" w:hanging="360"/>
      </w:pPr>
      <w:r w:rsidRPr="00B9583E">
        <w:lastRenderedPageBreak/>
        <w:t>so as to allow for the service provider's reasonable needs for cash flow to meet financing, non-capital and other costs.</w:t>
      </w:r>
      <w:r w:rsidRPr="00B9583E">
        <w:rPr>
          <w:rStyle w:val="FootnoteReference"/>
        </w:rPr>
        <w:footnoteReference w:id="18"/>
      </w:r>
    </w:p>
    <w:p w:rsidR="002D7525" w:rsidRPr="00471C48" w:rsidRDefault="002D7525" w:rsidP="002D7525">
      <w:pPr>
        <w:rPr>
          <w:rStyle w:val="AERbody"/>
        </w:rPr>
      </w:pPr>
      <w:r w:rsidRPr="00471C48">
        <w:t>The depreciation criteria also state that to comply with the rule regarding efficient growth in the market for reference services, a substantial amount of depreciation may be deferred.</w:t>
      </w:r>
      <w:r w:rsidRPr="00471C48">
        <w:rPr>
          <w:rStyle w:val="FootnoteReference"/>
          <w:rFonts w:eastAsia="Calibri"/>
        </w:rPr>
        <w:footnoteReference w:id="19"/>
      </w:r>
    </w:p>
    <w:p w:rsidR="002D7525" w:rsidRPr="00471C48" w:rsidRDefault="002D7525" w:rsidP="002D7525">
      <w:r>
        <w:t>The r</w:t>
      </w:r>
      <w:r w:rsidRPr="00471C48">
        <w:t xml:space="preserve">egulatory depreciation allowance is the net total of the </w:t>
      </w:r>
      <w:r>
        <w:t xml:space="preserve">real </w:t>
      </w:r>
      <w:r w:rsidRPr="00471C48">
        <w:t xml:space="preserve">straight-line depreciation (negative) and the annual inflation indexation (positive) 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rsidR="0088670B">
        <w:t>NGR’</w:t>
      </w:r>
      <w:r>
        <w:t xml:space="preserve">s </w:t>
      </w:r>
      <w:r w:rsidRPr="00471C48">
        <w:t>depreciation criteria.</w:t>
      </w:r>
      <w:r w:rsidRPr="00471C48">
        <w:rPr>
          <w:rStyle w:val="FootnoteReference"/>
        </w:rPr>
        <w:footnoteReference w:id="20"/>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2D7525" w:rsidRPr="00471C48" w:rsidRDefault="002D7525" w:rsidP="002D7525">
      <w:r w:rsidRPr="00471C48">
        <w:t xml:space="preserve">In assessing </w:t>
      </w:r>
      <w:r w:rsidR="009C7CF6">
        <w:rPr>
          <w:rStyle w:val="AERbody"/>
        </w:rPr>
        <w:t>ActewAGL</w:t>
      </w:r>
      <w:r w:rsidR="0088670B">
        <w:t>’</w:t>
      </w:r>
      <w:r>
        <w:t>s</w:t>
      </w:r>
      <w:r w:rsidRPr="00471C48">
        <w:t xml:space="preserve"> proposed regulatory depreciation allowance, </w:t>
      </w:r>
      <w:r>
        <w:t>we</w:t>
      </w:r>
      <w:r w:rsidRPr="00471C48">
        <w:t xml:space="preserve"> ha</w:t>
      </w:r>
      <w:r>
        <w:t>ve</w:t>
      </w:r>
      <w:r w:rsidRPr="00471C48">
        <w:t xml:space="preserve"> analysed </w:t>
      </w:r>
      <w:r w:rsidR="009C7CF6">
        <w:rPr>
          <w:rStyle w:val="AERbody"/>
        </w:rPr>
        <w:t>ActewAGL</w:t>
      </w:r>
      <w:r w:rsidR="0088670B">
        <w:t>’</w:t>
      </w:r>
      <w:r>
        <w:t>s</w:t>
      </w:r>
      <w:r w:rsidRPr="00471C48">
        <w:t xml:space="preserve"> proposed </w:t>
      </w:r>
      <w:r>
        <w:t xml:space="preserve">inputs to </w:t>
      </w:r>
      <w:r w:rsidR="005D3F08">
        <w:t>the PTRM</w:t>
      </w:r>
      <w:r w:rsidR="004C2EF2">
        <w:rPr>
          <w:rStyle w:val="FootnoteReference"/>
        </w:rPr>
        <w:footnoteReference w:id="21"/>
      </w:r>
      <w:r>
        <w:t xml:space="preserve"> </w:t>
      </w:r>
      <w:r w:rsidRPr="00471C48">
        <w:t>for calculating depreciation</w:t>
      </w:r>
      <w:r w:rsidR="0081000E">
        <w:t xml:space="preserve"> for 2015–16 and the 2016–21 access arrangement period</w:t>
      </w:r>
      <w:r w:rsidR="00F6297C">
        <w:t>.</w:t>
      </w:r>
      <w:r w:rsidR="004C2EF2">
        <w:t xml:space="preserve"> </w:t>
      </w:r>
      <w:r w:rsidRPr="00471C48">
        <w:t>These inputs include:</w:t>
      </w:r>
      <w:r>
        <w:t xml:space="preserve"> </w:t>
      </w:r>
    </w:p>
    <w:p w:rsidR="002D7525" w:rsidRPr="00B9583E" w:rsidRDefault="002D7525" w:rsidP="002D7525">
      <w:pPr>
        <w:pStyle w:val="AERbulletlistfirststyle"/>
        <w:ind w:left="360" w:hanging="360"/>
      </w:pPr>
      <w:r w:rsidRPr="00B9583E">
        <w:t>the opening capital base as at 1 July 201</w:t>
      </w:r>
      <w:r w:rsidR="006E3AE4">
        <w:t>5</w:t>
      </w:r>
    </w:p>
    <w:p w:rsidR="002D7525" w:rsidRPr="00B9583E" w:rsidRDefault="002D7525" w:rsidP="002D7525">
      <w:pPr>
        <w:pStyle w:val="AERbulletlistfirststyle"/>
        <w:ind w:left="360" w:hanging="360"/>
      </w:pPr>
      <w:r w:rsidRPr="00B9583E">
        <w:t xml:space="preserve">the forecast net capex in </w:t>
      </w:r>
      <w:r w:rsidR="006E3AE4">
        <w:t xml:space="preserve">2015–16 and </w:t>
      </w:r>
      <w:r w:rsidRPr="00B9583E">
        <w:t>the 2016–21 access arrangement period</w:t>
      </w:r>
    </w:p>
    <w:p w:rsidR="002D7525" w:rsidRPr="00B9583E" w:rsidRDefault="002D7525" w:rsidP="002D7525">
      <w:pPr>
        <w:pStyle w:val="AERbulletlistfirststyle"/>
        <w:ind w:left="360" w:hanging="360"/>
      </w:pPr>
      <w:r w:rsidRPr="00B9583E">
        <w:t xml:space="preserve">the forecast inflation rate for </w:t>
      </w:r>
      <w:r w:rsidR="006E3AE4">
        <w:t xml:space="preserve">2015–16 and </w:t>
      </w:r>
      <w:r w:rsidRPr="00B9583E">
        <w:t>the 2016–21 access arrangement period</w:t>
      </w:r>
    </w:p>
    <w:p w:rsidR="002D7525" w:rsidRPr="00B9583E" w:rsidRDefault="002D7525" w:rsidP="002D7525">
      <w:pPr>
        <w:pStyle w:val="AERbulletlistfirststyle"/>
        <w:ind w:left="360" w:hanging="360"/>
      </w:pPr>
      <w:r w:rsidRPr="00B9583E">
        <w:t>the standard asset life for each asset class—used for calculating the depreciation of new assets associated with forecast net capex in</w:t>
      </w:r>
      <w:r w:rsidR="006E3AE4">
        <w:t xml:space="preserve"> 2015–16 and</w:t>
      </w:r>
      <w:r w:rsidRPr="00B9583E">
        <w:t xml:space="preserve"> the 2016–21 access arrangement period</w:t>
      </w:r>
    </w:p>
    <w:p w:rsidR="002D7525" w:rsidRPr="00B9583E" w:rsidRDefault="002D7525" w:rsidP="002D7525">
      <w:pPr>
        <w:pStyle w:val="AERbulletlistfirststyle"/>
        <w:ind w:left="360" w:hanging="360"/>
      </w:pPr>
      <w:r w:rsidRPr="00B9583E">
        <w:t>the remaining asset life for each asset class—used for calculating the depreciation of existing assets associated with the opening capital base as at 1 July 201</w:t>
      </w:r>
      <w:r w:rsidR="006E3AE4">
        <w:t>5</w:t>
      </w:r>
      <w:r w:rsidRPr="00B9583E">
        <w:t>.</w:t>
      </w:r>
    </w:p>
    <w:p w:rsidR="002D7525" w:rsidRPr="00471C48" w:rsidRDefault="002D7525" w:rsidP="002D7525">
      <w:r>
        <w:t xml:space="preserve">Our </w:t>
      </w:r>
      <w:r w:rsidRPr="00471C48">
        <w:t xml:space="preserve">determinations affecting the first three inputs in the above list are discussed elsewhere: opening </w:t>
      </w:r>
      <w:r w:rsidRPr="005E445B">
        <w:t>capital base (attachment 2), forecast net capex (attachment 6) and forecast inflation (attachment 3).</w:t>
      </w:r>
      <w:r w:rsidRPr="00471C48">
        <w:t xml:space="preserve"> </w:t>
      </w:r>
      <w:r>
        <w:t xml:space="preserve">Our </w:t>
      </w:r>
      <w:r w:rsidRPr="00471C48">
        <w:t xml:space="preserve">decision on the required amendments to </w:t>
      </w:r>
      <w:r w:rsidR="009C7CF6">
        <w:rPr>
          <w:rStyle w:val="AERbody"/>
        </w:rPr>
        <w:t>ActewAGL</w:t>
      </w:r>
      <w:r w:rsidR="00220853">
        <w:rPr>
          <w:rStyle w:val="AERbody"/>
        </w:rPr>
        <w:t>’</w:t>
      </w:r>
      <w:r>
        <w:t>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2D7525" w:rsidRPr="002D7525" w:rsidRDefault="002D7525" w:rsidP="002D7525">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2"/>
      </w:r>
      <w:r w:rsidRPr="00471C48">
        <w:t xml:space="preserve"> </w:t>
      </w:r>
      <w:r>
        <w:t>Our</w:t>
      </w:r>
      <w:r w:rsidRPr="00471C48">
        <w:t xml:space="preserve"> </w:t>
      </w:r>
      <w:r w:rsidRPr="00471C48">
        <w:lastRenderedPageBreak/>
        <w:t xml:space="preserve">standard method for determining the remaining </w:t>
      </w:r>
      <w:r>
        <w:t>asset</w:t>
      </w:r>
      <w:r w:rsidRPr="00471C48">
        <w:t xml:space="preserve"> lives is the weighted average method.</w:t>
      </w:r>
      <w:r>
        <w:rPr>
          <w:rStyle w:val="FootnoteReference"/>
        </w:rPr>
        <w:footnoteReference w:id="23"/>
      </w:r>
      <w:r w:rsidRPr="00471C48">
        <w:t xml:space="preserve"> The weighted average method rolls forward the remaining </w:t>
      </w:r>
      <w:r>
        <w:t>asset</w:t>
      </w:r>
      <w:r w:rsidRPr="00471C48">
        <w:t xml:space="preserve"> life for an asset class from the beginning of the earlier access arrangement period. This approach reflects the mix of assets within that asset class, when they were acquired over that period (or if they were existing assets at the beginning), and the remaining value of those assets (used as a weight) at the end of the period.</w:t>
      </w:r>
      <w:r>
        <w:rPr>
          <w:rStyle w:val="FootnoteReference"/>
        </w:rPr>
        <w:footnoteReference w:id="24"/>
      </w:r>
      <w:r w:rsidRPr="00471C48">
        <w:t xml:space="preserve"> </w:t>
      </w:r>
      <w:r w:rsidR="002320B5">
        <w:rPr>
          <w:rStyle w:val="AERbody"/>
        </w:rPr>
        <w:t>A submission by Jemena expressed concerns with the AER’s weighted average approach used to calculate the remaining asset lives.</w:t>
      </w:r>
      <w:r w:rsidR="002320B5">
        <w:rPr>
          <w:rStyle w:val="FootnoteReference"/>
        </w:rPr>
        <w:footnoteReference w:id="25"/>
      </w:r>
      <w:r w:rsidR="002320B5">
        <w:rPr>
          <w:rStyle w:val="AERbody"/>
        </w:rPr>
        <w:t xml:space="preserve"> We acknowledge that there may be alternative approaches for calculating remaining asset lives. </w:t>
      </w:r>
      <w:r>
        <w:t>We</w:t>
      </w:r>
      <w:r w:rsidRPr="00471C48">
        <w:t xml:space="preserve"> will assess</w:t>
      </w:r>
      <w:r w:rsidR="0030017F">
        <w:t xml:space="preserve"> </w:t>
      </w:r>
      <w:r w:rsidRPr="00471C48">
        <w:t xml:space="preserve">the outcomes of other </w:t>
      </w:r>
      <w:r w:rsidR="00A94875">
        <w:t xml:space="preserve">proposed </w:t>
      </w:r>
      <w:r w:rsidRPr="00471C48">
        <w:t>approaches</w:t>
      </w:r>
      <w:r w:rsidR="0030017F">
        <w:t xml:space="preserve"> </w:t>
      </w:r>
      <w:r w:rsidRPr="00471C48">
        <w:t>against the outcomes of this standard approach.</w:t>
      </w:r>
    </w:p>
    <w:p w:rsidR="005C0A7F" w:rsidRDefault="005C0A7F" w:rsidP="005C0A7F">
      <w:pPr>
        <w:pStyle w:val="Heading3"/>
      </w:pPr>
      <w:bookmarkStart w:id="47" w:name="_Toc436041918"/>
      <w:r>
        <w:t>Interrelationships</w:t>
      </w:r>
      <w:bookmarkEnd w:id="47"/>
    </w:p>
    <w:p w:rsidR="002D7525" w:rsidRPr="00D57689" w:rsidRDefault="002D7525" w:rsidP="002D7525">
      <w:r w:rsidRPr="00D57689">
        <w:t>The regulatory depreciation allowance is a building block component of the annual building block revenue requirement.</w:t>
      </w:r>
      <w:r w:rsidRPr="00D57689">
        <w:rPr>
          <w:rStyle w:val="FootnoteReference"/>
        </w:rPr>
        <w:footnoteReference w:id="26"/>
      </w:r>
      <w:r w:rsidRPr="00D57689">
        <w:t xml:space="preserve"> Higher (or quicker) depreciation leads to higher revenues over the </w:t>
      </w:r>
      <w:r w:rsidR="002174D7">
        <w:t>access arrangement</w:t>
      </w:r>
      <w:r w:rsidRPr="00D57689">
        <w:t xml:space="preserve"> period. It also causes the </w:t>
      </w:r>
      <w:r>
        <w:t xml:space="preserve">capital base </w:t>
      </w:r>
      <w:r w:rsidRPr="00D57689">
        <w:t xml:space="preserve">to reduce more quickly (assuming no further capex). This reduces the return on capital allowance, although this impact is usually secondary to the increased depreciation allowance. </w:t>
      </w:r>
    </w:p>
    <w:p w:rsidR="002D7525" w:rsidRPr="00D57689" w:rsidRDefault="002D7525" w:rsidP="002D7525">
      <w:r w:rsidRPr="00D57689">
        <w:t xml:space="preserve">Ultimately, however, a </w:t>
      </w:r>
      <w:r>
        <w:t>service provider</w:t>
      </w:r>
      <w:r w:rsidRPr="00D57689">
        <w:t xml:space="preserve"> can only recover the capex it has incurred on assets once. The depreciation allowance therefore reflects how quickly the </w:t>
      </w:r>
      <w:r>
        <w:t>capital base</w:t>
      </w:r>
      <w:r w:rsidRPr="00D57689">
        <w:t xml:space="preserve"> is being recovered and is based on the remaining and standard </w:t>
      </w:r>
      <w:r>
        <w:t>asset</w:t>
      </w:r>
      <w:r w:rsidRPr="00D57689">
        <w:t xml:space="preserve"> lives used in the depreciation calculation. </w:t>
      </w:r>
    </w:p>
    <w:p w:rsidR="002D7525" w:rsidRPr="00D57689" w:rsidRDefault="002D7525" w:rsidP="002D7525">
      <w:r w:rsidRPr="00D57689">
        <w:t xml:space="preserve">The depreciation allowance also depends on the level of the opening </w:t>
      </w:r>
      <w:r>
        <w:t>capital base</w:t>
      </w:r>
      <w:r w:rsidRPr="00D57689">
        <w:t xml:space="preserve"> and the forecast capex. Any increase in these factors also increases the depreciation allowance. </w:t>
      </w:r>
    </w:p>
    <w:p w:rsidR="002D7525" w:rsidRPr="00D57689" w:rsidRDefault="002D7525" w:rsidP="002D7525">
      <w:r w:rsidRPr="00D57689">
        <w:t>To prevent double counting of inflation through the</w:t>
      </w:r>
      <w:r>
        <w:t xml:space="preserve"> rate of return</w:t>
      </w:r>
      <w:r w:rsidRPr="00D57689">
        <w:t xml:space="preserve"> and </w:t>
      </w:r>
      <w:r>
        <w:t>capital base</w:t>
      </w:r>
      <w:r w:rsidRPr="00D57689">
        <w:t xml:space="preserve">, the regulatory depreciation allowance also has an offsetting reduction for indexation of the </w:t>
      </w:r>
      <w:r>
        <w:t>capital base.</w:t>
      </w:r>
      <w:r w:rsidRPr="00D57689">
        <w:rPr>
          <w:rStyle w:val="FootnoteReference"/>
        </w:rPr>
        <w:footnoteReference w:id="27"/>
      </w:r>
      <w:r w:rsidRPr="00D57689">
        <w:t xml:space="preserve"> Factors that affect forecast inflation and/or the size of the </w:t>
      </w:r>
      <w:r>
        <w:t xml:space="preserve">capital base </w:t>
      </w:r>
      <w:r w:rsidRPr="00D57689">
        <w:t xml:space="preserve">will therefore affect the size of this indexation adjustment. </w:t>
      </w:r>
    </w:p>
    <w:p w:rsidR="002D7525" w:rsidRPr="00D639D1" w:rsidRDefault="002D7525" w:rsidP="002D7525">
      <w:pPr>
        <w:rPr>
          <w:rStyle w:val="AERbody"/>
        </w:rPr>
      </w:pPr>
      <w:r w:rsidRPr="006A34AC">
        <w:rPr>
          <w:rStyle w:val="AERbody"/>
        </w:rPr>
        <w:lastRenderedPageBreak/>
        <w:t xml:space="preserve">The relative size of the inflation and straight-line depreciation and their impact on the capital base using </w:t>
      </w:r>
      <w:r w:rsidR="009C7CF6">
        <w:rPr>
          <w:rStyle w:val="AERbody"/>
        </w:rPr>
        <w:t>ActewAGL</w:t>
      </w:r>
      <w:r w:rsidR="004D2C60">
        <w:rPr>
          <w:rStyle w:val="AERbody"/>
        </w:rPr>
        <w:t>’</w:t>
      </w:r>
      <w:r w:rsidRPr="006A34AC">
        <w:rPr>
          <w:rStyle w:val="AERbody"/>
        </w:rPr>
        <w:t>s proposal is shown in</w:t>
      </w:r>
      <w:r w:rsidRPr="00D639D1">
        <w:rPr>
          <w:rStyle w:val="AERbody"/>
        </w:rPr>
        <w:t xml:space="preserve"> attachment 2. A ten per cent increase in the straight-line depreciation causes revenues to increase by about </w:t>
      </w:r>
      <w:r w:rsidR="002C3D1C">
        <w:rPr>
          <w:rStyle w:val="AERbody"/>
        </w:rPr>
        <w:t>3</w:t>
      </w:r>
      <w:r>
        <w:rPr>
          <w:rStyle w:val="AERbody"/>
        </w:rPr>
        <w:t> </w:t>
      </w:r>
      <w:r w:rsidRPr="00D639D1">
        <w:rPr>
          <w:rStyle w:val="AERbody"/>
        </w:rPr>
        <w:t>per cent.</w:t>
      </w:r>
    </w:p>
    <w:p w:rsidR="009A5113" w:rsidRPr="0074565D" w:rsidRDefault="009A5113" w:rsidP="009A5113">
      <w:pPr>
        <w:pStyle w:val="Heading2"/>
      </w:pPr>
      <w:bookmarkStart w:id="48" w:name="_Toc408404324"/>
      <w:bookmarkStart w:id="49" w:name="_Toc436041919"/>
      <w:r w:rsidRPr="0074565D">
        <w:t xml:space="preserve">Reasons for </w:t>
      </w:r>
      <w:r w:rsidR="00DE0A1E">
        <w:t>draft</w:t>
      </w:r>
      <w:r w:rsidR="00651CB2" w:rsidRPr="0074565D">
        <w:t xml:space="preserve"> </w:t>
      </w:r>
      <w:r w:rsidRPr="0074565D">
        <w:t>decision</w:t>
      </w:r>
      <w:bookmarkEnd w:id="48"/>
      <w:bookmarkEnd w:id="49"/>
      <w:r w:rsidRPr="0074565D">
        <w:t xml:space="preserve"> </w:t>
      </w:r>
    </w:p>
    <w:p w:rsidR="002D7525" w:rsidRDefault="002D7525" w:rsidP="002D7525">
      <w:pPr>
        <w:rPr>
          <w:rStyle w:val="AERbody"/>
        </w:rPr>
      </w:pPr>
      <w:r>
        <w:t>We</w:t>
      </w:r>
      <w:r w:rsidRPr="00CA36EA">
        <w:t xml:space="preserve"> approve</w:t>
      </w:r>
      <w:r>
        <w:t xml:space="preserve"> A</w:t>
      </w:r>
      <w:r w:rsidR="009C7CF6">
        <w:t>ctewAGL</w:t>
      </w:r>
      <w:r w:rsidR="004D2C60">
        <w:t>’</w:t>
      </w:r>
      <w:r>
        <w:t>s proposed</w:t>
      </w:r>
      <w:r w:rsidRPr="00CA36EA">
        <w:t xml:space="preserve"> method to calculate the re</w:t>
      </w:r>
      <w:r>
        <w:t xml:space="preserve">gulatory depreciation allowance which is the straight-line depreciation less </w:t>
      </w:r>
      <w:r w:rsidRPr="003A447F">
        <w:t>the annual inflation indexation on the projected capital base</w:t>
      </w:r>
      <w:r>
        <w:t>. However, w</w:t>
      </w:r>
      <w:r w:rsidRPr="00D639D1">
        <w:rPr>
          <w:rStyle w:val="AERbody"/>
        </w:rPr>
        <w:t>e do not approve</w:t>
      </w:r>
      <w:r>
        <w:rPr>
          <w:rStyle w:val="AERbody"/>
        </w:rPr>
        <w:t xml:space="preserve"> </w:t>
      </w:r>
      <w:r w:rsidR="009C7CF6">
        <w:rPr>
          <w:rStyle w:val="AERbody"/>
        </w:rPr>
        <w:t>ActewAGL</w:t>
      </w:r>
      <w:r w:rsidR="004D2C60">
        <w:rPr>
          <w:rStyle w:val="AERbody"/>
        </w:rPr>
        <w:t>’</w:t>
      </w:r>
      <w:r w:rsidRPr="00D639D1">
        <w:rPr>
          <w:rStyle w:val="AERbody"/>
        </w:rPr>
        <w:t>s proposed regulatory depreciation allowance of $</w:t>
      </w:r>
      <w:r w:rsidR="00AA0BF9">
        <w:rPr>
          <w:rStyle w:val="AERbody"/>
        </w:rPr>
        <w:t>33.9</w:t>
      </w:r>
      <w:r w:rsidRPr="00D639D1">
        <w:rPr>
          <w:rStyle w:val="AERbody"/>
        </w:rPr>
        <w:t xml:space="preserve"> million ($nominal) for </w:t>
      </w:r>
      <w:r w:rsidR="00AA0BF9">
        <w:rPr>
          <w:rStyle w:val="AERbody"/>
        </w:rPr>
        <w:t xml:space="preserve">2015–16 and </w:t>
      </w:r>
      <w:r w:rsidRPr="00D639D1">
        <w:rPr>
          <w:rStyle w:val="AERbody"/>
        </w:rPr>
        <w:t xml:space="preserve">the </w:t>
      </w:r>
      <w:r>
        <w:rPr>
          <w:rStyle w:val="AERbody"/>
        </w:rPr>
        <w:t>2016–21</w:t>
      </w:r>
      <w:r w:rsidRPr="00D639D1">
        <w:rPr>
          <w:rStyle w:val="AERbody"/>
        </w:rPr>
        <w:t xml:space="preserve"> access arrangement period.</w:t>
      </w:r>
      <w:r>
        <w:rPr>
          <w:rStyle w:val="AERbody"/>
        </w:rPr>
        <w:t xml:space="preserve"> </w:t>
      </w:r>
      <w:r w:rsidRPr="00D639D1">
        <w:rPr>
          <w:rStyle w:val="AERbody"/>
        </w:rPr>
        <w:t xml:space="preserve">Our draft decision on </w:t>
      </w:r>
      <w:r w:rsidR="009C7CF6">
        <w:rPr>
          <w:rStyle w:val="AERbody"/>
        </w:rPr>
        <w:t>ActewAGL</w:t>
      </w:r>
      <w:r w:rsidR="004D2C60">
        <w:rPr>
          <w:rStyle w:val="AERbody"/>
        </w:rPr>
        <w:t>’</w:t>
      </w:r>
      <w:r w:rsidRPr="00D639D1">
        <w:rPr>
          <w:rStyle w:val="AERbody"/>
        </w:rPr>
        <w:t>s regulatory depreciation allowance is $</w:t>
      </w:r>
      <w:r w:rsidR="00B932B5">
        <w:rPr>
          <w:rStyle w:val="AERbody"/>
        </w:rPr>
        <w:t xml:space="preserve">32.9 </w:t>
      </w:r>
      <w:r w:rsidRPr="00D639D1">
        <w:rPr>
          <w:rStyle w:val="AERbody"/>
        </w:rPr>
        <w:t>million ($nominal)</w:t>
      </w:r>
      <w:r w:rsidR="006C45AE" w:rsidDel="006C45AE">
        <w:rPr>
          <w:rStyle w:val="FootnoteReference"/>
        </w:rPr>
        <w:t xml:space="preserve"> </w:t>
      </w:r>
      <w:r w:rsidRPr="00D639D1">
        <w:rPr>
          <w:rStyle w:val="AERbody"/>
        </w:rPr>
        <w:t xml:space="preserve">over </w:t>
      </w:r>
      <w:r w:rsidR="00AA0BF9">
        <w:rPr>
          <w:rStyle w:val="AERbody"/>
        </w:rPr>
        <w:t xml:space="preserve">2015–16 and </w:t>
      </w:r>
      <w:r w:rsidRPr="00D639D1">
        <w:rPr>
          <w:rStyle w:val="AERbody"/>
        </w:rPr>
        <w:t xml:space="preserve">the </w:t>
      </w:r>
      <w:r>
        <w:rPr>
          <w:rStyle w:val="AERbody"/>
        </w:rPr>
        <w:t>2016–21</w:t>
      </w:r>
      <w:r w:rsidRPr="00D639D1">
        <w:rPr>
          <w:rStyle w:val="AERbody"/>
        </w:rPr>
        <w:t xml:space="preserve"> access arrangement period,</w:t>
      </w:r>
      <w:r w:rsidR="006C45AE">
        <w:rPr>
          <w:rStyle w:val="FootnoteReference"/>
        </w:rPr>
        <w:footnoteReference w:id="28"/>
      </w:r>
      <w:r w:rsidRPr="00D639D1">
        <w:rPr>
          <w:rStyle w:val="AERbody"/>
        </w:rPr>
        <w:t xml:space="preserve"> a reduction</w:t>
      </w:r>
      <w:r>
        <w:rPr>
          <w:rStyle w:val="AERbody"/>
        </w:rPr>
        <w:t xml:space="preserve"> </w:t>
      </w:r>
      <w:r w:rsidRPr="00D639D1">
        <w:rPr>
          <w:rStyle w:val="AERbody"/>
        </w:rPr>
        <w:t>of $</w:t>
      </w:r>
      <w:r w:rsidR="002C23BF">
        <w:rPr>
          <w:rStyle w:val="AERbody"/>
        </w:rPr>
        <w:t xml:space="preserve">1.1 </w:t>
      </w:r>
      <w:r w:rsidRPr="00D639D1">
        <w:rPr>
          <w:rStyle w:val="AERbody"/>
        </w:rPr>
        <w:t xml:space="preserve">million ($nominal) or </w:t>
      </w:r>
      <w:r w:rsidR="002C23BF">
        <w:rPr>
          <w:rStyle w:val="AERbody"/>
        </w:rPr>
        <w:t xml:space="preserve">3.2 </w:t>
      </w:r>
      <w:r w:rsidRPr="00D639D1">
        <w:rPr>
          <w:rStyle w:val="AERbody"/>
        </w:rPr>
        <w:t xml:space="preserve">per cent compared to the proposed amount. </w:t>
      </w:r>
      <w:r>
        <w:rPr>
          <w:rStyle w:val="AERbody"/>
        </w:rPr>
        <w:t xml:space="preserve">This reduction is made because of </w:t>
      </w:r>
      <w:r w:rsidR="009F59FF">
        <w:t>our decision to not depreciate forecast land and easement capex</w:t>
      </w:r>
      <w:r w:rsidR="0065415E">
        <w:t>,</w:t>
      </w:r>
      <w:r>
        <w:t xml:space="preserve"> and </w:t>
      </w:r>
      <w:r w:rsidR="0065415E">
        <w:t xml:space="preserve">also the changes made to </w:t>
      </w:r>
      <w:r>
        <w:t>other components of the</w:t>
      </w:r>
      <w:r w:rsidRPr="001C0783">
        <w:t xml:space="preserve"> </w:t>
      </w:r>
      <w:r>
        <w:t>proposal.</w:t>
      </w:r>
    </w:p>
    <w:p w:rsidR="00F579EC" w:rsidRDefault="007D6E82" w:rsidP="00F579EC">
      <w:r>
        <w:t xml:space="preserve">We accept ActewAGL’s proposed standard asset </w:t>
      </w:r>
      <w:r w:rsidR="00A94875">
        <w:t xml:space="preserve">lives for its asset </w:t>
      </w:r>
      <w:r>
        <w:t xml:space="preserve">classes. In addition to the proposed asset classes, we created a ‘Land and easement’ asset class for ActewAGL’s forecast </w:t>
      </w:r>
      <w:r w:rsidR="000F0D96">
        <w:t>l</w:t>
      </w:r>
      <w:r>
        <w:t xml:space="preserve">and capex in 2015–16 and </w:t>
      </w:r>
      <w:r w:rsidR="00A94875">
        <w:t xml:space="preserve">the </w:t>
      </w:r>
      <w:r>
        <w:t xml:space="preserve">2016–21 access arrangement </w:t>
      </w:r>
      <w:r w:rsidR="00143CDD">
        <w:t>period</w:t>
      </w:r>
      <w:r>
        <w:t xml:space="preserve">. We have </w:t>
      </w:r>
      <w:r w:rsidR="000F0D96">
        <w:t>not applied a standard asset lif</w:t>
      </w:r>
      <w:r>
        <w:t xml:space="preserve">e to this new asset class. This is because land </w:t>
      </w:r>
      <w:r w:rsidR="002C6A40">
        <w:t>assets (</w:t>
      </w:r>
      <w:r>
        <w:t xml:space="preserve">and </w:t>
      </w:r>
      <w:r w:rsidR="002C6A40">
        <w:t>related purchases)</w:t>
      </w:r>
      <w:r>
        <w:t xml:space="preserve"> </w:t>
      </w:r>
      <w:r w:rsidR="002C6A40">
        <w:t xml:space="preserve">do not </w:t>
      </w:r>
      <w:r>
        <w:t>depreciat</w:t>
      </w:r>
      <w:r w:rsidR="002C6A40">
        <w:t>e</w:t>
      </w:r>
      <w:r>
        <w:t>.</w:t>
      </w:r>
      <w:r w:rsidR="00F579EC" w:rsidRPr="00F579EC">
        <w:t xml:space="preserve"> </w:t>
      </w:r>
    </w:p>
    <w:p w:rsidR="00F579EC" w:rsidRDefault="00F579EC" w:rsidP="00F579EC">
      <w:r>
        <w:t xml:space="preserve">We accept </w:t>
      </w:r>
      <w:r>
        <w:rPr>
          <w:rStyle w:val="AERbody"/>
        </w:rPr>
        <w:t>ActewAGL</w:t>
      </w:r>
      <w:r>
        <w:t>’s proposed weighted average method to calculate the remaining asset lives as at 1 July 2015.</w:t>
      </w:r>
      <w:r>
        <w:rPr>
          <w:rStyle w:val="FootnoteReference"/>
        </w:rPr>
        <w:footnoteReference w:id="29"/>
      </w:r>
      <w:r>
        <w:t xml:space="preserve"> We also accept the proposed remaining asset lives as at 1 July 2015</w:t>
      </w:r>
      <w:r w:rsidR="00C35D7B">
        <w:t xml:space="preserve"> because we have accepted the inputs used to </w:t>
      </w:r>
      <w:r w:rsidR="00143CDD">
        <w:t>calculate</w:t>
      </w:r>
      <w:r w:rsidR="00C35D7B">
        <w:t xml:space="preserve"> the remaining asset lives in the proposed RFM</w:t>
      </w:r>
      <w:r>
        <w:t>.</w:t>
      </w:r>
    </w:p>
    <w:p w:rsidR="002D7525" w:rsidRDefault="002D7525" w:rsidP="002D7525">
      <w:r>
        <w:t>Our</w:t>
      </w:r>
      <w:r w:rsidRPr="001C0783">
        <w:t xml:space="preserve"> </w:t>
      </w:r>
      <w:r>
        <w:t xml:space="preserve">determinations on other components of </w:t>
      </w:r>
      <w:r w:rsidR="009C7CF6">
        <w:rPr>
          <w:rStyle w:val="AERbody"/>
        </w:rPr>
        <w:t>ActewAGL</w:t>
      </w:r>
      <w:r>
        <w:t>’s</w:t>
      </w:r>
      <w:r w:rsidRPr="001C0783">
        <w:t xml:space="preserve"> </w:t>
      </w:r>
      <w:r>
        <w:t>proposal also affect the calculation of the regulatory depreciation allowance.</w:t>
      </w:r>
      <w:r>
        <w:rPr>
          <w:rStyle w:val="FootnoteReference"/>
        </w:rPr>
        <w:footnoteReference w:id="30"/>
      </w:r>
      <w:r>
        <w:t xml:space="preserve"> These include:</w:t>
      </w:r>
    </w:p>
    <w:p w:rsidR="002D7525" w:rsidRPr="00B9583E" w:rsidRDefault="002D7525" w:rsidP="002D7525">
      <w:pPr>
        <w:pStyle w:val="AERbulletlistfirststyle"/>
        <w:ind w:left="360" w:hanging="360"/>
        <w:rPr>
          <w:rStyle w:val="AERbody"/>
        </w:rPr>
      </w:pPr>
      <w:r w:rsidRPr="00B9583E">
        <w:rPr>
          <w:rStyle w:val="AERbody"/>
        </w:rPr>
        <w:t xml:space="preserve">a reduction to </w:t>
      </w:r>
      <w:r w:rsidR="009C7CF6">
        <w:rPr>
          <w:rStyle w:val="AERbody"/>
        </w:rPr>
        <w:t>ActewAGL</w:t>
      </w:r>
      <w:r w:rsidR="001C0406">
        <w:rPr>
          <w:rStyle w:val="AERbody"/>
        </w:rPr>
        <w:t>’</w:t>
      </w:r>
      <w:r w:rsidRPr="00B9583E">
        <w:rPr>
          <w:rStyle w:val="AERbody"/>
        </w:rPr>
        <w:t>s forecast net capex of $</w:t>
      </w:r>
      <w:r w:rsidR="00F0001F">
        <w:rPr>
          <w:rStyle w:val="AERbody"/>
        </w:rPr>
        <w:t xml:space="preserve">42.2 </w:t>
      </w:r>
      <w:r w:rsidRPr="00B9583E">
        <w:rPr>
          <w:rStyle w:val="AERbody"/>
        </w:rPr>
        <w:t>million ($201</w:t>
      </w:r>
      <w:r w:rsidR="00207F76">
        <w:rPr>
          <w:rStyle w:val="AERbody"/>
        </w:rPr>
        <w:t>4</w:t>
      </w:r>
      <w:r w:rsidRPr="00B9583E">
        <w:rPr>
          <w:rStyle w:val="AERbody"/>
        </w:rPr>
        <w:t>–1</w:t>
      </w:r>
      <w:r w:rsidR="00207F76">
        <w:rPr>
          <w:rStyle w:val="AERbody"/>
        </w:rPr>
        <w:t>5</w:t>
      </w:r>
      <w:r w:rsidRPr="00B9583E">
        <w:rPr>
          <w:rStyle w:val="AERbody"/>
        </w:rPr>
        <w:t xml:space="preserve">) or </w:t>
      </w:r>
      <w:r w:rsidR="00F0001F">
        <w:rPr>
          <w:rStyle w:val="AERbody"/>
        </w:rPr>
        <w:t>28.9</w:t>
      </w:r>
      <w:r w:rsidR="00D84FC1">
        <w:rPr>
          <w:rStyle w:val="AERbody"/>
        </w:rPr>
        <w:t> </w:t>
      </w:r>
      <w:r w:rsidRPr="00B9583E">
        <w:rPr>
          <w:rStyle w:val="AERbody"/>
        </w:rPr>
        <w:t xml:space="preserve">per cent. Our detailed assessment of the proposed forecast capex allowance is set out in </w:t>
      </w:r>
      <w:r w:rsidR="00F0001F">
        <w:rPr>
          <w:rStyle w:val="AERbody"/>
        </w:rPr>
        <w:t xml:space="preserve">capex </w:t>
      </w:r>
      <w:r w:rsidRPr="00B9583E">
        <w:rPr>
          <w:rStyle w:val="AERbody"/>
        </w:rPr>
        <w:t xml:space="preserve">attachment 6. </w:t>
      </w:r>
    </w:p>
    <w:p w:rsidR="002D7525" w:rsidRPr="00B9583E" w:rsidRDefault="002D7525" w:rsidP="002D7525">
      <w:pPr>
        <w:pStyle w:val="AERbulletlistfirststyle"/>
        <w:ind w:left="360" w:hanging="360"/>
        <w:rPr>
          <w:rStyle w:val="AERbody"/>
        </w:rPr>
      </w:pPr>
      <w:r w:rsidRPr="00B9583E">
        <w:rPr>
          <w:rStyle w:val="AERbody"/>
        </w:rPr>
        <w:t>a reduction to the opening capital base as at 1 July 201</w:t>
      </w:r>
      <w:r w:rsidR="00207F76">
        <w:rPr>
          <w:rStyle w:val="AERbody"/>
        </w:rPr>
        <w:t>5</w:t>
      </w:r>
      <w:r w:rsidRPr="00B9583E">
        <w:rPr>
          <w:rStyle w:val="AERbody"/>
        </w:rPr>
        <w:t xml:space="preserve"> of $</w:t>
      </w:r>
      <w:r w:rsidR="00F0001F">
        <w:rPr>
          <w:rStyle w:val="AERbody"/>
        </w:rPr>
        <w:t xml:space="preserve">0.4 </w:t>
      </w:r>
      <w:r w:rsidRPr="00B9583E">
        <w:rPr>
          <w:rStyle w:val="AERbody"/>
        </w:rPr>
        <w:t>million ($nominal)</w:t>
      </w:r>
      <w:r w:rsidR="00F0001F">
        <w:rPr>
          <w:rStyle w:val="AERbody"/>
        </w:rPr>
        <w:t xml:space="preserve"> or 0.1 per cent</w:t>
      </w:r>
      <w:r w:rsidRPr="00B9583E">
        <w:rPr>
          <w:rStyle w:val="AERbody"/>
        </w:rPr>
        <w:t xml:space="preserve">. Our detailed assessment of the proposed opening capital base is set out in </w:t>
      </w:r>
      <w:r w:rsidR="00F0001F">
        <w:rPr>
          <w:rStyle w:val="AERbody"/>
        </w:rPr>
        <w:t xml:space="preserve">capital base </w:t>
      </w:r>
      <w:r w:rsidRPr="00B9583E">
        <w:rPr>
          <w:rStyle w:val="AERbody"/>
        </w:rPr>
        <w:t>attachment 2.</w:t>
      </w:r>
    </w:p>
    <w:p w:rsidR="002D7525" w:rsidRPr="00B9583E" w:rsidRDefault="002D7525" w:rsidP="002D7525">
      <w:pPr>
        <w:pStyle w:val="AERbulletlistfirststyle"/>
        <w:ind w:left="360" w:hanging="360"/>
        <w:rPr>
          <w:rStyle w:val="AERbody"/>
        </w:rPr>
      </w:pPr>
      <w:r w:rsidRPr="00B9583E">
        <w:rPr>
          <w:rStyle w:val="AERbody"/>
        </w:rPr>
        <w:lastRenderedPageBreak/>
        <w:t xml:space="preserve">an update to the forecast inflation proposed by </w:t>
      </w:r>
      <w:r w:rsidR="009C7CF6">
        <w:rPr>
          <w:rStyle w:val="AERbody"/>
        </w:rPr>
        <w:t>ActewAGL</w:t>
      </w:r>
      <w:r w:rsidRPr="00B9583E">
        <w:rPr>
          <w:rStyle w:val="AERbody"/>
        </w:rPr>
        <w:t xml:space="preserve"> for </w:t>
      </w:r>
      <w:r w:rsidR="003612E6">
        <w:rPr>
          <w:rStyle w:val="AERbody"/>
        </w:rPr>
        <w:t xml:space="preserve">2015–16 and </w:t>
      </w:r>
      <w:r w:rsidRPr="00B9583E">
        <w:rPr>
          <w:rStyle w:val="AERbody"/>
        </w:rPr>
        <w:t xml:space="preserve">the 2016–21 access arrangement period. Our assessment of </w:t>
      </w:r>
      <w:r w:rsidR="009C7CF6">
        <w:rPr>
          <w:rStyle w:val="AERbody"/>
        </w:rPr>
        <w:t>ActewAGL</w:t>
      </w:r>
      <w:r w:rsidR="001C0406">
        <w:rPr>
          <w:rStyle w:val="AERbody"/>
        </w:rPr>
        <w:t>’</w:t>
      </w:r>
      <w:r w:rsidRPr="00B9583E">
        <w:rPr>
          <w:rStyle w:val="AERbody"/>
        </w:rPr>
        <w:t xml:space="preserve">s proposed forecast inflation is set out in </w:t>
      </w:r>
      <w:r w:rsidR="008B368C">
        <w:rPr>
          <w:rStyle w:val="AERbody"/>
        </w:rPr>
        <w:t xml:space="preserve">rate of return </w:t>
      </w:r>
      <w:r w:rsidRPr="00B9583E">
        <w:rPr>
          <w:rStyle w:val="AERbody"/>
        </w:rPr>
        <w:t>attachment 3.</w:t>
      </w:r>
    </w:p>
    <w:p w:rsidR="002D7525" w:rsidRPr="0013460D" w:rsidRDefault="00FE519D" w:rsidP="002D7525">
      <w:pPr>
        <w:rPr>
          <w:rFonts w:eastAsia="Times New Roman"/>
          <w:szCs w:val="24"/>
        </w:rPr>
      </w:pPr>
      <w:r>
        <w:fldChar w:fldCharType="begin"/>
      </w:r>
      <w:r>
        <w:instrText xml:space="preserve"> REF _Ref398283146 \h </w:instrText>
      </w:r>
      <w:r>
        <w:fldChar w:fldCharType="separate"/>
      </w:r>
      <w:r w:rsidR="00AC3D86" w:rsidRPr="009D5ECB">
        <w:t xml:space="preserve">Table </w:t>
      </w:r>
      <w:r w:rsidR="00AC3D86">
        <w:rPr>
          <w:noProof/>
        </w:rPr>
        <w:t>5</w:t>
      </w:r>
      <w:r w:rsidR="00AC3D86">
        <w:t>.</w:t>
      </w:r>
      <w:r w:rsidR="00AC3D86">
        <w:rPr>
          <w:noProof/>
        </w:rPr>
        <w:t>4</w:t>
      </w:r>
      <w:r>
        <w:fldChar w:fldCharType="end"/>
      </w:r>
      <w:r>
        <w:t xml:space="preserve"> </w:t>
      </w:r>
      <w:r w:rsidR="002D7525">
        <w:t>s</w:t>
      </w:r>
      <w:r w:rsidR="002D7525" w:rsidRPr="009D5ECB">
        <w:t xml:space="preserve">ets out our draft decision on the </w:t>
      </w:r>
      <w:r w:rsidR="002D7525">
        <w:t xml:space="preserve">standard and </w:t>
      </w:r>
      <w:r w:rsidR="002D7525" w:rsidRPr="009D5ECB">
        <w:t xml:space="preserve">remaining </w:t>
      </w:r>
      <w:r w:rsidR="002D7525">
        <w:t>asset</w:t>
      </w:r>
      <w:r w:rsidR="002D7525" w:rsidRPr="009D5ECB">
        <w:t xml:space="preserve"> lives </w:t>
      </w:r>
      <w:r w:rsidR="002D7525" w:rsidRPr="009D5ECB">
        <w:rPr>
          <w:rStyle w:val="AERbody"/>
        </w:rPr>
        <w:t xml:space="preserve">as at </w:t>
      </w:r>
      <w:r w:rsidR="002D7525">
        <w:rPr>
          <w:rStyle w:val="AERbody"/>
        </w:rPr>
        <w:t>1 July 201</w:t>
      </w:r>
      <w:r w:rsidR="003612E6">
        <w:rPr>
          <w:rStyle w:val="AERbody"/>
        </w:rPr>
        <w:t>5</w:t>
      </w:r>
      <w:r w:rsidR="002D7525" w:rsidRPr="009D5ECB">
        <w:rPr>
          <w:rStyle w:val="AERbody"/>
        </w:rPr>
        <w:t xml:space="preserve"> for </w:t>
      </w:r>
      <w:r w:rsidR="009C7CF6">
        <w:rPr>
          <w:rStyle w:val="AERbody"/>
        </w:rPr>
        <w:t>ActewAGL</w:t>
      </w:r>
      <w:r w:rsidR="002D7525" w:rsidRPr="009D5ECB">
        <w:t>.</w:t>
      </w:r>
    </w:p>
    <w:p w:rsidR="002D7525" w:rsidRDefault="002D7525" w:rsidP="00FE519D">
      <w:pPr>
        <w:pStyle w:val="Caption"/>
      </w:pPr>
      <w:bookmarkStart w:id="50" w:name="_Ref398283146"/>
      <w:r w:rsidRPr="009D5ECB">
        <w:t xml:space="preserve">Table </w:t>
      </w:r>
      <w:r w:rsidR="006367CD">
        <w:fldChar w:fldCharType="begin"/>
      </w:r>
      <w:r w:rsidR="006367CD">
        <w:instrText xml:space="preserve"> STYLEREF 1 \s </w:instrText>
      </w:r>
      <w:r w:rsidR="006367CD">
        <w:fldChar w:fldCharType="separate"/>
      </w:r>
      <w:r w:rsidR="00F81198">
        <w:rPr>
          <w:noProof/>
        </w:rPr>
        <w:t>5</w:t>
      </w:r>
      <w:r w:rsidR="006367CD">
        <w:rPr>
          <w:noProof/>
        </w:rPr>
        <w:fldChar w:fldCharType="end"/>
      </w:r>
      <w:r w:rsidR="00FE519D">
        <w:t>.</w:t>
      </w:r>
      <w:r w:rsidR="0035420C">
        <w:fldChar w:fldCharType="begin"/>
      </w:r>
      <w:r w:rsidR="0035420C">
        <w:instrText xml:space="preserve"> SEQ Table \* ARABIC \s 1 </w:instrText>
      </w:r>
      <w:r w:rsidR="0035420C">
        <w:fldChar w:fldCharType="separate"/>
      </w:r>
      <w:r w:rsidR="00F81198">
        <w:rPr>
          <w:noProof/>
        </w:rPr>
        <w:t>4</w:t>
      </w:r>
      <w:r w:rsidR="0035420C">
        <w:rPr>
          <w:noProof/>
        </w:rPr>
        <w:fldChar w:fldCharType="end"/>
      </w:r>
      <w:bookmarkEnd w:id="50"/>
      <w:r w:rsidRPr="009D5ECB">
        <w:tab/>
        <w:t xml:space="preserve">AER's draft decision on </w:t>
      </w:r>
      <w:r w:rsidR="009C7CF6" w:rsidRPr="009C7CF6">
        <w:t>ActewAGL</w:t>
      </w:r>
      <w:r w:rsidR="009C7CF6">
        <w:t>’</w:t>
      </w:r>
      <w:r>
        <w:t>s</w:t>
      </w:r>
      <w:r w:rsidRPr="009D5ECB">
        <w:t xml:space="preserve"> </w:t>
      </w:r>
      <w:r>
        <w:t xml:space="preserve">standard and </w:t>
      </w:r>
      <w:r w:rsidRPr="009D5ECB">
        <w:t xml:space="preserve">remaining </w:t>
      </w:r>
      <w:r>
        <w:t>asset</w:t>
      </w:r>
      <w:r w:rsidRPr="009D5ECB">
        <w:t xml:space="preserve"> lives as at </w:t>
      </w:r>
      <w:r>
        <w:t>1 July 201</w:t>
      </w:r>
      <w:r w:rsidR="002A2FFC">
        <w:t>5</w:t>
      </w:r>
      <w:r w:rsidRPr="009D5ECB">
        <w:t xml:space="preserve"> (years)</w:t>
      </w:r>
    </w:p>
    <w:tbl>
      <w:tblPr>
        <w:tblStyle w:val="AERtable-numbers"/>
        <w:tblW w:w="8755" w:type="dxa"/>
        <w:tblLayout w:type="fixed"/>
        <w:tblLook w:val="04A0" w:firstRow="1" w:lastRow="0" w:firstColumn="1" w:lastColumn="0" w:noHBand="0" w:noVBand="1"/>
      </w:tblPr>
      <w:tblGrid>
        <w:gridCol w:w="4100"/>
        <w:gridCol w:w="2245"/>
        <w:gridCol w:w="2410"/>
      </w:tblGrid>
      <w:tr w:rsidR="002D7525" w:rsidRPr="000D774E" w:rsidTr="0074382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2D7525" w:rsidRPr="000D774E" w:rsidRDefault="002D7525" w:rsidP="00743825"/>
        </w:tc>
        <w:tc>
          <w:tcPr>
            <w:tcW w:w="2245" w:type="dxa"/>
          </w:tcPr>
          <w:p w:rsidR="002D7525" w:rsidRPr="000D774E" w:rsidRDefault="002D7525" w:rsidP="00743825">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10" w:type="dxa"/>
          </w:tcPr>
          <w:p w:rsidR="002D7525" w:rsidRPr="00A575B0" w:rsidRDefault="002D7525" w:rsidP="00743825">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D776C6" w:rsidRPr="000D774E" w:rsidTr="00E441F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t>HP m</w:t>
            </w:r>
            <w:r w:rsidRPr="00B05B18">
              <w:t>ains</w:t>
            </w:r>
          </w:p>
        </w:tc>
        <w:tc>
          <w:tcPr>
            <w:tcW w:w="2245" w:type="dxa"/>
            <w:vAlign w:val="bottom"/>
          </w:tcPr>
          <w:p w:rsidR="00D776C6" w:rsidRPr="00B05B18" w:rsidRDefault="00D776C6"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B05B18">
              <w:rPr>
                <w:sz w:val="16"/>
                <w:szCs w:val="16"/>
              </w:rPr>
              <w:t>80</w:t>
            </w:r>
          </w:p>
        </w:tc>
        <w:tc>
          <w:tcPr>
            <w:tcW w:w="2410" w:type="dxa"/>
            <w:vAlign w:val="bottom"/>
          </w:tcPr>
          <w:p w:rsidR="00D776C6" w:rsidRPr="00E34933" w:rsidRDefault="00D776C6" w:rsidP="00E441F7">
            <w:pPr>
              <w:cnfStyle w:val="000000000000" w:firstRow="0" w:lastRow="0" w:firstColumn="0" w:lastColumn="0" w:oddVBand="0" w:evenVBand="0" w:oddHBand="0" w:evenHBand="0" w:firstRowFirstColumn="0" w:firstRowLastColumn="0" w:lastRowFirstColumn="0" w:lastRowLastColumn="0"/>
              <w:rPr>
                <w:rFonts w:cs="Arial"/>
                <w:szCs w:val="16"/>
              </w:rPr>
            </w:pPr>
            <w:r w:rsidRPr="00E34933">
              <w:rPr>
                <w:rFonts w:cs="Arial"/>
                <w:szCs w:val="16"/>
              </w:rPr>
              <w:t>64.1</w:t>
            </w:r>
          </w:p>
        </w:tc>
      </w:tr>
      <w:tr w:rsidR="00D776C6" w:rsidRPr="000D774E" w:rsidTr="00E441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t>HP s</w:t>
            </w:r>
            <w:r w:rsidRPr="00B05B18">
              <w:t>ervices</w:t>
            </w:r>
          </w:p>
        </w:tc>
        <w:tc>
          <w:tcPr>
            <w:tcW w:w="2245" w:type="dxa"/>
            <w:vAlign w:val="bottom"/>
          </w:tcPr>
          <w:p w:rsidR="00D776C6" w:rsidRPr="00B05B18" w:rsidRDefault="00D776C6"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B05B18">
              <w:rPr>
                <w:sz w:val="16"/>
                <w:szCs w:val="16"/>
              </w:rPr>
              <w:t>50</w:t>
            </w:r>
          </w:p>
        </w:tc>
        <w:tc>
          <w:tcPr>
            <w:tcW w:w="2410" w:type="dxa"/>
            <w:vAlign w:val="bottom"/>
          </w:tcPr>
          <w:p w:rsidR="00D776C6" w:rsidRPr="00E34933" w:rsidRDefault="00D776C6" w:rsidP="00E441F7">
            <w:pPr>
              <w:cnfStyle w:val="000000010000" w:firstRow="0" w:lastRow="0" w:firstColumn="0" w:lastColumn="0" w:oddVBand="0" w:evenVBand="0" w:oddHBand="0" w:evenHBand="1" w:firstRowFirstColumn="0" w:firstRowLastColumn="0" w:lastRowFirstColumn="0" w:lastRowLastColumn="0"/>
              <w:rPr>
                <w:rFonts w:cs="Arial"/>
                <w:szCs w:val="16"/>
              </w:rPr>
            </w:pPr>
            <w:r w:rsidRPr="00E34933">
              <w:rPr>
                <w:rFonts w:cs="Arial"/>
                <w:szCs w:val="16"/>
              </w:rPr>
              <w:t>27.5</w:t>
            </w:r>
          </w:p>
        </w:tc>
      </w:tr>
      <w:tr w:rsidR="00D776C6" w:rsidRPr="000D774E" w:rsidTr="00E441F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t>MP m</w:t>
            </w:r>
            <w:r w:rsidRPr="00B05B18">
              <w:t>ains</w:t>
            </w:r>
          </w:p>
        </w:tc>
        <w:tc>
          <w:tcPr>
            <w:tcW w:w="2245" w:type="dxa"/>
            <w:vAlign w:val="bottom"/>
          </w:tcPr>
          <w:p w:rsidR="00D776C6" w:rsidRPr="00B05B18" w:rsidRDefault="00D776C6"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B05B18">
              <w:rPr>
                <w:sz w:val="16"/>
                <w:szCs w:val="16"/>
              </w:rPr>
              <w:t>50</w:t>
            </w:r>
          </w:p>
        </w:tc>
        <w:tc>
          <w:tcPr>
            <w:tcW w:w="2410" w:type="dxa"/>
            <w:vAlign w:val="bottom"/>
          </w:tcPr>
          <w:p w:rsidR="00D776C6" w:rsidRPr="00E34933" w:rsidRDefault="00D776C6" w:rsidP="00E441F7">
            <w:pPr>
              <w:cnfStyle w:val="000000000000" w:firstRow="0" w:lastRow="0" w:firstColumn="0" w:lastColumn="0" w:oddVBand="0" w:evenVBand="0" w:oddHBand="0" w:evenHBand="0" w:firstRowFirstColumn="0" w:firstRowLastColumn="0" w:lastRowFirstColumn="0" w:lastRowLastColumn="0"/>
              <w:rPr>
                <w:rFonts w:cs="Arial"/>
                <w:szCs w:val="16"/>
              </w:rPr>
            </w:pPr>
            <w:r w:rsidRPr="00E34933">
              <w:rPr>
                <w:rFonts w:cs="Arial"/>
                <w:szCs w:val="16"/>
              </w:rPr>
              <w:t>27.4</w:t>
            </w:r>
          </w:p>
        </w:tc>
      </w:tr>
      <w:tr w:rsidR="00D776C6" w:rsidRPr="000D774E" w:rsidTr="00E441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t>MP s</w:t>
            </w:r>
            <w:r w:rsidRPr="00B05B18">
              <w:t>ervices</w:t>
            </w:r>
          </w:p>
        </w:tc>
        <w:tc>
          <w:tcPr>
            <w:tcW w:w="2245" w:type="dxa"/>
            <w:vAlign w:val="bottom"/>
          </w:tcPr>
          <w:p w:rsidR="00D776C6" w:rsidRPr="00B05B18" w:rsidRDefault="00D776C6"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B05B18">
              <w:rPr>
                <w:sz w:val="16"/>
                <w:szCs w:val="16"/>
              </w:rPr>
              <w:t>50</w:t>
            </w:r>
          </w:p>
        </w:tc>
        <w:tc>
          <w:tcPr>
            <w:tcW w:w="2410" w:type="dxa"/>
            <w:vAlign w:val="bottom"/>
          </w:tcPr>
          <w:p w:rsidR="00D776C6" w:rsidRPr="00E34933" w:rsidRDefault="00D776C6" w:rsidP="00E441F7">
            <w:pPr>
              <w:cnfStyle w:val="000000010000" w:firstRow="0" w:lastRow="0" w:firstColumn="0" w:lastColumn="0" w:oddVBand="0" w:evenVBand="0" w:oddHBand="0" w:evenHBand="1" w:firstRowFirstColumn="0" w:firstRowLastColumn="0" w:lastRowFirstColumn="0" w:lastRowLastColumn="0"/>
              <w:rPr>
                <w:rFonts w:cs="Arial"/>
                <w:szCs w:val="16"/>
              </w:rPr>
            </w:pPr>
            <w:r w:rsidRPr="00E34933">
              <w:rPr>
                <w:rFonts w:cs="Arial"/>
                <w:szCs w:val="16"/>
              </w:rPr>
              <w:t>37.5</w:t>
            </w:r>
          </w:p>
        </w:tc>
      </w:tr>
      <w:tr w:rsidR="00D776C6" w:rsidRPr="000D774E" w:rsidTr="00E441F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953824" w:rsidP="00E441F7">
            <w:r>
              <w:t xml:space="preserve">TRS &amp; DRS — </w:t>
            </w:r>
            <w:r w:rsidR="00D776C6">
              <w:t>valves &amp; r</w:t>
            </w:r>
            <w:r w:rsidR="00D776C6" w:rsidRPr="00B05B18">
              <w:t>egulators</w:t>
            </w:r>
          </w:p>
        </w:tc>
        <w:tc>
          <w:tcPr>
            <w:tcW w:w="2245" w:type="dxa"/>
            <w:vAlign w:val="bottom"/>
          </w:tcPr>
          <w:p w:rsidR="00D776C6" w:rsidRPr="00B05B18" w:rsidRDefault="00D776C6"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B05B18">
              <w:rPr>
                <w:sz w:val="16"/>
                <w:szCs w:val="16"/>
              </w:rPr>
              <w:t>15</w:t>
            </w:r>
          </w:p>
        </w:tc>
        <w:tc>
          <w:tcPr>
            <w:tcW w:w="2410" w:type="dxa"/>
            <w:vAlign w:val="bottom"/>
          </w:tcPr>
          <w:p w:rsidR="00D776C6" w:rsidRPr="00E34933" w:rsidRDefault="00D776C6" w:rsidP="00E441F7">
            <w:pPr>
              <w:cnfStyle w:val="000000000000" w:firstRow="0" w:lastRow="0" w:firstColumn="0" w:lastColumn="0" w:oddVBand="0" w:evenVBand="0" w:oddHBand="0" w:evenHBand="0" w:firstRowFirstColumn="0" w:firstRowLastColumn="0" w:lastRowFirstColumn="0" w:lastRowLastColumn="0"/>
              <w:rPr>
                <w:rFonts w:cs="Arial"/>
                <w:szCs w:val="16"/>
              </w:rPr>
            </w:pPr>
            <w:r w:rsidRPr="00E34933">
              <w:rPr>
                <w:rFonts w:cs="Arial"/>
                <w:szCs w:val="16"/>
              </w:rPr>
              <w:t>11.6</w:t>
            </w:r>
          </w:p>
        </w:tc>
      </w:tr>
      <w:tr w:rsidR="00D776C6" w:rsidRPr="000D774E" w:rsidTr="00E441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rsidRPr="00B05B18">
              <w:t>Contract meters</w:t>
            </w:r>
          </w:p>
        </w:tc>
        <w:tc>
          <w:tcPr>
            <w:tcW w:w="2245" w:type="dxa"/>
            <w:vAlign w:val="bottom"/>
          </w:tcPr>
          <w:p w:rsidR="00D776C6" w:rsidRPr="00B05B18" w:rsidRDefault="00D776C6"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B05B18">
              <w:rPr>
                <w:sz w:val="16"/>
                <w:szCs w:val="16"/>
              </w:rPr>
              <w:t>15</w:t>
            </w:r>
          </w:p>
        </w:tc>
        <w:tc>
          <w:tcPr>
            <w:tcW w:w="2410" w:type="dxa"/>
            <w:vAlign w:val="bottom"/>
          </w:tcPr>
          <w:p w:rsidR="00D776C6" w:rsidRPr="00E34933" w:rsidRDefault="00D776C6" w:rsidP="00E441F7">
            <w:pPr>
              <w:cnfStyle w:val="000000010000" w:firstRow="0" w:lastRow="0" w:firstColumn="0" w:lastColumn="0" w:oddVBand="0" w:evenVBand="0" w:oddHBand="0" w:evenHBand="1" w:firstRowFirstColumn="0" w:firstRowLastColumn="0" w:lastRowFirstColumn="0" w:lastRowLastColumn="0"/>
              <w:rPr>
                <w:rFonts w:cs="Arial"/>
                <w:szCs w:val="16"/>
              </w:rPr>
            </w:pPr>
            <w:r w:rsidRPr="00E34933">
              <w:rPr>
                <w:rFonts w:cs="Arial"/>
                <w:szCs w:val="16"/>
              </w:rPr>
              <w:t>12.8</w:t>
            </w:r>
          </w:p>
        </w:tc>
      </w:tr>
      <w:tr w:rsidR="00D776C6" w:rsidRPr="000D774E" w:rsidTr="00E441F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rsidRPr="00B05B18">
              <w:t>Tariff meters</w:t>
            </w:r>
          </w:p>
        </w:tc>
        <w:tc>
          <w:tcPr>
            <w:tcW w:w="2245" w:type="dxa"/>
            <w:vAlign w:val="bottom"/>
          </w:tcPr>
          <w:p w:rsidR="00D776C6" w:rsidRPr="00B05B18" w:rsidRDefault="00D776C6"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B05B18">
              <w:rPr>
                <w:sz w:val="16"/>
                <w:szCs w:val="16"/>
              </w:rPr>
              <w:t>15</w:t>
            </w:r>
          </w:p>
        </w:tc>
        <w:tc>
          <w:tcPr>
            <w:tcW w:w="2410" w:type="dxa"/>
            <w:vAlign w:val="bottom"/>
          </w:tcPr>
          <w:p w:rsidR="00D776C6" w:rsidRPr="00E34933" w:rsidRDefault="00D776C6" w:rsidP="00E441F7">
            <w:pPr>
              <w:cnfStyle w:val="000000000000" w:firstRow="0" w:lastRow="0" w:firstColumn="0" w:lastColumn="0" w:oddVBand="0" w:evenVBand="0" w:oddHBand="0" w:evenHBand="0" w:firstRowFirstColumn="0" w:firstRowLastColumn="0" w:lastRowFirstColumn="0" w:lastRowLastColumn="0"/>
              <w:rPr>
                <w:rFonts w:cs="Arial"/>
                <w:szCs w:val="16"/>
              </w:rPr>
            </w:pPr>
            <w:r w:rsidRPr="00E34933">
              <w:rPr>
                <w:rFonts w:cs="Arial"/>
                <w:szCs w:val="16"/>
              </w:rPr>
              <w:t>11.0</w:t>
            </w:r>
          </w:p>
        </w:tc>
      </w:tr>
      <w:tr w:rsidR="00D776C6" w:rsidRPr="000D774E" w:rsidTr="00E441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rsidRPr="00B05B18">
              <w:t>Regulatory costs</w:t>
            </w:r>
          </w:p>
        </w:tc>
        <w:tc>
          <w:tcPr>
            <w:tcW w:w="2245" w:type="dxa"/>
            <w:vAlign w:val="bottom"/>
          </w:tcPr>
          <w:p w:rsidR="00D776C6" w:rsidRPr="00B05B18" w:rsidRDefault="00D776C6"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B05B18">
              <w:rPr>
                <w:sz w:val="16"/>
                <w:szCs w:val="16"/>
              </w:rPr>
              <w:t>5</w:t>
            </w:r>
          </w:p>
        </w:tc>
        <w:tc>
          <w:tcPr>
            <w:tcW w:w="2410" w:type="dxa"/>
            <w:vAlign w:val="bottom"/>
          </w:tcPr>
          <w:p w:rsidR="00D776C6" w:rsidRPr="00E34933" w:rsidRDefault="00D776C6" w:rsidP="00E441F7">
            <w:pPr>
              <w:cnfStyle w:val="000000010000" w:firstRow="0" w:lastRow="0" w:firstColumn="0" w:lastColumn="0" w:oddVBand="0" w:evenVBand="0" w:oddHBand="0" w:evenHBand="1" w:firstRowFirstColumn="0" w:firstRowLastColumn="0" w:lastRowFirstColumn="0" w:lastRowLastColumn="0"/>
              <w:rPr>
                <w:rFonts w:cs="Arial"/>
                <w:szCs w:val="16"/>
              </w:rPr>
            </w:pPr>
            <w:r w:rsidRPr="00E34933">
              <w:rPr>
                <w:rFonts w:cs="Arial"/>
                <w:szCs w:val="16"/>
              </w:rPr>
              <w:t>1.0</w:t>
            </w:r>
          </w:p>
        </w:tc>
      </w:tr>
      <w:tr w:rsidR="00D776C6" w:rsidRPr="000D774E" w:rsidTr="00E441F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776C6" w:rsidRPr="00B05B18" w:rsidRDefault="00D776C6" w:rsidP="00E441F7">
            <w:r>
              <w:t>IT s</w:t>
            </w:r>
            <w:r w:rsidRPr="00B05B18">
              <w:t>ystem</w:t>
            </w:r>
          </w:p>
        </w:tc>
        <w:tc>
          <w:tcPr>
            <w:tcW w:w="2245" w:type="dxa"/>
            <w:vAlign w:val="bottom"/>
          </w:tcPr>
          <w:p w:rsidR="00D776C6" w:rsidRPr="00B05B18" w:rsidRDefault="00D776C6"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B05B18">
              <w:rPr>
                <w:sz w:val="16"/>
                <w:szCs w:val="16"/>
              </w:rPr>
              <w:t>5</w:t>
            </w:r>
          </w:p>
        </w:tc>
        <w:tc>
          <w:tcPr>
            <w:tcW w:w="2410" w:type="dxa"/>
            <w:vAlign w:val="bottom"/>
          </w:tcPr>
          <w:p w:rsidR="00D776C6" w:rsidRPr="00E34933" w:rsidRDefault="00E03AB3" w:rsidP="00E441F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E34933">
              <w:rPr>
                <w:sz w:val="16"/>
                <w:szCs w:val="16"/>
              </w:rPr>
              <w:t>5.4</w:t>
            </w:r>
          </w:p>
        </w:tc>
      </w:tr>
      <w:tr w:rsidR="00F84E8D" w:rsidRPr="000D774E" w:rsidTr="00E441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E8D" w:rsidRDefault="00F84E8D" w:rsidP="00E441F7">
            <w:r>
              <w:t>Land and easement</w:t>
            </w:r>
          </w:p>
        </w:tc>
        <w:tc>
          <w:tcPr>
            <w:tcW w:w="2245" w:type="dxa"/>
            <w:vAlign w:val="bottom"/>
          </w:tcPr>
          <w:p w:rsidR="00F84E8D" w:rsidRPr="00B05B18" w:rsidRDefault="00F84E8D"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c>
          <w:tcPr>
            <w:tcW w:w="2410" w:type="dxa"/>
            <w:vAlign w:val="bottom"/>
          </w:tcPr>
          <w:p w:rsidR="00F84E8D" w:rsidRDefault="00F84E8D" w:rsidP="00E441F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bl>
    <w:p w:rsidR="002D7525" w:rsidRDefault="002D7525" w:rsidP="002D7525">
      <w:pPr>
        <w:pStyle w:val="AERtablesource"/>
      </w:pPr>
      <w:r w:rsidRPr="009D5ECB">
        <w:t>Source:</w:t>
      </w:r>
      <w:r w:rsidRPr="009D5ECB">
        <w:tab/>
        <w:t xml:space="preserve">AER analysis. </w:t>
      </w:r>
    </w:p>
    <w:p w:rsidR="002D7525" w:rsidRPr="003B6D8A" w:rsidRDefault="002D7525" w:rsidP="002D7525">
      <w:pPr>
        <w:pStyle w:val="Heading3"/>
      </w:pPr>
      <w:bookmarkStart w:id="51" w:name="_Toc428257990"/>
      <w:bookmarkStart w:id="52" w:name="_Toc403391032"/>
      <w:bookmarkStart w:id="53" w:name="_Toc403391401"/>
      <w:bookmarkStart w:id="54" w:name="_Toc404353000"/>
      <w:bookmarkStart w:id="55" w:name="_Toc436041920"/>
      <w:r w:rsidRPr="003B6D8A">
        <w:t>Regulatory depreciation method</w:t>
      </w:r>
      <w:bookmarkEnd w:id="51"/>
      <w:bookmarkEnd w:id="55"/>
    </w:p>
    <w:p w:rsidR="00EC60E6" w:rsidRDefault="00EC60E6" w:rsidP="00EC60E6">
      <w:pPr>
        <w:rPr>
          <w:rStyle w:val="AERbody"/>
        </w:rPr>
      </w:pPr>
      <w:bookmarkStart w:id="56" w:name="_Toc428257991"/>
      <w:bookmarkEnd w:id="52"/>
      <w:bookmarkEnd w:id="53"/>
      <w:bookmarkEnd w:id="54"/>
      <w:r>
        <w:rPr>
          <w:rStyle w:val="AERbody"/>
        </w:rPr>
        <w:t xml:space="preserve">We are required to assess ActewAGL’s proposed depreciation schedule against the </w:t>
      </w:r>
      <w:r w:rsidRPr="004B63E1">
        <w:rPr>
          <w:rStyle w:val="AERbody"/>
        </w:rPr>
        <w:t>depreciation criteria as set out in rule 89 of the NGR. We accept A</w:t>
      </w:r>
      <w:r>
        <w:rPr>
          <w:rStyle w:val="AERbody"/>
        </w:rPr>
        <w:t>ctewAGL’</w:t>
      </w:r>
      <w:r w:rsidRPr="004B63E1">
        <w:rPr>
          <w:rStyle w:val="AERbody"/>
        </w:rPr>
        <w:t xml:space="preserve">s proposed method to calculate the regulatory depreciation allowance which is the straight-line depreciation amount less the annual inflation indexation on the projected capital base. </w:t>
      </w:r>
      <w:r w:rsidRPr="00FD197B">
        <w:rPr>
          <w:rStyle w:val="AERbody"/>
        </w:rPr>
        <w:t>A</w:t>
      </w:r>
      <w:r w:rsidR="00B359F0">
        <w:rPr>
          <w:rStyle w:val="AERbody"/>
        </w:rPr>
        <w:t>ctewAGL</w:t>
      </w:r>
      <w:r w:rsidRPr="00FD197B">
        <w:rPr>
          <w:rStyle w:val="AERbody"/>
        </w:rPr>
        <w:t xml:space="preserve">’s proposal adopted our </w:t>
      </w:r>
      <w:r>
        <w:rPr>
          <w:rStyle w:val="AERbody"/>
        </w:rPr>
        <w:t xml:space="preserve">PTRM </w:t>
      </w:r>
      <w:r w:rsidRPr="00FD197B">
        <w:rPr>
          <w:rStyle w:val="AERbody"/>
        </w:rPr>
        <w:t xml:space="preserve">for calculating the total revenue requirement and is therefore consistent with our standard approach for calculating regulatory depreciation as discussed in section </w:t>
      </w:r>
      <w:r>
        <w:rPr>
          <w:rStyle w:val="AERbody"/>
        </w:rPr>
        <w:t>5.3</w:t>
      </w:r>
      <w:r w:rsidRPr="00FD197B">
        <w:rPr>
          <w:rStyle w:val="AERbody"/>
        </w:rPr>
        <w:t>.</w:t>
      </w:r>
      <w:r w:rsidRPr="00486B75">
        <w:rPr>
          <w:rStyle w:val="AERbody"/>
        </w:rPr>
        <w:t xml:space="preserve"> </w:t>
      </w:r>
      <w:r>
        <w:rPr>
          <w:rStyle w:val="AERbody"/>
        </w:rPr>
        <w:t>We therefore accept A</w:t>
      </w:r>
      <w:r w:rsidR="00B359F0">
        <w:rPr>
          <w:rStyle w:val="AERbody"/>
        </w:rPr>
        <w:t>ctewAGL</w:t>
      </w:r>
      <w:r>
        <w:rPr>
          <w:rStyle w:val="AERbody"/>
        </w:rPr>
        <w:t>’s proposal</w:t>
      </w:r>
      <w:r w:rsidRPr="004B63E1">
        <w:rPr>
          <w:rStyle w:val="AERbody"/>
        </w:rPr>
        <w:t xml:space="preserve"> because we are satisfied that the proposed </w:t>
      </w:r>
      <w:r>
        <w:rPr>
          <w:rStyle w:val="AERbody"/>
        </w:rPr>
        <w:t xml:space="preserve">depreciation </w:t>
      </w:r>
      <w:r w:rsidRPr="004B63E1">
        <w:rPr>
          <w:rStyle w:val="AERbody"/>
        </w:rPr>
        <w:t xml:space="preserve">method </w:t>
      </w:r>
      <w:r>
        <w:rPr>
          <w:rStyle w:val="AERbody"/>
        </w:rPr>
        <w:t>complies with</w:t>
      </w:r>
      <w:r w:rsidRPr="004B63E1">
        <w:rPr>
          <w:rStyle w:val="AERbody"/>
        </w:rPr>
        <w:t xml:space="preserve"> the depreciation criteria.</w:t>
      </w:r>
      <w:r w:rsidRPr="004B63E1">
        <w:rPr>
          <w:rStyle w:val="AERbody"/>
          <w:vertAlign w:val="superscript"/>
        </w:rPr>
        <w:footnoteReference w:id="31"/>
      </w:r>
    </w:p>
    <w:p w:rsidR="002D7525" w:rsidRDefault="002D7525" w:rsidP="002D7525">
      <w:pPr>
        <w:rPr>
          <w:rStyle w:val="AERbody"/>
        </w:rPr>
      </w:pPr>
      <w:r w:rsidRPr="00FD197B">
        <w:rPr>
          <w:rStyle w:val="AERbody"/>
        </w:rPr>
        <w:t xml:space="preserve">In proposing the regulatory depreciation method, </w:t>
      </w:r>
      <w:r w:rsidR="004100A3">
        <w:rPr>
          <w:rStyle w:val="AERbody"/>
        </w:rPr>
        <w:t>ActewAGL made</w:t>
      </w:r>
      <w:r w:rsidR="00EC60E6">
        <w:rPr>
          <w:rStyle w:val="AERbody"/>
        </w:rPr>
        <w:t xml:space="preserve"> its proposed regulatory depreciation approach </w:t>
      </w:r>
      <w:r w:rsidR="004100A3">
        <w:rPr>
          <w:rStyle w:val="AERbody"/>
        </w:rPr>
        <w:t xml:space="preserve">contingent </w:t>
      </w:r>
      <w:r w:rsidR="00EC60E6">
        <w:rPr>
          <w:rStyle w:val="AERbody"/>
        </w:rPr>
        <w:t xml:space="preserve">on meeting certain </w:t>
      </w:r>
      <w:r w:rsidR="00B359F0">
        <w:rPr>
          <w:rStyle w:val="AERbody"/>
        </w:rPr>
        <w:t xml:space="preserve">BBB to </w:t>
      </w:r>
      <w:r w:rsidR="00EC60E6">
        <w:rPr>
          <w:rStyle w:val="AERbody"/>
        </w:rPr>
        <w:t xml:space="preserve">BBB+ credit </w:t>
      </w:r>
      <w:r w:rsidR="00EC60E6">
        <w:rPr>
          <w:rStyle w:val="AERbody"/>
        </w:rPr>
        <w:lastRenderedPageBreak/>
        <w:t>metrics.</w:t>
      </w:r>
      <w:r w:rsidR="004D0B41">
        <w:rPr>
          <w:rStyle w:val="FootnoteReference"/>
        </w:rPr>
        <w:footnoteReference w:id="32"/>
      </w:r>
      <w:r w:rsidR="00EC60E6">
        <w:rPr>
          <w:rStyle w:val="AERbody"/>
        </w:rPr>
        <w:t xml:space="preserve"> ActewAGL submitted that it must be allowed </w:t>
      </w:r>
      <w:r w:rsidR="00EC60E6" w:rsidRPr="00FD197B">
        <w:rPr>
          <w:rStyle w:val="AERbody"/>
        </w:rPr>
        <w:t xml:space="preserve">sufficient cash flow to maintain the benchmark BBB+ credit rating that is assumed </w:t>
      </w:r>
      <w:r w:rsidR="00EC60E6">
        <w:rPr>
          <w:rStyle w:val="AERbody"/>
        </w:rPr>
        <w:t>by the AER when</w:t>
      </w:r>
      <w:r w:rsidR="00EC60E6" w:rsidRPr="00FD197B">
        <w:rPr>
          <w:rStyle w:val="AERbody"/>
        </w:rPr>
        <w:t xml:space="preserve"> setting the rate of return.</w:t>
      </w:r>
      <w:r w:rsidR="00EC60E6">
        <w:rPr>
          <w:rStyle w:val="AERbody"/>
        </w:rPr>
        <w:t xml:space="preserve"> </w:t>
      </w:r>
      <w:r w:rsidR="00B359F0">
        <w:rPr>
          <w:rStyle w:val="AERbody"/>
        </w:rPr>
        <w:t>ActewAGL</w:t>
      </w:r>
      <w:r w:rsidR="004100A3">
        <w:rPr>
          <w:rStyle w:val="AERbody"/>
        </w:rPr>
        <w:t xml:space="preserve"> stated that it reserves its right</w:t>
      </w:r>
      <w:r w:rsidR="009B5C3F">
        <w:rPr>
          <w:rStyle w:val="AERbody"/>
        </w:rPr>
        <w:t xml:space="preserve"> </w:t>
      </w:r>
      <w:r w:rsidR="004100A3">
        <w:rPr>
          <w:rStyle w:val="AERbody"/>
        </w:rPr>
        <w:t>to amend its depreciation schedule should its proposed methodology to estimate the rate of return</w:t>
      </w:r>
      <w:r w:rsidR="008E5459">
        <w:rPr>
          <w:rStyle w:val="AERbody"/>
        </w:rPr>
        <w:t xml:space="preserve"> </w:t>
      </w:r>
      <w:r w:rsidR="004D0B41">
        <w:rPr>
          <w:rStyle w:val="AERbody"/>
        </w:rPr>
        <w:t xml:space="preserve">be </w:t>
      </w:r>
      <w:r w:rsidR="008E5459">
        <w:rPr>
          <w:rStyle w:val="AERbody"/>
        </w:rPr>
        <w:t>changed by the AER</w:t>
      </w:r>
      <w:r w:rsidR="004100A3">
        <w:rPr>
          <w:rStyle w:val="AERbody"/>
        </w:rPr>
        <w:t>.</w:t>
      </w:r>
      <w:r w:rsidR="009B5C3F" w:rsidRPr="00FD197B">
        <w:rPr>
          <w:rStyle w:val="AERbody"/>
          <w:vertAlign w:val="superscript"/>
        </w:rPr>
        <w:footnoteReference w:id="33"/>
      </w:r>
    </w:p>
    <w:p w:rsidR="00792209" w:rsidRDefault="00EC60E6" w:rsidP="00EC60E6">
      <w:pPr>
        <w:rPr>
          <w:rStyle w:val="AERbody"/>
        </w:rPr>
      </w:pPr>
      <w:r>
        <w:rPr>
          <w:rStyle w:val="AERbody"/>
        </w:rPr>
        <w:t xml:space="preserve">We do not accept ActewAGL’s </w:t>
      </w:r>
      <w:r w:rsidR="004D0B41">
        <w:rPr>
          <w:rStyle w:val="AERbody"/>
        </w:rPr>
        <w:t xml:space="preserve">contingent </w:t>
      </w:r>
      <w:r>
        <w:rPr>
          <w:rStyle w:val="AERbody"/>
        </w:rPr>
        <w:t xml:space="preserve">proposal </w:t>
      </w:r>
      <w:r w:rsidR="00792209">
        <w:rPr>
          <w:rStyle w:val="AERbody"/>
        </w:rPr>
        <w:t xml:space="preserve">to adjust its depreciation schedule in response </w:t>
      </w:r>
      <w:r w:rsidR="00C32C59">
        <w:rPr>
          <w:rStyle w:val="AERbody"/>
        </w:rPr>
        <w:t>to a financeability assessment</w:t>
      </w:r>
      <w:r w:rsidR="00792209">
        <w:rPr>
          <w:rStyle w:val="AERbody"/>
        </w:rPr>
        <w:t>.</w:t>
      </w:r>
      <w:r w:rsidR="00F6269F">
        <w:rPr>
          <w:rStyle w:val="FootnoteReference"/>
        </w:rPr>
        <w:footnoteReference w:id="34"/>
      </w:r>
      <w:r w:rsidR="00792209">
        <w:rPr>
          <w:rStyle w:val="AERbody"/>
        </w:rPr>
        <w:t xml:space="preserve"> We consider that ActewAGL’s contingent proposal appears to be incomplete and not fully specified. It is unclear how exactly ActewAGL proposes to assess its financeability, or exactly what adjustment would be made to its depreciation schedules if this assessment indicated that there was a financeability problem. ActewAGL has not demonstrated why </w:t>
      </w:r>
      <w:r w:rsidR="00C32C59">
        <w:rPr>
          <w:rStyle w:val="AERbody"/>
        </w:rPr>
        <w:t>an adjustment to depreciation is the appropriate response to financeability concerns</w:t>
      </w:r>
      <w:r w:rsidR="00FB2768">
        <w:rPr>
          <w:rStyle w:val="AERbody"/>
        </w:rPr>
        <w:t>, if they were established</w:t>
      </w:r>
      <w:r w:rsidR="00C32C59">
        <w:rPr>
          <w:rStyle w:val="AERbody"/>
        </w:rPr>
        <w:t xml:space="preserve">. ActewAGL’s proposal </w:t>
      </w:r>
      <w:r w:rsidR="00EA6CA1">
        <w:rPr>
          <w:rStyle w:val="AERbody"/>
        </w:rPr>
        <w:t>submitted</w:t>
      </w:r>
      <w:r w:rsidR="00C32C59">
        <w:rPr>
          <w:rStyle w:val="AERbody"/>
        </w:rPr>
        <w:t xml:space="preserve"> that it is the rate of return that is its core concern.</w:t>
      </w:r>
      <w:r w:rsidR="00F6269F">
        <w:rPr>
          <w:rStyle w:val="FootnoteReference"/>
        </w:rPr>
        <w:footnoteReference w:id="35"/>
      </w:r>
      <w:r w:rsidR="00C32C59">
        <w:rPr>
          <w:rStyle w:val="AERbody"/>
        </w:rPr>
        <w:t xml:space="preserve"> It is unclear why the depreciation building block, </w:t>
      </w:r>
      <w:r w:rsidR="00792209">
        <w:rPr>
          <w:rStyle w:val="AERbody"/>
        </w:rPr>
        <w:t>which is estimated accurately according to ActewAGL’s own proposal</w:t>
      </w:r>
      <w:r w:rsidR="00C32C59">
        <w:rPr>
          <w:rStyle w:val="AERbody"/>
        </w:rPr>
        <w:t>, should be adjusted in response. We note that a submission from Alternative Technology Association stated that it does not agree with ActewAGL’s proposal to increase its depreciation if the AER determines a lower rate of return.</w:t>
      </w:r>
      <w:r w:rsidR="00C32C59">
        <w:rPr>
          <w:rStyle w:val="FootnoteReference"/>
        </w:rPr>
        <w:footnoteReference w:id="36"/>
      </w:r>
      <w:r w:rsidR="00C32C59">
        <w:rPr>
          <w:rStyle w:val="AERbody"/>
        </w:rPr>
        <w:t xml:space="preserve"> For all these reasons, we do not accept ActewAGL’s contingent proposal.</w:t>
      </w:r>
    </w:p>
    <w:p w:rsidR="00D76BDC" w:rsidRDefault="00B848A6" w:rsidP="00D76BDC">
      <w:r>
        <w:t xml:space="preserve">Also, we note under this draft decision, the reduced tariffs in 2016–17 are a result of lower costs (including lower cost of capital and lower capital base). For the remaining years of the 2016–21 access arrangement the draft decision provides for a stable tariff path as shown in figure </w:t>
      </w:r>
      <w:r w:rsidR="0027572A">
        <w:t>6</w:t>
      </w:r>
      <w:r>
        <w:t xml:space="preserve"> of the overview. </w:t>
      </w:r>
      <w:r w:rsidR="00D76BDC">
        <w:t>Therefore, we are satisfied that the proposed regulatory depreciation approach allows reference tariffs to vary, over time, in a way that promotes efficient growth in the market for reference services.</w:t>
      </w:r>
      <w:r w:rsidR="00D76BDC">
        <w:rPr>
          <w:rStyle w:val="FootnoteReference"/>
        </w:rPr>
        <w:footnoteReference w:id="37"/>
      </w:r>
    </w:p>
    <w:p w:rsidR="00D76BDC" w:rsidRDefault="00D76BDC" w:rsidP="00D76BDC">
      <w:r>
        <w:rPr>
          <w:rStyle w:val="AERbody"/>
        </w:rPr>
        <w:t>For the reasons discussed above, we are</w:t>
      </w:r>
      <w:r w:rsidRPr="004666F9">
        <w:t xml:space="preserve"> </w:t>
      </w:r>
      <w:r>
        <w:t>satisfied that the proposed regulatory depreciation approach</w:t>
      </w:r>
      <w:r w:rsidRPr="00471C48">
        <w:t xml:space="preserve"> </w:t>
      </w:r>
      <w:r>
        <w:t>complies with</w:t>
      </w:r>
      <w:r w:rsidRPr="00471C48">
        <w:t xml:space="preserve"> the </w:t>
      </w:r>
      <w:r>
        <w:t xml:space="preserve">NGR’s </w:t>
      </w:r>
      <w:r w:rsidRPr="00471C48">
        <w:t>depreciation criteria.</w:t>
      </w:r>
      <w:r w:rsidRPr="00471C48">
        <w:rPr>
          <w:rStyle w:val="FootnoteReference"/>
        </w:rPr>
        <w:footnoteReference w:id="38"/>
      </w:r>
      <w:r w:rsidRPr="00471C48">
        <w:t xml:space="preserve"> </w:t>
      </w:r>
      <w:r>
        <w:t>We will use the same regulatory depreciation approach as accepted in this draft decision for the final decision, but with updated inputs</w:t>
      </w:r>
      <w:r w:rsidRPr="004666F9">
        <w:t xml:space="preserve"> </w:t>
      </w:r>
      <w:r>
        <w:t>for calculating the regulatory depreciation allowance such as the opening capital base (attachment 2) and remaining asset lives (section</w:t>
      </w:r>
      <w:r w:rsidR="00D84FC1">
        <w:t> </w:t>
      </w:r>
      <w:r w:rsidR="00AC3D86">
        <w:fldChar w:fldCharType="begin"/>
      </w:r>
      <w:r w:rsidR="00AC3D86">
        <w:instrText xml:space="preserve"> REF _Ref435687857 \r \h </w:instrText>
      </w:r>
      <w:r w:rsidR="00AC3D86">
        <w:fldChar w:fldCharType="separate"/>
      </w:r>
      <w:r w:rsidR="00AC3D86">
        <w:t>5.4.2</w:t>
      </w:r>
      <w:r w:rsidR="00AC3D86">
        <w:fldChar w:fldCharType="end"/>
      </w:r>
      <w:r>
        <w:t>).</w:t>
      </w:r>
    </w:p>
    <w:p w:rsidR="002D7525" w:rsidRDefault="002D7525" w:rsidP="002D7525">
      <w:pPr>
        <w:pStyle w:val="Heading3"/>
      </w:pPr>
      <w:bookmarkStart w:id="57" w:name="_Ref435687857"/>
      <w:bookmarkStart w:id="58" w:name="_Toc436041921"/>
      <w:r>
        <w:lastRenderedPageBreak/>
        <w:t>Asset</w:t>
      </w:r>
      <w:r w:rsidRPr="003B6D8A">
        <w:t xml:space="preserve"> lives</w:t>
      </w:r>
      <w:bookmarkEnd w:id="56"/>
      <w:bookmarkEnd w:id="57"/>
      <w:bookmarkEnd w:id="58"/>
    </w:p>
    <w:p w:rsidR="002D7525" w:rsidRPr="00D831B1" w:rsidRDefault="002D7525" w:rsidP="002D7525">
      <w:r>
        <w:rPr>
          <w:rStyle w:val="AERbody"/>
        </w:rPr>
        <w:t xml:space="preserve">The straight-line depreciation component of regulatory depreciation is calculated by dividing the asset value for each asset class by its standard asset life (for new assets) or remaining asset life (for existing assets). Our draft decision on </w:t>
      </w:r>
      <w:r w:rsidR="001254E1">
        <w:t>ActewAGL</w:t>
      </w:r>
      <w:r w:rsidR="00D17D0D">
        <w:t>’</w:t>
      </w:r>
      <w:r>
        <w:rPr>
          <w:rStyle w:val="AERbody"/>
        </w:rPr>
        <w:t>s standard and remaining asset lives follows.</w:t>
      </w:r>
    </w:p>
    <w:p w:rsidR="002D7525" w:rsidRDefault="002D7525" w:rsidP="00364A48">
      <w:pPr>
        <w:pStyle w:val="Heading4"/>
      </w:pPr>
      <w:bookmarkStart w:id="59" w:name="_Toc428257992"/>
      <w:bookmarkStart w:id="60" w:name="_Ref432606800"/>
      <w:r>
        <w:t>Standard asset life</w:t>
      </w:r>
      <w:bookmarkEnd w:id="59"/>
      <w:bookmarkEnd w:id="60"/>
    </w:p>
    <w:p w:rsidR="002D7525" w:rsidRPr="009D7438" w:rsidRDefault="002D7525" w:rsidP="002D7525">
      <w:pPr>
        <w:rPr>
          <w:rStyle w:val="AERbody"/>
        </w:rPr>
      </w:pPr>
      <w:r w:rsidRPr="009D7438">
        <w:rPr>
          <w:rStyle w:val="AERbody"/>
        </w:rPr>
        <w:t xml:space="preserve">We accept </w:t>
      </w:r>
      <w:r w:rsidR="001254E1">
        <w:t>ActewAGL</w:t>
      </w:r>
      <w:r w:rsidR="007C7237">
        <w:rPr>
          <w:rStyle w:val="AERbody"/>
        </w:rPr>
        <w:t>’</w:t>
      </w:r>
      <w:r w:rsidRPr="009D7438">
        <w:rPr>
          <w:rStyle w:val="AERbody"/>
        </w:rPr>
        <w:t>s proposed standard asset lives for its existing asset classes, because they are:</w:t>
      </w:r>
    </w:p>
    <w:p w:rsidR="002D7525" w:rsidRPr="009D7438" w:rsidRDefault="002D7525" w:rsidP="002D7525">
      <w:pPr>
        <w:pStyle w:val="AERbulletlistfirststyle"/>
        <w:ind w:left="360" w:hanging="360"/>
      </w:pPr>
      <w:r w:rsidRPr="009D7438">
        <w:t>consistent with our approved s</w:t>
      </w:r>
      <w:r w:rsidR="002174D7">
        <w:t>tandard asset lives for the 2010</w:t>
      </w:r>
      <w:r w:rsidRPr="009D7438">
        <w:t>–1</w:t>
      </w:r>
      <w:r w:rsidR="002174D7">
        <w:t>5</w:t>
      </w:r>
      <w:r w:rsidRPr="009D7438">
        <w:t xml:space="preserve"> </w:t>
      </w:r>
      <w:r w:rsidR="002174D7">
        <w:t>access arrangement period</w:t>
      </w:r>
    </w:p>
    <w:p w:rsidR="002D7525" w:rsidRPr="009D7438" w:rsidRDefault="002D7525" w:rsidP="002D7525">
      <w:pPr>
        <w:pStyle w:val="AERbulletlistfirststyle"/>
        <w:ind w:left="360" w:hanging="360"/>
      </w:pPr>
      <w:r w:rsidRPr="009D7438">
        <w:t>comparable with the standard asset lives approved in our recent determinations for other gas distribution service providers.</w:t>
      </w:r>
      <w:r w:rsidRPr="00B9583E">
        <w:rPr>
          <w:rStyle w:val="FootnoteReference"/>
          <w:rFonts w:cstheme="minorBidi"/>
        </w:rPr>
        <w:footnoteReference w:id="39"/>
      </w:r>
      <w:r w:rsidRPr="009D7438">
        <w:t xml:space="preserve"> </w:t>
      </w:r>
    </w:p>
    <w:p w:rsidR="009B417F" w:rsidRDefault="002D7525" w:rsidP="002D7525">
      <w:r>
        <w:t>W</w:t>
      </w:r>
      <w:r w:rsidRPr="00F909C7">
        <w:t xml:space="preserve">e are satisfied the proposed standard </w:t>
      </w:r>
      <w:r>
        <w:t>asset</w:t>
      </w:r>
      <w:r w:rsidRPr="00F909C7">
        <w:t xml:space="preserve"> lives reflect </w:t>
      </w:r>
      <w:r>
        <w:t>the requirements of rule</w:t>
      </w:r>
      <w:r w:rsidR="00D84FC1">
        <w:t> </w:t>
      </w:r>
      <w:r>
        <w:t xml:space="preserve">89(1) of the </w:t>
      </w:r>
      <w:r w:rsidRPr="00F909C7">
        <w:t>NGR</w:t>
      </w:r>
      <w:r>
        <w:t xml:space="preserve">. </w:t>
      </w:r>
    </w:p>
    <w:p w:rsidR="009B417F" w:rsidRDefault="00D67D75" w:rsidP="002D7525">
      <w:r>
        <w:t>In addition to the proposed asset clas</w:t>
      </w:r>
      <w:r w:rsidR="00143CDD">
        <w:t>s</w:t>
      </w:r>
      <w:r>
        <w:t>es, w</w:t>
      </w:r>
      <w:r w:rsidR="009B417F">
        <w:t>e create</w:t>
      </w:r>
      <w:r w:rsidR="00A94875">
        <w:t>d</w:t>
      </w:r>
      <w:r w:rsidR="009B417F">
        <w:t xml:space="preserve"> a</w:t>
      </w:r>
      <w:r w:rsidR="00C06869">
        <w:t xml:space="preserve"> </w:t>
      </w:r>
      <w:r w:rsidR="00285056">
        <w:t xml:space="preserve">‘Land and easement’ asset class </w:t>
      </w:r>
      <w:r w:rsidR="009B417F">
        <w:t xml:space="preserve">for </w:t>
      </w:r>
      <w:r w:rsidR="00285056">
        <w:t xml:space="preserve">ActewAGL’s </w:t>
      </w:r>
      <w:r w:rsidR="009B417F">
        <w:t xml:space="preserve">forecast </w:t>
      </w:r>
      <w:r w:rsidR="00A94875">
        <w:t>l</w:t>
      </w:r>
      <w:r w:rsidR="00285056">
        <w:t>and capex</w:t>
      </w:r>
      <w:r w:rsidR="006243BA">
        <w:t xml:space="preserve"> in 2015–16 and</w:t>
      </w:r>
      <w:r w:rsidR="00A94875">
        <w:t xml:space="preserve"> the</w:t>
      </w:r>
      <w:r w:rsidR="006243BA">
        <w:t xml:space="preserve"> 2016–21 access arrangement </w:t>
      </w:r>
      <w:r w:rsidR="00143CDD">
        <w:t>period</w:t>
      </w:r>
      <w:r w:rsidR="009B417F">
        <w:t>.</w:t>
      </w:r>
      <w:r w:rsidR="00412AA2">
        <w:t xml:space="preserve"> We have </w:t>
      </w:r>
      <w:r w:rsidR="00B41BEE">
        <w:t>not applied a standard asset lif</w:t>
      </w:r>
      <w:r w:rsidR="00412AA2">
        <w:t xml:space="preserve">e to this new asset class. </w:t>
      </w:r>
      <w:r w:rsidR="00B41BEE">
        <w:t>‘</w:t>
      </w:r>
      <w:r w:rsidR="00285056">
        <w:t>Land</w:t>
      </w:r>
      <w:r w:rsidR="006243BA">
        <w:t xml:space="preserve"> and easement</w:t>
      </w:r>
      <w:r w:rsidR="00B41BEE">
        <w:t>’</w:t>
      </w:r>
      <w:r w:rsidR="00285056">
        <w:t xml:space="preserve"> was not a separate ass</w:t>
      </w:r>
      <w:r w:rsidR="006243BA">
        <w:t>et class in ActewAGL’s proposal.</w:t>
      </w:r>
      <w:r w:rsidR="00285056">
        <w:t xml:space="preserve"> We consider that a separate asset cl</w:t>
      </w:r>
      <w:r w:rsidR="00143CDD">
        <w:t>a</w:t>
      </w:r>
      <w:r w:rsidR="00285056">
        <w:t>ss for land</w:t>
      </w:r>
      <w:r w:rsidR="006243BA">
        <w:t xml:space="preserve"> and easement</w:t>
      </w:r>
      <w:r w:rsidR="00285056">
        <w:t xml:space="preserve"> </w:t>
      </w:r>
      <w:r w:rsidR="00256E8F">
        <w:t xml:space="preserve">forecast capex </w:t>
      </w:r>
      <w:r w:rsidR="00285056">
        <w:t xml:space="preserve">is </w:t>
      </w:r>
      <w:r w:rsidR="00143CDD">
        <w:t>necessary</w:t>
      </w:r>
      <w:r w:rsidR="00285056">
        <w:t xml:space="preserve"> due to </w:t>
      </w:r>
      <w:r w:rsidR="006243BA">
        <w:t>their</w:t>
      </w:r>
      <w:r w:rsidR="00285056">
        <w:t xml:space="preserve"> unique depreciation requirement.</w:t>
      </w:r>
      <w:r w:rsidR="006243BA">
        <w:t xml:space="preserve"> Land </w:t>
      </w:r>
      <w:r w:rsidR="00886773">
        <w:t>assets (</w:t>
      </w:r>
      <w:r w:rsidR="006243BA">
        <w:t xml:space="preserve">and </w:t>
      </w:r>
      <w:r w:rsidR="00886773">
        <w:t>related purchases)</w:t>
      </w:r>
      <w:r w:rsidR="006243BA">
        <w:t xml:space="preserve"> </w:t>
      </w:r>
      <w:r w:rsidR="00886773">
        <w:t xml:space="preserve">do </w:t>
      </w:r>
      <w:r w:rsidR="006243BA">
        <w:t>no</w:t>
      </w:r>
      <w:r w:rsidR="00886773">
        <w:t xml:space="preserve">t </w:t>
      </w:r>
      <w:r w:rsidR="006243BA">
        <w:t>depreciat</w:t>
      </w:r>
      <w:r w:rsidR="00886773">
        <w:t>e</w:t>
      </w:r>
      <w:r w:rsidR="006243BA">
        <w:t xml:space="preserve"> and therefore should not have a standard asset life for depreciation purposes. This approach is consistent with </w:t>
      </w:r>
      <w:r w:rsidR="00412AA2">
        <w:t xml:space="preserve">Australian accounting standards and </w:t>
      </w:r>
      <w:r w:rsidR="00A94875">
        <w:t xml:space="preserve">the </w:t>
      </w:r>
      <w:r w:rsidR="00412AA2">
        <w:t>ATO’s treatment for such assets.</w:t>
      </w:r>
      <w:r w:rsidR="00412AA2" w:rsidRPr="009B5C3F">
        <w:rPr>
          <w:rStyle w:val="FootnoteReference"/>
        </w:rPr>
        <w:footnoteReference w:id="40"/>
      </w:r>
      <w:r w:rsidR="00412AA2" w:rsidRPr="009B5C3F">
        <w:rPr>
          <w:rStyle w:val="FootnoteReference"/>
        </w:rPr>
        <w:t xml:space="preserve"> </w:t>
      </w:r>
      <w:r w:rsidR="00412AA2">
        <w:t>We have also consistently tre</w:t>
      </w:r>
      <w:r w:rsidR="00143CDD">
        <w:t>ated land a</w:t>
      </w:r>
      <w:r w:rsidR="00412AA2">
        <w:t>nd easement as non-depreciating assets for</w:t>
      </w:r>
      <w:r w:rsidR="006243BA">
        <w:t xml:space="preserve"> other regulated businesses. </w:t>
      </w:r>
      <w:r w:rsidR="00A94875">
        <w:t xml:space="preserve">For modelling purposes, we have assigned </w:t>
      </w:r>
      <w:r w:rsidR="00B359F0">
        <w:t xml:space="preserve">the standard asset life input of </w:t>
      </w:r>
      <w:r w:rsidR="00A94875">
        <w:t>“n/a”</w:t>
      </w:r>
      <w:r w:rsidR="00B359F0">
        <w:t xml:space="preserve"> in the PTRM for the ‘Land and easement’ asset class.</w:t>
      </w:r>
    </w:p>
    <w:p w:rsidR="002D7525" w:rsidRDefault="002D7525" w:rsidP="002D7525">
      <w:r w:rsidRPr="00350754">
        <w:fldChar w:fldCharType="begin"/>
      </w:r>
      <w:r w:rsidRPr="00350754">
        <w:instrText xml:space="preserve"> REF _Ref398283146 \h </w:instrText>
      </w:r>
      <w:r>
        <w:instrText xml:space="preserve"> \* MERGEFORMAT </w:instrText>
      </w:r>
      <w:r w:rsidRPr="00350754">
        <w:fldChar w:fldCharType="separate"/>
      </w:r>
      <w:r w:rsidR="00AC3D86" w:rsidRPr="009D5ECB">
        <w:t xml:space="preserve">Table </w:t>
      </w:r>
      <w:r w:rsidR="00AC3D86">
        <w:rPr>
          <w:noProof/>
        </w:rPr>
        <w:t>5.4</w:t>
      </w:r>
      <w:r w:rsidRPr="00350754">
        <w:fldChar w:fldCharType="end"/>
      </w:r>
      <w:r>
        <w:t xml:space="preserve"> </w:t>
      </w:r>
      <w:r w:rsidRPr="00350754">
        <w:t xml:space="preserve">sets out our draft decision on the standard </w:t>
      </w:r>
      <w:r>
        <w:t>asset lives</w:t>
      </w:r>
      <w:r w:rsidRPr="00350754">
        <w:rPr>
          <w:rStyle w:val="AERbody"/>
        </w:rPr>
        <w:t xml:space="preserve"> for </w:t>
      </w:r>
      <w:r w:rsidR="001254E1">
        <w:t xml:space="preserve">ActewAGL </w:t>
      </w:r>
      <w:r>
        <w:rPr>
          <w:rStyle w:val="AERbody"/>
        </w:rPr>
        <w:t xml:space="preserve">over </w:t>
      </w:r>
      <w:r w:rsidR="009B581A">
        <w:rPr>
          <w:rStyle w:val="AERbody"/>
        </w:rPr>
        <w:t xml:space="preserve">2015–16 and </w:t>
      </w:r>
      <w:r>
        <w:rPr>
          <w:rStyle w:val="AERbody"/>
        </w:rPr>
        <w:t>the 2016–21 access arrangement period</w:t>
      </w:r>
      <w:r w:rsidRPr="00350754">
        <w:t>.</w:t>
      </w:r>
      <w:r>
        <w:t xml:space="preserve"> </w:t>
      </w:r>
    </w:p>
    <w:p w:rsidR="002D7525" w:rsidRDefault="002D7525" w:rsidP="00AC30F5">
      <w:pPr>
        <w:pStyle w:val="Heading4"/>
        <w:keepNext/>
        <w:ind w:left="862" w:hanging="862"/>
      </w:pPr>
      <w:bookmarkStart w:id="61" w:name="_Toc403391033"/>
      <w:bookmarkStart w:id="62" w:name="_Toc403391402"/>
      <w:bookmarkStart w:id="63" w:name="_Toc404353001"/>
      <w:bookmarkStart w:id="64" w:name="_Toc428257993"/>
      <w:r w:rsidRPr="009D5ECB">
        <w:lastRenderedPageBreak/>
        <w:t xml:space="preserve">Remaining </w:t>
      </w:r>
      <w:r>
        <w:t>asset</w:t>
      </w:r>
      <w:r w:rsidRPr="009D5ECB">
        <w:t xml:space="preserve"> lives</w:t>
      </w:r>
      <w:bookmarkEnd w:id="61"/>
      <w:bookmarkEnd w:id="62"/>
      <w:bookmarkEnd w:id="63"/>
      <w:bookmarkEnd w:id="64"/>
    </w:p>
    <w:p w:rsidR="002D7525" w:rsidRPr="00601AAC" w:rsidRDefault="002D7525" w:rsidP="002D7525">
      <w:r w:rsidRPr="006733E6">
        <w:t xml:space="preserve">We </w:t>
      </w:r>
      <w:r>
        <w:t xml:space="preserve">accept </w:t>
      </w:r>
      <w:r w:rsidR="001254E1">
        <w:t>ActewAGL</w:t>
      </w:r>
      <w:r>
        <w:t xml:space="preserve">’s proposed weighted average method to calculate </w:t>
      </w:r>
      <w:r w:rsidRPr="006733E6">
        <w:t xml:space="preserve">the remaining </w:t>
      </w:r>
      <w:r>
        <w:t xml:space="preserve">asset </w:t>
      </w:r>
      <w:r w:rsidRPr="006733E6">
        <w:t xml:space="preserve">lives </w:t>
      </w:r>
      <w:r>
        <w:t>as at 1 July 201</w:t>
      </w:r>
      <w:r w:rsidR="009B581A">
        <w:t>5</w:t>
      </w:r>
      <w:r w:rsidRPr="006733E6">
        <w:t>.</w:t>
      </w:r>
      <w:r w:rsidR="003506B6">
        <w:rPr>
          <w:rStyle w:val="FootnoteReference"/>
        </w:rPr>
        <w:footnoteReference w:id="41"/>
      </w:r>
      <w:r>
        <w:t xml:space="preserve"> The proposed method is consistent with our preferred approach</w:t>
      </w:r>
      <w:r w:rsidR="00BD374B">
        <w:t xml:space="preserve"> as discussed in section </w:t>
      </w:r>
      <w:r w:rsidR="00BD374B">
        <w:fldChar w:fldCharType="begin"/>
      </w:r>
      <w:r w:rsidR="00BD374B">
        <w:instrText xml:space="preserve"> REF _Ref429991037 \r \h </w:instrText>
      </w:r>
      <w:r w:rsidR="00BD374B">
        <w:fldChar w:fldCharType="separate"/>
      </w:r>
      <w:r w:rsidR="00F81198">
        <w:t>5.3</w:t>
      </w:r>
      <w:r w:rsidR="00BD374B">
        <w:fldChar w:fldCharType="end"/>
      </w:r>
      <w:r>
        <w:t>.</w:t>
      </w:r>
      <w:r w:rsidR="00693464">
        <w:t xml:space="preserve"> We also accept the proposed remaining asset lives as at 1 July 2015</w:t>
      </w:r>
      <w:r w:rsidR="00745E55">
        <w:t xml:space="preserve"> because we </w:t>
      </w:r>
      <w:r w:rsidR="00D17D0D">
        <w:t>accepted the</w:t>
      </w:r>
      <w:r w:rsidR="00745E55">
        <w:t xml:space="preserve"> inputs </w:t>
      </w:r>
      <w:r w:rsidR="004F1EC7">
        <w:t>used to calculate</w:t>
      </w:r>
      <w:r w:rsidR="00D17D0D">
        <w:t xml:space="preserve"> the remaining asset lives </w:t>
      </w:r>
      <w:r w:rsidR="00745E55">
        <w:t>in the proposed RFM.</w:t>
      </w:r>
      <w:r w:rsidR="00693464">
        <w:t xml:space="preserve"> </w:t>
      </w:r>
      <w:r w:rsidRPr="00350754">
        <w:fldChar w:fldCharType="begin"/>
      </w:r>
      <w:r w:rsidRPr="00350754">
        <w:instrText xml:space="preserve"> REF _Ref398283146 \h </w:instrText>
      </w:r>
      <w:r>
        <w:instrText xml:space="preserve"> \* MERGEFORMAT </w:instrText>
      </w:r>
      <w:r w:rsidRPr="00350754">
        <w:fldChar w:fldCharType="separate"/>
      </w:r>
      <w:r w:rsidR="00F81198" w:rsidRPr="009D5ECB">
        <w:t xml:space="preserve">Table </w:t>
      </w:r>
      <w:r w:rsidR="00F81198">
        <w:rPr>
          <w:noProof/>
        </w:rPr>
        <w:t>5.4</w:t>
      </w:r>
      <w:r w:rsidRPr="00350754">
        <w:fldChar w:fldCharType="end"/>
      </w:r>
      <w:r>
        <w:t xml:space="preserve"> </w:t>
      </w:r>
      <w:r w:rsidRPr="00350754">
        <w:t xml:space="preserve">sets out our draft decision on the remaining </w:t>
      </w:r>
      <w:r>
        <w:t>asset</w:t>
      </w:r>
      <w:r w:rsidRPr="00350754">
        <w:t xml:space="preserve"> lives </w:t>
      </w:r>
      <w:r w:rsidRPr="00350754">
        <w:rPr>
          <w:rStyle w:val="AERbody"/>
        </w:rPr>
        <w:t xml:space="preserve">as at </w:t>
      </w:r>
      <w:r>
        <w:rPr>
          <w:rStyle w:val="AERbody"/>
        </w:rPr>
        <w:t>1 July 201</w:t>
      </w:r>
      <w:r w:rsidR="00CC5681">
        <w:rPr>
          <w:rStyle w:val="AERbody"/>
        </w:rPr>
        <w:t>5</w:t>
      </w:r>
      <w:r w:rsidRPr="00350754">
        <w:rPr>
          <w:rStyle w:val="AERbody"/>
        </w:rPr>
        <w:t xml:space="preserve"> for </w:t>
      </w:r>
      <w:r w:rsidR="001254E1">
        <w:t>ActewAGL</w:t>
      </w:r>
      <w:r w:rsidRPr="00350754">
        <w:t>.</w:t>
      </w:r>
    </w:p>
    <w:p w:rsidR="003F0BD3" w:rsidRPr="00CF5ECE" w:rsidRDefault="003F0BD3" w:rsidP="004C5AF0">
      <w:pPr>
        <w:pStyle w:val="Heading2"/>
        <w:tabs>
          <w:tab w:val="num" w:pos="0"/>
        </w:tabs>
      </w:pPr>
      <w:bookmarkStart w:id="65" w:name="_Toc403391034"/>
      <w:bookmarkStart w:id="66" w:name="_Toc403391403"/>
      <w:bookmarkStart w:id="67" w:name="_Toc404353002"/>
      <w:bookmarkStart w:id="68" w:name="_Toc436041922"/>
      <w:r w:rsidRPr="00CF5ECE">
        <w:t>Revisions</w:t>
      </w:r>
      <w:bookmarkEnd w:id="65"/>
      <w:bookmarkEnd w:id="66"/>
      <w:bookmarkEnd w:id="67"/>
      <w:bookmarkEnd w:id="68"/>
    </w:p>
    <w:p w:rsidR="003F0BD3" w:rsidRPr="00CF5ECE" w:rsidRDefault="00253208" w:rsidP="004C5AF0">
      <w:r>
        <w:t>We</w:t>
      </w:r>
      <w:r w:rsidR="003F0BD3" w:rsidRPr="00CF5ECE">
        <w:t xml:space="preserve"> require the following revisions to make the access arrangement proposal acceptable:</w:t>
      </w:r>
    </w:p>
    <w:p w:rsidR="003F0BD3" w:rsidRDefault="003F0BD3" w:rsidP="003F0BD3">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CF5ECE">
        <w:rPr>
          <w:rStyle w:val="Strong"/>
          <w:rFonts w:eastAsia="Calibri"/>
        </w:rPr>
        <w:t>Revision</w:t>
      </w:r>
      <w:r>
        <w:rPr>
          <w:rStyle w:val="Strong"/>
          <w:rFonts w:eastAsia="Calibri"/>
        </w:rPr>
        <w:t xml:space="preserve"> 5.1</w:t>
      </w:r>
      <w:r w:rsidRPr="006F3C7A">
        <w:rPr>
          <w:rFonts w:eastAsia="Calibri"/>
        </w:rPr>
        <w:t xml:space="preserve"> Make all necessar</w:t>
      </w:r>
      <w:r w:rsidR="00152B78">
        <w:rPr>
          <w:rFonts w:eastAsia="Calibri"/>
        </w:rPr>
        <w:t xml:space="preserve">y amendments to reflect </w:t>
      </w:r>
      <w:r w:rsidR="00253208">
        <w:rPr>
          <w:rFonts w:eastAsia="Calibri"/>
        </w:rPr>
        <w:t>this</w:t>
      </w:r>
      <w:r w:rsidRPr="006F3C7A">
        <w:rPr>
          <w:rFonts w:eastAsia="Calibri"/>
        </w:rPr>
        <w:t xml:space="preserve"> draft decision on the pro</w:t>
      </w:r>
      <w:r>
        <w:rPr>
          <w:rFonts w:eastAsia="Calibri"/>
        </w:rPr>
        <w:t>posed forecast regulatory depreciation allowance</w:t>
      </w:r>
      <w:r w:rsidRPr="006F3C7A">
        <w:rPr>
          <w:rFonts w:eastAsia="Calibri"/>
        </w:rPr>
        <w:t xml:space="preserve"> for </w:t>
      </w:r>
      <w:r w:rsidR="007F65B7">
        <w:rPr>
          <w:rFonts w:eastAsia="Calibri"/>
        </w:rPr>
        <w:t xml:space="preserve">2015–16 and </w:t>
      </w:r>
      <w:r w:rsidRPr="006F3C7A">
        <w:rPr>
          <w:rFonts w:eastAsia="Calibri"/>
        </w:rPr>
        <w:t>the 201</w:t>
      </w:r>
      <w:r>
        <w:rPr>
          <w:rFonts w:eastAsia="Calibri"/>
        </w:rPr>
        <w:t>6</w:t>
      </w:r>
      <w:r w:rsidRPr="006F3C7A">
        <w:rPr>
          <w:rFonts w:eastAsia="Calibri"/>
        </w:rPr>
        <w:t>–2</w:t>
      </w:r>
      <w:r>
        <w:rPr>
          <w:rFonts w:eastAsia="Calibri"/>
        </w:rPr>
        <w:t>1</w:t>
      </w:r>
      <w:r w:rsidRPr="006F3C7A">
        <w:rPr>
          <w:rFonts w:eastAsia="Calibri"/>
        </w:rPr>
        <w:t xml:space="preserve"> access arrangement period, as set out in </w:t>
      </w:r>
      <w:r>
        <w:rPr>
          <w:rFonts w:eastAsia="Calibri"/>
        </w:rPr>
        <w:fldChar w:fldCharType="begin"/>
      </w:r>
      <w:r>
        <w:rPr>
          <w:rFonts w:eastAsia="Calibri"/>
        </w:rPr>
        <w:instrText xml:space="preserve"> REF  _Ref398282397 \* Lower \h </w:instrText>
      </w:r>
      <w:r>
        <w:rPr>
          <w:rFonts w:eastAsia="Calibri"/>
        </w:rPr>
      </w:r>
      <w:r>
        <w:rPr>
          <w:rFonts w:eastAsia="Calibri"/>
        </w:rPr>
        <w:fldChar w:fldCharType="separate"/>
      </w:r>
      <w:r w:rsidR="00F81198">
        <w:t xml:space="preserve">table </w:t>
      </w:r>
      <w:r w:rsidR="00F81198">
        <w:rPr>
          <w:noProof/>
        </w:rPr>
        <w:t>5</w:t>
      </w:r>
      <w:r w:rsidR="00F81198">
        <w:t>.</w:t>
      </w:r>
      <w:r w:rsidR="00F81198">
        <w:rPr>
          <w:noProof/>
        </w:rPr>
        <w:t>1</w:t>
      </w:r>
      <w:r>
        <w:rPr>
          <w:rFonts w:eastAsia="Calibri"/>
        </w:rPr>
        <w:fldChar w:fldCharType="end"/>
      </w:r>
      <w:r>
        <w:rPr>
          <w:rFonts w:eastAsia="Calibri"/>
        </w:rPr>
        <w:t>.</w:t>
      </w:r>
    </w:p>
    <w:p w:rsidR="00790817" w:rsidRPr="006F3C7A" w:rsidRDefault="00790817" w:rsidP="003F0BD3">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Pr>
          <w:rStyle w:val="Strong"/>
          <w:rFonts w:eastAsia="Calibri"/>
        </w:rPr>
        <w:t>Revision 5.2</w:t>
      </w:r>
      <w:r>
        <w:rPr>
          <w:rStyle w:val="Strong"/>
          <w:rFonts w:eastAsia="Calibri"/>
        </w:rPr>
        <w:tab/>
      </w:r>
      <w:r w:rsidRPr="00790817">
        <w:rPr>
          <w:rFonts w:eastAsia="Calibri"/>
        </w:rPr>
        <w:t>Make all</w:t>
      </w:r>
      <w:r>
        <w:rPr>
          <w:rStyle w:val="Strong"/>
          <w:rFonts w:eastAsia="Calibri"/>
        </w:rPr>
        <w:t xml:space="preserve"> </w:t>
      </w:r>
      <w:r w:rsidRPr="00512156">
        <w:rPr>
          <w:rFonts w:eastAsia="Calibri"/>
        </w:rPr>
        <w:t xml:space="preserve">necessary amendments to reflect </w:t>
      </w:r>
      <w:r w:rsidR="00253208">
        <w:rPr>
          <w:rFonts w:eastAsia="Calibri"/>
        </w:rPr>
        <w:t>this</w:t>
      </w:r>
      <w:r w:rsidRPr="00512156">
        <w:rPr>
          <w:rFonts w:eastAsia="Calibri"/>
        </w:rPr>
        <w:t xml:space="preserve"> draft decision on the </w:t>
      </w:r>
      <w:r w:rsidR="007C6BE7">
        <w:rPr>
          <w:rFonts w:eastAsia="Calibri"/>
        </w:rPr>
        <w:t xml:space="preserve">standard </w:t>
      </w:r>
      <w:r w:rsidR="00463619">
        <w:rPr>
          <w:rFonts w:eastAsia="Calibri"/>
        </w:rPr>
        <w:t xml:space="preserve">asset </w:t>
      </w:r>
      <w:r w:rsidR="0088113E">
        <w:rPr>
          <w:rFonts w:eastAsia="Calibri"/>
        </w:rPr>
        <w:t xml:space="preserve">lives </w:t>
      </w:r>
      <w:r w:rsidR="00D3484B" w:rsidRPr="00512156">
        <w:rPr>
          <w:rFonts w:eastAsia="Calibri"/>
        </w:rPr>
        <w:t>and remaining asset lives as at 1</w:t>
      </w:r>
      <w:r w:rsidR="00DF6D1F">
        <w:rPr>
          <w:rFonts w:eastAsia="Calibri"/>
        </w:rPr>
        <w:t xml:space="preserve"> July 2015, as set out in </w:t>
      </w:r>
      <w:r w:rsidR="00DF6D1F">
        <w:rPr>
          <w:rFonts w:eastAsia="Calibri"/>
        </w:rPr>
        <w:fldChar w:fldCharType="begin"/>
      </w:r>
      <w:r w:rsidR="00DF6D1F">
        <w:rPr>
          <w:rFonts w:eastAsia="Calibri"/>
        </w:rPr>
        <w:instrText xml:space="preserve"> REF _Ref398283146 \h </w:instrText>
      </w:r>
      <w:r w:rsidR="00DF6D1F">
        <w:rPr>
          <w:rFonts w:eastAsia="Calibri"/>
        </w:rPr>
      </w:r>
      <w:r w:rsidR="00DF6D1F">
        <w:rPr>
          <w:rFonts w:eastAsia="Calibri"/>
        </w:rPr>
        <w:fldChar w:fldCharType="separate"/>
      </w:r>
      <w:r w:rsidR="00F81198">
        <w:t>t</w:t>
      </w:r>
      <w:r w:rsidR="00F81198" w:rsidRPr="009D5ECB">
        <w:t xml:space="preserve">able </w:t>
      </w:r>
      <w:r w:rsidR="00F81198">
        <w:rPr>
          <w:noProof/>
        </w:rPr>
        <w:t>5</w:t>
      </w:r>
      <w:r w:rsidR="00F81198">
        <w:t>.</w:t>
      </w:r>
      <w:r w:rsidR="00F81198">
        <w:rPr>
          <w:noProof/>
        </w:rPr>
        <w:t>4</w:t>
      </w:r>
      <w:r w:rsidR="00DF6D1F">
        <w:rPr>
          <w:rFonts w:eastAsia="Calibri"/>
        </w:rPr>
        <w:fldChar w:fldCharType="end"/>
      </w:r>
      <w:r w:rsidR="00DF6D1F">
        <w:rPr>
          <w:rFonts w:eastAsia="Calibri"/>
        </w:rPr>
        <w:t>.</w:t>
      </w:r>
    </w:p>
    <w:p w:rsidR="00474EC7" w:rsidRPr="00474EC7" w:rsidRDefault="00474EC7" w:rsidP="003F0BD3">
      <w:pPr>
        <w:spacing w:line="240" w:lineRule="auto"/>
      </w:pP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C" w:rsidRPr="00290C63" w:rsidRDefault="0035420C" w:rsidP="00290C63">
      <w:r>
        <w:separator/>
      </w:r>
    </w:p>
    <w:p w:rsidR="0035420C" w:rsidRDefault="0035420C"/>
  </w:endnote>
  <w:endnote w:type="continuationSeparator" w:id="0">
    <w:p w:rsidR="0035420C" w:rsidRPr="00290C63" w:rsidRDefault="0035420C" w:rsidP="00290C63">
      <w:r>
        <w:continuationSeparator/>
      </w:r>
    </w:p>
    <w:p w:rsidR="0035420C" w:rsidRDefault="0035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0C" w:rsidRDefault="0035420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5420C" w:rsidRDefault="0035420C">
    <w:pPr>
      <w:pStyle w:val="Footer"/>
    </w:pPr>
  </w:p>
  <w:p w:rsidR="0035420C" w:rsidRDefault="0035420C">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5420C" w:rsidRPr="00CA52A2" w:rsidRDefault="0035420C" w:rsidP="00CA52A2">
        <w:pPr>
          <w:pStyle w:val="Footer"/>
        </w:pPr>
        <w:r w:rsidRPr="00CA52A2">
          <w:fldChar w:fldCharType="begin"/>
        </w:r>
        <w:r>
          <w:instrText xml:space="preserve"> PAGE   \* MERGEFORMAT </w:instrText>
        </w:r>
        <w:r w:rsidRPr="00CA52A2">
          <w:fldChar w:fldCharType="separate"/>
        </w:r>
        <w:r w:rsidR="006367CD">
          <w:rPr>
            <w:noProof/>
          </w:rPr>
          <w:t>5-3</w:t>
        </w:r>
        <w:r w:rsidRPr="00CA52A2">
          <w:fldChar w:fldCharType="end"/>
        </w:r>
        <w:r>
          <w:t xml:space="preserve">     Attachment 5 </w:t>
        </w:r>
        <w:r w:rsidRPr="00CA52A2">
          <w:t xml:space="preserve">– </w:t>
        </w:r>
        <w:r>
          <w:t xml:space="preserve">Regulatory depreciation </w:t>
        </w:r>
        <w:r w:rsidRPr="00CA52A2">
          <w:t xml:space="preserve">| </w:t>
        </w:r>
        <w:r>
          <w:t>Draft decision: ActewAGL Access Arrangement 2016</w:t>
        </w:r>
        <w:r w:rsidRPr="00CA52A2">
          <w:t>–</w:t>
        </w:r>
        <w:r>
          <w:t>21</w:t>
        </w:r>
      </w:p>
    </w:sdtContent>
  </w:sdt>
  <w:p w:rsidR="0035420C" w:rsidRDefault="0035420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C" w:rsidRPr="00290C63" w:rsidRDefault="0035420C" w:rsidP="00290C63">
      <w:r>
        <w:separator/>
      </w:r>
    </w:p>
    <w:p w:rsidR="0035420C" w:rsidRDefault="0035420C"/>
  </w:footnote>
  <w:footnote w:type="continuationSeparator" w:id="0">
    <w:p w:rsidR="0035420C" w:rsidRPr="00290C63" w:rsidRDefault="0035420C" w:rsidP="00290C63">
      <w:r>
        <w:continuationSeparator/>
      </w:r>
    </w:p>
    <w:p w:rsidR="0035420C" w:rsidRDefault="0035420C"/>
  </w:footnote>
  <w:footnote w:id="1">
    <w:p w:rsidR="0035420C" w:rsidRDefault="0035420C" w:rsidP="002D7525">
      <w:pPr>
        <w:pStyle w:val="FootnoteText"/>
      </w:pPr>
      <w:r>
        <w:rPr>
          <w:rStyle w:val="FootnoteReference"/>
        </w:rPr>
        <w:footnoteRef/>
      </w:r>
      <w:r>
        <w:t xml:space="preserve"> </w:t>
      </w:r>
      <w:r>
        <w:tab/>
        <w:t>NGR, r. 76(b).</w:t>
      </w:r>
    </w:p>
  </w:footnote>
  <w:footnote w:id="2">
    <w:p w:rsidR="0035420C" w:rsidRDefault="0035420C" w:rsidP="0067601A">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35420C" w:rsidRDefault="0035420C" w:rsidP="002D7525">
      <w:pPr>
        <w:pStyle w:val="FootnoteText"/>
      </w:pPr>
      <w:r>
        <w:rPr>
          <w:rStyle w:val="FootnoteReference"/>
        </w:rPr>
        <w:footnoteRef/>
      </w:r>
      <w:r>
        <w:t xml:space="preserve"> </w:t>
      </w:r>
      <w:r>
        <w:tab/>
        <w:t>The term ‘standard asset life’ is also referred to as ‘</w:t>
      </w:r>
      <w:r w:rsidRPr="003B3083">
        <w:t xml:space="preserve">standard </w:t>
      </w:r>
      <w:r>
        <w:t xml:space="preserve">economic </w:t>
      </w:r>
      <w:r w:rsidRPr="003B3083">
        <w:t>life</w:t>
      </w:r>
      <w:r>
        <w:t>’, ‘asset life’, ‘economic asset life’ or (in ActewAGL’s proposal) ‘standard life’.</w:t>
      </w:r>
    </w:p>
  </w:footnote>
  <w:footnote w:id="4">
    <w:p w:rsidR="0035420C" w:rsidRDefault="0035420C" w:rsidP="002D7525">
      <w:pPr>
        <w:pStyle w:val="FootnoteText"/>
      </w:pPr>
      <w:r>
        <w:rPr>
          <w:rStyle w:val="FootnoteReference"/>
        </w:rPr>
        <w:footnoteRef/>
      </w:r>
      <w:r>
        <w:t xml:space="preserve"> </w:t>
      </w:r>
      <w:r>
        <w:tab/>
        <w:t xml:space="preserve">The term ‘remaining asset life’ is also referred to as ‘remaining economic life’ or (in ActewAGL’s proposal) ‘remaining life’. </w:t>
      </w:r>
    </w:p>
  </w:footnote>
  <w:footnote w:id="5">
    <w:p w:rsidR="0035420C" w:rsidRDefault="0035420C">
      <w:pPr>
        <w:pStyle w:val="FootnoteText"/>
      </w:pPr>
      <w:r>
        <w:rPr>
          <w:rStyle w:val="FootnoteReference"/>
        </w:rPr>
        <w:footnoteRef/>
      </w:r>
      <w:r>
        <w:t xml:space="preserve"> </w:t>
      </w:r>
      <w:r>
        <w:tab/>
        <w:t>This reflects the total of the depreciation allowance for 2015–16 and the 2016–21 access arrangement period. The proposed depreciation allowance for 2015–16 is $3.7 million and the $30.3 million for 2016–21 access arrangement period.</w:t>
      </w:r>
    </w:p>
  </w:footnote>
  <w:footnote w:id="6">
    <w:p w:rsidR="0035420C" w:rsidRDefault="0035420C" w:rsidP="002D7525">
      <w:pPr>
        <w:pStyle w:val="FootnoteText"/>
      </w:pPr>
      <w:r>
        <w:rPr>
          <w:rStyle w:val="FootnoteReference"/>
        </w:rPr>
        <w:footnoteRef/>
      </w:r>
      <w:r>
        <w:t xml:space="preserve"> </w:t>
      </w:r>
      <w:r>
        <w:tab/>
      </w:r>
      <w:r w:rsidRPr="00D014D9">
        <w:rPr>
          <w:rFonts w:eastAsia="Calibri"/>
        </w:rPr>
        <w:t xml:space="preserve">AER, </w:t>
      </w:r>
      <w:r>
        <w:rPr>
          <w:rStyle w:val="AERtextitalic"/>
          <w:rFonts w:eastAsia="Calibri"/>
        </w:rPr>
        <w:t>Draft</w:t>
      </w:r>
      <w:r w:rsidRPr="00D014D9">
        <w:rPr>
          <w:rStyle w:val="AERtextitalic"/>
          <w:rFonts w:eastAsia="Calibri"/>
        </w:rPr>
        <w:t xml:space="preserve"> decision: AusNet (SP AusNet)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Multi</w:t>
      </w:r>
      <w:r>
        <w:rPr>
          <w:rStyle w:val="AERtextitalic"/>
          <w:rFonts w:eastAsia="Calibri"/>
        </w:rPr>
        <w:t>n</w:t>
      </w:r>
      <w:r w:rsidRPr="00D014D9">
        <w:rPr>
          <w:rStyle w:val="AERtextitalic"/>
          <w:rFonts w:eastAsia="Calibri"/>
        </w:rPr>
        <w:t>et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 xml:space="preserve">6; AER, </w:t>
      </w:r>
      <w:r w:rsidRPr="00D51139">
        <w:rPr>
          <w:rFonts w:eastAsia="Calibri"/>
          <w:i/>
        </w:rPr>
        <w:t>Draft decision: Jemena Gas Network (NSW) access arrangement 2015–20: Attachment 5</w:t>
      </w:r>
      <w:r>
        <w:rPr>
          <w:rFonts w:eastAsia="Calibri"/>
        </w:rPr>
        <w:t>, June 2015, p. 10.</w:t>
      </w:r>
    </w:p>
  </w:footnote>
  <w:footnote w:id="7">
    <w:p w:rsidR="0035420C" w:rsidRDefault="0035420C" w:rsidP="008B2F53">
      <w:pPr>
        <w:pStyle w:val="FootnoteText"/>
      </w:pPr>
      <w:r>
        <w:rPr>
          <w:rStyle w:val="FootnoteReference"/>
        </w:rPr>
        <w:footnoteRef/>
      </w:r>
      <w:r>
        <w:t xml:space="preserve"> </w:t>
      </w:r>
      <w:r>
        <w:tab/>
        <w:t>At the time of this draft decision, the remaining asset lives as at 1 July 2015 reflect estimated capex value for 2014–15. We will update the 2014–15 estimated capex value for the final decision with the actual value. Therefore we will recalculate ActewAGL’s remaining asset lives as at 1 July 2015 using the method approved in this draft decision to reflect the actual 2014–15 capex for the final decision.</w:t>
      </w:r>
    </w:p>
  </w:footnote>
  <w:footnote w:id="8">
    <w:p w:rsidR="0035420C" w:rsidRDefault="0035420C" w:rsidP="002D7525">
      <w:pPr>
        <w:pStyle w:val="FootnoteText"/>
      </w:pPr>
      <w:r>
        <w:rPr>
          <w:rStyle w:val="FootnoteReference"/>
        </w:rPr>
        <w:footnoteRef/>
      </w:r>
      <w:r>
        <w:t xml:space="preserve"> </w:t>
      </w:r>
      <w:r>
        <w:tab/>
        <w:t>ActewAGL</w:t>
      </w:r>
      <w:r w:rsidRPr="000F20D1">
        <w:t xml:space="preserve">, </w:t>
      </w:r>
      <w:r w:rsidRPr="000F20D1">
        <w:rPr>
          <w:i/>
        </w:rPr>
        <w:t>Access arrangement information</w:t>
      </w:r>
      <w:r>
        <w:rPr>
          <w:i/>
        </w:rPr>
        <w:t xml:space="preserve"> for the 2016–21 ACT, Que</w:t>
      </w:r>
      <w:r w:rsidR="00316D34">
        <w:t>e</w:t>
      </w:r>
      <w:r>
        <w:rPr>
          <w:i/>
        </w:rPr>
        <w:t>nbeyan and Palerang access arrangement: Attachment 7</w:t>
      </w:r>
      <w:r w:rsidR="00316D34">
        <w:t xml:space="preserve"> </w:t>
      </w:r>
      <w:r w:rsidR="00316D34" w:rsidRPr="00316D34">
        <w:rPr>
          <w:rStyle w:val="AERtextitalic"/>
        </w:rPr>
        <w:t>Capital base</w:t>
      </w:r>
      <w:r>
        <w:t>, June 2015, p. 10</w:t>
      </w:r>
      <w:r w:rsidRPr="000F20D1">
        <w:t>.</w:t>
      </w:r>
    </w:p>
  </w:footnote>
  <w:footnote w:id="9">
    <w:p w:rsidR="0035420C" w:rsidRDefault="0035420C" w:rsidP="002D7525">
      <w:pPr>
        <w:pStyle w:val="FootnoteText"/>
      </w:pPr>
      <w:r>
        <w:rPr>
          <w:rStyle w:val="FootnoteReference"/>
        </w:rPr>
        <w:footnoteRef/>
      </w:r>
      <w:r>
        <w:t xml:space="preserve"> </w:t>
      </w:r>
      <w:r>
        <w:tab/>
        <w:t xml:space="preserve">NGR, r. 72(1)(c)(ii). </w:t>
      </w:r>
    </w:p>
  </w:footnote>
  <w:footnote w:id="10">
    <w:p w:rsidR="0035420C" w:rsidRDefault="0035420C" w:rsidP="002D7525">
      <w:pPr>
        <w:pStyle w:val="FootnoteText"/>
      </w:pPr>
      <w:r>
        <w:rPr>
          <w:rStyle w:val="FootnoteReference"/>
        </w:rPr>
        <w:footnoteRef/>
      </w:r>
      <w:r>
        <w:t xml:space="preserve"> </w:t>
      </w:r>
      <w:r>
        <w:tab/>
      </w:r>
      <w:r w:rsidRPr="00CE74A3">
        <w:rPr>
          <w:rFonts w:eastAsia="Calibri"/>
        </w:rPr>
        <w:t>NGR, rr. 88(1)</w:t>
      </w:r>
      <w:r w:rsidR="00AC3D86">
        <w:rPr>
          <w:rFonts w:eastAsia="Calibri"/>
        </w:rPr>
        <w:t>,</w:t>
      </w:r>
      <w:r w:rsidRPr="00CE74A3">
        <w:rPr>
          <w:rFonts w:eastAsia="Calibri"/>
        </w:rPr>
        <w:t xml:space="preserve"> 88(2).</w:t>
      </w:r>
    </w:p>
  </w:footnote>
  <w:footnote w:id="11">
    <w:p w:rsidR="0035420C" w:rsidRDefault="0035420C" w:rsidP="002D7525">
      <w:pPr>
        <w:pStyle w:val="FootnoteText"/>
      </w:pPr>
      <w:r>
        <w:rPr>
          <w:rStyle w:val="FootnoteReference"/>
        </w:rPr>
        <w:footnoteRef/>
      </w:r>
      <w:r>
        <w:t xml:space="preserve"> </w:t>
      </w:r>
      <w:r>
        <w:tab/>
        <w:t>NGR, r. 89.</w:t>
      </w:r>
    </w:p>
  </w:footnote>
  <w:footnote w:id="12">
    <w:p w:rsidR="0035420C" w:rsidRDefault="0035420C" w:rsidP="002D7525">
      <w:pPr>
        <w:pStyle w:val="FootnoteText"/>
      </w:pPr>
      <w:r>
        <w:rPr>
          <w:rStyle w:val="FootnoteReference"/>
        </w:rPr>
        <w:footnoteRef/>
      </w:r>
      <w:r>
        <w:t xml:space="preserve"> </w:t>
      </w:r>
      <w:r>
        <w:tab/>
        <w:t>NGL, s</w:t>
      </w:r>
      <w:r w:rsidRPr="006127F2">
        <w:rPr>
          <w:rFonts w:eastAsia="Calibri"/>
        </w:rPr>
        <w:t xml:space="preserve"> 28; NGR</w:t>
      </w:r>
      <w:r w:rsidR="00835F1B">
        <w:t>,</w:t>
      </w:r>
      <w:r w:rsidRPr="006127F2">
        <w:rPr>
          <w:rFonts w:eastAsia="Calibri"/>
        </w:rPr>
        <w:t xml:space="preserve"> r. 100(1). The NGO is set out in NGL, s. 23. The revenue and pricing principles are set out in NGL, s.</w:t>
      </w:r>
      <w:r>
        <w:rPr>
          <w:rFonts w:eastAsia="Calibri"/>
        </w:rPr>
        <w:t> </w:t>
      </w:r>
      <w:r w:rsidRPr="006127F2">
        <w:rPr>
          <w:rFonts w:eastAsia="Calibri"/>
        </w:rPr>
        <w:t>24.</w:t>
      </w:r>
    </w:p>
  </w:footnote>
  <w:footnote w:id="13">
    <w:p w:rsidR="0035420C" w:rsidRDefault="0035420C" w:rsidP="002D7525">
      <w:pPr>
        <w:pStyle w:val="FootnoteText"/>
      </w:pPr>
      <w:r>
        <w:rPr>
          <w:rStyle w:val="FootnoteReference"/>
        </w:rPr>
        <w:footnoteRef/>
      </w:r>
      <w:r>
        <w:t xml:space="preserve"> </w:t>
      </w:r>
      <w:r>
        <w:tab/>
      </w:r>
      <w:r w:rsidRPr="001E0177">
        <w:t xml:space="preserve">NGR, </w:t>
      </w:r>
      <w:r>
        <w:t>rr.</w:t>
      </w:r>
      <w:r w:rsidRPr="001E0177">
        <w:t xml:space="preserve"> </w:t>
      </w:r>
      <w:r w:rsidR="00AC3D86">
        <w:t xml:space="preserve">40(2), </w:t>
      </w:r>
      <w:r w:rsidRPr="001E0177">
        <w:t xml:space="preserve">89(3).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4">
    <w:p w:rsidR="0035420C" w:rsidRDefault="0035420C" w:rsidP="002D7525">
      <w:pPr>
        <w:pStyle w:val="FootnoteText"/>
      </w:pPr>
      <w:r>
        <w:rPr>
          <w:rStyle w:val="FootnoteReference"/>
        </w:rPr>
        <w:footnoteRef/>
      </w:r>
      <w:r>
        <w:t xml:space="preserve"> </w:t>
      </w:r>
      <w:r>
        <w:tab/>
        <w:t>NGR, r. 89(1)(a).</w:t>
      </w:r>
    </w:p>
  </w:footnote>
  <w:footnote w:id="15">
    <w:p w:rsidR="0035420C" w:rsidRDefault="0035420C" w:rsidP="002D7525">
      <w:pPr>
        <w:pStyle w:val="FootnoteText"/>
      </w:pPr>
      <w:r>
        <w:rPr>
          <w:rStyle w:val="FootnoteReference"/>
        </w:rPr>
        <w:footnoteRef/>
      </w:r>
      <w:r>
        <w:t xml:space="preserve"> </w:t>
      </w:r>
      <w:r>
        <w:tab/>
        <w:t>NGR, r. 89(1)(b).</w:t>
      </w:r>
    </w:p>
  </w:footnote>
  <w:footnote w:id="16">
    <w:p w:rsidR="0035420C" w:rsidRDefault="0035420C" w:rsidP="002D7525">
      <w:pPr>
        <w:pStyle w:val="FootnoteText"/>
      </w:pPr>
      <w:r>
        <w:rPr>
          <w:rStyle w:val="FootnoteReference"/>
        </w:rPr>
        <w:footnoteRef/>
      </w:r>
      <w:r>
        <w:t xml:space="preserve"> </w:t>
      </w:r>
      <w:r>
        <w:tab/>
        <w:t>NGR, r. 89(1)(c).</w:t>
      </w:r>
    </w:p>
  </w:footnote>
  <w:footnote w:id="17">
    <w:p w:rsidR="0035420C" w:rsidRDefault="0035420C" w:rsidP="002D7525">
      <w:pPr>
        <w:pStyle w:val="FootnoteText"/>
      </w:pPr>
      <w:r>
        <w:rPr>
          <w:rStyle w:val="FootnoteReference"/>
        </w:rPr>
        <w:footnoteRef/>
      </w:r>
      <w:r>
        <w:t xml:space="preserve"> </w:t>
      </w:r>
      <w:r>
        <w:tab/>
        <w:t>NGR, r. 89(1)(d).</w:t>
      </w:r>
    </w:p>
  </w:footnote>
  <w:footnote w:id="18">
    <w:p w:rsidR="0035420C" w:rsidRDefault="0035420C" w:rsidP="002D7525">
      <w:pPr>
        <w:pStyle w:val="FootnoteText"/>
      </w:pPr>
      <w:r>
        <w:rPr>
          <w:rStyle w:val="FootnoteReference"/>
        </w:rPr>
        <w:footnoteRef/>
      </w:r>
      <w:r>
        <w:t xml:space="preserve"> </w:t>
      </w:r>
      <w:r>
        <w:tab/>
        <w:t>NGR, r. 89(1)(e).</w:t>
      </w:r>
    </w:p>
  </w:footnote>
  <w:footnote w:id="19">
    <w:p w:rsidR="0035420C" w:rsidRDefault="0035420C" w:rsidP="002D7525">
      <w:pPr>
        <w:pStyle w:val="FootnoteText"/>
      </w:pPr>
      <w:r>
        <w:rPr>
          <w:rStyle w:val="FootnoteReference"/>
        </w:rPr>
        <w:footnoteRef/>
      </w:r>
      <w:r>
        <w:t xml:space="preserve"> </w:t>
      </w:r>
      <w:r>
        <w:tab/>
        <w:t xml:space="preserve">NGR, r. 89(2). </w:t>
      </w:r>
    </w:p>
  </w:footnote>
  <w:footnote w:id="20">
    <w:p w:rsidR="0035420C" w:rsidRDefault="0035420C" w:rsidP="002D7525">
      <w:pPr>
        <w:pStyle w:val="FootnoteText"/>
      </w:pPr>
      <w:r>
        <w:rPr>
          <w:rStyle w:val="FootnoteReference"/>
        </w:rPr>
        <w:footnoteRef/>
      </w:r>
      <w:r>
        <w:t xml:space="preserve"> </w:t>
      </w:r>
      <w:r>
        <w:tab/>
        <w:t>NGR, r. 89.</w:t>
      </w:r>
    </w:p>
  </w:footnote>
  <w:footnote w:id="21">
    <w:p w:rsidR="0035420C" w:rsidRDefault="0035420C">
      <w:pPr>
        <w:pStyle w:val="FootnoteText"/>
      </w:pPr>
      <w:r>
        <w:rPr>
          <w:rStyle w:val="FootnoteReference"/>
        </w:rPr>
        <w:footnoteRef/>
      </w:r>
      <w:r>
        <w:t xml:space="preserve"> </w:t>
      </w:r>
      <w:r>
        <w:tab/>
        <w:t>We have used the PTRM submitted by ActewAGL for the reconciliation of revenue for the 2015–16 interval of delay.</w:t>
      </w:r>
    </w:p>
  </w:footnote>
  <w:footnote w:id="22">
    <w:p w:rsidR="0035420C" w:rsidRDefault="0035420C" w:rsidP="002D7525">
      <w:pPr>
        <w:pStyle w:val="FootnoteText"/>
      </w:pPr>
      <w:r>
        <w:rPr>
          <w:rStyle w:val="FootnoteReference"/>
        </w:rPr>
        <w:footnoteRef/>
      </w:r>
      <w:r>
        <w:t xml:space="preserve"> </w:t>
      </w:r>
      <w:r>
        <w:tab/>
        <w:t>NGR, r. 89(1)(a).</w:t>
      </w:r>
    </w:p>
  </w:footnote>
  <w:footnote w:id="23">
    <w:p w:rsidR="0035420C" w:rsidRDefault="0035420C" w:rsidP="002D7525">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r>
        <w:rPr>
          <w:rStyle w:val="AERtextitalic"/>
        </w:rPr>
        <w:t>P</w:t>
      </w:r>
      <w:r w:rsidRPr="008948ED">
        <w:rPr>
          <w:rStyle w:val="AERtextitalic"/>
        </w:rPr>
        <w:t>roposed amendment, Electricity transmission network service providers, Roll forward model</w:t>
      </w:r>
      <w:r w:rsidRPr="00B406D4">
        <w:t>, August 2010, pp. 5–6.</w:t>
      </w:r>
    </w:p>
  </w:footnote>
  <w:footnote w:id="24">
    <w:p w:rsidR="0035420C" w:rsidRDefault="0035420C" w:rsidP="002D7525">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5">
    <w:p w:rsidR="0035420C" w:rsidRDefault="0035420C" w:rsidP="002320B5">
      <w:pPr>
        <w:pStyle w:val="FootnoteText"/>
      </w:pPr>
      <w:r>
        <w:rPr>
          <w:rStyle w:val="FootnoteReference"/>
        </w:rPr>
        <w:footnoteRef/>
      </w:r>
      <w:r>
        <w:t xml:space="preserve"> </w:t>
      </w:r>
      <w:r>
        <w:tab/>
        <w:t xml:space="preserve">Jemena Electricity Networks (Vic) Ltd, </w:t>
      </w:r>
      <w:r w:rsidRPr="006864FD">
        <w:rPr>
          <w:i/>
        </w:rPr>
        <w:t>Submission on recent proposals made by SAPN, AGN, AAD, Energex and Ergon Energy</w:t>
      </w:r>
      <w:r>
        <w:t>, July 2015.</w:t>
      </w:r>
    </w:p>
  </w:footnote>
  <w:footnote w:id="26">
    <w:p w:rsidR="0035420C" w:rsidRDefault="0035420C" w:rsidP="002D7525">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7">
    <w:p w:rsidR="0035420C" w:rsidRDefault="0035420C" w:rsidP="002D7525">
      <w:pPr>
        <w:pStyle w:val="FootnoteText"/>
      </w:pPr>
      <w:r>
        <w:rPr>
          <w:rStyle w:val="FootnoteReference"/>
        </w:rPr>
        <w:footnoteRef/>
      </w:r>
      <w:r>
        <w:t xml:space="preserve"> </w:t>
      </w:r>
      <w:r>
        <w:tab/>
      </w:r>
      <w:r w:rsidRPr="00847540">
        <w:t xml:space="preserve">If the </w:t>
      </w:r>
      <w:r>
        <w:t>economic</w:t>
      </w:r>
      <w:r w:rsidRPr="00847540">
        <w:t xml:space="preserve"> lives are extremely long, such that the straight-line depreciation rate is lower than the inflation rate, then negative regulatory depreciation can emerge. The indexation adjustment is greater than the straight-line depreciation in such circumstances.</w:t>
      </w:r>
    </w:p>
  </w:footnote>
  <w:footnote w:id="28">
    <w:p w:rsidR="0035420C" w:rsidRDefault="0035420C" w:rsidP="006C45AE">
      <w:pPr>
        <w:pStyle w:val="FootnoteText"/>
      </w:pPr>
      <w:r>
        <w:rPr>
          <w:rStyle w:val="FootnoteReference"/>
        </w:rPr>
        <w:footnoteRef/>
      </w:r>
      <w:r>
        <w:t xml:space="preserve"> </w:t>
      </w:r>
      <w:r>
        <w:tab/>
        <w:t>This reflects the total of the depreciation allowance for 2015–16 and the 2016–21 access arrangement period. The deprecation allowance for 2015–16 is $3.7 million and the $29.1 million for 2016–21 access arrangement period.</w:t>
      </w:r>
    </w:p>
  </w:footnote>
  <w:footnote w:id="29">
    <w:p w:rsidR="0035420C" w:rsidRDefault="0035420C" w:rsidP="00F579EC">
      <w:pPr>
        <w:pStyle w:val="FootnoteText"/>
      </w:pPr>
      <w:r>
        <w:rPr>
          <w:rStyle w:val="FootnoteReference"/>
        </w:rPr>
        <w:footnoteRef/>
      </w:r>
      <w:r>
        <w:t xml:space="preserve"> </w:t>
      </w:r>
      <w:r>
        <w:tab/>
        <w:t>At the time of this draft decision, the remaining asset lives as at 1 July 2015 reflect estimated capex value for 2014–15. We will update the 2014–15 estimated capex value for the final decision with the actual value. Therefore, we will recalculate ActewAGL’s remaining asset lives as at 1 July 2015 using the method approved in this draft decision to reflect the actual 2014–15 capex for the final decision.</w:t>
      </w:r>
    </w:p>
  </w:footnote>
  <w:footnote w:id="30">
    <w:p w:rsidR="0035420C" w:rsidRDefault="0035420C" w:rsidP="002D7525">
      <w:pPr>
        <w:pStyle w:val="FootnoteText"/>
      </w:pPr>
      <w:r>
        <w:rPr>
          <w:rStyle w:val="FootnoteReference"/>
        </w:rPr>
        <w:footnoteRef/>
      </w:r>
      <w:r>
        <w:t xml:space="preserve"> </w:t>
      </w:r>
      <w:r>
        <w:tab/>
        <w:t>NGR, rr. 88–90.</w:t>
      </w:r>
    </w:p>
  </w:footnote>
  <w:footnote w:id="31">
    <w:p w:rsidR="0035420C" w:rsidRDefault="0035420C" w:rsidP="00EC60E6">
      <w:pPr>
        <w:pStyle w:val="FootnoteText"/>
      </w:pPr>
      <w:r>
        <w:rPr>
          <w:rStyle w:val="FootnoteReference"/>
        </w:rPr>
        <w:footnoteRef/>
      </w:r>
      <w:r>
        <w:t xml:space="preserve"> </w:t>
      </w:r>
      <w:r>
        <w:tab/>
        <w:t>NGR, r. 89.</w:t>
      </w:r>
    </w:p>
  </w:footnote>
  <w:footnote w:id="32">
    <w:p w:rsidR="0035420C" w:rsidRDefault="0035420C">
      <w:pPr>
        <w:pStyle w:val="FootnoteText"/>
      </w:pPr>
      <w:r>
        <w:rPr>
          <w:rStyle w:val="FootnoteReference"/>
        </w:rPr>
        <w:footnoteRef/>
      </w:r>
      <w:r>
        <w:t xml:space="preserve"> </w:t>
      </w:r>
      <w:r>
        <w:tab/>
        <w:t xml:space="preserve">ActewAGL specifically mentioned the credit metric </w:t>
      </w:r>
      <w:r w:rsidRPr="004D0B41">
        <w:rPr>
          <w:rStyle w:val="AERtextitalic"/>
        </w:rPr>
        <w:t>Funds From Operations (FFO) to Debt</w:t>
      </w:r>
      <w:r>
        <w:t>, which is a financial ratio used by credit rating agencies.</w:t>
      </w:r>
    </w:p>
  </w:footnote>
  <w:footnote w:id="33">
    <w:p w:rsidR="0035420C" w:rsidRDefault="0035420C" w:rsidP="009B5C3F">
      <w:pPr>
        <w:pStyle w:val="FootnoteText"/>
      </w:pPr>
      <w:r>
        <w:rPr>
          <w:rStyle w:val="FootnoteReference"/>
        </w:rPr>
        <w:footnoteRef/>
      </w:r>
      <w:r>
        <w:t xml:space="preserve"> </w:t>
      </w:r>
      <w:r>
        <w:tab/>
        <w:t>ActewAGL</w:t>
      </w:r>
      <w:r w:rsidRPr="000F20D1">
        <w:t xml:space="preserve">, </w:t>
      </w:r>
      <w:r w:rsidR="00316D34" w:rsidRPr="00316D34">
        <w:rPr>
          <w:rStyle w:val="AERtextitalic"/>
        </w:rPr>
        <w:t xml:space="preserve">Access arrangement information for the 2016–21 ACT, Queenbeyan and Palerang access arrangement: Attachment </w:t>
      </w:r>
      <w:r>
        <w:rPr>
          <w:i/>
        </w:rPr>
        <w:t>8</w:t>
      </w:r>
      <w:r w:rsidR="00316D34">
        <w:t xml:space="preserve"> </w:t>
      </w:r>
      <w:r w:rsidR="00316D34" w:rsidRPr="00316D34">
        <w:rPr>
          <w:rStyle w:val="AERtextitalic"/>
        </w:rPr>
        <w:t>Rate of return, gamma and inflation</w:t>
      </w:r>
      <w:r w:rsidRPr="000F20D1">
        <w:t xml:space="preserve">, </w:t>
      </w:r>
      <w:r>
        <w:t>June</w:t>
      </w:r>
      <w:r w:rsidRPr="000F20D1">
        <w:t xml:space="preserve"> 2015, p</w:t>
      </w:r>
      <w:r>
        <w:t>p</w:t>
      </w:r>
      <w:r w:rsidRPr="000F20D1">
        <w:t xml:space="preserve">. </w:t>
      </w:r>
      <w:r>
        <w:t>6–7</w:t>
      </w:r>
      <w:r w:rsidRPr="000F20D1">
        <w:t>.</w:t>
      </w:r>
    </w:p>
  </w:footnote>
  <w:footnote w:id="34">
    <w:p w:rsidR="0035420C" w:rsidRDefault="0035420C">
      <w:pPr>
        <w:pStyle w:val="FootnoteText"/>
      </w:pPr>
      <w:r>
        <w:rPr>
          <w:rStyle w:val="FootnoteReference"/>
        </w:rPr>
        <w:footnoteRef/>
      </w:r>
      <w:r>
        <w:t xml:space="preserve"> </w:t>
      </w:r>
      <w:r>
        <w:tab/>
        <w:t xml:space="preserve">We have addressed a similar contingent proposal in our draft decision for Australian Gas Networks. See AER, </w:t>
      </w:r>
      <w:r w:rsidRPr="00F6269F">
        <w:rPr>
          <w:rStyle w:val="AERtextitalic"/>
        </w:rPr>
        <w:t>Draft decision, Australian Gas Networks Access Arrangement 2016 to 2021</w:t>
      </w:r>
      <w:r>
        <w:t>, November 2015, pp. 5–13 to 5–16 (Attachment 5 – Regulatory depreciation).</w:t>
      </w:r>
    </w:p>
  </w:footnote>
  <w:footnote w:id="35">
    <w:p w:rsidR="0035420C" w:rsidRDefault="0035420C">
      <w:pPr>
        <w:pStyle w:val="FootnoteText"/>
      </w:pPr>
      <w:r>
        <w:rPr>
          <w:rStyle w:val="FootnoteReference"/>
        </w:rPr>
        <w:footnoteRef/>
      </w:r>
      <w:r>
        <w:t xml:space="preserve"> </w:t>
      </w:r>
      <w:r>
        <w:tab/>
        <w:t>ActewAGL</w:t>
      </w:r>
      <w:r w:rsidRPr="000F20D1">
        <w:t xml:space="preserve">, </w:t>
      </w:r>
      <w:r w:rsidR="00316D34" w:rsidRPr="00316D34">
        <w:rPr>
          <w:rStyle w:val="AERtextitalic"/>
        </w:rPr>
        <w:t xml:space="preserve">Access arrangement information for the 2016–21 ACT, Queenbeyan and Palerang access arrangement: Attachment </w:t>
      </w:r>
      <w:r w:rsidR="00316D34" w:rsidRPr="00316D34">
        <w:t xml:space="preserve">8 </w:t>
      </w:r>
      <w:r w:rsidR="00316D34" w:rsidRPr="00316D34">
        <w:rPr>
          <w:rStyle w:val="AERtextitalic"/>
        </w:rPr>
        <w:t>Rate of return, gamma and inflation</w:t>
      </w:r>
      <w:r w:rsidRPr="000F20D1">
        <w:t xml:space="preserve">, </w:t>
      </w:r>
      <w:r>
        <w:t>June</w:t>
      </w:r>
      <w:r w:rsidRPr="000F20D1">
        <w:t xml:space="preserve"> 2015, p</w:t>
      </w:r>
      <w:r>
        <w:t>p</w:t>
      </w:r>
      <w:r w:rsidRPr="000F20D1">
        <w:t xml:space="preserve">. </w:t>
      </w:r>
      <w:r>
        <w:t>6–7.</w:t>
      </w:r>
    </w:p>
  </w:footnote>
  <w:footnote w:id="36">
    <w:p w:rsidR="0035420C" w:rsidRDefault="0035420C" w:rsidP="00C32C59">
      <w:pPr>
        <w:pStyle w:val="FootnoteText"/>
      </w:pPr>
      <w:r>
        <w:rPr>
          <w:rStyle w:val="FootnoteReference"/>
        </w:rPr>
        <w:footnoteRef/>
      </w:r>
      <w:r>
        <w:t xml:space="preserve"> </w:t>
      </w:r>
      <w:r>
        <w:tab/>
        <w:t xml:space="preserve">Alternative Technology Association, </w:t>
      </w:r>
      <w:r w:rsidRPr="00E15607">
        <w:rPr>
          <w:i/>
        </w:rPr>
        <w:t>Submission on ActewAGL access arrangement proposal 2016–21</w:t>
      </w:r>
      <w:r>
        <w:t>, August 2015, pp. 10–11.</w:t>
      </w:r>
    </w:p>
  </w:footnote>
  <w:footnote w:id="37">
    <w:p w:rsidR="0035420C" w:rsidRDefault="0035420C" w:rsidP="00D76BDC">
      <w:pPr>
        <w:pStyle w:val="FootnoteText"/>
      </w:pPr>
      <w:r>
        <w:rPr>
          <w:rStyle w:val="FootnoteReference"/>
        </w:rPr>
        <w:footnoteRef/>
      </w:r>
      <w:r>
        <w:t xml:space="preserve"> </w:t>
      </w:r>
      <w:r>
        <w:tab/>
        <w:t>NGR, r. 89(1)(a).</w:t>
      </w:r>
    </w:p>
  </w:footnote>
  <w:footnote w:id="38">
    <w:p w:rsidR="0035420C" w:rsidRDefault="0035420C" w:rsidP="00D76BDC">
      <w:pPr>
        <w:pStyle w:val="FootnoteText"/>
      </w:pPr>
      <w:r>
        <w:rPr>
          <w:rStyle w:val="FootnoteReference"/>
        </w:rPr>
        <w:footnoteRef/>
      </w:r>
      <w:r>
        <w:t xml:space="preserve"> </w:t>
      </w:r>
      <w:r>
        <w:tab/>
        <w:t>NGR, r. 89.</w:t>
      </w:r>
    </w:p>
  </w:footnote>
  <w:footnote w:id="39">
    <w:p w:rsidR="0035420C" w:rsidRDefault="0035420C" w:rsidP="002D7525">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Multi</w:t>
      </w:r>
      <w:r>
        <w:rPr>
          <w:rStyle w:val="AERtextitalic"/>
          <w:rFonts w:eastAsia="Calibri"/>
        </w:rPr>
        <w:t>n</w:t>
      </w:r>
      <w:r w:rsidRPr="00D014D9">
        <w:rPr>
          <w:rStyle w:val="AERtextitalic"/>
          <w:rFonts w:eastAsia="Calibri"/>
        </w:rPr>
        <w:t>et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 xml:space="preserve">6; AER, </w:t>
      </w:r>
      <w:r w:rsidRPr="00D51139">
        <w:rPr>
          <w:rFonts w:eastAsia="Calibri"/>
          <w:i/>
        </w:rPr>
        <w:t>Draft decision: Jemena Gas Network (NSW) access arrangement 2015–20: Attachment 5</w:t>
      </w:r>
      <w:r>
        <w:rPr>
          <w:rFonts w:eastAsia="Calibri"/>
        </w:rPr>
        <w:t xml:space="preserve">, June 2015, p. 10. </w:t>
      </w:r>
    </w:p>
  </w:footnote>
  <w:footnote w:id="40">
    <w:p w:rsidR="0035420C" w:rsidRDefault="0035420C" w:rsidP="00412AA2">
      <w:pPr>
        <w:pStyle w:val="FootnoteText"/>
      </w:pPr>
      <w:r>
        <w:rPr>
          <w:rStyle w:val="FootnoteReference"/>
        </w:rPr>
        <w:footnoteRef/>
      </w:r>
      <w:r>
        <w:t xml:space="preserve"> </w:t>
      </w:r>
      <w:r>
        <w:tab/>
        <w:t xml:space="preserve">Australian accounting standard board, </w:t>
      </w:r>
      <w:r w:rsidRPr="00A5787D">
        <w:rPr>
          <w:i/>
        </w:rPr>
        <w:t>Accounting standard AASB1021: Depreciation, August 1997</w:t>
      </w:r>
      <w:r>
        <w:t xml:space="preserve">, pp. 10–11; ATO, </w:t>
      </w:r>
      <w:r w:rsidRPr="00A5787D">
        <w:rPr>
          <w:i/>
        </w:rPr>
        <w:t>Guide to depreciating assets 2011</w:t>
      </w:r>
      <w:r>
        <w:t>, 2011, p. 3.</w:t>
      </w:r>
    </w:p>
  </w:footnote>
  <w:footnote w:id="41">
    <w:p w:rsidR="0035420C" w:rsidRDefault="0035420C" w:rsidP="003506B6">
      <w:pPr>
        <w:pStyle w:val="FootnoteText"/>
      </w:pPr>
      <w:r>
        <w:rPr>
          <w:rStyle w:val="FootnoteReference"/>
        </w:rPr>
        <w:footnoteRef/>
      </w:r>
      <w:r>
        <w:t xml:space="preserve"> </w:t>
      </w:r>
      <w:r>
        <w:tab/>
        <w:t>At the time of this draft decision, the remaining asset lives as at 1 July 2015 reflect estimated capex value for 2014–15. We will update the 2014–15 estimated capex value for the final decision with the actual value. Therefore we will recalculate ActewAGL’s remaining asset lives as at 1 July 2015 using the method approved in this draft decision to reflect the actual 2014–15 capex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0C" w:rsidRDefault="006367C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5420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0C" w:rsidRDefault="006367C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0FF238D4">
      <w:start w:val="1"/>
      <w:numFmt w:val="bullet"/>
      <w:lvlText w:val=""/>
      <w:lvlJc w:val="left"/>
      <w:pPr>
        <w:ind w:left="1089" w:hanging="360"/>
      </w:pPr>
      <w:rPr>
        <w:rFonts w:ascii="Wingdings" w:hAnsi="Wingdings" w:hint="default"/>
      </w:rPr>
    </w:lvl>
    <w:lvl w:ilvl="1" w:tplc="670CCBE2" w:tentative="1">
      <w:start w:val="1"/>
      <w:numFmt w:val="bullet"/>
      <w:lvlText w:val="o"/>
      <w:lvlJc w:val="left"/>
      <w:pPr>
        <w:ind w:left="1809" w:hanging="360"/>
      </w:pPr>
      <w:rPr>
        <w:rFonts w:ascii="Courier New" w:hAnsi="Courier New" w:cs="Courier New" w:hint="default"/>
      </w:rPr>
    </w:lvl>
    <w:lvl w:ilvl="2" w:tplc="5782A32E" w:tentative="1">
      <w:start w:val="1"/>
      <w:numFmt w:val="bullet"/>
      <w:lvlText w:val=""/>
      <w:lvlJc w:val="left"/>
      <w:pPr>
        <w:ind w:left="2529" w:hanging="360"/>
      </w:pPr>
      <w:rPr>
        <w:rFonts w:ascii="Wingdings" w:hAnsi="Wingdings" w:hint="default"/>
      </w:rPr>
    </w:lvl>
    <w:lvl w:ilvl="3" w:tplc="99083738" w:tentative="1">
      <w:start w:val="1"/>
      <w:numFmt w:val="bullet"/>
      <w:lvlText w:val=""/>
      <w:lvlJc w:val="left"/>
      <w:pPr>
        <w:ind w:left="3249" w:hanging="360"/>
      </w:pPr>
      <w:rPr>
        <w:rFonts w:ascii="Symbol" w:hAnsi="Symbol" w:hint="default"/>
      </w:rPr>
    </w:lvl>
    <w:lvl w:ilvl="4" w:tplc="DAAEC576" w:tentative="1">
      <w:start w:val="1"/>
      <w:numFmt w:val="bullet"/>
      <w:lvlText w:val="o"/>
      <w:lvlJc w:val="left"/>
      <w:pPr>
        <w:ind w:left="3969" w:hanging="360"/>
      </w:pPr>
      <w:rPr>
        <w:rFonts w:ascii="Courier New" w:hAnsi="Courier New" w:cs="Courier New" w:hint="default"/>
      </w:rPr>
    </w:lvl>
    <w:lvl w:ilvl="5" w:tplc="F6689766" w:tentative="1">
      <w:start w:val="1"/>
      <w:numFmt w:val="bullet"/>
      <w:lvlText w:val=""/>
      <w:lvlJc w:val="left"/>
      <w:pPr>
        <w:ind w:left="4689" w:hanging="360"/>
      </w:pPr>
      <w:rPr>
        <w:rFonts w:ascii="Wingdings" w:hAnsi="Wingdings" w:hint="default"/>
      </w:rPr>
    </w:lvl>
    <w:lvl w:ilvl="6" w:tplc="9678F324" w:tentative="1">
      <w:start w:val="1"/>
      <w:numFmt w:val="bullet"/>
      <w:lvlText w:val=""/>
      <w:lvlJc w:val="left"/>
      <w:pPr>
        <w:ind w:left="5409" w:hanging="360"/>
      </w:pPr>
      <w:rPr>
        <w:rFonts w:ascii="Symbol" w:hAnsi="Symbol" w:hint="default"/>
      </w:rPr>
    </w:lvl>
    <w:lvl w:ilvl="7" w:tplc="74D6B282" w:tentative="1">
      <w:start w:val="1"/>
      <w:numFmt w:val="bullet"/>
      <w:lvlText w:val="o"/>
      <w:lvlJc w:val="left"/>
      <w:pPr>
        <w:ind w:left="6129" w:hanging="360"/>
      </w:pPr>
      <w:rPr>
        <w:rFonts w:ascii="Courier New" w:hAnsi="Courier New" w:cs="Courier New" w:hint="default"/>
      </w:rPr>
    </w:lvl>
    <w:lvl w:ilvl="8" w:tplc="9F8E9CC6" w:tentative="1">
      <w:start w:val="1"/>
      <w:numFmt w:val="bullet"/>
      <w:lvlText w:val=""/>
      <w:lvlJc w:val="left"/>
      <w:pPr>
        <w:ind w:left="6849"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A3D491CA"/>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AC6DD7"/>
    <w:multiLevelType w:val="multilevel"/>
    <w:tmpl w:val="950A1C52"/>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4"/>
  </w:num>
  <w:num w:numId="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8juUEiqJoZNosgCF+1PvSW8UZVezQNNCWNsCBp8M70=" w:saltValue="xZmlTxPPtc+VRUSc0kmVn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45C6"/>
    <w:rsid w:val="00004CD1"/>
    <w:rsid w:val="00010286"/>
    <w:rsid w:val="00021202"/>
    <w:rsid w:val="00021C2B"/>
    <w:rsid w:val="0002517F"/>
    <w:rsid w:val="00025240"/>
    <w:rsid w:val="00026495"/>
    <w:rsid w:val="0003578C"/>
    <w:rsid w:val="000401AF"/>
    <w:rsid w:val="00040996"/>
    <w:rsid w:val="00044CF7"/>
    <w:rsid w:val="00047CD9"/>
    <w:rsid w:val="00057FA8"/>
    <w:rsid w:val="000613B3"/>
    <w:rsid w:val="00063247"/>
    <w:rsid w:val="00070F9F"/>
    <w:rsid w:val="0007137B"/>
    <w:rsid w:val="00085663"/>
    <w:rsid w:val="00085EBF"/>
    <w:rsid w:val="00091B15"/>
    <w:rsid w:val="00095EFF"/>
    <w:rsid w:val="0009641A"/>
    <w:rsid w:val="000A3020"/>
    <w:rsid w:val="000A6C7B"/>
    <w:rsid w:val="000C2734"/>
    <w:rsid w:val="000C2B40"/>
    <w:rsid w:val="000D06C1"/>
    <w:rsid w:val="000D122C"/>
    <w:rsid w:val="000D3016"/>
    <w:rsid w:val="000E1819"/>
    <w:rsid w:val="000E2CAD"/>
    <w:rsid w:val="000E4821"/>
    <w:rsid w:val="000E5836"/>
    <w:rsid w:val="000E6C72"/>
    <w:rsid w:val="000E7573"/>
    <w:rsid w:val="000E7F1E"/>
    <w:rsid w:val="000F0B2B"/>
    <w:rsid w:val="000F0D96"/>
    <w:rsid w:val="000F2A5B"/>
    <w:rsid w:val="000F357C"/>
    <w:rsid w:val="000F3E72"/>
    <w:rsid w:val="000F48B1"/>
    <w:rsid w:val="00100182"/>
    <w:rsid w:val="00100E2F"/>
    <w:rsid w:val="001057C0"/>
    <w:rsid w:val="00116EB2"/>
    <w:rsid w:val="00121E05"/>
    <w:rsid w:val="00123265"/>
    <w:rsid w:val="00124609"/>
    <w:rsid w:val="001254E1"/>
    <w:rsid w:val="00126A4C"/>
    <w:rsid w:val="00135F70"/>
    <w:rsid w:val="001360BE"/>
    <w:rsid w:val="00137BF0"/>
    <w:rsid w:val="00142AB6"/>
    <w:rsid w:val="00143CDD"/>
    <w:rsid w:val="001446F6"/>
    <w:rsid w:val="0014573B"/>
    <w:rsid w:val="00152B78"/>
    <w:rsid w:val="00155337"/>
    <w:rsid w:val="001573E4"/>
    <w:rsid w:val="00160383"/>
    <w:rsid w:val="00160756"/>
    <w:rsid w:val="0017232E"/>
    <w:rsid w:val="00174102"/>
    <w:rsid w:val="001754EE"/>
    <w:rsid w:val="00175F82"/>
    <w:rsid w:val="00180157"/>
    <w:rsid w:val="00185CB9"/>
    <w:rsid w:val="00186F77"/>
    <w:rsid w:val="001926A4"/>
    <w:rsid w:val="00192AD5"/>
    <w:rsid w:val="001B455B"/>
    <w:rsid w:val="001B45A0"/>
    <w:rsid w:val="001B6898"/>
    <w:rsid w:val="001B7D00"/>
    <w:rsid w:val="001C0406"/>
    <w:rsid w:val="001C6474"/>
    <w:rsid w:val="001C7953"/>
    <w:rsid w:val="001D055E"/>
    <w:rsid w:val="001D7C89"/>
    <w:rsid w:val="001E7480"/>
    <w:rsid w:val="001F05A4"/>
    <w:rsid w:val="001F0E2D"/>
    <w:rsid w:val="001F492E"/>
    <w:rsid w:val="001F6DA3"/>
    <w:rsid w:val="002010BC"/>
    <w:rsid w:val="002016E7"/>
    <w:rsid w:val="00201F98"/>
    <w:rsid w:val="00202E03"/>
    <w:rsid w:val="00203BE1"/>
    <w:rsid w:val="0020478D"/>
    <w:rsid w:val="0020492C"/>
    <w:rsid w:val="00207F76"/>
    <w:rsid w:val="00213C0C"/>
    <w:rsid w:val="002174D7"/>
    <w:rsid w:val="00220853"/>
    <w:rsid w:val="00224DB9"/>
    <w:rsid w:val="00227DCE"/>
    <w:rsid w:val="002320B5"/>
    <w:rsid w:val="0023276C"/>
    <w:rsid w:val="00233775"/>
    <w:rsid w:val="00251308"/>
    <w:rsid w:val="00251745"/>
    <w:rsid w:val="00253208"/>
    <w:rsid w:val="00256E8F"/>
    <w:rsid w:val="002636BF"/>
    <w:rsid w:val="00263AC0"/>
    <w:rsid w:val="00264264"/>
    <w:rsid w:val="0026772D"/>
    <w:rsid w:val="0027572A"/>
    <w:rsid w:val="00285056"/>
    <w:rsid w:val="00286874"/>
    <w:rsid w:val="00290C63"/>
    <w:rsid w:val="00296B65"/>
    <w:rsid w:val="002A1446"/>
    <w:rsid w:val="002A2FFC"/>
    <w:rsid w:val="002A5729"/>
    <w:rsid w:val="002A7DEF"/>
    <w:rsid w:val="002B1003"/>
    <w:rsid w:val="002B573C"/>
    <w:rsid w:val="002C233C"/>
    <w:rsid w:val="002C23BF"/>
    <w:rsid w:val="002C2476"/>
    <w:rsid w:val="002C3D1C"/>
    <w:rsid w:val="002C6A40"/>
    <w:rsid w:val="002D72E8"/>
    <w:rsid w:val="002D7525"/>
    <w:rsid w:val="002E3B44"/>
    <w:rsid w:val="002E4A92"/>
    <w:rsid w:val="002E7B22"/>
    <w:rsid w:val="002F7986"/>
    <w:rsid w:val="0030017F"/>
    <w:rsid w:val="00301B40"/>
    <w:rsid w:val="003025F4"/>
    <w:rsid w:val="003029EE"/>
    <w:rsid w:val="0030370B"/>
    <w:rsid w:val="00305CC8"/>
    <w:rsid w:val="00307F6D"/>
    <w:rsid w:val="00315A70"/>
    <w:rsid w:val="00316D34"/>
    <w:rsid w:val="003177A2"/>
    <w:rsid w:val="003271B5"/>
    <w:rsid w:val="00327A1E"/>
    <w:rsid w:val="00331264"/>
    <w:rsid w:val="0033201F"/>
    <w:rsid w:val="00333536"/>
    <w:rsid w:val="00334C8D"/>
    <w:rsid w:val="00343A18"/>
    <w:rsid w:val="00344473"/>
    <w:rsid w:val="00347728"/>
    <w:rsid w:val="003506B6"/>
    <w:rsid w:val="003518B3"/>
    <w:rsid w:val="003531E9"/>
    <w:rsid w:val="0035420C"/>
    <w:rsid w:val="003612E6"/>
    <w:rsid w:val="00364A48"/>
    <w:rsid w:val="003846F1"/>
    <w:rsid w:val="00387677"/>
    <w:rsid w:val="00387EA9"/>
    <w:rsid w:val="00390FF3"/>
    <w:rsid w:val="00392FEC"/>
    <w:rsid w:val="003931A7"/>
    <w:rsid w:val="003A6682"/>
    <w:rsid w:val="003A71A2"/>
    <w:rsid w:val="003A732F"/>
    <w:rsid w:val="003B484F"/>
    <w:rsid w:val="003B7FBA"/>
    <w:rsid w:val="003D7E19"/>
    <w:rsid w:val="003E36F4"/>
    <w:rsid w:val="003E4C63"/>
    <w:rsid w:val="003F0BD3"/>
    <w:rsid w:val="003F174D"/>
    <w:rsid w:val="003F2AB1"/>
    <w:rsid w:val="003F5EF5"/>
    <w:rsid w:val="003F7442"/>
    <w:rsid w:val="003F7B85"/>
    <w:rsid w:val="004100A3"/>
    <w:rsid w:val="004105DB"/>
    <w:rsid w:val="00411CA9"/>
    <w:rsid w:val="00412AA2"/>
    <w:rsid w:val="00415F31"/>
    <w:rsid w:val="00423A77"/>
    <w:rsid w:val="00437205"/>
    <w:rsid w:val="00437F18"/>
    <w:rsid w:val="00452C56"/>
    <w:rsid w:val="0045777E"/>
    <w:rsid w:val="00463619"/>
    <w:rsid w:val="00464891"/>
    <w:rsid w:val="00473B60"/>
    <w:rsid w:val="00474EC7"/>
    <w:rsid w:val="00480B4B"/>
    <w:rsid w:val="00485DC4"/>
    <w:rsid w:val="00491276"/>
    <w:rsid w:val="004971E4"/>
    <w:rsid w:val="004A0E18"/>
    <w:rsid w:val="004A350E"/>
    <w:rsid w:val="004A43D1"/>
    <w:rsid w:val="004A6AF0"/>
    <w:rsid w:val="004B0E1F"/>
    <w:rsid w:val="004B355D"/>
    <w:rsid w:val="004B4412"/>
    <w:rsid w:val="004B5C61"/>
    <w:rsid w:val="004B71DE"/>
    <w:rsid w:val="004C2EF2"/>
    <w:rsid w:val="004C348C"/>
    <w:rsid w:val="004C4B4C"/>
    <w:rsid w:val="004C5AF0"/>
    <w:rsid w:val="004D0B41"/>
    <w:rsid w:val="004D2C60"/>
    <w:rsid w:val="004D55BA"/>
    <w:rsid w:val="004E0409"/>
    <w:rsid w:val="004E22EC"/>
    <w:rsid w:val="004E2486"/>
    <w:rsid w:val="004F1EC7"/>
    <w:rsid w:val="004F1EDE"/>
    <w:rsid w:val="004F2477"/>
    <w:rsid w:val="004F6A0E"/>
    <w:rsid w:val="00512156"/>
    <w:rsid w:val="00517EBD"/>
    <w:rsid w:val="005229DF"/>
    <w:rsid w:val="00530128"/>
    <w:rsid w:val="00530FEE"/>
    <w:rsid w:val="00531A5A"/>
    <w:rsid w:val="00532467"/>
    <w:rsid w:val="005334D8"/>
    <w:rsid w:val="005334E6"/>
    <w:rsid w:val="00537FD6"/>
    <w:rsid w:val="00564A4D"/>
    <w:rsid w:val="0056588A"/>
    <w:rsid w:val="00567BA5"/>
    <w:rsid w:val="00567E61"/>
    <w:rsid w:val="00571B35"/>
    <w:rsid w:val="00571D57"/>
    <w:rsid w:val="00574A62"/>
    <w:rsid w:val="00575FFE"/>
    <w:rsid w:val="00577A09"/>
    <w:rsid w:val="005829C2"/>
    <w:rsid w:val="00584D8F"/>
    <w:rsid w:val="00586819"/>
    <w:rsid w:val="00592B87"/>
    <w:rsid w:val="00595FAF"/>
    <w:rsid w:val="0059704C"/>
    <w:rsid w:val="0059719C"/>
    <w:rsid w:val="005A404D"/>
    <w:rsid w:val="005B140A"/>
    <w:rsid w:val="005B1E3C"/>
    <w:rsid w:val="005B3FB7"/>
    <w:rsid w:val="005B6464"/>
    <w:rsid w:val="005B704A"/>
    <w:rsid w:val="005C0A7F"/>
    <w:rsid w:val="005C26CC"/>
    <w:rsid w:val="005C4C9C"/>
    <w:rsid w:val="005D05DC"/>
    <w:rsid w:val="005D1D94"/>
    <w:rsid w:val="005D2D54"/>
    <w:rsid w:val="005D3F08"/>
    <w:rsid w:val="005D6218"/>
    <w:rsid w:val="005D6D18"/>
    <w:rsid w:val="005D7061"/>
    <w:rsid w:val="005D7BA2"/>
    <w:rsid w:val="005E0E65"/>
    <w:rsid w:val="005E2A2D"/>
    <w:rsid w:val="005E36C2"/>
    <w:rsid w:val="006007DE"/>
    <w:rsid w:val="00600B92"/>
    <w:rsid w:val="00601638"/>
    <w:rsid w:val="00610EF9"/>
    <w:rsid w:val="00612018"/>
    <w:rsid w:val="00612F4F"/>
    <w:rsid w:val="00615C6B"/>
    <w:rsid w:val="00621DCE"/>
    <w:rsid w:val="00623B54"/>
    <w:rsid w:val="006243BA"/>
    <w:rsid w:val="00632D6D"/>
    <w:rsid w:val="006349D8"/>
    <w:rsid w:val="006367CD"/>
    <w:rsid w:val="00642C3E"/>
    <w:rsid w:val="00644105"/>
    <w:rsid w:val="00651C3A"/>
    <w:rsid w:val="00651CB2"/>
    <w:rsid w:val="0065415E"/>
    <w:rsid w:val="006560CA"/>
    <w:rsid w:val="0066104A"/>
    <w:rsid w:val="00663DAD"/>
    <w:rsid w:val="00665649"/>
    <w:rsid w:val="006672AA"/>
    <w:rsid w:val="00675E20"/>
    <w:rsid w:val="0067601A"/>
    <w:rsid w:val="00676679"/>
    <w:rsid w:val="00683C89"/>
    <w:rsid w:val="00691D9A"/>
    <w:rsid w:val="00693464"/>
    <w:rsid w:val="006940FC"/>
    <w:rsid w:val="006A4B5A"/>
    <w:rsid w:val="006B2395"/>
    <w:rsid w:val="006B45A4"/>
    <w:rsid w:val="006B4CF9"/>
    <w:rsid w:val="006B785B"/>
    <w:rsid w:val="006B7AC8"/>
    <w:rsid w:val="006C1736"/>
    <w:rsid w:val="006C45AE"/>
    <w:rsid w:val="006C4798"/>
    <w:rsid w:val="006C5960"/>
    <w:rsid w:val="006D550F"/>
    <w:rsid w:val="006D6A2A"/>
    <w:rsid w:val="006E3AE4"/>
    <w:rsid w:val="006E666D"/>
    <w:rsid w:val="006F3AD1"/>
    <w:rsid w:val="006F3FC8"/>
    <w:rsid w:val="0070011E"/>
    <w:rsid w:val="00701CAB"/>
    <w:rsid w:val="00704EB2"/>
    <w:rsid w:val="00707563"/>
    <w:rsid w:val="007100C7"/>
    <w:rsid w:val="00720A96"/>
    <w:rsid w:val="0072348C"/>
    <w:rsid w:val="00724A37"/>
    <w:rsid w:val="007303C3"/>
    <w:rsid w:val="00741C46"/>
    <w:rsid w:val="00741E23"/>
    <w:rsid w:val="007429BE"/>
    <w:rsid w:val="00743223"/>
    <w:rsid w:val="00743825"/>
    <w:rsid w:val="00745E55"/>
    <w:rsid w:val="007466C2"/>
    <w:rsid w:val="00746E01"/>
    <w:rsid w:val="00747EEA"/>
    <w:rsid w:val="00757364"/>
    <w:rsid w:val="00757BDF"/>
    <w:rsid w:val="007609D0"/>
    <w:rsid w:val="0076173B"/>
    <w:rsid w:val="00763E5D"/>
    <w:rsid w:val="00765320"/>
    <w:rsid w:val="00767740"/>
    <w:rsid w:val="00777EE6"/>
    <w:rsid w:val="00782EEA"/>
    <w:rsid w:val="007842DB"/>
    <w:rsid w:val="00784C7C"/>
    <w:rsid w:val="00785481"/>
    <w:rsid w:val="0078724D"/>
    <w:rsid w:val="00790817"/>
    <w:rsid w:val="00792209"/>
    <w:rsid w:val="00794627"/>
    <w:rsid w:val="00796D1F"/>
    <w:rsid w:val="007A5F67"/>
    <w:rsid w:val="007A7C65"/>
    <w:rsid w:val="007B186E"/>
    <w:rsid w:val="007B2C72"/>
    <w:rsid w:val="007C1C53"/>
    <w:rsid w:val="007C4119"/>
    <w:rsid w:val="007C6BE7"/>
    <w:rsid w:val="007C7237"/>
    <w:rsid w:val="007C74BB"/>
    <w:rsid w:val="007D456E"/>
    <w:rsid w:val="007D6E82"/>
    <w:rsid w:val="007E4904"/>
    <w:rsid w:val="007E4CB5"/>
    <w:rsid w:val="007F066B"/>
    <w:rsid w:val="007F213A"/>
    <w:rsid w:val="007F48C1"/>
    <w:rsid w:val="007F57FB"/>
    <w:rsid w:val="007F65B7"/>
    <w:rsid w:val="007F75C4"/>
    <w:rsid w:val="0080153D"/>
    <w:rsid w:val="008033C4"/>
    <w:rsid w:val="00806C88"/>
    <w:rsid w:val="00806F39"/>
    <w:rsid w:val="0081000E"/>
    <w:rsid w:val="0081034E"/>
    <w:rsid w:val="00814694"/>
    <w:rsid w:val="008221F2"/>
    <w:rsid w:val="0082552C"/>
    <w:rsid w:val="00825985"/>
    <w:rsid w:val="008344F6"/>
    <w:rsid w:val="0083510F"/>
    <w:rsid w:val="00835F1B"/>
    <w:rsid w:val="008408C5"/>
    <w:rsid w:val="00840958"/>
    <w:rsid w:val="00851209"/>
    <w:rsid w:val="00854DF6"/>
    <w:rsid w:val="0085722A"/>
    <w:rsid w:val="008578A8"/>
    <w:rsid w:val="00864B35"/>
    <w:rsid w:val="0088113E"/>
    <w:rsid w:val="00882481"/>
    <w:rsid w:val="008837AC"/>
    <w:rsid w:val="0088670B"/>
    <w:rsid w:val="00886773"/>
    <w:rsid w:val="008969CC"/>
    <w:rsid w:val="008A2A45"/>
    <w:rsid w:val="008A587D"/>
    <w:rsid w:val="008B2F53"/>
    <w:rsid w:val="008B35CD"/>
    <w:rsid w:val="008B368C"/>
    <w:rsid w:val="008B5FCC"/>
    <w:rsid w:val="008B7544"/>
    <w:rsid w:val="008C30D7"/>
    <w:rsid w:val="008C3374"/>
    <w:rsid w:val="008C5486"/>
    <w:rsid w:val="008C708B"/>
    <w:rsid w:val="008D1661"/>
    <w:rsid w:val="008D6800"/>
    <w:rsid w:val="008E487B"/>
    <w:rsid w:val="008E5459"/>
    <w:rsid w:val="008E7031"/>
    <w:rsid w:val="008E77DE"/>
    <w:rsid w:val="008E7E1E"/>
    <w:rsid w:val="008F07A3"/>
    <w:rsid w:val="008F34DD"/>
    <w:rsid w:val="009001B6"/>
    <w:rsid w:val="00900E1B"/>
    <w:rsid w:val="00901C3C"/>
    <w:rsid w:val="009233EE"/>
    <w:rsid w:val="009272AD"/>
    <w:rsid w:val="009277DC"/>
    <w:rsid w:val="00930387"/>
    <w:rsid w:val="00945962"/>
    <w:rsid w:val="009460AA"/>
    <w:rsid w:val="00951978"/>
    <w:rsid w:val="00953824"/>
    <w:rsid w:val="00961A4A"/>
    <w:rsid w:val="009623E4"/>
    <w:rsid w:val="009661DE"/>
    <w:rsid w:val="009743EA"/>
    <w:rsid w:val="009747EA"/>
    <w:rsid w:val="00983C25"/>
    <w:rsid w:val="009856B7"/>
    <w:rsid w:val="00985C86"/>
    <w:rsid w:val="00990A2A"/>
    <w:rsid w:val="009A5113"/>
    <w:rsid w:val="009A5FC3"/>
    <w:rsid w:val="009B417F"/>
    <w:rsid w:val="009B581A"/>
    <w:rsid w:val="009B5C3F"/>
    <w:rsid w:val="009B6F84"/>
    <w:rsid w:val="009B74B0"/>
    <w:rsid w:val="009C7CF6"/>
    <w:rsid w:val="009D3906"/>
    <w:rsid w:val="009D41B0"/>
    <w:rsid w:val="009D6B46"/>
    <w:rsid w:val="009F4940"/>
    <w:rsid w:val="009F59FF"/>
    <w:rsid w:val="009F5BA1"/>
    <w:rsid w:val="00A02A88"/>
    <w:rsid w:val="00A051C2"/>
    <w:rsid w:val="00A0562E"/>
    <w:rsid w:val="00A06085"/>
    <w:rsid w:val="00A0726D"/>
    <w:rsid w:val="00A104CF"/>
    <w:rsid w:val="00A14297"/>
    <w:rsid w:val="00A25CA4"/>
    <w:rsid w:val="00A32FBB"/>
    <w:rsid w:val="00A34AF4"/>
    <w:rsid w:val="00A428EE"/>
    <w:rsid w:val="00A4478A"/>
    <w:rsid w:val="00A44852"/>
    <w:rsid w:val="00A4650A"/>
    <w:rsid w:val="00A50502"/>
    <w:rsid w:val="00A52D10"/>
    <w:rsid w:val="00A53947"/>
    <w:rsid w:val="00A53D40"/>
    <w:rsid w:val="00A565A3"/>
    <w:rsid w:val="00A57D04"/>
    <w:rsid w:val="00A60A26"/>
    <w:rsid w:val="00A61598"/>
    <w:rsid w:val="00A7607A"/>
    <w:rsid w:val="00A82E64"/>
    <w:rsid w:val="00A84A99"/>
    <w:rsid w:val="00A84F46"/>
    <w:rsid w:val="00A871F4"/>
    <w:rsid w:val="00A94875"/>
    <w:rsid w:val="00A94B09"/>
    <w:rsid w:val="00A97615"/>
    <w:rsid w:val="00AA0BF9"/>
    <w:rsid w:val="00AC1B2C"/>
    <w:rsid w:val="00AC30F5"/>
    <w:rsid w:val="00AC3264"/>
    <w:rsid w:val="00AC3D86"/>
    <w:rsid w:val="00AC4FB3"/>
    <w:rsid w:val="00AC544D"/>
    <w:rsid w:val="00AD0C24"/>
    <w:rsid w:val="00AE1BF1"/>
    <w:rsid w:val="00AE4F55"/>
    <w:rsid w:val="00AF0DD2"/>
    <w:rsid w:val="00B015D3"/>
    <w:rsid w:val="00B0209D"/>
    <w:rsid w:val="00B05B18"/>
    <w:rsid w:val="00B07CEA"/>
    <w:rsid w:val="00B11A8C"/>
    <w:rsid w:val="00B13048"/>
    <w:rsid w:val="00B1716D"/>
    <w:rsid w:val="00B17A1D"/>
    <w:rsid w:val="00B207A0"/>
    <w:rsid w:val="00B22BF2"/>
    <w:rsid w:val="00B27FDD"/>
    <w:rsid w:val="00B315E5"/>
    <w:rsid w:val="00B34859"/>
    <w:rsid w:val="00B359F0"/>
    <w:rsid w:val="00B41164"/>
    <w:rsid w:val="00B41BEE"/>
    <w:rsid w:val="00B514DD"/>
    <w:rsid w:val="00B51702"/>
    <w:rsid w:val="00B5174A"/>
    <w:rsid w:val="00B51F3F"/>
    <w:rsid w:val="00B52AF0"/>
    <w:rsid w:val="00B53CC8"/>
    <w:rsid w:val="00B53E02"/>
    <w:rsid w:val="00B561BD"/>
    <w:rsid w:val="00B56E03"/>
    <w:rsid w:val="00B61EDF"/>
    <w:rsid w:val="00B757A6"/>
    <w:rsid w:val="00B8080B"/>
    <w:rsid w:val="00B82223"/>
    <w:rsid w:val="00B848A6"/>
    <w:rsid w:val="00B86338"/>
    <w:rsid w:val="00B87BA5"/>
    <w:rsid w:val="00B87C39"/>
    <w:rsid w:val="00B932B5"/>
    <w:rsid w:val="00B9562D"/>
    <w:rsid w:val="00BA4665"/>
    <w:rsid w:val="00BB1122"/>
    <w:rsid w:val="00BB2FB2"/>
    <w:rsid w:val="00BB3304"/>
    <w:rsid w:val="00BB3B51"/>
    <w:rsid w:val="00BB43E2"/>
    <w:rsid w:val="00BB6CD4"/>
    <w:rsid w:val="00BB7528"/>
    <w:rsid w:val="00BD0475"/>
    <w:rsid w:val="00BD2575"/>
    <w:rsid w:val="00BD2977"/>
    <w:rsid w:val="00BD310B"/>
    <w:rsid w:val="00BD3446"/>
    <w:rsid w:val="00BD374B"/>
    <w:rsid w:val="00BE1F1B"/>
    <w:rsid w:val="00BE47B5"/>
    <w:rsid w:val="00BF1645"/>
    <w:rsid w:val="00BF1661"/>
    <w:rsid w:val="00BF266C"/>
    <w:rsid w:val="00C04223"/>
    <w:rsid w:val="00C06869"/>
    <w:rsid w:val="00C07E91"/>
    <w:rsid w:val="00C118B0"/>
    <w:rsid w:val="00C15935"/>
    <w:rsid w:val="00C25FA6"/>
    <w:rsid w:val="00C27A19"/>
    <w:rsid w:val="00C27C5C"/>
    <w:rsid w:val="00C329DF"/>
    <w:rsid w:val="00C32C59"/>
    <w:rsid w:val="00C35D7B"/>
    <w:rsid w:val="00C42ACA"/>
    <w:rsid w:val="00C538A9"/>
    <w:rsid w:val="00C53B5A"/>
    <w:rsid w:val="00C54F5A"/>
    <w:rsid w:val="00C569B4"/>
    <w:rsid w:val="00C56A3E"/>
    <w:rsid w:val="00C67A92"/>
    <w:rsid w:val="00C74197"/>
    <w:rsid w:val="00C7497E"/>
    <w:rsid w:val="00C84560"/>
    <w:rsid w:val="00C84F52"/>
    <w:rsid w:val="00C86679"/>
    <w:rsid w:val="00CA073E"/>
    <w:rsid w:val="00CA489E"/>
    <w:rsid w:val="00CA52A2"/>
    <w:rsid w:val="00CB0279"/>
    <w:rsid w:val="00CB666B"/>
    <w:rsid w:val="00CB6DC6"/>
    <w:rsid w:val="00CC5681"/>
    <w:rsid w:val="00CC7F1D"/>
    <w:rsid w:val="00CD34B9"/>
    <w:rsid w:val="00CE484B"/>
    <w:rsid w:val="00CF0DEE"/>
    <w:rsid w:val="00CF28AB"/>
    <w:rsid w:val="00CF32A8"/>
    <w:rsid w:val="00CF6EDE"/>
    <w:rsid w:val="00D006AE"/>
    <w:rsid w:val="00D01CF0"/>
    <w:rsid w:val="00D01EFD"/>
    <w:rsid w:val="00D0442A"/>
    <w:rsid w:val="00D12A73"/>
    <w:rsid w:val="00D154C6"/>
    <w:rsid w:val="00D17683"/>
    <w:rsid w:val="00D17D0D"/>
    <w:rsid w:val="00D22B57"/>
    <w:rsid w:val="00D301CB"/>
    <w:rsid w:val="00D3484B"/>
    <w:rsid w:val="00D35EF4"/>
    <w:rsid w:val="00D45694"/>
    <w:rsid w:val="00D508A2"/>
    <w:rsid w:val="00D51139"/>
    <w:rsid w:val="00D61388"/>
    <w:rsid w:val="00D617F4"/>
    <w:rsid w:val="00D61A54"/>
    <w:rsid w:val="00D61E1D"/>
    <w:rsid w:val="00D64DEA"/>
    <w:rsid w:val="00D67D75"/>
    <w:rsid w:val="00D7168E"/>
    <w:rsid w:val="00D71E57"/>
    <w:rsid w:val="00D75AA2"/>
    <w:rsid w:val="00D76BDC"/>
    <w:rsid w:val="00D776C6"/>
    <w:rsid w:val="00D80893"/>
    <w:rsid w:val="00D832A6"/>
    <w:rsid w:val="00D84854"/>
    <w:rsid w:val="00D848B4"/>
    <w:rsid w:val="00D84FC1"/>
    <w:rsid w:val="00D92CF1"/>
    <w:rsid w:val="00D92D38"/>
    <w:rsid w:val="00D950F5"/>
    <w:rsid w:val="00DA4752"/>
    <w:rsid w:val="00DA61F3"/>
    <w:rsid w:val="00DA6B93"/>
    <w:rsid w:val="00DB0F93"/>
    <w:rsid w:val="00DB1A67"/>
    <w:rsid w:val="00DB5074"/>
    <w:rsid w:val="00DB54C8"/>
    <w:rsid w:val="00DB5B21"/>
    <w:rsid w:val="00DC7981"/>
    <w:rsid w:val="00DD19B4"/>
    <w:rsid w:val="00DD7C99"/>
    <w:rsid w:val="00DE0A1E"/>
    <w:rsid w:val="00DE1093"/>
    <w:rsid w:val="00DE4EFA"/>
    <w:rsid w:val="00DE5520"/>
    <w:rsid w:val="00DE554F"/>
    <w:rsid w:val="00DE563D"/>
    <w:rsid w:val="00DE5E2E"/>
    <w:rsid w:val="00DE772C"/>
    <w:rsid w:val="00DF312A"/>
    <w:rsid w:val="00DF31C0"/>
    <w:rsid w:val="00DF6D1F"/>
    <w:rsid w:val="00E03AB3"/>
    <w:rsid w:val="00E04818"/>
    <w:rsid w:val="00E06442"/>
    <w:rsid w:val="00E06BCF"/>
    <w:rsid w:val="00E1001C"/>
    <w:rsid w:val="00E12467"/>
    <w:rsid w:val="00E15607"/>
    <w:rsid w:val="00E21D20"/>
    <w:rsid w:val="00E23993"/>
    <w:rsid w:val="00E242CC"/>
    <w:rsid w:val="00E257D6"/>
    <w:rsid w:val="00E25B8C"/>
    <w:rsid w:val="00E32020"/>
    <w:rsid w:val="00E34933"/>
    <w:rsid w:val="00E441F7"/>
    <w:rsid w:val="00E51D65"/>
    <w:rsid w:val="00E5499D"/>
    <w:rsid w:val="00E6200B"/>
    <w:rsid w:val="00E63373"/>
    <w:rsid w:val="00E65C85"/>
    <w:rsid w:val="00E66199"/>
    <w:rsid w:val="00E711C7"/>
    <w:rsid w:val="00E755EC"/>
    <w:rsid w:val="00E7624D"/>
    <w:rsid w:val="00E85AC1"/>
    <w:rsid w:val="00EA2812"/>
    <w:rsid w:val="00EA3D42"/>
    <w:rsid w:val="00EA6B1B"/>
    <w:rsid w:val="00EA6CA1"/>
    <w:rsid w:val="00EA75C1"/>
    <w:rsid w:val="00EB5BC8"/>
    <w:rsid w:val="00EB606C"/>
    <w:rsid w:val="00EB68C2"/>
    <w:rsid w:val="00EC04F1"/>
    <w:rsid w:val="00EC60E6"/>
    <w:rsid w:val="00ED0EC2"/>
    <w:rsid w:val="00ED1F73"/>
    <w:rsid w:val="00ED618A"/>
    <w:rsid w:val="00ED7323"/>
    <w:rsid w:val="00ED7C37"/>
    <w:rsid w:val="00EE28F3"/>
    <w:rsid w:val="00EE50D1"/>
    <w:rsid w:val="00EE7716"/>
    <w:rsid w:val="00EE77FA"/>
    <w:rsid w:val="00EF5110"/>
    <w:rsid w:val="00F0001F"/>
    <w:rsid w:val="00F0334E"/>
    <w:rsid w:val="00F04B3C"/>
    <w:rsid w:val="00F10411"/>
    <w:rsid w:val="00F10A31"/>
    <w:rsid w:val="00F15882"/>
    <w:rsid w:val="00F171E0"/>
    <w:rsid w:val="00F20BD3"/>
    <w:rsid w:val="00F22DB9"/>
    <w:rsid w:val="00F2526A"/>
    <w:rsid w:val="00F373A5"/>
    <w:rsid w:val="00F47559"/>
    <w:rsid w:val="00F5063E"/>
    <w:rsid w:val="00F579EC"/>
    <w:rsid w:val="00F61176"/>
    <w:rsid w:val="00F6269F"/>
    <w:rsid w:val="00F6297C"/>
    <w:rsid w:val="00F63910"/>
    <w:rsid w:val="00F64C7B"/>
    <w:rsid w:val="00F65B25"/>
    <w:rsid w:val="00F676DD"/>
    <w:rsid w:val="00F71667"/>
    <w:rsid w:val="00F75A26"/>
    <w:rsid w:val="00F75F4B"/>
    <w:rsid w:val="00F76706"/>
    <w:rsid w:val="00F768C8"/>
    <w:rsid w:val="00F81198"/>
    <w:rsid w:val="00F81B8D"/>
    <w:rsid w:val="00F81DD2"/>
    <w:rsid w:val="00F83FAD"/>
    <w:rsid w:val="00F84E8D"/>
    <w:rsid w:val="00F8653A"/>
    <w:rsid w:val="00F92349"/>
    <w:rsid w:val="00F952A0"/>
    <w:rsid w:val="00FA3C7F"/>
    <w:rsid w:val="00FA7F90"/>
    <w:rsid w:val="00FB2768"/>
    <w:rsid w:val="00FB4402"/>
    <w:rsid w:val="00FB60FE"/>
    <w:rsid w:val="00FB74E2"/>
    <w:rsid w:val="00FC71DC"/>
    <w:rsid w:val="00FD2ED2"/>
    <w:rsid w:val="00FD5614"/>
    <w:rsid w:val="00FD5E78"/>
    <w:rsid w:val="00FE0BE1"/>
    <w:rsid w:val="00FE1DE9"/>
    <w:rsid w:val="00FE36AF"/>
    <w:rsid w:val="00FE39C2"/>
    <w:rsid w:val="00FE3C32"/>
    <w:rsid w:val="00FE3D6C"/>
    <w:rsid w:val="00FE519D"/>
    <w:rsid w:val="00FE64AE"/>
    <w:rsid w:val="00FF4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A97E3F-9CEF-4E27-8C17-6486CE9E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17</Pages>
  <Words>3890</Words>
  <Characters>22178</Characters>
  <Application>Microsoft Office Word</Application>
  <DocSecurity>0</DocSecurity>
  <Lines>184</Lines>
  <Paragraphs>52</Paragraphs>
  <ScaleCrop>false</ScaleCrop>
  <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2015-11-23T00:36:00Z</dcterms:created>
  <dcterms:modified xsi:type="dcterms:W3CDTF">2015-11-23T00:39:00Z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8430216</vt:lpwstr>
  </property>
</Properties>
</file>