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4EE1BCE" wp14:editId="0DAD5B3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A42141">
            <w:t>DRAFT</w:t>
          </w:r>
          <w:r w:rsidR="00DA4752">
            <w:t xml:space="preserve"> DECISION</w:t>
          </w:r>
        </w:p>
        <w:p w:rsidR="00A42141" w:rsidRDefault="00A42141" w:rsidP="008F07A3">
          <w:pPr>
            <w:pStyle w:val="ReportSubtitle"/>
          </w:pPr>
          <w:r>
            <w:t>ActewAGL D</w:t>
          </w:r>
          <w:r w:rsidR="0070011E">
            <w:t>istribution</w:t>
          </w:r>
        </w:p>
        <w:p w:rsidR="00415F31" w:rsidRDefault="00A42141" w:rsidP="008F07A3">
          <w:pPr>
            <w:pStyle w:val="ReportSubtitle"/>
          </w:pPr>
          <w: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015D3">
            <w:t>7</w:t>
          </w:r>
          <w:r w:rsidR="00DA4752">
            <w:t xml:space="preserve"> </w:t>
          </w:r>
          <w:r w:rsidR="00415F31">
            <w:rPr>
              <w:rFonts w:cs="Arial"/>
            </w:rPr>
            <w:t>–</w:t>
          </w:r>
          <w:r w:rsidR="00DA4752">
            <w:t xml:space="preserve"> </w:t>
          </w:r>
          <w:r w:rsidR="00B015D3">
            <w:t>Operating expenditure</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6042318"/>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42141">
        <w:t>draft</w:t>
      </w:r>
      <w:r w:rsidR="00415F31">
        <w:t xml:space="preserve"> decision on </w:t>
      </w:r>
      <w:r w:rsidR="005B140A">
        <w:t>ActewAGL</w:t>
      </w:r>
      <w:r w:rsidR="004A03D0">
        <w:t xml:space="preserve"> Distribution</w:t>
      </w:r>
      <w:r w:rsidR="005C0A7F">
        <w:t>'s</w:t>
      </w:r>
      <w:r w:rsidR="00415F31">
        <w:t xml:space="preserve"> </w:t>
      </w:r>
      <w:r w:rsidR="00A42141">
        <w:t>access arrangement for</w:t>
      </w:r>
      <w:r w:rsidR="00415F31">
        <w:t xml:space="preserve"> 201</w:t>
      </w:r>
      <w:r w:rsidR="005C0A7F">
        <w:t>6</w:t>
      </w:r>
      <w:r w:rsidR="00415F31" w:rsidRPr="00D904FA">
        <w:t>–</w:t>
      </w:r>
      <w:r w:rsidR="005B140A">
        <w:t>21.</w:t>
      </w:r>
      <w:r w:rsidR="00415F31">
        <w:t xml:space="preserve"> It should be read with </w:t>
      </w:r>
      <w:r w:rsidR="005C0A7F">
        <w:t xml:space="preserve">all </w:t>
      </w:r>
      <w:r w:rsidR="00415F31">
        <w:t>other parts of the</w:t>
      </w:r>
      <w:r w:rsidR="00A42141">
        <w:t xml:space="preserve"> 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42141">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604231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AC61B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42318" w:history="1">
            <w:r w:rsidR="00AC61BB" w:rsidRPr="009409CC">
              <w:rPr>
                <w:rStyle w:val="Hyperlink"/>
              </w:rPr>
              <w:t>Note</w:t>
            </w:r>
            <w:r w:rsidR="00AC61BB">
              <w:rPr>
                <w:webHidden/>
              </w:rPr>
              <w:tab/>
            </w:r>
            <w:r w:rsidR="00AC61BB">
              <w:rPr>
                <w:webHidden/>
              </w:rPr>
              <w:fldChar w:fldCharType="begin"/>
            </w:r>
            <w:r w:rsidR="00AC61BB">
              <w:rPr>
                <w:webHidden/>
              </w:rPr>
              <w:instrText xml:space="preserve"> PAGEREF _Toc436042318 \h </w:instrText>
            </w:r>
            <w:r w:rsidR="00AC61BB">
              <w:rPr>
                <w:webHidden/>
              </w:rPr>
            </w:r>
            <w:r w:rsidR="00AC61BB">
              <w:rPr>
                <w:webHidden/>
              </w:rPr>
              <w:fldChar w:fldCharType="separate"/>
            </w:r>
            <w:r w:rsidR="00AC61BB">
              <w:rPr>
                <w:webHidden/>
              </w:rPr>
              <w:t>7-2</w:t>
            </w:r>
            <w:r w:rsidR="00AC61BB">
              <w:rPr>
                <w:webHidden/>
              </w:rPr>
              <w:fldChar w:fldCharType="end"/>
            </w:r>
          </w:hyperlink>
        </w:p>
        <w:p w:rsidR="00AC61BB" w:rsidRDefault="0042290A">
          <w:pPr>
            <w:pStyle w:val="TOC1"/>
            <w:rPr>
              <w:rFonts w:asciiTheme="minorHAnsi" w:eastAsiaTheme="minorEastAsia" w:hAnsiTheme="minorHAnsi"/>
              <w:b w:val="0"/>
              <w:color w:val="auto"/>
              <w:sz w:val="22"/>
              <w:lang w:val="en-AU" w:eastAsia="en-AU"/>
            </w:rPr>
          </w:pPr>
          <w:hyperlink w:anchor="_Toc436042319" w:history="1">
            <w:r w:rsidR="00AC61BB" w:rsidRPr="009409CC">
              <w:rPr>
                <w:rStyle w:val="Hyperlink"/>
              </w:rPr>
              <w:t>Contents</w:t>
            </w:r>
            <w:r w:rsidR="00AC61BB">
              <w:rPr>
                <w:webHidden/>
              </w:rPr>
              <w:tab/>
            </w:r>
            <w:r w:rsidR="00AC61BB">
              <w:rPr>
                <w:webHidden/>
              </w:rPr>
              <w:fldChar w:fldCharType="begin"/>
            </w:r>
            <w:r w:rsidR="00AC61BB">
              <w:rPr>
                <w:webHidden/>
              </w:rPr>
              <w:instrText xml:space="preserve"> PAGEREF _Toc436042319 \h </w:instrText>
            </w:r>
            <w:r w:rsidR="00AC61BB">
              <w:rPr>
                <w:webHidden/>
              </w:rPr>
            </w:r>
            <w:r w:rsidR="00AC61BB">
              <w:rPr>
                <w:webHidden/>
              </w:rPr>
              <w:fldChar w:fldCharType="separate"/>
            </w:r>
            <w:r w:rsidR="00AC61BB">
              <w:rPr>
                <w:webHidden/>
              </w:rPr>
              <w:t>7-3</w:t>
            </w:r>
            <w:r w:rsidR="00AC61BB">
              <w:rPr>
                <w:webHidden/>
              </w:rPr>
              <w:fldChar w:fldCharType="end"/>
            </w:r>
          </w:hyperlink>
        </w:p>
        <w:p w:rsidR="00AC61BB" w:rsidRDefault="0042290A">
          <w:pPr>
            <w:pStyle w:val="TOC1"/>
            <w:rPr>
              <w:rFonts w:asciiTheme="minorHAnsi" w:eastAsiaTheme="minorEastAsia" w:hAnsiTheme="minorHAnsi"/>
              <w:b w:val="0"/>
              <w:color w:val="auto"/>
              <w:sz w:val="22"/>
              <w:lang w:val="en-AU" w:eastAsia="en-AU"/>
            </w:rPr>
          </w:pPr>
          <w:hyperlink w:anchor="_Toc436042320" w:history="1">
            <w:r w:rsidR="00AC61BB" w:rsidRPr="009409CC">
              <w:rPr>
                <w:rStyle w:val="Hyperlink"/>
              </w:rPr>
              <w:t>Shortened forms</w:t>
            </w:r>
            <w:r w:rsidR="00AC61BB">
              <w:rPr>
                <w:webHidden/>
              </w:rPr>
              <w:tab/>
            </w:r>
            <w:r w:rsidR="00AC61BB">
              <w:rPr>
                <w:webHidden/>
              </w:rPr>
              <w:fldChar w:fldCharType="begin"/>
            </w:r>
            <w:r w:rsidR="00AC61BB">
              <w:rPr>
                <w:webHidden/>
              </w:rPr>
              <w:instrText xml:space="preserve"> PAGEREF _Toc436042320 \h </w:instrText>
            </w:r>
            <w:r w:rsidR="00AC61BB">
              <w:rPr>
                <w:webHidden/>
              </w:rPr>
            </w:r>
            <w:r w:rsidR="00AC61BB">
              <w:rPr>
                <w:webHidden/>
              </w:rPr>
              <w:fldChar w:fldCharType="separate"/>
            </w:r>
            <w:r w:rsidR="00AC61BB">
              <w:rPr>
                <w:webHidden/>
              </w:rPr>
              <w:t>7-4</w:t>
            </w:r>
            <w:r w:rsidR="00AC61BB">
              <w:rPr>
                <w:webHidden/>
              </w:rPr>
              <w:fldChar w:fldCharType="end"/>
            </w:r>
          </w:hyperlink>
        </w:p>
        <w:p w:rsidR="00AC61BB" w:rsidRDefault="0042290A">
          <w:pPr>
            <w:pStyle w:val="TOC1"/>
            <w:rPr>
              <w:rFonts w:asciiTheme="minorHAnsi" w:eastAsiaTheme="minorEastAsia" w:hAnsiTheme="minorHAnsi"/>
              <w:b w:val="0"/>
              <w:color w:val="auto"/>
              <w:sz w:val="22"/>
              <w:lang w:val="en-AU" w:eastAsia="en-AU"/>
            </w:rPr>
          </w:pPr>
          <w:hyperlink w:anchor="_Toc436042321" w:history="1">
            <w:r w:rsidR="00AC61BB" w:rsidRPr="009409CC">
              <w:rPr>
                <w:rStyle w:val="Hyperlink"/>
              </w:rPr>
              <w:t>7</w:t>
            </w:r>
            <w:r w:rsidR="00AC61BB">
              <w:rPr>
                <w:rFonts w:asciiTheme="minorHAnsi" w:eastAsiaTheme="minorEastAsia" w:hAnsiTheme="minorHAnsi"/>
                <w:b w:val="0"/>
                <w:color w:val="auto"/>
                <w:sz w:val="22"/>
                <w:lang w:val="en-AU" w:eastAsia="en-AU"/>
              </w:rPr>
              <w:tab/>
            </w:r>
            <w:r w:rsidR="00AC61BB" w:rsidRPr="009409CC">
              <w:rPr>
                <w:rStyle w:val="Hyperlink"/>
              </w:rPr>
              <w:t>Operating expenditure</w:t>
            </w:r>
            <w:r w:rsidR="00AC61BB">
              <w:rPr>
                <w:webHidden/>
              </w:rPr>
              <w:tab/>
            </w:r>
            <w:r w:rsidR="00AC61BB">
              <w:rPr>
                <w:webHidden/>
              </w:rPr>
              <w:fldChar w:fldCharType="begin"/>
            </w:r>
            <w:r w:rsidR="00AC61BB">
              <w:rPr>
                <w:webHidden/>
              </w:rPr>
              <w:instrText xml:space="preserve"> PAGEREF _Toc436042321 \h </w:instrText>
            </w:r>
            <w:r w:rsidR="00AC61BB">
              <w:rPr>
                <w:webHidden/>
              </w:rPr>
            </w:r>
            <w:r w:rsidR="00AC61BB">
              <w:rPr>
                <w:webHidden/>
              </w:rPr>
              <w:fldChar w:fldCharType="separate"/>
            </w:r>
            <w:r w:rsidR="00AC61BB">
              <w:rPr>
                <w:webHidden/>
              </w:rPr>
              <w:t>7-6</w:t>
            </w:r>
            <w:r w:rsidR="00AC61BB">
              <w:rPr>
                <w:webHidden/>
              </w:rPr>
              <w:fldChar w:fldCharType="end"/>
            </w:r>
          </w:hyperlink>
        </w:p>
        <w:p w:rsidR="00AC61BB" w:rsidRDefault="0042290A">
          <w:pPr>
            <w:pStyle w:val="TOC2"/>
            <w:rPr>
              <w:rFonts w:asciiTheme="minorHAnsi" w:eastAsiaTheme="minorEastAsia" w:hAnsiTheme="minorHAnsi"/>
              <w:b w:val="0"/>
              <w:color w:val="auto"/>
              <w:sz w:val="22"/>
              <w:lang w:eastAsia="en-AU"/>
            </w:rPr>
          </w:pPr>
          <w:hyperlink w:anchor="_Toc436042322" w:history="1">
            <w:r w:rsidR="00AC61BB" w:rsidRPr="009409CC">
              <w:rPr>
                <w:rStyle w:val="Hyperlink"/>
              </w:rPr>
              <w:t>7.1</w:t>
            </w:r>
            <w:r w:rsidR="00AC61BB">
              <w:rPr>
                <w:rFonts w:asciiTheme="minorHAnsi" w:eastAsiaTheme="minorEastAsia" w:hAnsiTheme="minorHAnsi"/>
                <w:b w:val="0"/>
                <w:color w:val="auto"/>
                <w:sz w:val="22"/>
                <w:lang w:eastAsia="en-AU"/>
              </w:rPr>
              <w:tab/>
            </w:r>
            <w:r w:rsidR="00AC61BB" w:rsidRPr="009409CC">
              <w:rPr>
                <w:rStyle w:val="Hyperlink"/>
              </w:rPr>
              <w:t>Draft decision</w:t>
            </w:r>
            <w:r w:rsidR="00AC61BB">
              <w:rPr>
                <w:webHidden/>
              </w:rPr>
              <w:tab/>
            </w:r>
            <w:r w:rsidR="00AC61BB">
              <w:rPr>
                <w:webHidden/>
              </w:rPr>
              <w:fldChar w:fldCharType="begin"/>
            </w:r>
            <w:r w:rsidR="00AC61BB">
              <w:rPr>
                <w:webHidden/>
              </w:rPr>
              <w:instrText xml:space="preserve"> PAGEREF _Toc436042322 \h </w:instrText>
            </w:r>
            <w:r w:rsidR="00AC61BB">
              <w:rPr>
                <w:webHidden/>
              </w:rPr>
            </w:r>
            <w:r w:rsidR="00AC61BB">
              <w:rPr>
                <w:webHidden/>
              </w:rPr>
              <w:fldChar w:fldCharType="separate"/>
            </w:r>
            <w:r w:rsidR="00AC61BB">
              <w:rPr>
                <w:webHidden/>
              </w:rPr>
              <w:t>7-6</w:t>
            </w:r>
            <w:r w:rsidR="00AC61BB">
              <w:rPr>
                <w:webHidden/>
              </w:rPr>
              <w:fldChar w:fldCharType="end"/>
            </w:r>
          </w:hyperlink>
        </w:p>
        <w:p w:rsidR="00AC61BB" w:rsidRDefault="0042290A">
          <w:pPr>
            <w:pStyle w:val="TOC2"/>
            <w:rPr>
              <w:rFonts w:asciiTheme="minorHAnsi" w:eastAsiaTheme="minorEastAsia" w:hAnsiTheme="minorHAnsi"/>
              <w:b w:val="0"/>
              <w:color w:val="auto"/>
              <w:sz w:val="22"/>
              <w:lang w:eastAsia="en-AU"/>
            </w:rPr>
          </w:pPr>
          <w:hyperlink w:anchor="_Toc436042323" w:history="1">
            <w:r w:rsidR="00AC61BB" w:rsidRPr="009409CC">
              <w:rPr>
                <w:rStyle w:val="Hyperlink"/>
              </w:rPr>
              <w:t>7.2</w:t>
            </w:r>
            <w:r w:rsidR="00AC61BB">
              <w:rPr>
                <w:rFonts w:asciiTheme="minorHAnsi" w:eastAsiaTheme="minorEastAsia" w:hAnsiTheme="minorHAnsi"/>
                <w:b w:val="0"/>
                <w:color w:val="auto"/>
                <w:sz w:val="22"/>
                <w:lang w:eastAsia="en-AU"/>
              </w:rPr>
              <w:tab/>
            </w:r>
            <w:r w:rsidR="00AC61BB" w:rsidRPr="009409CC">
              <w:rPr>
                <w:rStyle w:val="Hyperlink"/>
              </w:rPr>
              <w:t>ActewAGL's proposal</w:t>
            </w:r>
            <w:r w:rsidR="00AC61BB">
              <w:rPr>
                <w:webHidden/>
              </w:rPr>
              <w:tab/>
            </w:r>
            <w:r w:rsidR="00AC61BB">
              <w:rPr>
                <w:webHidden/>
              </w:rPr>
              <w:fldChar w:fldCharType="begin"/>
            </w:r>
            <w:r w:rsidR="00AC61BB">
              <w:rPr>
                <w:webHidden/>
              </w:rPr>
              <w:instrText xml:space="preserve"> PAGEREF _Toc436042323 \h </w:instrText>
            </w:r>
            <w:r w:rsidR="00AC61BB">
              <w:rPr>
                <w:webHidden/>
              </w:rPr>
            </w:r>
            <w:r w:rsidR="00AC61BB">
              <w:rPr>
                <w:webHidden/>
              </w:rPr>
              <w:fldChar w:fldCharType="separate"/>
            </w:r>
            <w:r w:rsidR="00AC61BB">
              <w:rPr>
                <w:webHidden/>
              </w:rPr>
              <w:t>7-7</w:t>
            </w:r>
            <w:r w:rsidR="00AC61BB">
              <w:rPr>
                <w:webHidden/>
              </w:rPr>
              <w:fldChar w:fldCharType="end"/>
            </w:r>
          </w:hyperlink>
        </w:p>
        <w:p w:rsidR="00AC61BB" w:rsidRDefault="0042290A">
          <w:pPr>
            <w:pStyle w:val="TOC2"/>
            <w:rPr>
              <w:rFonts w:asciiTheme="minorHAnsi" w:eastAsiaTheme="minorEastAsia" w:hAnsiTheme="minorHAnsi"/>
              <w:b w:val="0"/>
              <w:color w:val="auto"/>
              <w:sz w:val="22"/>
              <w:lang w:eastAsia="en-AU"/>
            </w:rPr>
          </w:pPr>
          <w:hyperlink w:anchor="_Toc436042324" w:history="1">
            <w:r w:rsidR="00AC61BB" w:rsidRPr="009409CC">
              <w:rPr>
                <w:rStyle w:val="Hyperlink"/>
              </w:rPr>
              <w:t>7.3</w:t>
            </w:r>
            <w:r w:rsidR="00AC61BB">
              <w:rPr>
                <w:rFonts w:asciiTheme="minorHAnsi" w:eastAsiaTheme="minorEastAsia" w:hAnsiTheme="minorHAnsi"/>
                <w:b w:val="0"/>
                <w:color w:val="auto"/>
                <w:sz w:val="22"/>
                <w:lang w:eastAsia="en-AU"/>
              </w:rPr>
              <w:tab/>
            </w:r>
            <w:r w:rsidR="00AC61BB" w:rsidRPr="009409CC">
              <w:rPr>
                <w:rStyle w:val="Hyperlink"/>
              </w:rPr>
              <w:t>AER’s assessment approach</w:t>
            </w:r>
            <w:r w:rsidR="00AC61BB">
              <w:rPr>
                <w:webHidden/>
              </w:rPr>
              <w:tab/>
            </w:r>
            <w:r w:rsidR="00AC61BB">
              <w:rPr>
                <w:webHidden/>
              </w:rPr>
              <w:fldChar w:fldCharType="begin"/>
            </w:r>
            <w:r w:rsidR="00AC61BB">
              <w:rPr>
                <w:webHidden/>
              </w:rPr>
              <w:instrText xml:space="preserve"> PAGEREF _Toc436042324 \h </w:instrText>
            </w:r>
            <w:r w:rsidR="00AC61BB">
              <w:rPr>
                <w:webHidden/>
              </w:rPr>
            </w:r>
            <w:r w:rsidR="00AC61BB">
              <w:rPr>
                <w:webHidden/>
              </w:rPr>
              <w:fldChar w:fldCharType="separate"/>
            </w:r>
            <w:r w:rsidR="00AC61BB">
              <w:rPr>
                <w:webHidden/>
              </w:rPr>
              <w:t>7-9</w:t>
            </w:r>
            <w:r w:rsidR="00AC61BB">
              <w:rPr>
                <w:webHidden/>
              </w:rPr>
              <w:fldChar w:fldCharType="end"/>
            </w:r>
          </w:hyperlink>
        </w:p>
        <w:p w:rsidR="00AC61BB" w:rsidRDefault="0042290A">
          <w:pPr>
            <w:pStyle w:val="TOC3"/>
            <w:rPr>
              <w:rFonts w:asciiTheme="minorHAnsi" w:eastAsiaTheme="minorEastAsia" w:hAnsiTheme="minorHAnsi"/>
              <w:lang w:eastAsia="en-AU"/>
            </w:rPr>
          </w:pPr>
          <w:hyperlink w:anchor="_Toc436042325" w:history="1">
            <w:r w:rsidR="00AC61BB" w:rsidRPr="009409CC">
              <w:rPr>
                <w:rStyle w:val="Hyperlink"/>
              </w:rPr>
              <w:t>7.3.1</w:t>
            </w:r>
            <w:r w:rsidR="00AC61BB">
              <w:rPr>
                <w:rFonts w:asciiTheme="minorHAnsi" w:eastAsiaTheme="minorEastAsia" w:hAnsiTheme="minorHAnsi"/>
                <w:lang w:eastAsia="en-AU"/>
              </w:rPr>
              <w:tab/>
            </w:r>
            <w:r w:rsidR="00AC61BB" w:rsidRPr="009409CC">
              <w:rPr>
                <w:rStyle w:val="Hyperlink"/>
              </w:rPr>
              <w:t>Building an alternative estimate of total forecast opex</w:t>
            </w:r>
            <w:r w:rsidR="00AC61BB">
              <w:rPr>
                <w:webHidden/>
              </w:rPr>
              <w:tab/>
            </w:r>
            <w:r w:rsidR="00AC61BB">
              <w:rPr>
                <w:webHidden/>
              </w:rPr>
              <w:fldChar w:fldCharType="begin"/>
            </w:r>
            <w:r w:rsidR="00AC61BB">
              <w:rPr>
                <w:webHidden/>
              </w:rPr>
              <w:instrText xml:space="preserve"> PAGEREF _Toc436042325 \h </w:instrText>
            </w:r>
            <w:r w:rsidR="00AC61BB">
              <w:rPr>
                <w:webHidden/>
              </w:rPr>
            </w:r>
            <w:r w:rsidR="00AC61BB">
              <w:rPr>
                <w:webHidden/>
              </w:rPr>
              <w:fldChar w:fldCharType="separate"/>
            </w:r>
            <w:r w:rsidR="00AC61BB">
              <w:rPr>
                <w:webHidden/>
              </w:rPr>
              <w:t>7-10</w:t>
            </w:r>
            <w:r w:rsidR="00AC61BB">
              <w:rPr>
                <w:webHidden/>
              </w:rPr>
              <w:fldChar w:fldCharType="end"/>
            </w:r>
          </w:hyperlink>
        </w:p>
        <w:p w:rsidR="00AC61BB" w:rsidRDefault="0042290A">
          <w:pPr>
            <w:pStyle w:val="TOC3"/>
            <w:rPr>
              <w:rFonts w:asciiTheme="minorHAnsi" w:eastAsiaTheme="minorEastAsia" w:hAnsiTheme="minorHAnsi"/>
              <w:lang w:eastAsia="en-AU"/>
            </w:rPr>
          </w:pPr>
          <w:hyperlink w:anchor="_Toc436042326" w:history="1">
            <w:r w:rsidR="00AC61BB" w:rsidRPr="009409CC">
              <w:rPr>
                <w:rStyle w:val="Hyperlink"/>
              </w:rPr>
              <w:t>7.3.2</w:t>
            </w:r>
            <w:r w:rsidR="00AC61BB">
              <w:rPr>
                <w:rFonts w:asciiTheme="minorHAnsi" w:eastAsiaTheme="minorEastAsia" w:hAnsiTheme="minorHAnsi"/>
                <w:lang w:eastAsia="en-AU"/>
              </w:rPr>
              <w:tab/>
            </w:r>
            <w:r w:rsidR="00AC61BB" w:rsidRPr="009409CC">
              <w:rPr>
                <w:rStyle w:val="Hyperlink"/>
              </w:rPr>
              <w:t>Interrelationships</w:t>
            </w:r>
            <w:r w:rsidR="00AC61BB">
              <w:rPr>
                <w:webHidden/>
              </w:rPr>
              <w:tab/>
            </w:r>
            <w:r w:rsidR="00AC61BB">
              <w:rPr>
                <w:webHidden/>
              </w:rPr>
              <w:fldChar w:fldCharType="begin"/>
            </w:r>
            <w:r w:rsidR="00AC61BB">
              <w:rPr>
                <w:webHidden/>
              </w:rPr>
              <w:instrText xml:space="preserve"> PAGEREF _Toc436042326 \h </w:instrText>
            </w:r>
            <w:r w:rsidR="00AC61BB">
              <w:rPr>
                <w:webHidden/>
              </w:rPr>
            </w:r>
            <w:r w:rsidR="00AC61BB">
              <w:rPr>
                <w:webHidden/>
              </w:rPr>
              <w:fldChar w:fldCharType="separate"/>
            </w:r>
            <w:r w:rsidR="00AC61BB">
              <w:rPr>
                <w:webHidden/>
              </w:rPr>
              <w:t>7-12</w:t>
            </w:r>
            <w:r w:rsidR="00AC61BB">
              <w:rPr>
                <w:webHidden/>
              </w:rPr>
              <w:fldChar w:fldCharType="end"/>
            </w:r>
          </w:hyperlink>
        </w:p>
        <w:p w:rsidR="00AC61BB" w:rsidRDefault="0042290A">
          <w:pPr>
            <w:pStyle w:val="TOC2"/>
            <w:rPr>
              <w:rFonts w:asciiTheme="minorHAnsi" w:eastAsiaTheme="minorEastAsia" w:hAnsiTheme="minorHAnsi"/>
              <w:b w:val="0"/>
              <w:color w:val="auto"/>
              <w:sz w:val="22"/>
              <w:lang w:eastAsia="en-AU"/>
            </w:rPr>
          </w:pPr>
          <w:hyperlink w:anchor="_Toc436042327" w:history="1">
            <w:r w:rsidR="00AC61BB" w:rsidRPr="009409CC">
              <w:rPr>
                <w:rStyle w:val="Hyperlink"/>
              </w:rPr>
              <w:t>7.4</w:t>
            </w:r>
            <w:r w:rsidR="00AC61BB">
              <w:rPr>
                <w:rFonts w:asciiTheme="minorHAnsi" w:eastAsiaTheme="minorEastAsia" w:hAnsiTheme="minorHAnsi"/>
                <w:b w:val="0"/>
                <w:color w:val="auto"/>
                <w:sz w:val="22"/>
                <w:lang w:eastAsia="en-AU"/>
              </w:rPr>
              <w:tab/>
            </w:r>
            <w:r w:rsidR="00AC61BB" w:rsidRPr="009409CC">
              <w:rPr>
                <w:rStyle w:val="Hyperlink"/>
              </w:rPr>
              <w:t>Reasons for draft decision</w:t>
            </w:r>
            <w:r w:rsidR="00AC61BB">
              <w:rPr>
                <w:webHidden/>
              </w:rPr>
              <w:tab/>
            </w:r>
            <w:r w:rsidR="00AC61BB">
              <w:rPr>
                <w:webHidden/>
              </w:rPr>
              <w:fldChar w:fldCharType="begin"/>
            </w:r>
            <w:r w:rsidR="00AC61BB">
              <w:rPr>
                <w:webHidden/>
              </w:rPr>
              <w:instrText xml:space="preserve"> PAGEREF _Toc436042327 \h </w:instrText>
            </w:r>
            <w:r w:rsidR="00AC61BB">
              <w:rPr>
                <w:webHidden/>
              </w:rPr>
            </w:r>
            <w:r w:rsidR="00AC61BB">
              <w:rPr>
                <w:webHidden/>
              </w:rPr>
              <w:fldChar w:fldCharType="separate"/>
            </w:r>
            <w:r w:rsidR="00AC61BB">
              <w:rPr>
                <w:webHidden/>
              </w:rPr>
              <w:t>7-13</w:t>
            </w:r>
            <w:r w:rsidR="00AC61BB">
              <w:rPr>
                <w:webHidden/>
              </w:rPr>
              <w:fldChar w:fldCharType="end"/>
            </w:r>
          </w:hyperlink>
        </w:p>
        <w:p w:rsidR="00AC61BB" w:rsidRDefault="0042290A">
          <w:pPr>
            <w:pStyle w:val="TOC3"/>
            <w:rPr>
              <w:rFonts w:asciiTheme="minorHAnsi" w:eastAsiaTheme="minorEastAsia" w:hAnsiTheme="minorHAnsi"/>
              <w:lang w:eastAsia="en-AU"/>
            </w:rPr>
          </w:pPr>
          <w:hyperlink w:anchor="_Toc436042328" w:history="1">
            <w:r w:rsidR="00AC61BB" w:rsidRPr="009409CC">
              <w:rPr>
                <w:rStyle w:val="Hyperlink"/>
              </w:rPr>
              <w:t>7.4.1</w:t>
            </w:r>
            <w:r w:rsidR="00AC61BB">
              <w:rPr>
                <w:rFonts w:asciiTheme="minorHAnsi" w:eastAsiaTheme="minorEastAsia" w:hAnsiTheme="minorHAnsi"/>
                <w:lang w:eastAsia="en-AU"/>
              </w:rPr>
              <w:tab/>
            </w:r>
            <w:r w:rsidR="00AC61BB" w:rsidRPr="009409CC">
              <w:rPr>
                <w:rStyle w:val="Hyperlink"/>
              </w:rPr>
              <w:t>Forecasting method</w:t>
            </w:r>
            <w:r w:rsidR="00AC61BB">
              <w:rPr>
                <w:webHidden/>
              </w:rPr>
              <w:tab/>
            </w:r>
            <w:r w:rsidR="00AC61BB">
              <w:rPr>
                <w:webHidden/>
              </w:rPr>
              <w:fldChar w:fldCharType="begin"/>
            </w:r>
            <w:r w:rsidR="00AC61BB">
              <w:rPr>
                <w:webHidden/>
              </w:rPr>
              <w:instrText xml:space="preserve"> PAGEREF _Toc436042328 \h </w:instrText>
            </w:r>
            <w:r w:rsidR="00AC61BB">
              <w:rPr>
                <w:webHidden/>
              </w:rPr>
            </w:r>
            <w:r w:rsidR="00AC61BB">
              <w:rPr>
                <w:webHidden/>
              </w:rPr>
              <w:fldChar w:fldCharType="separate"/>
            </w:r>
            <w:r w:rsidR="00AC61BB">
              <w:rPr>
                <w:webHidden/>
              </w:rPr>
              <w:t>7-14</w:t>
            </w:r>
            <w:r w:rsidR="00AC61BB">
              <w:rPr>
                <w:webHidden/>
              </w:rPr>
              <w:fldChar w:fldCharType="end"/>
            </w:r>
          </w:hyperlink>
        </w:p>
        <w:p w:rsidR="00AC61BB" w:rsidRDefault="0042290A">
          <w:pPr>
            <w:pStyle w:val="TOC3"/>
            <w:rPr>
              <w:rFonts w:asciiTheme="minorHAnsi" w:eastAsiaTheme="minorEastAsia" w:hAnsiTheme="minorHAnsi"/>
              <w:lang w:eastAsia="en-AU"/>
            </w:rPr>
          </w:pPr>
          <w:hyperlink w:anchor="_Toc436042329" w:history="1">
            <w:r w:rsidR="00AC61BB" w:rsidRPr="009409CC">
              <w:rPr>
                <w:rStyle w:val="Hyperlink"/>
              </w:rPr>
              <w:t>7.4.2</w:t>
            </w:r>
            <w:r w:rsidR="00AC61BB">
              <w:rPr>
                <w:rFonts w:asciiTheme="minorHAnsi" w:eastAsiaTheme="minorEastAsia" w:hAnsiTheme="minorHAnsi"/>
                <w:lang w:eastAsia="en-AU"/>
              </w:rPr>
              <w:tab/>
            </w:r>
            <w:r w:rsidR="00AC61BB" w:rsidRPr="009409CC">
              <w:rPr>
                <w:rStyle w:val="Hyperlink"/>
              </w:rPr>
              <w:t>Base year opex</w:t>
            </w:r>
            <w:r w:rsidR="00AC61BB">
              <w:rPr>
                <w:webHidden/>
              </w:rPr>
              <w:tab/>
            </w:r>
            <w:r w:rsidR="00AC61BB">
              <w:rPr>
                <w:webHidden/>
              </w:rPr>
              <w:fldChar w:fldCharType="begin"/>
            </w:r>
            <w:r w:rsidR="00AC61BB">
              <w:rPr>
                <w:webHidden/>
              </w:rPr>
              <w:instrText xml:space="preserve"> PAGEREF _Toc436042329 \h </w:instrText>
            </w:r>
            <w:r w:rsidR="00AC61BB">
              <w:rPr>
                <w:webHidden/>
              </w:rPr>
            </w:r>
            <w:r w:rsidR="00AC61BB">
              <w:rPr>
                <w:webHidden/>
              </w:rPr>
              <w:fldChar w:fldCharType="separate"/>
            </w:r>
            <w:r w:rsidR="00AC61BB">
              <w:rPr>
                <w:webHidden/>
              </w:rPr>
              <w:t>7-14</w:t>
            </w:r>
            <w:r w:rsidR="00AC61BB">
              <w:rPr>
                <w:webHidden/>
              </w:rPr>
              <w:fldChar w:fldCharType="end"/>
            </w:r>
          </w:hyperlink>
        </w:p>
        <w:p w:rsidR="00AC61BB" w:rsidRDefault="0042290A">
          <w:pPr>
            <w:pStyle w:val="TOC3"/>
            <w:rPr>
              <w:rFonts w:asciiTheme="minorHAnsi" w:eastAsiaTheme="minorEastAsia" w:hAnsiTheme="minorHAnsi"/>
              <w:lang w:eastAsia="en-AU"/>
            </w:rPr>
          </w:pPr>
          <w:hyperlink w:anchor="_Toc436042330" w:history="1">
            <w:r w:rsidR="00AC61BB" w:rsidRPr="009409CC">
              <w:rPr>
                <w:rStyle w:val="Hyperlink"/>
              </w:rPr>
              <w:t>7.4.3</w:t>
            </w:r>
            <w:r w:rsidR="00AC61BB">
              <w:rPr>
                <w:rFonts w:asciiTheme="minorHAnsi" w:eastAsiaTheme="minorEastAsia" w:hAnsiTheme="minorHAnsi"/>
                <w:lang w:eastAsia="en-AU"/>
              </w:rPr>
              <w:tab/>
            </w:r>
            <w:r w:rsidR="00AC61BB" w:rsidRPr="009409CC">
              <w:rPr>
                <w:rStyle w:val="Hyperlink"/>
              </w:rPr>
              <w:t>Rate of change</w:t>
            </w:r>
            <w:r w:rsidR="00AC61BB">
              <w:rPr>
                <w:webHidden/>
              </w:rPr>
              <w:tab/>
            </w:r>
            <w:r w:rsidR="00AC61BB">
              <w:rPr>
                <w:webHidden/>
              </w:rPr>
              <w:fldChar w:fldCharType="begin"/>
            </w:r>
            <w:r w:rsidR="00AC61BB">
              <w:rPr>
                <w:webHidden/>
              </w:rPr>
              <w:instrText xml:space="preserve"> PAGEREF _Toc436042330 \h </w:instrText>
            </w:r>
            <w:r w:rsidR="00AC61BB">
              <w:rPr>
                <w:webHidden/>
              </w:rPr>
            </w:r>
            <w:r w:rsidR="00AC61BB">
              <w:rPr>
                <w:webHidden/>
              </w:rPr>
              <w:fldChar w:fldCharType="separate"/>
            </w:r>
            <w:r w:rsidR="00AC61BB">
              <w:rPr>
                <w:webHidden/>
              </w:rPr>
              <w:t>7-16</w:t>
            </w:r>
            <w:r w:rsidR="00AC61BB">
              <w:rPr>
                <w:webHidden/>
              </w:rPr>
              <w:fldChar w:fldCharType="end"/>
            </w:r>
          </w:hyperlink>
        </w:p>
        <w:p w:rsidR="00AC61BB" w:rsidRDefault="0042290A">
          <w:pPr>
            <w:pStyle w:val="TOC3"/>
            <w:rPr>
              <w:rFonts w:asciiTheme="minorHAnsi" w:eastAsiaTheme="minorEastAsia" w:hAnsiTheme="minorHAnsi"/>
              <w:lang w:eastAsia="en-AU"/>
            </w:rPr>
          </w:pPr>
          <w:hyperlink w:anchor="_Toc436042331" w:history="1">
            <w:r w:rsidR="00AC61BB" w:rsidRPr="009409CC">
              <w:rPr>
                <w:rStyle w:val="Hyperlink"/>
              </w:rPr>
              <w:t>7.4.4</w:t>
            </w:r>
            <w:r w:rsidR="00AC61BB">
              <w:rPr>
                <w:rFonts w:asciiTheme="minorHAnsi" w:eastAsiaTheme="minorEastAsia" w:hAnsiTheme="minorHAnsi"/>
                <w:lang w:eastAsia="en-AU"/>
              </w:rPr>
              <w:tab/>
            </w:r>
            <w:r w:rsidR="00AC61BB" w:rsidRPr="009409CC">
              <w:rPr>
                <w:rStyle w:val="Hyperlink"/>
              </w:rPr>
              <w:t>Step changes</w:t>
            </w:r>
            <w:r w:rsidR="00AC61BB">
              <w:rPr>
                <w:webHidden/>
              </w:rPr>
              <w:tab/>
            </w:r>
            <w:r w:rsidR="00AC61BB">
              <w:rPr>
                <w:webHidden/>
              </w:rPr>
              <w:fldChar w:fldCharType="begin"/>
            </w:r>
            <w:r w:rsidR="00AC61BB">
              <w:rPr>
                <w:webHidden/>
              </w:rPr>
              <w:instrText xml:space="preserve"> PAGEREF _Toc436042331 \h </w:instrText>
            </w:r>
            <w:r w:rsidR="00AC61BB">
              <w:rPr>
                <w:webHidden/>
              </w:rPr>
            </w:r>
            <w:r w:rsidR="00AC61BB">
              <w:rPr>
                <w:webHidden/>
              </w:rPr>
              <w:fldChar w:fldCharType="separate"/>
            </w:r>
            <w:r w:rsidR="00AC61BB">
              <w:rPr>
                <w:webHidden/>
              </w:rPr>
              <w:t>7-23</w:t>
            </w:r>
            <w:r w:rsidR="00AC61BB">
              <w:rPr>
                <w:webHidden/>
              </w:rPr>
              <w:fldChar w:fldCharType="end"/>
            </w:r>
          </w:hyperlink>
        </w:p>
        <w:p w:rsidR="00AC61BB" w:rsidRDefault="0042290A">
          <w:pPr>
            <w:pStyle w:val="TOC3"/>
            <w:rPr>
              <w:rFonts w:asciiTheme="minorHAnsi" w:eastAsiaTheme="minorEastAsia" w:hAnsiTheme="minorHAnsi"/>
              <w:lang w:eastAsia="en-AU"/>
            </w:rPr>
          </w:pPr>
          <w:hyperlink w:anchor="_Toc436042332" w:history="1">
            <w:r w:rsidR="00AC61BB" w:rsidRPr="009409CC">
              <w:rPr>
                <w:rStyle w:val="Hyperlink"/>
              </w:rPr>
              <w:t>7.4.5</w:t>
            </w:r>
            <w:r w:rsidR="00AC61BB">
              <w:rPr>
                <w:rFonts w:asciiTheme="minorHAnsi" w:eastAsiaTheme="minorEastAsia" w:hAnsiTheme="minorHAnsi"/>
                <w:lang w:eastAsia="en-AU"/>
              </w:rPr>
              <w:tab/>
            </w:r>
            <w:r w:rsidR="00AC61BB" w:rsidRPr="009409CC">
              <w:rPr>
                <w:rStyle w:val="Hyperlink"/>
              </w:rPr>
              <w:t>Category specific forecasts</w:t>
            </w:r>
            <w:r w:rsidR="00AC61BB">
              <w:rPr>
                <w:webHidden/>
              </w:rPr>
              <w:tab/>
            </w:r>
            <w:r w:rsidR="00AC61BB">
              <w:rPr>
                <w:webHidden/>
              </w:rPr>
              <w:fldChar w:fldCharType="begin"/>
            </w:r>
            <w:r w:rsidR="00AC61BB">
              <w:rPr>
                <w:webHidden/>
              </w:rPr>
              <w:instrText xml:space="preserve"> PAGEREF _Toc436042332 \h </w:instrText>
            </w:r>
            <w:r w:rsidR="00AC61BB">
              <w:rPr>
                <w:webHidden/>
              </w:rPr>
            </w:r>
            <w:r w:rsidR="00AC61BB">
              <w:rPr>
                <w:webHidden/>
              </w:rPr>
              <w:fldChar w:fldCharType="separate"/>
            </w:r>
            <w:r w:rsidR="00AC61BB">
              <w:rPr>
                <w:webHidden/>
              </w:rPr>
              <w:t>7-34</w:t>
            </w:r>
            <w:r w:rsidR="00AC61BB">
              <w:rPr>
                <w:webHidden/>
              </w:rPr>
              <w:fldChar w:fldCharType="end"/>
            </w:r>
          </w:hyperlink>
        </w:p>
        <w:p w:rsidR="00AC61BB" w:rsidRDefault="0042290A">
          <w:pPr>
            <w:pStyle w:val="TOC2"/>
            <w:rPr>
              <w:rFonts w:asciiTheme="minorHAnsi" w:eastAsiaTheme="minorEastAsia" w:hAnsiTheme="minorHAnsi"/>
              <w:b w:val="0"/>
              <w:color w:val="auto"/>
              <w:sz w:val="22"/>
              <w:lang w:eastAsia="en-AU"/>
            </w:rPr>
          </w:pPr>
          <w:hyperlink w:anchor="_Toc436042333" w:history="1">
            <w:r w:rsidR="00AC61BB" w:rsidRPr="009409CC">
              <w:rPr>
                <w:rStyle w:val="Hyperlink"/>
              </w:rPr>
              <w:t>7.5</w:t>
            </w:r>
            <w:r w:rsidR="00AC61BB">
              <w:rPr>
                <w:rFonts w:asciiTheme="minorHAnsi" w:eastAsiaTheme="minorEastAsia" w:hAnsiTheme="minorHAnsi"/>
                <w:b w:val="0"/>
                <w:color w:val="auto"/>
                <w:sz w:val="22"/>
                <w:lang w:eastAsia="en-AU"/>
              </w:rPr>
              <w:tab/>
            </w:r>
            <w:r w:rsidR="00AC61BB" w:rsidRPr="009409CC">
              <w:rPr>
                <w:rStyle w:val="Hyperlink"/>
              </w:rPr>
              <w:t>Revisions</w:t>
            </w:r>
            <w:r w:rsidR="00AC61BB">
              <w:rPr>
                <w:webHidden/>
              </w:rPr>
              <w:tab/>
            </w:r>
            <w:r w:rsidR="00AC61BB">
              <w:rPr>
                <w:webHidden/>
              </w:rPr>
              <w:fldChar w:fldCharType="begin"/>
            </w:r>
            <w:r w:rsidR="00AC61BB">
              <w:rPr>
                <w:webHidden/>
              </w:rPr>
              <w:instrText xml:space="preserve"> PAGEREF _Toc436042333 \h </w:instrText>
            </w:r>
            <w:r w:rsidR="00AC61BB">
              <w:rPr>
                <w:webHidden/>
              </w:rPr>
            </w:r>
            <w:r w:rsidR="00AC61BB">
              <w:rPr>
                <w:webHidden/>
              </w:rPr>
              <w:fldChar w:fldCharType="separate"/>
            </w:r>
            <w:r w:rsidR="00AC61BB">
              <w:rPr>
                <w:webHidden/>
              </w:rPr>
              <w:t>7-38</w:t>
            </w:r>
            <w:r w:rsidR="00AC61BB">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42320"/>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2B16E1" w:rsidTr="009178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Shortened form</w:t>
            </w:r>
          </w:p>
        </w:tc>
        <w:tc>
          <w:tcPr>
            <w:tcW w:w="5041" w:type="dxa"/>
          </w:tcPr>
          <w:p w:rsidR="002B16E1" w:rsidRDefault="002B16E1" w:rsidP="002B16E1">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AA</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Access Arrangement</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AAI</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AER</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ASA</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Asset Services Agreement</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ATO</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Australian Tax Office</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capex</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CAPM</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CCP</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CESS</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CMF</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construction management fee</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CPI</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DAMS</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DRP</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EBSS</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EIL</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 xml:space="preserve">Energy Industry </w:t>
            </w:r>
            <w:r w:rsidRPr="002B16E1">
              <w:t>Levy</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ERP</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Expenditure Guideline</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gamma</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Value of Imputation Credits</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GSL</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Guaranteed Service Level</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GTA</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ICRC</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MRP</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NECF</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NERL</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National Energy Retail Law</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NERR</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NGL</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NGO</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NGR</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NPV</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net present value</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opex</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lastRenderedPageBreak/>
              <w:t>PFP</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partial factor productivity</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PPI</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PTRM</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RBA</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RFM</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RIN</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RoLR</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retailer of last resort</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RSA</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 xml:space="preserve">Reference Service </w:t>
            </w:r>
            <w:r w:rsidRPr="002B16E1">
              <w:t>Agreement</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RPP</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SLCAPM</w:t>
            </w:r>
          </w:p>
        </w:tc>
        <w:tc>
          <w:tcPr>
            <w:tcW w:w="5041" w:type="dxa"/>
          </w:tcPr>
          <w:p w:rsidR="002B16E1" w:rsidRDefault="002B16E1" w:rsidP="002B16E1">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STTM</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Short Term Trading Market</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TAB</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Tax asset base</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UAFG</w:t>
            </w:r>
          </w:p>
        </w:tc>
        <w:tc>
          <w:tcPr>
            <w:tcW w:w="5041" w:type="dxa"/>
          </w:tcPr>
          <w:p w:rsidR="002B16E1" w:rsidRPr="002B16E1" w:rsidRDefault="002B16E1" w:rsidP="002B16E1">
            <w:pPr>
              <w:cnfStyle w:val="000000000000" w:firstRow="0" w:lastRow="0" w:firstColumn="0" w:lastColumn="0" w:oddVBand="0" w:evenVBand="0" w:oddHBand="0" w:evenHBand="0" w:firstRowFirstColumn="0" w:firstRowLastColumn="0" w:lastRowFirstColumn="0" w:lastRowLastColumn="0"/>
            </w:pPr>
            <w:r>
              <w:t>Unaccounted for gas</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UNFT</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 xml:space="preserve">Utilities Network </w:t>
            </w:r>
            <w:r w:rsidRPr="002B16E1">
              <w:t>Facilities Tax</w:t>
            </w:r>
          </w:p>
        </w:tc>
      </w:tr>
      <w:tr w:rsidR="002B16E1" w:rsidTr="009178F0">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WACC</w:t>
            </w:r>
          </w:p>
        </w:tc>
        <w:tc>
          <w:tcPr>
            <w:tcW w:w="5041" w:type="dxa"/>
          </w:tcPr>
          <w:p w:rsidR="002B16E1" w:rsidRDefault="002B16E1" w:rsidP="002B16E1">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2B16E1" w:rsidTr="00917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B16E1" w:rsidRDefault="002B16E1" w:rsidP="002B16E1">
            <w:pPr>
              <w:numPr>
                <w:ilvl w:val="0"/>
                <w:numId w:val="24"/>
              </w:numPr>
            </w:pPr>
            <w:r>
              <w:t>WPI</w:t>
            </w:r>
          </w:p>
        </w:tc>
        <w:tc>
          <w:tcPr>
            <w:tcW w:w="5041" w:type="dxa"/>
          </w:tcPr>
          <w:p w:rsidR="002B16E1" w:rsidRPr="002B16E1" w:rsidRDefault="002B16E1" w:rsidP="002B16E1">
            <w:pPr>
              <w:cnfStyle w:val="000000010000" w:firstRow="0" w:lastRow="0" w:firstColumn="0" w:lastColumn="0" w:oddVBand="0" w:evenVBand="0" w:oddHBand="0" w:evenHBand="1" w:firstRowFirstColumn="0" w:firstRowLastColumn="0" w:lastRowFirstColumn="0" w:lastRowLastColumn="0"/>
            </w:pPr>
            <w:r>
              <w:t>Wage Price Index</w:t>
            </w:r>
          </w:p>
        </w:tc>
      </w:tr>
    </w:tbl>
    <w:p w:rsidR="002B16E1" w:rsidRPr="002B16E1" w:rsidRDefault="002B16E1" w:rsidP="002B16E1"/>
    <w:p w:rsidR="00DE563D" w:rsidRDefault="00B015D3" w:rsidP="00B015D3">
      <w:pPr>
        <w:pStyle w:val="Heading1"/>
      </w:pPr>
      <w:bookmarkStart w:id="10" w:name="_Toc436042321"/>
      <w:r>
        <w:lastRenderedPageBreak/>
        <w:t>Operating expenditure</w:t>
      </w:r>
      <w:bookmarkEnd w:id="10"/>
    </w:p>
    <w:p w:rsidR="00FF6618" w:rsidRDefault="00FF6618" w:rsidP="00FF6618">
      <w:r w:rsidRPr="009F4C42">
        <w:t xml:space="preserve">Forecast opex is the forecast operating, maintenance and other non-capital costs incurred in the provision of </w:t>
      </w:r>
      <w:r w:rsidR="00D63CFE">
        <w:t>gas distribution</w:t>
      </w:r>
      <w:r w:rsidRPr="009F4C42">
        <w:t xml:space="preserve"> services. I</w:t>
      </w:r>
      <w:r>
        <w:t>t</w:t>
      </w:r>
      <w:r w:rsidRPr="009F4C42">
        <w:t xml:space="preserve"> includes labour costs and other non-capital costs that </w:t>
      </w:r>
      <w:r>
        <w:t xml:space="preserve">a prudent service provider </w:t>
      </w:r>
      <w:r w:rsidRPr="009F4C42">
        <w:t xml:space="preserve">is likely to require during </w:t>
      </w:r>
      <w:r>
        <w:t>an access arrangement period</w:t>
      </w:r>
      <w:r w:rsidRPr="009F4C42">
        <w:t xml:space="preserve"> for the efficient operation of its network. </w:t>
      </w:r>
    </w:p>
    <w:p w:rsidR="00381A2C" w:rsidRDefault="00381A2C" w:rsidP="00147AEA">
      <w:r>
        <w:t xml:space="preserve">This attachment provides an overview of ActewAGL's opex proposal and our assessment of total opex. </w:t>
      </w:r>
    </w:p>
    <w:p w:rsidR="00147AEA" w:rsidRDefault="00147AEA" w:rsidP="00147AEA">
      <w:r>
        <w:t xml:space="preserve">As discussed in </w:t>
      </w:r>
      <w:r w:rsidR="00CE1BDF">
        <w:t xml:space="preserve">sections 2.2.4 and 3.1.2 of the Overview, </w:t>
      </w:r>
      <w:r>
        <w:t xml:space="preserve">this draft decision includes a true-up </w:t>
      </w:r>
      <w:r w:rsidR="00D63CFE">
        <w:t xml:space="preserve">(or reconciliation) </w:t>
      </w:r>
      <w:r>
        <w:t xml:space="preserve">of revenue for 2015–16 to ensure that the 2015–16 interval of delay between the revision commencement date in ActewAGL's current access arrangement and the actual date on which revisions will take effect does not result in ActewAGL incurring a windfall gain or loss due to the delay in the access arrangement review. As a result of the interval of delay we </w:t>
      </w:r>
      <w:r w:rsidR="007E0AC2">
        <w:t xml:space="preserve">have determined the </w:t>
      </w:r>
      <w:r>
        <w:t>relevant building blocks for 2015–16, including opex. Therefore, in addition to approved opex allowances for the 2016–21 period, we have determined an opex allowance for 2015</w:t>
      </w:r>
      <w:r w:rsidR="000A4DD1">
        <w:t>–</w:t>
      </w:r>
      <w:r>
        <w:t>16.</w:t>
      </w:r>
    </w:p>
    <w:p w:rsidR="009A5113" w:rsidRDefault="00A42141" w:rsidP="009A5113">
      <w:pPr>
        <w:pStyle w:val="Heading2"/>
      </w:pPr>
      <w:bookmarkStart w:id="11" w:name="_Toc408404320"/>
      <w:bookmarkStart w:id="12" w:name="_Toc436042322"/>
      <w:r>
        <w:t>Draft</w:t>
      </w:r>
      <w:r w:rsidR="009A5113" w:rsidRPr="0074565D">
        <w:t xml:space="preserve"> decision</w:t>
      </w:r>
      <w:bookmarkEnd w:id="11"/>
      <w:bookmarkEnd w:id="12"/>
    </w:p>
    <w:p w:rsidR="00FF6618" w:rsidRDefault="00FF6618" w:rsidP="00FF6618">
      <w:r w:rsidRPr="00602DD7">
        <w:t xml:space="preserve">We are not satisfied that the </w:t>
      </w:r>
      <w:r>
        <w:t xml:space="preserve">forecast of total opex ActewAGL proposed </w:t>
      </w:r>
      <w:r w:rsidR="0059511E">
        <w:t>complies with</w:t>
      </w:r>
      <w:r w:rsidR="0059511E" w:rsidRPr="00602DD7">
        <w:t xml:space="preserve"> </w:t>
      </w:r>
      <w:r w:rsidRPr="00602DD7">
        <w:t>the opex criteria</w:t>
      </w:r>
      <w:r>
        <w:t xml:space="preserve"> and the criteria for forecasts and estimates.</w:t>
      </w:r>
      <w:r>
        <w:rPr>
          <w:rStyle w:val="FootnoteReference"/>
        </w:rPr>
        <w:footnoteReference w:id="1"/>
      </w:r>
      <w:r w:rsidRPr="00602DD7">
        <w:t xml:space="preserve"> </w:t>
      </w:r>
      <w:r>
        <w:t xml:space="preserve">We therefore do not accept </w:t>
      </w:r>
      <w:r w:rsidRPr="00511E4A">
        <w:t xml:space="preserve">the forecast of </w:t>
      </w:r>
      <w:r>
        <w:t>opex</w:t>
      </w:r>
      <w:r w:rsidRPr="00511E4A">
        <w:t xml:space="preserve"> </w:t>
      </w:r>
      <w:r>
        <w:t xml:space="preserve">ActewAGL </w:t>
      </w:r>
      <w:r w:rsidRPr="00511E4A">
        <w:t xml:space="preserve">included in </w:t>
      </w:r>
      <w:r>
        <w:t>its</w:t>
      </w:r>
      <w:r w:rsidRPr="00511E4A">
        <w:t xml:space="preserve"> building block proposal.</w:t>
      </w:r>
      <w:r>
        <w:t xml:space="preserve"> Our</w:t>
      </w:r>
      <w:r w:rsidRPr="00602DD7">
        <w:t xml:space="preserve"> estimate</w:t>
      </w:r>
      <w:r>
        <w:t xml:space="preserve"> of</w:t>
      </w:r>
      <w:r w:rsidRPr="00602DD7">
        <w:t xml:space="preserve"> </w:t>
      </w:r>
      <w:r>
        <w:t xml:space="preserve">ActewAGL’s </w:t>
      </w:r>
      <w:r w:rsidRPr="00602DD7">
        <w:t xml:space="preserve">total </w:t>
      </w:r>
      <w:r w:rsidRPr="005E284A">
        <w:t xml:space="preserve">opex for </w:t>
      </w:r>
      <w:r w:rsidR="00147AEA">
        <w:t>2015</w:t>
      </w:r>
      <w:r w:rsidR="00147AEA" w:rsidRPr="005E284A">
        <w:t>–</w:t>
      </w:r>
      <w:r w:rsidR="00147AEA">
        <w:t xml:space="preserve">16 and </w:t>
      </w:r>
      <w:r w:rsidR="0059511E">
        <w:t xml:space="preserve">for </w:t>
      </w:r>
      <w:r w:rsidR="00147AEA">
        <w:t xml:space="preserve">the </w:t>
      </w:r>
      <w:r w:rsidRPr="005E284A">
        <w:t xml:space="preserve">2016–21 period is </w:t>
      </w:r>
      <w:r w:rsidR="00634CC2">
        <w:t>shown</w:t>
      </w:r>
      <w:r w:rsidR="00634CC2" w:rsidRPr="005E284A">
        <w:t xml:space="preserve"> </w:t>
      </w:r>
      <w:r w:rsidRPr="005E284A">
        <w:t>in</w:t>
      </w:r>
      <w:r>
        <w:t xml:space="preserve"> </w:t>
      </w:r>
      <w:r w:rsidR="00A1689E">
        <w:fldChar w:fldCharType="begin"/>
      </w:r>
      <w:r w:rsidR="00A1689E">
        <w:instrText xml:space="preserve"> REF _Ref433615957 \h </w:instrText>
      </w:r>
      <w:r w:rsidR="00A1689E">
        <w:fldChar w:fldCharType="separate"/>
      </w:r>
      <w:r w:rsidR="0012045F">
        <w:t xml:space="preserve">Table </w:t>
      </w:r>
      <w:r w:rsidR="0012045F">
        <w:rPr>
          <w:noProof/>
        </w:rPr>
        <w:t>7</w:t>
      </w:r>
      <w:r w:rsidR="0012045F">
        <w:t>.</w:t>
      </w:r>
      <w:r w:rsidR="0012045F">
        <w:rPr>
          <w:noProof/>
        </w:rPr>
        <w:t>1</w:t>
      </w:r>
      <w:r w:rsidR="00A1689E">
        <w:fldChar w:fldCharType="end"/>
      </w:r>
      <w:r w:rsidRPr="005E284A">
        <w:t>.</w:t>
      </w:r>
      <w:r>
        <w:t xml:space="preserve"> </w:t>
      </w:r>
    </w:p>
    <w:p w:rsidR="00FF6618" w:rsidRDefault="002831AC" w:rsidP="002831AC">
      <w:pPr>
        <w:pStyle w:val="Caption"/>
        <w:ind w:left="1360" w:hanging="1360"/>
      </w:pPr>
      <w:bookmarkStart w:id="13" w:name="_Ref433615957"/>
      <w:bookmarkStart w:id="14" w:name="_Ref435109384"/>
      <w:r>
        <w:t xml:space="preserve">Table </w:t>
      </w:r>
      <w:fldSimple w:instr=" STYLEREF 1 \s ">
        <w:r w:rsidR="0012045F">
          <w:rPr>
            <w:noProof/>
          </w:rPr>
          <w:t>7</w:t>
        </w:r>
      </w:fldSimple>
      <w:r w:rsidR="00D07FC3">
        <w:t>.</w:t>
      </w:r>
      <w:fldSimple w:instr=" SEQ Table \* ARABIC \s 1 ">
        <w:r w:rsidR="0012045F">
          <w:rPr>
            <w:noProof/>
          </w:rPr>
          <w:t>1</w:t>
        </w:r>
      </w:fldSimple>
      <w:bookmarkEnd w:id="13"/>
      <w:r w:rsidRPr="00353D8B">
        <w:tab/>
      </w:r>
      <w:r w:rsidR="00147AEA">
        <w:t>D</w:t>
      </w:r>
      <w:r w:rsidRPr="00353D8B">
        <w:t xml:space="preserve">raft decision on </w:t>
      </w:r>
      <w:r>
        <w:t>ActewAGL’s total opex</w:t>
      </w:r>
      <w:r w:rsidRPr="00353D8B">
        <w:t xml:space="preserve"> ($million, </w:t>
      </w:r>
      <w:r w:rsidR="0061228D">
        <w:t>2015–16</w:t>
      </w:r>
      <w:r w:rsidRPr="00353D8B">
        <w:t>)</w:t>
      </w:r>
      <w:bookmarkEnd w:id="14"/>
    </w:p>
    <w:tbl>
      <w:tblPr>
        <w:tblStyle w:val="AERtable-numbers"/>
        <w:tblW w:w="0" w:type="auto"/>
        <w:tblLayout w:type="fixed"/>
        <w:tblLook w:val="04A0" w:firstRow="1" w:lastRow="0" w:firstColumn="1" w:lastColumn="0" w:noHBand="0" w:noVBand="1"/>
      </w:tblPr>
      <w:tblGrid>
        <w:gridCol w:w="1809"/>
        <w:gridCol w:w="983"/>
        <w:gridCol w:w="983"/>
        <w:gridCol w:w="984"/>
        <w:gridCol w:w="983"/>
        <w:gridCol w:w="984"/>
        <w:gridCol w:w="983"/>
        <w:gridCol w:w="984"/>
      </w:tblGrid>
      <w:tr w:rsidR="00FF6618" w:rsidTr="00B45F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rsidR="00FF6618" w:rsidRDefault="00FF6618" w:rsidP="00EE1A95">
            <w:pPr>
              <w:numPr>
                <w:ilvl w:val="0"/>
                <w:numId w:val="24"/>
              </w:numPr>
            </w:pPr>
          </w:p>
        </w:tc>
        <w:tc>
          <w:tcPr>
            <w:tcW w:w="983" w:type="dxa"/>
          </w:tcPr>
          <w:p w:rsidR="00FF6618" w:rsidRDefault="0061228D" w:rsidP="00EE1A95">
            <w:pPr>
              <w:numPr>
                <w:ilvl w:val="0"/>
                <w:numId w:val="24"/>
              </w:numPr>
              <w:cnfStyle w:val="100000000000" w:firstRow="1" w:lastRow="0" w:firstColumn="0" w:lastColumn="0" w:oddVBand="0" w:evenVBand="0" w:oddHBand="0" w:evenHBand="0" w:firstRowFirstColumn="0" w:firstRowLastColumn="0" w:lastRowFirstColumn="0" w:lastRowLastColumn="0"/>
            </w:pPr>
            <w:r>
              <w:t>2015–16</w:t>
            </w:r>
          </w:p>
        </w:tc>
        <w:tc>
          <w:tcPr>
            <w:tcW w:w="983" w:type="dxa"/>
          </w:tcPr>
          <w:p w:rsidR="00FF6618" w:rsidRDefault="000A4DD1" w:rsidP="00EE1A95">
            <w:pPr>
              <w:numPr>
                <w:ilvl w:val="0"/>
                <w:numId w:val="24"/>
              </w:numPr>
              <w:cnfStyle w:val="100000000000" w:firstRow="1" w:lastRow="0" w:firstColumn="0" w:lastColumn="0" w:oddVBand="0" w:evenVBand="0" w:oddHBand="0" w:evenHBand="0" w:firstRowFirstColumn="0" w:firstRowLastColumn="0" w:lastRowFirstColumn="0" w:lastRowLastColumn="0"/>
            </w:pPr>
            <w:r>
              <w:t>2016–</w:t>
            </w:r>
            <w:r w:rsidR="00FF6618">
              <w:t>17</w:t>
            </w:r>
          </w:p>
        </w:tc>
        <w:tc>
          <w:tcPr>
            <w:tcW w:w="984" w:type="dxa"/>
          </w:tcPr>
          <w:p w:rsidR="00FF6618" w:rsidRDefault="000A4DD1" w:rsidP="00EE1A95">
            <w:pPr>
              <w:cnfStyle w:val="100000000000" w:firstRow="1" w:lastRow="0" w:firstColumn="0" w:lastColumn="0" w:oddVBand="0" w:evenVBand="0" w:oddHBand="0" w:evenHBand="0" w:firstRowFirstColumn="0" w:firstRowLastColumn="0" w:lastRowFirstColumn="0" w:lastRowLastColumn="0"/>
            </w:pPr>
            <w:r>
              <w:t>2017–</w:t>
            </w:r>
            <w:r w:rsidR="00FF6618">
              <w:t>18</w:t>
            </w:r>
          </w:p>
        </w:tc>
        <w:tc>
          <w:tcPr>
            <w:tcW w:w="983" w:type="dxa"/>
          </w:tcPr>
          <w:p w:rsidR="00FF6618" w:rsidRDefault="00FF6618" w:rsidP="000A4DD1">
            <w:pPr>
              <w:cnfStyle w:val="100000000000" w:firstRow="1" w:lastRow="0" w:firstColumn="0" w:lastColumn="0" w:oddVBand="0" w:evenVBand="0" w:oddHBand="0" w:evenHBand="0" w:firstRowFirstColumn="0" w:firstRowLastColumn="0" w:lastRowFirstColumn="0" w:lastRowLastColumn="0"/>
            </w:pPr>
            <w:r>
              <w:t>2018</w:t>
            </w:r>
            <w:r w:rsidR="000A4DD1">
              <w:t>–</w:t>
            </w:r>
            <w:r>
              <w:t>19</w:t>
            </w:r>
          </w:p>
        </w:tc>
        <w:tc>
          <w:tcPr>
            <w:tcW w:w="984" w:type="dxa"/>
          </w:tcPr>
          <w:p w:rsidR="00FF6618" w:rsidRDefault="000A4DD1" w:rsidP="00EE1A95">
            <w:pPr>
              <w:cnfStyle w:val="100000000000" w:firstRow="1" w:lastRow="0" w:firstColumn="0" w:lastColumn="0" w:oddVBand="0" w:evenVBand="0" w:oddHBand="0" w:evenHBand="0" w:firstRowFirstColumn="0" w:firstRowLastColumn="0" w:lastRowFirstColumn="0" w:lastRowLastColumn="0"/>
            </w:pPr>
            <w:r>
              <w:t>2019–</w:t>
            </w:r>
            <w:r w:rsidR="00FF6618">
              <w:t>20</w:t>
            </w:r>
          </w:p>
        </w:tc>
        <w:tc>
          <w:tcPr>
            <w:tcW w:w="983" w:type="dxa"/>
          </w:tcPr>
          <w:p w:rsidR="00FF6618" w:rsidRDefault="00FF6618" w:rsidP="000A4DD1">
            <w:pPr>
              <w:numPr>
                <w:ilvl w:val="0"/>
                <w:numId w:val="24"/>
              </w:numPr>
              <w:cnfStyle w:val="100000000000" w:firstRow="1" w:lastRow="0" w:firstColumn="0" w:lastColumn="0" w:oddVBand="0" w:evenVBand="0" w:oddHBand="0" w:evenHBand="0" w:firstRowFirstColumn="0" w:firstRowLastColumn="0" w:lastRowFirstColumn="0" w:lastRowLastColumn="0"/>
            </w:pPr>
            <w:r>
              <w:t>2020</w:t>
            </w:r>
            <w:r w:rsidR="000A4DD1">
              <w:t>–</w:t>
            </w:r>
            <w:r>
              <w:t>21</w:t>
            </w:r>
          </w:p>
        </w:tc>
        <w:tc>
          <w:tcPr>
            <w:tcW w:w="984" w:type="dxa"/>
          </w:tcPr>
          <w:p w:rsidR="00FF6618" w:rsidRDefault="000A4DD1" w:rsidP="00EE1A95">
            <w:pPr>
              <w:numPr>
                <w:ilvl w:val="0"/>
                <w:numId w:val="24"/>
              </w:numPr>
              <w:cnfStyle w:val="100000000000" w:firstRow="1" w:lastRow="0" w:firstColumn="0" w:lastColumn="0" w:oddVBand="0" w:evenVBand="0" w:oddHBand="0" w:evenHBand="0" w:firstRowFirstColumn="0" w:firstRowLastColumn="0" w:lastRowFirstColumn="0" w:lastRowLastColumn="0"/>
            </w:pPr>
            <w:r>
              <w:t>Total (2016–</w:t>
            </w:r>
            <w:r w:rsidR="00FF6618">
              <w:t>21)</w:t>
            </w:r>
          </w:p>
        </w:tc>
      </w:tr>
      <w:tr w:rsidR="00FF6618" w:rsidTr="00B45FAD">
        <w:tc>
          <w:tcPr>
            <w:cnfStyle w:val="001000000000" w:firstRow="0" w:lastRow="0" w:firstColumn="1" w:lastColumn="0" w:oddVBand="0" w:evenVBand="0" w:oddHBand="0" w:evenHBand="0" w:firstRowFirstColumn="0" w:firstRowLastColumn="0" w:lastRowFirstColumn="0" w:lastRowLastColumn="0"/>
            <w:tcW w:w="1809" w:type="dxa"/>
          </w:tcPr>
          <w:p w:rsidR="00FF6618" w:rsidRDefault="00FF6618" w:rsidP="00EE1A95">
            <w:pPr>
              <w:numPr>
                <w:ilvl w:val="0"/>
                <w:numId w:val="24"/>
              </w:numPr>
            </w:pPr>
            <w:r>
              <w:t>ActewAGL’s proposal</w:t>
            </w:r>
          </w:p>
        </w:tc>
        <w:tc>
          <w:tcPr>
            <w:tcW w:w="983" w:type="dxa"/>
          </w:tcPr>
          <w:p w:rsidR="00FF6618" w:rsidRDefault="00FF6618" w:rsidP="00EE1A95">
            <w:pPr>
              <w:numPr>
                <w:ilvl w:val="0"/>
                <w:numId w:val="24"/>
              </w:numPr>
              <w:cnfStyle w:val="000000000000" w:firstRow="0" w:lastRow="0" w:firstColumn="0" w:lastColumn="0" w:oddVBand="0" w:evenVBand="0" w:oddHBand="0" w:evenHBand="0" w:firstRowFirstColumn="0" w:firstRowLastColumn="0" w:lastRowFirstColumn="0" w:lastRowLastColumn="0"/>
            </w:pPr>
            <w:r>
              <w:t>n/a</w:t>
            </w:r>
          </w:p>
        </w:tc>
        <w:tc>
          <w:tcPr>
            <w:tcW w:w="983" w:type="dxa"/>
          </w:tcPr>
          <w:p w:rsidR="00FF6618" w:rsidRDefault="00FF6618" w:rsidP="00EE1A95">
            <w:pPr>
              <w:numPr>
                <w:ilvl w:val="0"/>
                <w:numId w:val="24"/>
              </w:numPr>
              <w:cnfStyle w:val="000000000000" w:firstRow="0" w:lastRow="0" w:firstColumn="0" w:lastColumn="0" w:oddVBand="0" w:evenVBand="0" w:oddHBand="0" w:evenHBand="0" w:firstRowFirstColumn="0" w:firstRowLastColumn="0" w:lastRowFirstColumn="0" w:lastRowLastColumn="0"/>
            </w:pPr>
            <w:r>
              <w:t>27.3</w:t>
            </w:r>
          </w:p>
        </w:tc>
        <w:tc>
          <w:tcPr>
            <w:tcW w:w="984" w:type="dxa"/>
          </w:tcPr>
          <w:p w:rsidR="00FF6618" w:rsidRDefault="00FF6618" w:rsidP="00EE1A95">
            <w:pPr>
              <w:numPr>
                <w:ilvl w:val="0"/>
                <w:numId w:val="24"/>
              </w:numPr>
              <w:cnfStyle w:val="000000000000" w:firstRow="0" w:lastRow="0" w:firstColumn="0" w:lastColumn="0" w:oddVBand="0" w:evenVBand="0" w:oddHBand="0" w:evenHBand="0" w:firstRowFirstColumn="0" w:firstRowLastColumn="0" w:lastRowFirstColumn="0" w:lastRowLastColumn="0"/>
            </w:pPr>
            <w:r>
              <w:t>27.3</w:t>
            </w:r>
          </w:p>
        </w:tc>
        <w:tc>
          <w:tcPr>
            <w:tcW w:w="983" w:type="dxa"/>
          </w:tcPr>
          <w:p w:rsidR="00FF6618" w:rsidRDefault="00FF6618" w:rsidP="00EE1A95">
            <w:pPr>
              <w:numPr>
                <w:ilvl w:val="0"/>
                <w:numId w:val="24"/>
              </w:numPr>
              <w:cnfStyle w:val="000000000000" w:firstRow="0" w:lastRow="0" w:firstColumn="0" w:lastColumn="0" w:oddVBand="0" w:evenVBand="0" w:oddHBand="0" w:evenHBand="0" w:firstRowFirstColumn="0" w:firstRowLastColumn="0" w:lastRowFirstColumn="0" w:lastRowLastColumn="0"/>
            </w:pPr>
            <w:r>
              <w:t>28.1</w:t>
            </w:r>
          </w:p>
        </w:tc>
        <w:tc>
          <w:tcPr>
            <w:tcW w:w="984" w:type="dxa"/>
          </w:tcPr>
          <w:p w:rsidR="00FF6618" w:rsidRDefault="00FF6618" w:rsidP="00EE1A95">
            <w:pPr>
              <w:numPr>
                <w:ilvl w:val="0"/>
                <w:numId w:val="24"/>
              </w:numPr>
              <w:cnfStyle w:val="000000000000" w:firstRow="0" w:lastRow="0" w:firstColumn="0" w:lastColumn="0" w:oddVBand="0" w:evenVBand="0" w:oddHBand="0" w:evenHBand="0" w:firstRowFirstColumn="0" w:firstRowLastColumn="0" w:lastRowFirstColumn="0" w:lastRowLastColumn="0"/>
            </w:pPr>
            <w:r>
              <w:t>30.9</w:t>
            </w:r>
          </w:p>
        </w:tc>
        <w:tc>
          <w:tcPr>
            <w:tcW w:w="983" w:type="dxa"/>
          </w:tcPr>
          <w:p w:rsidR="00FF6618" w:rsidRDefault="00FF6618" w:rsidP="00EE1A95">
            <w:pPr>
              <w:cnfStyle w:val="000000000000" w:firstRow="0" w:lastRow="0" w:firstColumn="0" w:lastColumn="0" w:oddVBand="0" w:evenVBand="0" w:oddHBand="0" w:evenHBand="0" w:firstRowFirstColumn="0" w:firstRowLastColumn="0" w:lastRowFirstColumn="0" w:lastRowLastColumn="0"/>
            </w:pPr>
            <w:r>
              <w:t>30.2</w:t>
            </w:r>
          </w:p>
        </w:tc>
        <w:tc>
          <w:tcPr>
            <w:tcW w:w="984" w:type="dxa"/>
          </w:tcPr>
          <w:p w:rsidR="00FF6618" w:rsidRDefault="00FF6618" w:rsidP="00EE1A95">
            <w:pPr>
              <w:numPr>
                <w:ilvl w:val="0"/>
                <w:numId w:val="24"/>
              </w:numPr>
              <w:cnfStyle w:val="000000000000" w:firstRow="0" w:lastRow="0" w:firstColumn="0" w:lastColumn="0" w:oddVBand="0" w:evenVBand="0" w:oddHBand="0" w:evenHBand="0" w:firstRowFirstColumn="0" w:firstRowLastColumn="0" w:lastRowFirstColumn="0" w:lastRowLastColumn="0"/>
            </w:pPr>
            <w:r>
              <w:t>143.8</w:t>
            </w:r>
          </w:p>
        </w:tc>
      </w:tr>
      <w:tr w:rsidR="00FF6618" w:rsidTr="00B45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F6618" w:rsidRDefault="00FF6618" w:rsidP="00EE1A95">
            <w:pPr>
              <w:numPr>
                <w:ilvl w:val="0"/>
                <w:numId w:val="24"/>
              </w:numPr>
            </w:pPr>
            <w:r>
              <w:t>AER draft decision</w:t>
            </w:r>
          </w:p>
        </w:tc>
        <w:tc>
          <w:tcPr>
            <w:tcW w:w="983" w:type="dxa"/>
          </w:tcPr>
          <w:p w:rsidR="00FF6618" w:rsidRDefault="00FF6618" w:rsidP="009D5CC0">
            <w:pPr>
              <w:numPr>
                <w:ilvl w:val="0"/>
                <w:numId w:val="24"/>
              </w:numPr>
              <w:cnfStyle w:val="000000010000" w:firstRow="0" w:lastRow="0" w:firstColumn="0" w:lastColumn="0" w:oddVBand="0" w:evenVBand="0" w:oddHBand="0" w:evenHBand="1" w:firstRowFirstColumn="0" w:firstRowLastColumn="0" w:lastRowFirstColumn="0" w:lastRowLastColumn="0"/>
            </w:pPr>
            <w:r>
              <w:t>2</w:t>
            </w:r>
            <w:r w:rsidR="009D5CC0">
              <w:t>4</w:t>
            </w:r>
            <w:r>
              <w:t>.</w:t>
            </w:r>
            <w:r w:rsidR="009D5CC0">
              <w:t>7</w:t>
            </w:r>
          </w:p>
        </w:tc>
        <w:tc>
          <w:tcPr>
            <w:tcW w:w="983" w:type="dxa"/>
          </w:tcPr>
          <w:p w:rsidR="00FF6618" w:rsidRDefault="009D5CC0" w:rsidP="00536DAF">
            <w:pPr>
              <w:numPr>
                <w:ilvl w:val="0"/>
                <w:numId w:val="24"/>
              </w:numPr>
              <w:cnfStyle w:val="000000010000" w:firstRow="0" w:lastRow="0" w:firstColumn="0" w:lastColumn="0" w:oddVBand="0" w:evenVBand="0" w:oddHBand="0" w:evenHBand="1" w:firstRowFirstColumn="0" w:firstRowLastColumn="0" w:lastRowFirstColumn="0" w:lastRowLastColumn="0"/>
            </w:pPr>
            <w:r>
              <w:t>2</w:t>
            </w:r>
            <w:r w:rsidR="00536DAF">
              <w:t>6.0</w:t>
            </w:r>
          </w:p>
        </w:tc>
        <w:tc>
          <w:tcPr>
            <w:tcW w:w="984" w:type="dxa"/>
          </w:tcPr>
          <w:p w:rsidR="00FF6618" w:rsidRDefault="009D5CC0" w:rsidP="00EE1A95">
            <w:pPr>
              <w:cnfStyle w:val="000000010000" w:firstRow="0" w:lastRow="0" w:firstColumn="0" w:lastColumn="0" w:oddVBand="0" w:evenVBand="0" w:oddHBand="0" w:evenHBand="1" w:firstRowFirstColumn="0" w:firstRowLastColumn="0" w:lastRowFirstColumn="0" w:lastRowLastColumn="0"/>
            </w:pPr>
            <w:r>
              <w:t>2</w:t>
            </w:r>
            <w:r w:rsidR="00536DAF">
              <w:t>6.1</w:t>
            </w:r>
          </w:p>
        </w:tc>
        <w:tc>
          <w:tcPr>
            <w:tcW w:w="983" w:type="dxa"/>
          </w:tcPr>
          <w:p w:rsidR="00FF6618" w:rsidRDefault="009D5CC0" w:rsidP="00EE1A95">
            <w:pPr>
              <w:cnfStyle w:val="000000010000" w:firstRow="0" w:lastRow="0" w:firstColumn="0" w:lastColumn="0" w:oddVBand="0" w:evenVBand="0" w:oddHBand="0" w:evenHBand="1" w:firstRowFirstColumn="0" w:firstRowLastColumn="0" w:lastRowFirstColumn="0" w:lastRowLastColumn="0"/>
            </w:pPr>
            <w:r>
              <w:t>26</w:t>
            </w:r>
            <w:r w:rsidR="00FF6618">
              <w:t>.</w:t>
            </w:r>
            <w:r w:rsidR="00536DAF">
              <w:t>5</w:t>
            </w:r>
          </w:p>
        </w:tc>
        <w:tc>
          <w:tcPr>
            <w:tcW w:w="984" w:type="dxa"/>
          </w:tcPr>
          <w:p w:rsidR="00FF6618" w:rsidRDefault="00536DAF" w:rsidP="00EE1A95">
            <w:pPr>
              <w:cnfStyle w:val="000000010000" w:firstRow="0" w:lastRow="0" w:firstColumn="0" w:lastColumn="0" w:oddVBand="0" w:evenVBand="0" w:oddHBand="0" w:evenHBand="1" w:firstRowFirstColumn="0" w:firstRowLastColumn="0" w:lastRowFirstColumn="0" w:lastRowLastColumn="0"/>
            </w:pPr>
            <w:r>
              <w:t>27.1</w:t>
            </w:r>
          </w:p>
        </w:tc>
        <w:tc>
          <w:tcPr>
            <w:tcW w:w="983" w:type="dxa"/>
          </w:tcPr>
          <w:p w:rsidR="00FF6618" w:rsidRDefault="009D5CC0" w:rsidP="00EE1A95">
            <w:pPr>
              <w:cnfStyle w:val="000000010000" w:firstRow="0" w:lastRow="0" w:firstColumn="0" w:lastColumn="0" w:oddVBand="0" w:evenVBand="0" w:oddHBand="0" w:evenHBand="1" w:firstRowFirstColumn="0" w:firstRowLastColumn="0" w:lastRowFirstColumn="0" w:lastRowLastColumn="0"/>
            </w:pPr>
            <w:r>
              <w:t>27.</w:t>
            </w:r>
            <w:r w:rsidR="00536DAF">
              <w:t>3</w:t>
            </w:r>
          </w:p>
        </w:tc>
        <w:tc>
          <w:tcPr>
            <w:tcW w:w="984" w:type="dxa"/>
          </w:tcPr>
          <w:p w:rsidR="00FF6618" w:rsidRDefault="00536DAF" w:rsidP="00A04204">
            <w:pPr>
              <w:numPr>
                <w:ilvl w:val="0"/>
                <w:numId w:val="24"/>
              </w:numPr>
              <w:cnfStyle w:val="000000010000" w:firstRow="0" w:lastRow="0" w:firstColumn="0" w:lastColumn="0" w:oddVBand="0" w:evenVBand="0" w:oddHBand="0" w:evenHBand="1" w:firstRowFirstColumn="0" w:firstRowLastColumn="0" w:lastRowFirstColumn="0" w:lastRowLastColumn="0"/>
            </w:pPr>
            <w:r>
              <w:t>133</w:t>
            </w:r>
            <w:r w:rsidR="00FF6618">
              <w:t>.</w:t>
            </w:r>
            <w:r w:rsidR="00A04204">
              <w:t>0</w:t>
            </w:r>
          </w:p>
        </w:tc>
      </w:tr>
      <w:tr w:rsidR="00FF6618" w:rsidTr="00B45FAD">
        <w:tc>
          <w:tcPr>
            <w:cnfStyle w:val="001000000000" w:firstRow="0" w:lastRow="0" w:firstColumn="1" w:lastColumn="0" w:oddVBand="0" w:evenVBand="0" w:oddHBand="0" w:evenHBand="0" w:firstRowFirstColumn="0" w:firstRowLastColumn="0" w:lastRowFirstColumn="0" w:lastRowLastColumn="0"/>
            <w:tcW w:w="1809" w:type="dxa"/>
          </w:tcPr>
          <w:p w:rsidR="00FF6618" w:rsidRDefault="00FF6618" w:rsidP="00EE1A95">
            <w:pPr>
              <w:numPr>
                <w:ilvl w:val="0"/>
                <w:numId w:val="24"/>
              </w:numPr>
            </w:pPr>
            <w:r>
              <w:t>Difference</w:t>
            </w:r>
          </w:p>
        </w:tc>
        <w:tc>
          <w:tcPr>
            <w:tcW w:w="983" w:type="dxa"/>
          </w:tcPr>
          <w:p w:rsidR="00FF6618" w:rsidRDefault="00FF6618" w:rsidP="00EE1A95">
            <w:pPr>
              <w:numPr>
                <w:ilvl w:val="0"/>
                <w:numId w:val="24"/>
              </w:numPr>
              <w:cnfStyle w:val="000000000000" w:firstRow="0" w:lastRow="0" w:firstColumn="0" w:lastColumn="0" w:oddVBand="0" w:evenVBand="0" w:oddHBand="0" w:evenHBand="0" w:firstRowFirstColumn="0" w:firstRowLastColumn="0" w:lastRowFirstColumn="0" w:lastRowLastColumn="0"/>
            </w:pPr>
            <w:r>
              <w:t>n/a</w:t>
            </w:r>
          </w:p>
        </w:tc>
        <w:tc>
          <w:tcPr>
            <w:tcW w:w="983" w:type="dxa"/>
          </w:tcPr>
          <w:p w:rsidR="00FF6618" w:rsidRDefault="00FD7717" w:rsidP="00CD22D5">
            <w:pPr>
              <w:numPr>
                <w:ilvl w:val="0"/>
                <w:numId w:val="24"/>
              </w:numPr>
              <w:cnfStyle w:val="000000000000" w:firstRow="0" w:lastRow="0" w:firstColumn="0" w:lastColumn="0" w:oddVBand="0" w:evenVBand="0" w:oddHBand="0" w:evenHBand="0" w:firstRowFirstColumn="0" w:firstRowLastColumn="0" w:lastRowFirstColumn="0" w:lastRowLastColumn="0"/>
            </w:pPr>
            <w:r>
              <w:t>-</w:t>
            </w:r>
            <w:r w:rsidR="00536DAF">
              <w:t>1.3</w:t>
            </w:r>
          </w:p>
        </w:tc>
        <w:tc>
          <w:tcPr>
            <w:tcW w:w="984" w:type="dxa"/>
          </w:tcPr>
          <w:p w:rsidR="00FF6618" w:rsidRDefault="00FD7717" w:rsidP="00EE1A95">
            <w:pPr>
              <w:numPr>
                <w:ilvl w:val="0"/>
                <w:numId w:val="24"/>
              </w:numPr>
              <w:cnfStyle w:val="000000000000" w:firstRow="0" w:lastRow="0" w:firstColumn="0" w:lastColumn="0" w:oddVBand="0" w:evenVBand="0" w:oddHBand="0" w:evenHBand="0" w:firstRowFirstColumn="0" w:firstRowLastColumn="0" w:lastRowFirstColumn="0" w:lastRowLastColumn="0"/>
            </w:pPr>
            <w:r>
              <w:t>-</w:t>
            </w:r>
            <w:r w:rsidR="00536DAF">
              <w:t>1.2</w:t>
            </w:r>
          </w:p>
        </w:tc>
        <w:tc>
          <w:tcPr>
            <w:tcW w:w="983" w:type="dxa"/>
          </w:tcPr>
          <w:p w:rsidR="00FF6618" w:rsidRDefault="00FD7717" w:rsidP="00EE1A95">
            <w:pPr>
              <w:numPr>
                <w:ilvl w:val="0"/>
                <w:numId w:val="24"/>
              </w:numPr>
              <w:cnfStyle w:val="000000000000" w:firstRow="0" w:lastRow="0" w:firstColumn="0" w:lastColumn="0" w:oddVBand="0" w:evenVBand="0" w:oddHBand="0" w:evenHBand="0" w:firstRowFirstColumn="0" w:firstRowLastColumn="0" w:lastRowFirstColumn="0" w:lastRowLastColumn="0"/>
            </w:pPr>
            <w:r>
              <w:t>-</w:t>
            </w:r>
            <w:r w:rsidR="00536DAF">
              <w:t>1.7</w:t>
            </w:r>
          </w:p>
        </w:tc>
        <w:tc>
          <w:tcPr>
            <w:tcW w:w="984" w:type="dxa"/>
          </w:tcPr>
          <w:p w:rsidR="00FF6618" w:rsidRDefault="00FD7717" w:rsidP="00EE1A95">
            <w:pPr>
              <w:numPr>
                <w:ilvl w:val="0"/>
                <w:numId w:val="24"/>
              </w:numPr>
              <w:cnfStyle w:val="000000000000" w:firstRow="0" w:lastRow="0" w:firstColumn="0" w:lastColumn="0" w:oddVBand="0" w:evenVBand="0" w:oddHBand="0" w:evenHBand="0" w:firstRowFirstColumn="0" w:firstRowLastColumn="0" w:lastRowFirstColumn="0" w:lastRowLastColumn="0"/>
            </w:pPr>
            <w:r>
              <w:t>-</w:t>
            </w:r>
            <w:r w:rsidR="00536DAF">
              <w:t>3.8</w:t>
            </w:r>
          </w:p>
        </w:tc>
        <w:tc>
          <w:tcPr>
            <w:tcW w:w="983" w:type="dxa"/>
          </w:tcPr>
          <w:p w:rsidR="00FF6618" w:rsidRDefault="00FD7717" w:rsidP="00EE1A95">
            <w:pPr>
              <w:numPr>
                <w:ilvl w:val="0"/>
                <w:numId w:val="24"/>
              </w:numPr>
              <w:cnfStyle w:val="000000000000" w:firstRow="0" w:lastRow="0" w:firstColumn="0" w:lastColumn="0" w:oddVBand="0" w:evenVBand="0" w:oddHBand="0" w:evenHBand="0" w:firstRowFirstColumn="0" w:firstRowLastColumn="0" w:lastRowFirstColumn="0" w:lastRowLastColumn="0"/>
            </w:pPr>
            <w:r>
              <w:t>-</w:t>
            </w:r>
            <w:r w:rsidR="00536DAF">
              <w:t>2.8</w:t>
            </w:r>
          </w:p>
        </w:tc>
        <w:tc>
          <w:tcPr>
            <w:tcW w:w="984" w:type="dxa"/>
          </w:tcPr>
          <w:p w:rsidR="00FF6618" w:rsidRDefault="00FD7717" w:rsidP="00EE1A95">
            <w:pPr>
              <w:numPr>
                <w:ilvl w:val="0"/>
                <w:numId w:val="24"/>
              </w:numPr>
              <w:cnfStyle w:val="000000000000" w:firstRow="0" w:lastRow="0" w:firstColumn="0" w:lastColumn="0" w:oddVBand="0" w:evenVBand="0" w:oddHBand="0" w:evenHBand="0" w:firstRowFirstColumn="0" w:firstRowLastColumn="0" w:lastRowFirstColumn="0" w:lastRowLastColumn="0"/>
            </w:pPr>
            <w:r>
              <w:t>-</w:t>
            </w:r>
            <w:r w:rsidR="00536DAF">
              <w:t>10.8</w:t>
            </w:r>
          </w:p>
        </w:tc>
      </w:tr>
    </w:tbl>
    <w:p w:rsidR="00147AEA" w:rsidRDefault="00FF6618" w:rsidP="00FF6618">
      <w:pPr>
        <w:pStyle w:val="AERtablesource"/>
      </w:pPr>
      <w:r>
        <w:t>Note:</w:t>
      </w:r>
      <w:r>
        <w:tab/>
      </w:r>
      <w:r w:rsidR="00DC532E">
        <w:t>Excludes d</w:t>
      </w:r>
      <w:r>
        <w:t>ebt raising costs</w:t>
      </w:r>
      <w:r w:rsidR="00DC532E">
        <w:t>.</w:t>
      </w:r>
      <w:r>
        <w:t xml:space="preserve"> </w:t>
      </w:r>
    </w:p>
    <w:p w:rsidR="00FF6618" w:rsidRDefault="00147AEA" w:rsidP="00FF6618">
      <w:pPr>
        <w:pStyle w:val="AERtablesource"/>
      </w:pPr>
      <w:r>
        <w:tab/>
      </w:r>
      <w:r w:rsidR="00FF6618">
        <w:t>ActewAGL</w:t>
      </w:r>
      <w:r>
        <w:t xml:space="preserve"> has estimated its actual opex for </w:t>
      </w:r>
      <w:r w:rsidR="0061228D">
        <w:t>2015–16</w:t>
      </w:r>
      <w:r w:rsidR="00FF6618">
        <w:t xml:space="preserve"> </w:t>
      </w:r>
      <w:r>
        <w:t xml:space="preserve">to be </w:t>
      </w:r>
      <w:r w:rsidR="00FF6618">
        <w:t>$25.5 million ($</w:t>
      </w:r>
      <w:r w:rsidR="0061228D">
        <w:t>2015–16</w:t>
      </w:r>
      <w:r w:rsidR="00FF6618">
        <w:t>).</w:t>
      </w:r>
    </w:p>
    <w:p w:rsidR="00B45FAD" w:rsidRDefault="00FF6618" w:rsidP="00F52D10">
      <w:pPr>
        <w:pStyle w:val="AERtablesource"/>
      </w:pPr>
      <w:r>
        <w:t xml:space="preserve">Source: </w:t>
      </w:r>
      <w:r>
        <w:tab/>
        <w:t>ActewAGL Distribution Gas net</w:t>
      </w:r>
      <w:r w:rsidR="004D5692">
        <w:t>work Access Arrangement 2016</w:t>
      </w:r>
      <w:r w:rsidR="000A4DD1">
        <w:t>–</w:t>
      </w:r>
      <w:r w:rsidR="004D5692">
        <w:t>21 Opex m</w:t>
      </w:r>
      <w:r>
        <w:t>odel; AER analysis.</w:t>
      </w:r>
      <w:r w:rsidR="00AC760F">
        <w:t xml:space="preserve"> Numbers may not add due to rounding.</w:t>
      </w:r>
    </w:p>
    <w:p w:rsidR="00D63CFE" w:rsidRPr="00D63CFE" w:rsidRDefault="00D63CFE" w:rsidP="00D63CFE"/>
    <w:p w:rsidR="009A5113" w:rsidRDefault="005B140A" w:rsidP="009A5113">
      <w:pPr>
        <w:pStyle w:val="Heading2"/>
      </w:pPr>
      <w:bookmarkStart w:id="15" w:name="_Toc436042323"/>
      <w:r>
        <w:lastRenderedPageBreak/>
        <w:t>ActewAGL</w:t>
      </w:r>
      <w:r w:rsidR="005C0A7F">
        <w:t>'s proposal</w:t>
      </w:r>
      <w:bookmarkEnd w:id="15"/>
    </w:p>
    <w:p w:rsidR="00906A74" w:rsidRDefault="00FF6618" w:rsidP="00FF6618">
      <w:r>
        <w:t>ActewAGL proposed total opex of $143.8 million over the 2016–21 period</w:t>
      </w:r>
      <w:r w:rsidR="00381A2C">
        <w:t>, equivalent to an average annual opex of $2</w:t>
      </w:r>
      <w:r w:rsidR="00B75708">
        <w:t>8.8</w:t>
      </w:r>
      <w:r w:rsidR="00381A2C">
        <w:t xml:space="preserve"> million</w:t>
      </w:r>
      <w:r>
        <w:t xml:space="preserve">. This </w:t>
      </w:r>
      <w:r w:rsidR="00381A2C">
        <w:t xml:space="preserve">represents </w:t>
      </w:r>
      <w:r>
        <w:t>a seven per cent real increase on actual opex in the 2010–15 period.</w:t>
      </w:r>
      <w:r w:rsidR="001824E8">
        <w:t xml:space="preserve"> </w:t>
      </w:r>
      <w:r w:rsidR="001824E8">
        <w:fldChar w:fldCharType="begin"/>
      </w:r>
      <w:r w:rsidR="001824E8">
        <w:instrText xml:space="preserve"> REF _Ref435090519 \h </w:instrText>
      </w:r>
      <w:r w:rsidR="001824E8">
        <w:fldChar w:fldCharType="separate"/>
      </w:r>
      <w:r w:rsidR="0012045F">
        <w:t xml:space="preserve">Figure </w:t>
      </w:r>
      <w:r w:rsidR="0012045F">
        <w:rPr>
          <w:noProof/>
        </w:rPr>
        <w:t>7</w:t>
      </w:r>
      <w:r w:rsidR="0012045F">
        <w:t>.</w:t>
      </w:r>
      <w:r w:rsidR="0012045F">
        <w:rPr>
          <w:noProof/>
        </w:rPr>
        <w:t>1</w:t>
      </w:r>
      <w:r w:rsidR="001824E8">
        <w:fldChar w:fldCharType="end"/>
      </w:r>
      <w:r w:rsidR="00906A74">
        <w:t xml:space="preserve"> shows the approv</w:t>
      </w:r>
      <w:r w:rsidR="000A4DD1">
        <w:t>ed and actual opex for the 2010–</w:t>
      </w:r>
      <w:r w:rsidR="00906A74">
        <w:t>15 period together with ActewAGL’s proposed opex and the AER’s draft decision.</w:t>
      </w:r>
    </w:p>
    <w:p w:rsidR="007635CA" w:rsidRDefault="001824E8" w:rsidP="001824E8">
      <w:pPr>
        <w:pStyle w:val="Caption"/>
      </w:pPr>
      <w:bookmarkStart w:id="16" w:name="_Ref435090519"/>
      <w:r>
        <w:t xml:space="preserve">Figure </w:t>
      </w:r>
      <w:fldSimple w:instr=" STYLEREF 1 \s ">
        <w:r w:rsidR="0012045F">
          <w:rPr>
            <w:noProof/>
          </w:rPr>
          <w:t>7</w:t>
        </w:r>
      </w:fldSimple>
      <w:r>
        <w:t>.</w:t>
      </w:r>
      <w:fldSimple w:instr=" SEQ Figure \* ARABIC \s 1 ">
        <w:r w:rsidR="0012045F">
          <w:rPr>
            <w:noProof/>
          </w:rPr>
          <w:t>1</w:t>
        </w:r>
      </w:fldSimple>
      <w:bookmarkEnd w:id="16"/>
      <w:r w:rsidR="00906A74">
        <w:tab/>
        <w:t xml:space="preserve">Comparison of AER approved and ActewAGL’s </w:t>
      </w:r>
      <w:r w:rsidR="00381A2C">
        <w:t xml:space="preserve">actual and </w:t>
      </w:r>
      <w:r w:rsidR="00906A74">
        <w:t>forecast opex (</w:t>
      </w:r>
      <w:r w:rsidR="00906A74" w:rsidRPr="006C4E8D">
        <w:t xml:space="preserve">$million, </w:t>
      </w:r>
      <w:r w:rsidR="0061228D">
        <w:t>2015–16</w:t>
      </w:r>
      <w:r w:rsidR="00906A74">
        <w:t>)</w:t>
      </w:r>
    </w:p>
    <w:p w:rsidR="009B70AE" w:rsidRDefault="009B70AE" w:rsidP="00906A74">
      <w:r w:rsidRPr="00A54865">
        <w:rPr>
          <w:noProof/>
          <w:lang w:eastAsia="en-AU"/>
        </w:rPr>
        <mc:AlternateContent>
          <mc:Choice Requires="wps">
            <w:drawing>
              <wp:anchor distT="0" distB="0" distL="114300" distR="114300" simplePos="0" relativeHeight="251661312" behindDoc="0" locked="0" layoutInCell="1" allowOverlap="1" wp14:anchorId="2721DBC1" wp14:editId="58F83BC6">
                <wp:simplePos x="0" y="0"/>
                <wp:positionH relativeFrom="column">
                  <wp:posOffset>2228850</wp:posOffset>
                </wp:positionH>
                <wp:positionV relativeFrom="paragraph">
                  <wp:posOffset>441960</wp:posOffset>
                </wp:positionV>
                <wp:extent cx="504190" cy="467995"/>
                <wp:effectExtent l="0" t="0" r="0" b="0"/>
                <wp:wrapNone/>
                <wp:docPr id="3" name="TextBox 2"/>
                <wp:cNvGraphicFramePr/>
                <a:graphic xmlns:a="http://schemas.openxmlformats.org/drawingml/2006/main">
                  <a:graphicData uri="http://schemas.microsoft.com/office/word/2010/wordprocessingShape">
                    <wps:wsp>
                      <wps:cNvSpPr txBox="1"/>
                      <wps:spPr>
                        <a:xfrm>
                          <a:off x="0" y="0"/>
                          <a:ext cx="504190" cy="4679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C61BB" w:rsidRPr="00A54865" w:rsidRDefault="00AC61BB" w:rsidP="00A54865">
                            <w:pPr>
                              <w:pStyle w:val="NormalWeb"/>
                              <w:spacing w:after="0"/>
                              <w:rPr>
                                <w:rStyle w:val="AERbody"/>
                              </w:rPr>
                            </w:pPr>
                            <w:r w:rsidRPr="00A54865">
                              <w:rPr>
                                <w:rStyle w:val="AERbody"/>
                              </w:rPr>
                              <w:t>base year</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75.5pt;margin-top:34.8pt;width:39.7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" filled="f" stroked="f">
                <v:textbox>
                  <w:txbxContent>
                    <w:p w:rsidR="00AC61BB" w:rsidRPr="00A54865" w:rsidRDefault="00AC61BB" w:rsidP="00A54865">
                      <w:pPr>
                        <w:pStyle w:val="NormalWeb"/>
                        <w:spacing w:after="0"/>
                        <w:rPr>
                          <w:rStyle w:val="AERbody"/>
                        </w:rPr>
                      </w:pPr>
                      <w:r w:rsidRPr="00A54865">
                        <w:rPr>
                          <w:rStyle w:val="AERbody"/>
                        </w:rPr>
                        <w:t>base year</w:t>
                      </w:r>
                    </w:p>
                  </w:txbxContent>
                </v:textbox>
              </v:shape>
            </w:pict>
          </mc:Fallback>
        </mc:AlternateContent>
      </w:r>
      <w:r>
        <w:rPr>
          <w:noProof/>
          <w:lang w:eastAsia="en-AU"/>
        </w:rPr>
        <w:drawing>
          <wp:inline distT="0" distB="0" distL="0" distR="0" wp14:anchorId="461A11C4" wp14:editId="71286930">
            <wp:extent cx="5815965" cy="45478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5965" cy="4547870"/>
                    </a:xfrm>
                    <a:prstGeom prst="rect">
                      <a:avLst/>
                    </a:prstGeom>
                    <a:noFill/>
                  </pic:spPr>
                </pic:pic>
              </a:graphicData>
            </a:graphic>
          </wp:inline>
        </w:drawing>
      </w:r>
    </w:p>
    <w:p w:rsidR="00D63CFE" w:rsidRDefault="00AA2827" w:rsidP="00D63CFE">
      <w:pPr>
        <w:pStyle w:val="AERtablesource"/>
      </w:pPr>
      <w:r>
        <w:t>Note:</w:t>
      </w:r>
      <w:r>
        <w:tab/>
        <w:t>Excludes debt raising costs.</w:t>
      </w:r>
      <w:r w:rsidRPr="00AA2827">
        <w:t xml:space="preserve"> ActewAGL's opex model included forecast opex for 2015–16 of $25.5 million ($</w:t>
      </w:r>
      <w:r w:rsidR="0061228D">
        <w:t>2015–16</w:t>
      </w:r>
      <w:r w:rsidRPr="00AA2827">
        <w:t>).</w:t>
      </w:r>
    </w:p>
    <w:p w:rsidR="00906A74" w:rsidRPr="00455B1D" w:rsidRDefault="00906A74" w:rsidP="00D63CFE">
      <w:pPr>
        <w:pStyle w:val="AERtablesource"/>
      </w:pPr>
      <w:r w:rsidRPr="000C163F">
        <w:t xml:space="preserve">Source: </w:t>
      </w:r>
      <w:r w:rsidRPr="000C163F">
        <w:tab/>
        <w:t>ActewAGL Distribution Gas net</w:t>
      </w:r>
      <w:r w:rsidR="000A4DD1">
        <w:t>work Access Arrangement 2016–</w:t>
      </w:r>
      <w:r>
        <w:t>21 Opex m</w:t>
      </w:r>
      <w:r w:rsidRPr="000C163F">
        <w:t>odel; AER analysis.</w:t>
      </w:r>
    </w:p>
    <w:p w:rsidR="000407B0" w:rsidRDefault="00906A74" w:rsidP="000354B1">
      <w:r>
        <w:t>ActewAGL described its opex forecasting method in its access arrangement information</w:t>
      </w:r>
      <w:r w:rsidR="0000609B">
        <w:t>:</w:t>
      </w:r>
      <w:r>
        <w:t xml:space="preserve"> </w:t>
      </w:r>
    </w:p>
    <w:p w:rsidR="00906A74" w:rsidRDefault="00906A74" w:rsidP="00906A74">
      <w:pPr>
        <w:pStyle w:val="ListParagraph"/>
        <w:numPr>
          <w:ilvl w:val="0"/>
          <w:numId w:val="32"/>
        </w:numPr>
      </w:pPr>
      <w:r>
        <w:t xml:space="preserve">ActewAGL used </w:t>
      </w:r>
      <w:r w:rsidR="00B04C16">
        <w:t>an estimate of its actual (</w:t>
      </w:r>
      <w:r>
        <w:t>revealed</w:t>
      </w:r>
      <w:r w:rsidR="00B04C16">
        <w:t>)</w:t>
      </w:r>
      <w:r w:rsidR="000A4DD1">
        <w:t xml:space="preserve"> expenditure in 2014–</w:t>
      </w:r>
      <w:r>
        <w:t>15 as the starting point for calculating its base opex. This was $27.6 million ($</w:t>
      </w:r>
      <w:r w:rsidR="0061228D">
        <w:t>2015–16</w:t>
      </w:r>
      <w:r>
        <w:t xml:space="preserve">). </w:t>
      </w:r>
    </w:p>
    <w:p w:rsidR="00906A74" w:rsidRPr="007D54AD" w:rsidRDefault="00906A74" w:rsidP="00906A74">
      <w:pPr>
        <w:pStyle w:val="ListParagraph"/>
        <w:numPr>
          <w:ilvl w:val="0"/>
          <w:numId w:val="32"/>
        </w:numPr>
      </w:pPr>
      <w:r>
        <w:t>ActewAGL proposed adjustments to its base year opex to remove $2.5 million ($</w:t>
      </w:r>
      <w:r w:rsidR="0061228D">
        <w:t>2015–16</w:t>
      </w:r>
      <w:r>
        <w:t xml:space="preserve">) in non-recurrent costs and $8.2 million in categories of opex that it </w:t>
      </w:r>
      <w:r>
        <w:lastRenderedPageBreak/>
        <w:t>forecast separately</w:t>
      </w:r>
      <w:r w:rsidRPr="005729F3">
        <w:t>.</w:t>
      </w:r>
      <w:r>
        <w:t xml:space="preserve"> Together, these resulted in a reduction in base opex by $10.7 million ($2015–16</w:t>
      </w:r>
      <w:r w:rsidRPr="007D54AD">
        <w:t>).</w:t>
      </w:r>
      <w:r w:rsidRPr="005729F3">
        <w:t xml:space="preserve"> </w:t>
      </w:r>
      <w:r w:rsidR="000407B0" w:rsidRPr="007D54AD">
        <w:t xml:space="preserve">We </w:t>
      </w:r>
      <w:r w:rsidR="000407B0" w:rsidRPr="000407B0">
        <w:t xml:space="preserve">assess ActewAGL’s proposed </w:t>
      </w:r>
      <w:r w:rsidR="000407B0">
        <w:t xml:space="preserve">base year opex in </w:t>
      </w:r>
      <w:r w:rsidR="00634CC2">
        <w:t xml:space="preserve">section </w:t>
      </w:r>
      <w:r w:rsidR="00E355EF">
        <w:fldChar w:fldCharType="begin"/>
      </w:r>
      <w:r w:rsidR="00E355EF">
        <w:instrText xml:space="preserve"> REF _Ref435453393 \r \h </w:instrText>
      </w:r>
      <w:r w:rsidR="00E355EF">
        <w:fldChar w:fldCharType="separate"/>
      </w:r>
      <w:r w:rsidR="0012045F">
        <w:t>7.4.2</w:t>
      </w:r>
      <w:r w:rsidR="00E355EF">
        <w:fldChar w:fldCharType="end"/>
      </w:r>
      <w:r w:rsidR="00634CC2">
        <w:t>.</w:t>
      </w:r>
    </w:p>
    <w:p w:rsidR="000407B0" w:rsidRDefault="000407B0" w:rsidP="000407B0">
      <w:pPr>
        <w:pStyle w:val="ListParagraph"/>
        <w:numPr>
          <w:ilvl w:val="0"/>
          <w:numId w:val="32"/>
        </w:numPr>
      </w:pPr>
      <w:r>
        <w:t>Actew</w:t>
      </w:r>
      <w:r w:rsidRPr="000407B0">
        <w:t xml:space="preserve">AGL then </w:t>
      </w:r>
      <w:r w:rsidR="00B04C16">
        <w:t xml:space="preserve">proposed </w:t>
      </w:r>
      <w:r w:rsidRPr="000407B0">
        <w:t>adjustments to trend its adjusted base year opex forward</w:t>
      </w:r>
      <w:r>
        <w:t>:</w:t>
      </w:r>
    </w:p>
    <w:p w:rsidR="00906A74" w:rsidRPr="007D54AD" w:rsidRDefault="00906A74" w:rsidP="000354B1">
      <w:pPr>
        <w:pStyle w:val="ListParagraph"/>
        <w:numPr>
          <w:ilvl w:val="1"/>
          <w:numId w:val="32"/>
        </w:numPr>
      </w:pPr>
      <w:r w:rsidRPr="007D54AD">
        <w:t>ActewAGL accounted for forecast price changes by applying forecast changes in labour prices. The application of these forec</w:t>
      </w:r>
      <w:r>
        <w:t xml:space="preserve">ast price changes increased its </w:t>
      </w:r>
      <w:r w:rsidRPr="007D54AD">
        <w:t>opex forecast by $2.5 million ($</w:t>
      </w:r>
      <w:r w:rsidR="0061228D">
        <w:t>2015–16</w:t>
      </w:r>
      <w:r w:rsidRPr="007D54AD">
        <w:t>)</w:t>
      </w:r>
      <w:r>
        <w:t xml:space="preserve"> over the </w:t>
      </w:r>
      <w:r w:rsidR="00907691">
        <w:t>2016–21 period</w:t>
      </w:r>
      <w:r w:rsidRPr="007D54AD">
        <w:t xml:space="preserve">. We </w:t>
      </w:r>
      <w:r>
        <w:t>assess</w:t>
      </w:r>
      <w:r w:rsidRPr="007D54AD">
        <w:t xml:space="preserve"> </w:t>
      </w:r>
      <w:r>
        <w:t xml:space="preserve">ActewAGL’s </w:t>
      </w:r>
      <w:r w:rsidRPr="007D54AD">
        <w:t>proposed forecast price changes in</w:t>
      </w:r>
      <w:r w:rsidR="00634CC2">
        <w:t xml:space="preserve"> section </w:t>
      </w:r>
      <w:r w:rsidR="00E355EF">
        <w:fldChar w:fldCharType="begin"/>
      </w:r>
      <w:r w:rsidR="00E355EF">
        <w:instrText xml:space="preserve"> REF _Ref435091632 \r \h </w:instrText>
      </w:r>
      <w:r w:rsidR="00E355EF">
        <w:fldChar w:fldCharType="separate"/>
      </w:r>
      <w:r w:rsidR="0012045F">
        <w:t>7.4.3.2</w:t>
      </w:r>
      <w:r w:rsidR="00E355EF">
        <w:fldChar w:fldCharType="end"/>
      </w:r>
      <w:r w:rsidR="00634CC2">
        <w:t>.</w:t>
      </w:r>
    </w:p>
    <w:p w:rsidR="00906A74" w:rsidRDefault="00906A74" w:rsidP="000354B1">
      <w:pPr>
        <w:pStyle w:val="ListParagraph"/>
        <w:numPr>
          <w:ilvl w:val="1"/>
          <w:numId w:val="32"/>
        </w:numPr>
      </w:pPr>
      <w:r>
        <w:t>ActewAGL’s forecast output changes increase its opex forecast by $2.0 million ($</w:t>
      </w:r>
      <w:r w:rsidR="0061228D">
        <w:t>2015–16</w:t>
      </w:r>
      <w:r>
        <w:t xml:space="preserve">) over the </w:t>
      </w:r>
      <w:r w:rsidR="00907691">
        <w:t xml:space="preserve">2016–21 </w:t>
      </w:r>
      <w:r>
        <w:t xml:space="preserve">period. </w:t>
      </w:r>
      <w:r w:rsidRPr="00D461E6">
        <w:t xml:space="preserve">We </w:t>
      </w:r>
      <w:r>
        <w:t>assess</w:t>
      </w:r>
      <w:r w:rsidRPr="00D461E6">
        <w:t xml:space="preserve"> </w:t>
      </w:r>
      <w:r>
        <w:t xml:space="preserve">ActewAGL’s </w:t>
      </w:r>
      <w:r w:rsidRPr="00D461E6">
        <w:t xml:space="preserve">proposed </w:t>
      </w:r>
      <w:r>
        <w:t>output</w:t>
      </w:r>
      <w:r w:rsidRPr="00D461E6">
        <w:t xml:space="preserve"> growth </w:t>
      </w:r>
      <w:r>
        <w:t>in</w:t>
      </w:r>
      <w:r w:rsidR="00634CC2">
        <w:t xml:space="preserve"> section </w:t>
      </w:r>
      <w:r w:rsidR="00E355EF">
        <w:fldChar w:fldCharType="begin"/>
      </w:r>
      <w:r w:rsidR="00E355EF">
        <w:instrText xml:space="preserve"> REF _Ref435091656 \r \h </w:instrText>
      </w:r>
      <w:r w:rsidR="00E355EF">
        <w:fldChar w:fldCharType="separate"/>
      </w:r>
      <w:r w:rsidR="0012045F">
        <w:t>7.4.3.3</w:t>
      </w:r>
      <w:r w:rsidR="00E355EF">
        <w:fldChar w:fldCharType="end"/>
      </w:r>
      <w:r w:rsidR="00634CC2">
        <w:t>.</w:t>
      </w:r>
    </w:p>
    <w:p w:rsidR="000407B0" w:rsidRDefault="00906A74" w:rsidP="000354B1">
      <w:pPr>
        <w:pStyle w:val="ListParagraph"/>
        <w:numPr>
          <w:ilvl w:val="1"/>
          <w:numId w:val="32"/>
        </w:numPr>
      </w:pPr>
      <w:r>
        <w:t xml:space="preserve">ActewAGL did not apply a productivity component as part of the rate of change. </w:t>
      </w:r>
      <w:r w:rsidRPr="00D461E6">
        <w:t xml:space="preserve">We </w:t>
      </w:r>
      <w:r>
        <w:t>assess</w:t>
      </w:r>
      <w:r w:rsidRPr="00D461E6">
        <w:t xml:space="preserve"> </w:t>
      </w:r>
      <w:r>
        <w:t xml:space="preserve">ActewAGL’s proposed approach to productivity in </w:t>
      </w:r>
      <w:r w:rsidR="00D63CFE">
        <w:t xml:space="preserve">section </w:t>
      </w:r>
      <w:r w:rsidR="00E355EF">
        <w:fldChar w:fldCharType="begin"/>
      </w:r>
      <w:r w:rsidR="00E355EF">
        <w:instrText xml:space="preserve"> REF _Ref435091681 \r \h </w:instrText>
      </w:r>
      <w:r w:rsidR="00E355EF">
        <w:fldChar w:fldCharType="separate"/>
      </w:r>
      <w:r w:rsidR="0012045F">
        <w:t>7.4.3.4</w:t>
      </w:r>
      <w:r w:rsidR="00E355EF">
        <w:fldChar w:fldCharType="end"/>
      </w:r>
      <w:r w:rsidR="00D63CFE">
        <w:t>.</w:t>
      </w:r>
    </w:p>
    <w:p w:rsidR="00873CC2" w:rsidRDefault="000407B0" w:rsidP="00873CC2">
      <w:pPr>
        <w:pStyle w:val="ListParagraph"/>
        <w:numPr>
          <w:ilvl w:val="0"/>
          <w:numId w:val="32"/>
        </w:numPr>
      </w:pPr>
      <w:r>
        <w:t xml:space="preserve">ActewAGL </w:t>
      </w:r>
      <w:r w:rsidR="00907691">
        <w:t>added</w:t>
      </w:r>
      <w:r>
        <w:t xml:space="preserve"> a number of step changes</w:t>
      </w:r>
      <w:r w:rsidR="00907691">
        <w:t xml:space="preserve"> that</w:t>
      </w:r>
      <w:r w:rsidR="00906A74">
        <w:t xml:space="preserve"> increased its opex forecast by $5.6 million ($2015–16).</w:t>
      </w:r>
      <w:r w:rsidR="00906A74" w:rsidRPr="00D461E6">
        <w:t xml:space="preserve"> We </w:t>
      </w:r>
      <w:r w:rsidR="00906A74">
        <w:t>assess</w:t>
      </w:r>
      <w:r w:rsidR="00906A74" w:rsidRPr="00D461E6">
        <w:t xml:space="preserve"> </w:t>
      </w:r>
      <w:r w:rsidR="00906A74">
        <w:t>ActewAGL’s</w:t>
      </w:r>
      <w:r w:rsidR="00906A74" w:rsidRPr="00D461E6">
        <w:t xml:space="preserve"> proposed step changes in</w:t>
      </w:r>
      <w:r w:rsidR="00D63CFE">
        <w:t xml:space="preserve"> section</w:t>
      </w:r>
      <w:r w:rsidR="00634CC2">
        <w:t> </w:t>
      </w:r>
      <w:r w:rsidR="00E355EF">
        <w:fldChar w:fldCharType="begin"/>
      </w:r>
      <w:r w:rsidR="00E355EF">
        <w:instrText xml:space="preserve"> REF _Ref435453421 \r \h </w:instrText>
      </w:r>
      <w:r w:rsidR="00E355EF">
        <w:fldChar w:fldCharType="separate"/>
      </w:r>
      <w:r w:rsidR="0012045F">
        <w:t>7.4.4</w:t>
      </w:r>
      <w:r w:rsidR="00E355EF">
        <w:fldChar w:fldCharType="end"/>
      </w:r>
      <w:r w:rsidR="00D63CFE">
        <w:t>.</w:t>
      </w:r>
    </w:p>
    <w:p w:rsidR="00906A74" w:rsidRDefault="000407B0" w:rsidP="000354B1">
      <w:pPr>
        <w:pStyle w:val="ListParagraph"/>
        <w:numPr>
          <w:ilvl w:val="0"/>
          <w:numId w:val="32"/>
        </w:numPr>
      </w:pPr>
      <w:r>
        <w:t>Lastly, ActewAGL</w:t>
      </w:r>
      <w:r w:rsidR="00B04C16">
        <w:t xml:space="preserve"> </w:t>
      </w:r>
      <w:r w:rsidR="00907691">
        <w:t>added</w:t>
      </w:r>
      <w:r>
        <w:t xml:space="preserve"> forecast </w:t>
      </w:r>
      <w:r w:rsidR="00907691">
        <w:t xml:space="preserve">opex </w:t>
      </w:r>
      <w:r>
        <w:t xml:space="preserve">for </w:t>
      </w:r>
      <w:r w:rsidR="00907691">
        <w:t xml:space="preserve">six </w:t>
      </w:r>
      <w:r>
        <w:t xml:space="preserve">categories of </w:t>
      </w:r>
      <w:r w:rsidR="00907691">
        <w:t xml:space="preserve">expenditure </w:t>
      </w:r>
      <w:r>
        <w:t xml:space="preserve">that it proposed be specifically forecast </w:t>
      </w:r>
      <w:r w:rsidR="00906A74">
        <w:t>:</w:t>
      </w:r>
    </w:p>
    <w:p w:rsidR="00906A74" w:rsidRDefault="00906A74" w:rsidP="000176BA">
      <w:pPr>
        <w:pStyle w:val="AERbulletlistsecondstyle"/>
      </w:pPr>
      <w:r>
        <w:t>Utilities Network Facilities Tax (UNFT)</w:t>
      </w:r>
    </w:p>
    <w:p w:rsidR="00906A74" w:rsidRDefault="00906A74" w:rsidP="000176BA">
      <w:pPr>
        <w:pStyle w:val="AERbulletlistsecondstyle"/>
      </w:pPr>
      <w:r>
        <w:t>Energy Industry Levy (EIL)</w:t>
      </w:r>
    </w:p>
    <w:p w:rsidR="00906A74" w:rsidRDefault="00906A74" w:rsidP="000176BA">
      <w:pPr>
        <w:pStyle w:val="AERbulletlistsecondstyle"/>
      </w:pPr>
      <w:r>
        <w:t>Unaccounted for gas (UAFG)</w:t>
      </w:r>
    </w:p>
    <w:p w:rsidR="00906A74" w:rsidRDefault="00907691" w:rsidP="000176BA">
      <w:pPr>
        <w:pStyle w:val="AERbulletlistsecondstyle"/>
      </w:pPr>
      <w:r>
        <w:t>w</w:t>
      </w:r>
      <w:r w:rsidR="00906A74">
        <w:t>ater bath heater operations</w:t>
      </w:r>
    </w:p>
    <w:p w:rsidR="00906A74" w:rsidRDefault="00907691" w:rsidP="000176BA">
      <w:pPr>
        <w:pStyle w:val="AERbulletlistsecondstyle"/>
      </w:pPr>
      <w:r>
        <w:t xml:space="preserve">ancillary </w:t>
      </w:r>
      <w:r w:rsidR="00906A74">
        <w:t>services</w:t>
      </w:r>
    </w:p>
    <w:p w:rsidR="00906A74" w:rsidRDefault="00907691" w:rsidP="000176BA">
      <w:pPr>
        <w:pStyle w:val="AERbulletlistsecondstyle"/>
      </w:pPr>
      <w:r>
        <w:t>insurance</w:t>
      </w:r>
      <w:r w:rsidR="00906A74">
        <w:t>.</w:t>
      </w:r>
    </w:p>
    <w:p w:rsidR="00042EAF" w:rsidRDefault="00906A74" w:rsidP="000176BA">
      <w:pPr>
        <w:pStyle w:val="ListContinue"/>
      </w:pPr>
      <w:r>
        <w:t xml:space="preserve">Together, </w:t>
      </w:r>
      <w:r w:rsidR="00BC7AE9">
        <w:t xml:space="preserve">these </w:t>
      </w:r>
      <w:r w:rsidR="00907691">
        <w:t xml:space="preserve">expenditure </w:t>
      </w:r>
      <w:r w:rsidR="00BC7AE9">
        <w:t xml:space="preserve">categories </w:t>
      </w:r>
      <w:r>
        <w:t>increase total opex by $49.4 million ($</w:t>
      </w:r>
      <w:r w:rsidR="0061228D">
        <w:t>2015–16</w:t>
      </w:r>
      <w:r>
        <w:t xml:space="preserve">) over the </w:t>
      </w:r>
      <w:r w:rsidR="00907691">
        <w:t>2016–21 period</w:t>
      </w:r>
      <w:r>
        <w:t>.</w:t>
      </w:r>
      <w:r w:rsidR="00BD3C38">
        <w:rPr>
          <w:rStyle w:val="FootnoteReference"/>
        </w:rPr>
        <w:footnoteReference w:id="2"/>
      </w:r>
      <w:r>
        <w:t xml:space="preserve"> </w:t>
      </w:r>
      <w:r w:rsidR="00042EAF">
        <w:t>Debt raising costs are also subject to a specific forecast</w:t>
      </w:r>
      <w:r w:rsidR="00907691">
        <w:t>.</w:t>
      </w:r>
      <w:r w:rsidR="00907691">
        <w:rPr>
          <w:rStyle w:val="FootnoteReference"/>
        </w:rPr>
        <w:footnoteReference w:id="3"/>
      </w:r>
      <w:r w:rsidR="00042EAF">
        <w:t xml:space="preserve"> </w:t>
      </w:r>
    </w:p>
    <w:p w:rsidR="00906A74" w:rsidRDefault="00906A74" w:rsidP="00906A74">
      <w:r>
        <w:t>The components of ActewAGL’s forecasting method and their impacts are shown in</w:t>
      </w:r>
      <w:r w:rsidR="001824E8">
        <w:t xml:space="preserve"> </w:t>
      </w:r>
      <w:r w:rsidR="001824E8">
        <w:fldChar w:fldCharType="begin"/>
      </w:r>
      <w:r w:rsidR="001824E8">
        <w:instrText xml:space="preserve"> REF _Ref435090485 \h </w:instrText>
      </w:r>
      <w:r w:rsidR="001824E8">
        <w:fldChar w:fldCharType="separate"/>
      </w:r>
      <w:r w:rsidR="0012045F">
        <w:t xml:space="preserve">Figure </w:t>
      </w:r>
      <w:r w:rsidR="0012045F">
        <w:rPr>
          <w:noProof/>
        </w:rPr>
        <w:t>7</w:t>
      </w:r>
      <w:r w:rsidR="0012045F">
        <w:t>.</w:t>
      </w:r>
      <w:r w:rsidR="0012045F">
        <w:rPr>
          <w:noProof/>
        </w:rPr>
        <w:t>2</w:t>
      </w:r>
      <w:r w:rsidR="001824E8">
        <w:fldChar w:fldCharType="end"/>
      </w:r>
      <w:r w:rsidR="001824E8">
        <w:t>.</w:t>
      </w:r>
    </w:p>
    <w:p w:rsidR="00906A74" w:rsidRDefault="001824E8" w:rsidP="001824E8">
      <w:pPr>
        <w:pStyle w:val="Caption"/>
      </w:pPr>
      <w:bookmarkStart w:id="17" w:name="_Ref435090485"/>
      <w:r>
        <w:lastRenderedPageBreak/>
        <w:t xml:space="preserve">Figure </w:t>
      </w:r>
      <w:fldSimple w:instr=" STYLEREF 1 \s ">
        <w:r w:rsidR="0012045F">
          <w:rPr>
            <w:noProof/>
          </w:rPr>
          <w:t>7</w:t>
        </w:r>
      </w:fldSimple>
      <w:r>
        <w:t>.</w:t>
      </w:r>
      <w:fldSimple w:instr=" SEQ Figure \* ARABIC \s 1 ">
        <w:r w:rsidR="0012045F">
          <w:rPr>
            <w:noProof/>
          </w:rPr>
          <w:t>2</w:t>
        </w:r>
      </w:fldSimple>
      <w:bookmarkEnd w:id="17"/>
      <w:r w:rsidR="00906A74">
        <w:tab/>
        <w:t>Forecasting method impacts (</w:t>
      </w:r>
      <w:r w:rsidR="00906A74" w:rsidRPr="006C4E8D">
        <w:t>$million, 201</w:t>
      </w:r>
      <w:r w:rsidR="00906A74">
        <w:t>5</w:t>
      </w:r>
      <w:r w:rsidR="00906A74" w:rsidRPr="006C4E8D">
        <w:t>–1</w:t>
      </w:r>
      <w:r w:rsidR="00906A74">
        <w:t>6)</w:t>
      </w:r>
    </w:p>
    <w:p w:rsidR="00FA19AC" w:rsidRDefault="00FA19AC" w:rsidP="00906A74">
      <w:r>
        <w:rPr>
          <w:noProof/>
          <w:lang w:eastAsia="en-AU"/>
        </w:rPr>
        <w:drawing>
          <wp:inline distT="0" distB="0" distL="0" distR="0" wp14:anchorId="3658403D" wp14:editId="72A529EA">
            <wp:extent cx="6064370" cy="407453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5405" cy="4075228"/>
                    </a:xfrm>
                    <a:prstGeom prst="rect">
                      <a:avLst/>
                    </a:prstGeom>
                    <a:noFill/>
                  </pic:spPr>
                </pic:pic>
              </a:graphicData>
            </a:graphic>
          </wp:inline>
        </w:drawing>
      </w:r>
    </w:p>
    <w:p w:rsidR="00906A74" w:rsidRDefault="00906A74" w:rsidP="00F662AB">
      <w:pPr>
        <w:pStyle w:val="AERtablesource"/>
      </w:pPr>
      <w:r>
        <w:t xml:space="preserve">Note: </w:t>
      </w:r>
      <w:r>
        <w:tab/>
        <w:t xml:space="preserve">ActewAGL overspent the AER approved allowance for the current period by around $4 million. This overspend was driven by an increase in non-controllable opex, in particular, the Utilities Network Facilities Tax, notwithstanding savings resulting from greater efficiencies in </w:t>
      </w:r>
      <w:r w:rsidR="00907691">
        <w:t xml:space="preserve">other </w:t>
      </w:r>
      <w:r>
        <w:t>opex.</w:t>
      </w:r>
    </w:p>
    <w:p w:rsidR="00906A74" w:rsidRDefault="00906A74" w:rsidP="00F662AB">
      <w:pPr>
        <w:pStyle w:val="AERtablesource"/>
      </w:pPr>
      <w:r>
        <w:t>Source:</w:t>
      </w:r>
      <w:r>
        <w:tab/>
        <w:t>AER analysis.</w:t>
      </w:r>
    </w:p>
    <w:p w:rsidR="009A5113" w:rsidRDefault="009A5113" w:rsidP="009A5113">
      <w:pPr>
        <w:pStyle w:val="Heading2"/>
      </w:pPr>
      <w:bookmarkStart w:id="18" w:name="_Toc408404322"/>
      <w:bookmarkStart w:id="19" w:name="_Toc436042324"/>
      <w:r w:rsidRPr="0074565D">
        <w:t>AER’s assessment approach</w:t>
      </w:r>
      <w:bookmarkEnd w:id="18"/>
      <w:bookmarkEnd w:id="19"/>
    </w:p>
    <w:p w:rsidR="00AB583D" w:rsidRPr="00AB7253" w:rsidRDefault="00AB583D" w:rsidP="00AB583D">
      <w:r>
        <w:t>We</w:t>
      </w:r>
      <w:r w:rsidRPr="00AB7253">
        <w:t xml:space="preserve"> decid</w:t>
      </w:r>
      <w:r>
        <w:t>e</w:t>
      </w:r>
      <w:r w:rsidRPr="00AB7253">
        <w:t xml:space="preserve"> whether or not to accept a service provider's total forecast opex proposal. We approve the service provider's forecast opex if we are satisfied that it is consistent with </w:t>
      </w:r>
      <w:r>
        <w:t xml:space="preserve">the </w:t>
      </w:r>
      <w:r w:rsidRPr="00AB7253">
        <w:t xml:space="preserve">criteria governing operating expenditure </w:t>
      </w:r>
      <w:r>
        <w:t xml:space="preserve">(the </w:t>
      </w:r>
      <w:r w:rsidRPr="00AB7253">
        <w:t>opex</w:t>
      </w:r>
      <w:r>
        <w:t xml:space="preserve"> criteria)</w:t>
      </w:r>
      <w:r w:rsidRPr="00AB7253">
        <w:t>.</w:t>
      </w:r>
      <w:r w:rsidRPr="00AB7253">
        <w:rPr>
          <w:rStyle w:val="AERsuperscript"/>
        </w:rPr>
        <w:footnoteReference w:id="4"/>
      </w:r>
      <w:r w:rsidRPr="00AB7253">
        <w:t xml:space="preserve"> </w:t>
      </w:r>
    </w:p>
    <w:p w:rsidR="00AB583D" w:rsidRDefault="00AB583D" w:rsidP="00AB583D">
      <w:pPr>
        <w:pStyle w:val="AERquoteindent1"/>
      </w:pPr>
      <w:r w:rsidRPr="00AB7253">
        <w:t>91. Criteria governing operating expenditure</w:t>
      </w:r>
    </w:p>
    <w:p w:rsidR="00AB583D" w:rsidRPr="00AB7253" w:rsidRDefault="00AB583D" w:rsidP="00AB583D">
      <w:pPr>
        <w:pStyle w:val="AERquoteindent1"/>
        <w:ind w:left="1020" w:hanging="340"/>
      </w:pPr>
      <w:r>
        <w:t>(1)</w:t>
      </w:r>
      <w:r>
        <w:tab/>
        <w:t>Operating</w:t>
      </w:r>
      <w:r w:rsidRPr="00E71F99">
        <w:t xml:space="preserve"> </w:t>
      </w:r>
      <w:r w:rsidRPr="00AB7253">
        <w:t>expenditure must be as such as would be incurred by a prudent service provider acting efficiently to provide the lowest sustainable cost of delivering pipeline services</w:t>
      </w:r>
    </w:p>
    <w:p w:rsidR="00180E60" w:rsidRDefault="00180E60" w:rsidP="00AB583D"/>
    <w:p w:rsidR="00180E60" w:rsidRDefault="00180E60" w:rsidP="00AB583D"/>
    <w:p w:rsidR="00AB583D" w:rsidRPr="00AB7253" w:rsidRDefault="00AB583D" w:rsidP="00AB583D">
      <w:r w:rsidRPr="00AB7253">
        <w:lastRenderedPageBreak/>
        <w:t xml:space="preserve">In determining whether forecast opex is consistent with the opex </w:t>
      </w:r>
      <w:r>
        <w:t xml:space="preserve">criteria </w:t>
      </w:r>
      <w:r w:rsidRPr="00AB7253">
        <w:t>we have regard to</w:t>
      </w:r>
      <w:r>
        <w:t xml:space="preserve"> the criteria for</w:t>
      </w:r>
      <w:r w:rsidRPr="00AB7253">
        <w:t xml:space="preserve"> forecasts and estimates.</w:t>
      </w:r>
    </w:p>
    <w:p w:rsidR="00AB583D" w:rsidRPr="00AB7253" w:rsidRDefault="00AB583D" w:rsidP="00AB583D">
      <w:pPr>
        <w:pStyle w:val="AERquoteindent1"/>
      </w:pPr>
      <w:r w:rsidRPr="00AB7253">
        <w:t>74. Forecasts and estimates</w:t>
      </w:r>
    </w:p>
    <w:p w:rsidR="00AB583D" w:rsidRPr="00AB7253" w:rsidRDefault="00AB583D" w:rsidP="00AB583D">
      <w:pPr>
        <w:pStyle w:val="AERquoteindent1"/>
        <w:ind w:left="1020" w:hanging="340"/>
      </w:pPr>
      <w:r>
        <w:t>(1)</w:t>
      </w:r>
      <w:r>
        <w:tab/>
      </w:r>
      <w:r w:rsidRPr="00AB7253">
        <w:t>Information in the nature of a forecast or estimate must be supported by a statement on the basis of the forecast or estimate</w:t>
      </w:r>
    </w:p>
    <w:p w:rsidR="00AB583D" w:rsidRDefault="00AB583D" w:rsidP="00AB583D">
      <w:pPr>
        <w:pStyle w:val="AERquoteindent1"/>
      </w:pPr>
      <w:r>
        <w:t>(2)</w:t>
      </w:r>
      <w:r>
        <w:tab/>
        <w:t>A forecast or estimate</w:t>
      </w:r>
      <w:r w:rsidRPr="00AB7253">
        <w:t>:</w:t>
      </w:r>
    </w:p>
    <w:p w:rsidR="00AB583D" w:rsidRDefault="00AB583D" w:rsidP="00AB583D">
      <w:pPr>
        <w:pStyle w:val="AERquoteindent1"/>
      </w:pPr>
      <w:r>
        <w:tab/>
        <w:t>(a)</w:t>
      </w:r>
      <w:r>
        <w:tab/>
      </w:r>
      <w:r w:rsidRPr="00AB7253">
        <w:t>must be arrived at on a reasonable basis; and</w:t>
      </w:r>
    </w:p>
    <w:p w:rsidR="00AB583D" w:rsidRPr="00AB7253" w:rsidRDefault="00AB583D" w:rsidP="00AB583D">
      <w:pPr>
        <w:pStyle w:val="AERquoteindent1"/>
        <w:ind w:left="1360" w:hanging="340"/>
      </w:pPr>
      <w:r>
        <w:t>(b)</w:t>
      </w:r>
      <w:r>
        <w:tab/>
      </w:r>
      <w:r w:rsidRPr="00AB7253">
        <w:t>must represent the best forec</w:t>
      </w:r>
      <w:r>
        <w:t xml:space="preserve">ast or estimate possible in the </w:t>
      </w:r>
      <w:r w:rsidRPr="00AB7253">
        <w:t>circumstances</w:t>
      </w:r>
      <w:r>
        <w:t>.</w:t>
      </w:r>
      <w:r w:rsidRPr="00AB7253">
        <w:t xml:space="preserve"> </w:t>
      </w:r>
    </w:p>
    <w:p w:rsidR="00AB583D" w:rsidRPr="00AB7253" w:rsidRDefault="00AB583D" w:rsidP="00AB583D">
      <w:r w:rsidRPr="00AB7253">
        <w:t xml:space="preserve">Our approach is to compare the service provider's total forecast opex with </w:t>
      </w:r>
      <w:r>
        <w:t>our alternative</w:t>
      </w:r>
      <w:r w:rsidRPr="00AB7253">
        <w:t xml:space="preserve"> estimate</w:t>
      </w:r>
      <w:r>
        <w:t xml:space="preserve"> of total opex.</w:t>
      </w:r>
      <w:r w:rsidRPr="00AB7253">
        <w:t xml:space="preserve"> </w:t>
      </w:r>
      <w:r>
        <w:t>By doing this, we</w:t>
      </w:r>
      <w:r w:rsidRPr="00AB7253">
        <w:t xml:space="preserve"> form a view on the reasonableness of the service provider's proposal</w:t>
      </w:r>
      <w:r>
        <w:t>.</w:t>
      </w:r>
      <w:r w:rsidRPr="00AB7253">
        <w:t xml:space="preserve"> </w:t>
      </w:r>
      <w:r>
        <w:t xml:space="preserve">If we are not satisfied that the </w:t>
      </w:r>
      <w:r w:rsidRPr="00AB7253">
        <w:t>proposal co</w:t>
      </w:r>
      <w:r>
        <w:t>mplies</w:t>
      </w:r>
      <w:r w:rsidRPr="00AB7253">
        <w:t xml:space="preserve"> with the </w:t>
      </w:r>
      <w:r>
        <w:t>opex</w:t>
      </w:r>
      <w:r w:rsidRPr="00AB7253">
        <w:t xml:space="preserve"> criteria </w:t>
      </w:r>
      <w:r>
        <w:t>we use our alternative opex estimate as a</w:t>
      </w:r>
      <w:r w:rsidRPr="00AB7253">
        <w:t xml:space="preserve"> substitute. </w:t>
      </w:r>
    </w:p>
    <w:p w:rsidR="00AB583D" w:rsidRDefault="00AB583D" w:rsidP="00AB583D">
      <w:r w:rsidRPr="00AB7253">
        <w:t xml:space="preserve">Our estimate is unlikely to exactly match the service provider's forecast because the service provider may adopt </w:t>
      </w:r>
      <w:r>
        <w:t>a different</w:t>
      </w:r>
      <w:r w:rsidRPr="00AB7253">
        <w:t xml:space="preserve"> forecasting method</w:t>
      </w:r>
      <w:r>
        <w:t xml:space="preserve"> to us</w:t>
      </w:r>
      <w:r w:rsidRPr="00AB7253">
        <w:t>. However, if the service provider's inputs and assumptions are reasonable, its method should produce a forecast consistent with our estimate. Accordingly, part of our approach is to assess the service provider's forecasting method</w:t>
      </w:r>
      <w:r>
        <w:t xml:space="preserve"> as well as the inputs and assumptions it used to form its opex forecast</w:t>
      </w:r>
      <w:r w:rsidRPr="00AB7253">
        <w:t>.</w:t>
      </w:r>
    </w:p>
    <w:p w:rsidR="00AB583D" w:rsidRDefault="00AB583D" w:rsidP="00AB583D">
      <w:pPr>
        <w:pStyle w:val="Heading3"/>
      </w:pPr>
      <w:bookmarkStart w:id="20" w:name="_Toc404169610"/>
      <w:bookmarkStart w:id="21" w:name="_Toc404612264"/>
      <w:bookmarkStart w:id="22" w:name="_Toc433726939"/>
      <w:bookmarkStart w:id="23" w:name="_Toc436042325"/>
      <w:r>
        <w:t>Building an alternative estimate of total forecast opex</w:t>
      </w:r>
      <w:bookmarkEnd w:id="20"/>
      <w:bookmarkEnd w:id="21"/>
      <w:bookmarkEnd w:id="22"/>
      <w:bookmarkEnd w:id="23"/>
    </w:p>
    <w:p w:rsidR="00AB583D" w:rsidRPr="00AC472A" w:rsidRDefault="00AB583D" w:rsidP="00AB583D">
      <w:r w:rsidRPr="00AC472A">
        <w:t>Our approach to forming an alternative estimate of opex involves five key steps:</w:t>
      </w:r>
    </w:p>
    <w:p w:rsidR="00AB583D" w:rsidRDefault="00AB583D" w:rsidP="00AB583D">
      <w:pPr>
        <w:pStyle w:val="ListNumber"/>
        <w:numPr>
          <w:ilvl w:val="1"/>
          <w:numId w:val="24"/>
        </w:numPr>
        <w:spacing w:before="0" w:after="200" w:line="288" w:lineRule="auto"/>
        <w:jc w:val="both"/>
      </w:pPr>
      <w:r>
        <w:t xml:space="preserve">We typically use the service provider's actual opex in a single year as the starting point for our assessment. While categories of opex can vary from year to year, total opex is relatively </w:t>
      </w:r>
      <w:r w:rsidRPr="006372D7">
        <w:rPr>
          <w:rStyle w:val="AERbody"/>
        </w:rPr>
        <w:t>recurrent.</w:t>
      </w:r>
      <w:r w:rsidR="002D3EE5">
        <w:rPr>
          <w:rStyle w:val="FootnoteReference"/>
        </w:rPr>
        <w:footnoteReference w:id="5"/>
      </w:r>
      <w:r>
        <w:t xml:space="preserve"> </w:t>
      </w:r>
    </w:p>
    <w:p w:rsidR="00AB583D" w:rsidRDefault="00AB583D" w:rsidP="00AB583D">
      <w:pPr>
        <w:pStyle w:val="ListNumber"/>
        <w:numPr>
          <w:ilvl w:val="1"/>
          <w:numId w:val="24"/>
        </w:numPr>
        <w:spacing w:before="0" w:after="200" w:line="288" w:lineRule="auto"/>
        <w:jc w:val="both"/>
      </w:pPr>
      <w:r>
        <w:t>We assess whether opex in that base year</w:t>
      </w:r>
      <w:r w:rsidR="00FA19AC">
        <w:t xml:space="preserve"> complies with</w:t>
      </w:r>
      <w:r>
        <w:t xml:space="preserve"> the opex criteria. If necessary, we make an adjustment to the base year expenditure to ensure that it</w:t>
      </w:r>
      <w:r w:rsidR="00FA19AC">
        <w:t xml:space="preserve"> complies with</w:t>
      </w:r>
      <w:r>
        <w:t xml:space="preserve"> the opex criteria. </w:t>
      </w:r>
    </w:p>
    <w:p w:rsidR="00AB583D" w:rsidRDefault="00AB583D" w:rsidP="00AB583D">
      <w:pPr>
        <w:pStyle w:val="ListNumber"/>
        <w:numPr>
          <w:ilvl w:val="1"/>
          <w:numId w:val="24"/>
        </w:numPr>
        <w:spacing w:before="0" w:after="200" w:line="288" w:lineRule="auto"/>
        <w:jc w:val="both"/>
      </w:pPr>
      <w:r>
        <w:t xml:space="preserve">As opex tends to change over time due to price changes, output and productivity, we trend the adjusted base year expenditure forward over the access arrangement period to take account of these changes. We refer to this as the rate of change. </w:t>
      </w:r>
    </w:p>
    <w:p w:rsidR="00AB583D" w:rsidRDefault="00AB583D" w:rsidP="00AB583D">
      <w:pPr>
        <w:pStyle w:val="ListNumber"/>
        <w:numPr>
          <w:ilvl w:val="1"/>
          <w:numId w:val="24"/>
        </w:numPr>
        <w:spacing w:before="0" w:after="200" w:line="288" w:lineRule="auto"/>
        <w:jc w:val="both"/>
      </w:pPr>
      <w:r>
        <w:t xml:space="preserve">We then adjust the base year expenditure to account for any other forecast cost changes over the forthcoming </w:t>
      </w:r>
      <w:r w:rsidR="00A1689E">
        <w:t>access arrangement</w:t>
      </w:r>
      <w:r>
        <w:t xml:space="preserve"> period that would meet the opex criteria. This may be due to new regulatory obligations and efficient capex/opex trade-offs. We call these step changes.</w:t>
      </w:r>
    </w:p>
    <w:p w:rsidR="00AB583D" w:rsidRDefault="00AB583D" w:rsidP="00AB583D">
      <w:pPr>
        <w:pStyle w:val="ListNumber"/>
        <w:numPr>
          <w:ilvl w:val="1"/>
          <w:numId w:val="24"/>
        </w:numPr>
        <w:spacing w:before="0" w:after="200" w:line="288" w:lineRule="auto"/>
        <w:jc w:val="both"/>
      </w:pPr>
      <w:r>
        <w:lastRenderedPageBreak/>
        <w:t>Finally we add any additional opex components which have not been forecast using this approach. For instance, we forecast debt raising costs based on the costs incurred by a benchmark efficient service provider. If we removed a category of opex from the selected base year, we will need to consider what additional opex is needed for this category of opex in forecasting total opex.</w:t>
      </w:r>
    </w:p>
    <w:p w:rsidR="00AB583D" w:rsidRPr="00AC472A" w:rsidRDefault="00AB583D" w:rsidP="00AB583D">
      <w:r>
        <w:t>We have used this general approach in our past decisions. It is a well-regarded top</w:t>
      </w:r>
      <w:r>
        <w:noBreakHyphen/>
      </w:r>
      <w:r w:rsidRPr="00AC472A">
        <w:t>down forecasting model for regulatory purposes that ha</w:t>
      </w:r>
      <w:r>
        <w:t>s</w:t>
      </w:r>
      <w:r w:rsidRPr="00AC472A">
        <w:t xml:space="preserve"> been employed by a number of Australian regulators over the last </w:t>
      </w:r>
      <w:r>
        <w:t xml:space="preserve">fifteen </w:t>
      </w:r>
      <w:r w:rsidRPr="00AC472A">
        <w:t xml:space="preserve">years. </w:t>
      </w:r>
      <w:r>
        <w:t>W</w:t>
      </w:r>
      <w:r w:rsidRPr="00AC472A">
        <w:t xml:space="preserve">e have sometimes referred to it as the base-step-trend method in our past </w:t>
      </w:r>
      <w:r>
        <w:t>regulatory decisions.</w:t>
      </w:r>
      <w:r w:rsidR="002D3EE5" w:rsidRPr="002D3EE5">
        <w:rPr>
          <w:rStyle w:val="FootnoteReference"/>
        </w:rPr>
        <w:t xml:space="preserve"> </w:t>
      </w:r>
      <w:r w:rsidR="002D3EE5">
        <w:rPr>
          <w:rStyle w:val="FootnoteReference"/>
        </w:rPr>
        <w:footnoteReference w:id="6"/>
      </w:r>
    </w:p>
    <w:p w:rsidR="00AB583D" w:rsidRPr="00AC472A" w:rsidRDefault="00AB583D" w:rsidP="00AB583D">
      <w:r>
        <w:t>W</w:t>
      </w:r>
      <w:r w:rsidRPr="00AC472A">
        <w:t xml:space="preserve">e set out more detail about each of the steps we follow in </w:t>
      </w:r>
      <w:r>
        <w:t>constructing our forecast</w:t>
      </w:r>
      <w:r w:rsidRPr="0038459A">
        <w:t xml:space="preserve"> </w:t>
      </w:r>
      <w:r w:rsidRPr="00AC472A">
        <w:t>below</w:t>
      </w:r>
      <w:r>
        <w:t>.</w:t>
      </w:r>
    </w:p>
    <w:p w:rsidR="00AB583D" w:rsidRDefault="00AB583D" w:rsidP="00AB583D">
      <w:pPr>
        <w:pStyle w:val="HeadingBoldItalic"/>
        <w:keepNext/>
        <w:numPr>
          <w:ilvl w:val="0"/>
          <w:numId w:val="24"/>
        </w:numPr>
        <w:tabs>
          <w:tab w:val="clear" w:pos="1021"/>
        </w:tabs>
        <w:spacing w:before="120" w:after="120" w:line="288" w:lineRule="auto"/>
        <w:outlineLvl w:val="9"/>
      </w:pPr>
      <w:r>
        <w:t>Step 1 – Starting point - base year expenditure</w:t>
      </w:r>
    </w:p>
    <w:p w:rsidR="00AB583D" w:rsidRPr="006372D7" w:rsidRDefault="00AB583D" w:rsidP="00AB583D">
      <w:pPr>
        <w:rPr>
          <w:rStyle w:val="AERbody"/>
        </w:rPr>
      </w:pPr>
      <w:r w:rsidRPr="006372D7">
        <w:rPr>
          <w:rStyle w:val="AERbody"/>
        </w:rPr>
        <w:t>When we choose the base year, we aim to use a year that is most representative of efficient, recurrent expenditure. Typically, we start with the service provider's revealed expenditure in t</w:t>
      </w:r>
      <w:r w:rsidRPr="009F2670">
        <w:t>he second last year of the current access arrangement period. This is because this year</w:t>
      </w:r>
      <w:r>
        <w:rPr>
          <w:rStyle w:val="AERbody"/>
        </w:rPr>
        <w:t xml:space="preserve"> </w:t>
      </w:r>
      <w:r w:rsidRPr="006372D7">
        <w:rPr>
          <w:rStyle w:val="AERbody"/>
        </w:rPr>
        <w:t xml:space="preserve">usually </w:t>
      </w:r>
      <w:r>
        <w:rPr>
          <w:rStyle w:val="AERbody"/>
        </w:rPr>
        <w:t xml:space="preserve">has </w:t>
      </w:r>
      <w:r w:rsidRPr="006372D7">
        <w:rPr>
          <w:rStyle w:val="AERbody"/>
        </w:rPr>
        <w:t xml:space="preserve">the most recent </w:t>
      </w:r>
      <w:r w:rsidR="00CE3308">
        <w:rPr>
          <w:rStyle w:val="AERbody"/>
        </w:rPr>
        <w:t xml:space="preserve">data </w:t>
      </w:r>
      <w:r w:rsidRPr="006372D7">
        <w:rPr>
          <w:rStyle w:val="AERbody"/>
        </w:rPr>
        <w:t xml:space="preserve">available at the time we conduct our assessment. Accordingly, to the extent expenditure drivers change over time, it is likely to best reflect the forecast period. However, if this year does not represent efficient, recurrent costs, we may consider another year. </w:t>
      </w:r>
    </w:p>
    <w:p w:rsidR="00AB583D" w:rsidRDefault="00AB583D" w:rsidP="00AB583D">
      <w:r>
        <w:t>In choosing a base year, we also make a decision as to whether any categories of opex incurred in the base year should be removed. For instance</w:t>
      </w:r>
      <w:r w:rsidR="00381A2C">
        <w:t>:</w:t>
      </w:r>
      <w:r>
        <w:t xml:space="preserve"> </w:t>
      </w:r>
    </w:p>
    <w:p w:rsidR="00AB583D" w:rsidRDefault="00AB583D" w:rsidP="00AB583D">
      <w:pPr>
        <w:pStyle w:val="ListParagraph"/>
        <w:numPr>
          <w:ilvl w:val="0"/>
          <w:numId w:val="29"/>
        </w:numPr>
      </w:pPr>
      <w:r>
        <w:t xml:space="preserve">If a </w:t>
      </w:r>
      <w:r w:rsidRPr="009F2670">
        <w:t>material</w:t>
      </w:r>
      <w:r>
        <w:t xml:space="preserve"> cost was incurred in the base year that is unrepresentative of a service provider's future opex we may remove it from the base year in undertaking our assessment. </w:t>
      </w:r>
    </w:p>
    <w:p w:rsidR="00AB583D" w:rsidRDefault="00AB583D" w:rsidP="00AB583D">
      <w:pPr>
        <w:pStyle w:val="ListParagraph"/>
        <w:numPr>
          <w:ilvl w:val="0"/>
          <w:numId w:val="29"/>
        </w:numPr>
      </w:pPr>
      <w:r>
        <w:t>Rather than use all opex 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AB583D" w:rsidRPr="003E550F" w:rsidRDefault="00AB583D" w:rsidP="00AB583D">
      <w:pPr>
        <w:pStyle w:val="HeadingBoldItalic"/>
        <w:keepNext/>
        <w:numPr>
          <w:ilvl w:val="0"/>
          <w:numId w:val="24"/>
        </w:numPr>
        <w:tabs>
          <w:tab w:val="clear" w:pos="1021"/>
        </w:tabs>
        <w:spacing w:before="120" w:after="120" w:line="288" w:lineRule="auto"/>
        <w:outlineLvl w:val="9"/>
      </w:pPr>
      <w:r>
        <w:t>Step 2 - Assessing base year expenditure</w:t>
      </w:r>
    </w:p>
    <w:p w:rsidR="00AB583D" w:rsidRPr="00AB7253" w:rsidRDefault="00AB583D" w:rsidP="00AB583D">
      <w:r w:rsidRPr="00AB7253">
        <w:t xml:space="preserve">Regardless of the base year we choose, we must test the </w:t>
      </w:r>
      <w:r>
        <w:t>view</w:t>
      </w:r>
      <w:r w:rsidRPr="00AB7253">
        <w:t xml:space="preserve"> that 'revealed expenditure' is the appropriate starting point because the service provider's actual expenditure may not be efficient. We will use </w:t>
      </w:r>
      <w:r>
        <w:t xml:space="preserve">all </w:t>
      </w:r>
      <w:r w:rsidRPr="00AB7253">
        <w:t xml:space="preserve">techniques available to us to do this. If we determine that a service provider's revealed expenditure is not efficient, we will not use it as our starting point for our estimate of total forecast opex. </w:t>
      </w:r>
    </w:p>
    <w:p w:rsidR="00AB583D" w:rsidRDefault="00AB583D" w:rsidP="00AB583D">
      <w:pPr>
        <w:pStyle w:val="HeadingBoldItalic"/>
        <w:keepNext/>
        <w:numPr>
          <w:ilvl w:val="0"/>
          <w:numId w:val="24"/>
        </w:numPr>
        <w:tabs>
          <w:tab w:val="clear" w:pos="1021"/>
        </w:tabs>
        <w:spacing w:before="120" w:after="120" w:line="288" w:lineRule="auto"/>
        <w:outlineLvl w:val="9"/>
      </w:pPr>
      <w:r>
        <w:lastRenderedPageBreak/>
        <w:t>Step 3 - Rate of change</w:t>
      </w:r>
    </w:p>
    <w:p w:rsidR="00AB583D" w:rsidRPr="00D80519" w:rsidRDefault="00AB583D" w:rsidP="00AB583D">
      <w:r w:rsidRPr="00D80519">
        <w:t xml:space="preserve">Once we have </w:t>
      </w:r>
      <w:r>
        <w:t xml:space="preserve">chosen an </w:t>
      </w:r>
      <w:r w:rsidRPr="00D80519">
        <w:t>efficient</w:t>
      </w:r>
      <w:r>
        <w:t xml:space="preserve"> starting point, we apply an annual escalator to take account of the likely ongoing changes to efficient opex over the forecast </w:t>
      </w:r>
      <w:r w:rsidR="00A1689E">
        <w:t>access arrangement</w:t>
      </w:r>
      <w:r>
        <w:t xml:space="preserve"> period. E</w:t>
      </w:r>
      <w:r w:rsidRPr="00D80519">
        <w:t xml:space="preserve">fficient opex in </w:t>
      </w:r>
      <w:r>
        <w:t>the</w:t>
      </w:r>
      <w:r w:rsidRPr="00D80519">
        <w:t xml:space="preserve"> </w:t>
      </w:r>
      <w:r>
        <w:t xml:space="preserve">forecast </w:t>
      </w:r>
      <w:r w:rsidR="00A1689E">
        <w:t>access arrangement</w:t>
      </w:r>
      <w:r w:rsidR="00A1689E" w:rsidRPr="00D80519">
        <w:t xml:space="preserve"> </w:t>
      </w:r>
      <w:r w:rsidRPr="00D80519">
        <w:t xml:space="preserve">period could </w:t>
      </w:r>
      <w:r>
        <w:t xml:space="preserve">reasonably </w:t>
      </w:r>
      <w:r w:rsidRPr="00D80519">
        <w:t xml:space="preserve">differ from the </w:t>
      </w:r>
      <w:r>
        <w:t>efficient starting point due to changes in</w:t>
      </w:r>
      <w:r w:rsidRPr="00D80519">
        <w:t xml:space="preserve">: </w:t>
      </w:r>
    </w:p>
    <w:p w:rsidR="00AB583D" w:rsidRPr="009F2670" w:rsidRDefault="00AB583D" w:rsidP="00AB583D">
      <w:pPr>
        <w:pStyle w:val="AERbulletlistfirststyle"/>
        <w:ind w:left="360" w:hanging="360"/>
      </w:pPr>
      <w:r>
        <w:t>prices</w:t>
      </w:r>
    </w:p>
    <w:p w:rsidR="00AB583D" w:rsidRPr="009F2670" w:rsidRDefault="00AB583D" w:rsidP="00AB583D">
      <w:pPr>
        <w:pStyle w:val="AERbulletlistfirststyle"/>
        <w:ind w:left="360" w:hanging="360"/>
      </w:pPr>
      <w:r w:rsidRPr="009F2670">
        <w:t xml:space="preserve">outputs </w:t>
      </w:r>
    </w:p>
    <w:p w:rsidR="00AB583D" w:rsidRPr="009F2670" w:rsidRDefault="00AB583D" w:rsidP="00AB583D">
      <w:pPr>
        <w:pStyle w:val="AERbulletlistfirststyle"/>
        <w:ind w:left="360" w:hanging="360"/>
      </w:pPr>
      <w:r w:rsidRPr="009F2670">
        <w:t xml:space="preserve">productivity. </w:t>
      </w:r>
    </w:p>
    <w:p w:rsidR="00AB583D" w:rsidRDefault="00AB583D" w:rsidP="00AB583D">
      <w:r>
        <w:t>We</w:t>
      </w:r>
      <w:r w:rsidRPr="003F6334">
        <w:t xml:space="preserve"> </w:t>
      </w:r>
      <w:r>
        <w:t>estimate</w:t>
      </w:r>
      <w:r w:rsidRPr="003F6334">
        <w:t xml:space="preserve"> the c</w:t>
      </w:r>
      <w:r w:rsidRPr="009F2670">
        <w:t>h</w:t>
      </w:r>
      <w:r w:rsidRPr="003F6334">
        <w:t xml:space="preserve">ange by adding </w:t>
      </w:r>
      <w:r>
        <w:t xml:space="preserve">expected </w:t>
      </w:r>
      <w:r w:rsidRPr="003F6334">
        <w:t xml:space="preserve">changes in prices </w:t>
      </w:r>
      <w:r>
        <w:t>(such as the cost of labour and materials) and outputs (such as changes in customer numbers and demand for gas). We then incorporate</w:t>
      </w:r>
      <w:r w:rsidRPr="003F6334">
        <w:t xml:space="preserve"> </w:t>
      </w:r>
      <w:r>
        <w:t xml:space="preserve">reasonable estimates of </w:t>
      </w:r>
      <w:r w:rsidRPr="003F6334">
        <w:t>changes in productivity</w:t>
      </w:r>
      <w:r>
        <w:t xml:space="preserve">. </w:t>
      </w:r>
    </w:p>
    <w:p w:rsidR="00AB583D" w:rsidRDefault="00AB583D" w:rsidP="00AB583D">
      <w:pPr>
        <w:pStyle w:val="HeadingBoldItalic"/>
        <w:keepNext/>
        <w:numPr>
          <w:ilvl w:val="0"/>
          <w:numId w:val="24"/>
        </w:numPr>
        <w:tabs>
          <w:tab w:val="clear" w:pos="1021"/>
        </w:tabs>
        <w:spacing w:before="120" w:after="120" w:line="288" w:lineRule="auto"/>
        <w:outlineLvl w:val="9"/>
      </w:pPr>
      <w:r>
        <w:t>Step 4 - Step changes</w:t>
      </w:r>
    </w:p>
    <w:p w:rsidR="00AB583D" w:rsidRDefault="00AB583D" w:rsidP="00AB583D">
      <w:r>
        <w:t xml:space="preserve">We then consider if there is other opex needed to </w:t>
      </w:r>
      <w:r w:rsidR="00FA19AC">
        <w:t xml:space="preserve">comply with </w:t>
      </w:r>
      <w:r>
        <w:t>the opex</w:t>
      </w:r>
      <w:r w:rsidR="00FA19AC">
        <w:t xml:space="preserve"> criteria</w:t>
      </w:r>
      <w:r>
        <w:t xml:space="preserve"> </w:t>
      </w:r>
      <w:r w:rsidR="00A8075F">
        <w:t>i</w:t>
      </w:r>
      <w:r>
        <w:t xml:space="preserve">n the forecast period. We refer to these as ‘step changes’. Step changes may be for new, changed or removed obligations for the service provider in the upcoming </w:t>
      </w:r>
      <w:r w:rsidR="00A1689E">
        <w:t>access arrangement</w:t>
      </w:r>
      <w:r>
        <w:t xml:space="preserve"> period, if there are efficient capex/opex trade-offs or other reasons why a service provider would need different opex to that incurred in the base year. We will typically </w:t>
      </w:r>
      <w:r w:rsidR="00CE3308">
        <w:t>accept proposals</w:t>
      </w:r>
      <w:r>
        <w:t xml:space="preserve"> for step changes only if efficient base year opex and the rate of change in opex of an efficient service provider do not already </w:t>
      </w:r>
      <w:r w:rsidR="00CE3308">
        <w:t xml:space="preserve">include </w:t>
      </w:r>
      <w:r>
        <w:t>the proposed costs.</w:t>
      </w:r>
    </w:p>
    <w:p w:rsidR="00AB583D" w:rsidRDefault="00AB583D" w:rsidP="00AB583D">
      <w:pPr>
        <w:pStyle w:val="HeadingBoldItalic"/>
        <w:keepNext/>
        <w:numPr>
          <w:ilvl w:val="0"/>
          <w:numId w:val="24"/>
        </w:numPr>
        <w:tabs>
          <w:tab w:val="clear" w:pos="1021"/>
        </w:tabs>
        <w:spacing w:before="120" w:after="120" w:line="288" w:lineRule="auto"/>
        <w:outlineLvl w:val="9"/>
      </w:pPr>
      <w:r>
        <w:t>Step 5 - Other costs that are not included in the base year</w:t>
      </w:r>
    </w:p>
    <w:p w:rsidR="00AB583D" w:rsidRDefault="00AB583D" w:rsidP="00AB583D">
      <w:r>
        <w:t>In our final step, we make any further adjustments we need for our opex forecast to</w:t>
      </w:r>
      <w:r w:rsidR="00D23160">
        <w:t xml:space="preserve"> comply with</w:t>
      </w:r>
      <w:r>
        <w:t xml:space="preserve"> the opex</w:t>
      </w:r>
      <w:r w:rsidR="00D23160">
        <w:t xml:space="preserve"> criteria</w:t>
      </w:r>
      <w:r>
        <w:t xml:space="preserve">. For instance, our approach is to forecast debt raising costs based on a benchmarking approach rather than a service provider’s actual costs. This is to be consistent </w:t>
      </w:r>
      <w:r w:rsidR="00CE3308">
        <w:t xml:space="preserve">with </w:t>
      </w:r>
      <w:r>
        <w:t>the forecast cost of debt in the rate of return building block.</w:t>
      </w:r>
      <w:r w:rsidRPr="00692BC4">
        <w:t xml:space="preserve"> </w:t>
      </w:r>
    </w:p>
    <w:p w:rsidR="00AB583D" w:rsidRDefault="00AB583D" w:rsidP="00AB583D">
      <w:r>
        <w:t>After applying these five steps, we arrive at our total opex forecast.</w:t>
      </w:r>
    </w:p>
    <w:p w:rsidR="00AB583D" w:rsidRPr="00AB7253" w:rsidRDefault="00AB583D" w:rsidP="00AB583D">
      <w:pPr>
        <w:pStyle w:val="HeadingBoldItalic"/>
        <w:keepNext/>
        <w:numPr>
          <w:ilvl w:val="0"/>
          <w:numId w:val="24"/>
        </w:numPr>
        <w:tabs>
          <w:tab w:val="clear" w:pos="1021"/>
        </w:tabs>
        <w:spacing w:before="120" w:after="120" w:line="288" w:lineRule="auto"/>
        <w:outlineLvl w:val="9"/>
      </w:pPr>
      <w:r>
        <w:t>Comparing our opex forecast to the service provider's opex forecast</w:t>
      </w:r>
    </w:p>
    <w:p w:rsidR="005E17AB" w:rsidRPr="0064662A" w:rsidRDefault="00AB583D" w:rsidP="00AB583D">
      <w:r w:rsidRPr="00AB7253">
        <w:t>If a service provider's total forecast opex is sufficiently different to our estimate</w:t>
      </w:r>
      <w:r>
        <w:t xml:space="preserve">, we will examine the reasons for the difference. If </w:t>
      </w:r>
      <w:r w:rsidRPr="00AB7253">
        <w:t xml:space="preserve">there is no satisfactory explanation for this difference, we may form the view that the service provider's forecast </w:t>
      </w:r>
      <w:r>
        <w:t>does not comply</w:t>
      </w:r>
      <w:r w:rsidRPr="00AB7253">
        <w:t xml:space="preserve"> with the ope</w:t>
      </w:r>
      <w:r>
        <w:t>x criteria</w:t>
      </w:r>
      <w:r w:rsidRPr="00AB7253">
        <w:t>. Conversely, if our estimate demonstrates that the service provider's forecast is consistent with the opex</w:t>
      </w:r>
      <w:r>
        <w:t xml:space="preserve"> criteria</w:t>
      </w:r>
      <w:r w:rsidRPr="00AB7253">
        <w:t xml:space="preserve">, we will accept the forecast. Whether or not we accept a service provider's forecast, we will provide the reasons for our </w:t>
      </w:r>
      <w:r w:rsidRPr="009F2670">
        <w:rPr>
          <w:rStyle w:val="AERbody"/>
        </w:rPr>
        <w:t>decision</w:t>
      </w:r>
      <w:r w:rsidRPr="00AB7253">
        <w:t>.</w:t>
      </w:r>
    </w:p>
    <w:p w:rsidR="00AB583D" w:rsidRDefault="00AB583D" w:rsidP="00AB583D">
      <w:pPr>
        <w:pStyle w:val="Heading3"/>
      </w:pPr>
      <w:bookmarkStart w:id="24" w:name="_Toc433726940"/>
      <w:bookmarkStart w:id="25" w:name="_Toc436042326"/>
      <w:r>
        <w:t>Interrelationships</w:t>
      </w:r>
      <w:bookmarkEnd w:id="24"/>
      <w:bookmarkEnd w:id="25"/>
    </w:p>
    <w:p w:rsidR="00AB583D" w:rsidRDefault="00AB583D" w:rsidP="00AB583D">
      <w:r>
        <w:t>We note there are interrelationships between our opex forecast and other elements of ActewAGL’s proposal. In assessing ActewAGL’s total forecast opex we took into account these components, including:</w:t>
      </w:r>
    </w:p>
    <w:p w:rsidR="00AB583D" w:rsidRDefault="00AB583D" w:rsidP="00AB583D">
      <w:pPr>
        <w:pStyle w:val="AERbulletlistfirststyle"/>
        <w:ind w:left="360" w:hanging="360"/>
      </w:pPr>
      <w:r>
        <w:lastRenderedPageBreak/>
        <w:t xml:space="preserve">the impact of forecast demand on output growth in the rate of change </w:t>
      </w:r>
      <w:r w:rsidR="0048621A">
        <w:t>(Attachment 13)</w:t>
      </w:r>
    </w:p>
    <w:p w:rsidR="003D042D" w:rsidRDefault="003D042D" w:rsidP="00AB583D">
      <w:pPr>
        <w:pStyle w:val="AERbulletlistfirststyle"/>
        <w:ind w:left="360" w:hanging="360"/>
      </w:pPr>
      <w:r>
        <w:t>the interrelationship between capex and opex in considering proposed step changes to opex</w:t>
      </w:r>
    </w:p>
    <w:p w:rsidR="00AB583D" w:rsidRDefault="00AB583D" w:rsidP="00AB583D">
      <w:pPr>
        <w:pStyle w:val="AERbulletlistfirststyle"/>
        <w:ind w:left="360" w:hanging="360"/>
      </w:pPr>
      <w:r>
        <w:t xml:space="preserve">the impact of ActewAGL’s capitalisation </w:t>
      </w:r>
      <w:r w:rsidRPr="009F2670">
        <w:t>policy</w:t>
      </w:r>
      <w:r>
        <w:t xml:space="preserve"> on capex and opex</w:t>
      </w:r>
      <w:r w:rsidR="0048621A">
        <w:t xml:space="preserve"> (Attachment 6)</w:t>
      </w:r>
    </w:p>
    <w:p w:rsidR="00A8075F" w:rsidRDefault="00AB583D" w:rsidP="00AB583D">
      <w:pPr>
        <w:pStyle w:val="AERbulletlistfirststyle"/>
      </w:pPr>
      <w:r w:rsidRPr="0000425F">
        <w:t xml:space="preserve">the operation of the </w:t>
      </w:r>
      <w:r>
        <w:t>efficiency carryover mechanism</w:t>
      </w:r>
      <w:r w:rsidRPr="0000425F">
        <w:t xml:space="preserve"> in the </w:t>
      </w:r>
      <w:r>
        <w:t xml:space="preserve">current </w:t>
      </w:r>
      <w:r w:rsidRPr="0000425F">
        <w:t xml:space="preserve">period, which </w:t>
      </w:r>
      <w:r>
        <w:t xml:space="preserve">provided </w:t>
      </w:r>
      <w:r w:rsidRPr="0000425F">
        <w:t>an incentive to reduce opex throughout the period</w:t>
      </w:r>
      <w:r w:rsidR="0048621A">
        <w:t xml:space="preserve"> (Attachment 9)</w:t>
      </w:r>
      <w:r w:rsidR="0048621A" w:rsidRPr="0000425F" w:rsidDel="0048621A">
        <w:t xml:space="preserve"> </w:t>
      </w:r>
      <w:r w:rsidRPr="0000425F">
        <w:t xml:space="preserve"> </w:t>
      </w:r>
    </w:p>
    <w:p w:rsidR="003D042D" w:rsidRDefault="00A8075F" w:rsidP="00AB583D">
      <w:pPr>
        <w:pStyle w:val="AERbulletlistfirststyle"/>
      </w:pPr>
      <w:r w:rsidRPr="0000425F">
        <w:t>the approach to the assessing rate of return, to ensure there is consistency between our determination of debt raising costs and the rate of return building block</w:t>
      </w:r>
      <w:r>
        <w:t xml:space="preserve"> </w:t>
      </w:r>
      <w:r w:rsidR="0048621A">
        <w:t>(Attachment 3)</w:t>
      </w:r>
      <w:r w:rsidR="0048621A" w:rsidDel="0048621A">
        <w:t xml:space="preserve"> </w:t>
      </w:r>
    </w:p>
    <w:p w:rsidR="0048621A" w:rsidRPr="005F22B4" w:rsidRDefault="0048621A" w:rsidP="00AB583D">
      <w:pPr>
        <w:pStyle w:val="AERbulletlistfirststyle"/>
      </w:pPr>
      <w:r>
        <w:t xml:space="preserve">The concerns of stakeholders identified in the course of ActewAGL's consultation with consumers and in submissions to the AER. </w:t>
      </w:r>
    </w:p>
    <w:p w:rsidR="009A5113" w:rsidRDefault="009A5113" w:rsidP="009A5113">
      <w:pPr>
        <w:pStyle w:val="Heading2"/>
      </w:pPr>
      <w:bookmarkStart w:id="26" w:name="_Toc408404324"/>
      <w:bookmarkStart w:id="27" w:name="_Toc436042327"/>
      <w:r w:rsidRPr="0074565D">
        <w:t xml:space="preserve">Reasons for </w:t>
      </w:r>
      <w:r w:rsidR="00A42141">
        <w:t>draft</w:t>
      </w:r>
      <w:r w:rsidR="00651CB2" w:rsidRPr="0074565D">
        <w:t xml:space="preserve"> </w:t>
      </w:r>
      <w:r w:rsidRPr="0074565D">
        <w:t>decision</w:t>
      </w:r>
      <w:bookmarkEnd w:id="26"/>
      <w:bookmarkEnd w:id="27"/>
      <w:r w:rsidRPr="0074565D">
        <w:t xml:space="preserve"> </w:t>
      </w:r>
    </w:p>
    <w:p w:rsidR="00A82660" w:rsidRDefault="003D042D" w:rsidP="00A82660">
      <w:r w:rsidRPr="00E23DF1">
        <w:t>We assessed A</w:t>
      </w:r>
      <w:r>
        <w:t>ctewAGL</w:t>
      </w:r>
      <w:r w:rsidRPr="00E23DF1">
        <w:t xml:space="preserve">'s opex forecast against our alternative estimate of opex. </w:t>
      </w:r>
      <w:r w:rsidR="00A82660">
        <w:t>We are not satisfied ActewAGL’s forecast opex for the 2016–21 period complies with the opex criteria</w:t>
      </w:r>
      <w:r w:rsidR="00381A2C">
        <w:t xml:space="preserve"> and the criteria for forecasts and estimates</w:t>
      </w:r>
      <w:r w:rsidR="00A82660">
        <w:t xml:space="preserve">. </w:t>
      </w:r>
    </w:p>
    <w:p w:rsidR="00A82660" w:rsidRDefault="003D042D" w:rsidP="00A82660">
      <w:r>
        <w:t xml:space="preserve">The </w:t>
      </w:r>
      <w:r w:rsidR="00A82660">
        <w:t xml:space="preserve">key areas of difference </w:t>
      </w:r>
      <w:r>
        <w:t xml:space="preserve">between our forecast and </w:t>
      </w:r>
      <w:r w:rsidR="00E355EF">
        <w:t>ActewAGL's</w:t>
      </w:r>
      <w:r>
        <w:t xml:space="preserve"> forecast of total opex are:</w:t>
      </w:r>
    </w:p>
    <w:p w:rsidR="00A82660" w:rsidRDefault="00A82660" w:rsidP="00A82660">
      <w:pPr>
        <w:pStyle w:val="AERbulletlistfirststyle"/>
        <w:ind w:left="360" w:hanging="360"/>
      </w:pPr>
      <w:r>
        <w:t>Adjusted base year expenditure – We do not consider the proposed base year expenditure of $16.9 million ($</w:t>
      </w:r>
      <w:r w:rsidR="0061228D">
        <w:t>2015–16</w:t>
      </w:r>
      <w:r>
        <w:t xml:space="preserve">) to be a reasonable estimate for the purpose of forecasting opex for the </w:t>
      </w:r>
      <w:r w:rsidR="00907691">
        <w:t>2016–21 period</w:t>
      </w:r>
      <w:r>
        <w:t xml:space="preserve">. We </w:t>
      </w:r>
      <w:r w:rsidR="004D5692">
        <w:t xml:space="preserve">have not </w:t>
      </w:r>
      <w:r>
        <w:t>remove</w:t>
      </w:r>
      <w:r w:rsidR="004D5692">
        <w:t>d</w:t>
      </w:r>
      <w:r>
        <w:t xml:space="preserve"> from </w:t>
      </w:r>
      <w:r w:rsidR="004D5692">
        <w:t xml:space="preserve">the </w:t>
      </w:r>
      <w:r>
        <w:t xml:space="preserve">revealed base opex a number of </w:t>
      </w:r>
      <w:r w:rsidR="00C051ED">
        <w:t xml:space="preserve">cost categories that </w:t>
      </w:r>
      <w:r>
        <w:t>ActewAGL</w:t>
      </w:r>
      <w:r w:rsidR="003D042D">
        <w:t xml:space="preserve"> </w:t>
      </w:r>
      <w:r w:rsidR="00DC532E">
        <w:t xml:space="preserve">proposed </w:t>
      </w:r>
      <w:r w:rsidR="00C051ED">
        <w:t xml:space="preserve">to </w:t>
      </w:r>
      <w:r>
        <w:t>specific</w:t>
      </w:r>
      <w:r w:rsidR="00C051ED">
        <w:t>ally</w:t>
      </w:r>
      <w:r>
        <w:t xml:space="preserve"> forecast. This results in a higher than proposed</w:t>
      </w:r>
      <w:r w:rsidR="004C31B1">
        <w:t xml:space="preserve"> efficient base year opex of $18.6</w:t>
      </w:r>
      <w:r w:rsidR="007C2A4B">
        <w:t> </w:t>
      </w:r>
      <w:r>
        <w:t>million ($</w:t>
      </w:r>
      <w:r w:rsidR="0061228D">
        <w:t>2015–16</w:t>
      </w:r>
      <w:r>
        <w:t xml:space="preserve">) </w:t>
      </w:r>
      <w:r w:rsidR="008D14E8">
        <w:t xml:space="preserve">that we have applied for </w:t>
      </w:r>
      <w:r>
        <w:t xml:space="preserve">the purpose of forecasting total opex. We provide details on our </w:t>
      </w:r>
      <w:r w:rsidR="008D14E8">
        <w:t xml:space="preserve">assessment of base year opex </w:t>
      </w:r>
      <w:r>
        <w:t>in section</w:t>
      </w:r>
      <w:r w:rsidR="0048621A">
        <w:t> </w:t>
      </w:r>
      <w:r w:rsidR="00F66FBF">
        <w:fldChar w:fldCharType="begin"/>
      </w:r>
      <w:r w:rsidR="00F66FBF">
        <w:instrText xml:space="preserve"> REF _Ref435109224 \r \h </w:instrText>
      </w:r>
      <w:r w:rsidR="00F66FBF">
        <w:fldChar w:fldCharType="separate"/>
      </w:r>
      <w:r w:rsidR="0012045F">
        <w:t>7.4.2</w:t>
      </w:r>
      <w:r w:rsidR="00F66FBF">
        <w:fldChar w:fldCharType="end"/>
      </w:r>
      <w:r w:rsidR="00F66FBF">
        <w:t>.</w:t>
      </w:r>
      <w:r>
        <w:t xml:space="preserve"> </w:t>
      </w:r>
    </w:p>
    <w:p w:rsidR="00A82660" w:rsidRDefault="00A82660" w:rsidP="00A82660">
      <w:pPr>
        <w:pStyle w:val="AERbulletlistfirststyle"/>
        <w:ind w:left="360" w:hanging="360"/>
      </w:pPr>
      <w:r>
        <w:t xml:space="preserve">Rate of change - We consider ActewAGL’s forecast price changes, output growth and productivity changes are not the best estimate </w:t>
      </w:r>
      <w:r w:rsidR="00221353">
        <w:t xml:space="preserve">of the rate of change </w:t>
      </w:r>
      <w:r>
        <w:t>in the circumstances</w:t>
      </w:r>
      <w:r w:rsidR="00221353">
        <w:t xml:space="preserve">. As such, we consider that including </w:t>
      </w:r>
      <w:r w:rsidR="003D042D">
        <w:t xml:space="preserve">them </w:t>
      </w:r>
      <w:r>
        <w:t xml:space="preserve">in our forecast of total opex would not lead to a forecast of opex that complies with the opex criteria. </w:t>
      </w:r>
      <w:r w:rsidR="00221353">
        <w:t xml:space="preserve">We have applied a rate of change that takes into account </w:t>
      </w:r>
      <w:r w:rsidR="00042EAF">
        <w:t xml:space="preserve">an averaging approach to </w:t>
      </w:r>
      <w:r w:rsidR="00221353">
        <w:t xml:space="preserve">labour cost forecasts, the impact of output growth and productivity changes. </w:t>
      </w:r>
      <w:r>
        <w:t xml:space="preserve">We explain </w:t>
      </w:r>
      <w:r w:rsidR="004D5692">
        <w:t xml:space="preserve">our </w:t>
      </w:r>
      <w:r>
        <w:t xml:space="preserve">reasons in section </w:t>
      </w:r>
      <w:r w:rsidR="00F66FBF">
        <w:fldChar w:fldCharType="begin"/>
      </w:r>
      <w:r w:rsidR="00F66FBF">
        <w:instrText xml:space="preserve"> REF _Ref435109243 \r \h </w:instrText>
      </w:r>
      <w:r w:rsidR="00F66FBF">
        <w:fldChar w:fldCharType="separate"/>
      </w:r>
      <w:r w:rsidR="0012045F">
        <w:t>7.4.3</w:t>
      </w:r>
      <w:r w:rsidR="00F66FBF">
        <w:fldChar w:fldCharType="end"/>
      </w:r>
      <w:r>
        <w:t>.</w:t>
      </w:r>
    </w:p>
    <w:p w:rsidR="00A82660" w:rsidRDefault="00A82660" w:rsidP="00A82660">
      <w:pPr>
        <w:pStyle w:val="AERbulletlistfirststyle"/>
        <w:ind w:left="360" w:hanging="360"/>
      </w:pPr>
      <w:r>
        <w:t>Step changes –</w:t>
      </w:r>
      <w:r w:rsidR="00DC532E">
        <w:t xml:space="preserve"> We accepted the following step changes </w:t>
      </w:r>
      <w:r w:rsidR="000F0BCE">
        <w:t>as part of our alternative forecast of total opex</w:t>
      </w:r>
      <w:r w:rsidR="009A162D">
        <w:t xml:space="preserve">: </w:t>
      </w:r>
    </w:p>
    <w:p w:rsidR="009A162D" w:rsidRDefault="009A162D" w:rsidP="00A82660">
      <w:pPr>
        <w:pStyle w:val="AERbulletlistsecondstyle"/>
      </w:pPr>
      <w:r>
        <w:t>National Energy Customer Framework (NECF)</w:t>
      </w:r>
    </w:p>
    <w:p w:rsidR="009A162D" w:rsidRDefault="009A162D" w:rsidP="00A82660">
      <w:pPr>
        <w:pStyle w:val="AERbulletlistsecondstyle"/>
      </w:pPr>
      <w:r>
        <w:t>National Business to Business harmonisation (B2B)</w:t>
      </w:r>
    </w:p>
    <w:p w:rsidR="009A162D" w:rsidRDefault="009A162D" w:rsidP="00A82660">
      <w:pPr>
        <w:pStyle w:val="AERbulletlistsecondstyle"/>
      </w:pPr>
      <w:r>
        <w:t xml:space="preserve">IT asset utilisation fee </w:t>
      </w:r>
      <w:r w:rsidR="00DC532E">
        <w:t>(</w:t>
      </w:r>
      <w:r>
        <w:t xml:space="preserve">NECF and B2B </w:t>
      </w:r>
      <w:r w:rsidR="00DC532E">
        <w:t xml:space="preserve">components </w:t>
      </w:r>
      <w:r>
        <w:t>only</w:t>
      </w:r>
      <w:r w:rsidR="00DC532E">
        <w:t>)</w:t>
      </w:r>
    </w:p>
    <w:p w:rsidR="00A82660" w:rsidRDefault="009A162D">
      <w:pPr>
        <w:pStyle w:val="AERbulletlistsecondstyle"/>
      </w:pPr>
      <w:r>
        <w:t>Changes in capitalisation policy.</w:t>
      </w:r>
    </w:p>
    <w:p w:rsidR="00A82660" w:rsidRDefault="000F0BCE" w:rsidP="00A1689E">
      <w:pPr>
        <w:pStyle w:val="AERbulletlistsecondstyle"/>
        <w:numPr>
          <w:ilvl w:val="0"/>
          <w:numId w:val="0"/>
        </w:numPr>
        <w:ind w:left="641"/>
      </w:pPr>
      <w:r>
        <w:lastRenderedPageBreak/>
        <w:t>We</w:t>
      </w:r>
      <w:r w:rsidR="00A82660">
        <w:t xml:space="preserve"> are not satisfied that </w:t>
      </w:r>
      <w:r w:rsidR="00705644">
        <w:t>the other step changes</w:t>
      </w:r>
      <w:r>
        <w:t xml:space="preserve"> proposed by ActewAGL</w:t>
      </w:r>
      <w:r w:rsidR="00705644">
        <w:t xml:space="preserve"> are necessary in order for our forecast of total opex to be consistent with the opex criteria. </w:t>
      </w:r>
      <w:r w:rsidR="00F0601F">
        <w:t xml:space="preserve">Our assessment of step changes </w:t>
      </w:r>
      <w:r w:rsidR="00221353">
        <w:t>is</w:t>
      </w:r>
      <w:r w:rsidR="00F0601F">
        <w:t xml:space="preserve"> in </w:t>
      </w:r>
      <w:r w:rsidR="00A82660">
        <w:t xml:space="preserve">section </w:t>
      </w:r>
      <w:r w:rsidR="00F66FBF">
        <w:fldChar w:fldCharType="begin"/>
      </w:r>
      <w:r w:rsidR="00F66FBF">
        <w:instrText xml:space="preserve"> REF _Ref435109260 \r \h </w:instrText>
      </w:r>
      <w:r w:rsidR="00F66FBF">
        <w:fldChar w:fldCharType="separate"/>
      </w:r>
      <w:r w:rsidR="0012045F">
        <w:t>7.4.4</w:t>
      </w:r>
      <w:r w:rsidR="00F66FBF">
        <w:fldChar w:fldCharType="end"/>
      </w:r>
      <w:r w:rsidR="00A8075F">
        <w:t xml:space="preserve">. </w:t>
      </w:r>
    </w:p>
    <w:p w:rsidR="00A82660" w:rsidRDefault="00A82660" w:rsidP="00A82660">
      <w:pPr>
        <w:pStyle w:val="AERbulletlistfirststyle"/>
        <w:ind w:left="360" w:hanging="360"/>
      </w:pPr>
      <w:r>
        <w:t xml:space="preserve">Category specific </w:t>
      </w:r>
      <w:r w:rsidRPr="00D10AF2">
        <w:t>forecasts</w:t>
      </w:r>
      <w:r>
        <w:t xml:space="preserve"> – </w:t>
      </w:r>
      <w:r w:rsidR="00DC532E">
        <w:t>We accepted specific forecasts for the following categories of costs</w:t>
      </w:r>
      <w:r w:rsidR="000F0BCE">
        <w:t xml:space="preserve"> as part of our alternative forecast of total opex</w:t>
      </w:r>
      <w:r>
        <w:t xml:space="preserve">: </w:t>
      </w:r>
    </w:p>
    <w:p w:rsidR="00A82660" w:rsidRDefault="000D7C1D" w:rsidP="00A82660">
      <w:pPr>
        <w:pStyle w:val="AERbulletlistsecondstyle"/>
      </w:pPr>
      <w:r>
        <w:t>Utilities Network Facilities Tax</w:t>
      </w:r>
    </w:p>
    <w:p w:rsidR="00A82660" w:rsidRPr="00DE0362" w:rsidRDefault="000D7C1D" w:rsidP="00A82660">
      <w:pPr>
        <w:pStyle w:val="AERbulletlistsecondstyle"/>
      </w:pPr>
      <w:r>
        <w:t>Energy Industry Levy</w:t>
      </w:r>
    </w:p>
    <w:p w:rsidR="00A82660" w:rsidRPr="00DE0362" w:rsidRDefault="000D7C1D" w:rsidP="00A82660">
      <w:pPr>
        <w:pStyle w:val="AERbulletlistsecondstyle"/>
      </w:pPr>
      <w:r>
        <w:t>Unaccounted for gas.</w:t>
      </w:r>
    </w:p>
    <w:p w:rsidR="008942D6" w:rsidRDefault="000F0BCE" w:rsidP="004C31B1">
      <w:pPr>
        <w:pStyle w:val="AERbulletlistsecondstyle"/>
        <w:numPr>
          <w:ilvl w:val="0"/>
          <w:numId w:val="0"/>
        </w:numPr>
        <w:ind w:left="340"/>
      </w:pPr>
      <w:r>
        <w:t xml:space="preserve">We do not </w:t>
      </w:r>
      <w:r w:rsidR="003D042D">
        <w:t>agree</w:t>
      </w:r>
      <w:r>
        <w:t xml:space="preserve"> the other category specific forecasts proposed by ActewAGL </w:t>
      </w:r>
      <w:r w:rsidR="003D042D">
        <w:t xml:space="preserve">result in a total opex </w:t>
      </w:r>
      <w:r>
        <w:t xml:space="preserve">forecast that </w:t>
      </w:r>
      <w:r w:rsidR="003D042D">
        <w:t>complies</w:t>
      </w:r>
      <w:r>
        <w:t xml:space="preserve"> with the opex criteria. Our </w:t>
      </w:r>
      <w:r w:rsidR="00F0601F">
        <w:t xml:space="preserve">assessment of category specific forecasts is contained in </w:t>
      </w:r>
      <w:r w:rsidR="00A82660">
        <w:t xml:space="preserve">section </w:t>
      </w:r>
      <w:r w:rsidR="00F66FBF">
        <w:fldChar w:fldCharType="begin"/>
      </w:r>
      <w:r w:rsidR="00F66FBF">
        <w:instrText xml:space="preserve"> REF _Ref435109274 \r \h </w:instrText>
      </w:r>
      <w:r w:rsidR="00F66FBF">
        <w:fldChar w:fldCharType="separate"/>
      </w:r>
      <w:r w:rsidR="0012045F">
        <w:t>7.4.5</w:t>
      </w:r>
      <w:r w:rsidR="00F66FBF">
        <w:fldChar w:fldCharType="end"/>
      </w:r>
      <w:r w:rsidR="00A82660">
        <w:t>.</w:t>
      </w:r>
    </w:p>
    <w:p w:rsidR="00042EAF" w:rsidRDefault="00042EAF" w:rsidP="004C31B1">
      <w:pPr>
        <w:pStyle w:val="AERbulletlistsecondstyle"/>
        <w:numPr>
          <w:ilvl w:val="0"/>
          <w:numId w:val="0"/>
        </w:numPr>
        <w:ind w:left="340"/>
      </w:pPr>
      <w:r>
        <w:t xml:space="preserve">We discuss each element of ActewAGL's opex proposal in the following section. </w:t>
      </w:r>
    </w:p>
    <w:p w:rsidR="00DF4A50" w:rsidRDefault="00DF4A50" w:rsidP="00DF4A50">
      <w:pPr>
        <w:pStyle w:val="Heading3"/>
      </w:pPr>
      <w:bookmarkStart w:id="28" w:name="_Toc436042328"/>
      <w:r>
        <w:t>Forecasting method</w:t>
      </w:r>
      <w:bookmarkEnd w:id="28"/>
    </w:p>
    <w:p w:rsidR="00CA3960" w:rsidRDefault="00DF4A50" w:rsidP="00DD58AF">
      <w:r>
        <w:t xml:space="preserve">We have assessed ActewAGL’s forecasting method to examine whether this explains why its forecast opex is higher than our alternative opex. </w:t>
      </w:r>
      <w:r w:rsidR="00A824AF">
        <w:t>As ActewAGL forecast</w:t>
      </w:r>
      <w:r w:rsidR="000176BA">
        <w:t xml:space="preserve"> its</w:t>
      </w:r>
      <w:r w:rsidR="00A824AF">
        <w:t xml:space="preserve"> opex using a base-step-trend approach </w:t>
      </w:r>
      <w:r w:rsidR="000176BA">
        <w:t>that is consistent with our proposed method</w:t>
      </w:r>
      <w:r w:rsidR="00A824AF">
        <w:t>, w</w:t>
      </w:r>
      <w:r>
        <w:t>e are satisfied that ActewAGL’s forecasting method is not the key driver of the difference</w:t>
      </w:r>
      <w:r w:rsidR="00A824AF">
        <w:t>.</w:t>
      </w:r>
      <w:r>
        <w:t xml:space="preserve"> </w:t>
      </w:r>
      <w:r w:rsidR="00A824AF">
        <w:t>R</w:t>
      </w:r>
      <w:r>
        <w:t>ather</w:t>
      </w:r>
      <w:r w:rsidR="00A824AF">
        <w:t>, the difference in the forecasts result from the different</w:t>
      </w:r>
      <w:r>
        <w:t xml:space="preserve"> inputs and assumptions </w:t>
      </w:r>
      <w:r w:rsidR="000176BA">
        <w:t>applied in the</w:t>
      </w:r>
      <w:r>
        <w:t xml:space="preserve"> forecasting method. </w:t>
      </w:r>
    </w:p>
    <w:p w:rsidR="00333120" w:rsidRDefault="0042119B" w:rsidP="00333120">
      <w:pPr>
        <w:pStyle w:val="Heading3"/>
      </w:pPr>
      <w:bookmarkStart w:id="29" w:name="_Ref435091574"/>
      <w:bookmarkStart w:id="30" w:name="_Ref435091595"/>
      <w:bookmarkStart w:id="31" w:name="_Ref435091598"/>
      <w:bookmarkStart w:id="32" w:name="_Ref435108872"/>
      <w:bookmarkStart w:id="33" w:name="_Ref435108885"/>
      <w:bookmarkStart w:id="34" w:name="_Ref435109224"/>
      <w:bookmarkStart w:id="35" w:name="_Ref435453393"/>
      <w:bookmarkStart w:id="36" w:name="_Toc436042329"/>
      <w:r>
        <w:t>Base year opex</w:t>
      </w:r>
      <w:bookmarkEnd w:id="29"/>
      <w:bookmarkEnd w:id="30"/>
      <w:bookmarkEnd w:id="31"/>
      <w:bookmarkEnd w:id="32"/>
      <w:bookmarkEnd w:id="33"/>
      <w:bookmarkEnd w:id="34"/>
      <w:bookmarkEnd w:id="35"/>
      <w:bookmarkEnd w:id="36"/>
    </w:p>
    <w:p w:rsidR="00333120" w:rsidRDefault="00333120" w:rsidP="00333120">
      <w:r>
        <w:t>We are not satisfied that ActewAGL’s proposed base opex of $16.9 million ($</w:t>
      </w:r>
      <w:r w:rsidR="0061228D">
        <w:t>2015–16</w:t>
      </w:r>
      <w:r>
        <w:t xml:space="preserve">) is a reasonable estimate for the purpose of forecasting opex for the </w:t>
      </w:r>
      <w:r w:rsidR="00907691">
        <w:t>2016–21 period</w:t>
      </w:r>
      <w:r>
        <w:t xml:space="preserve">. </w:t>
      </w:r>
    </w:p>
    <w:p w:rsidR="00562E88" w:rsidRDefault="00333120" w:rsidP="00333120">
      <w:r>
        <w:t xml:space="preserve">We consider a number of category specific costs that ActewAGL removed from </w:t>
      </w:r>
      <w:r w:rsidR="00042EAF">
        <w:t xml:space="preserve">the </w:t>
      </w:r>
      <w:r>
        <w:t xml:space="preserve">base </w:t>
      </w:r>
      <w:r w:rsidR="00042EAF">
        <w:t xml:space="preserve">year </w:t>
      </w:r>
      <w:r>
        <w:t>opex should remain</w:t>
      </w:r>
      <w:r w:rsidR="00042EAF">
        <w:t xml:space="preserve"> in the base year opex</w:t>
      </w:r>
      <w:r>
        <w:t xml:space="preserve">. </w:t>
      </w:r>
    </w:p>
    <w:p w:rsidR="00333120" w:rsidRDefault="00333120" w:rsidP="00333120">
      <w:r>
        <w:t>Our estimate of 2014</w:t>
      </w:r>
      <w:r w:rsidR="000A4DD1">
        <w:t>–</w:t>
      </w:r>
      <w:r>
        <w:t>15 base opex is $</w:t>
      </w:r>
      <w:r w:rsidR="004C31B1">
        <w:t>18.6</w:t>
      </w:r>
      <w:r>
        <w:t> million ($</w:t>
      </w:r>
      <w:r w:rsidR="0061228D">
        <w:t>2015–16</w:t>
      </w:r>
      <w:r>
        <w:t xml:space="preserve">). We consider this a better estimate for base year expenditure for the purpose of forecasting opex for </w:t>
      </w:r>
      <w:r w:rsidR="0061228D">
        <w:t>2015–16</w:t>
      </w:r>
      <w:r>
        <w:t xml:space="preserve"> and the </w:t>
      </w:r>
      <w:r w:rsidR="00907691">
        <w:t>2016–21 period</w:t>
      </w:r>
      <w:r>
        <w:t xml:space="preserve"> than the </w:t>
      </w:r>
      <w:r w:rsidR="007E0AC2">
        <w:t xml:space="preserve">amount of </w:t>
      </w:r>
      <w:r>
        <w:t xml:space="preserve">$16.9 million used by ActewAGL. </w:t>
      </w:r>
    </w:p>
    <w:p w:rsidR="00333120" w:rsidRPr="004802D3" w:rsidRDefault="00333120" w:rsidP="00333120">
      <w:pPr>
        <w:pStyle w:val="HeadingBoldItalic"/>
        <w:keepNext/>
        <w:tabs>
          <w:tab w:val="clear" w:pos="1021"/>
        </w:tabs>
        <w:spacing w:before="120" w:after="120" w:line="288" w:lineRule="auto"/>
        <w:outlineLvl w:val="9"/>
      </w:pPr>
      <w:r>
        <w:t xml:space="preserve">Is base opex efficient? </w:t>
      </w:r>
    </w:p>
    <w:p w:rsidR="00B92283" w:rsidRPr="00C04E2B" w:rsidRDefault="00B92283" w:rsidP="00B92283">
      <w:r>
        <w:t xml:space="preserve">We </w:t>
      </w:r>
      <w:r w:rsidR="00CE3308">
        <w:t xml:space="preserve">have not been presented with </w:t>
      </w:r>
      <w:r>
        <w:t>evidence to suggest that ActewAGL’s revealed costs in its proposed base year are materially inefficient.</w:t>
      </w:r>
    </w:p>
    <w:p w:rsidR="00DD58AF" w:rsidRDefault="00333120" w:rsidP="00B92283">
      <w:r>
        <w:t xml:space="preserve">In our assessment of ActewAGL’s efficient opex, we rely primarily </w:t>
      </w:r>
      <w:r w:rsidRPr="00115B55">
        <w:t xml:space="preserve">on analysis of </w:t>
      </w:r>
      <w:r>
        <w:t xml:space="preserve">ActewAGL’s historical trends, </w:t>
      </w:r>
      <w:r w:rsidRPr="00115B55">
        <w:t xml:space="preserve">the </w:t>
      </w:r>
      <w:r>
        <w:t xml:space="preserve">information submitted by ActewAGL as part of </w:t>
      </w:r>
      <w:r w:rsidR="00B92283">
        <w:t>its</w:t>
      </w:r>
      <w:r>
        <w:t xml:space="preserve"> regulatory proposal as well as the </w:t>
      </w:r>
      <w:r w:rsidR="00B92283">
        <w:t xml:space="preserve">relevant </w:t>
      </w:r>
      <w:r>
        <w:t xml:space="preserve">information submitted by other gas network service providers in recent </w:t>
      </w:r>
      <w:r w:rsidRPr="00115B55">
        <w:t>regulatory proposal</w:t>
      </w:r>
      <w:r>
        <w:t>s.</w:t>
      </w:r>
    </w:p>
    <w:p w:rsidR="00B92283" w:rsidRDefault="00B92283" w:rsidP="00B92283">
      <w:r>
        <w:t xml:space="preserve">Relevant to our opex assessment of the base year is that ActewAGL was subject to an opex efficiency incentive </w:t>
      </w:r>
      <w:r w:rsidR="000A4DD1">
        <w:t>mechanism in the 2010–</w:t>
      </w:r>
      <w:r>
        <w:t xml:space="preserve">15 period. Typically, where a service provider is subject to an incentive mechanism we are satisfied that there is a </w:t>
      </w:r>
      <w:r>
        <w:lastRenderedPageBreak/>
        <w:t>continuous incentive for a service provider to make efficiency gains and it does not have an incentive to increase its opex in the proposed base year. ActewAGL achieved improve</w:t>
      </w:r>
      <w:r w:rsidR="000A4DD1">
        <w:t>ments in its opex over the 2010–</w:t>
      </w:r>
      <w:r>
        <w:t xml:space="preserve">15 period, suggesting it was </w:t>
      </w:r>
      <w:r w:rsidRPr="00175AFE">
        <w:t>responding to the cost minimisation incentives in the framework</w:t>
      </w:r>
      <w:r>
        <w:t xml:space="preserve"> and that its revealed costs are a reasonable basis for determining its forecast costs.</w:t>
      </w:r>
      <w:r>
        <w:rPr>
          <w:rStyle w:val="FootnoteReference"/>
        </w:rPr>
        <w:footnoteReference w:id="7"/>
      </w:r>
      <w:r>
        <w:t xml:space="preserve"> </w:t>
      </w:r>
    </w:p>
    <w:p w:rsidR="00DD58AF" w:rsidRPr="00C04E2B" w:rsidRDefault="00333120" w:rsidP="00333120">
      <w:r>
        <w:t xml:space="preserve">We did not conduct our own economic benchmarking or category analysis to assess the efficiency of ActewAGL’s revealed base year. This is because we do not have </w:t>
      </w:r>
      <w:r w:rsidRPr="00115B55">
        <w:t xml:space="preserve">standardised data across gas </w:t>
      </w:r>
      <w:r>
        <w:t>network service providers (where we do for electricity network service providers).</w:t>
      </w:r>
      <w:r w:rsidR="00326A67">
        <w:rPr>
          <w:rStyle w:val="FootnoteReference"/>
        </w:rPr>
        <w:footnoteReference w:id="8"/>
      </w:r>
      <w:r>
        <w:t xml:space="preserve"> </w:t>
      </w:r>
    </w:p>
    <w:p w:rsidR="00562E88" w:rsidRDefault="00562E88" w:rsidP="00562E88">
      <w:pPr>
        <w:pStyle w:val="HeadingBoldItalic"/>
        <w:keepNext/>
        <w:numPr>
          <w:ilvl w:val="0"/>
          <w:numId w:val="24"/>
        </w:numPr>
        <w:tabs>
          <w:tab w:val="clear" w:pos="1021"/>
        </w:tabs>
        <w:spacing w:before="120" w:after="120" w:line="288" w:lineRule="auto"/>
        <w:outlineLvl w:val="9"/>
      </w:pPr>
      <w:r>
        <w:t>Which year should be used as the base year?</w:t>
      </w:r>
    </w:p>
    <w:p w:rsidR="00562E88" w:rsidRDefault="00562E88" w:rsidP="00562E88">
      <w:r>
        <w:t>ActewAGL selected 2014</w:t>
      </w:r>
      <w:r w:rsidR="000A4DD1">
        <w:t>–</w:t>
      </w:r>
      <w:r>
        <w:t xml:space="preserve">15 as the base year for forecasting opex for the </w:t>
      </w:r>
      <w:r w:rsidR="00907691">
        <w:t>2016–21 period</w:t>
      </w:r>
      <w:r>
        <w:t xml:space="preserve">. </w:t>
      </w:r>
      <w:r w:rsidR="00D07FC3">
        <w:t>T</w:t>
      </w:r>
      <w:r>
        <w:t xml:space="preserve">otal opex in the proposed base year is </w:t>
      </w:r>
      <w:r w:rsidR="00D07FC3">
        <w:t xml:space="preserve">estimated </w:t>
      </w:r>
      <w:r w:rsidR="007104CB">
        <w:t xml:space="preserve">by ActewAGL </w:t>
      </w:r>
      <w:r w:rsidR="00D07FC3">
        <w:t xml:space="preserve">to be </w:t>
      </w:r>
      <w:r>
        <w:t>$27.6 million ($</w:t>
      </w:r>
      <w:r w:rsidR="0061228D">
        <w:t>2015–16</w:t>
      </w:r>
      <w:r>
        <w:t>) without adjustments and excluding debt raising costs.</w:t>
      </w:r>
      <w:r w:rsidR="00D07FC3">
        <w:rPr>
          <w:rStyle w:val="FootnoteReference"/>
        </w:rPr>
        <w:footnoteReference w:id="9"/>
      </w:r>
    </w:p>
    <w:p w:rsidR="00B92283" w:rsidRDefault="00562E88" w:rsidP="00562E88">
      <w:r>
        <w:t>We consider that ActewAGL’s base year is a reasonable base year for forecasting opex as:</w:t>
      </w:r>
    </w:p>
    <w:p w:rsidR="00562E88" w:rsidRDefault="00562E88" w:rsidP="00562E88">
      <w:pPr>
        <w:pStyle w:val="AERbulletlistfirststyle"/>
        <w:numPr>
          <w:ilvl w:val="0"/>
          <w:numId w:val="30"/>
        </w:numPr>
        <w:spacing w:before="0" w:after="200" w:line="288" w:lineRule="auto"/>
        <w:ind w:left="357" w:hanging="357"/>
        <w:jc w:val="both"/>
      </w:pPr>
      <w:r>
        <w:t>Most opex is recurrent in nature and actual cost</w:t>
      </w:r>
      <w:r w:rsidR="007230B3">
        <w:t>s</w:t>
      </w:r>
      <w:r w:rsidR="000A4DD1">
        <w:t xml:space="preserve"> incurred in 2014–</w:t>
      </w:r>
      <w:r>
        <w:t xml:space="preserve">15 </w:t>
      </w:r>
      <w:r w:rsidR="007230B3">
        <w:t xml:space="preserve">are </w:t>
      </w:r>
      <w:r>
        <w:t xml:space="preserve">likely to be a good indicator </w:t>
      </w:r>
      <w:r w:rsidR="008D1592">
        <w:t xml:space="preserve">of </w:t>
      </w:r>
      <w:r>
        <w:t xml:space="preserve">efficient costs in the </w:t>
      </w:r>
      <w:r w:rsidR="00907691">
        <w:t>2016–21 period</w:t>
      </w:r>
      <w:r>
        <w:t>, particularly given the operation of an efficiency carryover mechanism in the current period.</w:t>
      </w:r>
    </w:p>
    <w:p w:rsidR="00562E88" w:rsidRDefault="000A4DD1" w:rsidP="00562E88">
      <w:pPr>
        <w:pStyle w:val="AERbulletlistfirststyle"/>
        <w:numPr>
          <w:ilvl w:val="0"/>
          <w:numId w:val="30"/>
        </w:numPr>
        <w:spacing w:before="0" w:after="200" w:line="288" w:lineRule="auto"/>
        <w:ind w:left="357" w:hanging="357"/>
        <w:jc w:val="both"/>
      </w:pPr>
      <w:r>
        <w:t>2014–</w:t>
      </w:r>
      <w:r w:rsidR="00562E88">
        <w:t>15 is the latest year for which actual audited data is available.</w:t>
      </w:r>
      <w:r w:rsidR="00562E88">
        <w:rPr>
          <w:rStyle w:val="FootnoteReference"/>
        </w:rPr>
        <w:footnoteReference w:id="10"/>
      </w:r>
      <w:r w:rsidR="00562E88">
        <w:t xml:space="preserve"> To the extent that cost driver</w:t>
      </w:r>
      <w:r>
        <w:t>s do not change over time, 2014–</w:t>
      </w:r>
      <w:r w:rsidR="00562E88">
        <w:t>15 is likely to best reflect expenditure in the forecast period.</w:t>
      </w:r>
    </w:p>
    <w:p w:rsidR="00562E88" w:rsidRDefault="00562E88" w:rsidP="00562E88">
      <w:pPr>
        <w:pStyle w:val="AERbulletlistfirststyle"/>
        <w:numPr>
          <w:ilvl w:val="0"/>
          <w:numId w:val="30"/>
        </w:numPr>
        <w:spacing w:before="0" w:after="200" w:line="288" w:lineRule="auto"/>
        <w:ind w:left="357" w:hanging="357"/>
        <w:jc w:val="both"/>
      </w:pPr>
      <w:r>
        <w:t>ActewAGL’s opex is re</w:t>
      </w:r>
      <w:r w:rsidR="000A4DD1">
        <w:t>latively stable across the 2010–</w:t>
      </w:r>
      <w:r>
        <w:t>15 access arrangement period. While there is a</w:t>
      </w:r>
      <w:r w:rsidR="002B679E">
        <w:t>n</w:t>
      </w:r>
      <w:r>
        <w:t xml:space="preserve"> increase in 2014</w:t>
      </w:r>
      <w:r w:rsidR="000A4DD1">
        <w:t>–</w:t>
      </w:r>
      <w:r>
        <w:t>15 opex co</w:t>
      </w:r>
      <w:r w:rsidR="000A4DD1">
        <w:t>mpared to opex in 2013–14, the level of 2014–</w:t>
      </w:r>
      <w:r>
        <w:t>15 opex expenditure is consistent</w:t>
      </w:r>
      <w:r w:rsidRPr="00502201">
        <w:t xml:space="preserve"> </w:t>
      </w:r>
      <w:r>
        <w:t xml:space="preserve">when compared across the </w:t>
      </w:r>
      <w:r w:rsidR="000A4DD1">
        <w:t>2010–</w:t>
      </w:r>
      <w:r w:rsidR="007230B3">
        <w:t xml:space="preserve">15 </w:t>
      </w:r>
      <w:r>
        <w:t xml:space="preserve">period. </w:t>
      </w:r>
    </w:p>
    <w:p w:rsidR="00562E88" w:rsidRDefault="00562E88" w:rsidP="00562E88">
      <w:pPr>
        <w:pStyle w:val="HeadingBoldItalic"/>
        <w:keepNext/>
        <w:tabs>
          <w:tab w:val="clear" w:pos="1021"/>
        </w:tabs>
        <w:spacing w:before="120" w:after="120" w:line="288" w:lineRule="auto"/>
        <w:outlineLvl w:val="9"/>
      </w:pPr>
      <w:r>
        <w:t>What sh</w:t>
      </w:r>
      <w:r w:rsidR="00A06B43">
        <w:t>ould the base opex be?</w:t>
      </w:r>
    </w:p>
    <w:p w:rsidR="00562E88" w:rsidRDefault="00562E88" w:rsidP="00562E88">
      <w:r>
        <w:t xml:space="preserve">In our assessment methodology, when assessing the base year, we also make a decision as to whether any categories of opex incurred in the base year should be removed. </w:t>
      </w:r>
    </w:p>
    <w:p w:rsidR="00562E88" w:rsidRDefault="00562E88" w:rsidP="00562E88">
      <w:r>
        <w:lastRenderedPageBreak/>
        <w:t>ActewAGL proposed adjustments to its chosen ba</w:t>
      </w:r>
      <w:r w:rsidR="000A4DD1">
        <w:t>se year (2014–</w:t>
      </w:r>
      <w:r w:rsidR="008D1592">
        <w:t>15) to remove non</w:t>
      </w:r>
      <w:r w:rsidR="008D1592">
        <w:noBreakHyphen/>
      </w:r>
      <w:r>
        <w:t>recurrent costs and categories of opex that it forecast separately</w:t>
      </w:r>
      <w:r w:rsidRPr="005729F3">
        <w:t>.</w:t>
      </w:r>
      <w:r>
        <w:t xml:space="preserve"> </w:t>
      </w:r>
    </w:p>
    <w:p w:rsidR="00562E88" w:rsidRDefault="00562E88" w:rsidP="00A06B43">
      <w:r w:rsidRPr="005729F3">
        <w:t>The</w:t>
      </w:r>
      <w:r>
        <w:t xml:space="preserve"> two</w:t>
      </w:r>
      <w:r w:rsidRPr="005729F3">
        <w:t xml:space="preserve"> </w:t>
      </w:r>
      <w:r>
        <w:t xml:space="preserve">proposed </w:t>
      </w:r>
      <w:r w:rsidRPr="005729F3">
        <w:t xml:space="preserve">non-recurrent cost adjustments </w:t>
      </w:r>
      <w:r>
        <w:t>totalled $2.</w:t>
      </w:r>
      <w:r w:rsidR="009A7600">
        <w:t>5 million ($</w:t>
      </w:r>
      <w:r w:rsidR="0061228D">
        <w:t>2015–16</w:t>
      </w:r>
      <w:r w:rsidR="00A06B43">
        <w:t xml:space="preserve">) and included </w:t>
      </w:r>
      <w:r>
        <w:t>$2.</w:t>
      </w:r>
      <w:r w:rsidR="009A7600">
        <w:t>3 million ($</w:t>
      </w:r>
      <w:r w:rsidR="0061228D">
        <w:t>2015–16</w:t>
      </w:r>
      <w:r>
        <w:t>) to prepare</w:t>
      </w:r>
      <w:r w:rsidR="000A4DD1">
        <w:t xml:space="preserve"> the 2016–</w:t>
      </w:r>
      <w:r w:rsidR="00A06B43">
        <w:t xml:space="preserve">21 access arrangement and </w:t>
      </w:r>
      <w:r w:rsidR="008D7DA8">
        <w:t>$0.2</w:t>
      </w:r>
      <w:r w:rsidR="00A06B43">
        <w:t> </w:t>
      </w:r>
      <w:r w:rsidR="009A7600">
        <w:t>million ($</w:t>
      </w:r>
      <w:r w:rsidR="0061228D">
        <w:t>2015–16</w:t>
      </w:r>
      <w:r>
        <w:t>) for one-off adjustments and cost allocation</w:t>
      </w:r>
      <w:r w:rsidR="007230B3">
        <w:t xml:space="preserve"> </w:t>
      </w:r>
      <w:r>
        <w:t xml:space="preserve">changes in the Distribution Asset Management Services (DAMS) </w:t>
      </w:r>
      <w:r w:rsidR="007230B3">
        <w:t>a</w:t>
      </w:r>
      <w:r>
        <w:t>greement between ActewAGL and Jemena Asset Management (JAM).</w:t>
      </w:r>
      <w:r w:rsidR="006F7389">
        <w:rPr>
          <w:rStyle w:val="FootnoteReference"/>
        </w:rPr>
        <w:footnoteReference w:id="11"/>
      </w:r>
    </w:p>
    <w:p w:rsidR="00300CBC" w:rsidRDefault="00562E88" w:rsidP="0031258B">
      <w:r>
        <w:t>Like ActewAGL’s forecast, our alternat</w:t>
      </w:r>
      <w:r w:rsidR="0085158D">
        <w:t>ive assessment removed as a non</w:t>
      </w:r>
      <w:r w:rsidR="0085158D">
        <w:noBreakHyphen/>
        <w:t>recurrent cost the</w:t>
      </w:r>
      <w:r>
        <w:t xml:space="preserve"> one-off a</w:t>
      </w:r>
      <w:r w:rsidR="00C43337">
        <w:t>djustment</w:t>
      </w:r>
      <w:r w:rsidR="001D4B18">
        <w:t xml:space="preserve"> for </w:t>
      </w:r>
      <w:r w:rsidR="008100D6">
        <w:t>cost allocation changes</w:t>
      </w:r>
      <w:r>
        <w:t xml:space="preserve">. However, </w:t>
      </w:r>
      <w:r w:rsidR="00AA707F">
        <w:t xml:space="preserve">we </w:t>
      </w:r>
      <w:r w:rsidR="008100D6">
        <w:t xml:space="preserve">have </w:t>
      </w:r>
      <w:r w:rsidR="00870479">
        <w:t xml:space="preserve">included </w:t>
      </w:r>
      <w:r w:rsidR="008100D6">
        <w:t xml:space="preserve">a proportion (20 per cent) of the </w:t>
      </w:r>
      <w:r w:rsidR="000A4DD1">
        <w:t>2014–</w:t>
      </w:r>
      <w:r w:rsidR="00870479">
        <w:t>15</w:t>
      </w:r>
      <w:r w:rsidR="008100D6">
        <w:t xml:space="preserve"> </w:t>
      </w:r>
      <w:r>
        <w:t>costs</w:t>
      </w:r>
      <w:r w:rsidR="008100D6">
        <w:t xml:space="preserve"> </w:t>
      </w:r>
      <w:r>
        <w:t>associat</w:t>
      </w:r>
      <w:r w:rsidR="000A4DD1">
        <w:t>ed with preparation of the 2016–</w:t>
      </w:r>
      <w:r>
        <w:t>21 access arrangement</w:t>
      </w:r>
      <w:r w:rsidR="008100D6">
        <w:t xml:space="preserve"> proposal</w:t>
      </w:r>
      <w:r w:rsidR="00A77C4C">
        <w:t xml:space="preserve"> </w:t>
      </w:r>
      <w:r w:rsidR="008100D6">
        <w:t xml:space="preserve">in </w:t>
      </w:r>
      <w:r w:rsidR="00870479">
        <w:t>our assessment of efficient base year costs</w:t>
      </w:r>
      <w:r w:rsidR="00DC28A3">
        <w:t>.</w:t>
      </w:r>
      <w:r w:rsidR="000E3A78">
        <w:t xml:space="preserve"> </w:t>
      </w:r>
      <w:r w:rsidR="006115CA">
        <w:t xml:space="preserve">This is because we consider </w:t>
      </w:r>
      <w:r w:rsidR="00870479">
        <w:t xml:space="preserve">the addition of this amount </w:t>
      </w:r>
      <w:r w:rsidR="00D07FC3">
        <w:t>ensures compliance with the opex criteria.</w:t>
      </w:r>
    </w:p>
    <w:p w:rsidR="0031258B" w:rsidRDefault="0031258B" w:rsidP="0031258B">
      <w:r>
        <w:t xml:space="preserve">ActewAGL also proposed specific forecasts for a number of categories of opex, removing any costs associated with </w:t>
      </w:r>
      <w:r w:rsidR="00DD6325">
        <w:t>these items from the base year.</w:t>
      </w:r>
    </w:p>
    <w:p w:rsidR="00562E88" w:rsidRDefault="00562E88" w:rsidP="00562E88">
      <w:r>
        <w:t xml:space="preserve">We accept that </w:t>
      </w:r>
      <w:r w:rsidR="00D30BD1">
        <w:t>Utilities Network Facilities Tax</w:t>
      </w:r>
      <w:r>
        <w:t>, E</w:t>
      </w:r>
      <w:r w:rsidR="00D30BD1">
        <w:t>ner</w:t>
      </w:r>
      <w:r w:rsidR="0048621A">
        <w:t>g</w:t>
      </w:r>
      <w:r w:rsidR="00D30BD1">
        <w:t xml:space="preserve">y </w:t>
      </w:r>
      <w:r>
        <w:t>I</w:t>
      </w:r>
      <w:r w:rsidR="00D30BD1">
        <w:t xml:space="preserve">ndustry </w:t>
      </w:r>
      <w:r>
        <w:t>L</w:t>
      </w:r>
      <w:r w:rsidR="00D30BD1">
        <w:t>evy and unaccounted for gas</w:t>
      </w:r>
      <w:r>
        <w:t xml:space="preserve"> should be separately forecast and not included in base opex.</w:t>
      </w:r>
      <w:r w:rsidR="0085158D">
        <w:t xml:space="preserve"> </w:t>
      </w:r>
      <w:r w:rsidR="00D95ED5">
        <w:t>However w</w:t>
      </w:r>
      <w:r>
        <w:t>e do not agree</w:t>
      </w:r>
      <w:r w:rsidR="0085158D">
        <w:t xml:space="preserve"> that </w:t>
      </w:r>
      <w:r w:rsidRPr="00302E6B">
        <w:t>ancillary services, water</w:t>
      </w:r>
      <w:r>
        <w:t xml:space="preserve"> bath heater operations and insurance costs</w:t>
      </w:r>
      <w:r w:rsidR="0085158D">
        <w:t xml:space="preserve"> should be separately forecast</w:t>
      </w:r>
      <w:r>
        <w:t xml:space="preserve">. In our opex forecast, we include these </w:t>
      </w:r>
      <w:r w:rsidR="00D30BD1">
        <w:t>expenditures</w:t>
      </w:r>
      <w:r>
        <w:t xml:space="preserve"> in base opex.</w:t>
      </w:r>
      <w:r w:rsidR="004B3BA2">
        <w:t xml:space="preserve"> </w:t>
      </w:r>
      <w:r w:rsidR="00AA707F">
        <w:t xml:space="preserve">Our </w:t>
      </w:r>
      <w:r w:rsidR="00E63F05">
        <w:t>assessment of category specific forecasts is</w:t>
      </w:r>
      <w:r w:rsidR="004B3BA2">
        <w:t xml:space="preserve"> discussed in section </w:t>
      </w:r>
      <w:r w:rsidR="00D07FC3">
        <w:fldChar w:fldCharType="begin"/>
      </w:r>
      <w:r w:rsidR="00D07FC3">
        <w:instrText xml:space="preserve"> REF _Ref435095580 \n \h </w:instrText>
      </w:r>
      <w:r w:rsidR="00D07FC3">
        <w:fldChar w:fldCharType="separate"/>
      </w:r>
      <w:r w:rsidR="0012045F">
        <w:t>7.4.5</w:t>
      </w:r>
      <w:r w:rsidR="00D07FC3">
        <w:fldChar w:fldCharType="end"/>
      </w:r>
    </w:p>
    <w:p w:rsidR="00883D1C" w:rsidRDefault="00300CBC" w:rsidP="00562E88">
      <w:r>
        <w:t>We did not identify other non-recurrent opex in the base year data that we considered should be excluded or additional cost categories that we considered should be specifically forecast.</w:t>
      </w:r>
      <w:r w:rsidR="00883D1C">
        <w:t xml:space="preserve"> </w:t>
      </w:r>
    </w:p>
    <w:p w:rsidR="00D95ED5" w:rsidRDefault="000A4DD1" w:rsidP="00562E88">
      <w:r>
        <w:t>Our estimate of 2014–</w:t>
      </w:r>
      <w:r w:rsidR="00D95ED5">
        <w:t>15 base opex is $</w:t>
      </w:r>
      <w:r w:rsidR="004C31B1">
        <w:t>18.6</w:t>
      </w:r>
      <w:r w:rsidR="00D95ED5">
        <w:t> million ($</w:t>
      </w:r>
      <w:r w:rsidR="0061228D">
        <w:t>2015–16</w:t>
      </w:r>
      <w:r w:rsidR="00D95ED5">
        <w:t>).</w:t>
      </w:r>
      <w:r w:rsidR="00D95ED5" w:rsidRPr="00D95ED5">
        <w:t xml:space="preserve"> </w:t>
      </w:r>
    </w:p>
    <w:p w:rsidR="00235774" w:rsidRPr="00235774" w:rsidRDefault="00476884" w:rsidP="00235774">
      <w:pPr>
        <w:pStyle w:val="Heading3"/>
      </w:pPr>
      <w:bookmarkStart w:id="37" w:name="_Ref435109243"/>
      <w:bookmarkStart w:id="38" w:name="_Toc436042330"/>
      <w:r>
        <w:t>R</w:t>
      </w:r>
      <w:r w:rsidR="00235774">
        <w:t>ate of change</w:t>
      </w:r>
      <w:bookmarkEnd w:id="37"/>
      <w:bookmarkEnd w:id="38"/>
      <w:r w:rsidR="00235774">
        <w:t xml:space="preserve"> </w:t>
      </w:r>
    </w:p>
    <w:p w:rsidR="00A75004" w:rsidRDefault="00A75004" w:rsidP="00235774">
      <w:r>
        <w:t xml:space="preserve">Once we have </w:t>
      </w:r>
      <w:r w:rsidRPr="00574A1D">
        <w:t>determined the efficient base level of opex</w:t>
      </w:r>
      <w:r>
        <w:t xml:space="preserve">, </w:t>
      </w:r>
      <w:r w:rsidRPr="00574A1D">
        <w:t xml:space="preserve">we apply a forecast annual rate of change </w:t>
      </w:r>
      <w:r>
        <w:t xml:space="preserve">to </w:t>
      </w:r>
      <w:r w:rsidR="00C740FA">
        <w:t>account for efficient change</w:t>
      </w:r>
      <w:r w:rsidR="00DA503F">
        <w:t>s</w:t>
      </w:r>
      <w:r w:rsidR="00C740FA">
        <w:t xml:space="preserve"> </w:t>
      </w:r>
      <w:r w:rsidR="00984203">
        <w:t xml:space="preserve">in opex over time. </w:t>
      </w:r>
    </w:p>
    <w:p w:rsidR="0048621A" w:rsidRDefault="00235774" w:rsidP="00235774">
      <w:r>
        <w:t>I</w:t>
      </w:r>
      <w:r w:rsidRPr="00FE5A48">
        <w:t xml:space="preserve">n the </w:t>
      </w:r>
      <w:r w:rsidRPr="007B7632">
        <w:rPr>
          <w:rStyle w:val="AERtextitalic"/>
        </w:rPr>
        <w:t xml:space="preserve">Expenditure </w:t>
      </w:r>
      <w:r w:rsidR="008D0BC3">
        <w:rPr>
          <w:rStyle w:val="AERtextitalic"/>
        </w:rPr>
        <w:t>F</w:t>
      </w:r>
      <w:r w:rsidRPr="007B7632">
        <w:rPr>
          <w:rStyle w:val="AERtextitalic"/>
        </w:rPr>
        <w:t xml:space="preserve">orecast </w:t>
      </w:r>
      <w:r w:rsidR="008D0BC3">
        <w:rPr>
          <w:rStyle w:val="AERtextitalic"/>
        </w:rPr>
        <w:t>A</w:t>
      </w:r>
      <w:r w:rsidRPr="007B7632">
        <w:rPr>
          <w:rStyle w:val="AERtextitalic"/>
        </w:rPr>
        <w:t xml:space="preserve">ssessment </w:t>
      </w:r>
      <w:r w:rsidR="008D0BC3">
        <w:rPr>
          <w:rStyle w:val="AERtextitalic"/>
        </w:rPr>
        <w:t>G</w:t>
      </w:r>
      <w:r w:rsidRPr="007B7632">
        <w:rPr>
          <w:rStyle w:val="AERtextitalic"/>
        </w:rPr>
        <w:t>uideline</w:t>
      </w:r>
      <w:r>
        <w:t xml:space="preserve"> </w:t>
      </w:r>
      <w:r w:rsidR="005F4BA4">
        <w:t xml:space="preserve">we developed a methodology for adjusting base year opex for </w:t>
      </w:r>
      <w:r w:rsidR="00DA503F">
        <w:t>known as the rate of change</w:t>
      </w:r>
      <w:r w:rsidR="00C740FA">
        <w:t>.</w:t>
      </w:r>
      <w:r w:rsidR="00C740FA">
        <w:rPr>
          <w:rStyle w:val="FootnoteReference"/>
        </w:rPr>
        <w:footnoteReference w:id="12"/>
      </w:r>
      <w:r w:rsidR="00C740FA">
        <w:t xml:space="preserve"> </w:t>
      </w:r>
      <w:r w:rsidR="00984203">
        <w:t xml:space="preserve">The rate of change is the ‘trend’ component of the Base–Step–Trend forecasting method. </w:t>
      </w:r>
    </w:p>
    <w:p w:rsidR="0048621A" w:rsidRDefault="0048621A" w:rsidP="00235774"/>
    <w:p w:rsidR="00235774" w:rsidRPr="00FE5A48" w:rsidRDefault="00C740FA" w:rsidP="00235774">
      <w:r>
        <w:lastRenderedPageBreak/>
        <w:t xml:space="preserve">The rate of </w:t>
      </w:r>
      <w:r w:rsidR="00984203">
        <w:t xml:space="preserve">change </w:t>
      </w:r>
      <w:r w:rsidR="00DA503F">
        <w:t>is forecast as:</w:t>
      </w:r>
    </w:p>
    <w:p w:rsidR="00235774" w:rsidRPr="00FE5A48" w:rsidRDefault="00235774" w:rsidP="00235774">
      <m:oMathPara>
        <m:oMath>
          <m:r>
            <w:rPr>
              <w:rFonts w:ascii="Cambria Math" w:hAnsi="Cambria Math"/>
            </w:rPr>
            <m:t>∆Opex= ∆input price + ∆output- ∆productivity</m:t>
          </m:r>
        </m:oMath>
      </m:oMathPara>
    </w:p>
    <w:p w:rsidR="00235774" w:rsidRDefault="00235774" w:rsidP="00235774">
      <w:r w:rsidRPr="00FE5A48">
        <w:t xml:space="preserve">Where </w:t>
      </w:r>
      <m:oMath>
        <m:r>
          <w:rPr>
            <w:rFonts w:ascii="Cambria Math" w:hAnsi="Cambria Math"/>
          </w:rPr>
          <m:t>∆</m:t>
        </m:r>
      </m:oMath>
      <w:r w:rsidRPr="00FE5A48">
        <w:t xml:space="preserve"> denotes the pro</w:t>
      </w:r>
      <w:r>
        <w:t>portional change in a variable.</w:t>
      </w:r>
      <w:r w:rsidR="00984203" w:rsidRPr="00984203">
        <w:t xml:space="preserve"> </w:t>
      </w:r>
    </w:p>
    <w:p w:rsidR="00FC71AD" w:rsidRDefault="00A75004" w:rsidP="00A75004">
      <w:r>
        <w:t>The rate of change captures the year on year change in efficient expenditure. Specifically</w:t>
      </w:r>
      <w:r w:rsidR="00476884">
        <w:t>,</w:t>
      </w:r>
      <w:r>
        <w:t xml:space="preserve"> it accounts for </w:t>
      </w:r>
      <w:r w:rsidRPr="00F10FF1">
        <w:t xml:space="preserve">forecast changes </w:t>
      </w:r>
      <w:r>
        <w:t>in</w:t>
      </w:r>
      <w:r w:rsidRPr="00F10FF1">
        <w:t xml:space="preserve"> </w:t>
      </w:r>
      <w:r>
        <w:t xml:space="preserve">outputs, prices </w:t>
      </w:r>
      <w:r w:rsidRPr="00F10FF1">
        <w:t>and productivity.</w:t>
      </w:r>
      <w:r>
        <w:t xml:space="preserve"> These three opex drivers should explain all changes in efficient opex. The output and productivity change variables capture the forecast change in the inputs required. The real price change variable captures the forecast change in the prices of those inputs. </w:t>
      </w:r>
    </w:p>
    <w:p w:rsidR="00C83B6B" w:rsidRPr="00A27FC3" w:rsidRDefault="00C83B6B" w:rsidP="00C83B6B">
      <w:pPr>
        <w:pStyle w:val="Heading4"/>
      </w:pPr>
      <w:r>
        <w:t xml:space="preserve">Overall rate of change </w:t>
      </w:r>
    </w:p>
    <w:p w:rsidR="00CB1E3A" w:rsidRDefault="00235774" w:rsidP="00235774">
      <w:r>
        <w:t xml:space="preserve">As ActewAGL’s </w:t>
      </w:r>
      <w:r w:rsidRPr="00FE5A48">
        <w:t>proposed methodology is</w:t>
      </w:r>
      <w:r w:rsidR="005F18D3">
        <w:t xml:space="preserve"> largely</w:t>
      </w:r>
      <w:r>
        <w:t xml:space="preserve"> </w:t>
      </w:r>
      <w:r w:rsidRPr="00FE5A48">
        <w:t xml:space="preserve">consistent with our methodology, we compare each component of </w:t>
      </w:r>
      <w:r>
        <w:t xml:space="preserve">the proposed </w:t>
      </w:r>
      <w:r w:rsidRPr="00FE5A48">
        <w:t xml:space="preserve">rate of change with ours. </w:t>
      </w:r>
    </w:p>
    <w:p w:rsidR="00CB1E3A" w:rsidRDefault="00CB1E3A" w:rsidP="00CB1E3A">
      <w:r>
        <w:t xml:space="preserve">Overall, we were not satisfied that ActewAGL’s rate of change </w:t>
      </w:r>
      <w:r w:rsidR="0059511E">
        <w:t xml:space="preserve">complies with </w:t>
      </w:r>
      <w:r>
        <w:t xml:space="preserve">the opex criteria and the criteria for forecasts and estimates. We consider ActewAGL’s rate of change to be </w:t>
      </w:r>
      <w:r w:rsidRPr="00E56AE3">
        <w:t>overstated</w:t>
      </w:r>
      <w:r>
        <w:t xml:space="preserve">. </w:t>
      </w:r>
    </w:p>
    <w:p w:rsidR="00C83B6B" w:rsidRDefault="00C83B6B" w:rsidP="00C83B6B">
      <w:r>
        <w:t>We adjusted ActewAGL’s labour price to reflect an average of the BIS Shrapnel and D</w:t>
      </w:r>
      <w:r w:rsidR="00AC760F">
        <w:t xml:space="preserve">eloite </w:t>
      </w:r>
      <w:r>
        <w:t>A</w:t>
      </w:r>
      <w:r w:rsidR="00AC760F">
        <w:t>ccess Economics (DAE)</w:t>
      </w:r>
      <w:r>
        <w:t xml:space="preserve"> forecasts. </w:t>
      </w:r>
    </w:p>
    <w:p w:rsidR="00C83B6B" w:rsidRDefault="00C83B6B" w:rsidP="00C83B6B">
      <w:r>
        <w:t xml:space="preserve">We adjusted the output growth rate to reflect the impacts of forecast consumption in addition to customer numbers, noting ActewAGL’s method is only based on incremental costs associated with new customer connections. </w:t>
      </w:r>
    </w:p>
    <w:p w:rsidR="00C83B6B" w:rsidRDefault="00C83B6B" w:rsidP="00C83B6B">
      <w:r>
        <w:t xml:space="preserve">We </w:t>
      </w:r>
      <w:r w:rsidR="00D30BD1">
        <w:t xml:space="preserve">also </w:t>
      </w:r>
      <w:r>
        <w:t xml:space="preserve">took into account a productivity component, based on an ACIL Allen consulting report commissioned by ActewAGL, as we consider ActewAGL </w:t>
      </w:r>
      <w:r w:rsidR="009A02D8">
        <w:t>has scope to make</w:t>
      </w:r>
      <w:r>
        <w:t xml:space="preserve"> productivity gains in the </w:t>
      </w:r>
      <w:r w:rsidR="00907691">
        <w:t>2016–21 period</w:t>
      </w:r>
      <w:r>
        <w:t xml:space="preserve">. </w:t>
      </w:r>
    </w:p>
    <w:p w:rsidR="00D7509B" w:rsidRDefault="00D07FC3" w:rsidP="00C83B6B">
      <w:r>
        <w:fldChar w:fldCharType="begin"/>
      </w:r>
      <w:r>
        <w:instrText xml:space="preserve"> REF _Ref435095806 \h </w:instrText>
      </w:r>
      <w:r>
        <w:fldChar w:fldCharType="separate"/>
      </w:r>
      <w:r w:rsidR="0012045F">
        <w:t xml:space="preserve">Table </w:t>
      </w:r>
      <w:r w:rsidR="0012045F">
        <w:rPr>
          <w:noProof/>
        </w:rPr>
        <w:t>7</w:t>
      </w:r>
      <w:r w:rsidR="0012045F">
        <w:t>.</w:t>
      </w:r>
      <w:r w:rsidR="0012045F">
        <w:rPr>
          <w:noProof/>
        </w:rPr>
        <w:t>2</w:t>
      </w:r>
      <w:r>
        <w:fldChar w:fldCharType="end"/>
      </w:r>
      <w:r w:rsidR="00C83B6B">
        <w:t xml:space="preserve"> compares ActewAGL’s </w:t>
      </w:r>
      <w:r w:rsidR="00D7509B">
        <w:t xml:space="preserve">proposal </w:t>
      </w:r>
      <w:r w:rsidR="00C83B6B">
        <w:t>and our decision on the overall rate of change</w:t>
      </w:r>
      <w:r w:rsidR="00D7509B">
        <w:t>.</w:t>
      </w:r>
    </w:p>
    <w:p w:rsidR="00D7509B" w:rsidRDefault="00D7509B" w:rsidP="00C83B6B"/>
    <w:p w:rsidR="00D7509B" w:rsidRDefault="00D7509B" w:rsidP="00C83B6B"/>
    <w:p w:rsidR="00D7509B" w:rsidRDefault="00D7509B" w:rsidP="00C83B6B"/>
    <w:p w:rsidR="00D7509B" w:rsidRDefault="00D7509B" w:rsidP="00C83B6B"/>
    <w:p w:rsidR="00D7509B" w:rsidRDefault="00D7509B" w:rsidP="00C83B6B"/>
    <w:p w:rsidR="00D7509B" w:rsidRDefault="00D7509B" w:rsidP="00C83B6B"/>
    <w:p w:rsidR="00D7509B" w:rsidRDefault="00D7509B" w:rsidP="00C83B6B"/>
    <w:p w:rsidR="00D7509B" w:rsidRDefault="00D7509B" w:rsidP="00C83B6B"/>
    <w:p w:rsidR="00C83B6B" w:rsidRDefault="00D07FC3" w:rsidP="00D07FC3">
      <w:pPr>
        <w:pStyle w:val="Caption"/>
      </w:pPr>
      <w:bookmarkStart w:id="39" w:name="_Ref435095806"/>
      <w:r>
        <w:lastRenderedPageBreak/>
        <w:t xml:space="preserve">Table </w:t>
      </w:r>
      <w:fldSimple w:instr=" STYLEREF 1 \s ">
        <w:r w:rsidR="0012045F">
          <w:rPr>
            <w:noProof/>
          </w:rPr>
          <w:t>7</w:t>
        </w:r>
      </w:fldSimple>
      <w:r>
        <w:t>.</w:t>
      </w:r>
      <w:fldSimple w:instr=" SEQ Table \* ARABIC \s 1 ">
        <w:r w:rsidR="0012045F">
          <w:rPr>
            <w:noProof/>
          </w:rPr>
          <w:t>2</w:t>
        </w:r>
      </w:fldSimple>
      <w:bookmarkEnd w:id="39"/>
      <w:r w:rsidR="00C83B6B">
        <w:tab/>
        <w:t>AER and ActewAGL overall rate of change (per cent)</w:t>
      </w:r>
    </w:p>
    <w:tbl>
      <w:tblPr>
        <w:tblStyle w:val="AERtable-numbers"/>
        <w:tblW w:w="0" w:type="auto"/>
        <w:tblLayout w:type="fixed"/>
        <w:tblLook w:val="04A0" w:firstRow="1" w:lastRow="0" w:firstColumn="1" w:lastColumn="0" w:noHBand="0" w:noVBand="1"/>
      </w:tblPr>
      <w:tblGrid>
        <w:gridCol w:w="2235"/>
        <w:gridCol w:w="1076"/>
        <w:gridCol w:w="1076"/>
        <w:gridCol w:w="1077"/>
        <w:gridCol w:w="1076"/>
        <w:gridCol w:w="1076"/>
        <w:gridCol w:w="1077"/>
      </w:tblGrid>
      <w:tr w:rsidR="00C83B6B" w:rsidTr="00906A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C83B6B" w:rsidRDefault="00C83B6B" w:rsidP="00906A74">
            <w:pPr>
              <w:numPr>
                <w:ilvl w:val="0"/>
                <w:numId w:val="24"/>
              </w:numPr>
            </w:pPr>
          </w:p>
        </w:tc>
        <w:tc>
          <w:tcPr>
            <w:tcW w:w="1076" w:type="dxa"/>
          </w:tcPr>
          <w:p w:rsidR="00C83B6B" w:rsidRDefault="0061228D" w:rsidP="00906A74">
            <w:pPr>
              <w:numPr>
                <w:ilvl w:val="0"/>
                <w:numId w:val="24"/>
              </w:numPr>
              <w:cnfStyle w:val="100000000000" w:firstRow="1" w:lastRow="0" w:firstColumn="0" w:lastColumn="0" w:oddVBand="0" w:evenVBand="0" w:oddHBand="0" w:evenHBand="0" w:firstRowFirstColumn="0" w:firstRowLastColumn="0" w:lastRowFirstColumn="0" w:lastRowLastColumn="0"/>
            </w:pPr>
            <w:r>
              <w:t>2015–16</w:t>
            </w:r>
          </w:p>
        </w:tc>
        <w:tc>
          <w:tcPr>
            <w:tcW w:w="1076" w:type="dxa"/>
          </w:tcPr>
          <w:p w:rsidR="00C83B6B" w:rsidRDefault="000A4DD1" w:rsidP="00906A74">
            <w:pPr>
              <w:numPr>
                <w:ilvl w:val="0"/>
                <w:numId w:val="24"/>
              </w:numPr>
              <w:cnfStyle w:val="100000000000" w:firstRow="1" w:lastRow="0" w:firstColumn="0" w:lastColumn="0" w:oddVBand="0" w:evenVBand="0" w:oddHBand="0" w:evenHBand="0" w:firstRowFirstColumn="0" w:firstRowLastColumn="0" w:lastRowFirstColumn="0" w:lastRowLastColumn="0"/>
            </w:pPr>
            <w:r>
              <w:t>2016–</w:t>
            </w:r>
            <w:r w:rsidR="00C83B6B">
              <w:t>17</w:t>
            </w:r>
          </w:p>
        </w:tc>
        <w:tc>
          <w:tcPr>
            <w:tcW w:w="1077" w:type="dxa"/>
          </w:tcPr>
          <w:p w:rsidR="00C83B6B" w:rsidRDefault="000A4DD1" w:rsidP="00906A74">
            <w:pPr>
              <w:cnfStyle w:val="100000000000" w:firstRow="1" w:lastRow="0" w:firstColumn="0" w:lastColumn="0" w:oddVBand="0" w:evenVBand="0" w:oddHBand="0" w:evenHBand="0" w:firstRowFirstColumn="0" w:firstRowLastColumn="0" w:lastRowFirstColumn="0" w:lastRowLastColumn="0"/>
            </w:pPr>
            <w:r>
              <w:t>2017–</w:t>
            </w:r>
            <w:r w:rsidR="00C83B6B">
              <w:t>18</w:t>
            </w:r>
          </w:p>
        </w:tc>
        <w:tc>
          <w:tcPr>
            <w:tcW w:w="1076" w:type="dxa"/>
          </w:tcPr>
          <w:p w:rsidR="00C83B6B" w:rsidRDefault="000A4DD1" w:rsidP="00906A74">
            <w:pPr>
              <w:cnfStyle w:val="100000000000" w:firstRow="1" w:lastRow="0" w:firstColumn="0" w:lastColumn="0" w:oddVBand="0" w:evenVBand="0" w:oddHBand="0" w:evenHBand="0" w:firstRowFirstColumn="0" w:firstRowLastColumn="0" w:lastRowFirstColumn="0" w:lastRowLastColumn="0"/>
            </w:pPr>
            <w:r>
              <w:t>2018–</w:t>
            </w:r>
            <w:r w:rsidR="00C83B6B">
              <w:t>19</w:t>
            </w:r>
          </w:p>
        </w:tc>
        <w:tc>
          <w:tcPr>
            <w:tcW w:w="1076" w:type="dxa"/>
          </w:tcPr>
          <w:p w:rsidR="00C83B6B" w:rsidRDefault="00C83B6B" w:rsidP="000A4DD1">
            <w:pPr>
              <w:cnfStyle w:val="100000000000" w:firstRow="1" w:lastRow="0" w:firstColumn="0" w:lastColumn="0" w:oddVBand="0" w:evenVBand="0" w:oddHBand="0" w:evenHBand="0" w:firstRowFirstColumn="0" w:firstRowLastColumn="0" w:lastRowFirstColumn="0" w:lastRowLastColumn="0"/>
            </w:pPr>
            <w:r>
              <w:t>2019</w:t>
            </w:r>
            <w:r w:rsidR="000A4DD1">
              <w:t>–</w:t>
            </w:r>
            <w:r>
              <w:t>20</w:t>
            </w:r>
          </w:p>
        </w:tc>
        <w:tc>
          <w:tcPr>
            <w:tcW w:w="1077" w:type="dxa"/>
          </w:tcPr>
          <w:p w:rsidR="00C83B6B" w:rsidRDefault="000A4DD1" w:rsidP="00906A74">
            <w:pPr>
              <w:numPr>
                <w:ilvl w:val="0"/>
                <w:numId w:val="24"/>
              </w:numPr>
              <w:cnfStyle w:val="100000000000" w:firstRow="1" w:lastRow="0" w:firstColumn="0" w:lastColumn="0" w:oddVBand="0" w:evenVBand="0" w:oddHBand="0" w:evenHBand="0" w:firstRowFirstColumn="0" w:firstRowLastColumn="0" w:lastRowFirstColumn="0" w:lastRowLastColumn="0"/>
            </w:pPr>
            <w:r>
              <w:t>2020–</w:t>
            </w:r>
            <w:r w:rsidR="00C83B6B">
              <w:t>21</w:t>
            </w:r>
          </w:p>
        </w:tc>
      </w:tr>
      <w:tr w:rsidR="00C83B6B" w:rsidTr="00906A74">
        <w:tc>
          <w:tcPr>
            <w:cnfStyle w:val="001000000000" w:firstRow="0" w:lastRow="0" w:firstColumn="1" w:lastColumn="0" w:oddVBand="0" w:evenVBand="0" w:oddHBand="0" w:evenHBand="0" w:firstRowFirstColumn="0" w:firstRowLastColumn="0" w:lastRowFirstColumn="0" w:lastRowLastColumn="0"/>
            <w:tcW w:w="2235" w:type="dxa"/>
          </w:tcPr>
          <w:p w:rsidR="00C83B6B" w:rsidRPr="00524E6C" w:rsidRDefault="00C83B6B" w:rsidP="00906A74">
            <w:pPr>
              <w:numPr>
                <w:ilvl w:val="0"/>
                <w:numId w:val="24"/>
              </w:numPr>
              <w:rPr>
                <w:b/>
              </w:rPr>
            </w:pPr>
            <w:r w:rsidRPr="00524E6C">
              <w:rPr>
                <w:b/>
              </w:rPr>
              <w:t>ActewAGL</w:t>
            </w:r>
            <w:r>
              <w:rPr>
                <w:b/>
              </w:rPr>
              <w:t>’s proposal</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077"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077" w:type="dxa"/>
          </w:tcPr>
          <w:p w:rsidR="00C83B6B" w:rsidRDefault="00C83B6B" w:rsidP="00906A74">
            <w:pPr>
              <w:cnfStyle w:val="000000000000" w:firstRow="0" w:lastRow="0" w:firstColumn="0" w:lastColumn="0" w:oddVBand="0" w:evenVBand="0" w:oddHBand="0" w:evenHBand="0" w:firstRowFirstColumn="0" w:firstRowLastColumn="0" w:lastRowFirstColumn="0" w:lastRowLastColumn="0"/>
            </w:pPr>
          </w:p>
        </w:tc>
      </w:tr>
      <w:tr w:rsidR="00C83B6B" w:rsidTr="00906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83B6B" w:rsidRDefault="00C83B6B" w:rsidP="00906A74">
            <w:pPr>
              <w:numPr>
                <w:ilvl w:val="0"/>
                <w:numId w:val="24"/>
              </w:numPr>
            </w:pPr>
            <w:r>
              <w:t xml:space="preserve">Real price growth </w:t>
            </w:r>
          </w:p>
        </w:tc>
        <w:tc>
          <w:tcPr>
            <w:tcW w:w="1076" w:type="dxa"/>
          </w:tcPr>
          <w:p w:rsidR="00C83B6B" w:rsidRDefault="00C83B6B" w:rsidP="00906A74">
            <w:pPr>
              <w:cnfStyle w:val="000000010000" w:firstRow="0" w:lastRow="0" w:firstColumn="0" w:lastColumn="0" w:oddVBand="0" w:evenVBand="0" w:oddHBand="0" w:evenHBand="1" w:firstRowFirstColumn="0" w:firstRowLastColumn="0" w:lastRowFirstColumn="0" w:lastRowLastColumn="0"/>
            </w:pPr>
            <w:r>
              <w:t>0.38</w:t>
            </w:r>
          </w:p>
        </w:tc>
        <w:tc>
          <w:tcPr>
            <w:tcW w:w="1076" w:type="dxa"/>
          </w:tcPr>
          <w:p w:rsidR="00C83B6B" w:rsidRDefault="00C83B6B" w:rsidP="00906A74">
            <w:pPr>
              <w:cnfStyle w:val="000000010000" w:firstRow="0" w:lastRow="0" w:firstColumn="0" w:lastColumn="0" w:oddVBand="0" w:evenVBand="0" w:oddHBand="0" w:evenHBand="1" w:firstRowFirstColumn="0" w:firstRowLastColumn="0" w:lastRowFirstColumn="0" w:lastRowLastColumn="0"/>
            </w:pPr>
            <w:r>
              <w:t>0.60</w:t>
            </w:r>
          </w:p>
        </w:tc>
        <w:tc>
          <w:tcPr>
            <w:tcW w:w="1077"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r>
              <w:t>0.85</w:t>
            </w: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r>
              <w:t>1.03</w:t>
            </w: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r>
              <w:t>1.06</w:t>
            </w:r>
          </w:p>
        </w:tc>
        <w:tc>
          <w:tcPr>
            <w:tcW w:w="1077" w:type="dxa"/>
          </w:tcPr>
          <w:p w:rsidR="00C83B6B" w:rsidRDefault="00C83B6B" w:rsidP="00906A74">
            <w:pPr>
              <w:cnfStyle w:val="000000010000" w:firstRow="0" w:lastRow="0" w:firstColumn="0" w:lastColumn="0" w:oddVBand="0" w:evenVBand="0" w:oddHBand="0" w:evenHBand="1" w:firstRowFirstColumn="0" w:firstRowLastColumn="0" w:lastRowFirstColumn="0" w:lastRowLastColumn="0"/>
            </w:pPr>
            <w:r>
              <w:t>1.00</w:t>
            </w:r>
          </w:p>
        </w:tc>
      </w:tr>
      <w:tr w:rsidR="00C83B6B" w:rsidTr="00906A74">
        <w:tc>
          <w:tcPr>
            <w:cnfStyle w:val="001000000000" w:firstRow="0" w:lastRow="0" w:firstColumn="1" w:lastColumn="0" w:oddVBand="0" w:evenVBand="0" w:oddHBand="0" w:evenHBand="0" w:firstRowFirstColumn="0" w:firstRowLastColumn="0" w:lastRowFirstColumn="0" w:lastRowLastColumn="0"/>
            <w:tcW w:w="2235" w:type="dxa"/>
          </w:tcPr>
          <w:p w:rsidR="00C83B6B" w:rsidRDefault="00C83B6B" w:rsidP="00906A74">
            <w:pPr>
              <w:numPr>
                <w:ilvl w:val="0"/>
                <w:numId w:val="24"/>
              </w:numPr>
            </w:pPr>
            <w:r>
              <w:t xml:space="preserve">Output growth rate </w:t>
            </w:r>
            <w:r w:rsidR="0085516E" w:rsidRPr="0085516E">
              <w:rPr>
                <w:rStyle w:val="AERsuperscript"/>
              </w:rPr>
              <w:t>#</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0.56</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0.55</w:t>
            </w:r>
          </w:p>
        </w:tc>
        <w:tc>
          <w:tcPr>
            <w:tcW w:w="1077"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0.59</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0.58</w:t>
            </w:r>
          </w:p>
        </w:tc>
        <w:tc>
          <w:tcPr>
            <w:tcW w:w="1076" w:type="dxa"/>
          </w:tcPr>
          <w:p w:rsidR="00C83B6B" w:rsidRDefault="00C83B6B" w:rsidP="00906A74">
            <w:pPr>
              <w:cnfStyle w:val="000000000000" w:firstRow="0" w:lastRow="0" w:firstColumn="0" w:lastColumn="0" w:oddVBand="0" w:evenVBand="0" w:oddHBand="0" w:evenHBand="0" w:firstRowFirstColumn="0" w:firstRowLastColumn="0" w:lastRowFirstColumn="0" w:lastRowLastColumn="0"/>
            </w:pPr>
            <w:r>
              <w:t>0.62</w:t>
            </w:r>
          </w:p>
        </w:tc>
        <w:tc>
          <w:tcPr>
            <w:tcW w:w="1077" w:type="dxa"/>
          </w:tcPr>
          <w:p w:rsidR="00C83B6B" w:rsidRDefault="00C83B6B" w:rsidP="00906A74">
            <w:pPr>
              <w:cnfStyle w:val="000000000000" w:firstRow="0" w:lastRow="0" w:firstColumn="0" w:lastColumn="0" w:oddVBand="0" w:evenVBand="0" w:oddHBand="0" w:evenHBand="0" w:firstRowFirstColumn="0" w:firstRowLastColumn="0" w:lastRowFirstColumn="0" w:lastRowLastColumn="0"/>
            </w:pPr>
            <w:r>
              <w:t>0.57</w:t>
            </w:r>
          </w:p>
        </w:tc>
      </w:tr>
      <w:tr w:rsidR="00C83B6B" w:rsidTr="00906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83B6B" w:rsidRDefault="00C83B6B" w:rsidP="00906A74">
            <w:pPr>
              <w:numPr>
                <w:ilvl w:val="0"/>
                <w:numId w:val="24"/>
              </w:numPr>
            </w:pPr>
            <w:r>
              <w:t>Productivity change</w:t>
            </w: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r>
              <w:t>0.00</w:t>
            </w: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r>
              <w:t>0.00</w:t>
            </w:r>
          </w:p>
        </w:tc>
        <w:tc>
          <w:tcPr>
            <w:tcW w:w="1077"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r>
              <w:t>0.00</w:t>
            </w: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r>
              <w:t>0.00</w:t>
            </w: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r>
              <w:t>0.00</w:t>
            </w:r>
          </w:p>
        </w:tc>
        <w:tc>
          <w:tcPr>
            <w:tcW w:w="1077" w:type="dxa"/>
          </w:tcPr>
          <w:p w:rsidR="00C83B6B" w:rsidRDefault="00C83B6B" w:rsidP="00906A74">
            <w:pPr>
              <w:cnfStyle w:val="000000010000" w:firstRow="0" w:lastRow="0" w:firstColumn="0" w:lastColumn="0" w:oddVBand="0" w:evenVBand="0" w:oddHBand="0" w:evenHBand="1" w:firstRowFirstColumn="0" w:firstRowLastColumn="0" w:lastRowFirstColumn="0" w:lastRowLastColumn="0"/>
            </w:pPr>
            <w:r>
              <w:t>0.00</w:t>
            </w:r>
          </w:p>
        </w:tc>
      </w:tr>
      <w:tr w:rsidR="00C83B6B" w:rsidTr="00906A74">
        <w:tc>
          <w:tcPr>
            <w:cnfStyle w:val="001000000000" w:firstRow="0" w:lastRow="0" w:firstColumn="1" w:lastColumn="0" w:oddVBand="0" w:evenVBand="0" w:oddHBand="0" w:evenHBand="0" w:firstRowFirstColumn="0" w:firstRowLastColumn="0" w:lastRowFirstColumn="0" w:lastRowLastColumn="0"/>
            <w:tcW w:w="2235" w:type="dxa"/>
          </w:tcPr>
          <w:p w:rsidR="00C83B6B" w:rsidRPr="005266CA" w:rsidRDefault="00C83B6B" w:rsidP="00906A74">
            <w:pPr>
              <w:numPr>
                <w:ilvl w:val="0"/>
                <w:numId w:val="24"/>
              </w:numPr>
              <w:rPr>
                <w:b/>
              </w:rPr>
            </w:pPr>
            <w:r w:rsidRPr="005266CA">
              <w:rPr>
                <w:b/>
              </w:rPr>
              <w:t>Opex rate of change</w:t>
            </w:r>
          </w:p>
        </w:tc>
        <w:tc>
          <w:tcPr>
            <w:tcW w:w="1076" w:type="dxa"/>
          </w:tcPr>
          <w:p w:rsidR="00C83B6B" w:rsidRPr="005266CA"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rPr>
                <w:b/>
              </w:rPr>
            </w:pPr>
            <w:r w:rsidRPr="005266CA">
              <w:rPr>
                <w:b/>
              </w:rPr>
              <w:t>0.93</w:t>
            </w:r>
          </w:p>
        </w:tc>
        <w:tc>
          <w:tcPr>
            <w:tcW w:w="1076" w:type="dxa"/>
          </w:tcPr>
          <w:p w:rsidR="00C83B6B" w:rsidRPr="005266CA"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rPr>
                <w:b/>
              </w:rPr>
            </w:pPr>
            <w:r w:rsidRPr="005266CA">
              <w:rPr>
                <w:b/>
              </w:rPr>
              <w:t>1.15</w:t>
            </w:r>
          </w:p>
        </w:tc>
        <w:tc>
          <w:tcPr>
            <w:tcW w:w="1077" w:type="dxa"/>
          </w:tcPr>
          <w:p w:rsidR="00C83B6B" w:rsidRPr="005266CA"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rPr>
                <w:b/>
              </w:rPr>
            </w:pPr>
            <w:r w:rsidRPr="005266CA">
              <w:rPr>
                <w:b/>
              </w:rPr>
              <w:t>1.44</w:t>
            </w:r>
          </w:p>
        </w:tc>
        <w:tc>
          <w:tcPr>
            <w:tcW w:w="1076" w:type="dxa"/>
          </w:tcPr>
          <w:p w:rsidR="00C83B6B" w:rsidRPr="005266CA"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rPr>
                <w:b/>
              </w:rPr>
            </w:pPr>
            <w:r w:rsidRPr="005266CA">
              <w:rPr>
                <w:b/>
              </w:rPr>
              <w:t>1.61</w:t>
            </w:r>
          </w:p>
        </w:tc>
        <w:tc>
          <w:tcPr>
            <w:tcW w:w="1076" w:type="dxa"/>
          </w:tcPr>
          <w:p w:rsidR="00C83B6B" w:rsidRPr="005266CA"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rPr>
                <w:b/>
              </w:rPr>
            </w:pPr>
            <w:r w:rsidRPr="005266CA">
              <w:rPr>
                <w:b/>
              </w:rPr>
              <w:t>1.68</w:t>
            </w:r>
          </w:p>
        </w:tc>
        <w:tc>
          <w:tcPr>
            <w:tcW w:w="1077" w:type="dxa"/>
          </w:tcPr>
          <w:p w:rsidR="00C83B6B" w:rsidRPr="005266CA" w:rsidRDefault="00C83B6B" w:rsidP="00906A74">
            <w:pPr>
              <w:cnfStyle w:val="000000000000" w:firstRow="0" w:lastRow="0" w:firstColumn="0" w:lastColumn="0" w:oddVBand="0" w:evenVBand="0" w:oddHBand="0" w:evenHBand="0" w:firstRowFirstColumn="0" w:firstRowLastColumn="0" w:lastRowFirstColumn="0" w:lastRowLastColumn="0"/>
              <w:rPr>
                <w:b/>
              </w:rPr>
            </w:pPr>
            <w:r w:rsidRPr="005266CA">
              <w:rPr>
                <w:b/>
              </w:rPr>
              <w:t>1.57</w:t>
            </w:r>
          </w:p>
        </w:tc>
      </w:tr>
      <w:tr w:rsidR="00C83B6B" w:rsidTr="00906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83B6B" w:rsidRPr="00524E6C" w:rsidRDefault="00C83B6B" w:rsidP="00906A74">
            <w:pPr>
              <w:numPr>
                <w:ilvl w:val="0"/>
                <w:numId w:val="24"/>
              </w:numPr>
              <w:rPr>
                <w:b/>
              </w:rPr>
            </w:pPr>
            <w:r w:rsidRPr="00524E6C">
              <w:rPr>
                <w:b/>
              </w:rPr>
              <w:t>AER</w:t>
            </w:r>
            <w:r>
              <w:rPr>
                <w:b/>
              </w:rPr>
              <w:t>’s draft decision</w:t>
            </w: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1077"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1077" w:type="dxa"/>
          </w:tcPr>
          <w:p w:rsidR="00C83B6B" w:rsidRDefault="00C83B6B" w:rsidP="00906A74">
            <w:pPr>
              <w:cnfStyle w:val="000000010000" w:firstRow="0" w:lastRow="0" w:firstColumn="0" w:lastColumn="0" w:oddVBand="0" w:evenVBand="0" w:oddHBand="0" w:evenHBand="1" w:firstRowFirstColumn="0" w:firstRowLastColumn="0" w:lastRowFirstColumn="0" w:lastRowLastColumn="0"/>
            </w:pPr>
          </w:p>
        </w:tc>
      </w:tr>
      <w:tr w:rsidR="00C83B6B" w:rsidTr="00906A74">
        <w:tc>
          <w:tcPr>
            <w:cnfStyle w:val="001000000000" w:firstRow="0" w:lastRow="0" w:firstColumn="1" w:lastColumn="0" w:oddVBand="0" w:evenVBand="0" w:oddHBand="0" w:evenHBand="0" w:firstRowFirstColumn="0" w:firstRowLastColumn="0" w:lastRowFirstColumn="0" w:lastRowLastColumn="0"/>
            <w:tcW w:w="2235" w:type="dxa"/>
          </w:tcPr>
          <w:p w:rsidR="00C83B6B" w:rsidRDefault="00C83B6B" w:rsidP="00906A74">
            <w:pPr>
              <w:numPr>
                <w:ilvl w:val="0"/>
                <w:numId w:val="24"/>
              </w:numPr>
            </w:pPr>
            <w:r>
              <w:t>Real price growth</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0.28</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0.41</w:t>
            </w:r>
          </w:p>
        </w:tc>
        <w:tc>
          <w:tcPr>
            <w:tcW w:w="1077"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0.60</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0.75</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0.75</w:t>
            </w:r>
          </w:p>
        </w:tc>
        <w:tc>
          <w:tcPr>
            <w:tcW w:w="1077" w:type="dxa"/>
          </w:tcPr>
          <w:p w:rsidR="00C83B6B" w:rsidRDefault="00C83B6B" w:rsidP="00906A74">
            <w:pPr>
              <w:cnfStyle w:val="000000000000" w:firstRow="0" w:lastRow="0" w:firstColumn="0" w:lastColumn="0" w:oddVBand="0" w:evenVBand="0" w:oddHBand="0" w:evenHBand="0" w:firstRowFirstColumn="0" w:firstRowLastColumn="0" w:lastRowFirstColumn="0" w:lastRowLastColumn="0"/>
            </w:pPr>
            <w:r>
              <w:t>0.91</w:t>
            </w:r>
          </w:p>
        </w:tc>
      </w:tr>
      <w:tr w:rsidR="00C83B6B" w:rsidTr="00906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83B6B" w:rsidRDefault="00C83B6B" w:rsidP="00906A74">
            <w:pPr>
              <w:numPr>
                <w:ilvl w:val="0"/>
                <w:numId w:val="24"/>
              </w:numPr>
            </w:pPr>
            <w:r>
              <w:t xml:space="preserve">Output growth rate </w:t>
            </w:r>
          </w:p>
        </w:tc>
        <w:tc>
          <w:tcPr>
            <w:tcW w:w="1076" w:type="dxa"/>
          </w:tcPr>
          <w:p w:rsidR="00C83B6B" w:rsidRDefault="00D03D50" w:rsidP="007A7D18">
            <w:pPr>
              <w:numPr>
                <w:ilvl w:val="0"/>
                <w:numId w:val="24"/>
              </w:numPr>
              <w:cnfStyle w:val="000000010000" w:firstRow="0" w:lastRow="0" w:firstColumn="0" w:lastColumn="0" w:oddVBand="0" w:evenVBand="0" w:oddHBand="0" w:evenHBand="1" w:firstRowFirstColumn="0" w:firstRowLastColumn="0" w:lastRowFirstColumn="0" w:lastRowLastColumn="0"/>
            </w:pPr>
            <w:r>
              <w:t>–</w:t>
            </w:r>
            <w:r w:rsidR="00C83B6B">
              <w:t>0.23</w:t>
            </w:r>
          </w:p>
        </w:tc>
        <w:tc>
          <w:tcPr>
            <w:tcW w:w="1076" w:type="dxa"/>
          </w:tcPr>
          <w:p w:rsidR="00C83B6B" w:rsidRDefault="00D03D50" w:rsidP="00480BD6">
            <w:pPr>
              <w:numPr>
                <w:ilvl w:val="0"/>
                <w:numId w:val="24"/>
              </w:numPr>
              <w:cnfStyle w:val="000000010000" w:firstRow="0" w:lastRow="0" w:firstColumn="0" w:lastColumn="0" w:oddVBand="0" w:evenVBand="0" w:oddHBand="0" w:evenHBand="1" w:firstRowFirstColumn="0" w:firstRowLastColumn="0" w:lastRowFirstColumn="0" w:lastRowLastColumn="0"/>
            </w:pPr>
            <w:r w:rsidRPr="00D03D50">
              <w:t>–</w:t>
            </w:r>
            <w:r w:rsidR="00C83B6B">
              <w:t>0.04</w:t>
            </w:r>
          </w:p>
        </w:tc>
        <w:tc>
          <w:tcPr>
            <w:tcW w:w="1077" w:type="dxa"/>
          </w:tcPr>
          <w:p w:rsidR="00C83B6B" w:rsidRDefault="00D03D50" w:rsidP="00480BD6">
            <w:pPr>
              <w:numPr>
                <w:ilvl w:val="0"/>
                <w:numId w:val="24"/>
              </w:numPr>
              <w:cnfStyle w:val="000000010000" w:firstRow="0" w:lastRow="0" w:firstColumn="0" w:lastColumn="0" w:oddVBand="0" w:evenVBand="0" w:oddHBand="0" w:evenHBand="1" w:firstRowFirstColumn="0" w:firstRowLastColumn="0" w:lastRowFirstColumn="0" w:lastRowLastColumn="0"/>
            </w:pPr>
            <w:r w:rsidRPr="00D03D50">
              <w:t>–</w:t>
            </w:r>
            <w:r w:rsidR="00C83B6B">
              <w:t>0.20</w:t>
            </w:r>
          </w:p>
        </w:tc>
        <w:tc>
          <w:tcPr>
            <w:tcW w:w="1076" w:type="dxa"/>
          </w:tcPr>
          <w:p w:rsidR="00C83B6B"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pPr>
            <w:r>
              <w:t>0.21</w:t>
            </w:r>
          </w:p>
        </w:tc>
        <w:tc>
          <w:tcPr>
            <w:tcW w:w="1076" w:type="dxa"/>
          </w:tcPr>
          <w:p w:rsidR="00C83B6B" w:rsidRDefault="00C83B6B" w:rsidP="00906A74">
            <w:pPr>
              <w:cnfStyle w:val="000000010000" w:firstRow="0" w:lastRow="0" w:firstColumn="0" w:lastColumn="0" w:oddVBand="0" w:evenVBand="0" w:oddHBand="0" w:evenHBand="1" w:firstRowFirstColumn="0" w:firstRowLastColumn="0" w:lastRowFirstColumn="0" w:lastRowLastColumn="0"/>
            </w:pPr>
            <w:r>
              <w:t>0.84</w:t>
            </w:r>
          </w:p>
        </w:tc>
        <w:tc>
          <w:tcPr>
            <w:tcW w:w="1077" w:type="dxa"/>
          </w:tcPr>
          <w:p w:rsidR="00C83B6B" w:rsidRDefault="00AC760F" w:rsidP="00AC760F">
            <w:pPr>
              <w:cnfStyle w:val="000000010000" w:firstRow="0" w:lastRow="0" w:firstColumn="0" w:lastColumn="0" w:oddVBand="0" w:evenVBand="0" w:oddHBand="0" w:evenHBand="1" w:firstRowFirstColumn="0" w:firstRowLastColumn="0" w:lastRowFirstColumn="0" w:lastRowLastColumn="0"/>
            </w:pPr>
            <w:r>
              <w:t>-</w:t>
            </w:r>
            <w:r w:rsidR="00C83B6B">
              <w:t>0.50</w:t>
            </w:r>
          </w:p>
        </w:tc>
      </w:tr>
      <w:tr w:rsidR="00C83B6B" w:rsidTr="00906A74">
        <w:tc>
          <w:tcPr>
            <w:cnfStyle w:val="001000000000" w:firstRow="0" w:lastRow="0" w:firstColumn="1" w:lastColumn="0" w:oddVBand="0" w:evenVBand="0" w:oddHBand="0" w:evenHBand="0" w:firstRowFirstColumn="0" w:firstRowLastColumn="0" w:lastRowFirstColumn="0" w:lastRowLastColumn="0"/>
            <w:tcW w:w="2235" w:type="dxa"/>
          </w:tcPr>
          <w:p w:rsidR="00C83B6B" w:rsidRDefault="00C83B6B" w:rsidP="00906A74">
            <w:pPr>
              <w:numPr>
                <w:ilvl w:val="0"/>
                <w:numId w:val="24"/>
              </w:numPr>
            </w:pPr>
            <w:r>
              <w:t>Productivity change</w:t>
            </w:r>
          </w:p>
        </w:tc>
        <w:tc>
          <w:tcPr>
            <w:tcW w:w="1076" w:type="dxa"/>
          </w:tcPr>
          <w:p w:rsidR="00C83B6B" w:rsidRDefault="00C83B6B" w:rsidP="00906A74">
            <w:pPr>
              <w:cnfStyle w:val="000000000000" w:firstRow="0" w:lastRow="0" w:firstColumn="0" w:lastColumn="0" w:oddVBand="0" w:evenVBand="0" w:oddHBand="0" w:evenHBand="0" w:firstRowFirstColumn="0" w:firstRowLastColumn="0" w:lastRowFirstColumn="0" w:lastRowLastColumn="0"/>
            </w:pPr>
            <w:r>
              <w:t>0.50</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0.50</w:t>
            </w:r>
          </w:p>
        </w:tc>
        <w:tc>
          <w:tcPr>
            <w:tcW w:w="1077"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0.50</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0.50</w:t>
            </w:r>
          </w:p>
        </w:tc>
        <w:tc>
          <w:tcPr>
            <w:tcW w:w="1076" w:type="dxa"/>
          </w:tcPr>
          <w:p w:rsidR="00C83B6B" w:rsidRDefault="00C83B6B" w:rsidP="00906A74">
            <w:pPr>
              <w:numPr>
                <w:ilvl w:val="0"/>
                <w:numId w:val="24"/>
              </w:numPr>
              <w:cnfStyle w:val="000000000000" w:firstRow="0" w:lastRow="0" w:firstColumn="0" w:lastColumn="0" w:oddVBand="0" w:evenVBand="0" w:oddHBand="0" w:evenHBand="0" w:firstRowFirstColumn="0" w:firstRowLastColumn="0" w:lastRowFirstColumn="0" w:lastRowLastColumn="0"/>
            </w:pPr>
            <w:r>
              <w:t>0.50</w:t>
            </w:r>
          </w:p>
        </w:tc>
        <w:tc>
          <w:tcPr>
            <w:tcW w:w="1077" w:type="dxa"/>
          </w:tcPr>
          <w:p w:rsidR="00C83B6B" w:rsidRDefault="00C83B6B" w:rsidP="00906A74">
            <w:pPr>
              <w:cnfStyle w:val="000000000000" w:firstRow="0" w:lastRow="0" w:firstColumn="0" w:lastColumn="0" w:oddVBand="0" w:evenVBand="0" w:oddHBand="0" w:evenHBand="0" w:firstRowFirstColumn="0" w:firstRowLastColumn="0" w:lastRowFirstColumn="0" w:lastRowLastColumn="0"/>
            </w:pPr>
            <w:r>
              <w:t>0.50</w:t>
            </w:r>
          </w:p>
        </w:tc>
      </w:tr>
      <w:tr w:rsidR="00C83B6B" w:rsidTr="00906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83B6B" w:rsidRPr="00983C00" w:rsidRDefault="00C83B6B" w:rsidP="00906A74">
            <w:pPr>
              <w:numPr>
                <w:ilvl w:val="0"/>
                <w:numId w:val="24"/>
              </w:numPr>
              <w:rPr>
                <w:b/>
              </w:rPr>
            </w:pPr>
            <w:r w:rsidRPr="00983C00">
              <w:rPr>
                <w:b/>
              </w:rPr>
              <w:t>Opex rate of change</w:t>
            </w:r>
          </w:p>
        </w:tc>
        <w:tc>
          <w:tcPr>
            <w:tcW w:w="1076" w:type="dxa"/>
          </w:tcPr>
          <w:p w:rsidR="00C83B6B" w:rsidRPr="00983C00" w:rsidRDefault="00D03D50" w:rsidP="007A7D18">
            <w:pPr>
              <w:numPr>
                <w:ilvl w:val="0"/>
                <w:numId w:val="24"/>
              </w:numPr>
              <w:cnfStyle w:val="000000010000" w:firstRow="0" w:lastRow="0" w:firstColumn="0" w:lastColumn="0" w:oddVBand="0" w:evenVBand="0" w:oddHBand="0" w:evenHBand="1" w:firstRowFirstColumn="0" w:firstRowLastColumn="0" w:lastRowFirstColumn="0" w:lastRowLastColumn="0"/>
              <w:rPr>
                <w:b/>
              </w:rPr>
            </w:pPr>
            <w:r w:rsidRPr="00D03D50">
              <w:t>–</w:t>
            </w:r>
            <w:r w:rsidR="00C83B6B">
              <w:rPr>
                <w:b/>
              </w:rPr>
              <w:t>0.45</w:t>
            </w:r>
          </w:p>
        </w:tc>
        <w:tc>
          <w:tcPr>
            <w:tcW w:w="1076" w:type="dxa"/>
          </w:tcPr>
          <w:p w:rsidR="00C83B6B" w:rsidRPr="00983C00" w:rsidRDefault="00D03D50" w:rsidP="00480BD6">
            <w:pPr>
              <w:numPr>
                <w:ilvl w:val="0"/>
                <w:numId w:val="24"/>
              </w:numPr>
              <w:cnfStyle w:val="000000010000" w:firstRow="0" w:lastRow="0" w:firstColumn="0" w:lastColumn="0" w:oddVBand="0" w:evenVBand="0" w:oddHBand="0" w:evenHBand="1" w:firstRowFirstColumn="0" w:firstRowLastColumn="0" w:lastRowFirstColumn="0" w:lastRowLastColumn="0"/>
              <w:rPr>
                <w:b/>
              </w:rPr>
            </w:pPr>
            <w:r w:rsidRPr="00D03D50">
              <w:t>–</w:t>
            </w:r>
            <w:r w:rsidR="00C83B6B">
              <w:rPr>
                <w:b/>
              </w:rPr>
              <w:t>0.12</w:t>
            </w:r>
          </w:p>
        </w:tc>
        <w:tc>
          <w:tcPr>
            <w:tcW w:w="1077" w:type="dxa"/>
          </w:tcPr>
          <w:p w:rsidR="00C83B6B" w:rsidRPr="00983C00" w:rsidRDefault="00D03D50" w:rsidP="00480BD6">
            <w:pPr>
              <w:numPr>
                <w:ilvl w:val="0"/>
                <w:numId w:val="24"/>
              </w:numPr>
              <w:cnfStyle w:val="000000010000" w:firstRow="0" w:lastRow="0" w:firstColumn="0" w:lastColumn="0" w:oddVBand="0" w:evenVBand="0" w:oddHBand="0" w:evenHBand="1" w:firstRowFirstColumn="0" w:firstRowLastColumn="0" w:lastRowFirstColumn="0" w:lastRowLastColumn="0"/>
              <w:rPr>
                <w:b/>
              </w:rPr>
            </w:pPr>
            <w:r w:rsidRPr="00D03D50">
              <w:t>–</w:t>
            </w:r>
            <w:r w:rsidR="00C83B6B">
              <w:rPr>
                <w:b/>
              </w:rPr>
              <w:t>0.11</w:t>
            </w:r>
          </w:p>
        </w:tc>
        <w:tc>
          <w:tcPr>
            <w:tcW w:w="1076" w:type="dxa"/>
          </w:tcPr>
          <w:p w:rsidR="00C83B6B" w:rsidRPr="00983C00"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rPr>
                <w:b/>
              </w:rPr>
            </w:pPr>
            <w:r>
              <w:rPr>
                <w:b/>
              </w:rPr>
              <w:t>0.46</w:t>
            </w:r>
          </w:p>
        </w:tc>
        <w:tc>
          <w:tcPr>
            <w:tcW w:w="1076" w:type="dxa"/>
          </w:tcPr>
          <w:p w:rsidR="00C83B6B" w:rsidRPr="00983C00" w:rsidRDefault="00C83B6B" w:rsidP="00906A74">
            <w:pPr>
              <w:numPr>
                <w:ilvl w:val="0"/>
                <w:numId w:val="24"/>
              </w:numPr>
              <w:cnfStyle w:val="000000010000" w:firstRow="0" w:lastRow="0" w:firstColumn="0" w:lastColumn="0" w:oddVBand="0" w:evenVBand="0" w:oddHBand="0" w:evenHBand="1" w:firstRowFirstColumn="0" w:firstRowLastColumn="0" w:lastRowFirstColumn="0" w:lastRowLastColumn="0"/>
              <w:rPr>
                <w:b/>
              </w:rPr>
            </w:pPr>
            <w:r>
              <w:rPr>
                <w:b/>
              </w:rPr>
              <w:t>1.09</w:t>
            </w:r>
          </w:p>
        </w:tc>
        <w:tc>
          <w:tcPr>
            <w:tcW w:w="1077" w:type="dxa"/>
          </w:tcPr>
          <w:p w:rsidR="00C83B6B" w:rsidRPr="00983C00" w:rsidRDefault="00D03D50" w:rsidP="007A7D18">
            <w:pPr>
              <w:cnfStyle w:val="000000010000" w:firstRow="0" w:lastRow="0" w:firstColumn="0" w:lastColumn="0" w:oddVBand="0" w:evenVBand="0" w:oddHBand="0" w:evenHBand="1" w:firstRowFirstColumn="0" w:firstRowLastColumn="0" w:lastRowFirstColumn="0" w:lastRowLastColumn="0"/>
              <w:rPr>
                <w:b/>
              </w:rPr>
            </w:pPr>
            <w:r w:rsidRPr="00D03D50">
              <w:t>–</w:t>
            </w:r>
            <w:r w:rsidR="00C83B6B">
              <w:rPr>
                <w:b/>
              </w:rPr>
              <w:t>0.09</w:t>
            </w:r>
          </w:p>
        </w:tc>
      </w:tr>
      <w:tr w:rsidR="00C83B6B" w:rsidTr="00906A74">
        <w:tc>
          <w:tcPr>
            <w:cnfStyle w:val="001000000000" w:firstRow="0" w:lastRow="0" w:firstColumn="1" w:lastColumn="0" w:oddVBand="0" w:evenVBand="0" w:oddHBand="0" w:evenHBand="0" w:firstRowFirstColumn="0" w:firstRowLastColumn="0" w:lastRowFirstColumn="0" w:lastRowLastColumn="0"/>
            <w:tcW w:w="2235" w:type="dxa"/>
          </w:tcPr>
          <w:p w:rsidR="00C83B6B" w:rsidRPr="00524E6C" w:rsidRDefault="00C83B6B" w:rsidP="00906A74">
            <w:pPr>
              <w:numPr>
                <w:ilvl w:val="0"/>
                <w:numId w:val="24"/>
              </w:numPr>
              <w:rPr>
                <w:b/>
              </w:rPr>
            </w:pPr>
            <w:r>
              <w:rPr>
                <w:b/>
              </w:rPr>
              <w:t>Rate of change d</w:t>
            </w:r>
            <w:r w:rsidRPr="00524E6C">
              <w:rPr>
                <w:b/>
              </w:rPr>
              <w:t>ifference</w:t>
            </w:r>
          </w:p>
        </w:tc>
        <w:tc>
          <w:tcPr>
            <w:tcW w:w="1076" w:type="dxa"/>
          </w:tcPr>
          <w:p w:rsidR="00C83B6B" w:rsidRPr="00524E6C" w:rsidRDefault="00D03D50" w:rsidP="007A7D18">
            <w:pPr>
              <w:numPr>
                <w:ilvl w:val="0"/>
                <w:numId w:val="24"/>
              </w:numPr>
              <w:cnfStyle w:val="000000000000" w:firstRow="0" w:lastRow="0" w:firstColumn="0" w:lastColumn="0" w:oddVBand="0" w:evenVBand="0" w:oddHBand="0" w:evenHBand="0" w:firstRowFirstColumn="0" w:firstRowLastColumn="0" w:lastRowFirstColumn="0" w:lastRowLastColumn="0"/>
              <w:rPr>
                <w:b/>
              </w:rPr>
            </w:pPr>
            <w:r w:rsidRPr="00D03D50">
              <w:t>–</w:t>
            </w:r>
            <w:r w:rsidR="00C83B6B">
              <w:rPr>
                <w:b/>
              </w:rPr>
              <w:t>1.38</w:t>
            </w:r>
          </w:p>
        </w:tc>
        <w:tc>
          <w:tcPr>
            <w:tcW w:w="1076" w:type="dxa"/>
          </w:tcPr>
          <w:p w:rsidR="00C83B6B" w:rsidRPr="00524E6C" w:rsidRDefault="00D03D50" w:rsidP="00480BD6">
            <w:pPr>
              <w:numPr>
                <w:ilvl w:val="0"/>
                <w:numId w:val="24"/>
              </w:numPr>
              <w:cnfStyle w:val="000000000000" w:firstRow="0" w:lastRow="0" w:firstColumn="0" w:lastColumn="0" w:oddVBand="0" w:evenVBand="0" w:oddHBand="0" w:evenHBand="0" w:firstRowFirstColumn="0" w:firstRowLastColumn="0" w:lastRowFirstColumn="0" w:lastRowLastColumn="0"/>
              <w:rPr>
                <w:b/>
              </w:rPr>
            </w:pPr>
            <w:r w:rsidRPr="00D03D50">
              <w:t>–</w:t>
            </w:r>
            <w:r w:rsidR="00C83B6B">
              <w:rPr>
                <w:b/>
              </w:rPr>
              <w:t>1.27</w:t>
            </w:r>
          </w:p>
        </w:tc>
        <w:tc>
          <w:tcPr>
            <w:tcW w:w="1077" w:type="dxa"/>
          </w:tcPr>
          <w:p w:rsidR="00C83B6B" w:rsidRPr="00524E6C" w:rsidRDefault="00D03D50" w:rsidP="00480BD6">
            <w:pPr>
              <w:cnfStyle w:val="000000000000" w:firstRow="0" w:lastRow="0" w:firstColumn="0" w:lastColumn="0" w:oddVBand="0" w:evenVBand="0" w:oddHBand="0" w:evenHBand="0" w:firstRowFirstColumn="0" w:firstRowLastColumn="0" w:lastRowFirstColumn="0" w:lastRowLastColumn="0"/>
              <w:rPr>
                <w:b/>
              </w:rPr>
            </w:pPr>
            <w:r w:rsidRPr="00D03D50">
              <w:t>–</w:t>
            </w:r>
            <w:r w:rsidR="00C83B6B">
              <w:rPr>
                <w:b/>
              </w:rPr>
              <w:t>1.54</w:t>
            </w:r>
          </w:p>
        </w:tc>
        <w:tc>
          <w:tcPr>
            <w:tcW w:w="1076" w:type="dxa"/>
          </w:tcPr>
          <w:p w:rsidR="00C83B6B" w:rsidRPr="00524E6C" w:rsidRDefault="00D03D50" w:rsidP="00480BD6">
            <w:pPr>
              <w:cnfStyle w:val="000000000000" w:firstRow="0" w:lastRow="0" w:firstColumn="0" w:lastColumn="0" w:oddVBand="0" w:evenVBand="0" w:oddHBand="0" w:evenHBand="0" w:firstRowFirstColumn="0" w:firstRowLastColumn="0" w:lastRowFirstColumn="0" w:lastRowLastColumn="0"/>
              <w:rPr>
                <w:b/>
              </w:rPr>
            </w:pPr>
            <w:r w:rsidRPr="00D03D50">
              <w:t>–</w:t>
            </w:r>
            <w:r w:rsidR="00C83B6B">
              <w:rPr>
                <w:b/>
              </w:rPr>
              <w:t>1.15</w:t>
            </w:r>
          </w:p>
        </w:tc>
        <w:tc>
          <w:tcPr>
            <w:tcW w:w="1076" w:type="dxa"/>
          </w:tcPr>
          <w:p w:rsidR="00C83B6B" w:rsidRPr="00524E6C" w:rsidRDefault="00D03D50">
            <w:pPr>
              <w:cnfStyle w:val="000000000000" w:firstRow="0" w:lastRow="0" w:firstColumn="0" w:lastColumn="0" w:oddVBand="0" w:evenVBand="0" w:oddHBand="0" w:evenHBand="0" w:firstRowFirstColumn="0" w:firstRowLastColumn="0" w:lastRowFirstColumn="0" w:lastRowLastColumn="0"/>
              <w:rPr>
                <w:b/>
              </w:rPr>
            </w:pPr>
            <w:r w:rsidRPr="00D03D50">
              <w:t>–</w:t>
            </w:r>
            <w:r w:rsidR="00C83B6B">
              <w:rPr>
                <w:b/>
              </w:rPr>
              <w:t>0.59</w:t>
            </w:r>
          </w:p>
        </w:tc>
        <w:tc>
          <w:tcPr>
            <w:tcW w:w="1077" w:type="dxa"/>
          </w:tcPr>
          <w:p w:rsidR="00C83B6B" w:rsidRPr="00524E6C" w:rsidRDefault="00D03D50">
            <w:pPr>
              <w:cnfStyle w:val="000000000000" w:firstRow="0" w:lastRow="0" w:firstColumn="0" w:lastColumn="0" w:oddVBand="0" w:evenVBand="0" w:oddHBand="0" w:evenHBand="0" w:firstRowFirstColumn="0" w:firstRowLastColumn="0" w:lastRowFirstColumn="0" w:lastRowLastColumn="0"/>
              <w:rPr>
                <w:b/>
              </w:rPr>
            </w:pPr>
            <w:r w:rsidRPr="00D03D50">
              <w:t>–</w:t>
            </w:r>
            <w:r w:rsidR="00C83B6B">
              <w:rPr>
                <w:b/>
              </w:rPr>
              <w:t>1.66</w:t>
            </w:r>
          </w:p>
        </w:tc>
      </w:tr>
    </w:tbl>
    <w:p w:rsidR="00C83B6B" w:rsidRPr="00480BD6" w:rsidRDefault="00C83B6B" w:rsidP="00F662AB">
      <w:pPr>
        <w:pStyle w:val="AERtablesource"/>
      </w:pPr>
      <w:r w:rsidRPr="00D03D50">
        <w:t xml:space="preserve">Source: </w:t>
      </w:r>
      <w:r w:rsidR="00D03D50">
        <w:tab/>
      </w:r>
      <w:r w:rsidRPr="00D03D50">
        <w:t>ActewAGL Distribution Gas network Access Arrangement 2016</w:t>
      </w:r>
      <w:r w:rsidR="000A4DD1" w:rsidRPr="00D03D50">
        <w:t>–</w:t>
      </w:r>
      <w:r w:rsidRPr="00D03D50">
        <w:t>21 Opex model; AER analysis.</w:t>
      </w:r>
      <w:r w:rsidR="00AC760F" w:rsidRPr="007A7D18">
        <w:t xml:space="preserve"> Numbers may not add due to rounding.</w:t>
      </w:r>
    </w:p>
    <w:p w:rsidR="0085516E" w:rsidRPr="0085516E" w:rsidRDefault="0085516E" w:rsidP="0085516E">
      <w:pPr>
        <w:pStyle w:val="AERtablesource"/>
      </w:pPr>
      <w:r w:rsidRPr="0085516E">
        <w:rPr>
          <w:rStyle w:val="AERsuperscript"/>
        </w:rPr>
        <w:t>#</w:t>
      </w:r>
      <w:r>
        <w:t xml:space="preserve"> </w:t>
      </w:r>
      <w:r w:rsidR="00D03D50">
        <w:tab/>
      </w:r>
      <w:r>
        <w:t>Derived growth rate based on ActewAGL's estimate of incremental costs associated with new customer connections.</w:t>
      </w:r>
    </w:p>
    <w:p w:rsidR="00FC71AD" w:rsidRDefault="00235774" w:rsidP="00235774">
      <w:r w:rsidRPr="00FE5A48">
        <w:t xml:space="preserve">The </w:t>
      </w:r>
      <w:r w:rsidR="008D0BC3">
        <w:t xml:space="preserve">following </w:t>
      </w:r>
      <w:r w:rsidRPr="00FE5A48">
        <w:t xml:space="preserve">sections outline our assessment </w:t>
      </w:r>
      <w:r w:rsidR="003C24B7">
        <w:t>of</w:t>
      </w:r>
      <w:r w:rsidR="003C24B7" w:rsidRPr="00FE5A48">
        <w:t xml:space="preserve"> each</w:t>
      </w:r>
      <w:r w:rsidRPr="00FE5A48">
        <w:t xml:space="preserve"> rate of change component.</w:t>
      </w:r>
    </w:p>
    <w:p w:rsidR="00235774" w:rsidRPr="00A27FC3" w:rsidRDefault="00235774" w:rsidP="00235774">
      <w:pPr>
        <w:pStyle w:val="Heading4"/>
      </w:pPr>
      <w:bookmarkStart w:id="40" w:name="_Ref435091632"/>
      <w:r>
        <w:t>I</w:t>
      </w:r>
      <w:r w:rsidRPr="00A27FC3">
        <w:t>nput price change</w:t>
      </w:r>
      <w:bookmarkEnd w:id="40"/>
    </w:p>
    <w:p w:rsidR="00235774" w:rsidRDefault="00235774" w:rsidP="00235774">
      <w:r w:rsidRPr="00FE5A48">
        <w:t xml:space="preserve">Under the rate of change approach opex is escalated by the change in input prices. The change in input prices accounts for key inputs that do not move in line with the CPI and form a material proportion of a service provider's costs. </w:t>
      </w:r>
    </w:p>
    <w:p w:rsidR="00235774" w:rsidRDefault="00235774" w:rsidP="00235774">
      <w:r>
        <w:t xml:space="preserve">ActewAGL’s proposed input price change is driven by increased costs in labour. It </w:t>
      </w:r>
      <w:r w:rsidR="002B679E">
        <w:t xml:space="preserve">proposed </w:t>
      </w:r>
      <w:r>
        <w:t xml:space="preserve">non-labour costs </w:t>
      </w:r>
      <w:r w:rsidR="002B679E">
        <w:t xml:space="preserve">be escalated </w:t>
      </w:r>
      <w:r>
        <w:t xml:space="preserve">in-line with CPI. </w:t>
      </w:r>
    </w:p>
    <w:p w:rsidR="00235774" w:rsidRDefault="00C37599" w:rsidP="00235774">
      <w:r>
        <w:t xml:space="preserve">ActewAGL </w:t>
      </w:r>
      <w:r w:rsidR="00235774">
        <w:t>engaged BIS Shrapnel to forecast changes in labour costs for the ACT and NSW.</w:t>
      </w:r>
      <w:r w:rsidR="00235774">
        <w:rPr>
          <w:rStyle w:val="FootnoteReference"/>
        </w:rPr>
        <w:footnoteReference w:id="13"/>
      </w:r>
      <w:r>
        <w:t xml:space="preserve"> It assumed that 53 per cent of its labour is from NSW and that 47 per cent is from the ACT.</w:t>
      </w:r>
    </w:p>
    <w:p w:rsidR="00235774" w:rsidRDefault="00235774" w:rsidP="00235774">
      <w:r>
        <w:t>ActewAGL’s proposed input price weightings were 6</w:t>
      </w:r>
      <w:r w:rsidR="00B75708">
        <w:t>1.4</w:t>
      </w:r>
      <w:r>
        <w:t xml:space="preserve"> per cent labour and 3</w:t>
      </w:r>
      <w:r w:rsidR="00B75708">
        <w:t>8.6</w:t>
      </w:r>
      <w:r w:rsidR="00DE3FE8">
        <w:t> per </w:t>
      </w:r>
      <w:r>
        <w:t xml:space="preserve">cent non-labour. </w:t>
      </w:r>
    </w:p>
    <w:p w:rsidR="00235774" w:rsidRDefault="00235774" w:rsidP="00235774">
      <w:r>
        <w:lastRenderedPageBreak/>
        <w:t xml:space="preserve">We assessed the non-labour components of ActewAGL’s forecast. </w:t>
      </w:r>
      <w:r w:rsidR="00C37599">
        <w:t xml:space="preserve">Like ActewAGL we consider that </w:t>
      </w:r>
      <w:r>
        <w:t>CPI represents the best estimate of non-labour price growth</w:t>
      </w:r>
      <w:r w:rsidR="00C37599">
        <w:t xml:space="preserve"> (that is, no real </w:t>
      </w:r>
      <w:r w:rsidR="005C2721">
        <w:t xml:space="preserve">non-labour </w:t>
      </w:r>
      <w:r w:rsidR="00C37599">
        <w:t xml:space="preserve">price growth) and have used this in </w:t>
      </w:r>
      <w:r>
        <w:t>our forecast input price change.</w:t>
      </w:r>
    </w:p>
    <w:p w:rsidR="00235774" w:rsidRDefault="00235774" w:rsidP="00235774">
      <w:r>
        <w:t xml:space="preserve">In addition to labour forecasts from </w:t>
      </w:r>
      <w:r w:rsidRPr="00FE5A48">
        <w:t xml:space="preserve">BIS Shrapnel </w:t>
      </w:r>
      <w:r>
        <w:t>we assessed labour forecasts from DAE</w:t>
      </w:r>
      <w:r w:rsidRPr="00FE5A48">
        <w:t xml:space="preserve">. Both forecasts are based </w:t>
      </w:r>
      <w:r>
        <w:t>on each</w:t>
      </w:r>
      <w:r w:rsidRPr="00FE5A48">
        <w:t xml:space="preserve"> consultant</w:t>
      </w:r>
      <w:r>
        <w:t>'</w:t>
      </w:r>
      <w:r w:rsidRPr="00FE5A48">
        <w:t xml:space="preserve">s view of general macroeconomics trends for the utilities industry and </w:t>
      </w:r>
      <w:r>
        <w:t>the overall Australian economy. Both also use the A</w:t>
      </w:r>
      <w:r w:rsidR="00AC760F">
        <w:t xml:space="preserve">ustralian </w:t>
      </w:r>
      <w:r>
        <w:t>B</w:t>
      </w:r>
      <w:r w:rsidR="00AC760F">
        <w:t xml:space="preserve">ureau of </w:t>
      </w:r>
      <w:r>
        <w:t>S</w:t>
      </w:r>
      <w:r w:rsidR="00AC760F">
        <w:t>tatistics (ABS)</w:t>
      </w:r>
      <w:r>
        <w:t xml:space="preserve"> Electricity, Gas, Water, Waste Service (EGWWS) sector to develop their forecasts. </w:t>
      </w:r>
    </w:p>
    <w:p w:rsidR="00235774" w:rsidRDefault="00235774" w:rsidP="00235774">
      <w:r>
        <w:t xml:space="preserve">We agree that the ABS EGWWS sector is </w:t>
      </w:r>
      <w:r w:rsidR="001575AD">
        <w:t xml:space="preserve">currently </w:t>
      </w:r>
      <w:r>
        <w:t>the most appropriate benchmark to arrive at the best forecast. However, we consider an averaging approach that takes into account the consultants’ forecasting history, if available, to be a better method for selecting forecast changes in labour prices. We have adopted the averaging approach in the past because DAE typically forecast lower than actual Wage Price Index (WPI) and BIS Shrapnel typically forecast higher than actual WPI for the Australian EGWWS sector.</w:t>
      </w:r>
      <w:r>
        <w:rPr>
          <w:rStyle w:val="FootnoteReference"/>
        </w:rPr>
        <w:footnoteReference w:id="14"/>
      </w:r>
    </w:p>
    <w:p w:rsidR="007F5DF0" w:rsidRDefault="00D07FC3" w:rsidP="00235774">
      <w:r>
        <w:rPr>
          <w:highlight w:val="yellow"/>
        </w:rPr>
        <w:fldChar w:fldCharType="begin"/>
      </w:r>
      <w:r>
        <w:rPr>
          <w:highlight w:val="yellow"/>
        </w:rPr>
        <w:instrText xml:space="preserve"> REF _Ref435095855 \h </w:instrText>
      </w:r>
      <w:r>
        <w:rPr>
          <w:highlight w:val="yellow"/>
        </w:rPr>
      </w:r>
      <w:r>
        <w:rPr>
          <w:highlight w:val="yellow"/>
        </w:rPr>
        <w:fldChar w:fldCharType="separate"/>
      </w:r>
      <w:r w:rsidR="0012045F">
        <w:t xml:space="preserve">Table </w:t>
      </w:r>
      <w:r w:rsidR="0012045F">
        <w:rPr>
          <w:noProof/>
        </w:rPr>
        <w:t>7</w:t>
      </w:r>
      <w:r w:rsidR="0012045F">
        <w:t>.</w:t>
      </w:r>
      <w:r w:rsidR="0012045F">
        <w:rPr>
          <w:noProof/>
        </w:rPr>
        <w:t>3</w:t>
      </w:r>
      <w:r>
        <w:rPr>
          <w:highlight w:val="yellow"/>
        </w:rPr>
        <w:fldChar w:fldCharType="end"/>
      </w:r>
      <w:r>
        <w:t xml:space="preserve"> </w:t>
      </w:r>
      <w:r w:rsidR="00235774">
        <w:t>compares the changes in real wage price index forecasts (per cent) for the ACT and NSW EGWWS sector over the access arrangement period. The forecasts will be updated before the final decision to reflect any revised data.</w:t>
      </w:r>
    </w:p>
    <w:p w:rsidR="00235774" w:rsidRPr="00E24735" w:rsidRDefault="00D07FC3" w:rsidP="00D07FC3">
      <w:pPr>
        <w:pStyle w:val="Caption"/>
      </w:pPr>
      <w:bookmarkStart w:id="41" w:name="_Ref435095855"/>
      <w:r>
        <w:t xml:space="preserve">Table </w:t>
      </w:r>
      <w:fldSimple w:instr=" STYLEREF 1 \s ">
        <w:r w:rsidR="0012045F">
          <w:rPr>
            <w:noProof/>
          </w:rPr>
          <w:t>7</w:t>
        </w:r>
      </w:fldSimple>
      <w:r>
        <w:t>.</w:t>
      </w:r>
      <w:fldSimple w:instr=" SEQ Table \* ARABIC \s 1 ">
        <w:r w:rsidR="0012045F">
          <w:rPr>
            <w:noProof/>
          </w:rPr>
          <w:t>3</w:t>
        </w:r>
      </w:fldSimple>
      <w:bookmarkEnd w:id="41"/>
      <w:r w:rsidR="00235774" w:rsidRPr="00E24735">
        <w:tab/>
        <w:t>Comparison of consultant</w:t>
      </w:r>
      <w:r w:rsidR="005C2721">
        <w:t>s’</w:t>
      </w:r>
      <w:r w:rsidR="00235774" w:rsidRPr="00E24735">
        <w:t xml:space="preserve"> real labour forecasts for </w:t>
      </w:r>
      <w:r w:rsidR="00EA2C42">
        <w:t xml:space="preserve">the </w:t>
      </w:r>
      <w:r w:rsidR="00235774" w:rsidRPr="00E24735">
        <w:t>ACT and NSW (per cent)</w:t>
      </w:r>
    </w:p>
    <w:tbl>
      <w:tblPr>
        <w:tblStyle w:val="AERtable-numbers"/>
        <w:tblW w:w="0" w:type="auto"/>
        <w:tblLayout w:type="fixed"/>
        <w:tblLook w:val="04A0" w:firstRow="1" w:lastRow="0" w:firstColumn="1" w:lastColumn="0" w:noHBand="0" w:noVBand="1"/>
      </w:tblPr>
      <w:tblGrid>
        <w:gridCol w:w="1887"/>
        <w:gridCol w:w="1097"/>
        <w:gridCol w:w="1098"/>
        <w:gridCol w:w="1097"/>
        <w:gridCol w:w="1098"/>
        <w:gridCol w:w="1097"/>
        <w:gridCol w:w="1098"/>
      </w:tblGrid>
      <w:tr w:rsidR="00235774" w:rsidTr="00EE1A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7" w:type="dxa"/>
          </w:tcPr>
          <w:p w:rsidR="00235774" w:rsidRDefault="00235774" w:rsidP="00EE1A95">
            <w:pPr>
              <w:numPr>
                <w:ilvl w:val="0"/>
                <w:numId w:val="24"/>
              </w:numPr>
            </w:pPr>
          </w:p>
        </w:tc>
        <w:tc>
          <w:tcPr>
            <w:tcW w:w="1097" w:type="dxa"/>
          </w:tcPr>
          <w:p w:rsidR="00235774" w:rsidRDefault="0061228D" w:rsidP="00EE1A95">
            <w:pPr>
              <w:numPr>
                <w:ilvl w:val="0"/>
                <w:numId w:val="24"/>
              </w:numPr>
              <w:cnfStyle w:val="100000000000" w:firstRow="1" w:lastRow="0" w:firstColumn="0" w:lastColumn="0" w:oddVBand="0" w:evenVBand="0" w:oddHBand="0" w:evenHBand="0" w:firstRowFirstColumn="0" w:firstRowLastColumn="0" w:lastRowFirstColumn="0" w:lastRowLastColumn="0"/>
            </w:pPr>
            <w:r>
              <w:t>2015–16</w:t>
            </w:r>
          </w:p>
        </w:tc>
        <w:tc>
          <w:tcPr>
            <w:tcW w:w="1098" w:type="dxa"/>
          </w:tcPr>
          <w:p w:rsidR="00235774" w:rsidRDefault="000A4DD1" w:rsidP="00EE1A95">
            <w:pPr>
              <w:numPr>
                <w:ilvl w:val="0"/>
                <w:numId w:val="24"/>
              </w:numPr>
              <w:cnfStyle w:val="100000000000" w:firstRow="1" w:lastRow="0" w:firstColumn="0" w:lastColumn="0" w:oddVBand="0" w:evenVBand="0" w:oddHBand="0" w:evenHBand="0" w:firstRowFirstColumn="0" w:firstRowLastColumn="0" w:lastRowFirstColumn="0" w:lastRowLastColumn="0"/>
            </w:pPr>
            <w:r>
              <w:t>2016–</w:t>
            </w:r>
            <w:r w:rsidR="00235774">
              <w:t>17</w:t>
            </w:r>
          </w:p>
        </w:tc>
        <w:tc>
          <w:tcPr>
            <w:tcW w:w="1097"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2017–</w:t>
            </w:r>
            <w:r w:rsidR="00235774">
              <w:t>18</w:t>
            </w:r>
          </w:p>
        </w:tc>
        <w:tc>
          <w:tcPr>
            <w:tcW w:w="1098"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2018–</w:t>
            </w:r>
            <w:r w:rsidR="00235774">
              <w:t>19</w:t>
            </w:r>
          </w:p>
        </w:tc>
        <w:tc>
          <w:tcPr>
            <w:tcW w:w="1097"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2019–</w:t>
            </w:r>
            <w:r w:rsidR="00235774">
              <w:t>20</w:t>
            </w:r>
          </w:p>
        </w:tc>
        <w:tc>
          <w:tcPr>
            <w:tcW w:w="1098" w:type="dxa"/>
          </w:tcPr>
          <w:p w:rsidR="00235774" w:rsidRDefault="00235774" w:rsidP="000A4DD1">
            <w:pPr>
              <w:numPr>
                <w:ilvl w:val="0"/>
                <w:numId w:val="24"/>
              </w:numPr>
              <w:cnfStyle w:val="100000000000" w:firstRow="1" w:lastRow="0" w:firstColumn="0" w:lastColumn="0" w:oddVBand="0" w:evenVBand="0" w:oddHBand="0" w:evenHBand="0" w:firstRowFirstColumn="0" w:firstRowLastColumn="0" w:lastRowFirstColumn="0" w:lastRowLastColumn="0"/>
            </w:pPr>
            <w:r>
              <w:t>2020</w:t>
            </w:r>
            <w:r w:rsidR="000A4DD1">
              <w:t>–</w:t>
            </w:r>
            <w:r>
              <w:t>21</w:t>
            </w:r>
          </w:p>
        </w:tc>
      </w:tr>
      <w:tr w:rsidR="00235774" w:rsidTr="00EE1A95">
        <w:tc>
          <w:tcPr>
            <w:cnfStyle w:val="001000000000" w:firstRow="0" w:lastRow="0" w:firstColumn="1" w:lastColumn="0" w:oddVBand="0" w:evenVBand="0" w:oddHBand="0" w:evenHBand="0" w:firstRowFirstColumn="0" w:firstRowLastColumn="0" w:lastRowFirstColumn="0" w:lastRowLastColumn="0"/>
            <w:tcW w:w="1887" w:type="dxa"/>
          </w:tcPr>
          <w:p w:rsidR="00235774" w:rsidRDefault="00235774" w:rsidP="00EE1A95">
            <w:pPr>
              <w:numPr>
                <w:ilvl w:val="0"/>
                <w:numId w:val="24"/>
              </w:numPr>
            </w:pPr>
            <w:r>
              <w:t>Deloitte (ACT)</w:t>
            </w:r>
          </w:p>
        </w:tc>
        <w:tc>
          <w:tcPr>
            <w:tcW w:w="1097"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0.3</w:t>
            </w:r>
          </w:p>
        </w:tc>
        <w:tc>
          <w:tcPr>
            <w:tcW w:w="1098"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0.5</w:t>
            </w:r>
          </w:p>
        </w:tc>
        <w:tc>
          <w:tcPr>
            <w:tcW w:w="1097"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0.6</w:t>
            </w:r>
          </w:p>
        </w:tc>
        <w:tc>
          <w:tcPr>
            <w:tcW w:w="1098"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0.9</w:t>
            </w:r>
          </w:p>
        </w:tc>
        <w:tc>
          <w:tcPr>
            <w:tcW w:w="1097" w:type="dxa"/>
          </w:tcPr>
          <w:p w:rsidR="00235774" w:rsidRDefault="00235774" w:rsidP="00EE1A95">
            <w:pPr>
              <w:cnfStyle w:val="000000000000" w:firstRow="0" w:lastRow="0" w:firstColumn="0" w:lastColumn="0" w:oddVBand="0" w:evenVBand="0" w:oddHBand="0" w:evenHBand="0" w:firstRowFirstColumn="0" w:firstRowLastColumn="0" w:lastRowFirstColumn="0" w:lastRowLastColumn="0"/>
            </w:pPr>
            <w:r>
              <w:t>0.8</w:t>
            </w:r>
          </w:p>
        </w:tc>
        <w:tc>
          <w:tcPr>
            <w:tcW w:w="1098"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0.8</w:t>
            </w:r>
          </w:p>
        </w:tc>
      </w:tr>
      <w:tr w:rsidR="00235774" w:rsidTr="00EE1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rsidR="00235774" w:rsidRDefault="00235774" w:rsidP="00EE1A95">
            <w:pPr>
              <w:numPr>
                <w:ilvl w:val="0"/>
                <w:numId w:val="24"/>
              </w:numPr>
            </w:pPr>
            <w:r>
              <w:t>BIS Shrapnel (ACT)</w:t>
            </w:r>
          </w:p>
        </w:tc>
        <w:tc>
          <w:tcPr>
            <w:tcW w:w="1097"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0.4</w:t>
            </w:r>
          </w:p>
        </w:tc>
        <w:tc>
          <w:tcPr>
            <w:tcW w:w="1098"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0.9</w:t>
            </w:r>
          </w:p>
        </w:tc>
        <w:tc>
          <w:tcPr>
            <w:tcW w:w="1097"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1.1</w:t>
            </w:r>
          </w:p>
        </w:tc>
        <w:tc>
          <w:tcPr>
            <w:tcW w:w="1098"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1.4</w:t>
            </w:r>
          </w:p>
        </w:tc>
        <w:tc>
          <w:tcPr>
            <w:tcW w:w="1097"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1.5</w:t>
            </w:r>
          </w:p>
        </w:tc>
        <w:tc>
          <w:tcPr>
            <w:tcW w:w="1098"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1.3</w:t>
            </w:r>
          </w:p>
        </w:tc>
      </w:tr>
      <w:tr w:rsidR="00235774" w:rsidTr="00EE1A95">
        <w:tc>
          <w:tcPr>
            <w:cnfStyle w:val="001000000000" w:firstRow="0" w:lastRow="0" w:firstColumn="1" w:lastColumn="0" w:oddVBand="0" w:evenVBand="0" w:oddHBand="0" w:evenHBand="0" w:firstRowFirstColumn="0" w:firstRowLastColumn="0" w:lastRowFirstColumn="0" w:lastRowLastColumn="0"/>
            <w:tcW w:w="1887" w:type="dxa"/>
          </w:tcPr>
          <w:p w:rsidR="00235774" w:rsidRDefault="00235774" w:rsidP="00EE1A95">
            <w:pPr>
              <w:numPr>
                <w:ilvl w:val="0"/>
                <w:numId w:val="24"/>
              </w:numPr>
            </w:pPr>
            <w:r>
              <w:t>Deloitte (NSW)</w:t>
            </w:r>
          </w:p>
        </w:tc>
        <w:tc>
          <w:tcPr>
            <w:tcW w:w="1097"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0.3</w:t>
            </w:r>
          </w:p>
        </w:tc>
        <w:tc>
          <w:tcPr>
            <w:tcW w:w="1098"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0.2</w:t>
            </w:r>
          </w:p>
        </w:tc>
        <w:tc>
          <w:tcPr>
            <w:tcW w:w="1097"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0.5</w:t>
            </w:r>
          </w:p>
        </w:tc>
        <w:tc>
          <w:tcPr>
            <w:tcW w:w="1098"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0.6</w:t>
            </w:r>
          </w:p>
        </w:tc>
        <w:tc>
          <w:tcPr>
            <w:tcW w:w="1097"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0.6</w:t>
            </w:r>
          </w:p>
        </w:tc>
        <w:tc>
          <w:tcPr>
            <w:tcW w:w="1098"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n/a</w:t>
            </w:r>
            <w:r w:rsidR="00E63F05">
              <w:rPr>
                <w:rStyle w:val="FootnoteReference"/>
              </w:rPr>
              <w:footnoteReference w:id="15"/>
            </w:r>
          </w:p>
        </w:tc>
      </w:tr>
      <w:tr w:rsidR="00235774" w:rsidTr="00EE1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rsidR="00235774" w:rsidRDefault="00235774" w:rsidP="00EE1A95">
            <w:pPr>
              <w:numPr>
                <w:ilvl w:val="0"/>
                <w:numId w:val="24"/>
              </w:numPr>
            </w:pPr>
            <w:r>
              <w:t>BIS Shrapnel (NSW)</w:t>
            </w:r>
          </w:p>
        </w:tc>
        <w:tc>
          <w:tcPr>
            <w:tcW w:w="1097"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0.8</w:t>
            </w:r>
          </w:p>
        </w:tc>
        <w:tc>
          <w:tcPr>
            <w:tcW w:w="1098"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1.1</w:t>
            </w:r>
          </w:p>
        </w:tc>
        <w:tc>
          <w:tcPr>
            <w:tcW w:w="1097"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1.6</w:t>
            </w:r>
          </w:p>
        </w:tc>
        <w:tc>
          <w:tcPr>
            <w:tcW w:w="1098"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1.9</w:t>
            </w:r>
          </w:p>
        </w:tc>
        <w:tc>
          <w:tcPr>
            <w:tcW w:w="1097"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2.0</w:t>
            </w:r>
          </w:p>
        </w:tc>
        <w:tc>
          <w:tcPr>
            <w:tcW w:w="1098"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1.9</w:t>
            </w:r>
          </w:p>
        </w:tc>
      </w:tr>
    </w:tbl>
    <w:p w:rsidR="00C37599" w:rsidRDefault="00E355EF" w:rsidP="00054FCF">
      <w:pPr>
        <w:pStyle w:val="AERtablesource"/>
      </w:pPr>
      <w:r>
        <w:t xml:space="preserve">Source: </w:t>
      </w:r>
      <w:r>
        <w:tab/>
      </w:r>
      <w:r w:rsidRPr="00054FCF">
        <w:rPr>
          <w:u w:val="single"/>
        </w:rPr>
        <w:t>ACT data</w:t>
      </w:r>
      <w:r>
        <w:t>: Deloitte Access Economics ‘Forecast growth in labour costs in NEM regions of Australia’ 15 June 2015 p10, BIS Shrapnel, ‘Real Labour and Material Cost Escalation Forecasts to 2020/21 – Australia, New South Wales &amp; ACT’, February 2015, p. iii.</w:t>
      </w:r>
      <w:r w:rsidRPr="00F2023D">
        <w:t xml:space="preserve"> </w:t>
      </w:r>
    </w:p>
    <w:p w:rsidR="00235774" w:rsidRPr="00F2023D" w:rsidRDefault="00C37599" w:rsidP="00054FCF">
      <w:pPr>
        <w:pStyle w:val="AERtablesource"/>
      </w:pPr>
      <w:r>
        <w:tab/>
      </w:r>
      <w:r w:rsidR="00235774" w:rsidRPr="00054FCF">
        <w:rPr>
          <w:u w:val="single"/>
        </w:rPr>
        <w:t>NSW data</w:t>
      </w:r>
      <w:r w:rsidR="00235774">
        <w:t>: Deloitte Access Economics ‘Forecast growth in labour costs in NEM regions of Australia’ 23</w:t>
      </w:r>
      <w:r w:rsidR="002F1098">
        <w:t> </w:t>
      </w:r>
      <w:r w:rsidR="00235774">
        <w:t xml:space="preserve">February 2015 p11, BIS Shrapnel, ‘Real Labour and Material Cost Escalation Forecasts to 2020/21 – Australia, New South Wales &amp; ACT’, February 2015, </w:t>
      </w:r>
      <w:r w:rsidR="00E355EF">
        <w:t>p. iii</w:t>
      </w:r>
      <w:r w:rsidR="00235774">
        <w:t>.</w:t>
      </w:r>
    </w:p>
    <w:p w:rsidR="00D7509B" w:rsidRDefault="00235774" w:rsidP="00235774">
      <w:r>
        <w:t>We also assessed the proposed weightings between labour and non-labour</w:t>
      </w:r>
      <w:r w:rsidR="00D30BD1">
        <w:t xml:space="preserve"> costs. We</w:t>
      </w:r>
      <w:r>
        <w:t xml:space="preserve"> consider ActewAGL’s proposed ratio of 6</w:t>
      </w:r>
      <w:r w:rsidR="00B75708">
        <w:t>1.4</w:t>
      </w:r>
      <w:r>
        <w:t xml:space="preserve"> per cent labour and 3</w:t>
      </w:r>
      <w:r w:rsidR="00B75708">
        <w:t>8.6</w:t>
      </w:r>
      <w:r>
        <w:t xml:space="preserve"> per cent </w:t>
      </w:r>
      <w:r>
        <w:lastRenderedPageBreak/>
        <w:t>non</w:t>
      </w:r>
      <w:r w:rsidR="0048621A">
        <w:noBreakHyphen/>
      </w:r>
      <w:r>
        <w:t xml:space="preserve">labour appropriate. </w:t>
      </w:r>
      <w:r w:rsidR="00E3196F">
        <w:t>As t</w:t>
      </w:r>
      <w:r>
        <w:t>hese weightings are broadly consistent with Economic Insights 2013</w:t>
      </w:r>
      <w:r w:rsidR="002F1098">
        <w:t> </w:t>
      </w:r>
      <w:r>
        <w:t>benchmarking analysis</w:t>
      </w:r>
      <w:r w:rsidR="002F1098">
        <w:t xml:space="preserve"> and </w:t>
      </w:r>
      <w:r w:rsidR="00E63F05">
        <w:t xml:space="preserve">our final </w:t>
      </w:r>
      <w:r w:rsidR="0092654B">
        <w:t xml:space="preserve">decision for the </w:t>
      </w:r>
      <w:r w:rsidR="00E63F05">
        <w:t xml:space="preserve">Jemena Gas Network’s </w:t>
      </w:r>
      <w:r w:rsidR="00387D37">
        <w:t xml:space="preserve">(JGN) </w:t>
      </w:r>
      <w:r w:rsidR="000A4DD1">
        <w:t>2015–</w:t>
      </w:r>
      <w:r w:rsidR="0092654B">
        <w:t xml:space="preserve">20 </w:t>
      </w:r>
      <w:r w:rsidR="00E63F05">
        <w:t>access arrangement</w:t>
      </w:r>
      <w:r w:rsidR="00E3196F">
        <w:t>, we use these weightings in our forecast</w:t>
      </w:r>
      <w:r>
        <w:t>.</w:t>
      </w:r>
      <w:r>
        <w:rPr>
          <w:rStyle w:val="FootnoteReference"/>
        </w:rPr>
        <w:footnoteReference w:id="16"/>
      </w:r>
      <w:r w:rsidR="0092654B">
        <w:rPr>
          <w:rStyle w:val="FootnoteReference"/>
        </w:rPr>
        <w:footnoteReference w:id="17"/>
      </w:r>
    </w:p>
    <w:p w:rsidR="00235774" w:rsidRDefault="00D07FC3" w:rsidP="00235774">
      <w:r>
        <w:fldChar w:fldCharType="begin"/>
      </w:r>
      <w:r>
        <w:instrText xml:space="preserve"> REF _Ref435095898 \h </w:instrText>
      </w:r>
      <w:r>
        <w:fldChar w:fldCharType="separate"/>
      </w:r>
      <w:r w:rsidR="0012045F">
        <w:t xml:space="preserve">Table </w:t>
      </w:r>
      <w:r w:rsidR="0012045F">
        <w:rPr>
          <w:noProof/>
        </w:rPr>
        <w:t>7</w:t>
      </w:r>
      <w:r w:rsidR="0012045F">
        <w:t>.</w:t>
      </w:r>
      <w:r w:rsidR="0012045F">
        <w:rPr>
          <w:noProof/>
        </w:rPr>
        <w:t>4</w:t>
      </w:r>
      <w:r>
        <w:fldChar w:fldCharType="end"/>
      </w:r>
      <w:r>
        <w:t xml:space="preserve"> </w:t>
      </w:r>
      <w:r w:rsidR="00235774">
        <w:t xml:space="preserve">compares ActewAGL’s </w:t>
      </w:r>
      <w:r w:rsidR="002F1098">
        <w:t xml:space="preserve">and the AER’s forecast </w:t>
      </w:r>
      <w:r w:rsidR="00235774">
        <w:t xml:space="preserve">real input price growth. </w:t>
      </w:r>
    </w:p>
    <w:p w:rsidR="00235774" w:rsidRDefault="00D07FC3" w:rsidP="00D07FC3">
      <w:pPr>
        <w:pStyle w:val="Caption"/>
      </w:pPr>
      <w:bookmarkStart w:id="42" w:name="_Ref435095898"/>
      <w:r>
        <w:t xml:space="preserve">Table </w:t>
      </w:r>
      <w:fldSimple w:instr=" STYLEREF 1 \s ">
        <w:r w:rsidR="0012045F">
          <w:rPr>
            <w:noProof/>
          </w:rPr>
          <w:t>7</w:t>
        </w:r>
      </w:fldSimple>
      <w:r>
        <w:t>.</w:t>
      </w:r>
      <w:fldSimple w:instr=" SEQ Table \* ARABIC \s 1 ">
        <w:r w:rsidR="0012045F">
          <w:rPr>
            <w:noProof/>
          </w:rPr>
          <w:t>4</w:t>
        </w:r>
      </w:fldSimple>
      <w:bookmarkEnd w:id="42"/>
      <w:r>
        <w:t xml:space="preserve"> </w:t>
      </w:r>
      <w:r w:rsidR="00235774">
        <w:t xml:space="preserve">– </w:t>
      </w:r>
      <w:r w:rsidR="002F1098">
        <w:t xml:space="preserve">Forecast </w:t>
      </w:r>
      <w:r w:rsidR="00235774">
        <w:t>real input price growth (per cent)</w:t>
      </w:r>
    </w:p>
    <w:tbl>
      <w:tblPr>
        <w:tblStyle w:val="AERtable-numbers"/>
        <w:tblW w:w="0" w:type="auto"/>
        <w:tblLayout w:type="fixed"/>
        <w:tblLook w:val="04A0" w:firstRow="1" w:lastRow="0" w:firstColumn="1" w:lastColumn="0" w:noHBand="0" w:noVBand="1"/>
      </w:tblPr>
      <w:tblGrid>
        <w:gridCol w:w="2660"/>
        <w:gridCol w:w="968"/>
        <w:gridCol w:w="969"/>
        <w:gridCol w:w="969"/>
        <w:gridCol w:w="968"/>
        <w:gridCol w:w="969"/>
        <w:gridCol w:w="969"/>
      </w:tblGrid>
      <w:tr w:rsidR="00235774" w:rsidTr="00EE1A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tcPr>
          <w:p w:rsidR="00235774" w:rsidRDefault="00235774" w:rsidP="00EE1A95">
            <w:pPr>
              <w:numPr>
                <w:ilvl w:val="0"/>
                <w:numId w:val="24"/>
              </w:numPr>
            </w:pPr>
          </w:p>
        </w:tc>
        <w:tc>
          <w:tcPr>
            <w:tcW w:w="968" w:type="dxa"/>
          </w:tcPr>
          <w:p w:rsidR="00235774" w:rsidRDefault="0061228D" w:rsidP="00EE1A95">
            <w:pPr>
              <w:numPr>
                <w:ilvl w:val="0"/>
                <w:numId w:val="24"/>
              </w:numPr>
              <w:cnfStyle w:val="100000000000" w:firstRow="1" w:lastRow="0" w:firstColumn="0" w:lastColumn="0" w:oddVBand="0" w:evenVBand="0" w:oddHBand="0" w:evenHBand="0" w:firstRowFirstColumn="0" w:firstRowLastColumn="0" w:lastRowFirstColumn="0" w:lastRowLastColumn="0"/>
            </w:pPr>
            <w:r>
              <w:t>2015–16</w:t>
            </w:r>
          </w:p>
        </w:tc>
        <w:tc>
          <w:tcPr>
            <w:tcW w:w="969" w:type="dxa"/>
          </w:tcPr>
          <w:p w:rsidR="00235774" w:rsidRDefault="000A4DD1" w:rsidP="00EE1A95">
            <w:pPr>
              <w:numPr>
                <w:ilvl w:val="0"/>
                <w:numId w:val="24"/>
              </w:numPr>
              <w:cnfStyle w:val="100000000000" w:firstRow="1" w:lastRow="0" w:firstColumn="0" w:lastColumn="0" w:oddVBand="0" w:evenVBand="0" w:oddHBand="0" w:evenHBand="0" w:firstRowFirstColumn="0" w:firstRowLastColumn="0" w:lastRowFirstColumn="0" w:lastRowLastColumn="0"/>
            </w:pPr>
            <w:r>
              <w:t>2016–</w:t>
            </w:r>
            <w:r w:rsidR="00235774">
              <w:t>17</w:t>
            </w:r>
          </w:p>
        </w:tc>
        <w:tc>
          <w:tcPr>
            <w:tcW w:w="969"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2017–</w:t>
            </w:r>
            <w:r w:rsidR="00235774">
              <w:t>18</w:t>
            </w:r>
          </w:p>
        </w:tc>
        <w:tc>
          <w:tcPr>
            <w:tcW w:w="968"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2018–</w:t>
            </w:r>
            <w:r w:rsidR="00235774">
              <w:t>19</w:t>
            </w:r>
          </w:p>
        </w:tc>
        <w:tc>
          <w:tcPr>
            <w:tcW w:w="969" w:type="dxa"/>
          </w:tcPr>
          <w:p w:rsidR="00235774" w:rsidRDefault="00235774" w:rsidP="000A4DD1">
            <w:pPr>
              <w:cnfStyle w:val="100000000000" w:firstRow="1" w:lastRow="0" w:firstColumn="0" w:lastColumn="0" w:oddVBand="0" w:evenVBand="0" w:oddHBand="0" w:evenHBand="0" w:firstRowFirstColumn="0" w:firstRowLastColumn="0" w:lastRowFirstColumn="0" w:lastRowLastColumn="0"/>
            </w:pPr>
            <w:r>
              <w:t>2019</w:t>
            </w:r>
            <w:r w:rsidR="000A4DD1">
              <w:t>–</w:t>
            </w:r>
            <w:r>
              <w:t>20</w:t>
            </w:r>
          </w:p>
        </w:tc>
        <w:tc>
          <w:tcPr>
            <w:tcW w:w="969" w:type="dxa"/>
          </w:tcPr>
          <w:p w:rsidR="00235774" w:rsidRDefault="000A4DD1" w:rsidP="00EE1A95">
            <w:pPr>
              <w:numPr>
                <w:ilvl w:val="0"/>
                <w:numId w:val="24"/>
              </w:numPr>
              <w:cnfStyle w:val="100000000000" w:firstRow="1" w:lastRow="0" w:firstColumn="0" w:lastColumn="0" w:oddVBand="0" w:evenVBand="0" w:oddHBand="0" w:evenHBand="0" w:firstRowFirstColumn="0" w:firstRowLastColumn="0" w:lastRowFirstColumn="0" w:lastRowLastColumn="0"/>
            </w:pPr>
            <w:r>
              <w:t>2020–</w:t>
            </w:r>
            <w:r w:rsidR="00235774">
              <w:t>21</w:t>
            </w:r>
          </w:p>
        </w:tc>
      </w:tr>
      <w:tr w:rsidR="00235774" w:rsidTr="00EE1A95">
        <w:tc>
          <w:tcPr>
            <w:cnfStyle w:val="001000000000" w:firstRow="0" w:lastRow="0" w:firstColumn="1" w:lastColumn="0" w:oddVBand="0" w:evenVBand="0" w:oddHBand="0" w:evenHBand="0" w:firstRowFirstColumn="0" w:firstRowLastColumn="0" w:lastRowFirstColumn="0" w:lastRowLastColumn="0"/>
            <w:tcW w:w="2660" w:type="dxa"/>
          </w:tcPr>
          <w:p w:rsidR="00235774" w:rsidRDefault="00235774" w:rsidP="002F1098">
            <w:pPr>
              <w:numPr>
                <w:ilvl w:val="0"/>
                <w:numId w:val="24"/>
              </w:numPr>
            </w:pPr>
            <w:r>
              <w:t xml:space="preserve">ActewAGL </w:t>
            </w:r>
          </w:p>
        </w:tc>
        <w:tc>
          <w:tcPr>
            <w:tcW w:w="968" w:type="dxa"/>
          </w:tcPr>
          <w:p w:rsidR="00235774" w:rsidRDefault="00235774" w:rsidP="00EE1A95">
            <w:pPr>
              <w:cnfStyle w:val="000000000000" w:firstRow="0" w:lastRow="0" w:firstColumn="0" w:lastColumn="0" w:oddVBand="0" w:evenVBand="0" w:oddHBand="0" w:evenHBand="0" w:firstRowFirstColumn="0" w:firstRowLastColumn="0" w:lastRowFirstColumn="0" w:lastRowLastColumn="0"/>
            </w:pPr>
            <w:r>
              <w:t>0.38</w:t>
            </w:r>
          </w:p>
        </w:tc>
        <w:tc>
          <w:tcPr>
            <w:tcW w:w="969" w:type="dxa"/>
          </w:tcPr>
          <w:p w:rsidR="00235774" w:rsidRDefault="00235774" w:rsidP="00EE1A95">
            <w:pPr>
              <w:cnfStyle w:val="000000000000" w:firstRow="0" w:lastRow="0" w:firstColumn="0" w:lastColumn="0" w:oddVBand="0" w:evenVBand="0" w:oddHBand="0" w:evenHBand="0" w:firstRowFirstColumn="0" w:firstRowLastColumn="0" w:lastRowFirstColumn="0" w:lastRowLastColumn="0"/>
            </w:pPr>
            <w:r>
              <w:t>0.60</w:t>
            </w:r>
          </w:p>
        </w:tc>
        <w:tc>
          <w:tcPr>
            <w:tcW w:w="969"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0.85</w:t>
            </w:r>
          </w:p>
        </w:tc>
        <w:tc>
          <w:tcPr>
            <w:tcW w:w="968"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1.03</w:t>
            </w:r>
          </w:p>
        </w:tc>
        <w:tc>
          <w:tcPr>
            <w:tcW w:w="969"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1.06</w:t>
            </w:r>
          </w:p>
        </w:tc>
        <w:tc>
          <w:tcPr>
            <w:tcW w:w="969" w:type="dxa"/>
          </w:tcPr>
          <w:p w:rsidR="00235774" w:rsidRDefault="00235774" w:rsidP="00EE1A95">
            <w:pPr>
              <w:cnfStyle w:val="000000000000" w:firstRow="0" w:lastRow="0" w:firstColumn="0" w:lastColumn="0" w:oddVBand="0" w:evenVBand="0" w:oddHBand="0" w:evenHBand="0" w:firstRowFirstColumn="0" w:firstRowLastColumn="0" w:lastRowFirstColumn="0" w:lastRowLastColumn="0"/>
            </w:pPr>
            <w:r>
              <w:t>1.00</w:t>
            </w:r>
          </w:p>
        </w:tc>
      </w:tr>
      <w:tr w:rsidR="00235774" w:rsidTr="00EE1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235774" w:rsidRDefault="00235774" w:rsidP="002F1098">
            <w:pPr>
              <w:numPr>
                <w:ilvl w:val="0"/>
                <w:numId w:val="24"/>
              </w:numPr>
            </w:pPr>
            <w:r>
              <w:t xml:space="preserve">AER </w:t>
            </w:r>
          </w:p>
        </w:tc>
        <w:tc>
          <w:tcPr>
            <w:tcW w:w="968"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0.28</w:t>
            </w:r>
          </w:p>
        </w:tc>
        <w:tc>
          <w:tcPr>
            <w:tcW w:w="969"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0.41</w:t>
            </w:r>
          </w:p>
        </w:tc>
        <w:tc>
          <w:tcPr>
            <w:tcW w:w="969"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0.60</w:t>
            </w:r>
          </w:p>
        </w:tc>
        <w:tc>
          <w:tcPr>
            <w:tcW w:w="968"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0.75</w:t>
            </w:r>
          </w:p>
        </w:tc>
        <w:tc>
          <w:tcPr>
            <w:tcW w:w="969"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0.75</w:t>
            </w:r>
          </w:p>
        </w:tc>
        <w:tc>
          <w:tcPr>
            <w:tcW w:w="969"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0.91</w:t>
            </w:r>
          </w:p>
        </w:tc>
      </w:tr>
    </w:tbl>
    <w:p w:rsidR="00BB4E2D" w:rsidRDefault="00BB4E2D" w:rsidP="00BB4E2D">
      <w:pPr>
        <w:pStyle w:val="AERtablesource"/>
        <w:ind w:left="0" w:firstLine="0"/>
      </w:pPr>
      <w:r>
        <w:t xml:space="preserve">Source: </w:t>
      </w:r>
      <w:r>
        <w:tab/>
        <w:t xml:space="preserve">ActewAGL Distribution Gas </w:t>
      </w:r>
      <w:r w:rsidR="000A4DD1">
        <w:t>network Access Arrangement 2016–</w:t>
      </w:r>
      <w:r>
        <w:t>21 Opex model; AER analysis.</w:t>
      </w:r>
    </w:p>
    <w:p w:rsidR="00235774" w:rsidRPr="00A27FC3" w:rsidRDefault="00235774" w:rsidP="00235774">
      <w:pPr>
        <w:pStyle w:val="Heading4"/>
      </w:pPr>
      <w:bookmarkStart w:id="43" w:name="_Ref435091656"/>
      <w:r>
        <w:t>Output change</w:t>
      </w:r>
      <w:bookmarkEnd w:id="43"/>
      <w:r>
        <w:t xml:space="preserve"> </w:t>
      </w:r>
    </w:p>
    <w:p w:rsidR="00235774" w:rsidRPr="00FE5A48" w:rsidRDefault="00235774" w:rsidP="00235774">
      <w:r w:rsidRPr="00FE5A48">
        <w:t xml:space="preserve">The </w:t>
      </w:r>
      <w:r>
        <w:t>‘output change’</w:t>
      </w:r>
      <w:r w:rsidRPr="00FE5A48">
        <w:t xml:space="preserve"> captures the change in expenditure due to changes in the level of outputs delivered. The variables included in </w:t>
      </w:r>
      <w:r>
        <w:t xml:space="preserve">the </w:t>
      </w:r>
      <w:r w:rsidRPr="00FE5A48">
        <w:t>output change measure should reflect the main drivers o</w:t>
      </w:r>
      <w:r>
        <w:t>f output for gas distribution businesses</w:t>
      </w:r>
      <w:r w:rsidRPr="00FE5A48">
        <w:t xml:space="preserve"> and</w:t>
      </w:r>
      <w:r>
        <w:t xml:space="preserve"> should be</w:t>
      </w:r>
      <w:r w:rsidRPr="00FE5A48">
        <w:t xml:space="preserve"> modelled consistently between the </w:t>
      </w:r>
      <w:r>
        <w:t>historical and forecast period.</w:t>
      </w:r>
    </w:p>
    <w:p w:rsidR="00235774" w:rsidRDefault="00235774" w:rsidP="00235774">
      <w:r w:rsidRPr="00FE5A48">
        <w:t>Under our rate of change approach, a proportional change in output results in the same proportional change in expenditure. Any subsequent adjustment for economies of scale is considered as a part of productivity.</w:t>
      </w:r>
    </w:p>
    <w:p w:rsidR="00235774" w:rsidRDefault="00235774" w:rsidP="00235774">
      <w:r>
        <w:t>ActewAGL accounted for output growth by using a bottom</w:t>
      </w:r>
      <w:r w:rsidR="002F1098">
        <w:t>-</w:t>
      </w:r>
      <w:r>
        <w:t>up approach to estimate incremental costs associated with new customer connections. This approach uses new customer numbers as the sole driver of output growth.</w:t>
      </w:r>
      <w:r>
        <w:rPr>
          <w:rStyle w:val="FootnoteReference"/>
        </w:rPr>
        <w:footnoteReference w:id="18"/>
      </w:r>
      <w:r>
        <w:t xml:space="preserve"> ActewAGL estimated the average additional opex cost per customer to be $26.04 and included the resulting forecast expenditure in its total opex forecast. </w:t>
      </w:r>
    </w:p>
    <w:p w:rsidR="004473D7" w:rsidRDefault="00DD35E0" w:rsidP="00C36BA3">
      <w:r>
        <w:t xml:space="preserve">We do not consider </w:t>
      </w:r>
      <w:r w:rsidR="00235774">
        <w:t>ActewAGL’s forecast</w:t>
      </w:r>
      <w:r w:rsidR="00800397">
        <w:t xml:space="preserve"> </w:t>
      </w:r>
      <w:r>
        <w:t xml:space="preserve">of incremental growth opex adequately accounts for output growth as it does not account for </w:t>
      </w:r>
      <w:r w:rsidR="00E3196F">
        <w:t xml:space="preserve">any </w:t>
      </w:r>
      <w:r>
        <w:t xml:space="preserve">change in gas </w:t>
      </w:r>
      <w:r w:rsidR="00E3196F">
        <w:t xml:space="preserve">demand </w:t>
      </w:r>
      <w:r>
        <w:t xml:space="preserve">(throughput). Changes in gas demand will also impact on total opex. For example, </w:t>
      </w:r>
      <w:r w:rsidR="0039356C">
        <w:t xml:space="preserve">opex includes maintenance expenditure which will vary depending on the size of the network and </w:t>
      </w:r>
      <w:r w:rsidR="004473D7">
        <w:t xml:space="preserve">volume of gas consumed. </w:t>
      </w:r>
      <w:r w:rsidR="00C36BA3">
        <w:t xml:space="preserve">As such, we </w:t>
      </w:r>
      <w:r w:rsidR="004473D7">
        <w:t xml:space="preserve">have included the impact of </w:t>
      </w:r>
      <w:r w:rsidR="004473D7">
        <w:lastRenderedPageBreak/>
        <w:t xml:space="preserve">changes in gas </w:t>
      </w:r>
      <w:r w:rsidR="00E3196F">
        <w:t xml:space="preserve">throughput </w:t>
      </w:r>
      <w:r w:rsidR="004473D7">
        <w:t xml:space="preserve">as well as the impact of changes in customer connections in our output growth component of the rate of change. </w:t>
      </w:r>
    </w:p>
    <w:p w:rsidR="00235774" w:rsidRDefault="00235774" w:rsidP="00235774">
      <w:r>
        <w:t>In constructing our forecast rate of change we adopted the methodology Economic Insights used to prepare JGN’s output change, which we accepted.</w:t>
      </w:r>
      <w:r w:rsidR="00144D27">
        <w:rPr>
          <w:rStyle w:val="FootnoteReference"/>
        </w:rPr>
        <w:footnoteReference w:id="19"/>
      </w:r>
      <w:r>
        <w:t xml:space="preserve"> The output weights determined by Economic Insights were: </w:t>
      </w:r>
    </w:p>
    <w:p w:rsidR="00235774" w:rsidRDefault="000F1ACD" w:rsidP="00235774">
      <w:pPr>
        <w:pStyle w:val="ListParagraph"/>
        <w:numPr>
          <w:ilvl w:val="0"/>
          <w:numId w:val="33"/>
        </w:numPr>
      </w:pPr>
      <w:r>
        <w:t xml:space="preserve">throughput </w:t>
      </w:r>
      <w:r w:rsidR="00235774">
        <w:t>(55 per cent)</w:t>
      </w:r>
    </w:p>
    <w:p w:rsidR="00235774" w:rsidRDefault="00235774" w:rsidP="00235774">
      <w:pPr>
        <w:pStyle w:val="ListParagraph"/>
        <w:numPr>
          <w:ilvl w:val="0"/>
          <w:numId w:val="33"/>
        </w:numPr>
      </w:pPr>
      <w:r>
        <w:t>customers (45 per cent).</w:t>
      </w:r>
    </w:p>
    <w:p w:rsidR="00C36BA3" w:rsidRDefault="00235774" w:rsidP="004473D7">
      <w:r>
        <w:t xml:space="preserve">These output weights are based on established literature and we consider they are appropriate for </w:t>
      </w:r>
      <w:r w:rsidR="00762D51">
        <w:t xml:space="preserve">forecasting </w:t>
      </w:r>
      <w:r>
        <w:t>ActewAGL’s output change.</w:t>
      </w:r>
      <w:r w:rsidR="006900E0">
        <w:rPr>
          <w:rStyle w:val="FootnoteReference"/>
        </w:rPr>
        <w:footnoteReference w:id="20"/>
      </w:r>
      <w:r w:rsidR="007C12C2">
        <w:t xml:space="preserve"> </w:t>
      </w:r>
    </w:p>
    <w:p w:rsidR="00CC6F93" w:rsidRDefault="00C36BA3" w:rsidP="00235774">
      <w:r>
        <w:t>W</w:t>
      </w:r>
      <w:r w:rsidR="004473D7">
        <w:t xml:space="preserve">e reviewed ActewAGL’s forecasts for customer numbers and gas </w:t>
      </w:r>
      <w:r w:rsidR="0019421A">
        <w:t>demand</w:t>
      </w:r>
      <w:r w:rsidR="004473D7">
        <w:t xml:space="preserve">. We consider that ActewAGL has overstated </w:t>
      </w:r>
      <w:r>
        <w:t xml:space="preserve">its </w:t>
      </w:r>
      <w:r w:rsidR="004473D7">
        <w:t>new customer connections and gas</w:t>
      </w:r>
      <w:r>
        <w:t xml:space="preserve"> </w:t>
      </w:r>
      <w:r w:rsidR="00E3196F">
        <w:t xml:space="preserve">demand (throughput) </w:t>
      </w:r>
      <w:r>
        <w:t>forecasts</w:t>
      </w:r>
      <w:r w:rsidR="004473D7">
        <w:t>.</w:t>
      </w:r>
      <w:r>
        <w:t xml:space="preserve"> Attachment 13 contains our assessment of these forecasts.</w:t>
      </w:r>
      <w:r w:rsidR="004473D7">
        <w:t xml:space="preserve"> We have therefore substituted our forecasts when calculating the output growth factor.</w:t>
      </w:r>
      <w:r>
        <w:t xml:space="preserve"> </w:t>
      </w:r>
      <w:r w:rsidR="00D07FC3">
        <w:fldChar w:fldCharType="begin"/>
      </w:r>
      <w:r w:rsidR="00D07FC3">
        <w:instrText xml:space="preserve"> REF _Ref435095926 \h </w:instrText>
      </w:r>
      <w:r w:rsidR="00D07FC3">
        <w:fldChar w:fldCharType="separate"/>
      </w:r>
      <w:r w:rsidR="0012045F">
        <w:t xml:space="preserve">Table </w:t>
      </w:r>
      <w:r w:rsidR="0012045F">
        <w:rPr>
          <w:noProof/>
        </w:rPr>
        <w:t>7</w:t>
      </w:r>
      <w:r w:rsidR="0012045F">
        <w:t>.</w:t>
      </w:r>
      <w:r w:rsidR="0012045F">
        <w:rPr>
          <w:noProof/>
        </w:rPr>
        <w:t>5</w:t>
      </w:r>
      <w:r w:rsidR="00D07FC3">
        <w:fldChar w:fldCharType="end"/>
      </w:r>
      <w:r w:rsidR="00D07FC3">
        <w:t xml:space="preserve"> </w:t>
      </w:r>
      <w:r w:rsidR="00235774">
        <w:t>compares ActewAGL’s proposed output growth rate with the AER’s output growth rate.</w:t>
      </w:r>
    </w:p>
    <w:p w:rsidR="00235774" w:rsidRDefault="00D07FC3" w:rsidP="00D07FC3">
      <w:pPr>
        <w:pStyle w:val="Caption"/>
      </w:pPr>
      <w:bookmarkStart w:id="44" w:name="_Ref435095926"/>
      <w:r>
        <w:t xml:space="preserve">Table </w:t>
      </w:r>
      <w:fldSimple w:instr=" STYLEREF 1 \s ">
        <w:r w:rsidR="0012045F">
          <w:rPr>
            <w:noProof/>
          </w:rPr>
          <w:t>7</w:t>
        </w:r>
      </w:fldSimple>
      <w:r>
        <w:t>.</w:t>
      </w:r>
      <w:fldSimple w:instr=" SEQ Table \* ARABIC \s 1 ">
        <w:r w:rsidR="0012045F">
          <w:rPr>
            <w:noProof/>
          </w:rPr>
          <w:t>5</w:t>
        </w:r>
      </w:fldSimple>
      <w:bookmarkEnd w:id="44"/>
      <w:r w:rsidR="00235774">
        <w:tab/>
      </w:r>
      <w:r w:rsidR="00F96ECC">
        <w:t xml:space="preserve">Comparison of </w:t>
      </w:r>
      <w:r w:rsidR="00235774">
        <w:t xml:space="preserve">ActewAGL </w:t>
      </w:r>
      <w:r w:rsidR="00F96ECC">
        <w:t xml:space="preserve">and AER </w:t>
      </w:r>
      <w:r w:rsidR="00235774">
        <w:t>output growth rate</w:t>
      </w:r>
      <w:r w:rsidR="00F96ECC">
        <w:t>s</w:t>
      </w:r>
      <w:r w:rsidR="00235774">
        <w:t xml:space="preserve"> (per</w:t>
      </w:r>
      <w:r w:rsidR="00144D27">
        <w:t> </w:t>
      </w:r>
      <w:r w:rsidR="00235774">
        <w:t>cent)</w:t>
      </w:r>
    </w:p>
    <w:tbl>
      <w:tblPr>
        <w:tblStyle w:val="AERtable-numbers"/>
        <w:tblW w:w="8472" w:type="dxa"/>
        <w:tblLayout w:type="fixed"/>
        <w:tblLook w:val="04A0" w:firstRow="1" w:lastRow="0" w:firstColumn="1" w:lastColumn="0" w:noHBand="0" w:noVBand="1"/>
      </w:tblPr>
      <w:tblGrid>
        <w:gridCol w:w="2802"/>
        <w:gridCol w:w="945"/>
        <w:gridCol w:w="945"/>
        <w:gridCol w:w="945"/>
        <w:gridCol w:w="945"/>
        <w:gridCol w:w="945"/>
        <w:gridCol w:w="945"/>
      </w:tblGrid>
      <w:tr w:rsidR="00235774" w:rsidTr="00EE1A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rsidR="00235774" w:rsidRDefault="00235774" w:rsidP="00EE1A95">
            <w:pPr>
              <w:numPr>
                <w:ilvl w:val="0"/>
                <w:numId w:val="24"/>
              </w:numPr>
            </w:pPr>
          </w:p>
        </w:tc>
        <w:tc>
          <w:tcPr>
            <w:tcW w:w="945" w:type="dxa"/>
          </w:tcPr>
          <w:p w:rsidR="00235774" w:rsidRDefault="0061228D" w:rsidP="00EE1A95">
            <w:pPr>
              <w:numPr>
                <w:ilvl w:val="0"/>
                <w:numId w:val="24"/>
              </w:numPr>
              <w:cnfStyle w:val="100000000000" w:firstRow="1" w:lastRow="0" w:firstColumn="0" w:lastColumn="0" w:oddVBand="0" w:evenVBand="0" w:oddHBand="0" w:evenHBand="0" w:firstRowFirstColumn="0" w:firstRowLastColumn="0" w:lastRowFirstColumn="0" w:lastRowLastColumn="0"/>
            </w:pPr>
            <w:r>
              <w:t>2015–16</w:t>
            </w:r>
          </w:p>
        </w:tc>
        <w:tc>
          <w:tcPr>
            <w:tcW w:w="945" w:type="dxa"/>
          </w:tcPr>
          <w:p w:rsidR="00235774" w:rsidRDefault="000A4DD1" w:rsidP="00EE1A95">
            <w:pPr>
              <w:numPr>
                <w:ilvl w:val="0"/>
                <w:numId w:val="24"/>
              </w:numPr>
              <w:cnfStyle w:val="100000000000" w:firstRow="1" w:lastRow="0" w:firstColumn="0" w:lastColumn="0" w:oddVBand="0" w:evenVBand="0" w:oddHBand="0" w:evenHBand="0" w:firstRowFirstColumn="0" w:firstRowLastColumn="0" w:lastRowFirstColumn="0" w:lastRowLastColumn="0"/>
            </w:pPr>
            <w:r>
              <w:t>2016–</w:t>
            </w:r>
            <w:r w:rsidR="00235774">
              <w:t>17</w:t>
            </w:r>
          </w:p>
        </w:tc>
        <w:tc>
          <w:tcPr>
            <w:tcW w:w="945"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2017–</w:t>
            </w:r>
            <w:r w:rsidR="00235774">
              <w:t>18</w:t>
            </w:r>
          </w:p>
        </w:tc>
        <w:tc>
          <w:tcPr>
            <w:tcW w:w="945"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2018–</w:t>
            </w:r>
            <w:r w:rsidR="00235774">
              <w:t>19</w:t>
            </w:r>
          </w:p>
        </w:tc>
        <w:tc>
          <w:tcPr>
            <w:tcW w:w="945"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2019–</w:t>
            </w:r>
            <w:r w:rsidR="00235774">
              <w:t>20</w:t>
            </w:r>
          </w:p>
        </w:tc>
        <w:tc>
          <w:tcPr>
            <w:tcW w:w="945" w:type="dxa"/>
          </w:tcPr>
          <w:p w:rsidR="00235774" w:rsidRDefault="000A4DD1" w:rsidP="00EE1A95">
            <w:pPr>
              <w:numPr>
                <w:ilvl w:val="0"/>
                <w:numId w:val="24"/>
              </w:numPr>
              <w:cnfStyle w:val="100000000000" w:firstRow="1" w:lastRow="0" w:firstColumn="0" w:lastColumn="0" w:oddVBand="0" w:evenVBand="0" w:oddHBand="0" w:evenHBand="0" w:firstRowFirstColumn="0" w:firstRowLastColumn="0" w:lastRowFirstColumn="0" w:lastRowLastColumn="0"/>
            </w:pPr>
            <w:r>
              <w:t>2020–</w:t>
            </w:r>
            <w:r w:rsidR="00235774">
              <w:t>21</w:t>
            </w:r>
          </w:p>
        </w:tc>
      </w:tr>
      <w:tr w:rsidR="00235774" w:rsidTr="00EE1A95">
        <w:tc>
          <w:tcPr>
            <w:cnfStyle w:val="001000000000" w:firstRow="0" w:lastRow="0" w:firstColumn="1" w:lastColumn="0" w:oddVBand="0" w:evenVBand="0" w:oddHBand="0" w:evenHBand="0" w:firstRowFirstColumn="0" w:firstRowLastColumn="0" w:lastRowFirstColumn="0" w:lastRowLastColumn="0"/>
            <w:tcW w:w="2802" w:type="dxa"/>
          </w:tcPr>
          <w:p w:rsidR="00235774" w:rsidRDefault="00235774" w:rsidP="007C12C2">
            <w:pPr>
              <w:numPr>
                <w:ilvl w:val="0"/>
                <w:numId w:val="24"/>
              </w:numPr>
            </w:pPr>
            <w:r>
              <w:t xml:space="preserve">ActewAGL’s output growth rate </w:t>
            </w:r>
          </w:p>
        </w:tc>
        <w:tc>
          <w:tcPr>
            <w:tcW w:w="945"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0.56</w:t>
            </w:r>
          </w:p>
        </w:tc>
        <w:tc>
          <w:tcPr>
            <w:tcW w:w="945"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0.55</w:t>
            </w:r>
          </w:p>
        </w:tc>
        <w:tc>
          <w:tcPr>
            <w:tcW w:w="945"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0.59</w:t>
            </w:r>
          </w:p>
        </w:tc>
        <w:tc>
          <w:tcPr>
            <w:tcW w:w="945" w:type="dxa"/>
          </w:tcPr>
          <w:p w:rsidR="00235774" w:rsidRDefault="00235774" w:rsidP="00EE1A95">
            <w:pPr>
              <w:cnfStyle w:val="000000000000" w:firstRow="0" w:lastRow="0" w:firstColumn="0" w:lastColumn="0" w:oddVBand="0" w:evenVBand="0" w:oddHBand="0" w:evenHBand="0" w:firstRowFirstColumn="0" w:firstRowLastColumn="0" w:lastRowFirstColumn="0" w:lastRowLastColumn="0"/>
            </w:pPr>
            <w:r>
              <w:t>0.58</w:t>
            </w:r>
          </w:p>
        </w:tc>
        <w:tc>
          <w:tcPr>
            <w:tcW w:w="945" w:type="dxa"/>
          </w:tcPr>
          <w:p w:rsidR="00235774" w:rsidRPr="00F020B3"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0.62</w:t>
            </w:r>
          </w:p>
        </w:tc>
        <w:tc>
          <w:tcPr>
            <w:tcW w:w="945" w:type="dxa"/>
          </w:tcPr>
          <w:p w:rsidR="00235774" w:rsidRDefault="00235774" w:rsidP="00EE1A95">
            <w:pPr>
              <w:numPr>
                <w:ilvl w:val="0"/>
                <w:numId w:val="24"/>
              </w:numPr>
              <w:cnfStyle w:val="000000000000" w:firstRow="0" w:lastRow="0" w:firstColumn="0" w:lastColumn="0" w:oddVBand="0" w:evenVBand="0" w:oddHBand="0" w:evenHBand="0" w:firstRowFirstColumn="0" w:firstRowLastColumn="0" w:lastRowFirstColumn="0" w:lastRowLastColumn="0"/>
            </w:pPr>
            <w:r>
              <w:t>0.57</w:t>
            </w:r>
          </w:p>
        </w:tc>
      </w:tr>
      <w:tr w:rsidR="00235774" w:rsidTr="00EE1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235774" w:rsidRDefault="00235774" w:rsidP="007C12C2">
            <w:pPr>
              <w:numPr>
                <w:ilvl w:val="0"/>
                <w:numId w:val="24"/>
              </w:numPr>
            </w:pPr>
            <w:r>
              <w:t xml:space="preserve">AER output growth rate </w:t>
            </w:r>
          </w:p>
        </w:tc>
        <w:tc>
          <w:tcPr>
            <w:tcW w:w="945" w:type="dxa"/>
          </w:tcPr>
          <w:p w:rsidR="00235774" w:rsidRDefault="00D03D50" w:rsidP="007A7D18">
            <w:pPr>
              <w:numPr>
                <w:ilvl w:val="0"/>
                <w:numId w:val="24"/>
              </w:numPr>
              <w:cnfStyle w:val="000000010000" w:firstRow="0" w:lastRow="0" w:firstColumn="0" w:lastColumn="0" w:oddVBand="0" w:evenVBand="0" w:oddHBand="0" w:evenHBand="1" w:firstRowFirstColumn="0" w:firstRowLastColumn="0" w:lastRowFirstColumn="0" w:lastRowLastColumn="0"/>
            </w:pPr>
            <w:r w:rsidRPr="00D03D50">
              <w:t>–</w:t>
            </w:r>
            <w:r w:rsidR="00235774">
              <w:t>0.23</w:t>
            </w:r>
          </w:p>
        </w:tc>
        <w:tc>
          <w:tcPr>
            <w:tcW w:w="945" w:type="dxa"/>
          </w:tcPr>
          <w:p w:rsidR="00235774" w:rsidRDefault="00D03D50" w:rsidP="00480BD6">
            <w:pPr>
              <w:numPr>
                <w:ilvl w:val="0"/>
                <w:numId w:val="24"/>
              </w:numPr>
              <w:cnfStyle w:val="000000010000" w:firstRow="0" w:lastRow="0" w:firstColumn="0" w:lastColumn="0" w:oddVBand="0" w:evenVBand="0" w:oddHBand="0" w:evenHBand="1" w:firstRowFirstColumn="0" w:firstRowLastColumn="0" w:lastRowFirstColumn="0" w:lastRowLastColumn="0"/>
            </w:pPr>
            <w:r w:rsidRPr="00D03D50">
              <w:t>–</w:t>
            </w:r>
            <w:r w:rsidR="00235774">
              <w:t>0.04</w:t>
            </w:r>
          </w:p>
        </w:tc>
        <w:tc>
          <w:tcPr>
            <w:tcW w:w="945" w:type="dxa"/>
          </w:tcPr>
          <w:p w:rsidR="00235774" w:rsidRDefault="00D03D50" w:rsidP="00480BD6">
            <w:pPr>
              <w:numPr>
                <w:ilvl w:val="0"/>
                <w:numId w:val="24"/>
              </w:numPr>
              <w:cnfStyle w:val="000000010000" w:firstRow="0" w:lastRow="0" w:firstColumn="0" w:lastColumn="0" w:oddVBand="0" w:evenVBand="0" w:oddHBand="0" w:evenHBand="1" w:firstRowFirstColumn="0" w:firstRowLastColumn="0" w:lastRowFirstColumn="0" w:lastRowLastColumn="0"/>
            </w:pPr>
            <w:r w:rsidRPr="00D03D50">
              <w:t>–</w:t>
            </w:r>
            <w:r w:rsidR="00235774">
              <w:t>0.20</w:t>
            </w:r>
          </w:p>
        </w:tc>
        <w:tc>
          <w:tcPr>
            <w:tcW w:w="945" w:type="dxa"/>
          </w:tcPr>
          <w:p w:rsidR="00235774" w:rsidRDefault="00235774" w:rsidP="00EE1A95">
            <w:pPr>
              <w:numPr>
                <w:ilvl w:val="0"/>
                <w:numId w:val="24"/>
              </w:numPr>
              <w:cnfStyle w:val="000000010000" w:firstRow="0" w:lastRow="0" w:firstColumn="0" w:lastColumn="0" w:oddVBand="0" w:evenVBand="0" w:oddHBand="0" w:evenHBand="1" w:firstRowFirstColumn="0" w:firstRowLastColumn="0" w:lastRowFirstColumn="0" w:lastRowLastColumn="0"/>
            </w:pPr>
            <w:r>
              <w:t>0.21</w:t>
            </w:r>
          </w:p>
        </w:tc>
        <w:tc>
          <w:tcPr>
            <w:tcW w:w="945" w:type="dxa"/>
          </w:tcPr>
          <w:p w:rsidR="00235774" w:rsidRDefault="00235774" w:rsidP="00EE1A95">
            <w:pPr>
              <w:cnfStyle w:val="000000010000" w:firstRow="0" w:lastRow="0" w:firstColumn="0" w:lastColumn="0" w:oddVBand="0" w:evenVBand="0" w:oddHBand="0" w:evenHBand="1" w:firstRowFirstColumn="0" w:firstRowLastColumn="0" w:lastRowFirstColumn="0" w:lastRowLastColumn="0"/>
            </w:pPr>
            <w:r>
              <w:t>0.84</w:t>
            </w:r>
          </w:p>
        </w:tc>
        <w:tc>
          <w:tcPr>
            <w:tcW w:w="945" w:type="dxa"/>
          </w:tcPr>
          <w:p w:rsidR="00235774" w:rsidRDefault="00D03D50" w:rsidP="007A7D18">
            <w:pPr>
              <w:cnfStyle w:val="000000010000" w:firstRow="0" w:lastRow="0" w:firstColumn="0" w:lastColumn="0" w:oddVBand="0" w:evenVBand="0" w:oddHBand="0" w:evenHBand="1" w:firstRowFirstColumn="0" w:firstRowLastColumn="0" w:lastRowFirstColumn="0" w:lastRowLastColumn="0"/>
            </w:pPr>
            <w:r w:rsidRPr="00D03D50">
              <w:t>–</w:t>
            </w:r>
            <w:r w:rsidR="00235774">
              <w:t>0.50</w:t>
            </w:r>
          </w:p>
        </w:tc>
      </w:tr>
    </w:tbl>
    <w:p w:rsidR="00235774" w:rsidRPr="0077456E" w:rsidRDefault="00235774" w:rsidP="00235774">
      <w:pPr>
        <w:pStyle w:val="AERtablesource"/>
        <w:ind w:left="0" w:firstLine="0"/>
      </w:pPr>
      <w:r>
        <w:t xml:space="preserve">Source: </w:t>
      </w:r>
      <w:r>
        <w:tab/>
        <w:t>ActewAGL Distribution Gas netw</w:t>
      </w:r>
      <w:r w:rsidR="000A4DD1">
        <w:t>ork Access Arrangement 2016–</w:t>
      </w:r>
      <w:r w:rsidR="007C12C2">
        <w:t>21 Opex m</w:t>
      </w:r>
      <w:r>
        <w:t>odel; AER analysis.</w:t>
      </w:r>
    </w:p>
    <w:p w:rsidR="00235774" w:rsidRPr="00A27FC3" w:rsidRDefault="00235774" w:rsidP="00A1689E">
      <w:pPr>
        <w:pStyle w:val="Heading4"/>
        <w:keepNext/>
        <w:ind w:left="862" w:hanging="862"/>
      </w:pPr>
      <w:bookmarkStart w:id="45" w:name="_Ref435091681"/>
      <w:r>
        <w:t>Productivity change</w:t>
      </w:r>
      <w:bookmarkEnd w:id="45"/>
    </w:p>
    <w:p w:rsidR="00474664" w:rsidRDefault="00474664" w:rsidP="00474664">
      <w:r>
        <w:t xml:space="preserve">Productivity is a measure of how well a business utilises its inputs to produce outputs. An increase in productivity could be due to an increase in outputs for a given level of inputs or a decrease in inputs for a given level of outputs. A positive productivity change will decrease the rate at which total opex needs to </w:t>
      </w:r>
      <w:r w:rsidR="001575AD">
        <w:t xml:space="preserve">increase </w:t>
      </w:r>
      <w:r>
        <w:t xml:space="preserve">to deliver the same level of services. </w:t>
      </w:r>
      <w:r w:rsidR="00E32D19">
        <w:t xml:space="preserve">The </w:t>
      </w:r>
      <w:r>
        <w:t>productivity measure a</w:t>
      </w:r>
      <w:r w:rsidR="00E32D19">
        <w:t xml:space="preserve">ccounts for labour productivity, economies of scale, and the </w:t>
      </w:r>
      <w:r>
        <w:t>effect of industry wide technical change. An example of productivity change is increased efficiency due to better use of technology such as IT.</w:t>
      </w:r>
    </w:p>
    <w:p w:rsidR="00235774" w:rsidRDefault="00235774" w:rsidP="00235774">
      <w:r>
        <w:t xml:space="preserve">ActewAGL commissioned ACIL Allen Consulting to undertake a productivity study of </w:t>
      </w:r>
      <w:r w:rsidR="00CC6F93">
        <w:t xml:space="preserve">its </w:t>
      </w:r>
      <w:r>
        <w:t>gas network business. This stu</w:t>
      </w:r>
      <w:r w:rsidR="00474664">
        <w:t xml:space="preserve">dy included estimating ActewAGL’s </w:t>
      </w:r>
      <w:r>
        <w:t>cost function and forecast partial productivity factor growth rates.</w:t>
      </w:r>
      <w:r w:rsidRPr="00C44BBE">
        <w:rPr>
          <w:rStyle w:val="FootnoteReference"/>
        </w:rPr>
        <w:t xml:space="preserve"> </w:t>
      </w:r>
    </w:p>
    <w:p w:rsidR="00CA3960" w:rsidRDefault="00235774" w:rsidP="00235774">
      <w:r>
        <w:lastRenderedPageBreak/>
        <w:t xml:space="preserve">ACIL Allen Consulting’s analysis produces an average forecast opex partial </w:t>
      </w:r>
      <w:r w:rsidRPr="00BA001E">
        <w:t>productivity growth rate of 0.5 per cent per annum</w:t>
      </w:r>
      <w:r w:rsidR="004504CF" w:rsidRPr="00BA001E">
        <w:t>.</w:t>
      </w:r>
      <w:r w:rsidR="004504CF" w:rsidRPr="00BA001E">
        <w:rPr>
          <w:rStyle w:val="FootnoteReference"/>
        </w:rPr>
        <w:footnoteReference w:id="21"/>
      </w:r>
      <w:r w:rsidR="00E40D83">
        <w:t xml:space="preserve"> </w:t>
      </w:r>
      <w:r w:rsidR="004504CF" w:rsidRPr="00BA001E">
        <w:t xml:space="preserve">ActewAGL did not consider the study’s </w:t>
      </w:r>
      <w:r w:rsidRPr="00BA001E">
        <w:t>findings suitably robust to apply to trend its opex forecast</w:t>
      </w:r>
      <w:r w:rsidR="004D4DF2">
        <w:t xml:space="preserve"> opex</w:t>
      </w:r>
      <w:r w:rsidRPr="00BA001E">
        <w:t>.</w:t>
      </w:r>
      <w:r w:rsidR="00727A86">
        <w:t xml:space="preserve"> ActewAGL considered ACIL Allen's analysis should be interpreted with caution due to limitations and concerns with benchmarking, including model selection, model parameter and data limitations.</w:t>
      </w:r>
      <w:r w:rsidR="00727A86" w:rsidRPr="00BA001E">
        <w:rPr>
          <w:rStyle w:val="FootnoteReference"/>
        </w:rPr>
        <w:footnoteReference w:id="22"/>
      </w:r>
      <w:r w:rsidR="00727A86">
        <w:t xml:space="preserve"> </w:t>
      </w:r>
    </w:p>
    <w:p w:rsidR="00842D90" w:rsidRDefault="00842D90" w:rsidP="00235774">
      <w:r>
        <w:t xml:space="preserve">Further, ActewAGL </w:t>
      </w:r>
      <w:r w:rsidR="00BA001E" w:rsidRPr="00BA001E">
        <w:t xml:space="preserve">considered </w:t>
      </w:r>
      <w:r w:rsidRPr="00BA001E">
        <w:t>that the efficiency carryover mechanism ensure</w:t>
      </w:r>
      <w:r>
        <w:t>d</w:t>
      </w:r>
      <w:r w:rsidRPr="00BA001E">
        <w:t xml:space="preserve"> efficient costs are achieved. </w:t>
      </w:r>
      <w:r>
        <w:t xml:space="preserve">It stated that </w:t>
      </w:r>
      <w:r w:rsidR="009254A6">
        <w:t>“I</w:t>
      </w:r>
      <w:r>
        <w:t xml:space="preserve">t </w:t>
      </w:r>
      <w:r w:rsidR="009254A6">
        <w:t>i</w:t>
      </w:r>
      <w:r>
        <w:t xml:space="preserve">s difficult </w:t>
      </w:r>
      <w:r w:rsidR="00BA001E" w:rsidRPr="00BA001E">
        <w:t xml:space="preserve">to </w:t>
      </w:r>
      <w:r w:rsidR="00235774" w:rsidRPr="00BA001E">
        <w:t>separate one opex from the other</w:t>
      </w:r>
      <w:r w:rsidR="009254A6">
        <w:t>.</w:t>
      </w:r>
      <w:r w:rsidR="00BA001E" w:rsidRPr="00BA001E">
        <w:t xml:space="preserve"> </w:t>
      </w:r>
      <w:r w:rsidR="009254A6">
        <w:t>T</w:t>
      </w:r>
      <w:r w:rsidR="00BA001E" w:rsidRPr="00BA001E">
        <w:t xml:space="preserve">hat is, </w:t>
      </w:r>
      <w:r w:rsidR="00235774" w:rsidRPr="00BA001E">
        <w:t>what portion of the change in a service provider’s costs is attributed to efficiency gains (losses) that it should be rewarded (penalised) for, and what portion is attributed to growth or decline in productivity</w:t>
      </w:r>
      <w:r w:rsidR="009254A6">
        <w:t>”</w:t>
      </w:r>
      <w:r w:rsidR="00235774" w:rsidRPr="00BA001E">
        <w:t>.</w:t>
      </w:r>
      <w:r w:rsidR="009254A6" w:rsidRPr="00BA001E">
        <w:rPr>
          <w:rStyle w:val="FootnoteReference"/>
        </w:rPr>
        <w:footnoteReference w:id="23"/>
      </w:r>
      <w:r w:rsidR="00235774" w:rsidRPr="00BA001E">
        <w:t xml:space="preserve"> </w:t>
      </w:r>
    </w:p>
    <w:p w:rsidR="00235774" w:rsidRPr="00BA001E" w:rsidRDefault="00842D90" w:rsidP="00235774">
      <w:r w:rsidRPr="00BA001E">
        <w:t>ActewAGL therefore did not include a forecast productivity change in the rate of change applied to its forecast</w:t>
      </w:r>
      <w:r w:rsidR="00C2764F">
        <w:t xml:space="preserve"> opex</w:t>
      </w:r>
      <w:r w:rsidRPr="00BA001E">
        <w:t>.</w:t>
      </w:r>
    </w:p>
    <w:p w:rsidR="00E32D19" w:rsidRDefault="00842D90" w:rsidP="00E32D19">
      <w:r>
        <w:t xml:space="preserve">We consider that the </w:t>
      </w:r>
      <w:r w:rsidR="00235774" w:rsidRPr="006977BB">
        <w:t xml:space="preserve">inclusion of forecast productivity change is necessary for us to be satisfied that total forecast opex </w:t>
      </w:r>
      <w:r w:rsidR="00D23160">
        <w:t xml:space="preserve">complies with </w:t>
      </w:r>
      <w:r w:rsidR="00235774" w:rsidRPr="006977BB">
        <w:t>the opex criteria. If we did not include forecast productivity change</w:t>
      </w:r>
      <w:r w:rsidR="00235774">
        <w:t>s</w:t>
      </w:r>
      <w:r w:rsidR="00235774" w:rsidRPr="006977BB">
        <w:t xml:space="preserve"> then total forecast opex would be greater than the efficient costs that a prudent operator would require (if productivity change is positive). </w:t>
      </w:r>
    </w:p>
    <w:p w:rsidR="00CA3960" w:rsidRDefault="007D5ED5" w:rsidP="00CA3960">
      <w:r>
        <w:t xml:space="preserve">We do not accept ActewAGL’s argument that reliance should be placed solely on the efficiency carryover mechanism to achieve efficient costs. The purpose of the efficiency carryover mechanism is </w:t>
      </w:r>
      <w:r w:rsidR="007D40B9">
        <w:t xml:space="preserve">specifically </w:t>
      </w:r>
      <w:r w:rsidRPr="007D5ED5">
        <w:t xml:space="preserve">to provide a constant incentive for a service provider to pursue efficiency gains over the access arrangement period. </w:t>
      </w:r>
      <w:r w:rsidR="004D4DF2">
        <w:t>Absent an efficiency carryover mechanism</w:t>
      </w:r>
      <w:r w:rsidR="00B73D68">
        <w:t>,</w:t>
      </w:r>
      <w:r w:rsidR="004D4DF2">
        <w:t xml:space="preserve"> </w:t>
      </w:r>
      <w:r w:rsidR="00566888">
        <w:t>the incentive to make efficiency gains will decline over the access arrangement period.</w:t>
      </w:r>
      <w:r w:rsidR="00EA21CD">
        <w:rPr>
          <w:rStyle w:val="FootnoteReference"/>
        </w:rPr>
        <w:footnoteReference w:id="24"/>
      </w:r>
      <w:r w:rsidR="00566888">
        <w:t xml:space="preserve"> </w:t>
      </w:r>
      <w:r w:rsidRPr="007D5ED5">
        <w:t>An efficiency carryover mechanism also discourages a service provider from incurring opex in the expected base year in order to receive a higher opex allowance in the following access arrangement pe</w:t>
      </w:r>
      <w:r w:rsidR="00A1689E">
        <w:t xml:space="preserve">riod. </w:t>
      </w:r>
      <w:r w:rsidR="007D40B9">
        <w:t>The application of this mechanism does not obviate the requirement on us under the NGR to set a total opex forecast that is consistent with the opex criteria.</w:t>
      </w:r>
      <w:r w:rsidR="00A1689E">
        <w:t xml:space="preserve"> </w:t>
      </w:r>
      <w:r w:rsidR="00B73D68">
        <w:t>F</w:t>
      </w:r>
      <w:r w:rsidR="00566888">
        <w:t xml:space="preserve">orecasting a productivity component is consistent with the application of an </w:t>
      </w:r>
      <w:r w:rsidR="00566888" w:rsidRPr="00566888">
        <w:t>efficiency carryover mechanism</w:t>
      </w:r>
      <w:r w:rsidR="00566888">
        <w:t>.</w:t>
      </w:r>
      <w:r w:rsidR="007D40B9">
        <w:t xml:space="preserve">  </w:t>
      </w:r>
    </w:p>
    <w:p w:rsidR="00C73F9A" w:rsidRDefault="00C73F9A" w:rsidP="00C73F9A">
      <w:r>
        <w:t xml:space="preserve">We consider that </w:t>
      </w:r>
      <w:r w:rsidRPr="00842D90">
        <w:t xml:space="preserve">ActewAGL should be able to achieve productivity growth in the </w:t>
      </w:r>
      <w:r w:rsidR="00907691">
        <w:t>2016–21 period</w:t>
      </w:r>
      <w:r w:rsidRPr="00842D90">
        <w:t>, and not including productivity growth will result in a total opex forecast that does not meet the opex criteria.</w:t>
      </w:r>
    </w:p>
    <w:p w:rsidR="00BA001E" w:rsidRDefault="001575AD" w:rsidP="00BA001E">
      <w:r>
        <w:t xml:space="preserve">In part, these views derive from previous experience. </w:t>
      </w:r>
      <w:r w:rsidR="00235774">
        <w:t xml:space="preserve">Achieving some productivity gains would be consistent with ActewAGL’s past </w:t>
      </w:r>
      <w:r w:rsidR="00BA001E">
        <w:t>experience</w:t>
      </w:r>
      <w:r w:rsidR="00235774">
        <w:t xml:space="preserve"> as well that of other gas distribution businesses. We note that the gas distribution industry has experienced </w:t>
      </w:r>
      <w:r w:rsidR="00235774">
        <w:lastRenderedPageBreak/>
        <w:t xml:space="preserve">improvements in productivity since 1999, with higher productivity gains experienced </w:t>
      </w:r>
      <w:r w:rsidR="004504CF">
        <w:t xml:space="preserve">during </w:t>
      </w:r>
      <w:r w:rsidR="00BA001E">
        <w:t xml:space="preserve">the </w:t>
      </w:r>
      <w:r w:rsidR="00235774">
        <w:t>1999</w:t>
      </w:r>
      <w:r w:rsidR="000A4DD1">
        <w:t>–</w:t>
      </w:r>
      <w:r w:rsidR="00235774">
        <w:t xml:space="preserve">2006 </w:t>
      </w:r>
      <w:r w:rsidR="00BA001E">
        <w:t xml:space="preserve">period than during the </w:t>
      </w:r>
      <w:r w:rsidR="000A4DD1">
        <w:t>2006–</w:t>
      </w:r>
      <w:r w:rsidR="00235774">
        <w:t>13</w:t>
      </w:r>
      <w:r w:rsidR="00BA001E">
        <w:t xml:space="preserve"> period</w:t>
      </w:r>
      <w:r w:rsidR="00235774">
        <w:t xml:space="preserve">. </w:t>
      </w:r>
      <w:r w:rsidR="00CA3960">
        <w:t>We</w:t>
      </w:r>
      <w:r w:rsidR="004504CF">
        <w:t xml:space="preserve"> </w:t>
      </w:r>
      <w:r w:rsidR="00225B06">
        <w:t xml:space="preserve">also </w:t>
      </w:r>
      <w:r w:rsidR="004504CF">
        <w:t xml:space="preserve">note that the </w:t>
      </w:r>
      <w:r w:rsidR="00235774">
        <w:t>gas industry opex partial f</w:t>
      </w:r>
      <w:r w:rsidR="000A4DD1">
        <w:t>actor productivity between 2006–</w:t>
      </w:r>
      <w:r w:rsidR="00235774">
        <w:t>13 was 2.12 per cent</w:t>
      </w:r>
      <w:r w:rsidR="004504CF">
        <w:t xml:space="preserve"> per annum</w:t>
      </w:r>
      <w:r w:rsidR="00235774">
        <w:t>.</w:t>
      </w:r>
      <w:r w:rsidR="00235774">
        <w:rPr>
          <w:rStyle w:val="FootnoteReference"/>
        </w:rPr>
        <w:footnoteReference w:id="25"/>
      </w:r>
      <w:r w:rsidR="00235774">
        <w:t xml:space="preserve"> </w:t>
      </w:r>
      <w:r w:rsidR="00CA3960">
        <w:t xml:space="preserve">However, with </w:t>
      </w:r>
      <w:r w:rsidR="00BA001E">
        <w:t xml:space="preserve">declining productivity for the gas industry as a whole, we do not consider the historical industry average to be the best forecast to apply to ActewAGL in the </w:t>
      </w:r>
      <w:r w:rsidR="00907691">
        <w:t>2016–21 period</w:t>
      </w:r>
      <w:r w:rsidR="00BA001E">
        <w:t xml:space="preserve">. </w:t>
      </w:r>
    </w:p>
    <w:p w:rsidR="00443988" w:rsidRDefault="00BA001E" w:rsidP="00BA001E">
      <w:r>
        <w:t xml:space="preserve">Other service providers and the industry as a whole </w:t>
      </w:r>
      <w:r w:rsidR="00566888">
        <w:t xml:space="preserve">have achieved productivity growth </w:t>
      </w:r>
      <w:r>
        <w:t xml:space="preserve">and </w:t>
      </w:r>
      <w:r w:rsidR="00566888">
        <w:t xml:space="preserve">have </w:t>
      </w:r>
      <w:r>
        <w:t>forecast productivity gains</w:t>
      </w:r>
      <w:r w:rsidR="00566888">
        <w:t xml:space="preserve"> in the future</w:t>
      </w:r>
      <w:r>
        <w:t xml:space="preserve">. </w:t>
      </w:r>
      <w:r w:rsidR="00CA3960">
        <w:t xml:space="preserve">For example JGN recently forecast average annual productivity growth of 0.59 per cent over </w:t>
      </w:r>
      <w:r w:rsidR="00566888">
        <w:t>its</w:t>
      </w:r>
      <w:r w:rsidR="000A4DD1">
        <w:t xml:space="preserve"> 2015–</w:t>
      </w:r>
      <w:r w:rsidR="00CA3960">
        <w:t>20 access arrangement period.</w:t>
      </w:r>
      <w:r w:rsidR="00FB4C13">
        <w:rPr>
          <w:rStyle w:val="FootnoteReference"/>
        </w:rPr>
        <w:footnoteReference w:id="26"/>
      </w:r>
      <w:r w:rsidR="00FE6D57">
        <w:t xml:space="preserve"> ActewAGL and JGN have some common ownership and, as discussed in relation to step changes, ActewAGL has used certain JGN costs to forecast its own costs for the </w:t>
      </w:r>
      <w:r w:rsidR="00907691">
        <w:t>2016–21 period</w:t>
      </w:r>
      <w:r w:rsidR="00FE6D57">
        <w:t>.</w:t>
      </w:r>
    </w:p>
    <w:p w:rsidR="00BA001E" w:rsidRDefault="00443988" w:rsidP="00BA001E">
      <w:r>
        <w:t xml:space="preserve">We </w:t>
      </w:r>
      <w:r w:rsidR="00566888">
        <w:t>have applied</w:t>
      </w:r>
      <w:r>
        <w:t xml:space="preserve"> </w:t>
      </w:r>
      <w:r w:rsidR="00CA3960">
        <w:t>ACIL</w:t>
      </w:r>
      <w:r w:rsidR="00BA001E" w:rsidRPr="00842D90">
        <w:t xml:space="preserve"> Allen Consulting’s </w:t>
      </w:r>
      <w:r w:rsidR="00842D90" w:rsidRPr="00842D90">
        <w:t>forecast productivity of 0.5 per cent per annum to derive our overall</w:t>
      </w:r>
      <w:r w:rsidR="00BA001E" w:rsidRPr="00842D90">
        <w:t xml:space="preserve"> rate of change.</w:t>
      </w:r>
      <w:r w:rsidR="00842D90">
        <w:t xml:space="preserve"> </w:t>
      </w:r>
      <w:r w:rsidR="00C73F9A">
        <w:t xml:space="preserve">Notwithstanding </w:t>
      </w:r>
      <w:r w:rsidR="00103736">
        <w:t xml:space="preserve">ActewAGL's concerns regarding </w:t>
      </w:r>
      <w:r w:rsidR="00C73F9A">
        <w:t>ACIL Allen's</w:t>
      </w:r>
      <w:r w:rsidR="00103736">
        <w:t xml:space="preserve"> productivity study, we note</w:t>
      </w:r>
      <w:r w:rsidR="00C73F9A">
        <w:t xml:space="preserve"> t</w:t>
      </w:r>
      <w:r w:rsidR="00BA001E">
        <w:t>his is the most up to date productivity forecast for a gas distribution business we have available at this time</w:t>
      </w:r>
      <w:r w:rsidR="00CA3960">
        <w:t xml:space="preserve"> and </w:t>
      </w:r>
      <w:r w:rsidR="00C73F9A">
        <w:t xml:space="preserve">it </w:t>
      </w:r>
      <w:r w:rsidR="00CA3960">
        <w:t>is s</w:t>
      </w:r>
      <w:r>
        <w:t xml:space="preserve">pecific </w:t>
      </w:r>
      <w:r w:rsidR="00CA3960">
        <w:t>to ActewAGL</w:t>
      </w:r>
      <w:r w:rsidR="00BA001E">
        <w:t>.</w:t>
      </w:r>
      <w:r w:rsidR="00BA001E" w:rsidRPr="00A845C1">
        <w:t xml:space="preserve"> </w:t>
      </w:r>
      <w:r w:rsidR="00C73F9A">
        <w:t xml:space="preserve">It is also similar to the recent average annual productivity forecast by </w:t>
      </w:r>
      <w:r w:rsidR="00BE5163">
        <w:t>JGN</w:t>
      </w:r>
      <w:r w:rsidR="000A4DD1">
        <w:t xml:space="preserve"> for its 2015–</w:t>
      </w:r>
      <w:r w:rsidR="00C73F9A">
        <w:t>20 access arrangement period which we accepted.</w:t>
      </w:r>
      <w:r w:rsidR="00C73F9A" w:rsidRPr="00C73F9A">
        <w:rPr>
          <w:rStyle w:val="FootnoteReference"/>
        </w:rPr>
        <w:t xml:space="preserve"> </w:t>
      </w:r>
      <w:r w:rsidR="001575AD">
        <w:t>Therefore, w</w:t>
      </w:r>
      <w:r w:rsidR="00BA001E">
        <w:t xml:space="preserve">e consider </w:t>
      </w:r>
      <w:r w:rsidR="00C73F9A">
        <w:t xml:space="preserve">a 0.5 per cent annual </w:t>
      </w:r>
      <w:r w:rsidR="00BA001E">
        <w:t>level of productivity growth is achievable by ActewAGL, and have incorporated it into our overall rate of change.</w:t>
      </w:r>
    </w:p>
    <w:p w:rsidR="00235774" w:rsidRDefault="00D07FC3" w:rsidP="00235774">
      <w:r>
        <w:fldChar w:fldCharType="begin"/>
      </w:r>
      <w:r>
        <w:instrText xml:space="preserve"> REF _Ref435095960 \h </w:instrText>
      </w:r>
      <w:r>
        <w:fldChar w:fldCharType="separate"/>
      </w:r>
      <w:r w:rsidR="0012045F">
        <w:t xml:space="preserve">Table </w:t>
      </w:r>
      <w:r w:rsidR="0012045F">
        <w:rPr>
          <w:noProof/>
        </w:rPr>
        <w:t>7</w:t>
      </w:r>
      <w:r w:rsidR="0012045F">
        <w:t>.</w:t>
      </w:r>
      <w:r w:rsidR="0012045F">
        <w:rPr>
          <w:noProof/>
        </w:rPr>
        <w:t>6</w:t>
      </w:r>
      <w:r>
        <w:fldChar w:fldCharType="end"/>
      </w:r>
      <w:r w:rsidR="00235774">
        <w:t xml:space="preserve"> </w:t>
      </w:r>
      <w:r w:rsidR="00B73D68">
        <w:t xml:space="preserve">contains </w:t>
      </w:r>
      <w:r w:rsidR="00F96ECC">
        <w:t>our</w:t>
      </w:r>
      <w:r w:rsidR="00235774">
        <w:t xml:space="preserve"> decision on the productivity component to be applied in the rate of change factor.</w:t>
      </w:r>
    </w:p>
    <w:p w:rsidR="00235774" w:rsidRDefault="00D07FC3" w:rsidP="00D07FC3">
      <w:pPr>
        <w:pStyle w:val="Caption"/>
      </w:pPr>
      <w:bookmarkStart w:id="46" w:name="_Ref435095960"/>
      <w:r>
        <w:t xml:space="preserve">Table </w:t>
      </w:r>
      <w:fldSimple w:instr=" STYLEREF 1 \s ">
        <w:r w:rsidR="0012045F">
          <w:rPr>
            <w:noProof/>
          </w:rPr>
          <w:t>7</w:t>
        </w:r>
      </w:fldSimple>
      <w:r>
        <w:t>.</w:t>
      </w:r>
      <w:fldSimple w:instr=" SEQ Table \* ARABIC \s 1 ">
        <w:r w:rsidR="0012045F">
          <w:rPr>
            <w:noProof/>
          </w:rPr>
          <w:t>6</w:t>
        </w:r>
      </w:fldSimple>
      <w:bookmarkEnd w:id="46"/>
      <w:r w:rsidR="00AD5A24">
        <w:tab/>
      </w:r>
      <w:r w:rsidR="00F96ECC">
        <w:t xml:space="preserve">AER’s </w:t>
      </w:r>
      <w:r w:rsidR="004504CF">
        <w:t>productivity</w:t>
      </w:r>
      <w:r w:rsidR="00D30BD1">
        <w:t xml:space="preserve"> change</w:t>
      </w:r>
      <w:r w:rsidR="004504CF">
        <w:t xml:space="preserve"> </w:t>
      </w:r>
      <w:r w:rsidR="00CA3960">
        <w:t xml:space="preserve">forecast </w:t>
      </w:r>
      <w:r w:rsidR="00235774">
        <w:t>(per cent)</w:t>
      </w:r>
    </w:p>
    <w:tbl>
      <w:tblPr>
        <w:tblStyle w:val="AERtable-numbers"/>
        <w:tblW w:w="8613" w:type="dxa"/>
        <w:tblLayout w:type="fixed"/>
        <w:tblLook w:val="04A0" w:firstRow="1" w:lastRow="0" w:firstColumn="1" w:lastColumn="0" w:noHBand="0" w:noVBand="1"/>
      </w:tblPr>
      <w:tblGrid>
        <w:gridCol w:w="2943"/>
        <w:gridCol w:w="945"/>
        <w:gridCol w:w="945"/>
        <w:gridCol w:w="945"/>
        <w:gridCol w:w="945"/>
        <w:gridCol w:w="945"/>
        <w:gridCol w:w="945"/>
      </w:tblGrid>
      <w:tr w:rsidR="00235774" w:rsidTr="00EE1A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3" w:type="dxa"/>
          </w:tcPr>
          <w:p w:rsidR="00235774" w:rsidRDefault="00235774" w:rsidP="00EE1A95">
            <w:pPr>
              <w:numPr>
                <w:ilvl w:val="0"/>
                <w:numId w:val="24"/>
              </w:numPr>
            </w:pPr>
          </w:p>
        </w:tc>
        <w:tc>
          <w:tcPr>
            <w:tcW w:w="945" w:type="dxa"/>
          </w:tcPr>
          <w:p w:rsidR="00235774" w:rsidRDefault="0061228D" w:rsidP="00EE1A95">
            <w:pPr>
              <w:numPr>
                <w:ilvl w:val="0"/>
                <w:numId w:val="24"/>
              </w:numPr>
              <w:cnfStyle w:val="100000000000" w:firstRow="1" w:lastRow="0" w:firstColumn="0" w:lastColumn="0" w:oddVBand="0" w:evenVBand="0" w:oddHBand="0" w:evenHBand="0" w:firstRowFirstColumn="0" w:firstRowLastColumn="0" w:lastRowFirstColumn="0" w:lastRowLastColumn="0"/>
            </w:pPr>
            <w:r>
              <w:t>2015–16</w:t>
            </w:r>
          </w:p>
        </w:tc>
        <w:tc>
          <w:tcPr>
            <w:tcW w:w="945" w:type="dxa"/>
          </w:tcPr>
          <w:p w:rsidR="00235774" w:rsidRDefault="000A4DD1" w:rsidP="00EE1A95">
            <w:pPr>
              <w:numPr>
                <w:ilvl w:val="0"/>
                <w:numId w:val="24"/>
              </w:numPr>
              <w:cnfStyle w:val="100000000000" w:firstRow="1" w:lastRow="0" w:firstColumn="0" w:lastColumn="0" w:oddVBand="0" w:evenVBand="0" w:oddHBand="0" w:evenHBand="0" w:firstRowFirstColumn="0" w:firstRowLastColumn="0" w:lastRowFirstColumn="0" w:lastRowLastColumn="0"/>
            </w:pPr>
            <w:r>
              <w:t>2016–</w:t>
            </w:r>
            <w:r w:rsidR="00235774">
              <w:t>17</w:t>
            </w:r>
          </w:p>
        </w:tc>
        <w:tc>
          <w:tcPr>
            <w:tcW w:w="945"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2017–</w:t>
            </w:r>
            <w:r w:rsidR="00235774">
              <w:t>18</w:t>
            </w:r>
          </w:p>
        </w:tc>
        <w:tc>
          <w:tcPr>
            <w:tcW w:w="945"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2018–</w:t>
            </w:r>
            <w:r w:rsidR="00235774">
              <w:t>19</w:t>
            </w:r>
          </w:p>
        </w:tc>
        <w:tc>
          <w:tcPr>
            <w:tcW w:w="945" w:type="dxa"/>
          </w:tcPr>
          <w:p w:rsidR="00235774" w:rsidRDefault="000A4DD1" w:rsidP="00EE1A95">
            <w:pPr>
              <w:cnfStyle w:val="100000000000" w:firstRow="1" w:lastRow="0" w:firstColumn="0" w:lastColumn="0" w:oddVBand="0" w:evenVBand="0" w:oddHBand="0" w:evenHBand="0" w:firstRowFirstColumn="0" w:firstRowLastColumn="0" w:lastRowFirstColumn="0" w:lastRowLastColumn="0"/>
            </w:pPr>
            <w:r>
              <w:t>2019–</w:t>
            </w:r>
            <w:r w:rsidR="00235774">
              <w:t>20</w:t>
            </w:r>
          </w:p>
        </w:tc>
        <w:tc>
          <w:tcPr>
            <w:tcW w:w="945" w:type="dxa"/>
          </w:tcPr>
          <w:p w:rsidR="00235774" w:rsidRDefault="000A4DD1" w:rsidP="00EE1A95">
            <w:pPr>
              <w:numPr>
                <w:ilvl w:val="0"/>
                <w:numId w:val="24"/>
              </w:numPr>
              <w:cnfStyle w:val="100000000000" w:firstRow="1" w:lastRow="0" w:firstColumn="0" w:lastColumn="0" w:oddVBand="0" w:evenVBand="0" w:oddHBand="0" w:evenHBand="0" w:firstRowFirstColumn="0" w:firstRowLastColumn="0" w:lastRowFirstColumn="0" w:lastRowLastColumn="0"/>
            </w:pPr>
            <w:r>
              <w:t>2020–</w:t>
            </w:r>
            <w:r w:rsidR="00235774">
              <w:t>21</w:t>
            </w:r>
          </w:p>
        </w:tc>
      </w:tr>
      <w:tr w:rsidR="004504CF" w:rsidTr="00EE1A95">
        <w:tc>
          <w:tcPr>
            <w:cnfStyle w:val="001000000000" w:firstRow="0" w:lastRow="0" w:firstColumn="1" w:lastColumn="0" w:oddVBand="0" w:evenVBand="0" w:oddHBand="0" w:evenHBand="0" w:firstRowFirstColumn="0" w:firstRowLastColumn="0" w:lastRowFirstColumn="0" w:lastRowLastColumn="0"/>
            <w:tcW w:w="2943" w:type="dxa"/>
          </w:tcPr>
          <w:p w:rsidR="004504CF" w:rsidRDefault="004504CF" w:rsidP="00465A0C">
            <w:pPr>
              <w:numPr>
                <w:ilvl w:val="0"/>
                <w:numId w:val="24"/>
              </w:numPr>
            </w:pPr>
            <w:r>
              <w:t xml:space="preserve">AER’s productivity </w:t>
            </w:r>
            <w:r w:rsidR="00465A0C">
              <w:t>change</w:t>
            </w:r>
          </w:p>
        </w:tc>
        <w:tc>
          <w:tcPr>
            <w:tcW w:w="945" w:type="dxa"/>
          </w:tcPr>
          <w:p w:rsidR="004504CF" w:rsidRDefault="004504CF" w:rsidP="005258DF">
            <w:pPr>
              <w:numPr>
                <w:ilvl w:val="0"/>
                <w:numId w:val="24"/>
              </w:numPr>
              <w:cnfStyle w:val="000000000000" w:firstRow="0" w:lastRow="0" w:firstColumn="0" w:lastColumn="0" w:oddVBand="0" w:evenVBand="0" w:oddHBand="0" w:evenHBand="0" w:firstRowFirstColumn="0" w:firstRowLastColumn="0" w:lastRowFirstColumn="0" w:lastRowLastColumn="0"/>
            </w:pPr>
            <w:r>
              <w:t>0.5</w:t>
            </w:r>
          </w:p>
        </w:tc>
        <w:tc>
          <w:tcPr>
            <w:tcW w:w="945" w:type="dxa"/>
          </w:tcPr>
          <w:p w:rsidR="004504CF" w:rsidRDefault="004504CF" w:rsidP="005258DF">
            <w:pPr>
              <w:numPr>
                <w:ilvl w:val="0"/>
                <w:numId w:val="24"/>
              </w:numPr>
              <w:cnfStyle w:val="000000000000" w:firstRow="0" w:lastRow="0" w:firstColumn="0" w:lastColumn="0" w:oddVBand="0" w:evenVBand="0" w:oddHBand="0" w:evenHBand="0" w:firstRowFirstColumn="0" w:firstRowLastColumn="0" w:lastRowFirstColumn="0" w:lastRowLastColumn="0"/>
            </w:pPr>
            <w:r>
              <w:t>0.5</w:t>
            </w:r>
          </w:p>
        </w:tc>
        <w:tc>
          <w:tcPr>
            <w:tcW w:w="945" w:type="dxa"/>
          </w:tcPr>
          <w:p w:rsidR="004504CF" w:rsidRDefault="004504CF" w:rsidP="005258DF">
            <w:pPr>
              <w:numPr>
                <w:ilvl w:val="0"/>
                <w:numId w:val="24"/>
              </w:numPr>
              <w:cnfStyle w:val="000000000000" w:firstRow="0" w:lastRow="0" w:firstColumn="0" w:lastColumn="0" w:oddVBand="0" w:evenVBand="0" w:oddHBand="0" w:evenHBand="0" w:firstRowFirstColumn="0" w:firstRowLastColumn="0" w:lastRowFirstColumn="0" w:lastRowLastColumn="0"/>
            </w:pPr>
            <w:r>
              <w:t>0.5</w:t>
            </w:r>
          </w:p>
        </w:tc>
        <w:tc>
          <w:tcPr>
            <w:tcW w:w="945" w:type="dxa"/>
          </w:tcPr>
          <w:p w:rsidR="004504CF" w:rsidRDefault="004504CF" w:rsidP="005258DF">
            <w:pPr>
              <w:numPr>
                <w:ilvl w:val="0"/>
                <w:numId w:val="24"/>
              </w:numPr>
              <w:cnfStyle w:val="000000000000" w:firstRow="0" w:lastRow="0" w:firstColumn="0" w:lastColumn="0" w:oddVBand="0" w:evenVBand="0" w:oddHBand="0" w:evenHBand="0" w:firstRowFirstColumn="0" w:firstRowLastColumn="0" w:lastRowFirstColumn="0" w:lastRowLastColumn="0"/>
            </w:pPr>
            <w:r>
              <w:t>0.5</w:t>
            </w:r>
          </w:p>
        </w:tc>
        <w:tc>
          <w:tcPr>
            <w:tcW w:w="945" w:type="dxa"/>
          </w:tcPr>
          <w:p w:rsidR="004504CF" w:rsidRDefault="004504CF" w:rsidP="005258DF">
            <w:pPr>
              <w:numPr>
                <w:ilvl w:val="0"/>
                <w:numId w:val="24"/>
              </w:numPr>
              <w:cnfStyle w:val="000000000000" w:firstRow="0" w:lastRow="0" w:firstColumn="0" w:lastColumn="0" w:oddVBand="0" w:evenVBand="0" w:oddHBand="0" w:evenHBand="0" w:firstRowFirstColumn="0" w:firstRowLastColumn="0" w:lastRowFirstColumn="0" w:lastRowLastColumn="0"/>
            </w:pPr>
            <w:r>
              <w:t>0.5</w:t>
            </w:r>
          </w:p>
        </w:tc>
        <w:tc>
          <w:tcPr>
            <w:tcW w:w="945" w:type="dxa"/>
          </w:tcPr>
          <w:p w:rsidR="004504CF" w:rsidRDefault="004504CF" w:rsidP="005258DF">
            <w:pPr>
              <w:cnfStyle w:val="000000000000" w:firstRow="0" w:lastRow="0" w:firstColumn="0" w:lastColumn="0" w:oddVBand="0" w:evenVBand="0" w:oddHBand="0" w:evenHBand="0" w:firstRowFirstColumn="0" w:firstRowLastColumn="0" w:lastRowFirstColumn="0" w:lastRowLastColumn="0"/>
            </w:pPr>
            <w:r>
              <w:t>0.5</w:t>
            </w:r>
          </w:p>
        </w:tc>
      </w:tr>
    </w:tbl>
    <w:p w:rsidR="00235774" w:rsidRDefault="00235774" w:rsidP="00235774">
      <w:pPr>
        <w:pStyle w:val="AERtablesource"/>
      </w:pPr>
      <w:r>
        <w:t xml:space="preserve">Note: </w:t>
      </w:r>
      <w:r>
        <w:tab/>
        <w:t xml:space="preserve">ActewAGL did not </w:t>
      </w:r>
      <w:r w:rsidR="004504CF">
        <w:t xml:space="preserve">include </w:t>
      </w:r>
      <w:r>
        <w:t xml:space="preserve">a forecast productivity </w:t>
      </w:r>
      <w:r w:rsidR="00225B06">
        <w:t xml:space="preserve">component </w:t>
      </w:r>
      <w:r>
        <w:t>in the rate of change applied to its forecasts.</w:t>
      </w:r>
    </w:p>
    <w:p w:rsidR="00235774" w:rsidRPr="00EE3930" w:rsidRDefault="00235774" w:rsidP="00235774">
      <w:pPr>
        <w:pStyle w:val="AERtablesource"/>
      </w:pPr>
      <w:r>
        <w:t xml:space="preserve">Source: </w:t>
      </w:r>
      <w:r>
        <w:tab/>
        <w:t>AER analysis</w:t>
      </w:r>
      <w:r w:rsidR="00D30BD1">
        <w:t>.</w:t>
      </w:r>
    </w:p>
    <w:p w:rsidR="0042119B" w:rsidRDefault="0042119B" w:rsidP="00DF4A50">
      <w:pPr>
        <w:pStyle w:val="Heading3"/>
      </w:pPr>
      <w:bookmarkStart w:id="47" w:name="_Ref435091696"/>
      <w:bookmarkStart w:id="48" w:name="_Ref435109260"/>
      <w:bookmarkStart w:id="49" w:name="_Ref435453421"/>
      <w:bookmarkStart w:id="50" w:name="_Toc436042331"/>
      <w:r>
        <w:t>Step changes</w:t>
      </w:r>
      <w:bookmarkEnd w:id="47"/>
      <w:bookmarkEnd w:id="48"/>
      <w:bookmarkEnd w:id="49"/>
      <w:bookmarkEnd w:id="50"/>
    </w:p>
    <w:p w:rsidR="00D30BD1" w:rsidRPr="00D30BD1" w:rsidRDefault="00D30BD1" w:rsidP="00D30BD1">
      <w:r w:rsidRPr="00D30BD1">
        <w:t xml:space="preserve">In some instances, a service provider may face a step change in efficient costs that is not reflected in the base year or rate of change for the access arrangement period. Our assessment of step changes is made in the context of our assessment of the service provider's total forecast opex. When assessing a service provider's proposed step changes, we consider whether with those changes, total opex would comply with the opex criteria.  </w:t>
      </w:r>
    </w:p>
    <w:p w:rsidR="00D30BD1" w:rsidRPr="00D30BD1" w:rsidRDefault="00D30BD1" w:rsidP="00D30BD1">
      <w:r w:rsidRPr="00D30BD1">
        <w:lastRenderedPageBreak/>
        <w:t xml:space="preserve">As a starting point, we consider whether the proposed step changes in opex are already compensated through other elements of our opex forecast, such as the base efficient opex or the 'rate of change' component. Step changes should not double count costs included in other elements of the opex forecast. </w:t>
      </w:r>
    </w:p>
    <w:p w:rsidR="00D30BD1" w:rsidRPr="00D30BD1" w:rsidRDefault="00D30BD1" w:rsidP="00D30BD1">
      <w:r w:rsidRPr="00D30BD1">
        <w:t>We generally consider an efficient base level of opex (rolled forward each year with an appropriate rate of change) is sufficient for a prudent and efficient service provider to meet all existing regulatory and service obligations. We only include a step change in our opex forecast if we are satisfied a prudent and efficient service provider would need an increase in its opex to reasonably reflect the opex criteria.</w:t>
      </w:r>
    </w:p>
    <w:p w:rsidR="00D30BD1" w:rsidRPr="00D30BD1" w:rsidRDefault="00D30BD1" w:rsidP="00D30BD1">
      <w:r w:rsidRPr="00D30BD1">
        <w:t>We forecast opex by applying an annual 'rate of change' to the base year for each year of the forecast access arrangement period. The annual rate of change accounts for efficient changes in opex over time. 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D30BD1" w:rsidRPr="00D30BD1" w:rsidRDefault="00D30BD1" w:rsidP="00D30BD1">
      <w:r w:rsidRPr="00D30BD1">
        <w:t>For example, a step change should not double count the costs of increased volume or scale compensated through the forecast change in output. We account for output growth by applying a forecast output growth factor to the opex base year. If the output growth measure used captures all changes in output then step changes that relate to forecast changes in output will not be required. To give another example, a step change is not required for the maintenance costs of new office space required due to the service provider's expanding network. The opex forecast has already been increased (from the base year which includes office maintenance) to account for forecast network growth.</w:t>
      </w:r>
      <w:r>
        <w:rPr>
          <w:rStyle w:val="FootnoteReference"/>
        </w:rPr>
        <w:footnoteReference w:id="27"/>
      </w:r>
      <w:r w:rsidRPr="00D30BD1">
        <w:t xml:space="preserve">   </w:t>
      </w:r>
    </w:p>
    <w:p w:rsidR="00D30BD1" w:rsidRPr="00D30BD1" w:rsidRDefault="00D30BD1" w:rsidP="00D30BD1">
      <w:r w:rsidRPr="00D30BD1">
        <w:t xml:space="preserve">By applying the rate of change to the base year opex, we also adjust our opex forecast to account for real price increases. A step change should not double count price increases already compensated through this adjustment. Applying a step change for costs that are forecast to increase faster than CPI is likely to yield a biased forecast if we do not also apply a negative step change for costs that are increasing by less than CPI. A good example is insurance premiums. A step change is not required if insurance premiums are forecast to increase faster than CPI because within total opex there will be other items opex where the price may be forecast to increase by less than CPI. If we add a step change to account for higher insurance premiums we might provide a more accurate forecast for the insurance category in isolation; however, our forecast for opex as a whole will be too high. </w:t>
      </w:r>
    </w:p>
    <w:p w:rsidR="00D30BD1" w:rsidRPr="00D30BD1" w:rsidRDefault="00D30BD1" w:rsidP="00D30BD1">
      <w:r w:rsidRPr="00D30BD1">
        <w:lastRenderedPageBreak/>
        <w:t>Further to assessing whether step changes are captured in other elements of the opex forecast, we assess the reasons for, and the efficient level of, the incremental costs the service provider has proposed. In particular, we have regard to:</w:t>
      </w:r>
      <w:r>
        <w:rPr>
          <w:rStyle w:val="FootnoteReference"/>
        </w:rPr>
        <w:footnoteReference w:id="28"/>
      </w:r>
      <w:r w:rsidRPr="00D30BD1">
        <w:t xml:space="preserve"> </w:t>
      </w:r>
    </w:p>
    <w:p w:rsidR="00D30BD1" w:rsidRPr="00D30BD1" w:rsidRDefault="00D30BD1" w:rsidP="00D30BD1">
      <w:pPr>
        <w:pStyle w:val="AERbulletlistfirststyle"/>
      </w:pPr>
      <w:r w:rsidRPr="00D30BD1">
        <w:t>whether there is a change in circumstances that affects the level of expenditure a prudent service provider requires to meet the opex criteria efficiently</w:t>
      </w:r>
    </w:p>
    <w:p w:rsidR="00D30BD1" w:rsidRPr="00D30BD1" w:rsidRDefault="00D30BD1" w:rsidP="00D30BD1">
      <w:pPr>
        <w:pStyle w:val="AERbulletlistfirststyle"/>
      </w:pPr>
      <w:r w:rsidRPr="00D30BD1">
        <w:t xml:space="preserve">what options were considered to respond to the change in circumstances </w:t>
      </w:r>
    </w:p>
    <w:p w:rsidR="00D30BD1" w:rsidRPr="00D30BD1" w:rsidRDefault="00D30BD1" w:rsidP="00D30BD1">
      <w:pPr>
        <w:pStyle w:val="AERbulletlistfirststyle"/>
      </w:pPr>
      <w:r w:rsidRPr="00D30BD1">
        <w:t xml:space="preserve">whether the option selected was the most efficient option––that is, whether the service provider took appropriate steps to minimise its expected cost of compliance </w:t>
      </w:r>
    </w:p>
    <w:p w:rsidR="00D30BD1" w:rsidRPr="00D30BD1" w:rsidRDefault="00D30BD1" w:rsidP="00D30BD1">
      <w:pPr>
        <w:pStyle w:val="AERbulletlistfirststyle"/>
      </w:pPr>
      <w:r w:rsidRPr="00D30BD1">
        <w:t>the efficient costs associated with the step change and whether the proposal appropriately quantified all costs savings and benefits</w:t>
      </w:r>
    </w:p>
    <w:p w:rsidR="00D30BD1" w:rsidRPr="00D30BD1" w:rsidRDefault="00D30BD1" w:rsidP="00D30BD1">
      <w:pPr>
        <w:pStyle w:val="AERbulletlistfirststyle"/>
      </w:pPr>
      <w:r w:rsidRPr="00D30BD1">
        <w:t xml:space="preserve">when the change event occurs and when it is efficient to incur expenditure, including whether it can be completed over the </w:t>
      </w:r>
      <w:r w:rsidR="000A4DD1">
        <w:t xml:space="preserve">access arrangement </w:t>
      </w:r>
      <w:r w:rsidRPr="00D30BD1">
        <w:t xml:space="preserve">period </w:t>
      </w:r>
    </w:p>
    <w:p w:rsidR="00D30BD1" w:rsidRPr="00D30BD1" w:rsidRDefault="00D30BD1" w:rsidP="00D30BD1">
      <w:pPr>
        <w:pStyle w:val="AERbulletlistfirststyle"/>
      </w:pPr>
      <w:r w:rsidRPr="00D30BD1">
        <w:t>whether the costs can be met from existing regulatory allowances or from other elements of the expenditure forecasts.</w:t>
      </w:r>
    </w:p>
    <w:p w:rsidR="00D30BD1" w:rsidRPr="00D30BD1" w:rsidRDefault="00D30BD1" w:rsidP="00D30BD1">
      <w:r w:rsidRPr="00D30BD1">
        <w:t>One important consideration is whether each proposed step change is driven by an external obligation (such as new legislation or regulations) or an internal management decision (such as a decision to use contractors). Step changes should generally relate to a new obligation or some change in the service provider's operating environment beyond its control in order to be expenditure that complies with the opex criteria. It is not enough to simply demonstrate an efficient cost will be incurred for an activity that was not previously undertaken. As noted above, the opex forecasting approach may capture these costs elsewhere.</w:t>
      </w:r>
    </w:p>
    <w:p w:rsidR="00D30BD1" w:rsidRPr="00D30BD1" w:rsidRDefault="00D30BD1" w:rsidP="00D30BD1">
      <w:r w:rsidRPr="00D30BD1">
        <w:t xml:space="preserve">Usually increases in costs are not required for discretionary changes in inputs. Efficient discretionary changes in inputs (not required to increase output) should normally have a net negative impact on expenditure. For example, a service provider may choose to invest capex and opex in a new IT solution. The service provider should not be provided with an increase in its total opex to finance the new IT since the outlay should be at least offset by a reduction in other costs if it is efficient. This means we will not allow step changes for any short–term cost to a service provider of implementing efficiency improvements. We expect the service provider to bear such costs and thereby make efficient trade–offs between bearing these costs and achieving future efficiencies. </w:t>
      </w:r>
    </w:p>
    <w:p w:rsidR="00D30BD1" w:rsidRPr="00D30BD1" w:rsidRDefault="00D30BD1" w:rsidP="00D30BD1">
      <w:r w:rsidRPr="00D30BD1">
        <w:t xml:space="preserve">One situation where a step change to total opex may be required is when a service provider chooses an operating solution </w:t>
      </w:r>
      <w:r w:rsidR="000A4DD1">
        <w:t xml:space="preserve">to replace a capital one. </w:t>
      </w:r>
      <w:r w:rsidRPr="00D30BD1">
        <w:t xml:space="preserve">For example, it may choose to lease vehicles when it previously purchased them. For these capex/opex trade–off step changes, we will assess whether it is prudent and efficient to substitute capex for opex or vice versa. In doing so we will assess whether the forecast opex </w:t>
      </w:r>
      <w:r w:rsidRPr="00D30BD1">
        <w:lastRenderedPageBreak/>
        <w:t>over the life of the alternative capital solution is less than the capex in N</w:t>
      </w:r>
      <w:r w:rsidR="00AC760F">
        <w:t xml:space="preserve">et </w:t>
      </w:r>
      <w:r w:rsidRPr="00D30BD1">
        <w:t>P</w:t>
      </w:r>
      <w:r w:rsidR="00AC760F">
        <w:t xml:space="preserve">resent </w:t>
      </w:r>
      <w:r w:rsidRPr="00D30BD1">
        <w:t>V</w:t>
      </w:r>
      <w:r w:rsidR="00AC760F">
        <w:t>alue (NPV)</w:t>
      </w:r>
      <w:r w:rsidRPr="00D30BD1">
        <w:t xml:space="preserve"> terms.</w:t>
      </w:r>
    </w:p>
    <w:p w:rsidR="00D30BD1" w:rsidRPr="00D30BD1" w:rsidRDefault="00D30BD1" w:rsidP="00D30BD1">
      <w:r w:rsidRPr="00D30BD1">
        <w:t>We recognise there could be other changes to opex not accounted for through our estimate of base opex and rate of change which is required to meet the opex criteria. For this reason, we assess each proposed step change on its merits. If we are presented with persuasive evidence that a service provider would incur opex that meets the opex criteria in addition to our estimate of base opex (adjusted for our estimate of the rate of change in base opex), then we will include that step change.</w:t>
      </w:r>
    </w:p>
    <w:p w:rsidR="00D30BD1" w:rsidRDefault="00D30BD1" w:rsidP="00D30BD1">
      <w:r w:rsidRPr="00D30BD1">
        <w:t>However, in identifying other reasons why step changes may occur we consider it is important that the approach to identifying these cost drivers is not subject to bias. The ultimate test we must apply is that step changes are only applied where they are needed for the total opex forecast to reasonably reflect the opex criteria. For instance, we do not consider we should apply a step change just because opex on a particular category is expected to rise. Over a</w:t>
      </w:r>
      <w:r w:rsidR="006509CD">
        <w:t>n</w:t>
      </w:r>
      <w:r w:rsidRPr="00D30BD1">
        <w:t xml:space="preserve"> access arrangement period, opex on various categories of opex will both increase and decrease. However, fluctuations in opex at the category level can be managed by a prudent and efficient service provider without increasing its total opex. For instance, a service provider can re–prioritise some areas of opex. Therefore a step change in total forecast opex may not be necessary.</w:t>
      </w:r>
    </w:p>
    <w:p w:rsidR="003C12BB" w:rsidRDefault="00414771" w:rsidP="00D30BD1">
      <w:r>
        <w:t>ActewAGL proposed 11 step changes which result in an increase in total opex of $5.6 million ($2015–16)</w:t>
      </w:r>
      <w:r w:rsidRPr="00A86B8A">
        <w:t xml:space="preserve">. </w:t>
      </w:r>
      <w:r>
        <w:t>We assessed ActewAGL’s</w:t>
      </w:r>
      <w:r w:rsidRPr="000F013A">
        <w:t xml:space="preserve"> proposed </w:t>
      </w:r>
      <w:r>
        <w:t xml:space="preserve">step changes to </w:t>
      </w:r>
      <w:r w:rsidRPr="000F013A">
        <w:t>determine whether these should be included in our total opex forecast.</w:t>
      </w:r>
      <w:r w:rsidRPr="008401C4">
        <w:t xml:space="preserve"> </w:t>
      </w:r>
      <w:r w:rsidR="00D07FC3">
        <w:fldChar w:fldCharType="begin"/>
      </w:r>
      <w:r w:rsidR="00D07FC3">
        <w:instrText xml:space="preserve"> REF _Ref435095980 \h </w:instrText>
      </w:r>
      <w:r w:rsidR="00D07FC3">
        <w:fldChar w:fldCharType="separate"/>
      </w:r>
      <w:r w:rsidR="003C12BB">
        <w:t xml:space="preserve">Table </w:t>
      </w:r>
      <w:r w:rsidR="003C12BB">
        <w:rPr>
          <w:noProof/>
        </w:rPr>
        <w:t>7</w:t>
      </w:r>
      <w:r w:rsidR="003C12BB">
        <w:t>.</w:t>
      </w:r>
      <w:r w:rsidR="003C12BB">
        <w:rPr>
          <w:noProof/>
        </w:rPr>
        <w:t>7</w:t>
      </w:r>
      <w:r w:rsidR="00D07FC3">
        <w:fldChar w:fldCharType="end"/>
      </w:r>
      <w:r w:rsidR="00D07FC3">
        <w:t xml:space="preserve"> </w:t>
      </w:r>
      <w:r>
        <w:t xml:space="preserve">shows ActewAGL’s proposed step changes and our position on each of </w:t>
      </w:r>
      <w:r w:rsidR="003F24AA">
        <w:t>them</w:t>
      </w:r>
      <w:r>
        <w:t>. Our reasons are provided below.</w:t>
      </w:r>
    </w:p>
    <w:p w:rsidR="003C12BB" w:rsidRDefault="003C12BB">
      <w:pPr>
        <w:spacing w:line="240" w:lineRule="auto"/>
      </w:pPr>
      <w:r>
        <w:br w:type="page"/>
      </w:r>
    </w:p>
    <w:p w:rsidR="00414771" w:rsidRDefault="00D07FC3" w:rsidP="00D07FC3">
      <w:pPr>
        <w:pStyle w:val="Caption"/>
      </w:pPr>
      <w:bookmarkStart w:id="51" w:name="_Ref435095980"/>
      <w:r>
        <w:lastRenderedPageBreak/>
        <w:t xml:space="preserve">Table </w:t>
      </w:r>
      <w:fldSimple w:instr=" STYLEREF 1 \s ">
        <w:r w:rsidR="0012045F">
          <w:rPr>
            <w:noProof/>
          </w:rPr>
          <w:t>7</w:t>
        </w:r>
      </w:fldSimple>
      <w:r>
        <w:t>.</w:t>
      </w:r>
      <w:fldSimple w:instr=" SEQ Table \* ARABIC \s 1 ">
        <w:r w:rsidR="0012045F">
          <w:rPr>
            <w:noProof/>
          </w:rPr>
          <w:t>7</w:t>
        </w:r>
      </w:fldSimple>
      <w:bookmarkEnd w:id="51"/>
      <w:r w:rsidR="00414771">
        <w:tab/>
        <w:t xml:space="preserve">AER’s draft decision </w:t>
      </w:r>
      <w:r w:rsidR="005B3EC9">
        <w:t xml:space="preserve">on step changes </w:t>
      </w:r>
      <w:r w:rsidR="00414771">
        <w:t>($million, </w:t>
      </w:r>
      <w:r w:rsidR="0061228D">
        <w:t>2015–16</w:t>
      </w:r>
      <w:r w:rsidR="00414771">
        <w:t>)</w:t>
      </w:r>
    </w:p>
    <w:tbl>
      <w:tblPr>
        <w:tblStyle w:val="AERtable-text0"/>
        <w:tblW w:w="8613" w:type="dxa"/>
        <w:tblLook w:val="04A0" w:firstRow="1" w:lastRow="0" w:firstColumn="1" w:lastColumn="0" w:noHBand="0" w:noVBand="1"/>
      </w:tblPr>
      <w:tblGrid>
        <w:gridCol w:w="5778"/>
        <w:gridCol w:w="1418"/>
        <w:gridCol w:w="1417"/>
      </w:tblGrid>
      <w:tr w:rsidR="00705FC2" w:rsidTr="00705FC2">
        <w:trPr>
          <w:cnfStyle w:val="100000000000" w:firstRow="1" w:lastRow="0" w:firstColumn="0" w:lastColumn="0" w:oddVBand="0" w:evenVBand="0" w:oddHBand="0" w:evenHBand="0" w:firstRowFirstColumn="0" w:firstRowLastColumn="0" w:lastRowFirstColumn="0" w:lastRowLastColumn="0"/>
          <w:tblHeader/>
        </w:trPr>
        <w:tc>
          <w:tcPr>
            <w:tcW w:w="5778" w:type="dxa"/>
          </w:tcPr>
          <w:p w:rsidR="00705FC2" w:rsidRDefault="00705FC2" w:rsidP="00EE1A95">
            <w:r>
              <w:t xml:space="preserve">Proposed step change </w:t>
            </w:r>
          </w:p>
        </w:tc>
        <w:tc>
          <w:tcPr>
            <w:tcW w:w="1418" w:type="dxa"/>
          </w:tcPr>
          <w:p w:rsidR="00705FC2" w:rsidRDefault="00705FC2" w:rsidP="00EE1A95">
            <w:r>
              <w:t>Amount</w:t>
            </w:r>
          </w:p>
        </w:tc>
        <w:tc>
          <w:tcPr>
            <w:tcW w:w="1417" w:type="dxa"/>
          </w:tcPr>
          <w:p w:rsidR="00705FC2" w:rsidRDefault="00705FC2" w:rsidP="000F7382">
            <w:r>
              <w:t xml:space="preserve">Draft decision </w:t>
            </w:r>
          </w:p>
        </w:tc>
      </w:tr>
      <w:tr w:rsidR="00705FC2" w:rsidTr="00705FC2">
        <w:tc>
          <w:tcPr>
            <w:tcW w:w="5778" w:type="dxa"/>
          </w:tcPr>
          <w:p w:rsidR="00705FC2" w:rsidRDefault="00705FC2" w:rsidP="00EE1A95">
            <w:pPr>
              <w:rPr>
                <w:rFonts w:cs="Arial"/>
              </w:rPr>
            </w:pPr>
            <w:r w:rsidRPr="00FF2AF5">
              <w:rPr>
                <w:rFonts w:cs="Arial"/>
              </w:rPr>
              <w:t>National Energy Customer Framework</w:t>
            </w:r>
            <w:r>
              <w:rPr>
                <w:rFonts w:cs="Arial"/>
              </w:rPr>
              <w:t xml:space="preserve"> compliance</w:t>
            </w:r>
          </w:p>
        </w:tc>
        <w:tc>
          <w:tcPr>
            <w:tcW w:w="1418" w:type="dxa"/>
          </w:tcPr>
          <w:p w:rsidR="00705FC2" w:rsidRDefault="00705FC2" w:rsidP="00EE1A95">
            <w:r w:rsidRPr="00FF2AF5">
              <w:rPr>
                <w:rFonts w:cs="Arial"/>
              </w:rPr>
              <w:t>0.8</w:t>
            </w:r>
          </w:p>
        </w:tc>
        <w:tc>
          <w:tcPr>
            <w:tcW w:w="1417" w:type="dxa"/>
          </w:tcPr>
          <w:p w:rsidR="00705FC2" w:rsidRDefault="00705FC2" w:rsidP="00EE1A95">
            <w:r>
              <w:t>0.8</w:t>
            </w:r>
          </w:p>
        </w:tc>
      </w:tr>
      <w:tr w:rsidR="00705FC2" w:rsidTr="00705FC2">
        <w:trPr>
          <w:cnfStyle w:val="000000010000" w:firstRow="0" w:lastRow="0" w:firstColumn="0" w:lastColumn="0" w:oddVBand="0" w:evenVBand="0" w:oddHBand="0" w:evenHBand="1" w:firstRowFirstColumn="0" w:firstRowLastColumn="0" w:lastRowFirstColumn="0" w:lastRowLastColumn="0"/>
        </w:trPr>
        <w:tc>
          <w:tcPr>
            <w:tcW w:w="5778" w:type="dxa"/>
          </w:tcPr>
          <w:p w:rsidR="00705FC2" w:rsidRDefault="00705FC2" w:rsidP="00EE1A95">
            <w:pPr>
              <w:rPr>
                <w:rFonts w:cs="Arial"/>
              </w:rPr>
            </w:pPr>
            <w:r>
              <w:rPr>
                <w:rFonts w:cs="Arial"/>
              </w:rPr>
              <w:t xml:space="preserve">National </w:t>
            </w:r>
            <w:r w:rsidRPr="00FF2AF5">
              <w:rPr>
                <w:rFonts w:cs="Arial"/>
              </w:rPr>
              <w:t xml:space="preserve">Business to Business </w:t>
            </w:r>
            <w:r>
              <w:rPr>
                <w:rFonts w:cs="Arial"/>
              </w:rPr>
              <w:t xml:space="preserve">harmonisation </w:t>
            </w:r>
          </w:p>
        </w:tc>
        <w:tc>
          <w:tcPr>
            <w:tcW w:w="1418" w:type="dxa"/>
          </w:tcPr>
          <w:p w:rsidR="00705FC2" w:rsidRDefault="00705FC2" w:rsidP="00EE1A95">
            <w:r w:rsidRPr="00FF2AF5">
              <w:rPr>
                <w:rFonts w:cs="Arial"/>
              </w:rPr>
              <w:t>1.1</w:t>
            </w:r>
          </w:p>
        </w:tc>
        <w:tc>
          <w:tcPr>
            <w:tcW w:w="1417" w:type="dxa"/>
          </w:tcPr>
          <w:p w:rsidR="00705FC2" w:rsidRDefault="00705FC2" w:rsidP="00EE1A95">
            <w:r>
              <w:t>1.1</w:t>
            </w:r>
          </w:p>
        </w:tc>
      </w:tr>
      <w:tr w:rsidR="00705FC2" w:rsidTr="00705FC2">
        <w:tc>
          <w:tcPr>
            <w:tcW w:w="5778" w:type="dxa"/>
          </w:tcPr>
          <w:p w:rsidR="00705FC2" w:rsidRDefault="00705FC2" w:rsidP="00EE1A95">
            <w:pPr>
              <w:rPr>
                <w:rFonts w:cs="Arial"/>
              </w:rPr>
            </w:pPr>
            <w:r w:rsidRPr="00FF2AF5">
              <w:rPr>
                <w:rFonts w:cs="Arial"/>
              </w:rPr>
              <w:t xml:space="preserve">IT asset utilisation fee </w:t>
            </w:r>
          </w:p>
        </w:tc>
        <w:tc>
          <w:tcPr>
            <w:tcW w:w="1418" w:type="dxa"/>
          </w:tcPr>
          <w:p w:rsidR="00705FC2" w:rsidRDefault="00705FC2" w:rsidP="00EE1A95">
            <w:r w:rsidRPr="00FF2AF5">
              <w:rPr>
                <w:rFonts w:cs="Arial"/>
              </w:rPr>
              <w:t>4</w:t>
            </w:r>
            <w:r>
              <w:rPr>
                <w:rFonts w:cs="Arial"/>
              </w:rPr>
              <w:t>.2</w:t>
            </w:r>
          </w:p>
        </w:tc>
        <w:tc>
          <w:tcPr>
            <w:tcW w:w="1417" w:type="dxa"/>
          </w:tcPr>
          <w:p w:rsidR="00705FC2" w:rsidRDefault="00705FC2" w:rsidP="00EE1A95">
            <w:r>
              <w:t>1.0</w:t>
            </w:r>
          </w:p>
        </w:tc>
      </w:tr>
      <w:tr w:rsidR="00705FC2" w:rsidTr="00705FC2">
        <w:trPr>
          <w:cnfStyle w:val="000000010000" w:firstRow="0" w:lastRow="0" w:firstColumn="0" w:lastColumn="0" w:oddVBand="0" w:evenVBand="0" w:oddHBand="0" w:evenHBand="1" w:firstRowFirstColumn="0" w:firstRowLastColumn="0" w:lastRowFirstColumn="0" w:lastRowLastColumn="0"/>
        </w:trPr>
        <w:tc>
          <w:tcPr>
            <w:tcW w:w="5778" w:type="dxa"/>
          </w:tcPr>
          <w:p w:rsidR="00705FC2" w:rsidRDefault="00705FC2" w:rsidP="00EE1A95">
            <w:pPr>
              <w:rPr>
                <w:rFonts w:cs="Arial"/>
              </w:rPr>
            </w:pPr>
            <w:r>
              <w:rPr>
                <w:rFonts w:cs="Arial"/>
              </w:rPr>
              <w:t>Network risk and security management</w:t>
            </w:r>
          </w:p>
        </w:tc>
        <w:tc>
          <w:tcPr>
            <w:tcW w:w="1418" w:type="dxa"/>
          </w:tcPr>
          <w:p w:rsidR="00705FC2" w:rsidRDefault="00705FC2" w:rsidP="00EE1A95">
            <w:r>
              <w:rPr>
                <w:rFonts w:cs="Arial"/>
              </w:rPr>
              <w:t>0.5</w:t>
            </w:r>
          </w:p>
        </w:tc>
        <w:tc>
          <w:tcPr>
            <w:tcW w:w="1417" w:type="dxa"/>
          </w:tcPr>
          <w:p w:rsidR="00705FC2" w:rsidRDefault="00705FC2" w:rsidP="00EE1A95">
            <w:r>
              <w:t>0.0</w:t>
            </w:r>
          </w:p>
        </w:tc>
      </w:tr>
      <w:tr w:rsidR="00705FC2" w:rsidTr="00705FC2">
        <w:tc>
          <w:tcPr>
            <w:tcW w:w="5778" w:type="dxa"/>
            <w:shd w:val="clear" w:color="auto" w:fill="auto"/>
          </w:tcPr>
          <w:p w:rsidR="00705FC2" w:rsidRPr="00ED541A" w:rsidRDefault="00705FC2" w:rsidP="00EE1A95">
            <w:pPr>
              <w:rPr>
                <w:rFonts w:cs="Arial"/>
              </w:rPr>
            </w:pPr>
            <w:r w:rsidRPr="00ED541A">
              <w:rPr>
                <w:rFonts w:cs="Arial"/>
              </w:rPr>
              <w:t xml:space="preserve">Hoskinstown O&amp;M contract renegotiation </w:t>
            </w:r>
          </w:p>
        </w:tc>
        <w:tc>
          <w:tcPr>
            <w:tcW w:w="1418" w:type="dxa"/>
            <w:shd w:val="clear" w:color="auto" w:fill="auto"/>
          </w:tcPr>
          <w:p w:rsidR="00705FC2" w:rsidRPr="00ED541A" w:rsidRDefault="00705FC2" w:rsidP="00EE1A95">
            <w:r w:rsidRPr="00ED541A">
              <w:t>0.3</w:t>
            </w:r>
          </w:p>
        </w:tc>
        <w:tc>
          <w:tcPr>
            <w:tcW w:w="1417" w:type="dxa"/>
          </w:tcPr>
          <w:p w:rsidR="00705FC2" w:rsidRDefault="00705FC2" w:rsidP="00EE1A95">
            <w:r>
              <w:t>0.0</w:t>
            </w:r>
          </w:p>
        </w:tc>
      </w:tr>
      <w:tr w:rsidR="00705FC2" w:rsidTr="00705FC2">
        <w:trPr>
          <w:cnfStyle w:val="000000010000" w:firstRow="0" w:lastRow="0" w:firstColumn="0" w:lastColumn="0" w:oddVBand="0" w:evenVBand="0" w:oddHBand="0" w:evenHBand="1" w:firstRowFirstColumn="0" w:firstRowLastColumn="0" w:lastRowFirstColumn="0" w:lastRowLastColumn="0"/>
        </w:trPr>
        <w:tc>
          <w:tcPr>
            <w:tcW w:w="5778" w:type="dxa"/>
          </w:tcPr>
          <w:p w:rsidR="00705FC2" w:rsidRDefault="00705FC2" w:rsidP="00EE1A95">
            <w:pPr>
              <w:rPr>
                <w:rFonts w:cs="Arial"/>
              </w:rPr>
            </w:pPr>
            <w:r>
              <w:rPr>
                <w:rFonts w:cs="Arial"/>
              </w:rPr>
              <w:t>Periodic inspections of exposed main and water bath heater assets</w:t>
            </w:r>
          </w:p>
        </w:tc>
        <w:tc>
          <w:tcPr>
            <w:tcW w:w="1418" w:type="dxa"/>
          </w:tcPr>
          <w:p w:rsidR="00705FC2" w:rsidRDefault="00705FC2" w:rsidP="00EE1A95">
            <w:r>
              <w:rPr>
                <w:rFonts w:cs="Arial"/>
              </w:rPr>
              <w:t>0.3</w:t>
            </w:r>
          </w:p>
        </w:tc>
        <w:tc>
          <w:tcPr>
            <w:tcW w:w="1417" w:type="dxa"/>
          </w:tcPr>
          <w:p w:rsidR="00705FC2" w:rsidRDefault="00705FC2" w:rsidP="00EE1A95">
            <w:r>
              <w:t>0.0</w:t>
            </w:r>
          </w:p>
        </w:tc>
      </w:tr>
      <w:tr w:rsidR="00705FC2" w:rsidTr="00705FC2">
        <w:tc>
          <w:tcPr>
            <w:tcW w:w="5778" w:type="dxa"/>
          </w:tcPr>
          <w:p w:rsidR="00705FC2" w:rsidRDefault="00705FC2" w:rsidP="00EE1A95">
            <w:pPr>
              <w:rPr>
                <w:rFonts w:cs="Arial"/>
              </w:rPr>
            </w:pPr>
            <w:r w:rsidRPr="00FF2AF5">
              <w:rPr>
                <w:rFonts w:cs="Arial"/>
              </w:rPr>
              <w:t>New capex driven opex</w:t>
            </w:r>
          </w:p>
        </w:tc>
        <w:tc>
          <w:tcPr>
            <w:tcW w:w="1418" w:type="dxa"/>
          </w:tcPr>
          <w:p w:rsidR="00705FC2" w:rsidRDefault="00705FC2" w:rsidP="00EE1A95">
            <w:r>
              <w:rPr>
                <w:rFonts w:cs="Arial"/>
              </w:rPr>
              <w:t>0.6</w:t>
            </w:r>
          </w:p>
        </w:tc>
        <w:tc>
          <w:tcPr>
            <w:tcW w:w="1417" w:type="dxa"/>
          </w:tcPr>
          <w:p w:rsidR="00705FC2" w:rsidRDefault="00705FC2" w:rsidP="00EE1A95">
            <w:r>
              <w:t>0.0</w:t>
            </w:r>
          </w:p>
        </w:tc>
      </w:tr>
      <w:tr w:rsidR="00705FC2" w:rsidTr="00705FC2">
        <w:trPr>
          <w:cnfStyle w:val="000000010000" w:firstRow="0" w:lastRow="0" w:firstColumn="0" w:lastColumn="0" w:oddVBand="0" w:evenVBand="0" w:oddHBand="0" w:evenHBand="1" w:firstRowFirstColumn="0" w:firstRowLastColumn="0" w:lastRowFirstColumn="0" w:lastRowLastColumn="0"/>
        </w:trPr>
        <w:tc>
          <w:tcPr>
            <w:tcW w:w="5778" w:type="dxa"/>
          </w:tcPr>
          <w:p w:rsidR="00705FC2" w:rsidRDefault="00705FC2" w:rsidP="00EE1A95">
            <w:pPr>
              <w:rPr>
                <w:rFonts w:cs="Arial"/>
              </w:rPr>
            </w:pPr>
            <w:r>
              <w:rPr>
                <w:rFonts w:cs="Arial"/>
              </w:rPr>
              <w:t>Revised metering and technical codes compliance</w:t>
            </w:r>
          </w:p>
        </w:tc>
        <w:tc>
          <w:tcPr>
            <w:tcW w:w="1418" w:type="dxa"/>
          </w:tcPr>
          <w:p w:rsidR="00705FC2" w:rsidRDefault="00AC760F" w:rsidP="00AC760F">
            <w:r>
              <w:t>-</w:t>
            </w:r>
            <w:r w:rsidR="00705FC2">
              <w:rPr>
                <w:rFonts w:cs="Arial"/>
              </w:rPr>
              <w:t>0.45</w:t>
            </w:r>
          </w:p>
        </w:tc>
        <w:tc>
          <w:tcPr>
            <w:tcW w:w="1417" w:type="dxa"/>
          </w:tcPr>
          <w:p w:rsidR="00705FC2" w:rsidRDefault="00705FC2" w:rsidP="00EE1A95">
            <w:r>
              <w:t>0.0</w:t>
            </w:r>
          </w:p>
        </w:tc>
      </w:tr>
      <w:tr w:rsidR="00705FC2" w:rsidTr="00705FC2">
        <w:tc>
          <w:tcPr>
            <w:tcW w:w="5778" w:type="dxa"/>
          </w:tcPr>
          <w:p w:rsidR="00705FC2" w:rsidRDefault="00705FC2" w:rsidP="00EE1A95">
            <w:pPr>
              <w:rPr>
                <w:rFonts w:cs="Arial"/>
              </w:rPr>
            </w:pPr>
            <w:r>
              <w:rPr>
                <w:rFonts w:cs="Arial"/>
              </w:rPr>
              <w:t>RIN repor</w:t>
            </w:r>
            <w:r w:rsidR="000A4DD1">
              <w:rPr>
                <w:rFonts w:cs="Arial"/>
              </w:rPr>
              <w:t>ting requirements from the 2016</w:t>
            </w:r>
            <w:r w:rsidR="000A4DD1">
              <w:t>–</w:t>
            </w:r>
            <w:r>
              <w:rPr>
                <w:rFonts w:cs="Arial"/>
              </w:rPr>
              <w:t>21 access arrangement</w:t>
            </w:r>
          </w:p>
        </w:tc>
        <w:tc>
          <w:tcPr>
            <w:tcW w:w="1418" w:type="dxa"/>
          </w:tcPr>
          <w:p w:rsidR="00705FC2" w:rsidRDefault="00705FC2" w:rsidP="00EE1A95">
            <w:r>
              <w:rPr>
                <w:rFonts w:cs="Arial"/>
              </w:rPr>
              <w:t>1.6</w:t>
            </w:r>
          </w:p>
        </w:tc>
        <w:tc>
          <w:tcPr>
            <w:tcW w:w="1417" w:type="dxa"/>
          </w:tcPr>
          <w:p w:rsidR="00705FC2" w:rsidRDefault="00705FC2" w:rsidP="00EE1A95">
            <w:r>
              <w:t>0.0</w:t>
            </w:r>
          </w:p>
        </w:tc>
      </w:tr>
      <w:tr w:rsidR="00705FC2" w:rsidTr="00705FC2">
        <w:trPr>
          <w:cnfStyle w:val="000000010000" w:firstRow="0" w:lastRow="0" w:firstColumn="0" w:lastColumn="0" w:oddVBand="0" w:evenVBand="0" w:oddHBand="0" w:evenHBand="1" w:firstRowFirstColumn="0" w:firstRowLastColumn="0" w:lastRowFirstColumn="0" w:lastRowLastColumn="0"/>
        </w:trPr>
        <w:tc>
          <w:tcPr>
            <w:tcW w:w="5778" w:type="dxa"/>
          </w:tcPr>
          <w:p w:rsidR="00705FC2" w:rsidRDefault="00705FC2" w:rsidP="00EE1A95">
            <w:pPr>
              <w:rPr>
                <w:rFonts w:cs="Arial"/>
              </w:rPr>
            </w:pPr>
            <w:r>
              <w:rPr>
                <w:rFonts w:cs="Arial"/>
              </w:rPr>
              <w:t>2021 access arrangement revision project</w:t>
            </w:r>
          </w:p>
        </w:tc>
        <w:tc>
          <w:tcPr>
            <w:tcW w:w="1418" w:type="dxa"/>
          </w:tcPr>
          <w:p w:rsidR="00705FC2" w:rsidRDefault="00705FC2" w:rsidP="00EE1A95">
            <w:r>
              <w:rPr>
                <w:rFonts w:cs="Arial"/>
              </w:rPr>
              <w:t>3.2</w:t>
            </w:r>
          </w:p>
        </w:tc>
        <w:tc>
          <w:tcPr>
            <w:tcW w:w="1417" w:type="dxa"/>
          </w:tcPr>
          <w:p w:rsidR="00705FC2" w:rsidRDefault="00705FC2" w:rsidP="00EE1A95">
            <w:r>
              <w:t>0.0</w:t>
            </w:r>
          </w:p>
        </w:tc>
      </w:tr>
      <w:tr w:rsidR="00705FC2" w:rsidTr="00705FC2">
        <w:tc>
          <w:tcPr>
            <w:tcW w:w="5778" w:type="dxa"/>
          </w:tcPr>
          <w:p w:rsidR="00705FC2" w:rsidRDefault="00705FC2" w:rsidP="00EE1A95">
            <w:r>
              <w:rPr>
                <w:rFonts w:cs="Arial"/>
              </w:rPr>
              <w:t xml:space="preserve">Change in capitalisation policy </w:t>
            </w:r>
          </w:p>
        </w:tc>
        <w:tc>
          <w:tcPr>
            <w:tcW w:w="1418" w:type="dxa"/>
          </w:tcPr>
          <w:p w:rsidR="00705FC2" w:rsidRDefault="00AC760F" w:rsidP="00AC760F">
            <w:r>
              <w:t>-</w:t>
            </w:r>
            <w:r w:rsidR="00705FC2">
              <w:rPr>
                <w:rFonts w:cs="Arial"/>
              </w:rPr>
              <w:t>6.6</w:t>
            </w:r>
          </w:p>
        </w:tc>
        <w:tc>
          <w:tcPr>
            <w:tcW w:w="1417" w:type="dxa"/>
          </w:tcPr>
          <w:p w:rsidR="00705FC2" w:rsidRDefault="00AC760F" w:rsidP="00AC760F">
            <w:r>
              <w:t>-</w:t>
            </w:r>
            <w:r w:rsidR="00465A0C">
              <w:t>4</w:t>
            </w:r>
            <w:r w:rsidR="00705FC2">
              <w:t>.6</w:t>
            </w:r>
          </w:p>
        </w:tc>
      </w:tr>
      <w:tr w:rsidR="00705FC2" w:rsidTr="00705FC2">
        <w:trPr>
          <w:cnfStyle w:val="000000010000" w:firstRow="0" w:lastRow="0" w:firstColumn="0" w:lastColumn="0" w:oddVBand="0" w:evenVBand="0" w:oddHBand="0" w:evenHBand="1" w:firstRowFirstColumn="0" w:firstRowLastColumn="0" w:lastRowFirstColumn="0" w:lastRowLastColumn="0"/>
        </w:trPr>
        <w:tc>
          <w:tcPr>
            <w:tcW w:w="5778" w:type="dxa"/>
          </w:tcPr>
          <w:p w:rsidR="00705FC2" w:rsidRPr="00BA3809" w:rsidRDefault="00705FC2" w:rsidP="00EE1A95">
            <w:pPr>
              <w:rPr>
                <w:rFonts w:cs="Arial"/>
                <w:b/>
              </w:rPr>
            </w:pPr>
            <w:r w:rsidRPr="00BA3809">
              <w:rPr>
                <w:rFonts w:cs="Arial"/>
                <w:b/>
              </w:rPr>
              <w:t>Total step changes</w:t>
            </w:r>
          </w:p>
        </w:tc>
        <w:tc>
          <w:tcPr>
            <w:tcW w:w="1418" w:type="dxa"/>
          </w:tcPr>
          <w:p w:rsidR="00705FC2" w:rsidRPr="00BA3809" w:rsidRDefault="00705FC2" w:rsidP="00EE1A95">
            <w:pPr>
              <w:rPr>
                <w:b/>
              </w:rPr>
            </w:pPr>
            <w:r w:rsidRPr="00BA3809">
              <w:rPr>
                <w:rFonts w:cs="Arial"/>
                <w:b/>
              </w:rPr>
              <w:t>5.6</w:t>
            </w:r>
          </w:p>
        </w:tc>
        <w:tc>
          <w:tcPr>
            <w:tcW w:w="1417" w:type="dxa"/>
          </w:tcPr>
          <w:p w:rsidR="00705FC2" w:rsidRPr="00BA3809" w:rsidRDefault="00AC760F" w:rsidP="00AC760F">
            <w:pPr>
              <w:rPr>
                <w:b/>
              </w:rPr>
            </w:pPr>
            <w:r>
              <w:t>-</w:t>
            </w:r>
            <w:r w:rsidR="00465A0C" w:rsidRPr="00F662AB">
              <w:rPr>
                <w:rStyle w:val="Strong"/>
              </w:rPr>
              <w:t>1</w:t>
            </w:r>
            <w:r w:rsidR="00705FC2">
              <w:rPr>
                <w:b/>
              </w:rPr>
              <w:t>.7</w:t>
            </w:r>
          </w:p>
        </w:tc>
      </w:tr>
    </w:tbl>
    <w:p w:rsidR="00414771" w:rsidRDefault="00414771" w:rsidP="00414771">
      <w:pPr>
        <w:pStyle w:val="AERtablesource"/>
      </w:pPr>
      <w:r>
        <w:t xml:space="preserve">Source: </w:t>
      </w:r>
      <w:r w:rsidR="003C12BB">
        <w:tab/>
      </w:r>
      <w:r>
        <w:t>ActewAGL Distribution Gas netw</w:t>
      </w:r>
      <w:r w:rsidR="000A4DD1">
        <w:t>ork Access Arrangement 2016–</w:t>
      </w:r>
      <w:r w:rsidR="000F7382">
        <w:t>21 Opex m</w:t>
      </w:r>
      <w:r>
        <w:t>odel spreadsheet; AER analysis</w:t>
      </w:r>
      <w:r w:rsidR="00BD326D">
        <w:t>. Numbers may not add due to rounding.</w:t>
      </w:r>
    </w:p>
    <w:p w:rsidR="00414771" w:rsidRPr="005C20AE" w:rsidRDefault="00414771" w:rsidP="00414771">
      <w:pPr>
        <w:pStyle w:val="HeadingBoldItalic"/>
        <w:keepNext/>
        <w:tabs>
          <w:tab w:val="clear" w:pos="1021"/>
        </w:tabs>
        <w:spacing w:before="120" w:after="120" w:line="288" w:lineRule="auto"/>
        <w:outlineLvl w:val="9"/>
      </w:pPr>
      <w:r w:rsidRPr="00FF2AF5">
        <w:rPr>
          <w:rFonts w:cs="Arial"/>
          <w:szCs w:val="20"/>
        </w:rPr>
        <w:t>National Energy Customer Framework</w:t>
      </w:r>
      <w:r>
        <w:rPr>
          <w:rFonts w:cs="Arial"/>
        </w:rPr>
        <w:t xml:space="preserve"> compliance</w:t>
      </w:r>
    </w:p>
    <w:p w:rsidR="00414771" w:rsidRDefault="00414771" w:rsidP="00414771">
      <w:r w:rsidRPr="0001389E">
        <w:t xml:space="preserve">The </w:t>
      </w:r>
      <w:r>
        <w:t>National Energy Customer Framework (</w:t>
      </w:r>
      <w:r w:rsidRPr="0001389E">
        <w:t>NECF</w:t>
      </w:r>
      <w:r>
        <w:t xml:space="preserve">) is a national regulatory regime </w:t>
      </w:r>
      <w:r>
        <w:rPr>
          <w:lang w:val="en"/>
        </w:rPr>
        <w:t xml:space="preserve">governing the sale and supply of energy to consumers with the intention of </w:t>
      </w:r>
      <w:r w:rsidRPr="0001389E">
        <w:t>deliver</w:t>
      </w:r>
      <w:r>
        <w:t>ing</w:t>
      </w:r>
      <w:r w:rsidRPr="0001389E">
        <w:t xml:space="preserve"> regulatory certainty, reduced compliance costs, and competition benefits to consumers.</w:t>
      </w:r>
      <w:r>
        <w:t xml:space="preserve"> It </w:t>
      </w:r>
      <w:r w:rsidRPr="0001389E">
        <w:t>is a major component of the Cou</w:t>
      </w:r>
      <w:r>
        <w:t xml:space="preserve">ncil of Australian Governments’ </w:t>
      </w:r>
      <w:r w:rsidRPr="0001389E">
        <w:t>national energy market reform program, which aims to streamline energy retail market</w:t>
      </w:r>
      <w:r>
        <w:t xml:space="preserve"> regulation</w:t>
      </w:r>
      <w:r w:rsidRPr="0001389E">
        <w:t xml:space="preserve">. </w:t>
      </w:r>
    </w:p>
    <w:p w:rsidR="00775C15" w:rsidRPr="005C20AE" w:rsidRDefault="00775C15" w:rsidP="00414771">
      <w:r>
        <w:t>NECF has applied</w:t>
      </w:r>
      <w:r w:rsidR="006E3531">
        <w:t xml:space="preserve"> in large part</w:t>
      </w:r>
      <w:r>
        <w:t xml:space="preserve"> in the ACT </w:t>
      </w:r>
      <w:r w:rsidR="00081201">
        <w:t xml:space="preserve">since </w:t>
      </w:r>
      <w:r>
        <w:t>1 July 2012. However, certain elements of NECF were held back from application until the commencement of this access arrangement period.</w:t>
      </w:r>
      <w:r w:rsidR="00FD1992">
        <w:rPr>
          <w:rStyle w:val="FootnoteReference"/>
        </w:rPr>
        <w:footnoteReference w:id="29"/>
      </w:r>
      <w:r w:rsidR="00081201">
        <w:t xml:space="preserve"> ActewAGL is required to comply with all NECF requirements from 1 July 2016, and this step change covers </w:t>
      </w:r>
      <w:r w:rsidR="006E3531">
        <w:t>those</w:t>
      </w:r>
      <w:r w:rsidR="00081201">
        <w:t xml:space="preserve"> elements with delayed application</w:t>
      </w:r>
      <w:r>
        <w:t>.</w:t>
      </w:r>
      <w:r w:rsidR="00081201">
        <w:t xml:space="preserve">  </w:t>
      </w:r>
    </w:p>
    <w:p w:rsidR="00414771" w:rsidRDefault="00414771" w:rsidP="00414771">
      <w:r>
        <w:t>ActewAGL proposed a step change of $0.8 million ($</w:t>
      </w:r>
      <w:r w:rsidR="0061228D">
        <w:t>2015–16</w:t>
      </w:r>
      <w:r>
        <w:t>) over the access arrangement period</w:t>
      </w:r>
      <w:r w:rsidR="00DC778A">
        <w:t xml:space="preserve"> </w:t>
      </w:r>
      <w:r w:rsidR="006E6107">
        <w:t xml:space="preserve">for increased operational costs to comply with </w:t>
      </w:r>
      <w:r w:rsidR="00201C8B">
        <w:t>NECF customer support and billing</w:t>
      </w:r>
      <w:r w:rsidR="00081201">
        <w:t xml:space="preserve"> and </w:t>
      </w:r>
      <w:r w:rsidR="00201C8B">
        <w:t>NECF connection services</w:t>
      </w:r>
      <w:r w:rsidR="006E6107">
        <w:t xml:space="preserve"> requirements. </w:t>
      </w:r>
    </w:p>
    <w:p w:rsidR="00414771" w:rsidRDefault="00414771" w:rsidP="00414771">
      <w:r>
        <w:lastRenderedPageBreak/>
        <w:t xml:space="preserve">ActewAGL </w:t>
      </w:r>
      <w:r w:rsidR="003F24AA">
        <w:t xml:space="preserve">intends to </w:t>
      </w:r>
      <w:r>
        <w:t>meet the NECF requireme</w:t>
      </w:r>
      <w:r w:rsidR="00201C8B">
        <w:t>nts through JAM under the DAMS a</w:t>
      </w:r>
      <w:r>
        <w:t>greement. ActewAGL’s forecast opex is based on a portio</w:t>
      </w:r>
      <w:r w:rsidR="00201C8B">
        <w:t>n of JGN</w:t>
      </w:r>
      <w:r w:rsidR="00387D37">
        <w:t>'s</w:t>
      </w:r>
      <w:r>
        <w:t xml:space="preserve"> forecast for these activities. As we considered these costs to be reasonable in ou</w:t>
      </w:r>
      <w:r w:rsidR="000A4DD1">
        <w:t>r final decision for JGN’s 2015–</w:t>
      </w:r>
      <w:r>
        <w:t>20 access arrangement, proportionate costs have been accepted for ActewAGL.</w:t>
      </w:r>
      <w:r w:rsidR="00620022">
        <w:rPr>
          <w:rStyle w:val="FootnoteReference"/>
        </w:rPr>
        <w:footnoteReference w:id="30"/>
      </w:r>
    </w:p>
    <w:p w:rsidR="00414771" w:rsidRDefault="00414771" w:rsidP="00414771">
      <w:r>
        <w:t xml:space="preserve">We have included this step change in our </w:t>
      </w:r>
      <w:r w:rsidR="006E3531">
        <w:t xml:space="preserve">total </w:t>
      </w:r>
      <w:r>
        <w:t>opex forecast as it is driven by an increase in ActewAGL’s regulatory</w:t>
      </w:r>
      <w:r w:rsidR="00791864">
        <w:t xml:space="preserve"> obligations</w:t>
      </w:r>
      <w:r>
        <w:t xml:space="preserve"> and does not double count costs captured in the base year expenditure.</w:t>
      </w:r>
    </w:p>
    <w:p w:rsidR="00414771" w:rsidRPr="00A61338" w:rsidRDefault="00414771" w:rsidP="00414771">
      <w:pPr>
        <w:pStyle w:val="HeadingBoldItalic"/>
        <w:keepNext/>
        <w:numPr>
          <w:ilvl w:val="0"/>
          <w:numId w:val="24"/>
        </w:numPr>
        <w:tabs>
          <w:tab w:val="clear" w:pos="1021"/>
        </w:tabs>
        <w:spacing w:before="120" w:after="120" w:line="288" w:lineRule="auto"/>
        <w:outlineLvl w:val="9"/>
      </w:pPr>
      <w:r>
        <w:rPr>
          <w:rFonts w:cs="Arial"/>
        </w:rPr>
        <w:t xml:space="preserve">National </w:t>
      </w:r>
      <w:r w:rsidRPr="00FF2AF5">
        <w:rPr>
          <w:rFonts w:cs="Arial"/>
          <w:szCs w:val="20"/>
        </w:rPr>
        <w:t xml:space="preserve">Business to Business </w:t>
      </w:r>
      <w:r>
        <w:rPr>
          <w:rFonts w:cs="Arial"/>
        </w:rPr>
        <w:t>harmonisation</w:t>
      </w:r>
    </w:p>
    <w:p w:rsidR="00414771" w:rsidRDefault="00414771" w:rsidP="00414771">
      <w:r>
        <w:t>ActewAGL propose</w:t>
      </w:r>
      <w:r w:rsidR="006B2020">
        <w:t>d</w:t>
      </w:r>
      <w:r>
        <w:t xml:space="preserve"> to include a $1.1 million ($</w:t>
      </w:r>
      <w:r w:rsidR="0061228D">
        <w:t>2015–16</w:t>
      </w:r>
      <w:r>
        <w:t xml:space="preserve">) step change to meet obligations for business to business transactions with energy retailers. </w:t>
      </w:r>
    </w:p>
    <w:p w:rsidR="00414771" w:rsidRDefault="00414771" w:rsidP="00414771">
      <w:r>
        <w:t xml:space="preserve">These obligations result from </w:t>
      </w:r>
      <w:r w:rsidR="00BD326D">
        <w:t xml:space="preserve">the </w:t>
      </w:r>
      <w:r>
        <w:t>A</w:t>
      </w:r>
      <w:r w:rsidR="00BD326D">
        <w:t xml:space="preserve">ustralian </w:t>
      </w:r>
      <w:r>
        <w:t>E</w:t>
      </w:r>
      <w:r w:rsidR="00BD326D">
        <w:t xml:space="preserve">nergy </w:t>
      </w:r>
      <w:r>
        <w:t>M</w:t>
      </w:r>
      <w:r w:rsidR="00BD326D">
        <w:t xml:space="preserve">arket </w:t>
      </w:r>
      <w:r>
        <w:t>O</w:t>
      </w:r>
      <w:r w:rsidR="00BD326D">
        <w:t>perator</w:t>
      </w:r>
      <w:r w:rsidR="003F24AA">
        <w:t>’s</w:t>
      </w:r>
      <w:r w:rsidR="00BD326D">
        <w:t xml:space="preserve"> (AEMO)</w:t>
      </w:r>
      <w:r w:rsidR="003F24AA">
        <w:t xml:space="preserve"> </w:t>
      </w:r>
      <w:r>
        <w:t xml:space="preserve">final decision </w:t>
      </w:r>
      <w:r w:rsidR="003F24AA">
        <w:t>on harmonisation of NSW/ACT B2B processes</w:t>
      </w:r>
      <w:r>
        <w:t xml:space="preserve"> in February 2015.</w:t>
      </w:r>
      <w:r>
        <w:rPr>
          <w:rStyle w:val="FootnoteReference"/>
        </w:rPr>
        <w:footnoteReference w:id="31"/>
      </w:r>
      <w:r>
        <w:t xml:space="preserve"> This approved an approach that involves IT system changes for retailers and network operators to facilitate harmonisation of NSW/ACT businesses to business processes similar to those </w:t>
      </w:r>
      <w:r w:rsidR="003F24AA">
        <w:t xml:space="preserve">arrangements </w:t>
      </w:r>
      <w:r>
        <w:t xml:space="preserve">in other jurisdictions. </w:t>
      </w:r>
    </w:p>
    <w:p w:rsidR="00414771" w:rsidRDefault="00414771" w:rsidP="00414771">
      <w:r>
        <w:t>For ActewAGL, this will involve applying the same service obligations and participant transactions that apply in Victoria and to manage these transactions through the AEMO Hub rather than via JAM’s GASS+</w:t>
      </w:r>
      <w:r w:rsidR="00CA3960">
        <w:t xml:space="preserve"> </w:t>
      </w:r>
      <w:r>
        <w:t>system.</w:t>
      </w:r>
    </w:p>
    <w:p w:rsidR="00414771" w:rsidRDefault="00414771" w:rsidP="00414771">
      <w:r>
        <w:t xml:space="preserve">ActewAGL will meet the new B2B harmonisation requirements through JAM under the DAMS </w:t>
      </w:r>
      <w:r w:rsidR="003F24AA">
        <w:t>a</w:t>
      </w:r>
      <w:r>
        <w:t>greement.</w:t>
      </w:r>
      <w:r w:rsidR="00201C8B">
        <w:t xml:space="preserve"> This involves increased resourcing requirements to support increased meter read data provision costs, special meter read data costs</w:t>
      </w:r>
      <w:r w:rsidR="00D30BD1">
        <w:t xml:space="preserve"> and</w:t>
      </w:r>
      <w:r w:rsidR="00201C8B">
        <w:t xml:space="preserve"> service order notification costs. </w:t>
      </w:r>
      <w:r>
        <w:t>ActewAGL’s forecast opex is based on a portion of JGN’s forecast for these activities.</w:t>
      </w:r>
      <w:r w:rsidR="00A00262">
        <w:rPr>
          <w:rStyle w:val="FootnoteReference"/>
        </w:rPr>
        <w:footnoteReference w:id="32"/>
      </w:r>
      <w:r>
        <w:t xml:space="preserve"> As we considered these costs to be reasonable in our </w:t>
      </w:r>
      <w:r w:rsidR="000A4DD1">
        <w:t>final decision for JGN’s 2015–</w:t>
      </w:r>
      <w:r>
        <w:t xml:space="preserve">20 access arrangement, </w:t>
      </w:r>
      <w:r w:rsidR="003709D0">
        <w:t>we accept</w:t>
      </w:r>
      <w:r w:rsidR="00705FC2">
        <w:t xml:space="preserve"> </w:t>
      </w:r>
      <w:r w:rsidR="003709D0">
        <w:t>ActewAGL’s estimate of costs</w:t>
      </w:r>
      <w:r>
        <w:t>.</w:t>
      </w:r>
    </w:p>
    <w:p w:rsidR="00414771" w:rsidRDefault="00414771" w:rsidP="00414771">
      <w:r>
        <w:t xml:space="preserve">We have included this step change in our opex forecast as it is driven by a change in ActewAGL’s regulatory obligations and the costs are not captured in the base year expenditure. </w:t>
      </w:r>
    </w:p>
    <w:p w:rsidR="00414771" w:rsidRPr="006356C9" w:rsidRDefault="00414771" w:rsidP="00414771">
      <w:pPr>
        <w:pStyle w:val="HeadingBoldItalic"/>
        <w:keepNext/>
        <w:numPr>
          <w:ilvl w:val="0"/>
          <w:numId w:val="24"/>
        </w:numPr>
        <w:tabs>
          <w:tab w:val="clear" w:pos="1021"/>
        </w:tabs>
        <w:spacing w:before="120" w:after="120" w:line="288" w:lineRule="auto"/>
        <w:outlineLvl w:val="9"/>
      </w:pPr>
      <w:r w:rsidRPr="00FF2AF5">
        <w:rPr>
          <w:rFonts w:cs="Arial"/>
          <w:szCs w:val="20"/>
        </w:rPr>
        <w:t>IT asset utilisation fee</w:t>
      </w:r>
    </w:p>
    <w:p w:rsidR="00E16C6B" w:rsidRDefault="00E16C6B" w:rsidP="00E16C6B">
      <w:pPr>
        <w:pStyle w:val="ListParagraph"/>
        <w:numPr>
          <w:ilvl w:val="0"/>
          <w:numId w:val="24"/>
        </w:numPr>
      </w:pPr>
      <w:r>
        <w:t xml:space="preserve">Under the DAMS agreement between JAM and ActewAGL, JAM provides customer management, works management and a range of related services using the IT system, GASS+. ActewAGL </w:t>
      </w:r>
      <w:r w:rsidR="0059511E">
        <w:t xml:space="preserve">stated </w:t>
      </w:r>
      <w:r>
        <w:t xml:space="preserve">that GASS+ has been used by JAM to support the functions </w:t>
      </w:r>
      <w:r>
        <w:lastRenderedPageBreak/>
        <w:t>of running gas networks and billing customers</w:t>
      </w:r>
      <w:r w:rsidR="00690921">
        <w:t xml:space="preserve"> </w:t>
      </w:r>
      <w:r w:rsidR="00FC5707">
        <w:t xml:space="preserve">and that the </w:t>
      </w:r>
      <w:r>
        <w:t xml:space="preserve">system is </w:t>
      </w:r>
      <w:r w:rsidR="00FC5707">
        <w:t xml:space="preserve">now </w:t>
      </w:r>
      <w:r>
        <w:t>at the end of its life, having commenced operation in 1992.</w:t>
      </w:r>
    </w:p>
    <w:p w:rsidR="00E16C6B" w:rsidRDefault="00E16C6B" w:rsidP="00E16C6B">
      <w:pPr>
        <w:pStyle w:val="ListParagraph"/>
        <w:numPr>
          <w:ilvl w:val="0"/>
          <w:numId w:val="24"/>
        </w:numPr>
      </w:pPr>
      <w:r>
        <w:t xml:space="preserve">The solution replacement project is named ‘Jemena Gas Networks Solution Replacement Project’ and involves </w:t>
      </w:r>
      <w:r w:rsidR="00201C8B">
        <w:t>re</w:t>
      </w:r>
      <w:r w:rsidR="00824F95">
        <w:t>p</w:t>
      </w:r>
      <w:r w:rsidR="00201C8B">
        <w:t>lacing the IT system GASS+ with an alternate system</w:t>
      </w:r>
      <w:r w:rsidR="00824F95">
        <w:t>,</w:t>
      </w:r>
      <w:r w:rsidR="00201C8B">
        <w:t xml:space="preserve"> </w:t>
      </w:r>
      <w:r>
        <w:t>OneSAP.</w:t>
      </w:r>
      <w:r w:rsidR="00DC778A">
        <w:rPr>
          <w:rStyle w:val="FootnoteReference"/>
        </w:rPr>
        <w:footnoteReference w:id="33"/>
      </w:r>
      <w:r w:rsidR="00DC778A">
        <w:t xml:space="preserve"> </w:t>
      </w:r>
      <w:r>
        <w:t xml:space="preserve">The ActewAGL GASS+ replacement solution is a subset of this project. The initial scope of the project involves three system projects </w:t>
      </w:r>
      <w:r w:rsidRPr="00F0701C">
        <w:t xml:space="preserve">(1) enabling continued delivery of business as usual services, </w:t>
      </w:r>
      <w:r>
        <w:t xml:space="preserve">as well as new capabilities to enable compliance with </w:t>
      </w:r>
      <w:r w:rsidRPr="00F0701C">
        <w:t>(2) NECF services and (3) B2B harmonisation services</w:t>
      </w:r>
      <w:r>
        <w:t>.</w:t>
      </w:r>
    </w:p>
    <w:p w:rsidR="00E16C6B" w:rsidRDefault="00E16C6B" w:rsidP="00E16C6B">
      <w:r>
        <w:t xml:space="preserve">ActewAGL </w:t>
      </w:r>
      <w:r w:rsidR="0059511E">
        <w:t xml:space="preserve">stated </w:t>
      </w:r>
      <w:r>
        <w:t>that JGN included the OneSAP replacement of GASS+ for approval as part of the IT capex requirement in its 2015</w:t>
      </w:r>
      <w:r w:rsidR="000A4DD1">
        <w:t>–</w:t>
      </w:r>
      <w:r>
        <w:t xml:space="preserve">20 access arrangement proposal. It further </w:t>
      </w:r>
      <w:r w:rsidR="0059511E">
        <w:t xml:space="preserve">stated </w:t>
      </w:r>
      <w:r>
        <w:t>that the allocated ActewAGL costs for the GASS+ replacement were not part of JG</w:t>
      </w:r>
      <w:r w:rsidR="000A4DD1">
        <w:t>N’s proposed capex for the 2015–</w:t>
      </w:r>
      <w:r>
        <w:t xml:space="preserve">20 period, but have been based on a percentage of these costs. </w:t>
      </w:r>
    </w:p>
    <w:p w:rsidR="00E16C6B" w:rsidRPr="003F07CB" w:rsidRDefault="00E16C6B" w:rsidP="00E16C6B">
      <w:r>
        <w:t xml:space="preserve">It is proposed that JAM will charge ActewAGL an IT utilisation fee annually over the </w:t>
      </w:r>
      <w:r w:rsidR="00907691">
        <w:t>2016–21 period</w:t>
      </w:r>
      <w:r w:rsidRPr="003F07CB">
        <w:t xml:space="preserve"> to recover ActewAGL’s share of JGN’s IT system assets for the three systems (which includes JGN’s IT system design, development and implementation costs). </w:t>
      </w:r>
    </w:p>
    <w:p w:rsidR="00E16C6B" w:rsidRPr="003F07CB" w:rsidRDefault="00E16C6B" w:rsidP="00E16C6B">
      <w:pPr>
        <w:rPr>
          <w:rStyle w:val="AERbody"/>
        </w:rPr>
      </w:pPr>
      <w:r w:rsidRPr="003F07CB">
        <w:t>The capital costs for the ActewAGL’s GASS+ replacement solution is forecast to cost $3.36 million ($</w:t>
      </w:r>
      <w:r w:rsidR="00175A03">
        <w:t>2014–15</w:t>
      </w:r>
      <w:r w:rsidRPr="003F07CB">
        <w:t>).</w:t>
      </w:r>
      <w:r w:rsidRPr="003F07CB">
        <w:rPr>
          <w:rStyle w:val="FootnoteReference"/>
        </w:rPr>
        <w:footnoteReference w:id="34"/>
      </w:r>
      <w:r w:rsidRPr="003F07CB">
        <w:t xml:space="preserve"> This consists of $2.54 million</w:t>
      </w:r>
      <w:r w:rsidR="005057E0">
        <w:t xml:space="preserve"> </w:t>
      </w:r>
      <w:r w:rsidR="005057E0" w:rsidRPr="003F07CB">
        <w:rPr>
          <w:rStyle w:val="AERbody"/>
        </w:rPr>
        <w:t>($</w:t>
      </w:r>
      <w:r w:rsidR="00175A03">
        <w:rPr>
          <w:rStyle w:val="AERbody"/>
        </w:rPr>
        <w:t>2014–15</w:t>
      </w:r>
      <w:r w:rsidR="005057E0" w:rsidRPr="003F07CB">
        <w:rPr>
          <w:rStyle w:val="AERbody"/>
        </w:rPr>
        <w:t>)</w:t>
      </w:r>
      <w:r w:rsidRPr="003F07CB">
        <w:t xml:space="preserve"> for the GASS+ replacement project, $0.53 million ($</w:t>
      </w:r>
      <w:r w:rsidR="00175A03">
        <w:t>2014–15</w:t>
      </w:r>
      <w:r w:rsidRPr="003F07CB">
        <w:t xml:space="preserve">) for </w:t>
      </w:r>
      <w:r w:rsidRPr="003F07CB">
        <w:rPr>
          <w:rStyle w:val="AERbody"/>
        </w:rPr>
        <w:t>Business to Business harmoni</w:t>
      </w:r>
      <w:r w:rsidR="00201C8B">
        <w:rPr>
          <w:rStyle w:val="AERbody"/>
        </w:rPr>
        <w:t>sation and $0.30 million ($</w:t>
      </w:r>
      <w:r w:rsidR="00175A03">
        <w:rPr>
          <w:rStyle w:val="AERbody"/>
        </w:rPr>
        <w:t>2014–15</w:t>
      </w:r>
      <w:r w:rsidRPr="003F07CB">
        <w:rPr>
          <w:rStyle w:val="AERbody"/>
        </w:rPr>
        <w:t xml:space="preserve">) for </w:t>
      </w:r>
      <w:r w:rsidR="00201C8B">
        <w:rPr>
          <w:rStyle w:val="AERbody"/>
        </w:rPr>
        <w:t xml:space="preserve">NECF </w:t>
      </w:r>
      <w:r w:rsidRPr="003F07CB">
        <w:rPr>
          <w:rStyle w:val="AERbody"/>
        </w:rPr>
        <w:t>requirements.</w:t>
      </w:r>
    </w:p>
    <w:p w:rsidR="00291CD5" w:rsidRDefault="00BD326D" w:rsidP="00E16C6B">
      <w:pPr>
        <w:rPr>
          <w:rStyle w:val="AERbody"/>
        </w:rPr>
      </w:pPr>
      <w:r>
        <w:t xml:space="preserve">The </w:t>
      </w:r>
      <w:r w:rsidR="00E16C6B" w:rsidRPr="003F07CB">
        <w:t>Consumer Challenge Panel 8 identified this step change for further AER scrutiny to ensure that quoted costs and</w:t>
      </w:r>
      <w:r w:rsidR="00E16C6B" w:rsidRPr="00A87310">
        <w:t xml:space="preserve"> IT systems were reasonable and consumers were not paying for these assets twice (for </w:t>
      </w:r>
      <w:r w:rsidR="00E16C6B">
        <w:t>example</w:t>
      </w:r>
      <w:r w:rsidR="00E16C6B" w:rsidRPr="00A87310">
        <w:t xml:space="preserve"> through </w:t>
      </w:r>
      <w:r w:rsidR="00E16C6B">
        <w:t>the ActewAGL’s opex</w:t>
      </w:r>
      <w:r w:rsidR="00E16C6B" w:rsidRPr="00A87310">
        <w:t xml:space="preserve"> and </w:t>
      </w:r>
      <w:r w:rsidR="00E16C6B">
        <w:t xml:space="preserve">additionally through the JGN return </w:t>
      </w:r>
      <w:r w:rsidR="00E16C6B" w:rsidRPr="00A87310">
        <w:t>on capital).</w:t>
      </w:r>
    </w:p>
    <w:p w:rsidR="00291CD5" w:rsidRDefault="00291CD5" w:rsidP="00E16C6B">
      <w:pPr>
        <w:rPr>
          <w:rStyle w:val="AERbody"/>
        </w:rPr>
      </w:pPr>
      <w:r>
        <w:rPr>
          <w:rStyle w:val="AERbody"/>
        </w:rPr>
        <w:t xml:space="preserve">With respect to the project component to enable continued delivery of business as usual services, ActewAGL's base opex already incorporates costs associated with the provision of these services through the GASS+ IT system. The replacement of the GASS+ system does not result in new functions. We </w:t>
      </w:r>
      <w:r w:rsidR="00103736">
        <w:rPr>
          <w:rStyle w:val="AERbody"/>
        </w:rPr>
        <w:t xml:space="preserve">therefore </w:t>
      </w:r>
      <w:r>
        <w:rPr>
          <w:rStyle w:val="AERbody"/>
        </w:rPr>
        <w:t>do not accept this component of the step change.</w:t>
      </w:r>
    </w:p>
    <w:p w:rsidR="00414771" w:rsidRDefault="00291CD5" w:rsidP="00E16C6B">
      <w:pPr>
        <w:rPr>
          <w:rStyle w:val="AERbody"/>
        </w:rPr>
      </w:pPr>
      <w:r>
        <w:rPr>
          <w:rStyle w:val="AERbody"/>
        </w:rPr>
        <w:t>H</w:t>
      </w:r>
      <w:r w:rsidR="00E16C6B" w:rsidRPr="003F07CB">
        <w:rPr>
          <w:rStyle w:val="AERbody"/>
        </w:rPr>
        <w:t xml:space="preserve">owever, </w:t>
      </w:r>
      <w:r w:rsidRPr="003F07CB">
        <w:rPr>
          <w:rStyle w:val="AERbody"/>
        </w:rPr>
        <w:t>we</w:t>
      </w:r>
      <w:r w:rsidR="00E16C6B" w:rsidRPr="003F07CB">
        <w:rPr>
          <w:rStyle w:val="AERbody"/>
        </w:rPr>
        <w:t xml:space="preserve"> accept the costs associated with the IT systems to achieve compliance with regulatory changes related to </w:t>
      </w:r>
      <w:r w:rsidR="00B91ABF">
        <w:rPr>
          <w:rStyle w:val="AERbody"/>
        </w:rPr>
        <w:t xml:space="preserve">the </w:t>
      </w:r>
      <w:r w:rsidR="00E16C6B" w:rsidRPr="003F07CB">
        <w:rPr>
          <w:rStyle w:val="AERbody"/>
        </w:rPr>
        <w:t>Business to Business harmonisation ($0.53 million) and National Energy Customer Framework requirements ($0.30 million) step</w:t>
      </w:r>
      <w:r w:rsidR="00E16C6B">
        <w:rPr>
          <w:rStyle w:val="AERbody"/>
        </w:rPr>
        <w:t xml:space="preserve"> changes.</w:t>
      </w:r>
      <w:r w:rsidR="005057E0">
        <w:rPr>
          <w:rStyle w:val="FootnoteReference"/>
        </w:rPr>
        <w:footnoteReference w:id="35"/>
      </w:r>
      <w:r w:rsidR="00B91ABF">
        <w:rPr>
          <w:rStyle w:val="AERbody"/>
        </w:rPr>
        <w:t xml:space="preserve"> This is because</w:t>
      </w:r>
      <w:r w:rsidR="00824F95">
        <w:rPr>
          <w:rStyle w:val="AERbody"/>
        </w:rPr>
        <w:t xml:space="preserve"> the costs for</w:t>
      </w:r>
      <w:r w:rsidR="00B91ABF">
        <w:rPr>
          <w:rStyle w:val="AERbody"/>
        </w:rPr>
        <w:t xml:space="preserve"> these components are driven by a change in </w:t>
      </w:r>
      <w:r w:rsidR="00B91ABF">
        <w:rPr>
          <w:rStyle w:val="AERbody"/>
        </w:rPr>
        <w:lastRenderedPageBreak/>
        <w:t>regulatory obligations</w:t>
      </w:r>
      <w:r>
        <w:rPr>
          <w:rStyle w:val="AERbody"/>
        </w:rPr>
        <w:t xml:space="preserve"> and </w:t>
      </w:r>
      <w:r w:rsidR="00A30CA8">
        <w:rPr>
          <w:rStyle w:val="AERbody"/>
        </w:rPr>
        <w:t xml:space="preserve">are </w:t>
      </w:r>
      <w:r>
        <w:rPr>
          <w:rStyle w:val="AERbody"/>
        </w:rPr>
        <w:t>not included as part of</w:t>
      </w:r>
      <w:r w:rsidR="00103736">
        <w:rPr>
          <w:rStyle w:val="AERbody"/>
        </w:rPr>
        <w:t xml:space="preserve"> the</w:t>
      </w:r>
      <w:r>
        <w:rPr>
          <w:rStyle w:val="AERbody"/>
        </w:rPr>
        <w:t xml:space="preserve"> </w:t>
      </w:r>
      <w:r w:rsidR="00AB1637">
        <w:rPr>
          <w:rStyle w:val="AERbody"/>
        </w:rPr>
        <w:t>first two step changes discussed in this section</w:t>
      </w:r>
      <w:r w:rsidR="00B91ABF">
        <w:rPr>
          <w:rStyle w:val="AERbody"/>
        </w:rPr>
        <w:t>.</w:t>
      </w:r>
      <w:r w:rsidR="005057E0">
        <w:rPr>
          <w:rStyle w:val="AERbody"/>
        </w:rPr>
        <w:t xml:space="preserve"> </w:t>
      </w:r>
    </w:p>
    <w:p w:rsidR="00414771" w:rsidRPr="00A87310" w:rsidRDefault="00414771" w:rsidP="00414771">
      <w:pPr>
        <w:pStyle w:val="HeadingBoldItalic"/>
        <w:keepNext/>
        <w:numPr>
          <w:ilvl w:val="0"/>
          <w:numId w:val="24"/>
        </w:numPr>
        <w:tabs>
          <w:tab w:val="clear" w:pos="1021"/>
        </w:tabs>
        <w:spacing w:before="120" w:after="120" w:line="288" w:lineRule="auto"/>
        <w:outlineLvl w:val="9"/>
      </w:pPr>
      <w:r w:rsidRPr="00A87310">
        <w:rPr>
          <w:rFonts w:cs="Arial"/>
          <w:szCs w:val="20"/>
        </w:rPr>
        <w:t xml:space="preserve">Network risk and security management </w:t>
      </w:r>
    </w:p>
    <w:p w:rsidR="00414771" w:rsidRDefault="00414771" w:rsidP="00414771">
      <w:r>
        <w:t>ActewAGL propose</w:t>
      </w:r>
      <w:r w:rsidR="00540AFE">
        <w:t>d</w:t>
      </w:r>
      <w:r>
        <w:t xml:space="preserve"> a step change of $0.5 million ($</w:t>
      </w:r>
      <w:r w:rsidR="0061228D">
        <w:t>2015–16</w:t>
      </w:r>
      <w:r>
        <w:t xml:space="preserve">) to undertake </w:t>
      </w:r>
      <w:r w:rsidR="005E1BF5">
        <w:t xml:space="preserve">periodic </w:t>
      </w:r>
      <w:r>
        <w:t xml:space="preserve">risk </w:t>
      </w:r>
      <w:r w:rsidR="005E1BF5">
        <w:t xml:space="preserve">safety management studies (risk assessments) of its </w:t>
      </w:r>
      <w:r>
        <w:t xml:space="preserve">high pressure networks under Australian Standard 2885. ActewAGL </w:t>
      </w:r>
      <w:r w:rsidR="005E1BF5">
        <w:t xml:space="preserve">also </w:t>
      </w:r>
      <w:r>
        <w:t>propose</w:t>
      </w:r>
      <w:r w:rsidR="00540AFE">
        <w:t>d</w:t>
      </w:r>
      <w:r w:rsidR="005E1BF5">
        <w:t xml:space="preserve"> some other minor costs associated with security management.</w:t>
      </w:r>
    </w:p>
    <w:p w:rsidR="005E1BF5" w:rsidRDefault="003F24AA" w:rsidP="005E1BF5">
      <w:pPr>
        <w:pStyle w:val="ListParagraph"/>
        <w:numPr>
          <w:ilvl w:val="0"/>
          <w:numId w:val="28"/>
        </w:numPr>
      </w:pPr>
      <w:r>
        <w:t xml:space="preserve">ActewAGL </w:t>
      </w:r>
      <w:r w:rsidR="0059511E">
        <w:t xml:space="preserve">stated </w:t>
      </w:r>
      <w:r w:rsidR="005E1BF5">
        <w:t xml:space="preserve">that the AS 2885 suite of Australian Standards require pipeline owners to undertake periodic safety management studies of their assets to ensure the continuing safe and reliable operation of those assets. </w:t>
      </w:r>
      <w:r>
        <w:t xml:space="preserve">It also </w:t>
      </w:r>
      <w:r w:rsidR="0059511E">
        <w:t xml:space="preserve">stated </w:t>
      </w:r>
      <w:r w:rsidR="005E1BF5">
        <w:t xml:space="preserve">that this step change reflects the periodic nature of the requirement and that no safety management studies were planned or required during the base year </w:t>
      </w:r>
      <w:r w:rsidR="00175A03">
        <w:t>2014–15</w:t>
      </w:r>
      <w:r w:rsidR="005E1BF5">
        <w:t>.</w:t>
      </w:r>
    </w:p>
    <w:p w:rsidR="00414771" w:rsidRDefault="003F24AA" w:rsidP="005E1BF5">
      <w:pPr>
        <w:pStyle w:val="ListParagraph"/>
        <w:numPr>
          <w:ilvl w:val="0"/>
          <w:numId w:val="28"/>
        </w:numPr>
      </w:pPr>
      <w:r>
        <w:t xml:space="preserve">We note that </w:t>
      </w:r>
      <w:r w:rsidR="00414771">
        <w:t>ActewAGL is already required to ensure its pipelines are prudently managed, and undertakes periodic assessments as part of this obligation.</w:t>
      </w:r>
      <w:r w:rsidR="00414771" w:rsidRPr="00AA2FF3">
        <w:t xml:space="preserve"> </w:t>
      </w:r>
      <w:r w:rsidR="005E1BF5">
        <w:t xml:space="preserve">We </w:t>
      </w:r>
      <w:r>
        <w:t xml:space="preserve">also </w:t>
      </w:r>
      <w:r w:rsidR="005E1BF5">
        <w:t xml:space="preserve">note that the amount forecast for these items is not material and that some variation in the composition of expenditure from year to year is expected under our forecasting approach. This means that expenditure for some categories will be higher than usual in a given year, while other categories will be lower than usual. On this basis, and given the low materiality of this proposed item, we have not </w:t>
      </w:r>
      <w:r w:rsidR="00FC5707">
        <w:t>accepted</w:t>
      </w:r>
      <w:r w:rsidR="005E1BF5">
        <w:t xml:space="preserve"> it as a step change as we consider that it is captured in </w:t>
      </w:r>
      <w:r w:rsidR="00414771">
        <w:t xml:space="preserve">our assessment </w:t>
      </w:r>
      <w:r w:rsidR="005E1BF5">
        <w:t xml:space="preserve">of base opex. </w:t>
      </w:r>
    </w:p>
    <w:p w:rsidR="00414771" w:rsidRPr="001A6AE4" w:rsidRDefault="00414771" w:rsidP="00414771">
      <w:pPr>
        <w:pStyle w:val="HeadingBoldItalic"/>
        <w:keepNext/>
        <w:tabs>
          <w:tab w:val="clear" w:pos="1021"/>
        </w:tabs>
        <w:spacing w:before="120" w:after="120" w:line="288" w:lineRule="auto"/>
        <w:outlineLvl w:val="9"/>
      </w:pPr>
      <w:r>
        <w:rPr>
          <w:rFonts w:cs="Arial"/>
          <w:szCs w:val="20"/>
        </w:rPr>
        <w:t xml:space="preserve">Hoskinstown </w:t>
      </w:r>
      <w:r w:rsidR="00D30BD1">
        <w:rPr>
          <w:rFonts w:cs="Arial"/>
          <w:szCs w:val="20"/>
        </w:rPr>
        <w:t xml:space="preserve">operating </w:t>
      </w:r>
      <w:r>
        <w:rPr>
          <w:rFonts w:cs="Arial"/>
          <w:szCs w:val="20"/>
        </w:rPr>
        <w:t xml:space="preserve">and </w:t>
      </w:r>
      <w:r w:rsidR="00D30BD1">
        <w:rPr>
          <w:rFonts w:cs="Arial"/>
          <w:szCs w:val="20"/>
        </w:rPr>
        <w:t xml:space="preserve">maintenance </w:t>
      </w:r>
      <w:r>
        <w:rPr>
          <w:rFonts w:cs="Arial"/>
        </w:rPr>
        <w:t>contract renegotiation</w:t>
      </w:r>
    </w:p>
    <w:p w:rsidR="00414771" w:rsidRDefault="00A1689E" w:rsidP="00414771">
      <w:pPr>
        <w:numPr>
          <w:ilvl w:val="0"/>
          <w:numId w:val="28"/>
        </w:numPr>
      </w:pPr>
      <w:r>
        <w:t xml:space="preserve">ActewAGL </w:t>
      </w:r>
      <w:r w:rsidR="00414771">
        <w:t xml:space="preserve">proposed a </w:t>
      </w:r>
      <w:r w:rsidR="00BD40BC">
        <w:t>$0.3 million ($</w:t>
      </w:r>
      <w:r w:rsidR="0061228D">
        <w:t>2015–16</w:t>
      </w:r>
      <w:r w:rsidR="00BD40BC">
        <w:t xml:space="preserve">) </w:t>
      </w:r>
      <w:r w:rsidR="00414771">
        <w:t>step change for additional costs to renegotiate contracts to provide ongoing operation and maintenance</w:t>
      </w:r>
      <w:r w:rsidR="00D30BD1">
        <w:t xml:space="preserve"> (O&amp;M)</w:t>
      </w:r>
      <w:r w:rsidR="00414771">
        <w:t xml:space="preserve"> requirements at the Hoskinstown metering station. ActewAGL </w:t>
      </w:r>
      <w:r w:rsidR="009178F0">
        <w:t xml:space="preserve">stated </w:t>
      </w:r>
      <w:r w:rsidR="00414771">
        <w:t>that Hoskinstown will take an increasingly important role as the primary gas delivery source for the ACT network over the next few years.</w:t>
      </w:r>
    </w:p>
    <w:p w:rsidR="00AB1637" w:rsidRDefault="00FD7717" w:rsidP="00AB1637">
      <w:pPr>
        <w:numPr>
          <w:ilvl w:val="0"/>
          <w:numId w:val="28"/>
        </w:numPr>
      </w:pPr>
      <w:r>
        <w:t xml:space="preserve">This step change </w:t>
      </w:r>
      <w:r w:rsidR="00AB1637">
        <w:t>involves costs in two phases. P</w:t>
      </w:r>
      <w:r w:rsidR="00414771">
        <w:t xml:space="preserve">hase one involves costs associated with renegotiating a new contract and phase two involves ongoing costs in each year of the access arrangement period to deliver the O&amp;M services. </w:t>
      </w:r>
    </w:p>
    <w:p w:rsidR="00414771" w:rsidRDefault="00414771" w:rsidP="00AB1637">
      <w:pPr>
        <w:numPr>
          <w:ilvl w:val="0"/>
          <w:numId w:val="28"/>
        </w:numPr>
      </w:pPr>
      <w:r>
        <w:t>ActewAGL state</w:t>
      </w:r>
      <w:r w:rsidR="00B05B8C">
        <w:t>d</w:t>
      </w:r>
      <w:r>
        <w:t xml:space="preserve"> that “renegotiating the contracts will provide ongoing O&amp;M of this key ActewAGL asset and take into account increases in the volume of gas delivered through the Hoskinstown metering station, and any future O&amp;M service provider”.</w:t>
      </w:r>
      <w:r>
        <w:rPr>
          <w:rStyle w:val="FootnoteReference"/>
        </w:rPr>
        <w:footnoteReference w:id="36"/>
      </w:r>
      <w:r>
        <w:t xml:space="preserve"> </w:t>
      </w:r>
    </w:p>
    <w:p w:rsidR="00414771" w:rsidRPr="002B1F5E" w:rsidRDefault="00414771" w:rsidP="009178F0">
      <w:pPr>
        <w:pStyle w:val="ListParagraph"/>
        <w:numPr>
          <w:ilvl w:val="0"/>
          <w:numId w:val="28"/>
        </w:numPr>
      </w:pPr>
      <w:r>
        <w:rPr>
          <w:rStyle w:val="AERbody"/>
        </w:rPr>
        <w:t>As noted earlier, typically, we do</w:t>
      </w:r>
      <w:r>
        <w:t xml:space="preserve"> not allow step changes for </w:t>
      </w:r>
      <w:r w:rsidR="00AB1637">
        <w:t xml:space="preserve">business as usual services, </w:t>
      </w:r>
      <w:r w:rsidR="00D30BD1">
        <w:t>such as</w:t>
      </w:r>
      <w:r w:rsidR="00AB1637">
        <w:t xml:space="preserve"> renegotiating contracts. Further, we consider that opex associated with an increased throughput volume </w:t>
      </w:r>
      <w:r w:rsidR="00BD40BC">
        <w:t xml:space="preserve">is </w:t>
      </w:r>
      <w:r w:rsidR="00AB1637">
        <w:t xml:space="preserve">provided for through the application of the rate </w:t>
      </w:r>
      <w:r w:rsidR="00884D13">
        <w:t xml:space="preserve">of change factor. </w:t>
      </w:r>
      <w:r w:rsidR="00AB1637">
        <w:t xml:space="preserve">This is because the rate of change provides for changes in output of the network (based on changes in consumption and customer connection changes) and changes in input prices. </w:t>
      </w:r>
      <w:r>
        <w:t xml:space="preserve">We </w:t>
      </w:r>
      <w:r w:rsidR="006C1F3B">
        <w:t xml:space="preserve">therefore </w:t>
      </w:r>
      <w:r w:rsidR="009178F0">
        <w:t xml:space="preserve">do not accept this step change. </w:t>
      </w:r>
    </w:p>
    <w:p w:rsidR="00620022" w:rsidRPr="002B1F5E" w:rsidRDefault="00620022" w:rsidP="00620022">
      <w:pPr>
        <w:pStyle w:val="HeadingBoldItalic"/>
        <w:keepNext/>
        <w:numPr>
          <w:ilvl w:val="0"/>
          <w:numId w:val="24"/>
        </w:numPr>
        <w:tabs>
          <w:tab w:val="clear" w:pos="1021"/>
        </w:tabs>
        <w:spacing w:before="120" w:after="120" w:line="288" w:lineRule="auto"/>
        <w:outlineLvl w:val="9"/>
      </w:pPr>
      <w:r>
        <w:rPr>
          <w:rFonts w:cs="Arial"/>
          <w:szCs w:val="20"/>
        </w:rPr>
        <w:lastRenderedPageBreak/>
        <w:t>Periodic inspection</w:t>
      </w:r>
      <w:r>
        <w:rPr>
          <w:rFonts w:cs="Arial"/>
        </w:rPr>
        <w:t>s</w:t>
      </w:r>
      <w:r>
        <w:rPr>
          <w:rFonts w:cs="Arial"/>
          <w:szCs w:val="20"/>
        </w:rPr>
        <w:t xml:space="preserve"> of exposed main and water bath heater assets</w:t>
      </w:r>
    </w:p>
    <w:p w:rsidR="00620022" w:rsidRDefault="00620022" w:rsidP="00620022">
      <w:pPr>
        <w:pStyle w:val="ListParagraph"/>
        <w:numPr>
          <w:ilvl w:val="0"/>
          <w:numId w:val="24"/>
        </w:numPr>
      </w:pPr>
      <w:r>
        <w:t>ActewAGL propose</w:t>
      </w:r>
      <w:r w:rsidR="00B05B8C">
        <w:t>d</w:t>
      </w:r>
      <w:r>
        <w:t xml:space="preserve"> a $0.3 million ($</w:t>
      </w:r>
      <w:r w:rsidR="0061228D">
        <w:t>2015–16</w:t>
      </w:r>
      <w:r>
        <w:t>) step change to undertake periodic inspections of exposed main</w:t>
      </w:r>
      <w:r>
        <w:rPr>
          <w:rStyle w:val="FootnoteReference"/>
        </w:rPr>
        <w:footnoteReference w:id="37"/>
      </w:r>
      <w:r>
        <w:t xml:space="preserve"> and water bath heater assets. It </w:t>
      </w:r>
      <w:r w:rsidR="0059511E">
        <w:t xml:space="preserve">stated </w:t>
      </w:r>
      <w:r>
        <w:t>that its exposed mains require regular and comprehensive inspections and that its water bath heaters need to be maintained to meet</w:t>
      </w:r>
      <w:r w:rsidR="00F9793F">
        <w:t xml:space="preserve"> the</w:t>
      </w:r>
      <w:r>
        <w:t xml:space="preserve"> manufacturer’s and regulatory requirements. ActewAGL further </w:t>
      </w:r>
      <w:r w:rsidR="0059511E">
        <w:t xml:space="preserve">stated </w:t>
      </w:r>
      <w:r>
        <w:t xml:space="preserve">that the periodic inspections accounted for in the step change were not undertaken in the base year and are therefore not included in base opex. </w:t>
      </w:r>
    </w:p>
    <w:p w:rsidR="00620022" w:rsidRDefault="003F24AA" w:rsidP="00620022">
      <w:r>
        <w:t xml:space="preserve">We note that </w:t>
      </w:r>
      <w:r w:rsidR="00620022">
        <w:t>ActewAGL is already required to ensure its pipelines are prudently managed, and undertakes periodic assessments as part of this obligation.</w:t>
      </w:r>
      <w:r w:rsidR="00620022" w:rsidRPr="00AA2FF3">
        <w:t xml:space="preserve"> </w:t>
      </w:r>
      <w:r w:rsidR="00620022">
        <w:t xml:space="preserve">We </w:t>
      </w:r>
      <w:r>
        <w:t xml:space="preserve">also </w:t>
      </w:r>
      <w:r w:rsidR="00620022">
        <w:t xml:space="preserve">note that </w:t>
      </w:r>
      <w:r w:rsidR="003F6A46">
        <w:t xml:space="preserve">the amount forecast for this item is not material and that </w:t>
      </w:r>
      <w:r w:rsidR="00620022">
        <w:t xml:space="preserve">some variation in the composition of expenditure year to year is expected under our forecasting approach. This means that expenditure for some categories will be higher than usual in a given year, while other categories will be lower than usual. On this basis, and given the low materiality of this proposed item, we have not </w:t>
      </w:r>
      <w:r w:rsidR="00FC5707">
        <w:t>accepted</w:t>
      </w:r>
      <w:r w:rsidR="00620022">
        <w:t xml:space="preserve"> it as a step change.</w:t>
      </w:r>
    </w:p>
    <w:p w:rsidR="00F662AB" w:rsidRPr="002B1F5E" w:rsidRDefault="00F662AB" w:rsidP="00F662AB">
      <w:pPr>
        <w:pStyle w:val="HeadingBoldItalic"/>
        <w:numPr>
          <w:ilvl w:val="0"/>
          <w:numId w:val="24"/>
        </w:numPr>
      </w:pPr>
      <w:r w:rsidRPr="00F662AB">
        <w:t>New capex driven opex</w:t>
      </w:r>
    </w:p>
    <w:p w:rsidR="00F662AB" w:rsidRPr="00F662AB" w:rsidRDefault="00F662AB" w:rsidP="00F662AB">
      <w:pPr>
        <w:pStyle w:val="ListParagraph"/>
        <w:numPr>
          <w:ilvl w:val="0"/>
          <w:numId w:val="24"/>
        </w:numPr>
      </w:pPr>
      <w:r w:rsidRPr="00F662AB">
        <w:t>ActewAGL proposed a $0.6 million ($2015</w:t>
      </w:r>
      <w:r>
        <w:t>–</w:t>
      </w:r>
      <w:r w:rsidRPr="00F662AB">
        <w:t>16) step change in opex to account for additional work and resource requirements resulting from upgrades in capital equipment at the Fyshwick Trunk Receiving Station, Hoskinstown Custody Transfer Station, Philip Primary Regulating Station, Watson Pressure Limiting Station, as well as extensions to the Molonglo primary main. It state</w:t>
      </w:r>
      <w:r>
        <w:t>d</w:t>
      </w:r>
      <w:r w:rsidRPr="00F662AB">
        <w:t xml:space="preserve"> that these assets are required to be maintained to the manufacturers and regulatory requirements. ActewAGL has also proposed a negative step change due to the closure of the Jerrabomberra Packaged Off-take Station.</w:t>
      </w:r>
    </w:p>
    <w:p w:rsidR="00F662AB" w:rsidRPr="00F662AB" w:rsidRDefault="00F662AB" w:rsidP="00F662AB">
      <w:pPr>
        <w:pStyle w:val="ListParagraph"/>
        <w:numPr>
          <w:ilvl w:val="0"/>
          <w:numId w:val="24"/>
        </w:numPr>
      </w:pPr>
      <w:r w:rsidRPr="00F662AB">
        <w:t>We consider that opex associated with these capital upgrades and projects is provided for as part of our forecasting approach through the application of the rate of change factor to base opex.</w:t>
      </w:r>
      <w:r w:rsidRPr="00F662AB">
        <w:rPr>
          <w:rStyle w:val="FootnoteReference"/>
        </w:rPr>
        <w:footnoteReference w:id="38"/>
      </w:r>
      <w:r w:rsidRPr="00F662AB">
        <w:t xml:space="preserve"> This is because the rate of change provides for changes in the output of the network (based on changes in consumption and customer connections) and changes in input prices. We therefore do not accept the proposed capex driven opex should be treated as a step change. </w:t>
      </w:r>
    </w:p>
    <w:p w:rsidR="00F662AB" w:rsidRPr="00F662AB" w:rsidRDefault="00F662AB" w:rsidP="00F662AB">
      <w:pPr>
        <w:pStyle w:val="ListParagraph"/>
        <w:numPr>
          <w:ilvl w:val="0"/>
          <w:numId w:val="24"/>
        </w:numPr>
      </w:pPr>
      <w:r w:rsidRPr="00F662AB">
        <w:t xml:space="preserve">In relation to the negative step change, we note that the opex associated with this change is not material and </w:t>
      </w:r>
      <w:r>
        <w:t xml:space="preserve">that some variation in the composition of expenditure from year to year is expected under our forecasting approach. On this basis, we do not accept this step change.  </w:t>
      </w:r>
    </w:p>
    <w:p w:rsidR="00414771" w:rsidRPr="000A3A39" w:rsidRDefault="00414771" w:rsidP="00414771">
      <w:pPr>
        <w:pStyle w:val="HeadingBoldItalic"/>
        <w:keepNext/>
        <w:tabs>
          <w:tab w:val="clear" w:pos="1021"/>
        </w:tabs>
        <w:spacing w:before="120" w:after="120" w:line="288" w:lineRule="auto"/>
        <w:outlineLvl w:val="9"/>
      </w:pPr>
      <w:r>
        <w:rPr>
          <w:rFonts w:cs="Arial"/>
          <w:szCs w:val="20"/>
        </w:rPr>
        <w:lastRenderedPageBreak/>
        <w:t>Revised metering and technical codes compliance</w:t>
      </w:r>
    </w:p>
    <w:p w:rsidR="00E46EFE" w:rsidRDefault="00414771" w:rsidP="00414771">
      <w:r>
        <w:t xml:space="preserve">ActewAGL </w:t>
      </w:r>
      <w:r w:rsidR="00E46EFE">
        <w:t xml:space="preserve">stated that within the last two years the ACT had introduced amended safety and compliance codes for new gas services and </w:t>
      </w:r>
      <w:r w:rsidR="002E44F2">
        <w:t xml:space="preserve">metering </w:t>
      </w:r>
      <w:r w:rsidR="00E46EFE">
        <w:t>installations. These codes are:</w:t>
      </w:r>
    </w:p>
    <w:p w:rsidR="00E46EFE" w:rsidRDefault="00414771" w:rsidP="00E46EFE">
      <w:pPr>
        <w:pStyle w:val="AERbulletlistfirststyle"/>
      </w:pPr>
      <w:r>
        <w:t>Gas Service and Installations Rules Code (July 2013)</w:t>
      </w:r>
    </w:p>
    <w:p w:rsidR="00E46EFE" w:rsidRDefault="00414771" w:rsidP="00E46EFE">
      <w:pPr>
        <w:pStyle w:val="AERbulletlistfirststyle"/>
      </w:pPr>
      <w:r>
        <w:t>Gas Network Boundary Code (May 2013)</w:t>
      </w:r>
    </w:p>
    <w:p w:rsidR="00414771" w:rsidRDefault="00414771" w:rsidP="00E46EFE">
      <w:pPr>
        <w:pStyle w:val="AERbulletlistfirststyle"/>
      </w:pPr>
      <w:r>
        <w:t xml:space="preserve">Gas General Metering Code (which is expected to be finalised in </w:t>
      </w:r>
      <w:r w:rsidR="0061228D">
        <w:t>2015–16</w:t>
      </w:r>
      <w:r>
        <w:t>).</w:t>
      </w:r>
    </w:p>
    <w:p w:rsidR="00057003" w:rsidRDefault="00057003" w:rsidP="00414771">
      <w:r>
        <w:t>ActewAGL</w:t>
      </w:r>
      <w:r w:rsidR="002E44F2">
        <w:t xml:space="preserve"> stated</w:t>
      </w:r>
      <w:r>
        <w:t xml:space="preserve"> these amendments increase the level of activity required to</w:t>
      </w:r>
      <w:r w:rsidR="005E30C5">
        <w:t xml:space="preserve"> achieve and maintain </w:t>
      </w:r>
      <w:r>
        <w:t xml:space="preserve">compliance for </w:t>
      </w:r>
      <w:r w:rsidR="002E44F2">
        <w:t xml:space="preserve">its </w:t>
      </w:r>
      <w:r>
        <w:t xml:space="preserve">gas network. </w:t>
      </w:r>
    </w:p>
    <w:p w:rsidR="00B2627D" w:rsidRDefault="00414771" w:rsidP="00414771">
      <w:r>
        <w:t xml:space="preserve">ActewAGL also proposed costs associated with addressing the findings of a Formal Safety Assessment </w:t>
      </w:r>
      <w:r w:rsidR="00E46EFE">
        <w:t xml:space="preserve">(FSA) </w:t>
      </w:r>
      <w:r>
        <w:t xml:space="preserve">study conducted by Jemena, be part of the step change. </w:t>
      </w:r>
      <w:r w:rsidR="00E46EFE">
        <w:t xml:space="preserve">ActewAGL stated that the </w:t>
      </w:r>
      <w:r>
        <w:t>study indicated the number of maintenance inspections for specific classes of meters should be increased.</w:t>
      </w:r>
    </w:p>
    <w:p w:rsidR="00414771" w:rsidRDefault="00B2627D" w:rsidP="00414771">
      <w:r>
        <w:t xml:space="preserve">ActewAGL </w:t>
      </w:r>
      <w:r w:rsidR="005E30C5">
        <w:t xml:space="preserve">indicated </w:t>
      </w:r>
      <w:r w:rsidR="00E46EFE">
        <w:t>that the objective of this step change is to maintain code compliance and address the outcomes of the FSA. It contend</w:t>
      </w:r>
      <w:r w:rsidR="002E44F2">
        <w:t>ed</w:t>
      </w:r>
      <w:r w:rsidR="00E46EFE">
        <w:t xml:space="preserve"> that the additional activity can only be performed with additional resources. </w:t>
      </w:r>
    </w:p>
    <w:p w:rsidR="00180E60" w:rsidRDefault="005E30C5" w:rsidP="00414771">
      <w:r>
        <w:t>ActewAGL state</w:t>
      </w:r>
      <w:r w:rsidR="002E44F2">
        <w:t>d</w:t>
      </w:r>
      <w:r>
        <w:t xml:space="preserve"> that at the same time as establishing additional personnel to meet the </w:t>
      </w:r>
      <w:r w:rsidR="003F6A46">
        <w:t xml:space="preserve">amended </w:t>
      </w:r>
      <w:r>
        <w:t>regulatory obligations, JAM changed its meter</w:t>
      </w:r>
      <w:r w:rsidR="00180E60">
        <w:t xml:space="preserve"> </w:t>
      </w:r>
      <w:r>
        <w:t xml:space="preserve">data loggers delivery model which has resulted in efficiency savings. Consequently, the management service fee paid to JAM </w:t>
      </w:r>
      <w:r w:rsidR="00180E60">
        <w:t xml:space="preserve">by ActewAGL </w:t>
      </w:r>
      <w:r>
        <w:t xml:space="preserve">will decrease. </w:t>
      </w:r>
      <w:r w:rsidR="00180E60">
        <w:t xml:space="preserve">The amount of the decrease in costs for </w:t>
      </w:r>
      <w:r w:rsidR="002E44F2">
        <w:t xml:space="preserve">meter data loggers </w:t>
      </w:r>
      <w:r w:rsidR="00180E60">
        <w:t xml:space="preserve">installation and delivery is around $0.9 million over the </w:t>
      </w:r>
      <w:r w:rsidR="00907691">
        <w:t>2016–21 period</w:t>
      </w:r>
      <w:r w:rsidR="00180E60">
        <w:t xml:space="preserve">. </w:t>
      </w:r>
    </w:p>
    <w:p w:rsidR="00414771" w:rsidRDefault="005E30C5" w:rsidP="00414771">
      <w:r>
        <w:t>ActewAGL indicate</w:t>
      </w:r>
      <w:r w:rsidR="002E44F2">
        <w:t>d</w:t>
      </w:r>
      <w:r>
        <w:t xml:space="preserve"> that the net effect of the FSA, the amended codes and the reduction in </w:t>
      </w:r>
      <w:r w:rsidR="00180E60">
        <w:t xml:space="preserve">management services fee </w:t>
      </w:r>
      <w:r>
        <w:t xml:space="preserve">is </w:t>
      </w:r>
      <w:r w:rsidR="00180E60">
        <w:t xml:space="preserve">a negative step change of </w:t>
      </w:r>
      <w:r>
        <w:t>$0.45 million</w:t>
      </w:r>
      <w:r w:rsidR="00414771">
        <w:t xml:space="preserve"> ($</w:t>
      </w:r>
      <w:r w:rsidR="0061228D">
        <w:t>2015–16</w:t>
      </w:r>
      <w:r w:rsidR="00414771">
        <w:t xml:space="preserve">) </w:t>
      </w:r>
      <w:r w:rsidR="00B2627D">
        <w:t xml:space="preserve">over the </w:t>
      </w:r>
      <w:r w:rsidR="00907691">
        <w:t>2016–21 period</w:t>
      </w:r>
      <w:r w:rsidR="00414771">
        <w:t xml:space="preserve">.  </w:t>
      </w:r>
    </w:p>
    <w:p w:rsidR="00414771" w:rsidRDefault="00584E48" w:rsidP="00414771">
      <w:r>
        <w:t xml:space="preserve">We note that while the </w:t>
      </w:r>
      <w:r w:rsidR="00414771">
        <w:t xml:space="preserve">ACT Government may amend safety and compliance codes for gas services and metering installations, this does not necessarily result in </w:t>
      </w:r>
      <w:r w:rsidR="005E30C5">
        <w:t xml:space="preserve">an </w:t>
      </w:r>
      <w:r w:rsidR="00414771">
        <w:t>increased regulatory burden beyond that already taken into account in business as usual processes.</w:t>
      </w:r>
      <w:r w:rsidR="00E30C42">
        <w:t xml:space="preserve"> </w:t>
      </w:r>
      <w:r w:rsidR="0057497C">
        <w:t>ActewAGL has not provided evidence to demonstrate th</w:t>
      </w:r>
      <w:r w:rsidR="002E0621">
        <w:t>a</w:t>
      </w:r>
      <w:r w:rsidR="0057497C">
        <w:t xml:space="preserve">t additional </w:t>
      </w:r>
      <w:r w:rsidR="002E44F2">
        <w:t xml:space="preserve">opex </w:t>
      </w:r>
      <w:r w:rsidR="0057497C">
        <w:t>would be required as a result of the amendments to the cod</w:t>
      </w:r>
      <w:r w:rsidR="002E0621">
        <w:t>es. In coming to our position we had regard to information from the ACT Government's Environment and Planning Directorate</w:t>
      </w:r>
      <w:r w:rsidR="005E30C5">
        <w:t xml:space="preserve"> that indicate</w:t>
      </w:r>
      <w:r w:rsidR="002E44F2">
        <w:t>d</w:t>
      </w:r>
      <w:r w:rsidR="005E30C5">
        <w:t xml:space="preserve"> that </w:t>
      </w:r>
      <w:r w:rsidR="002E0621">
        <w:t xml:space="preserve">these amendments </w:t>
      </w:r>
      <w:r w:rsidR="003F6A46">
        <w:t xml:space="preserve">were </w:t>
      </w:r>
      <w:r w:rsidR="002E0621">
        <w:t>intended to clarify technical arrangements and liability issues for gas networks</w:t>
      </w:r>
      <w:r w:rsidR="002E44F2">
        <w:t>,</w:t>
      </w:r>
      <w:r w:rsidR="005E30C5">
        <w:t xml:space="preserve"> not increase obligations</w:t>
      </w:r>
      <w:r w:rsidR="002E0621">
        <w:t>.</w:t>
      </w:r>
      <w:r w:rsidR="00E30C42">
        <w:rPr>
          <w:rStyle w:val="FootnoteReference"/>
        </w:rPr>
        <w:footnoteReference w:id="39"/>
      </w:r>
      <w:r w:rsidR="00414771">
        <w:t xml:space="preserve"> </w:t>
      </w:r>
    </w:p>
    <w:p w:rsidR="00414771" w:rsidRDefault="00414771" w:rsidP="00414771">
      <w:r>
        <w:t xml:space="preserve">Further, we </w:t>
      </w:r>
      <w:r w:rsidR="005363D5">
        <w:t xml:space="preserve">do </w:t>
      </w:r>
      <w:r>
        <w:t xml:space="preserve">not consider the increased number of maintenance inspections recommended in Jemena’s </w:t>
      </w:r>
      <w:r w:rsidR="00584E48">
        <w:t xml:space="preserve">FSA </w:t>
      </w:r>
      <w:r w:rsidR="003F6A46">
        <w:t xml:space="preserve">study </w:t>
      </w:r>
      <w:r w:rsidR="00E30C42">
        <w:t xml:space="preserve">to be </w:t>
      </w:r>
      <w:r w:rsidR="005E30C5">
        <w:t xml:space="preserve">additional </w:t>
      </w:r>
      <w:r w:rsidR="00EC4E2B">
        <w:t xml:space="preserve">to </w:t>
      </w:r>
      <w:r>
        <w:t xml:space="preserve">business as usual </w:t>
      </w:r>
      <w:r w:rsidR="002E0621">
        <w:t>activities</w:t>
      </w:r>
      <w:r>
        <w:t xml:space="preserve">. Decisions linked to findings in reviews are part of the normal operations and processes </w:t>
      </w:r>
      <w:r>
        <w:lastRenderedPageBreak/>
        <w:t xml:space="preserve">of a business. They are not new regulatory obligations or material changes in circumstance. </w:t>
      </w:r>
    </w:p>
    <w:p w:rsidR="00584E48" w:rsidRDefault="00180E60" w:rsidP="00180E60">
      <w:pPr>
        <w:pStyle w:val="ListParagraph"/>
        <w:numPr>
          <w:ilvl w:val="0"/>
          <w:numId w:val="24"/>
        </w:numPr>
      </w:pPr>
      <w:r>
        <w:t xml:space="preserve">In relation to the reduction of the management services fee as a result of the changed delivery model for </w:t>
      </w:r>
      <w:r w:rsidR="002E44F2">
        <w:t>meter data loggers</w:t>
      </w:r>
      <w:r>
        <w:t xml:space="preserve">, we note that some </w:t>
      </w:r>
      <w:r w:rsidR="00584E48" w:rsidRPr="00584E48">
        <w:t>variation in the composition of expenditure from year to year is expected under our forec</w:t>
      </w:r>
      <w:r w:rsidR="00584E48">
        <w:t xml:space="preserve">asting approach. </w:t>
      </w:r>
      <w:r>
        <w:t xml:space="preserve">We consider that cost savings passed on by JAM as a result of the changed delivery model reflect this year on year variation. </w:t>
      </w:r>
      <w:r w:rsidR="00E30C42" w:rsidRPr="00E30C42">
        <w:t>On this basis, we do not accept this step change</w:t>
      </w:r>
      <w:r w:rsidR="0057497C">
        <w:t xml:space="preserve"> as part of our alternative opex forecast</w:t>
      </w:r>
      <w:r w:rsidR="00E30C42" w:rsidRPr="00E30C42">
        <w:t>, nor</w:t>
      </w:r>
      <w:r w:rsidR="00E30C42">
        <w:t xml:space="preserve"> have we </w:t>
      </w:r>
      <w:r w:rsidR="002E0621">
        <w:t xml:space="preserve">adjusted </w:t>
      </w:r>
      <w:r w:rsidR="00E30C42" w:rsidRPr="00E30C42">
        <w:t xml:space="preserve">base year opex.  </w:t>
      </w:r>
    </w:p>
    <w:p w:rsidR="003F6A46" w:rsidRPr="00584E48" w:rsidRDefault="003F6A46" w:rsidP="00180E60">
      <w:pPr>
        <w:pStyle w:val="ListParagraph"/>
        <w:numPr>
          <w:ilvl w:val="0"/>
          <w:numId w:val="24"/>
        </w:numPr>
      </w:pPr>
      <w:r>
        <w:t xml:space="preserve">For clarity, we </w:t>
      </w:r>
      <w:r w:rsidR="00EC4E2B">
        <w:t>do not</w:t>
      </w:r>
      <w:r>
        <w:t xml:space="preserve"> accept</w:t>
      </w:r>
      <w:r w:rsidR="00EC4E2B">
        <w:t xml:space="preserve"> the</w:t>
      </w:r>
      <w:r>
        <w:t xml:space="preserve"> step changes proposed in relation to the amended codes, the FSA study or the management service fee reduction. </w:t>
      </w:r>
    </w:p>
    <w:p w:rsidR="00414771" w:rsidRPr="006356C9" w:rsidRDefault="002341A3" w:rsidP="00414771">
      <w:pPr>
        <w:pStyle w:val="HeadingBoldItalic"/>
        <w:keepNext/>
        <w:numPr>
          <w:ilvl w:val="0"/>
          <w:numId w:val="24"/>
        </w:numPr>
        <w:tabs>
          <w:tab w:val="clear" w:pos="1021"/>
        </w:tabs>
        <w:spacing w:before="120" w:after="120" w:line="288" w:lineRule="auto"/>
        <w:outlineLvl w:val="9"/>
      </w:pPr>
      <w:r>
        <w:rPr>
          <w:rFonts w:cs="Arial"/>
          <w:szCs w:val="20"/>
        </w:rPr>
        <w:t xml:space="preserve">Regulatory </w:t>
      </w:r>
      <w:r w:rsidR="00414771">
        <w:rPr>
          <w:rFonts w:cs="Arial"/>
          <w:szCs w:val="20"/>
        </w:rPr>
        <w:t xml:space="preserve">reporting requirements </w:t>
      </w:r>
      <w:r w:rsidR="005258DF">
        <w:rPr>
          <w:rFonts w:cs="Arial"/>
          <w:szCs w:val="20"/>
        </w:rPr>
        <w:t>for</w:t>
      </w:r>
      <w:r w:rsidR="00414771">
        <w:rPr>
          <w:rFonts w:cs="Arial"/>
          <w:szCs w:val="20"/>
        </w:rPr>
        <w:t xml:space="preserve"> the </w:t>
      </w:r>
      <w:r w:rsidR="00907691">
        <w:rPr>
          <w:rFonts w:cs="Arial"/>
          <w:szCs w:val="20"/>
        </w:rPr>
        <w:t>2016–21 period</w:t>
      </w:r>
    </w:p>
    <w:p w:rsidR="00414771" w:rsidRDefault="00414771" w:rsidP="00414771">
      <w:r>
        <w:t>ActewAGL proposed a step change of $</w:t>
      </w:r>
      <w:r>
        <w:rPr>
          <w:rFonts w:cs="Arial"/>
          <w:szCs w:val="20"/>
        </w:rPr>
        <w:t>1.6</w:t>
      </w:r>
      <w:r>
        <w:t xml:space="preserve"> million ($</w:t>
      </w:r>
      <w:r w:rsidR="0061228D">
        <w:t>2015–16</w:t>
      </w:r>
      <w:r>
        <w:t xml:space="preserve">) for the costs of anticipated increased regulatory reporting obligations </w:t>
      </w:r>
      <w:r w:rsidR="0001247A">
        <w:t xml:space="preserve">over the </w:t>
      </w:r>
      <w:r>
        <w:t xml:space="preserve">next access arrangement period. ActewAGL stated that this would be consistent with increased reporting requirements for electricity networks and ActewAGL’s access arrangement </w:t>
      </w:r>
      <w:r w:rsidR="0001247A">
        <w:t>Regulatory Information Notice (RIN)</w:t>
      </w:r>
      <w:r>
        <w:t>.</w:t>
      </w:r>
      <w:r>
        <w:rPr>
          <w:rStyle w:val="FootnoteReference"/>
        </w:rPr>
        <w:footnoteReference w:id="40"/>
      </w:r>
      <w:r>
        <w:t xml:space="preserve"> </w:t>
      </w:r>
    </w:p>
    <w:p w:rsidR="00414771" w:rsidRDefault="00414771" w:rsidP="00414771">
      <w:r>
        <w:t xml:space="preserve">ActewAGL’s </w:t>
      </w:r>
      <w:r w:rsidR="00CE1BDF">
        <w:t>proposal</w:t>
      </w:r>
      <w:r w:rsidR="005363D5">
        <w:t xml:space="preserve"> assume</w:t>
      </w:r>
      <w:r w:rsidR="00CE1BDF">
        <w:t>s</w:t>
      </w:r>
      <w:r w:rsidR="005363D5">
        <w:t xml:space="preserve"> </w:t>
      </w:r>
      <w:r>
        <w:t xml:space="preserve">that we will </w:t>
      </w:r>
      <w:r w:rsidR="005258DF">
        <w:t>significantly increase</w:t>
      </w:r>
      <w:r>
        <w:t xml:space="preserve"> our annual reporting requirements from 2016–17 onwards. Our better regulation guidelines and associated </w:t>
      </w:r>
      <w:r w:rsidR="0001247A">
        <w:t>RINs</w:t>
      </w:r>
      <w:r>
        <w:t xml:space="preserve"> </w:t>
      </w:r>
      <w:r w:rsidR="002341A3">
        <w:t xml:space="preserve">only </w:t>
      </w:r>
      <w:r>
        <w:t xml:space="preserve">apply to electricity and not to gas and that is not expected to change over the </w:t>
      </w:r>
      <w:r w:rsidR="005258DF">
        <w:t xml:space="preserve">next </w:t>
      </w:r>
      <w:r>
        <w:t xml:space="preserve">access arrangement period. As such, there should not be any expectation of a step change from existing reporting obligations. </w:t>
      </w:r>
    </w:p>
    <w:p w:rsidR="00414771" w:rsidRDefault="00414771" w:rsidP="00414771">
      <w:r>
        <w:t xml:space="preserve">We </w:t>
      </w:r>
      <w:r w:rsidR="003F6A46">
        <w:t xml:space="preserve">do </w:t>
      </w:r>
      <w:r>
        <w:t xml:space="preserve">not </w:t>
      </w:r>
      <w:r w:rsidR="003F6A46">
        <w:t xml:space="preserve">accept </w:t>
      </w:r>
      <w:r>
        <w:t>the proposed step change for annual regulatory reporting.</w:t>
      </w:r>
    </w:p>
    <w:p w:rsidR="00414771" w:rsidRDefault="00414771" w:rsidP="00414771">
      <w:pPr>
        <w:pStyle w:val="HeadingBoldItalic"/>
        <w:keepNext/>
        <w:numPr>
          <w:ilvl w:val="0"/>
          <w:numId w:val="24"/>
        </w:numPr>
        <w:tabs>
          <w:tab w:val="clear" w:pos="1021"/>
        </w:tabs>
        <w:spacing w:before="120" w:after="120" w:line="288" w:lineRule="auto"/>
        <w:outlineLvl w:val="9"/>
      </w:pPr>
      <w:r>
        <w:t xml:space="preserve">2021 access arrangement revision obligations </w:t>
      </w:r>
    </w:p>
    <w:p w:rsidR="00414771" w:rsidRDefault="00A77C4C" w:rsidP="00414771">
      <w:r>
        <w:t xml:space="preserve">ActewAGL removed </w:t>
      </w:r>
      <w:r w:rsidR="00B20288">
        <w:t xml:space="preserve">from the base year </w:t>
      </w:r>
      <w:r>
        <w:t xml:space="preserve">costs </w:t>
      </w:r>
      <w:r w:rsidR="00D1623C">
        <w:t>totalling</w:t>
      </w:r>
      <w:r>
        <w:t xml:space="preserve"> $2.3 million associated with </w:t>
      </w:r>
      <w:r w:rsidR="00D1623C">
        <w:t>the</w:t>
      </w:r>
      <w:r>
        <w:t xml:space="preserve"> </w:t>
      </w:r>
      <w:r w:rsidR="000A4DD1">
        <w:t>2016–</w:t>
      </w:r>
      <w:r w:rsidR="00D1623C">
        <w:t xml:space="preserve">21 access arrangement proposal but proposed a </w:t>
      </w:r>
      <w:r w:rsidR="00414771">
        <w:t>step change of $</w:t>
      </w:r>
      <w:r w:rsidR="00414771">
        <w:rPr>
          <w:rFonts w:cs="Arial"/>
          <w:szCs w:val="20"/>
        </w:rPr>
        <w:t>3.2</w:t>
      </w:r>
      <w:r w:rsidR="00414771">
        <w:t xml:space="preserve"> million ($</w:t>
      </w:r>
      <w:r w:rsidR="0061228D">
        <w:t>2015–16</w:t>
      </w:r>
      <w:r w:rsidR="00414771">
        <w:t>) for the costs associated increase</w:t>
      </w:r>
      <w:r w:rsidR="00D1623C">
        <w:t>d</w:t>
      </w:r>
      <w:r w:rsidR="00414771">
        <w:t xml:space="preserve"> in regulatory reporting obligations associated with preparation and submission of the </w:t>
      </w:r>
      <w:r w:rsidR="000A4DD1">
        <w:t>2021–</w:t>
      </w:r>
      <w:r w:rsidR="002341A3">
        <w:t xml:space="preserve">26 </w:t>
      </w:r>
      <w:r w:rsidR="00414771">
        <w:t xml:space="preserve">access arrangement </w:t>
      </w:r>
      <w:r>
        <w:t>proposal</w:t>
      </w:r>
      <w:r w:rsidR="002341A3">
        <w:t>.</w:t>
      </w:r>
    </w:p>
    <w:p w:rsidR="0061228D" w:rsidRDefault="0040538C" w:rsidP="00CE1BDF">
      <w:r>
        <w:t>Origin Energy identified this step change for further AER scrutiny as they did not consider it was clear that material new costs for would be incurred, given this process should be included recurrent expenditure.</w:t>
      </w:r>
      <w:r>
        <w:rPr>
          <w:rStyle w:val="FootnoteReference"/>
        </w:rPr>
        <w:footnoteReference w:id="41"/>
      </w:r>
    </w:p>
    <w:p w:rsidR="00883D1C" w:rsidRDefault="00A77C4C" w:rsidP="00CE1BDF">
      <w:r>
        <w:t xml:space="preserve">We do not accept this step change. Firstly, </w:t>
      </w:r>
      <w:r w:rsidR="00D1623C">
        <w:t xml:space="preserve">we consider there is </w:t>
      </w:r>
      <w:r w:rsidR="00E46EFE">
        <w:t xml:space="preserve">no </w:t>
      </w:r>
      <w:r w:rsidR="00B20288">
        <w:t>change</w:t>
      </w:r>
      <w:r w:rsidR="00D1623C">
        <w:t xml:space="preserve"> in the </w:t>
      </w:r>
      <w:r>
        <w:t xml:space="preserve">regulatory reporting </w:t>
      </w:r>
      <w:r w:rsidR="00B20288">
        <w:t>burden</w:t>
      </w:r>
      <w:r>
        <w:t xml:space="preserve"> </w:t>
      </w:r>
      <w:r w:rsidR="00B20288">
        <w:t xml:space="preserve">or material change in circumstances </w:t>
      </w:r>
      <w:r>
        <w:t>associated with the preparat</w:t>
      </w:r>
      <w:r w:rsidR="000A4DD1">
        <w:t>ion and submission of the 2021–2</w:t>
      </w:r>
      <w:r>
        <w:t>6 access arrangement proposal</w:t>
      </w:r>
      <w:r w:rsidR="000A4DD1">
        <w:t xml:space="preserve"> compared to that for the 2016–</w:t>
      </w:r>
      <w:r w:rsidR="00E46EFE">
        <w:t>21 access arrangement proposal</w:t>
      </w:r>
      <w:r w:rsidR="00B20288">
        <w:t xml:space="preserve">. </w:t>
      </w:r>
      <w:r>
        <w:t xml:space="preserve">Secondly, as noted in section </w:t>
      </w:r>
      <w:r w:rsidR="00883D1C">
        <w:fldChar w:fldCharType="begin"/>
      </w:r>
      <w:r w:rsidR="00883D1C">
        <w:instrText xml:space="preserve"> REF _Ref435108885 \r \h </w:instrText>
      </w:r>
      <w:r w:rsidR="00883D1C">
        <w:fldChar w:fldCharType="separate"/>
      </w:r>
      <w:r w:rsidR="0012045F">
        <w:t>7.4.2</w:t>
      </w:r>
      <w:r w:rsidR="00883D1C">
        <w:fldChar w:fldCharType="end"/>
      </w:r>
      <w:r>
        <w:t>, we have included costs for the preparation and submission of the 2021</w:t>
      </w:r>
      <w:r w:rsidR="0061228D">
        <w:t>–</w:t>
      </w:r>
      <w:r>
        <w:t xml:space="preserve">26 </w:t>
      </w:r>
      <w:r>
        <w:lastRenderedPageBreak/>
        <w:t xml:space="preserve">access arrangement proposal in </w:t>
      </w:r>
      <w:r w:rsidR="00CE1BDF">
        <w:t xml:space="preserve">our assessment of efficient </w:t>
      </w:r>
      <w:r>
        <w:t xml:space="preserve">base year costs. </w:t>
      </w:r>
      <w:r w:rsidR="00AC744A">
        <w:t xml:space="preserve">These costs are based on </w:t>
      </w:r>
      <w:r w:rsidR="00CE1BDF">
        <w:t xml:space="preserve">a proportion of the costs </w:t>
      </w:r>
      <w:r w:rsidR="00AC744A">
        <w:t xml:space="preserve">incurred by ActewAGL </w:t>
      </w:r>
      <w:r w:rsidR="00CE1BDF">
        <w:t xml:space="preserve">in </w:t>
      </w:r>
      <w:r w:rsidR="00175A03">
        <w:t>2014–15</w:t>
      </w:r>
      <w:r w:rsidR="00CE1BDF">
        <w:t xml:space="preserve"> </w:t>
      </w:r>
      <w:r w:rsidR="00AC744A">
        <w:t xml:space="preserve">in </w:t>
      </w:r>
      <w:r w:rsidR="00D1623C">
        <w:t>developing the 2016</w:t>
      </w:r>
      <w:r w:rsidR="000A4DD1">
        <w:t>–</w:t>
      </w:r>
      <w:r w:rsidR="00D1623C">
        <w:t>21 access arrangement proposal.</w:t>
      </w:r>
    </w:p>
    <w:p w:rsidR="00414771" w:rsidRDefault="00414771" w:rsidP="00414771">
      <w:pPr>
        <w:pStyle w:val="HeadingBoldItalic"/>
        <w:keepNext/>
        <w:numPr>
          <w:ilvl w:val="0"/>
          <w:numId w:val="24"/>
        </w:numPr>
        <w:tabs>
          <w:tab w:val="clear" w:pos="1021"/>
        </w:tabs>
        <w:spacing w:before="120" w:after="120" w:line="288" w:lineRule="auto"/>
        <w:outlineLvl w:val="9"/>
      </w:pPr>
      <w:r>
        <w:rPr>
          <w:rFonts w:cs="Arial"/>
          <w:szCs w:val="20"/>
        </w:rPr>
        <w:t>Change in capitalisation policy</w:t>
      </w:r>
    </w:p>
    <w:p w:rsidR="00414771" w:rsidRDefault="00414771" w:rsidP="00414771">
      <w:r>
        <w:t>ActewAGL propose</w:t>
      </w:r>
      <w:r w:rsidR="00BD40BC">
        <w:t>d</w:t>
      </w:r>
      <w:r>
        <w:t xml:space="preserve"> a</w:t>
      </w:r>
      <w:r w:rsidR="00BD40BC">
        <w:t xml:space="preserve"> negative</w:t>
      </w:r>
      <w:r>
        <w:t xml:space="preserve"> step change </w:t>
      </w:r>
      <w:r w:rsidR="00BD40BC">
        <w:t>of $6.6 million ($</w:t>
      </w:r>
      <w:r w:rsidR="0061228D">
        <w:t>2015–16</w:t>
      </w:r>
      <w:r w:rsidR="00BD40BC">
        <w:t xml:space="preserve">) </w:t>
      </w:r>
      <w:r>
        <w:t xml:space="preserve">to account for a change in the way corporate overhead costs are allocated. </w:t>
      </w:r>
    </w:p>
    <w:p w:rsidR="00414771" w:rsidRDefault="005258DF" w:rsidP="00414771">
      <w:r>
        <w:t>ActewAGL’s Cost Allocation M</w:t>
      </w:r>
      <w:r w:rsidR="00414771">
        <w:t xml:space="preserve">ethod sets out the manner in </w:t>
      </w:r>
      <w:r>
        <w:t>which its</w:t>
      </w:r>
      <w:r w:rsidR="00414771">
        <w:t xml:space="preserve"> shared costs are allocated between the services it provides as well as what costs are expensed to opex or capitalised as capex. </w:t>
      </w:r>
    </w:p>
    <w:p w:rsidR="00414771" w:rsidRDefault="00414771" w:rsidP="00414771">
      <w:r>
        <w:t xml:space="preserve">The proposed step change aligns (from 1 July 2015) the gas network </w:t>
      </w:r>
      <w:r w:rsidR="003F6A46">
        <w:t>C</w:t>
      </w:r>
      <w:r>
        <w:t xml:space="preserve">ost </w:t>
      </w:r>
      <w:r w:rsidR="003F6A46">
        <w:t>A</w:t>
      </w:r>
      <w:r>
        <w:t xml:space="preserve">llocation </w:t>
      </w:r>
      <w:r w:rsidR="003F6A46">
        <w:t>M</w:t>
      </w:r>
      <w:r>
        <w:t>ethod with that for ActewAGL’s electricity network.</w:t>
      </w:r>
      <w:r>
        <w:rPr>
          <w:rStyle w:val="FootnoteReference"/>
        </w:rPr>
        <w:footnoteReference w:id="42"/>
      </w:r>
      <w:r>
        <w:t xml:space="preserve"> </w:t>
      </w:r>
      <w:r w:rsidR="00646A43">
        <w:t xml:space="preserve">The change </w:t>
      </w:r>
      <w:r>
        <w:t>involves annual allocations of total corporate overheads to capex</w:t>
      </w:r>
      <w:r w:rsidR="00646A43">
        <w:t xml:space="preserve"> rather than opex</w:t>
      </w:r>
      <w:r>
        <w:t xml:space="preserve">. </w:t>
      </w:r>
    </w:p>
    <w:p w:rsidR="00414771" w:rsidRPr="00414771" w:rsidRDefault="00BD40BC" w:rsidP="00414771">
      <w:r>
        <w:t xml:space="preserve">We note that </w:t>
      </w:r>
      <w:r w:rsidRPr="00BD40BC">
        <w:t xml:space="preserve">as a result of our capex </w:t>
      </w:r>
      <w:r w:rsidR="0061228D">
        <w:t>assessment</w:t>
      </w:r>
      <w:r w:rsidR="0061228D" w:rsidRPr="00BD40BC">
        <w:t xml:space="preserve"> </w:t>
      </w:r>
      <w:r w:rsidRPr="00BD40BC">
        <w:t>(Attachment 6), forecast corporate overhead costs</w:t>
      </w:r>
      <w:r w:rsidR="0061228D">
        <w:t xml:space="preserve"> allocated to capex</w:t>
      </w:r>
      <w:r w:rsidRPr="00BD40BC">
        <w:t xml:space="preserve"> have been revised to $4.6 million ($</w:t>
      </w:r>
      <w:r w:rsidR="0061228D">
        <w:t>2015–16</w:t>
      </w:r>
      <w:r w:rsidRPr="00BD40BC">
        <w:t xml:space="preserve">) over the </w:t>
      </w:r>
      <w:r w:rsidR="00907691">
        <w:t>2016–21 period</w:t>
      </w:r>
      <w:r w:rsidRPr="00BD40BC">
        <w:t xml:space="preserve">. </w:t>
      </w:r>
      <w:r w:rsidR="00414771">
        <w:t>We accept the negative step change of $</w:t>
      </w:r>
      <w:r>
        <w:t>4</w:t>
      </w:r>
      <w:r w:rsidR="00414771">
        <w:t>.6 million ($</w:t>
      </w:r>
      <w:r w:rsidR="0061228D">
        <w:t>2015–16</w:t>
      </w:r>
      <w:r w:rsidR="00414771">
        <w:t>)</w:t>
      </w:r>
      <w:r w:rsidR="00D7509B">
        <w:t xml:space="preserve"> and note that it is </w:t>
      </w:r>
      <w:r>
        <w:t xml:space="preserve">matched by </w:t>
      </w:r>
      <w:r w:rsidR="00414771">
        <w:t>a corresponding increase in capex.</w:t>
      </w:r>
    </w:p>
    <w:p w:rsidR="00DF4A50" w:rsidRDefault="0042119B" w:rsidP="0042119B">
      <w:pPr>
        <w:pStyle w:val="Heading3"/>
      </w:pPr>
      <w:bookmarkStart w:id="52" w:name="_Ref435095580"/>
      <w:bookmarkStart w:id="53" w:name="_Ref435109274"/>
      <w:bookmarkStart w:id="54" w:name="_Toc436042332"/>
      <w:r>
        <w:t>Category specific forecast</w:t>
      </w:r>
      <w:r w:rsidR="009774AE">
        <w:t>s</w:t>
      </w:r>
      <w:bookmarkEnd w:id="52"/>
      <w:bookmarkEnd w:id="53"/>
      <w:bookmarkEnd w:id="54"/>
      <w:r>
        <w:t xml:space="preserve"> </w:t>
      </w:r>
    </w:p>
    <w:p w:rsidR="00CB1A55" w:rsidRDefault="0009409C" w:rsidP="0009409C">
      <w:r>
        <w:t>ActewAGL proposed</w:t>
      </w:r>
      <w:r w:rsidRPr="00590475">
        <w:t xml:space="preserve"> </w:t>
      </w:r>
      <w:r>
        <w:t>specific forecasts for the following categories of opex</w:t>
      </w:r>
      <w:r w:rsidR="00CB1A55">
        <w:t>.</w:t>
      </w:r>
    </w:p>
    <w:p w:rsidR="00CB1A55" w:rsidRDefault="00CB1A55" w:rsidP="00CB1A55">
      <w:pPr>
        <w:pStyle w:val="HeadingBoldItalic"/>
      </w:pPr>
      <w:r>
        <w:t>Water bath heater operations</w:t>
      </w:r>
    </w:p>
    <w:p w:rsidR="00EC44EC" w:rsidRDefault="00CB1A55" w:rsidP="00CB1A55">
      <w:r>
        <w:t xml:space="preserve">Water bath heater assets are heaters used to keep gas temperatures above a minimum temperature specified. This reduces the risk that pipe through which the gas is transported becomes brittle and fails. </w:t>
      </w:r>
      <w:r w:rsidR="00CD29C8">
        <w:t>ActewAGL proposed a category specific forecast for water bath heater operations of $0.7 million ($</w:t>
      </w:r>
      <w:r w:rsidR="0061228D">
        <w:t>2015–16</w:t>
      </w:r>
      <w:r w:rsidR="00CD29C8">
        <w:t xml:space="preserve">) for the </w:t>
      </w:r>
      <w:r w:rsidR="00907691">
        <w:t>2016–21 period</w:t>
      </w:r>
      <w:r w:rsidR="00CD29C8">
        <w:t>.</w:t>
      </w:r>
      <w:r w:rsidR="00CD29C8" w:rsidDel="00CD29C8">
        <w:t xml:space="preserve"> </w:t>
      </w:r>
      <w:r w:rsidR="00CD29C8">
        <w:t>In its proposal, ActewAGL explained that it purchases unaccounted for gas and gas to operate water bath heater operations from JAM through the DAMS agreement.</w:t>
      </w:r>
      <w:r w:rsidR="00CD29C8">
        <w:rPr>
          <w:rStyle w:val="FootnoteReference"/>
        </w:rPr>
        <w:footnoteReference w:id="43"/>
      </w:r>
      <w:r w:rsidR="00CD29C8">
        <w:t xml:space="preserve"> </w:t>
      </w:r>
    </w:p>
    <w:p w:rsidR="00CB1A55" w:rsidRDefault="00CB1A55" w:rsidP="00CB1A55">
      <w:r>
        <w:t xml:space="preserve">The cost of operating water bath heater assets is calculated based on the basis of constant volumes multiplied by a forecast gas price. </w:t>
      </w:r>
    </w:p>
    <w:p w:rsidR="00CB1A55" w:rsidRDefault="00CB1A55" w:rsidP="00CB1A55">
      <w:pPr>
        <w:pStyle w:val="HeadingBoldItalic"/>
      </w:pPr>
      <w:r>
        <w:t>Ancillary services</w:t>
      </w:r>
    </w:p>
    <w:p w:rsidR="00CB1A55" w:rsidRDefault="00CB1A55" w:rsidP="00CB1A55">
      <w:r>
        <w:t xml:space="preserve">Ancillary services are services provided at the request of customers, for example, special meter reads, request for service, connections, disconnections and </w:t>
      </w:r>
      <w:r>
        <w:lastRenderedPageBreak/>
        <w:t>decommissions. ActewAGL forecasts ancillary service costs will total $6.0 million ($</w:t>
      </w:r>
      <w:r w:rsidR="0061228D">
        <w:t>2015–16</w:t>
      </w:r>
      <w:r>
        <w:t xml:space="preserve">) over the </w:t>
      </w:r>
      <w:r w:rsidR="00907691">
        <w:t>2016–21 period</w:t>
      </w:r>
      <w:r>
        <w:t>.</w:t>
      </w:r>
    </w:p>
    <w:p w:rsidR="00CB1A55" w:rsidRDefault="00CB1A55" w:rsidP="00CB1A55">
      <w:r>
        <w:t>ActewAGL proposed a bottom-up approach to calculating costs associated with the provision of ancillary services, which it considered better reflected the costs to provide these services.</w:t>
      </w:r>
    </w:p>
    <w:p w:rsidR="00CB1A55" w:rsidRDefault="00CB1A55" w:rsidP="00CB1A55">
      <w:pPr>
        <w:pStyle w:val="HeadingBoldItalic"/>
      </w:pPr>
      <w:r>
        <w:t>Insurance</w:t>
      </w:r>
    </w:p>
    <w:p w:rsidR="00CB1A55" w:rsidRDefault="00CB1A55" w:rsidP="00CB1A55">
      <w:r>
        <w:t>ActewAGL proposed a category specific forecast of insurance of $0.6 million ($</w:t>
      </w:r>
      <w:r w:rsidR="0061228D">
        <w:t>2015–16</w:t>
      </w:r>
      <w:r>
        <w:t xml:space="preserve">) over the </w:t>
      </w:r>
      <w:r w:rsidR="00907691">
        <w:t>2016–21 period</w:t>
      </w:r>
      <w:r>
        <w:t>. ActewAGL’s insurance costs are allocated throughout the ActewAGL Group of businesses on the basis of cost drivers specific to insurance.</w:t>
      </w:r>
      <w:r>
        <w:rPr>
          <w:rStyle w:val="FootnoteReference"/>
        </w:rPr>
        <w:footnoteReference w:id="44"/>
      </w:r>
    </w:p>
    <w:p w:rsidR="00CB1A55" w:rsidRDefault="00CB1A55" w:rsidP="00CB1A55">
      <w:pPr>
        <w:pStyle w:val="HeadingBoldItalic"/>
      </w:pPr>
      <w:r>
        <w:t>U</w:t>
      </w:r>
      <w:r w:rsidR="0061228D">
        <w:t xml:space="preserve">tilities </w:t>
      </w:r>
      <w:r>
        <w:t>N</w:t>
      </w:r>
      <w:r w:rsidR="0061228D">
        <w:t xml:space="preserve">etwork </w:t>
      </w:r>
      <w:r>
        <w:t>F</w:t>
      </w:r>
      <w:r w:rsidR="0061228D">
        <w:t xml:space="preserve">acilities </w:t>
      </w:r>
      <w:r>
        <w:t>T</w:t>
      </w:r>
      <w:r w:rsidR="0061228D">
        <w:t>ax</w:t>
      </w:r>
    </w:p>
    <w:p w:rsidR="00CB1A55" w:rsidRDefault="00CB1A55" w:rsidP="00CB1A55">
      <w:pPr>
        <w:rPr>
          <w:lang w:val="en"/>
        </w:rPr>
      </w:pPr>
      <w:r>
        <w:rPr>
          <w:lang w:val="en"/>
        </w:rPr>
        <w:t xml:space="preserve">The </w:t>
      </w:r>
      <w:r w:rsidR="00657FD9">
        <w:t>Utilities Network Facilities Tax (UNFT)</w:t>
      </w:r>
      <w:r>
        <w:rPr>
          <w:lang w:val="en"/>
        </w:rPr>
        <w:t xml:space="preserve"> is payable to the ACT Government by owners of any network facility on land in the ACT. A network facility is any part of the infrastructure of a utility network not fixed to land subject to either</w:t>
      </w:r>
      <w:r w:rsidR="00EC44EC">
        <w:t xml:space="preserve"> </w:t>
      </w:r>
      <w:r>
        <w:rPr>
          <w:lang w:val="en"/>
        </w:rPr>
        <w:t>a lease, a license granted by the Territory or any right prescribed by regulation.</w:t>
      </w:r>
      <w:r>
        <w:rPr>
          <w:rStyle w:val="FootnoteReference"/>
          <w:lang w:val="en"/>
        </w:rPr>
        <w:footnoteReference w:id="45"/>
      </w:r>
      <w:r>
        <w:rPr>
          <w:lang w:val="en"/>
        </w:rPr>
        <w:t xml:space="preserve"> </w:t>
      </w:r>
    </w:p>
    <w:p w:rsidR="00CB1A55" w:rsidRPr="00E5690C" w:rsidRDefault="00CB1A55" w:rsidP="00CB1A55">
      <w:pPr>
        <w:rPr>
          <w:lang w:val="en"/>
        </w:rPr>
      </w:pPr>
      <w:r>
        <w:rPr>
          <w:lang w:val="en"/>
        </w:rPr>
        <w:t>The tax amount payable is calculated by multiplying the determined rate set by the ACT Government by the linear route length of the network.</w:t>
      </w:r>
    </w:p>
    <w:p w:rsidR="00CB1A55" w:rsidRDefault="0061228D" w:rsidP="00CB1A55">
      <w:pPr>
        <w:pStyle w:val="HeadingBoldItalic"/>
      </w:pPr>
      <w:r>
        <w:t xml:space="preserve">Energy Industry Levy </w:t>
      </w:r>
    </w:p>
    <w:p w:rsidR="00CB1A55" w:rsidRDefault="00CB1A55" w:rsidP="00CB1A55">
      <w:pPr>
        <w:rPr>
          <w:lang w:val="en"/>
        </w:rPr>
      </w:pPr>
      <w:r>
        <w:rPr>
          <w:lang w:val="en"/>
        </w:rPr>
        <w:t xml:space="preserve">The </w:t>
      </w:r>
      <w:r w:rsidR="00657FD9">
        <w:t>Energy Industry Levy (</w:t>
      </w:r>
      <w:r w:rsidR="0061228D">
        <w:t>EIL</w:t>
      </w:r>
      <w:r w:rsidR="00657FD9">
        <w:t>)</w:t>
      </w:r>
      <w:r>
        <w:rPr>
          <w:lang w:val="en"/>
        </w:rPr>
        <w:t xml:space="preserve"> is an ACT Government levy used to recover the costs of regulating utilities and is applied to four energy sectors: electricity distribution, electricity supply, gas distribution and gas supply. The ACT Government determines regulatory costs each year and apportions these between the four energy sectors. </w:t>
      </w:r>
    </w:p>
    <w:p w:rsidR="00CB1A55" w:rsidRDefault="00CB1A55" w:rsidP="00CB1A55">
      <w:r>
        <w:t xml:space="preserve">EIL has two components, a component that is fixed (by the ACT government) and a component calculated by multiplying consumption (throughput) by a separate EIL rate, which is also determined by the ACT government. </w:t>
      </w:r>
    </w:p>
    <w:p w:rsidR="00CB1A55" w:rsidRDefault="00CB1A55" w:rsidP="00CB1A55">
      <w:pPr>
        <w:pStyle w:val="HeadingBoldItalic"/>
      </w:pPr>
      <w:r>
        <w:t>U</w:t>
      </w:r>
      <w:r w:rsidR="0061228D">
        <w:t>naccounted for gas</w:t>
      </w:r>
      <w:r>
        <w:t xml:space="preserve"> </w:t>
      </w:r>
    </w:p>
    <w:p w:rsidR="006C1F3B" w:rsidRDefault="00657FD9" w:rsidP="00CB1A55">
      <w:r>
        <w:t>Unaccounted for gas (</w:t>
      </w:r>
      <w:r w:rsidR="00CB1A55" w:rsidRPr="00804E70">
        <w:t>UAFG</w:t>
      </w:r>
      <w:r>
        <w:t>)</w:t>
      </w:r>
      <w:r w:rsidR="00CB1A55">
        <w:t xml:space="preserve"> refers to any gas lost or unaccounted for while it is in ActewAGL’s custody. It is the difference between measured quantity of gas entering the network system (receipts) and metered gas deliveries (withdrawals). ActewAGL purchases </w:t>
      </w:r>
      <w:r w:rsidR="0061228D">
        <w:t>UAFG</w:t>
      </w:r>
      <w:r w:rsidR="00CB1A55">
        <w:t xml:space="preserve"> from JAM through the DAMS Agreement.</w:t>
      </w:r>
      <w:r w:rsidR="00CB1A55" w:rsidRPr="00486C09">
        <w:rPr>
          <w:rStyle w:val="FootnoteReference"/>
        </w:rPr>
        <w:t xml:space="preserve"> </w:t>
      </w:r>
      <w:r w:rsidR="00CB1A55">
        <w:rPr>
          <w:rStyle w:val="FootnoteReference"/>
        </w:rPr>
        <w:footnoteReference w:id="46"/>
      </w:r>
      <w:r w:rsidR="00CB1A55">
        <w:t xml:space="preserve"> </w:t>
      </w:r>
    </w:p>
    <w:p w:rsidR="00CB1A55" w:rsidRDefault="00CB1A55" w:rsidP="00CB1A55">
      <w:r>
        <w:lastRenderedPageBreak/>
        <w:t xml:space="preserve">UAFG </w:t>
      </w:r>
      <w:r w:rsidR="0061228D">
        <w:t xml:space="preserve">expenditure </w:t>
      </w:r>
      <w:r>
        <w:t xml:space="preserve">is </w:t>
      </w:r>
      <w:r w:rsidR="0061228D">
        <w:t xml:space="preserve">forecast </w:t>
      </w:r>
      <w:r>
        <w:t>by multiplying the expected amount of unaccounted for gas (typically a percentage of throughput) by the forecast gas price.</w:t>
      </w:r>
    </w:p>
    <w:p w:rsidR="008A6445" w:rsidRDefault="00D07FC3" w:rsidP="00CD29C8">
      <w:r>
        <w:fldChar w:fldCharType="begin"/>
      </w:r>
      <w:r>
        <w:instrText xml:space="preserve"> REF _Ref435096013 \h </w:instrText>
      </w:r>
      <w:r>
        <w:fldChar w:fldCharType="separate"/>
      </w:r>
      <w:r w:rsidR="0012045F">
        <w:t xml:space="preserve">Table </w:t>
      </w:r>
      <w:r w:rsidR="0012045F">
        <w:rPr>
          <w:noProof/>
        </w:rPr>
        <w:t>7</w:t>
      </w:r>
      <w:r w:rsidR="0012045F">
        <w:t>.</w:t>
      </w:r>
      <w:r w:rsidR="0012045F">
        <w:rPr>
          <w:noProof/>
        </w:rPr>
        <w:t>8</w:t>
      </w:r>
      <w:r>
        <w:fldChar w:fldCharType="end"/>
      </w:r>
      <w:r>
        <w:t xml:space="preserve"> </w:t>
      </w:r>
      <w:r w:rsidR="009774AE">
        <w:t xml:space="preserve">contains </w:t>
      </w:r>
      <w:r w:rsidR="003E0147">
        <w:t xml:space="preserve">ActewAGL’s </w:t>
      </w:r>
      <w:r w:rsidR="009774AE">
        <w:t xml:space="preserve">category specific </w:t>
      </w:r>
      <w:r w:rsidR="003E0147">
        <w:t xml:space="preserve">forecasts for </w:t>
      </w:r>
      <w:r w:rsidR="0061228D">
        <w:t>2015</w:t>
      </w:r>
      <w:r w:rsidR="000A4DD1">
        <w:t>–</w:t>
      </w:r>
      <w:r w:rsidR="0061228D">
        <w:t>16</w:t>
      </w:r>
      <w:r w:rsidR="008D1592">
        <w:t xml:space="preserve"> and the </w:t>
      </w:r>
      <w:r w:rsidR="00907691">
        <w:t>2016</w:t>
      </w:r>
      <w:r w:rsidR="000A4DD1">
        <w:t>–</w:t>
      </w:r>
      <w:r w:rsidR="00907691">
        <w:t>21 period</w:t>
      </w:r>
      <w:r w:rsidR="003E0147">
        <w:t>, excluding debt raising costs.</w:t>
      </w:r>
      <w:r w:rsidR="008D1592">
        <w:t xml:space="preserve"> </w:t>
      </w:r>
      <w:r w:rsidR="0061228D">
        <w:t xml:space="preserve">ActewAGL removed these </w:t>
      </w:r>
      <w:r w:rsidR="00FC5707">
        <w:t>cost categories</w:t>
      </w:r>
      <w:r w:rsidR="00EC44EC">
        <w:t xml:space="preserve"> </w:t>
      </w:r>
      <w:r w:rsidR="000161D1">
        <w:t xml:space="preserve">from </w:t>
      </w:r>
      <w:r w:rsidR="00FC5707">
        <w:t>its</w:t>
      </w:r>
      <w:r w:rsidR="000161D1">
        <w:t xml:space="preserve"> base year costs. </w:t>
      </w:r>
    </w:p>
    <w:p w:rsidR="008D1592" w:rsidRDefault="00D07FC3" w:rsidP="00D07FC3">
      <w:pPr>
        <w:pStyle w:val="Caption"/>
      </w:pPr>
      <w:bookmarkStart w:id="55" w:name="_Ref435096013"/>
      <w:r>
        <w:t xml:space="preserve">Table </w:t>
      </w:r>
      <w:fldSimple w:instr=" STYLEREF 1 \s ">
        <w:r w:rsidR="0012045F">
          <w:rPr>
            <w:noProof/>
          </w:rPr>
          <w:t>7</w:t>
        </w:r>
      </w:fldSimple>
      <w:r>
        <w:t>.</w:t>
      </w:r>
      <w:fldSimple w:instr=" SEQ Table \* ARABIC \s 1 ">
        <w:r w:rsidR="0012045F">
          <w:rPr>
            <w:noProof/>
          </w:rPr>
          <w:t>8</w:t>
        </w:r>
      </w:fldSimple>
      <w:bookmarkEnd w:id="55"/>
      <w:r w:rsidR="008D1592" w:rsidRPr="008D7DA8">
        <w:tab/>
        <w:t>ActewAGL category specific forecasts ($</w:t>
      </w:r>
      <w:r w:rsidR="008D1592">
        <w:t xml:space="preserve">million, </w:t>
      </w:r>
      <w:r w:rsidR="0061228D">
        <w:t>2015–16</w:t>
      </w:r>
      <w:r w:rsidR="008D1592" w:rsidRPr="008D7DA8">
        <w:t>)</w:t>
      </w:r>
    </w:p>
    <w:tbl>
      <w:tblPr>
        <w:tblStyle w:val="AERtable-text0"/>
        <w:tblpPr w:leftFromText="180" w:rightFromText="180" w:vertAnchor="text" w:horzAnchor="margin" w:tblpY="120"/>
        <w:tblW w:w="8188" w:type="dxa"/>
        <w:tblLayout w:type="fixed"/>
        <w:tblLook w:val="04A0" w:firstRow="1" w:lastRow="0" w:firstColumn="1" w:lastColumn="0" w:noHBand="0" w:noVBand="1"/>
      </w:tblPr>
      <w:tblGrid>
        <w:gridCol w:w="2518"/>
        <w:gridCol w:w="945"/>
        <w:gridCol w:w="945"/>
        <w:gridCol w:w="945"/>
        <w:gridCol w:w="945"/>
        <w:gridCol w:w="945"/>
        <w:gridCol w:w="945"/>
      </w:tblGrid>
      <w:tr w:rsidR="002B15A2" w:rsidRPr="0074317B" w:rsidTr="00CE5F06">
        <w:trPr>
          <w:cnfStyle w:val="100000000000" w:firstRow="1" w:lastRow="0" w:firstColumn="0" w:lastColumn="0" w:oddVBand="0" w:evenVBand="0" w:oddHBand="0" w:evenHBand="0" w:firstRowFirstColumn="0" w:firstRowLastColumn="0" w:lastRowFirstColumn="0" w:lastRowLastColumn="0"/>
        </w:trPr>
        <w:tc>
          <w:tcPr>
            <w:tcW w:w="2518" w:type="dxa"/>
          </w:tcPr>
          <w:p w:rsidR="002B15A2" w:rsidRPr="0074317B" w:rsidRDefault="002B15A2" w:rsidP="005258DF">
            <w:pPr>
              <w:rPr>
                <w:szCs w:val="16"/>
              </w:rPr>
            </w:pPr>
            <w:r>
              <w:rPr>
                <w:szCs w:val="16"/>
              </w:rPr>
              <w:t>Category forecasts</w:t>
            </w:r>
          </w:p>
        </w:tc>
        <w:tc>
          <w:tcPr>
            <w:tcW w:w="945" w:type="dxa"/>
          </w:tcPr>
          <w:p w:rsidR="002B15A2" w:rsidRPr="0074317B" w:rsidRDefault="0061228D" w:rsidP="005258DF">
            <w:pPr>
              <w:numPr>
                <w:ilvl w:val="0"/>
                <w:numId w:val="24"/>
              </w:numPr>
              <w:jc w:val="right"/>
              <w:rPr>
                <w:szCs w:val="16"/>
              </w:rPr>
            </w:pPr>
            <w:r>
              <w:rPr>
                <w:szCs w:val="16"/>
              </w:rPr>
              <w:t>2015–16</w:t>
            </w:r>
          </w:p>
        </w:tc>
        <w:tc>
          <w:tcPr>
            <w:tcW w:w="945" w:type="dxa"/>
          </w:tcPr>
          <w:p w:rsidR="002B15A2" w:rsidRPr="0074317B" w:rsidRDefault="000A4DD1" w:rsidP="005258DF">
            <w:pPr>
              <w:numPr>
                <w:ilvl w:val="0"/>
                <w:numId w:val="24"/>
              </w:numPr>
              <w:jc w:val="right"/>
              <w:rPr>
                <w:szCs w:val="16"/>
              </w:rPr>
            </w:pPr>
            <w:r>
              <w:rPr>
                <w:szCs w:val="16"/>
              </w:rPr>
              <w:t>2016</w:t>
            </w:r>
            <w:r>
              <w:t>–</w:t>
            </w:r>
            <w:r w:rsidR="002B15A2" w:rsidRPr="0074317B">
              <w:rPr>
                <w:szCs w:val="16"/>
              </w:rPr>
              <w:t>17</w:t>
            </w:r>
          </w:p>
        </w:tc>
        <w:tc>
          <w:tcPr>
            <w:tcW w:w="945" w:type="dxa"/>
          </w:tcPr>
          <w:p w:rsidR="002B15A2" w:rsidRPr="0074317B" w:rsidRDefault="000A4DD1" w:rsidP="005258DF">
            <w:pPr>
              <w:jc w:val="right"/>
              <w:rPr>
                <w:szCs w:val="16"/>
              </w:rPr>
            </w:pPr>
            <w:r>
              <w:rPr>
                <w:szCs w:val="16"/>
              </w:rPr>
              <w:t>2017</w:t>
            </w:r>
            <w:r>
              <w:t>–</w:t>
            </w:r>
            <w:r w:rsidR="002B15A2" w:rsidRPr="0074317B">
              <w:rPr>
                <w:szCs w:val="16"/>
              </w:rPr>
              <w:t>18</w:t>
            </w:r>
          </w:p>
        </w:tc>
        <w:tc>
          <w:tcPr>
            <w:tcW w:w="945" w:type="dxa"/>
          </w:tcPr>
          <w:p w:rsidR="002B15A2" w:rsidRPr="0074317B" w:rsidRDefault="002B15A2" w:rsidP="000A4DD1">
            <w:pPr>
              <w:jc w:val="right"/>
              <w:rPr>
                <w:szCs w:val="16"/>
              </w:rPr>
            </w:pPr>
            <w:r>
              <w:rPr>
                <w:szCs w:val="16"/>
              </w:rPr>
              <w:t>2018</w:t>
            </w:r>
            <w:r w:rsidR="000A4DD1">
              <w:t>–</w:t>
            </w:r>
            <w:r w:rsidRPr="0074317B">
              <w:rPr>
                <w:szCs w:val="16"/>
              </w:rPr>
              <w:t>19</w:t>
            </w:r>
          </w:p>
        </w:tc>
        <w:tc>
          <w:tcPr>
            <w:tcW w:w="945" w:type="dxa"/>
          </w:tcPr>
          <w:p w:rsidR="002B15A2" w:rsidRPr="0074317B" w:rsidRDefault="000A4DD1" w:rsidP="005258DF">
            <w:pPr>
              <w:jc w:val="right"/>
              <w:rPr>
                <w:szCs w:val="16"/>
              </w:rPr>
            </w:pPr>
            <w:r>
              <w:rPr>
                <w:szCs w:val="16"/>
              </w:rPr>
              <w:t>2019</w:t>
            </w:r>
            <w:r>
              <w:t>–</w:t>
            </w:r>
            <w:r w:rsidR="002B15A2" w:rsidRPr="0074317B">
              <w:rPr>
                <w:szCs w:val="16"/>
              </w:rPr>
              <w:t>20</w:t>
            </w:r>
          </w:p>
        </w:tc>
        <w:tc>
          <w:tcPr>
            <w:tcW w:w="945" w:type="dxa"/>
          </w:tcPr>
          <w:p w:rsidR="002B15A2" w:rsidRPr="0074317B" w:rsidRDefault="000A4DD1" w:rsidP="005258DF">
            <w:pPr>
              <w:numPr>
                <w:ilvl w:val="0"/>
                <w:numId w:val="24"/>
              </w:numPr>
              <w:jc w:val="right"/>
              <w:rPr>
                <w:szCs w:val="16"/>
              </w:rPr>
            </w:pPr>
            <w:r>
              <w:rPr>
                <w:szCs w:val="16"/>
              </w:rPr>
              <w:t>2020</w:t>
            </w:r>
            <w:r>
              <w:t>–</w:t>
            </w:r>
            <w:r w:rsidR="002B15A2" w:rsidRPr="0074317B">
              <w:rPr>
                <w:szCs w:val="16"/>
              </w:rPr>
              <w:t>21</w:t>
            </w:r>
          </w:p>
        </w:tc>
      </w:tr>
      <w:tr w:rsidR="002B15A2" w:rsidRPr="0074317B" w:rsidTr="00CE5F06">
        <w:tc>
          <w:tcPr>
            <w:tcW w:w="2518" w:type="dxa"/>
            <w:vAlign w:val="top"/>
          </w:tcPr>
          <w:p w:rsidR="002B15A2" w:rsidRPr="0074317B" w:rsidRDefault="002B15A2" w:rsidP="005258DF">
            <w:pPr>
              <w:rPr>
                <w:szCs w:val="16"/>
              </w:rPr>
            </w:pPr>
            <w:r>
              <w:rPr>
                <w:szCs w:val="16"/>
              </w:rPr>
              <w:t>UNFT</w:t>
            </w:r>
          </w:p>
        </w:tc>
        <w:tc>
          <w:tcPr>
            <w:tcW w:w="945" w:type="dxa"/>
          </w:tcPr>
          <w:p w:rsidR="002B15A2" w:rsidRPr="0074317B" w:rsidRDefault="002B15A2" w:rsidP="005258DF">
            <w:pPr>
              <w:jc w:val="right"/>
              <w:rPr>
                <w:szCs w:val="16"/>
              </w:rPr>
            </w:pPr>
            <w:r>
              <w:rPr>
                <w:szCs w:val="16"/>
              </w:rPr>
              <w:t>5.86</w:t>
            </w:r>
          </w:p>
        </w:tc>
        <w:tc>
          <w:tcPr>
            <w:tcW w:w="945" w:type="dxa"/>
            <w:vAlign w:val="top"/>
          </w:tcPr>
          <w:p w:rsidR="002B15A2" w:rsidRPr="0074317B" w:rsidRDefault="002B15A2" w:rsidP="005258DF">
            <w:pPr>
              <w:jc w:val="right"/>
              <w:rPr>
                <w:szCs w:val="16"/>
              </w:rPr>
            </w:pPr>
            <w:r>
              <w:rPr>
                <w:szCs w:val="16"/>
              </w:rPr>
              <w:t>6.11</w:t>
            </w:r>
          </w:p>
        </w:tc>
        <w:tc>
          <w:tcPr>
            <w:tcW w:w="945" w:type="dxa"/>
            <w:vAlign w:val="top"/>
          </w:tcPr>
          <w:p w:rsidR="002B15A2" w:rsidRPr="0074317B" w:rsidRDefault="002B15A2" w:rsidP="005258DF">
            <w:pPr>
              <w:jc w:val="right"/>
              <w:rPr>
                <w:szCs w:val="16"/>
              </w:rPr>
            </w:pPr>
            <w:r>
              <w:rPr>
                <w:szCs w:val="16"/>
              </w:rPr>
              <w:t>6.37</w:t>
            </w:r>
          </w:p>
        </w:tc>
        <w:tc>
          <w:tcPr>
            <w:tcW w:w="945" w:type="dxa"/>
            <w:vAlign w:val="top"/>
          </w:tcPr>
          <w:p w:rsidR="002B15A2" w:rsidRPr="0074317B" w:rsidRDefault="002B15A2" w:rsidP="005258DF">
            <w:pPr>
              <w:jc w:val="right"/>
              <w:rPr>
                <w:szCs w:val="16"/>
              </w:rPr>
            </w:pPr>
            <w:r>
              <w:rPr>
                <w:szCs w:val="16"/>
              </w:rPr>
              <w:t>6.64</w:t>
            </w:r>
          </w:p>
        </w:tc>
        <w:tc>
          <w:tcPr>
            <w:tcW w:w="945" w:type="dxa"/>
            <w:vAlign w:val="top"/>
          </w:tcPr>
          <w:p w:rsidR="002B15A2" w:rsidRPr="0074317B" w:rsidRDefault="002B15A2" w:rsidP="005258DF">
            <w:pPr>
              <w:jc w:val="right"/>
              <w:rPr>
                <w:szCs w:val="16"/>
              </w:rPr>
            </w:pPr>
            <w:r>
              <w:rPr>
                <w:szCs w:val="16"/>
              </w:rPr>
              <w:t>6.92</w:t>
            </w:r>
          </w:p>
        </w:tc>
        <w:tc>
          <w:tcPr>
            <w:tcW w:w="945" w:type="dxa"/>
            <w:vAlign w:val="top"/>
          </w:tcPr>
          <w:p w:rsidR="002B15A2" w:rsidRPr="0074317B" w:rsidRDefault="002B15A2" w:rsidP="005258DF">
            <w:pPr>
              <w:jc w:val="right"/>
              <w:rPr>
                <w:szCs w:val="16"/>
              </w:rPr>
            </w:pPr>
            <w:r>
              <w:rPr>
                <w:szCs w:val="16"/>
              </w:rPr>
              <w:t>7.26</w:t>
            </w:r>
          </w:p>
        </w:tc>
      </w:tr>
      <w:tr w:rsidR="002B15A2" w:rsidRPr="0074317B" w:rsidTr="00CE5F0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B15A2" w:rsidRPr="0074317B" w:rsidRDefault="002B15A2" w:rsidP="005258DF">
            <w:pPr>
              <w:rPr>
                <w:szCs w:val="16"/>
              </w:rPr>
            </w:pPr>
            <w:r>
              <w:rPr>
                <w:szCs w:val="16"/>
              </w:rPr>
              <w:t>UAFG</w:t>
            </w:r>
          </w:p>
        </w:tc>
        <w:tc>
          <w:tcPr>
            <w:tcW w:w="945" w:type="dxa"/>
          </w:tcPr>
          <w:p w:rsidR="002B15A2" w:rsidRPr="0074317B" w:rsidRDefault="002B15A2" w:rsidP="005258DF">
            <w:pPr>
              <w:jc w:val="right"/>
              <w:rPr>
                <w:szCs w:val="16"/>
              </w:rPr>
            </w:pPr>
            <w:r>
              <w:rPr>
                <w:szCs w:val="16"/>
              </w:rPr>
              <w:t>1.57</w:t>
            </w:r>
          </w:p>
        </w:tc>
        <w:tc>
          <w:tcPr>
            <w:tcW w:w="945" w:type="dxa"/>
            <w:vAlign w:val="top"/>
          </w:tcPr>
          <w:p w:rsidR="002B15A2" w:rsidRPr="0074317B" w:rsidRDefault="002B15A2" w:rsidP="005258DF">
            <w:pPr>
              <w:jc w:val="right"/>
              <w:rPr>
                <w:szCs w:val="16"/>
              </w:rPr>
            </w:pPr>
            <w:r>
              <w:rPr>
                <w:szCs w:val="16"/>
              </w:rPr>
              <w:t>1.24</w:t>
            </w:r>
          </w:p>
        </w:tc>
        <w:tc>
          <w:tcPr>
            <w:tcW w:w="945" w:type="dxa"/>
            <w:vAlign w:val="top"/>
          </w:tcPr>
          <w:p w:rsidR="002B15A2" w:rsidRPr="0074317B" w:rsidRDefault="002B15A2" w:rsidP="005258DF">
            <w:pPr>
              <w:jc w:val="right"/>
              <w:rPr>
                <w:szCs w:val="16"/>
              </w:rPr>
            </w:pPr>
            <w:r>
              <w:rPr>
                <w:szCs w:val="16"/>
              </w:rPr>
              <w:t>1.22</w:t>
            </w:r>
          </w:p>
        </w:tc>
        <w:tc>
          <w:tcPr>
            <w:tcW w:w="945" w:type="dxa"/>
            <w:vAlign w:val="top"/>
          </w:tcPr>
          <w:p w:rsidR="002B15A2" w:rsidRPr="0074317B" w:rsidRDefault="002B15A2" w:rsidP="005258DF">
            <w:pPr>
              <w:jc w:val="right"/>
              <w:rPr>
                <w:szCs w:val="16"/>
              </w:rPr>
            </w:pPr>
            <w:r>
              <w:rPr>
                <w:szCs w:val="16"/>
              </w:rPr>
              <w:t>1.21</w:t>
            </w:r>
          </w:p>
        </w:tc>
        <w:tc>
          <w:tcPr>
            <w:tcW w:w="945" w:type="dxa"/>
            <w:vAlign w:val="top"/>
          </w:tcPr>
          <w:p w:rsidR="002B15A2" w:rsidRPr="0074317B" w:rsidRDefault="002B15A2" w:rsidP="005258DF">
            <w:pPr>
              <w:jc w:val="right"/>
              <w:rPr>
                <w:szCs w:val="16"/>
              </w:rPr>
            </w:pPr>
            <w:r>
              <w:rPr>
                <w:szCs w:val="16"/>
              </w:rPr>
              <w:t>1.20</w:t>
            </w:r>
          </w:p>
        </w:tc>
        <w:tc>
          <w:tcPr>
            <w:tcW w:w="945" w:type="dxa"/>
            <w:vAlign w:val="top"/>
          </w:tcPr>
          <w:p w:rsidR="002B15A2" w:rsidRPr="0074317B" w:rsidRDefault="002B15A2" w:rsidP="005258DF">
            <w:pPr>
              <w:jc w:val="right"/>
              <w:rPr>
                <w:szCs w:val="16"/>
              </w:rPr>
            </w:pPr>
            <w:r>
              <w:rPr>
                <w:szCs w:val="16"/>
              </w:rPr>
              <w:t>1.19</w:t>
            </w:r>
          </w:p>
        </w:tc>
      </w:tr>
      <w:tr w:rsidR="002B15A2" w:rsidRPr="0074317B" w:rsidTr="00CE5F06">
        <w:tc>
          <w:tcPr>
            <w:tcW w:w="2518" w:type="dxa"/>
            <w:vAlign w:val="top"/>
          </w:tcPr>
          <w:p w:rsidR="002B15A2" w:rsidRPr="0074317B" w:rsidRDefault="002B15A2" w:rsidP="005258DF">
            <w:pPr>
              <w:rPr>
                <w:szCs w:val="16"/>
              </w:rPr>
            </w:pPr>
            <w:r>
              <w:rPr>
                <w:szCs w:val="16"/>
              </w:rPr>
              <w:t>EIL</w:t>
            </w:r>
          </w:p>
        </w:tc>
        <w:tc>
          <w:tcPr>
            <w:tcW w:w="945" w:type="dxa"/>
          </w:tcPr>
          <w:p w:rsidR="002B15A2" w:rsidRPr="0074317B" w:rsidRDefault="002B15A2" w:rsidP="005258DF">
            <w:pPr>
              <w:jc w:val="right"/>
              <w:rPr>
                <w:szCs w:val="16"/>
              </w:rPr>
            </w:pPr>
            <w:r>
              <w:rPr>
                <w:szCs w:val="16"/>
              </w:rPr>
              <w:t>0.57</w:t>
            </w:r>
          </w:p>
        </w:tc>
        <w:tc>
          <w:tcPr>
            <w:tcW w:w="945" w:type="dxa"/>
            <w:vAlign w:val="top"/>
          </w:tcPr>
          <w:p w:rsidR="002B15A2" w:rsidRPr="0074317B" w:rsidRDefault="002B15A2" w:rsidP="005258DF">
            <w:pPr>
              <w:jc w:val="right"/>
              <w:rPr>
                <w:szCs w:val="16"/>
              </w:rPr>
            </w:pPr>
            <w:r>
              <w:rPr>
                <w:szCs w:val="16"/>
              </w:rPr>
              <w:t>0.57</w:t>
            </w:r>
          </w:p>
        </w:tc>
        <w:tc>
          <w:tcPr>
            <w:tcW w:w="945" w:type="dxa"/>
            <w:vAlign w:val="top"/>
          </w:tcPr>
          <w:p w:rsidR="002B15A2" w:rsidRPr="0074317B" w:rsidRDefault="002B15A2" w:rsidP="005258DF">
            <w:pPr>
              <w:jc w:val="right"/>
              <w:rPr>
                <w:szCs w:val="16"/>
              </w:rPr>
            </w:pPr>
            <w:r>
              <w:rPr>
                <w:szCs w:val="16"/>
              </w:rPr>
              <w:t>0.56</w:t>
            </w:r>
          </w:p>
        </w:tc>
        <w:tc>
          <w:tcPr>
            <w:tcW w:w="945" w:type="dxa"/>
            <w:vAlign w:val="top"/>
          </w:tcPr>
          <w:p w:rsidR="002B15A2" w:rsidRPr="0074317B" w:rsidRDefault="002B15A2" w:rsidP="005258DF">
            <w:pPr>
              <w:jc w:val="right"/>
              <w:rPr>
                <w:szCs w:val="16"/>
              </w:rPr>
            </w:pPr>
            <w:r>
              <w:rPr>
                <w:szCs w:val="16"/>
              </w:rPr>
              <w:t>0.56</w:t>
            </w:r>
          </w:p>
        </w:tc>
        <w:tc>
          <w:tcPr>
            <w:tcW w:w="945" w:type="dxa"/>
            <w:vAlign w:val="top"/>
          </w:tcPr>
          <w:p w:rsidR="002B15A2" w:rsidRPr="0074317B" w:rsidRDefault="002B15A2" w:rsidP="005258DF">
            <w:pPr>
              <w:jc w:val="right"/>
              <w:rPr>
                <w:szCs w:val="16"/>
              </w:rPr>
            </w:pPr>
            <w:r>
              <w:rPr>
                <w:szCs w:val="16"/>
              </w:rPr>
              <w:t>0.55</w:t>
            </w:r>
          </w:p>
        </w:tc>
        <w:tc>
          <w:tcPr>
            <w:tcW w:w="945" w:type="dxa"/>
            <w:vAlign w:val="top"/>
          </w:tcPr>
          <w:p w:rsidR="002B15A2" w:rsidRPr="0074317B" w:rsidRDefault="002B15A2" w:rsidP="005258DF">
            <w:pPr>
              <w:jc w:val="right"/>
              <w:rPr>
                <w:szCs w:val="16"/>
              </w:rPr>
            </w:pPr>
            <w:r>
              <w:rPr>
                <w:szCs w:val="16"/>
              </w:rPr>
              <w:t>0.55</w:t>
            </w:r>
          </w:p>
        </w:tc>
      </w:tr>
      <w:tr w:rsidR="002B15A2" w:rsidRPr="0074317B" w:rsidTr="00CE5F0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B15A2" w:rsidRPr="0074317B" w:rsidRDefault="002B15A2" w:rsidP="005258DF">
            <w:pPr>
              <w:rPr>
                <w:szCs w:val="16"/>
              </w:rPr>
            </w:pPr>
            <w:r>
              <w:rPr>
                <w:szCs w:val="16"/>
              </w:rPr>
              <w:t>Water bath heater operations</w:t>
            </w:r>
          </w:p>
        </w:tc>
        <w:tc>
          <w:tcPr>
            <w:tcW w:w="945" w:type="dxa"/>
            <w:vAlign w:val="top"/>
          </w:tcPr>
          <w:p w:rsidR="002B15A2" w:rsidRPr="0074317B" w:rsidRDefault="002B15A2" w:rsidP="005258DF">
            <w:pPr>
              <w:jc w:val="right"/>
              <w:rPr>
                <w:szCs w:val="16"/>
              </w:rPr>
            </w:pPr>
            <w:r>
              <w:rPr>
                <w:szCs w:val="16"/>
              </w:rPr>
              <w:t>0.17</w:t>
            </w:r>
          </w:p>
        </w:tc>
        <w:tc>
          <w:tcPr>
            <w:tcW w:w="945" w:type="dxa"/>
            <w:vAlign w:val="top"/>
          </w:tcPr>
          <w:p w:rsidR="002B15A2" w:rsidRPr="0074317B" w:rsidRDefault="002B15A2" w:rsidP="005258DF">
            <w:pPr>
              <w:jc w:val="right"/>
              <w:rPr>
                <w:szCs w:val="16"/>
              </w:rPr>
            </w:pPr>
            <w:r>
              <w:rPr>
                <w:szCs w:val="16"/>
              </w:rPr>
              <w:t>0.14</w:t>
            </w:r>
          </w:p>
        </w:tc>
        <w:tc>
          <w:tcPr>
            <w:tcW w:w="945" w:type="dxa"/>
            <w:vAlign w:val="top"/>
          </w:tcPr>
          <w:p w:rsidR="002B15A2" w:rsidRPr="0074317B" w:rsidRDefault="002B15A2" w:rsidP="005258DF">
            <w:pPr>
              <w:jc w:val="right"/>
              <w:rPr>
                <w:szCs w:val="16"/>
              </w:rPr>
            </w:pPr>
            <w:r>
              <w:rPr>
                <w:szCs w:val="16"/>
              </w:rPr>
              <w:t>0.14</w:t>
            </w:r>
          </w:p>
        </w:tc>
        <w:tc>
          <w:tcPr>
            <w:tcW w:w="945" w:type="dxa"/>
            <w:vAlign w:val="top"/>
          </w:tcPr>
          <w:p w:rsidR="002B15A2" w:rsidRPr="0074317B" w:rsidRDefault="002B15A2" w:rsidP="005258DF">
            <w:pPr>
              <w:jc w:val="right"/>
              <w:rPr>
                <w:szCs w:val="16"/>
              </w:rPr>
            </w:pPr>
            <w:r>
              <w:rPr>
                <w:szCs w:val="16"/>
              </w:rPr>
              <w:t>0.14</w:t>
            </w:r>
          </w:p>
        </w:tc>
        <w:tc>
          <w:tcPr>
            <w:tcW w:w="945" w:type="dxa"/>
            <w:vAlign w:val="top"/>
          </w:tcPr>
          <w:p w:rsidR="002B15A2" w:rsidRPr="0074317B" w:rsidRDefault="002B15A2" w:rsidP="005258DF">
            <w:pPr>
              <w:jc w:val="right"/>
              <w:rPr>
                <w:szCs w:val="16"/>
              </w:rPr>
            </w:pPr>
            <w:r>
              <w:rPr>
                <w:szCs w:val="16"/>
              </w:rPr>
              <w:t>0.14</w:t>
            </w:r>
          </w:p>
        </w:tc>
        <w:tc>
          <w:tcPr>
            <w:tcW w:w="945" w:type="dxa"/>
            <w:vAlign w:val="top"/>
          </w:tcPr>
          <w:p w:rsidR="002B15A2" w:rsidRPr="0074317B" w:rsidRDefault="002B15A2" w:rsidP="005258DF">
            <w:pPr>
              <w:jc w:val="right"/>
              <w:rPr>
                <w:szCs w:val="16"/>
              </w:rPr>
            </w:pPr>
            <w:r>
              <w:rPr>
                <w:szCs w:val="16"/>
              </w:rPr>
              <w:t>0.14</w:t>
            </w:r>
          </w:p>
        </w:tc>
      </w:tr>
      <w:tr w:rsidR="002B15A2" w:rsidRPr="0074317B" w:rsidTr="00CE5F06">
        <w:tc>
          <w:tcPr>
            <w:tcW w:w="2518" w:type="dxa"/>
            <w:vAlign w:val="top"/>
          </w:tcPr>
          <w:p w:rsidR="002B15A2" w:rsidRDefault="002B15A2" w:rsidP="005258DF">
            <w:pPr>
              <w:rPr>
                <w:szCs w:val="16"/>
              </w:rPr>
            </w:pPr>
            <w:r>
              <w:rPr>
                <w:szCs w:val="16"/>
              </w:rPr>
              <w:t>Ancillary services</w:t>
            </w:r>
          </w:p>
        </w:tc>
        <w:tc>
          <w:tcPr>
            <w:tcW w:w="945" w:type="dxa"/>
            <w:vAlign w:val="top"/>
          </w:tcPr>
          <w:p w:rsidR="002B15A2" w:rsidRPr="0074317B" w:rsidRDefault="002B15A2" w:rsidP="005258DF">
            <w:pPr>
              <w:jc w:val="right"/>
              <w:rPr>
                <w:szCs w:val="16"/>
              </w:rPr>
            </w:pPr>
            <w:r>
              <w:rPr>
                <w:szCs w:val="16"/>
              </w:rPr>
              <w:t>0.90</w:t>
            </w:r>
          </w:p>
        </w:tc>
        <w:tc>
          <w:tcPr>
            <w:tcW w:w="945" w:type="dxa"/>
            <w:vAlign w:val="top"/>
          </w:tcPr>
          <w:p w:rsidR="002B15A2" w:rsidRPr="0074317B" w:rsidRDefault="002B15A2" w:rsidP="005258DF">
            <w:pPr>
              <w:jc w:val="right"/>
              <w:rPr>
                <w:szCs w:val="16"/>
              </w:rPr>
            </w:pPr>
            <w:r>
              <w:rPr>
                <w:szCs w:val="16"/>
              </w:rPr>
              <w:t>1.16</w:t>
            </w:r>
          </w:p>
        </w:tc>
        <w:tc>
          <w:tcPr>
            <w:tcW w:w="945" w:type="dxa"/>
            <w:vAlign w:val="top"/>
          </w:tcPr>
          <w:p w:rsidR="002B15A2" w:rsidRPr="0074317B" w:rsidRDefault="002B15A2" w:rsidP="005258DF">
            <w:pPr>
              <w:jc w:val="right"/>
              <w:rPr>
                <w:szCs w:val="16"/>
              </w:rPr>
            </w:pPr>
            <w:r>
              <w:rPr>
                <w:szCs w:val="16"/>
              </w:rPr>
              <w:t>1.28</w:t>
            </w:r>
          </w:p>
        </w:tc>
        <w:tc>
          <w:tcPr>
            <w:tcW w:w="945" w:type="dxa"/>
            <w:vAlign w:val="top"/>
          </w:tcPr>
          <w:p w:rsidR="002B15A2" w:rsidRPr="0074317B" w:rsidRDefault="002B15A2" w:rsidP="005258DF">
            <w:pPr>
              <w:jc w:val="right"/>
              <w:rPr>
                <w:szCs w:val="16"/>
              </w:rPr>
            </w:pPr>
            <w:r>
              <w:rPr>
                <w:szCs w:val="16"/>
              </w:rPr>
              <w:t>1.29</w:t>
            </w:r>
          </w:p>
        </w:tc>
        <w:tc>
          <w:tcPr>
            <w:tcW w:w="945" w:type="dxa"/>
            <w:vAlign w:val="top"/>
          </w:tcPr>
          <w:p w:rsidR="002B15A2" w:rsidRPr="0074317B" w:rsidRDefault="002B15A2" w:rsidP="005258DF">
            <w:pPr>
              <w:jc w:val="right"/>
              <w:rPr>
                <w:szCs w:val="16"/>
              </w:rPr>
            </w:pPr>
            <w:r>
              <w:rPr>
                <w:szCs w:val="16"/>
              </w:rPr>
              <w:t>1.17</w:t>
            </w:r>
          </w:p>
        </w:tc>
        <w:tc>
          <w:tcPr>
            <w:tcW w:w="945" w:type="dxa"/>
            <w:vAlign w:val="top"/>
          </w:tcPr>
          <w:p w:rsidR="002B15A2" w:rsidRPr="0074317B" w:rsidRDefault="002B15A2" w:rsidP="005258DF">
            <w:pPr>
              <w:jc w:val="right"/>
              <w:rPr>
                <w:szCs w:val="16"/>
              </w:rPr>
            </w:pPr>
            <w:r>
              <w:rPr>
                <w:szCs w:val="16"/>
              </w:rPr>
              <w:t>1.08</w:t>
            </w:r>
          </w:p>
        </w:tc>
      </w:tr>
      <w:tr w:rsidR="002B15A2" w:rsidRPr="0074317B" w:rsidTr="00CE5F0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B15A2" w:rsidRDefault="002B15A2" w:rsidP="005258DF">
            <w:pPr>
              <w:rPr>
                <w:szCs w:val="16"/>
              </w:rPr>
            </w:pPr>
            <w:r>
              <w:rPr>
                <w:szCs w:val="16"/>
              </w:rPr>
              <w:t>Insurance</w:t>
            </w:r>
          </w:p>
        </w:tc>
        <w:tc>
          <w:tcPr>
            <w:tcW w:w="945" w:type="dxa"/>
          </w:tcPr>
          <w:p w:rsidR="002B15A2" w:rsidRDefault="002B15A2" w:rsidP="005258DF">
            <w:pPr>
              <w:jc w:val="right"/>
              <w:rPr>
                <w:szCs w:val="16"/>
              </w:rPr>
            </w:pPr>
            <w:r>
              <w:rPr>
                <w:szCs w:val="16"/>
              </w:rPr>
              <w:t>0.12</w:t>
            </w:r>
          </w:p>
        </w:tc>
        <w:tc>
          <w:tcPr>
            <w:tcW w:w="945" w:type="dxa"/>
            <w:vAlign w:val="top"/>
          </w:tcPr>
          <w:p w:rsidR="002B15A2" w:rsidRPr="0074317B" w:rsidRDefault="002B15A2" w:rsidP="005258DF">
            <w:pPr>
              <w:jc w:val="right"/>
              <w:rPr>
                <w:szCs w:val="16"/>
              </w:rPr>
            </w:pPr>
            <w:r>
              <w:rPr>
                <w:szCs w:val="16"/>
              </w:rPr>
              <w:t>0.12</w:t>
            </w:r>
          </w:p>
        </w:tc>
        <w:tc>
          <w:tcPr>
            <w:tcW w:w="945" w:type="dxa"/>
            <w:vAlign w:val="top"/>
          </w:tcPr>
          <w:p w:rsidR="002B15A2" w:rsidRPr="0074317B" w:rsidRDefault="002B15A2" w:rsidP="005258DF">
            <w:pPr>
              <w:jc w:val="right"/>
              <w:rPr>
                <w:szCs w:val="16"/>
              </w:rPr>
            </w:pPr>
            <w:r>
              <w:rPr>
                <w:szCs w:val="16"/>
              </w:rPr>
              <w:t>0.12</w:t>
            </w:r>
          </w:p>
        </w:tc>
        <w:tc>
          <w:tcPr>
            <w:tcW w:w="945" w:type="dxa"/>
            <w:vAlign w:val="top"/>
          </w:tcPr>
          <w:p w:rsidR="002B15A2" w:rsidRPr="0074317B" w:rsidRDefault="002B15A2" w:rsidP="005258DF">
            <w:pPr>
              <w:jc w:val="right"/>
              <w:rPr>
                <w:szCs w:val="16"/>
              </w:rPr>
            </w:pPr>
            <w:r>
              <w:rPr>
                <w:szCs w:val="16"/>
              </w:rPr>
              <w:t>0.12</w:t>
            </w:r>
          </w:p>
        </w:tc>
        <w:tc>
          <w:tcPr>
            <w:tcW w:w="945" w:type="dxa"/>
            <w:vAlign w:val="top"/>
          </w:tcPr>
          <w:p w:rsidR="002B15A2" w:rsidRPr="0074317B" w:rsidRDefault="002B15A2" w:rsidP="005258DF">
            <w:pPr>
              <w:jc w:val="right"/>
              <w:rPr>
                <w:szCs w:val="16"/>
              </w:rPr>
            </w:pPr>
            <w:r>
              <w:rPr>
                <w:szCs w:val="16"/>
              </w:rPr>
              <w:t>0.12</w:t>
            </w:r>
          </w:p>
        </w:tc>
        <w:tc>
          <w:tcPr>
            <w:tcW w:w="945" w:type="dxa"/>
            <w:vAlign w:val="top"/>
          </w:tcPr>
          <w:p w:rsidR="002B15A2" w:rsidRPr="0074317B" w:rsidRDefault="002B15A2" w:rsidP="005258DF">
            <w:pPr>
              <w:jc w:val="right"/>
              <w:rPr>
                <w:szCs w:val="16"/>
              </w:rPr>
            </w:pPr>
            <w:r>
              <w:rPr>
                <w:szCs w:val="16"/>
              </w:rPr>
              <w:t>0.12</w:t>
            </w:r>
          </w:p>
        </w:tc>
      </w:tr>
      <w:tr w:rsidR="002B15A2" w:rsidRPr="0074317B" w:rsidTr="00CE5F06">
        <w:tc>
          <w:tcPr>
            <w:tcW w:w="2518" w:type="dxa"/>
            <w:vAlign w:val="top"/>
          </w:tcPr>
          <w:p w:rsidR="002B15A2" w:rsidRPr="008D7DA8" w:rsidRDefault="002B15A2" w:rsidP="005258DF">
            <w:pPr>
              <w:rPr>
                <w:b/>
                <w:szCs w:val="16"/>
              </w:rPr>
            </w:pPr>
            <w:r w:rsidRPr="008D7DA8">
              <w:rPr>
                <w:b/>
                <w:szCs w:val="16"/>
              </w:rPr>
              <w:t xml:space="preserve">Total </w:t>
            </w:r>
          </w:p>
        </w:tc>
        <w:tc>
          <w:tcPr>
            <w:tcW w:w="945" w:type="dxa"/>
          </w:tcPr>
          <w:p w:rsidR="002B15A2" w:rsidRPr="008D7DA8" w:rsidRDefault="002B15A2" w:rsidP="005258DF">
            <w:pPr>
              <w:jc w:val="right"/>
              <w:rPr>
                <w:b/>
                <w:szCs w:val="16"/>
              </w:rPr>
            </w:pPr>
            <w:r w:rsidRPr="008D7DA8">
              <w:rPr>
                <w:b/>
                <w:szCs w:val="16"/>
              </w:rPr>
              <w:t>9.19</w:t>
            </w:r>
          </w:p>
        </w:tc>
        <w:tc>
          <w:tcPr>
            <w:tcW w:w="945" w:type="dxa"/>
            <w:vAlign w:val="top"/>
          </w:tcPr>
          <w:p w:rsidR="002B15A2" w:rsidRPr="008D7DA8" w:rsidRDefault="002B15A2" w:rsidP="005258DF">
            <w:pPr>
              <w:jc w:val="right"/>
              <w:rPr>
                <w:b/>
                <w:szCs w:val="16"/>
              </w:rPr>
            </w:pPr>
            <w:r w:rsidRPr="008D7DA8">
              <w:rPr>
                <w:b/>
                <w:szCs w:val="16"/>
              </w:rPr>
              <w:t>9.32</w:t>
            </w:r>
          </w:p>
        </w:tc>
        <w:tc>
          <w:tcPr>
            <w:tcW w:w="945" w:type="dxa"/>
            <w:vAlign w:val="top"/>
          </w:tcPr>
          <w:p w:rsidR="002B15A2" w:rsidRPr="008D7DA8" w:rsidRDefault="002B15A2" w:rsidP="005258DF">
            <w:pPr>
              <w:jc w:val="right"/>
              <w:rPr>
                <w:b/>
                <w:szCs w:val="16"/>
              </w:rPr>
            </w:pPr>
            <w:r w:rsidRPr="008D7DA8">
              <w:rPr>
                <w:b/>
                <w:szCs w:val="16"/>
              </w:rPr>
              <w:t>9.69</w:t>
            </w:r>
          </w:p>
        </w:tc>
        <w:tc>
          <w:tcPr>
            <w:tcW w:w="945" w:type="dxa"/>
            <w:vAlign w:val="top"/>
          </w:tcPr>
          <w:p w:rsidR="002B15A2" w:rsidRPr="008D7DA8" w:rsidRDefault="002B15A2" w:rsidP="005258DF">
            <w:pPr>
              <w:jc w:val="right"/>
              <w:rPr>
                <w:b/>
                <w:szCs w:val="16"/>
              </w:rPr>
            </w:pPr>
            <w:r w:rsidRPr="008D7DA8">
              <w:rPr>
                <w:b/>
                <w:szCs w:val="16"/>
              </w:rPr>
              <w:t>9.96</w:t>
            </w:r>
          </w:p>
        </w:tc>
        <w:tc>
          <w:tcPr>
            <w:tcW w:w="945" w:type="dxa"/>
            <w:vAlign w:val="top"/>
          </w:tcPr>
          <w:p w:rsidR="002B15A2" w:rsidRPr="008D7DA8" w:rsidRDefault="002B15A2" w:rsidP="005258DF">
            <w:pPr>
              <w:jc w:val="right"/>
              <w:rPr>
                <w:b/>
                <w:szCs w:val="16"/>
              </w:rPr>
            </w:pPr>
            <w:r w:rsidRPr="008D7DA8">
              <w:rPr>
                <w:b/>
                <w:szCs w:val="16"/>
              </w:rPr>
              <w:t>10.10</w:t>
            </w:r>
          </w:p>
        </w:tc>
        <w:tc>
          <w:tcPr>
            <w:tcW w:w="945" w:type="dxa"/>
            <w:vAlign w:val="top"/>
          </w:tcPr>
          <w:p w:rsidR="002B15A2" w:rsidRPr="008D7DA8" w:rsidRDefault="002B15A2" w:rsidP="005258DF">
            <w:pPr>
              <w:jc w:val="right"/>
              <w:rPr>
                <w:b/>
                <w:szCs w:val="16"/>
              </w:rPr>
            </w:pPr>
            <w:r w:rsidRPr="008D7DA8">
              <w:rPr>
                <w:b/>
                <w:szCs w:val="16"/>
              </w:rPr>
              <w:t>10.33</w:t>
            </w:r>
          </w:p>
        </w:tc>
      </w:tr>
    </w:tbl>
    <w:p w:rsidR="008D1592" w:rsidRDefault="008D1592" w:rsidP="008D1592">
      <w:pPr>
        <w:pStyle w:val="AERtablesource"/>
      </w:pPr>
      <w:r>
        <w:t>Source:</w:t>
      </w:r>
      <w:r>
        <w:tab/>
        <w:t xml:space="preserve">ActewAGL Distribution Gas network Access Arrangement </w:t>
      </w:r>
      <w:r w:rsidR="006E2D13">
        <w:t>2016</w:t>
      </w:r>
      <w:r w:rsidR="000A4DD1">
        <w:t>–</w:t>
      </w:r>
      <w:r w:rsidR="006E2D13">
        <w:t>21 Opex m</w:t>
      </w:r>
      <w:r>
        <w:t>odel; AER analysis.</w:t>
      </w:r>
      <w:r w:rsidR="00BD326D">
        <w:t xml:space="preserve"> Numbers may not add due to rounding.</w:t>
      </w:r>
    </w:p>
    <w:p w:rsidR="00CB1A55" w:rsidRPr="00B83521" w:rsidRDefault="00CB1A55" w:rsidP="00CB1A55">
      <w:pPr>
        <w:pStyle w:val="HeadingBoldItalic"/>
      </w:pPr>
      <w:r>
        <w:t>Decision</w:t>
      </w:r>
    </w:p>
    <w:p w:rsidR="00F66852" w:rsidRPr="00CD29C8" w:rsidRDefault="001D1466" w:rsidP="00F66852">
      <w:r w:rsidRPr="001D1466">
        <w:t xml:space="preserve">As outlined in our assessment approach we are required to assess whether total opex </w:t>
      </w:r>
      <w:r w:rsidR="0061228D">
        <w:t>complies</w:t>
      </w:r>
      <w:r>
        <w:t xml:space="preserve"> with the opex criteria.</w:t>
      </w:r>
      <w:r w:rsidRPr="001D1466">
        <w:t xml:space="preserve"> Within total opex we would expect to see some variation in the composition of expenditure from year to year. That is, expenditure for some categories will be higher than usual in a given year while other categories will be lower than usual.</w:t>
      </w:r>
      <w:r>
        <w:t xml:space="preserve"> </w:t>
      </w:r>
      <w:r w:rsidR="00F66852">
        <w:t xml:space="preserve">Because a cost category can be separately forecast does not mean that it should be. Generally, it is best to use the same forecasting method for all cost categories because a hybrid approach that combines </w:t>
      </w:r>
      <w:r w:rsidR="00F66852" w:rsidRPr="00A6082A">
        <w:t xml:space="preserve">revealed cost </w:t>
      </w:r>
      <w:r w:rsidR="00F66852">
        <w:t>and category specific methods</w:t>
      </w:r>
      <w:r w:rsidR="00F66852" w:rsidRPr="00A6082A">
        <w:t xml:space="preserve"> can produce biased forecast</w:t>
      </w:r>
      <w:r>
        <w:t xml:space="preserve"> at the total opex level</w:t>
      </w:r>
      <w:r w:rsidR="007937AC">
        <w:t>,</w:t>
      </w:r>
      <w:r w:rsidR="00F66852" w:rsidRPr="00A6082A">
        <w:t xml:space="preserve"> inconsistent with the opex criteria.</w:t>
      </w:r>
      <w:r w:rsidR="00F66852" w:rsidRPr="00834AF3">
        <w:rPr>
          <w:strike/>
        </w:rPr>
        <w:t xml:space="preserve"> </w:t>
      </w:r>
    </w:p>
    <w:p w:rsidR="00F66852" w:rsidRDefault="00F66852" w:rsidP="00F66852">
      <w:r>
        <w:t>Frontier Economics considered our single year expenditure forecasting approach to forecasting total opex was appropriate when three conditions are met:</w:t>
      </w:r>
      <w:r>
        <w:rPr>
          <w:rStyle w:val="FootnoteReference"/>
        </w:rPr>
        <w:footnoteReference w:id="47"/>
      </w:r>
      <w:r w:rsidR="0061228D" w:rsidRPr="0061228D">
        <w:rPr>
          <w:rStyle w:val="FootnoteReference"/>
        </w:rPr>
        <w:t xml:space="preserve"> </w:t>
      </w:r>
      <w:r w:rsidR="0061228D">
        <w:rPr>
          <w:rStyle w:val="FootnoteReference"/>
        </w:rPr>
        <w:footnoteReference w:id="48"/>
      </w:r>
    </w:p>
    <w:p w:rsidR="00F66852" w:rsidRDefault="00F66852" w:rsidP="00F66852">
      <w:pPr>
        <w:pStyle w:val="ListParagraph"/>
        <w:numPr>
          <w:ilvl w:val="1"/>
          <w:numId w:val="24"/>
        </w:numPr>
      </w:pPr>
      <w:r>
        <w:t>the service provider must have incentives to minimise total controllable opex</w:t>
      </w:r>
    </w:p>
    <w:p w:rsidR="00F66852" w:rsidRDefault="00F66852" w:rsidP="00F66852">
      <w:pPr>
        <w:pStyle w:val="ListParagraph"/>
        <w:numPr>
          <w:ilvl w:val="1"/>
          <w:numId w:val="24"/>
        </w:numPr>
      </w:pPr>
      <w:r>
        <w:t>the service provider must have a continuous incentive to minimise opex</w:t>
      </w:r>
    </w:p>
    <w:p w:rsidR="00F66852" w:rsidRDefault="001D1466" w:rsidP="00F66852">
      <w:pPr>
        <w:pStyle w:val="ListParagraph"/>
        <w:numPr>
          <w:ilvl w:val="1"/>
          <w:numId w:val="24"/>
        </w:numPr>
      </w:pPr>
      <w:r>
        <w:lastRenderedPageBreak/>
        <w:t xml:space="preserve">total </w:t>
      </w:r>
      <w:r w:rsidR="00F66852">
        <w:t>opex needs to be broadly recurrent, in that past actual expenditure can provide (with the aid of transparent adjustments) a reasonable reflection of future efficient expenditure.</w:t>
      </w:r>
    </w:p>
    <w:p w:rsidR="00F66852" w:rsidRDefault="00F66852" w:rsidP="00F66852">
      <w:r>
        <w:t xml:space="preserve">Frontier Economics stated that if these conditions are met, it is reasonable to apply a single year revealed expenditure forecasting approach and to avoid using category specific forecasts or adjusting the base year. </w:t>
      </w:r>
    </w:p>
    <w:p w:rsidR="005C1D1D" w:rsidRDefault="00F66852" w:rsidP="00F66852">
      <w:r>
        <w:t xml:space="preserve">We are satisfied that the first two conditions hold for ActewAGL. This is because an efficiency carryover mechanism </w:t>
      </w:r>
      <w:r w:rsidR="000A4DD1">
        <w:t>applied to ActewAGL in the 2010–</w:t>
      </w:r>
      <w:r>
        <w:t xml:space="preserve">15 access arrangement period. </w:t>
      </w:r>
    </w:p>
    <w:p w:rsidR="005B37D8" w:rsidRDefault="00F66852" w:rsidP="00CD29C8">
      <w:r>
        <w:t xml:space="preserve">In assessing the </w:t>
      </w:r>
      <w:r w:rsidRPr="00B83521">
        <w:t xml:space="preserve">category specific forecasts </w:t>
      </w:r>
      <w:r>
        <w:t xml:space="preserve">we </w:t>
      </w:r>
      <w:r w:rsidR="000161D1">
        <w:t xml:space="preserve">have </w:t>
      </w:r>
      <w:r w:rsidR="007937AC">
        <w:t xml:space="preserve">also </w:t>
      </w:r>
      <w:r w:rsidRPr="00B83521">
        <w:t xml:space="preserve">reviewed </w:t>
      </w:r>
      <w:r>
        <w:t xml:space="preserve">ActewAGL’s past opex to </w:t>
      </w:r>
      <w:r w:rsidRPr="00B83521">
        <w:t xml:space="preserve">see </w:t>
      </w:r>
      <w:r>
        <w:t xml:space="preserve">if </w:t>
      </w:r>
      <w:r w:rsidR="000161D1">
        <w:t xml:space="preserve">it is </w:t>
      </w:r>
      <w:r>
        <w:t>broadly recurrent and that past actual costs would provide a reasonable reflection of future efficient costs</w:t>
      </w:r>
      <w:r w:rsidR="009C7903">
        <w:t>, at the total opex level</w:t>
      </w:r>
      <w:r w:rsidRPr="00B83521">
        <w:t>.</w:t>
      </w:r>
    </w:p>
    <w:p w:rsidR="009C7903" w:rsidRPr="00063FFD" w:rsidRDefault="00EE1A95" w:rsidP="009C7903">
      <w:r w:rsidRPr="00063FFD">
        <w:t xml:space="preserve">We </w:t>
      </w:r>
      <w:r w:rsidR="00D71695" w:rsidRPr="00063FFD">
        <w:t>do</w:t>
      </w:r>
      <w:r w:rsidRPr="00063FFD">
        <w:t xml:space="preserve"> not consider </w:t>
      </w:r>
      <w:r w:rsidR="00F66852" w:rsidRPr="00063FFD">
        <w:t>that water bath heater operations, ancillary services and insurance costs</w:t>
      </w:r>
      <w:r w:rsidR="00063FFD" w:rsidRPr="00063FFD">
        <w:t xml:space="preserve"> should be specifically forecasted</w:t>
      </w:r>
      <w:r w:rsidR="00F66852" w:rsidRPr="00063FFD">
        <w:t xml:space="preserve">. </w:t>
      </w:r>
      <w:r w:rsidR="00690921" w:rsidRPr="00063FFD">
        <w:t xml:space="preserve">We note that the forecast insurance costs are consistent with the base year insurance costs. </w:t>
      </w:r>
      <w:r w:rsidR="00063FFD" w:rsidRPr="00063FFD">
        <w:t xml:space="preserve">The forecast amounts for water bath heater operations across the </w:t>
      </w:r>
      <w:r w:rsidR="00907691">
        <w:t>2016–21 period</w:t>
      </w:r>
      <w:r w:rsidR="00063FFD" w:rsidRPr="00063FFD">
        <w:t xml:space="preserve"> are not mat</w:t>
      </w:r>
      <w:r w:rsidR="00690921">
        <w:t>erial (being around $0.7</w:t>
      </w:r>
      <w:r w:rsidR="00063FFD" w:rsidRPr="00063FFD">
        <w:t>m in total for the forecast period)</w:t>
      </w:r>
      <w:r w:rsidR="009C7903">
        <w:t>.</w:t>
      </w:r>
      <w:r w:rsidR="00063FFD" w:rsidRPr="00063FFD">
        <w:t xml:space="preserve"> </w:t>
      </w:r>
      <w:r w:rsidR="009C7903" w:rsidRPr="00690921">
        <w:t xml:space="preserve">In relation to ancillary services we note that costs in the </w:t>
      </w:r>
      <w:r w:rsidR="00175A03">
        <w:t>2014–15</w:t>
      </w:r>
      <w:r w:rsidR="009C7903" w:rsidRPr="00690921">
        <w:t xml:space="preserve"> base year for this category are not materially different to the forecasts over the </w:t>
      </w:r>
      <w:r w:rsidR="00907691">
        <w:t>2016–21 period</w:t>
      </w:r>
      <w:r w:rsidR="009C7903" w:rsidRPr="00690921">
        <w:t xml:space="preserve"> and are relatively stable.</w:t>
      </w:r>
      <w:r w:rsidR="009C7903" w:rsidRPr="009C7903">
        <w:t xml:space="preserve"> </w:t>
      </w:r>
      <w:r w:rsidR="009C7903">
        <w:t xml:space="preserve">As such we do </w:t>
      </w:r>
      <w:r w:rsidR="00EC44EC">
        <w:t xml:space="preserve">not consider these cost categories </w:t>
      </w:r>
      <w:r w:rsidR="009C7903" w:rsidRPr="00063FFD">
        <w:t>warrant</w:t>
      </w:r>
      <w:r w:rsidR="009C7903">
        <w:t xml:space="preserve"> category specific forecasts in order for us to derive a forecast of total opex that is consistent with the opex criteria. </w:t>
      </w:r>
    </w:p>
    <w:p w:rsidR="00F66852" w:rsidRDefault="00CE237E" w:rsidP="00EE1A95">
      <w:r>
        <w:t>We accept that the costs associated with UNFT, EIL, UAFG should be specifically forecast and removed from the base opex</w:t>
      </w:r>
      <w:r w:rsidR="00CD29C8">
        <w:t>.</w:t>
      </w:r>
      <w:r w:rsidR="001D5F56">
        <w:t xml:space="preserve"> We note that these </w:t>
      </w:r>
      <w:r w:rsidR="005C1D1D">
        <w:t xml:space="preserve">cost categories </w:t>
      </w:r>
      <w:r w:rsidR="001D5F56">
        <w:t xml:space="preserve">are </w:t>
      </w:r>
      <w:r w:rsidR="00F66852">
        <w:t xml:space="preserve">subject to </w:t>
      </w:r>
      <w:r w:rsidR="00D71695">
        <w:t>a ‘true-</w:t>
      </w:r>
      <w:r w:rsidR="001663F9">
        <w:t>up’</w:t>
      </w:r>
      <w:r w:rsidR="0061228D">
        <w:t xml:space="preserve"> adjustment</w:t>
      </w:r>
      <w:r w:rsidR="001663F9">
        <w:t xml:space="preserve"> under </w:t>
      </w:r>
      <w:r w:rsidR="0061228D">
        <w:t xml:space="preserve">the </w:t>
      </w:r>
      <w:r w:rsidR="00F66852">
        <w:t>annual tariff variation mechanism</w:t>
      </w:r>
      <w:r w:rsidR="008F08EC">
        <w:t xml:space="preserve"> and were subject to these arrangements in the previous access arrangement period</w:t>
      </w:r>
      <w:r w:rsidR="001D5F56">
        <w:t>.</w:t>
      </w:r>
      <w:r w:rsidR="001D5F56">
        <w:rPr>
          <w:rStyle w:val="FootnoteReference"/>
        </w:rPr>
        <w:footnoteReference w:id="49"/>
      </w:r>
      <w:r w:rsidR="001D5F56">
        <w:t xml:space="preserve"> F</w:t>
      </w:r>
      <w:r w:rsidR="00F66852">
        <w:t xml:space="preserve">or the </w:t>
      </w:r>
      <w:r w:rsidR="00D71695">
        <w:t>true-</w:t>
      </w:r>
      <w:r w:rsidR="001663F9">
        <w:t xml:space="preserve">up </w:t>
      </w:r>
      <w:r w:rsidR="0061228D">
        <w:t xml:space="preserve">adjustment </w:t>
      </w:r>
      <w:r w:rsidR="00F66852">
        <w:t xml:space="preserve">to operate, </w:t>
      </w:r>
      <w:r w:rsidR="005C1D1D">
        <w:t>an annual</w:t>
      </w:r>
      <w:r w:rsidR="00F66852">
        <w:t xml:space="preserve"> forecast for each of these</w:t>
      </w:r>
      <w:r w:rsidR="001663F9">
        <w:t xml:space="preserve"> cost categories</w:t>
      </w:r>
      <w:r w:rsidR="00D71695">
        <w:t xml:space="preserve"> </w:t>
      </w:r>
      <w:r w:rsidR="005C1D1D">
        <w:t>is required</w:t>
      </w:r>
      <w:r w:rsidR="00F66852">
        <w:t xml:space="preserve">. </w:t>
      </w:r>
      <w:r w:rsidR="00D71695">
        <w:t>The true</w:t>
      </w:r>
      <w:r w:rsidR="00D71695">
        <w:noBreakHyphen/>
      </w:r>
      <w:r w:rsidR="001663F9">
        <w:t xml:space="preserve">up </w:t>
      </w:r>
      <w:r w:rsidR="0061228D">
        <w:t xml:space="preserve">adjustment </w:t>
      </w:r>
      <w:r w:rsidR="00F66852">
        <w:t xml:space="preserve">allows ActewAGL to pass through the changes </w:t>
      </w:r>
      <w:r w:rsidR="005C1D1D">
        <w:t xml:space="preserve">to these cost categories </w:t>
      </w:r>
      <w:r w:rsidR="00F66852">
        <w:t xml:space="preserve">where actual opex is different </w:t>
      </w:r>
      <w:r w:rsidR="001663F9">
        <w:t xml:space="preserve">(higher or lower) than the </w:t>
      </w:r>
      <w:r w:rsidR="00F66852">
        <w:t xml:space="preserve">approved forecast. </w:t>
      </w:r>
    </w:p>
    <w:p w:rsidR="00BE5163" w:rsidRDefault="00D07FC3" w:rsidP="00F66852">
      <w:r>
        <w:fldChar w:fldCharType="begin"/>
      </w:r>
      <w:r>
        <w:instrText xml:space="preserve"> REF _Ref435096042 \h </w:instrText>
      </w:r>
      <w:r>
        <w:fldChar w:fldCharType="separate"/>
      </w:r>
      <w:r w:rsidR="0012045F">
        <w:t xml:space="preserve">Table </w:t>
      </w:r>
      <w:r w:rsidR="0012045F">
        <w:rPr>
          <w:noProof/>
        </w:rPr>
        <w:t>7</w:t>
      </w:r>
      <w:r w:rsidR="0012045F">
        <w:t>.</w:t>
      </w:r>
      <w:r w:rsidR="0012045F">
        <w:rPr>
          <w:noProof/>
        </w:rPr>
        <w:t>9</w:t>
      </w:r>
      <w:r>
        <w:fldChar w:fldCharType="end"/>
      </w:r>
      <w:r>
        <w:t xml:space="preserve"> </w:t>
      </w:r>
      <w:r w:rsidR="00E56C2E">
        <w:t xml:space="preserve">includes </w:t>
      </w:r>
      <w:r w:rsidR="00F66852">
        <w:t xml:space="preserve">our forecast for </w:t>
      </w:r>
      <w:r w:rsidR="002E0E74">
        <w:t xml:space="preserve">category </w:t>
      </w:r>
      <w:r w:rsidR="0061228D">
        <w:t xml:space="preserve">specific </w:t>
      </w:r>
      <w:r w:rsidR="002E0E74">
        <w:t>opex categories</w:t>
      </w:r>
      <w:r w:rsidR="00F66852">
        <w:t xml:space="preserve">. Our forecasts are lower than </w:t>
      </w:r>
      <w:r w:rsidR="001663F9">
        <w:t>those</w:t>
      </w:r>
      <w:r w:rsidR="00F66852">
        <w:t xml:space="preserve"> proposed by ActewAGL</w:t>
      </w:r>
      <w:r w:rsidR="00BE0DE8">
        <w:t xml:space="preserve"> (</w:t>
      </w:r>
      <w:r>
        <w:fldChar w:fldCharType="begin"/>
      </w:r>
      <w:r>
        <w:instrText xml:space="preserve"> REF _Ref435096013 \h </w:instrText>
      </w:r>
      <w:r>
        <w:fldChar w:fldCharType="separate"/>
      </w:r>
      <w:r w:rsidR="0012045F">
        <w:t xml:space="preserve">Table </w:t>
      </w:r>
      <w:r w:rsidR="0012045F">
        <w:rPr>
          <w:noProof/>
        </w:rPr>
        <w:t>7</w:t>
      </w:r>
      <w:r w:rsidR="0012045F">
        <w:t>.</w:t>
      </w:r>
      <w:r w:rsidR="0012045F">
        <w:rPr>
          <w:noProof/>
        </w:rPr>
        <w:t>8</w:t>
      </w:r>
      <w:r>
        <w:fldChar w:fldCharType="end"/>
      </w:r>
      <w:r w:rsidR="002E0E74">
        <w:t>)</w:t>
      </w:r>
      <w:r w:rsidR="00F66852">
        <w:t xml:space="preserve"> </w:t>
      </w:r>
      <w:r w:rsidR="001663F9">
        <w:t>due to</w:t>
      </w:r>
      <w:r w:rsidR="00F66852">
        <w:t xml:space="preserve"> the lower demand (</w:t>
      </w:r>
      <w:r w:rsidR="004504CF">
        <w:t>throughput</w:t>
      </w:r>
      <w:r w:rsidR="00F66852">
        <w:t>) and lower customer numbers we have applied.</w:t>
      </w:r>
      <w:r w:rsidR="008F08EC">
        <w:rPr>
          <w:rStyle w:val="FootnoteReference"/>
        </w:rPr>
        <w:footnoteReference w:id="50"/>
      </w:r>
    </w:p>
    <w:p w:rsidR="00AC61BB" w:rsidRDefault="00AC61BB" w:rsidP="00F66852"/>
    <w:p w:rsidR="00EE1A95" w:rsidRPr="00EB1938" w:rsidRDefault="00D07FC3" w:rsidP="00D07FC3">
      <w:pPr>
        <w:pStyle w:val="Caption"/>
      </w:pPr>
      <w:bookmarkStart w:id="56" w:name="_Ref435096042"/>
      <w:r>
        <w:lastRenderedPageBreak/>
        <w:t xml:space="preserve">Table </w:t>
      </w:r>
      <w:fldSimple w:instr=" STYLEREF 1 \s ">
        <w:r w:rsidR="0012045F">
          <w:rPr>
            <w:noProof/>
          </w:rPr>
          <w:t>7</w:t>
        </w:r>
      </w:fldSimple>
      <w:r>
        <w:t>.</w:t>
      </w:r>
      <w:fldSimple w:instr=" SEQ Table \* ARABIC \s 1 ">
        <w:r w:rsidR="0012045F">
          <w:rPr>
            <w:noProof/>
          </w:rPr>
          <w:t>9</w:t>
        </w:r>
      </w:fldSimple>
      <w:bookmarkEnd w:id="56"/>
      <w:r w:rsidR="00EE1A95">
        <w:tab/>
        <w:t>AER</w:t>
      </w:r>
      <w:r w:rsidR="001D5F56">
        <w:t xml:space="preserve"> decision on </w:t>
      </w:r>
      <w:r w:rsidR="00E24735">
        <w:t>category specific forecasts ($ </w:t>
      </w:r>
      <w:r w:rsidR="00EE1A95">
        <w:t>million, $</w:t>
      </w:r>
      <w:r w:rsidR="0061228D">
        <w:t>2015–16</w:t>
      </w:r>
      <w:r w:rsidR="00EE1A95">
        <w:t>)</w:t>
      </w:r>
    </w:p>
    <w:tbl>
      <w:tblPr>
        <w:tblStyle w:val="AERtable-text0"/>
        <w:tblpPr w:leftFromText="180" w:rightFromText="180" w:vertAnchor="text" w:horzAnchor="margin" w:tblpY="120"/>
        <w:tblW w:w="8613" w:type="dxa"/>
        <w:tblLook w:val="04A0" w:firstRow="1" w:lastRow="0" w:firstColumn="1" w:lastColumn="0" w:noHBand="0" w:noVBand="1"/>
      </w:tblPr>
      <w:tblGrid>
        <w:gridCol w:w="1028"/>
        <w:gridCol w:w="1028"/>
        <w:gridCol w:w="1028"/>
        <w:gridCol w:w="1028"/>
        <w:gridCol w:w="1028"/>
        <w:gridCol w:w="1028"/>
        <w:gridCol w:w="1028"/>
        <w:gridCol w:w="1417"/>
      </w:tblGrid>
      <w:tr w:rsidR="00EE1A95" w:rsidRPr="0074317B" w:rsidTr="00CE1BDF">
        <w:trPr>
          <w:cnfStyle w:val="100000000000" w:firstRow="1" w:lastRow="0" w:firstColumn="0" w:lastColumn="0" w:oddVBand="0" w:evenVBand="0" w:oddHBand="0" w:evenHBand="0" w:firstRowFirstColumn="0" w:firstRowLastColumn="0" w:lastRowFirstColumn="0" w:lastRowLastColumn="0"/>
        </w:trPr>
        <w:tc>
          <w:tcPr>
            <w:tcW w:w="1028" w:type="dxa"/>
          </w:tcPr>
          <w:p w:rsidR="00EE1A95" w:rsidRPr="0074317B" w:rsidRDefault="00EE1A95" w:rsidP="00FD1992">
            <w:pPr>
              <w:rPr>
                <w:szCs w:val="16"/>
              </w:rPr>
            </w:pPr>
            <w:r>
              <w:rPr>
                <w:szCs w:val="16"/>
              </w:rPr>
              <w:t xml:space="preserve">Forecast </w:t>
            </w:r>
          </w:p>
        </w:tc>
        <w:tc>
          <w:tcPr>
            <w:tcW w:w="1028" w:type="dxa"/>
          </w:tcPr>
          <w:p w:rsidR="00EE1A95" w:rsidRPr="0074317B" w:rsidRDefault="0061228D" w:rsidP="00EE1A95">
            <w:pPr>
              <w:numPr>
                <w:ilvl w:val="0"/>
                <w:numId w:val="24"/>
              </w:numPr>
              <w:jc w:val="right"/>
              <w:rPr>
                <w:szCs w:val="16"/>
              </w:rPr>
            </w:pPr>
            <w:r>
              <w:rPr>
                <w:szCs w:val="16"/>
              </w:rPr>
              <w:t>2015–16</w:t>
            </w:r>
          </w:p>
        </w:tc>
        <w:tc>
          <w:tcPr>
            <w:tcW w:w="1028" w:type="dxa"/>
          </w:tcPr>
          <w:p w:rsidR="00EE1A95" w:rsidRPr="0074317B" w:rsidRDefault="000A4DD1" w:rsidP="00EE1A95">
            <w:pPr>
              <w:numPr>
                <w:ilvl w:val="0"/>
                <w:numId w:val="24"/>
              </w:numPr>
              <w:jc w:val="right"/>
              <w:rPr>
                <w:szCs w:val="16"/>
              </w:rPr>
            </w:pPr>
            <w:r>
              <w:rPr>
                <w:szCs w:val="16"/>
              </w:rPr>
              <w:t>2016</w:t>
            </w:r>
            <w:r>
              <w:t>–</w:t>
            </w:r>
            <w:r w:rsidR="00EE1A95" w:rsidRPr="0074317B">
              <w:rPr>
                <w:szCs w:val="16"/>
              </w:rPr>
              <w:t>17</w:t>
            </w:r>
          </w:p>
        </w:tc>
        <w:tc>
          <w:tcPr>
            <w:tcW w:w="1028" w:type="dxa"/>
          </w:tcPr>
          <w:p w:rsidR="00EE1A95" w:rsidRPr="0074317B" w:rsidRDefault="000A4DD1" w:rsidP="00EE1A95">
            <w:pPr>
              <w:jc w:val="right"/>
              <w:rPr>
                <w:szCs w:val="16"/>
              </w:rPr>
            </w:pPr>
            <w:r>
              <w:rPr>
                <w:szCs w:val="16"/>
              </w:rPr>
              <w:t>2017</w:t>
            </w:r>
            <w:r>
              <w:t>–</w:t>
            </w:r>
            <w:r w:rsidR="00EE1A95" w:rsidRPr="0074317B">
              <w:rPr>
                <w:szCs w:val="16"/>
              </w:rPr>
              <w:t>18</w:t>
            </w:r>
          </w:p>
        </w:tc>
        <w:tc>
          <w:tcPr>
            <w:tcW w:w="1028" w:type="dxa"/>
          </w:tcPr>
          <w:p w:rsidR="00EE1A95" w:rsidRPr="0074317B" w:rsidRDefault="00EE1A95" w:rsidP="000A4DD1">
            <w:pPr>
              <w:jc w:val="right"/>
              <w:rPr>
                <w:szCs w:val="16"/>
              </w:rPr>
            </w:pPr>
            <w:r>
              <w:rPr>
                <w:szCs w:val="16"/>
              </w:rPr>
              <w:t>2018</w:t>
            </w:r>
            <w:r w:rsidR="000A4DD1">
              <w:t>–</w:t>
            </w:r>
            <w:r w:rsidRPr="0074317B">
              <w:rPr>
                <w:szCs w:val="16"/>
              </w:rPr>
              <w:t>19</w:t>
            </w:r>
          </w:p>
        </w:tc>
        <w:tc>
          <w:tcPr>
            <w:tcW w:w="1028" w:type="dxa"/>
          </w:tcPr>
          <w:p w:rsidR="00EE1A95" w:rsidRPr="0074317B" w:rsidRDefault="00EE1A95" w:rsidP="000A4DD1">
            <w:pPr>
              <w:jc w:val="right"/>
              <w:rPr>
                <w:szCs w:val="16"/>
              </w:rPr>
            </w:pPr>
            <w:r>
              <w:rPr>
                <w:szCs w:val="16"/>
              </w:rPr>
              <w:t>2019</w:t>
            </w:r>
            <w:r w:rsidR="000A4DD1">
              <w:t>–</w:t>
            </w:r>
            <w:r w:rsidRPr="0074317B">
              <w:rPr>
                <w:szCs w:val="16"/>
              </w:rPr>
              <w:t>20</w:t>
            </w:r>
          </w:p>
        </w:tc>
        <w:tc>
          <w:tcPr>
            <w:tcW w:w="1028" w:type="dxa"/>
          </w:tcPr>
          <w:p w:rsidR="00EE1A95" w:rsidRPr="0074317B" w:rsidRDefault="000A4DD1" w:rsidP="00EE1A95">
            <w:pPr>
              <w:numPr>
                <w:ilvl w:val="0"/>
                <w:numId w:val="24"/>
              </w:numPr>
              <w:jc w:val="right"/>
              <w:rPr>
                <w:szCs w:val="16"/>
              </w:rPr>
            </w:pPr>
            <w:r>
              <w:rPr>
                <w:szCs w:val="16"/>
              </w:rPr>
              <w:t>2020</w:t>
            </w:r>
            <w:r>
              <w:t>–</w:t>
            </w:r>
            <w:r w:rsidR="00EE1A95" w:rsidRPr="0074317B">
              <w:rPr>
                <w:szCs w:val="16"/>
              </w:rPr>
              <w:t>21</w:t>
            </w:r>
          </w:p>
        </w:tc>
        <w:tc>
          <w:tcPr>
            <w:tcW w:w="1417" w:type="dxa"/>
          </w:tcPr>
          <w:p w:rsidR="00EE1A95" w:rsidRPr="0074317B" w:rsidRDefault="000A4DD1" w:rsidP="00EE1A95">
            <w:pPr>
              <w:numPr>
                <w:ilvl w:val="0"/>
                <w:numId w:val="24"/>
              </w:numPr>
              <w:jc w:val="right"/>
              <w:rPr>
                <w:szCs w:val="16"/>
              </w:rPr>
            </w:pPr>
            <w:r>
              <w:rPr>
                <w:szCs w:val="16"/>
              </w:rPr>
              <w:t>Total (2016</w:t>
            </w:r>
            <w:r>
              <w:t>–</w:t>
            </w:r>
            <w:r w:rsidR="00EE1A95">
              <w:rPr>
                <w:szCs w:val="16"/>
              </w:rPr>
              <w:t>21)</w:t>
            </w:r>
          </w:p>
        </w:tc>
      </w:tr>
      <w:tr w:rsidR="00EE1A95" w:rsidRPr="0074317B" w:rsidTr="00CE1BDF">
        <w:tc>
          <w:tcPr>
            <w:tcW w:w="1028" w:type="dxa"/>
            <w:vAlign w:val="top"/>
          </w:tcPr>
          <w:p w:rsidR="00EE1A95" w:rsidRPr="0074317B" w:rsidRDefault="00EE1A95" w:rsidP="00EE1A95">
            <w:pPr>
              <w:rPr>
                <w:szCs w:val="16"/>
              </w:rPr>
            </w:pPr>
            <w:r>
              <w:rPr>
                <w:szCs w:val="16"/>
              </w:rPr>
              <w:t>UNFT</w:t>
            </w:r>
          </w:p>
        </w:tc>
        <w:tc>
          <w:tcPr>
            <w:tcW w:w="1028" w:type="dxa"/>
          </w:tcPr>
          <w:p w:rsidR="00EE1A95" w:rsidRPr="0074317B" w:rsidRDefault="00EE1A95" w:rsidP="00EE1A95">
            <w:pPr>
              <w:jc w:val="right"/>
              <w:rPr>
                <w:szCs w:val="16"/>
              </w:rPr>
            </w:pPr>
            <w:r>
              <w:rPr>
                <w:szCs w:val="16"/>
              </w:rPr>
              <w:t>5.</w:t>
            </w:r>
            <w:r w:rsidR="003C4009">
              <w:rPr>
                <w:szCs w:val="16"/>
              </w:rPr>
              <w:t>83</w:t>
            </w:r>
          </w:p>
        </w:tc>
        <w:tc>
          <w:tcPr>
            <w:tcW w:w="1028" w:type="dxa"/>
            <w:vAlign w:val="top"/>
          </w:tcPr>
          <w:p w:rsidR="00EE1A95" w:rsidRPr="0074317B" w:rsidRDefault="00EE1A95" w:rsidP="00EE1A95">
            <w:pPr>
              <w:jc w:val="right"/>
              <w:rPr>
                <w:szCs w:val="16"/>
              </w:rPr>
            </w:pPr>
            <w:r>
              <w:rPr>
                <w:szCs w:val="16"/>
              </w:rPr>
              <w:t>5.91</w:t>
            </w:r>
          </w:p>
        </w:tc>
        <w:tc>
          <w:tcPr>
            <w:tcW w:w="1028" w:type="dxa"/>
            <w:vAlign w:val="top"/>
          </w:tcPr>
          <w:p w:rsidR="00EE1A95" w:rsidRPr="0074317B" w:rsidRDefault="00EE1A95" w:rsidP="00EE1A95">
            <w:pPr>
              <w:jc w:val="right"/>
              <w:rPr>
                <w:szCs w:val="16"/>
              </w:rPr>
            </w:pPr>
            <w:r>
              <w:rPr>
                <w:szCs w:val="16"/>
              </w:rPr>
              <w:t>6.16</w:t>
            </w:r>
          </w:p>
        </w:tc>
        <w:tc>
          <w:tcPr>
            <w:tcW w:w="1028" w:type="dxa"/>
            <w:vAlign w:val="top"/>
          </w:tcPr>
          <w:p w:rsidR="00EE1A95" w:rsidRPr="0074317B" w:rsidRDefault="00EE1A95" w:rsidP="00EE1A95">
            <w:pPr>
              <w:jc w:val="right"/>
              <w:rPr>
                <w:szCs w:val="16"/>
              </w:rPr>
            </w:pPr>
            <w:r>
              <w:rPr>
                <w:szCs w:val="16"/>
              </w:rPr>
              <w:t>6.41</w:t>
            </w:r>
          </w:p>
        </w:tc>
        <w:tc>
          <w:tcPr>
            <w:tcW w:w="1028" w:type="dxa"/>
            <w:vAlign w:val="top"/>
          </w:tcPr>
          <w:p w:rsidR="00EE1A95" w:rsidRPr="0074317B" w:rsidRDefault="00EE1A95" w:rsidP="00EE1A95">
            <w:pPr>
              <w:jc w:val="right"/>
              <w:rPr>
                <w:szCs w:val="16"/>
              </w:rPr>
            </w:pPr>
            <w:r>
              <w:rPr>
                <w:szCs w:val="16"/>
              </w:rPr>
              <w:t>6.66</w:t>
            </w:r>
          </w:p>
        </w:tc>
        <w:tc>
          <w:tcPr>
            <w:tcW w:w="1028" w:type="dxa"/>
            <w:vAlign w:val="top"/>
          </w:tcPr>
          <w:p w:rsidR="00EE1A95" w:rsidRPr="0074317B" w:rsidRDefault="00EE1A95" w:rsidP="00EE1A95">
            <w:pPr>
              <w:jc w:val="right"/>
              <w:rPr>
                <w:szCs w:val="16"/>
              </w:rPr>
            </w:pPr>
            <w:r>
              <w:rPr>
                <w:szCs w:val="16"/>
              </w:rPr>
              <w:t>6.97</w:t>
            </w:r>
          </w:p>
        </w:tc>
        <w:tc>
          <w:tcPr>
            <w:tcW w:w="1417" w:type="dxa"/>
            <w:vAlign w:val="top"/>
          </w:tcPr>
          <w:p w:rsidR="00EE1A95" w:rsidRPr="0074317B" w:rsidRDefault="00EE1A95" w:rsidP="00EE1A95">
            <w:pPr>
              <w:jc w:val="right"/>
              <w:rPr>
                <w:szCs w:val="16"/>
              </w:rPr>
            </w:pPr>
            <w:r>
              <w:rPr>
                <w:szCs w:val="16"/>
              </w:rPr>
              <w:t>32.</w:t>
            </w:r>
            <w:r w:rsidR="003C4009">
              <w:rPr>
                <w:szCs w:val="16"/>
              </w:rPr>
              <w:t>9</w:t>
            </w:r>
          </w:p>
        </w:tc>
      </w:tr>
      <w:tr w:rsidR="006A6C51" w:rsidRPr="0074317B" w:rsidTr="00CE1BDF">
        <w:trPr>
          <w:cnfStyle w:val="000000010000" w:firstRow="0" w:lastRow="0" w:firstColumn="0" w:lastColumn="0" w:oddVBand="0" w:evenVBand="0" w:oddHBand="0" w:evenHBand="1" w:firstRowFirstColumn="0" w:firstRowLastColumn="0" w:lastRowFirstColumn="0" w:lastRowLastColumn="0"/>
        </w:trPr>
        <w:tc>
          <w:tcPr>
            <w:tcW w:w="1028" w:type="dxa"/>
            <w:vAlign w:val="top"/>
          </w:tcPr>
          <w:p w:rsidR="006A6C51" w:rsidRPr="0074317B" w:rsidRDefault="006A6C51" w:rsidP="006A6C51">
            <w:pPr>
              <w:rPr>
                <w:szCs w:val="16"/>
              </w:rPr>
            </w:pPr>
            <w:r>
              <w:rPr>
                <w:szCs w:val="16"/>
              </w:rPr>
              <w:t>UAFG</w:t>
            </w:r>
          </w:p>
        </w:tc>
        <w:tc>
          <w:tcPr>
            <w:tcW w:w="1028" w:type="dxa"/>
          </w:tcPr>
          <w:p w:rsidR="006A6C51" w:rsidRPr="0074317B" w:rsidRDefault="006A6C51" w:rsidP="006A6C51">
            <w:pPr>
              <w:jc w:val="right"/>
              <w:rPr>
                <w:szCs w:val="16"/>
              </w:rPr>
            </w:pPr>
            <w:r>
              <w:rPr>
                <w:szCs w:val="16"/>
              </w:rPr>
              <w:t>1.</w:t>
            </w:r>
            <w:r w:rsidR="003C4009">
              <w:rPr>
                <w:szCs w:val="16"/>
              </w:rPr>
              <w:t>60</w:t>
            </w:r>
          </w:p>
        </w:tc>
        <w:tc>
          <w:tcPr>
            <w:tcW w:w="1028" w:type="dxa"/>
            <w:vAlign w:val="top"/>
          </w:tcPr>
          <w:p w:rsidR="006A6C51" w:rsidRPr="0074317B" w:rsidRDefault="006A6C51" w:rsidP="006A6C51">
            <w:pPr>
              <w:jc w:val="right"/>
              <w:rPr>
                <w:szCs w:val="16"/>
              </w:rPr>
            </w:pPr>
            <w:r>
              <w:rPr>
                <w:szCs w:val="16"/>
              </w:rPr>
              <w:t>1.</w:t>
            </w:r>
            <w:r w:rsidR="003C4009">
              <w:rPr>
                <w:szCs w:val="16"/>
              </w:rPr>
              <w:t>25</w:t>
            </w:r>
          </w:p>
        </w:tc>
        <w:tc>
          <w:tcPr>
            <w:tcW w:w="1028" w:type="dxa"/>
            <w:vAlign w:val="top"/>
          </w:tcPr>
          <w:p w:rsidR="006A6C51" w:rsidRPr="0074317B" w:rsidRDefault="006A6C51" w:rsidP="006A6C51">
            <w:pPr>
              <w:jc w:val="right"/>
              <w:rPr>
                <w:szCs w:val="16"/>
              </w:rPr>
            </w:pPr>
            <w:r>
              <w:rPr>
                <w:szCs w:val="16"/>
              </w:rPr>
              <w:t>1.2</w:t>
            </w:r>
            <w:r w:rsidR="003C4009">
              <w:rPr>
                <w:szCs w:val="16"/>
              </w:rPr>
              <w:t>4</w:t>
            </w:r>
          </w:p>
        </w:tc>
        <w:tc>
          <w:tcPr>
            <w:tcW w:w="1028" w:type="dxa"/>
            <w:vAlign w:val="top"/>
          </w:tcPr>
          <w:p w:rsidR="006A6C51" w:rsidRPr="0074317B" w:rsidRDefault="006A6C51" w:rsidP="006A6C51">
            <w:pPr>
              <w:jc w:val="right"/>
              <w:rPr>
                <w:szCs w:val="16"/>
              </w:rPr>
            </w:pPr>
            <w:r>
              <w:rPr>
                <w:szCs w:val="16"/>
              </w:rPr>
              <w:t>1.</w:t>
            </w:r>
            <w:r w:rsidR="003C4009">
              <w:rPr>
                <w:szCs w:val="16"/>
              </w:rPr>
              <w:t>22</w:t>
            </w:r>
          </w:p>
        </w:tc>
        <w:tc>
          <w:tcPr>
            <w:tcW w:w="1028" w:type="dxa"/>
            <w:vAlign w:val="top"/>
          </w:tcPr>
          <w:p w:rsidR="006A6C51" w:rsidRPr="0074317B" w:rsidRDefault="006A6C51" w:rsidP="006A6C51">
            <w:pPr>
              <w:jc w:val="right"/>
              <w:rPr>
                <w:szCs w:val="16"/>
              </w:rPr>
            </w:pPr>
            <w:r>
              <w:rPr>
                <w:szCs w:val="16"/>
              </w:rPr>
              <w:t>1.</w:t>
            </w:r>
            <w:r w:rsidR="003C4009">
              <w:rPr>
                <w:szCs w:val="16"/>
              </w:rPr>
              <w:t>21</w:t>
            </w:r>
          </w:p>
        </w:tc>
        <w:tc>
          <w:tcPr>
            <w:tcW w:w="1028" w:type="dxa"/>
            <w:vAlign w:val="top"/>
          </w:tcPr>
          <w:p w:rsidR="006A6C51" w:rsidRPr="0074317B" w:rsidRDefault="006A6C51" w:rsidP="006A6C51">
            <w:pPr>
              <w:jc w:val="right"/>
              <w:rPr>
                <w:szCs w:val="16"/>
              </w:rPr>
            </w:pPr>
            <w:r>
              <w:rPr>
                <w:szCs w:val="16"/>
              </w:rPr>
              <w:t>1.</w:t>
            </w:r>
            <w:r w:rsidR="003C4009">
              <w:rPr>
                <w:szCs w:val="16"/>
              </w:rPr>
              <w:t>21</w:t>
            </w:r>
          </w:p>
        </w:tc>
        <w:tc>
          <w:tcPr>
            <w:tcW w:w="1417" w:type="dxa"/>
            <w:vAlign w:val="top"/>
          </w:tcPr>
          <w:p w:rsidR="006A6C51" w:rsidRPr="0074317B" w:rsidRDefault="006A6C51" w:rsidP="006A6C51">
            <w:pPr>
              <w:jc w:val="right"/>
              <w:rPr>
                <w:szCs w:val="16"/>
              </w:rPr>
            </w:pPr>
            <w:r>
              <w:rPr>
                <w:szCs w:val="16"/>
              </w:rPr>
              <w:t>6.</w:t>
            </w:r>
            <w:r w:rsidR="003C4009">
              <w:rPr>
                <w:szCs w:val="16"/>
              </w:rPr>
              <w:t>1</w:t>
            </w:r>
          </w:p>
        </w:tc>
      </w:tr>
      <w:tr w:rsidR="006A6C51" w:rsidRPr="0074317B" w:rsidTr="00CE1BDF">
        <w:tc>
          <w:tcPr>
            <w:tcW w:w="1028" w:type="dxa"/>
            <w:vAlign w:val="top"/>
          </w:tcPr>
          <w:p w:rsidR="006A6C51" w:rsidRPr="0074317B" w:rsidRDefault="006A6C51" w:rsidP="006A6C51">
            <w:pPr>
              <w:rPr>
                <w:szCs w:val="16"/>
              </w:rPr>
            </w:pPr>
            <w:r>
              <w:rPr>
                <w:szCs w:val="16"/>
              </w:rPr>
              <w:t>EIL</w:t>
            </w:r>
          </w:p>
        </w:tc>
        <w:tc>
          <w:tcPr>
            <w:tcW w:w="1028" w:type="dxa"/>
          </w:tcPr>
          <w:p w:rsidR="006A6C51" w:rsidRPr="0074317B" w:rsidRDefault="006A6C51" w:rsidP="006A6C51">
            <w:pPr>
              <w:jc w:val="right"/>
              <w:rPr>
                <w:szCs w:val="16"/>
              </w:rPr>
            </w:pPr>
            <w:r>
              <w:rPr>
                <w:szCs w:val="16"/>
              </w:rPr>
              <w:t>0.5</w:t>
            </w:r>
            <w:r w:rsidR="003C4009">
              <w:rPr>
                <w:szCs w:val="16"/>
              </w:rPr>
              <w:t>7</w:t>
            </w:r>
          </w:p>
        </w:tc>
        <w:tc>
          <w:tcPr>
            <w:tcW w:w="1028" w:type="dxa"/>
            <w:vAlign w:val="top"/>
          </w:tcPr>
          <w:p w:rsidR="006A6C51" w:rsidRPr="0074317B" w:rsidRDefault="006A6C51" w:rsidP="006A6C51">
            <w:pPr>
              <w:jc w:val="right"/>
              <w:rPr>
                <w:szCs w:val="16"/>
              </w:rPr>
            </w:pPr>
            <w:r>
              <w:rPr>
                <w:szCs w:val="16"/>
              </w:rPr>
              <w:t>0.5</w:t>
            </w:r>
            <w:r w:rsidR="003C4009">
              <w:rPr>
                <w:szCs w:val="16"/>
              </w:rPr>
              <w:t>7</w:t>
            </w:r>
          </w:p>
        </w:tc>
        <w:tc>
          <w:tcPr>
            <w:tcW w:w="1028" w:type="dxa"/>
            <w:vAlign w:val="top"/>
          </w:tcPr>
          <w:p w:rsidR="006A6C51" w:rsidRPr="0074317B" w:rsidRDefault="006A6C51" w:rsidP="006A6C51">
            <w:pPr>
              <w:jc w:val="right"/>
              <w:rPr>
                <w:szCs w:val="16"/>
              </w:rPr>
            </w:pPr>
            <w:r>
              <w:rPr>
                <w:szCs w:val="16"/>
              </w:rPr>
              <w:t>0.5</w:t>
            </w:r>
            <w:r w:rsidR="003C4009">
              <w:rPr>
                <w:szCs w:val="16"/>
              </w:rPr>
              <w:t>6</w:t>
            </w:r>
          </w:p>
        </w:tc>
        <w:tc>
          <w:tcPr>
            <w:tcW w:w="1028" w:type="dxa"/>
            <w:vAlign w:val="top"/>
          </w:tcPr>
          <w:p w:rsidR="006A6C51" w:rsidRPr="0074317B" w:rsidRDefault="006A6C51" w:rsidP="006A6C51">
            <w:pPr>
              <w:jc w:val="right"/>
              <w:rPr>
                <w:szCs w:val="16"/>
              </w:rPr>
            </w:pPr>
            <w:r>
              <w:rPr>
                <w:szCs w:val="16"/>
              </w:rPr>
              <w:t>0.5</w:t>
            </w:r>
            <w:r w:rsidR="003C4009">
              <w:rPr>
                <w:szCs w:val="16"/>
              </w:rPr>
              <w:t>6</w:t>
            </w:r>
          </w:p>
        </w:tc>
        <w:tc>
          <w:tcPr>
            <w:tcW w:w="1028" w:type="dxa"/>
            <w:vAlign w:val="top"/>
          </w:tcPr>
          <w:p w:rsidR="006A6C51" w:rsidRPr="0074317B" w:rsidRDefault="006A6C51" w:rsidP="006A6C51">
            <w:pPr>
              <w:jc w:val="right"/>
              <w:rPr>
                <w:szCs w:val="16"/>
              </w:rPr>
            </w:pPr>
            <w:r>
              <w:rPr>
                <w:szCs w:val="16"/>
              </w:rPr>
              <w:t>0.5</w:t>
            </w:r>
            <w:r w:rsidR="003C4009">
              <w:rPr>
                <w:szCs w:val="16"/>
              </w:rPr>
              <w:t>6</w:t>
            </w:r>
          </w:p>
        </w:tc>
        <w:tc>
          <w:tcPr>
            <w:tcW w:w="1028" w:type="dxa"/>
            <w:vAlign w:val="top"/>
          </w:tcPr>
          <w:p w:rsidR="006A6C51" w:rsidRPr="0074317B" w:rsidRDefault="006A6C51" w:rsidP="006A6C51">
            <w:pPr>
              <w:jc w:val="right"/>
              <w:rPr>
                <w:szCs w:val="16"/>
              </w:rPr>
            </w:pPr>
            <w:r>
              <w:rPr>
                <w:szCs w:val="16"/>
              </w:rPr>
              <w:t>0.5</w:t>
            </w:r>
            <w:r w:rsidR="003C4009">
              <w:rPr>
                <w:szCs w:val="16"/>
              </w:rPr>
              <w:t>6</w:t>
            </w:r>
          </w:p>
        </w:tc>
        <w:tc>
          <w:tcPr>
            <w:tcW w:w="1417" w:type="dxa"/>
            <w:vAlign w:val="top"/>
          </w:tcPr>
          <w:p w:rsidR="006A6C51" w:rsidRPr="0074317B" w:rsidRDefault="006A6C51" w:rsidP="006A6C51">
            <w:pPr>
              <w:jc w:val="right"/>
              <w:rPr>
                <w:szCs w:val="16"/>
              </w:rPr>
            </w:pPr>
            <w:r>
              <w:rPr>
                <w:szCs w:val="16"/>
              </w:rPr>
              <w:t>2.</w:t>
            </w:r>
            <w:r w:rsidR="003C4009">
              <w:rPr>
                <w:szCs w:val="16"/>
              </w:rPr>
              <w:t>8</w:t>
            </w:r>
          </w:p>
        </w:tc>
      </w:tr>
    </w:tbl>
    <w:p w:rsidR="00EE1A95" w:rsidRDefault="00EE1A95" w:rsidP="00EE1A95">
      <w:pPr>
        <w:pStyle w:val="AERtablesource"/>
      </w:pPr>
      <w:r>
        <w:t xml:space="preserve">Source: </w:t>
      </w:r>
      <w:r w:rsidR="00F66852">
        <w:tab/>
      </w:r>
      <w:r>
        <w:t>AER analysis.</w:t>
      </w:r>
    </w:p>
    <w:p w:rsidR="00DF4A50" w:rsidRDefault="00DF4A50" w:rsidP="00DF4A50">
      <w:pPr>
        <w:pStyle w:val="Heading2"/>
      </w:pPr>
      <w:bookmarkStart w:id="57" w:name="_Toc436042333"/>
      <w:r>
        <w:t>Revisions</w:t>
      </w:r>
      <w:bookmarkEnd w:id="57"/>
    </w:p>
    <w:p w:rsidR="00DF4A50" w:rsidRDefault="00DF4A50" w:rsidP="00DF4A50">
      <w:r>
        <w:t xml:space="preserve">We require the following revisions to </w:t>
      </w:r>
      <w:r w:rsidR="00B17844">
        <w:t xml:space="preserve">make </w:t>
      </w:r>
      <w:r>
        <w:t>the access arrangement proposal</w:t>
      </w:r>
      <w:r w:rsidR="00B17844">
        <w:t xml:space="preserve"> acceptable</w:t>
      </w:r>
      <w:r>
        <w:t>:</w:t>
      </w:r>
    </w:p>
    <w:p w:rsidR="00474EC7" w:rsidRPr="00474EC7" w:rsidRDefault="00DF4A50" w:rsidP="00F662AB">
      <w:pPr>
        <w:pStyle w:val="AERrevisionbox"/>
      </w:pPr>
      <w:r>
        <w:rPr>
          <w:b/>
          <w:bCs/>
        </w:rPr>
        <w:t xml:space="preserve">Revision 7.1: </w:t>
      </w:r>
      <w:r>
        <w:t xml:space="preserve">Make all necessary amendments to reflect our draft decision on the proposed opex </w:t>
      </w:r>
      <w:r w:rsidRPr="000161D1">
        <w:t xml:space="preserve">allowances for </w:t>
      </w:r>
      <w:r w:rsidR="0061228D">
        <w:t>2015–16</w:t>
      </w:r>
      <w:r w:rsidRPr="000161D1">
        <w:t xml:space="preserve"> and</w:t>
      </w:r>
      <w:r>
        <w:t xml:space="preserve"> the </w:t>
      </w:r>
      <w:r w:rsidR="00907691">
        <w:t>2016–21 period</w:t>
      </w:r>
      <w:r>
        <w:t>, as set out</w:t>
      </w:r>
      <w:r w:rsidR="0024058C">
        <w:t xml:space="preserve"> in</w:t>
      </w:r>
      <w:r w:rsidR="00F662AB">
        <w:t> </w:t>
      </w:r>
      <w:r w:rsidR="00CD61BE">
        <w:fldChar w:fldCharType="begin"/>
      </w:r>
      <w:r w:rsidR="00CD61BE">
        <w:instrText xml:space="preserve"> REF _Ref433615957 \h </w:instrText>
      </w:r>
      <w:r w:rsidR="00B17844">
        <w:instrText xml:space="preserve"> \* MERGEFORMAT </w:instrText>
      </w:r>
      <w:r w:rsidR="00CD61BE">
        <w:fldChar w:fldCharType="separate"/>
      </w:r>
      <w:r w:rsidR="0012045F">
        <w:t xml:space="preserve">Table </w:t>
      </w:r>
      <w:r w:rsidR="0012045F">
        <w:rPr>
          <w:noProof/>
        </w:rPr>
        <w:t>7</w:t>
      </w:r>
      <w:r w:rsidR="0012045F">
        <w:t>.</w:t>
      </w:r>
      <w:r w:rsidR="0012045F">
        <w:rPr>
          <w:noProof/>
        </w:rPr>
        <w:t>1</w:t>
      </w:r>
      <w:r w:rsidR="00CD61BE">
        <w:fldChar w:fldCharType="end"/>
      </w:r>
      <w:r>
        <w:t>.</w:t>
      </w:r>
    </w:p>
    <w:sectPr w:rsidR="00474EC7" w:rsidRPr="00474EC7" w:rsidSect="00B757A6">
      <w:headerReference w:type="even" r:id="rId14"/>
      <w:footerReference w:type="even" r:id="rId15"/>
      <w:footerReference w:type="default" r:id="rId16"/>
      <w:headerReference w:type="first" r:id="rId1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BB" w:rsidRPr="00290C63" w:rsidRDefault="00AC61BB" w:rsidP="00290C63">
      <w:r>
        <w:separator/>
      </w:r>
    </w:p>
    <w:p w:rsidR="00AC61BB" w:rsidRDefault="00AC61BB"/>
  </w:endnote>
  <w:endnote w:type="continuationSeparator" w:id="0">
    <w:p w:rsidR="00AC61BB" w:rsidRPr="00290C63" w:rsidRDefault="00AC61BB" w:rsidP="00290C63">
      <w:r>
        <w:continuationSeparator/>
      </w:r>
    </w:p>
    <w:p w:rsidR="00AC61BB" w:rsidRDefault="00AC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BB" w:rsidRDefault="00AC61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AC61BB" w:rsidRDefault="00AC61BB">
    <w:pPr>
      <w:pStyle w:val="Footer"/>
    </w:pPr>
  </w:p>
  <w:p w:rsidR="00AC61BB" w:rsidRDefault="00AC61BB">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AC61BB" w:rsidRPr="00CA52A2" w:rsidRDefault="00AC61BB" w:rsidP="00CA52A2">
        <w:pPr>
          <w:pStyle w:val="Footer"/>
        </w:pPr>
        <w:r w:rsidRPr="00CA52A2">
          <w:fldChar w:fldCharType="begin"/>
        </w:r>
        <w:r>
          <w:instrText xml:space="preserve"> PAGE   \* MERGEFORMAT </w:instrText>
        </w:r>
        <w:r w:rsidRPr="00CA52A2">
          <w:fldChar w:fldCharType="separate"/>
        </w:r>
        <w:r w:rsidR="0042290A">
          <w:rPr>
            <w:noProof/>
          </w:rPr>
          <w:t>7-3</w:t>
        </w:r>
        <w:r w:rsidRPr="00CA52A2">
          <w:fldChar w:fldCharType="end"/>
        </w:r>
        <w:r>
          <w:t xml:space="preserve">          Attachment 7 </w:t>
        </w:r>
        <w:r w:rsidRPr="00CA52A2">
          <w:t xml:space="preserve">– </w:t>
        </w:r>
        <w:r>
          <w:t xml:space="preserve">Operating expenditure </w:t>
        </w:r>
        <w:r w:rsidRPr="00CA52A2">
          <w:t xml:space="preserve">| </w:t>
        </w:r>
        <w:r>
          <w:t>Draft decision: ActewAGL Distribution Access Arrangement 2016</w:t>
        </w:r>
        <w:r w:rsidRPr="00CA52A2">
          <w:t>–</w:t>
        </w:r>
        <w:r>
          <w:t>21</w:t>
        </w:r>
      </w:p>
    </w:sdtContent>
  </w:sdt>
  <w:p w:rsidR="00AC61BB" w:rsidRDefault="00AC61BB">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BB" w:rsidRPr="00290C63" w:rsidRDefault="00AC61BB" w:rsidP="00290C63">
      <w:r>
        <w:separator/>
      </w:r>
    </w:p>
    <w:p w:rsidR="00AC61BB" w:rsidRDefault="00AC61BB"/>
  </w:footnote>
  <w:footnote w:type="continuationSeparator" w:id="0">
    <w:p w:rsidR="00AC61BB" w:rsidRPr="00290C63" w:rsidRDefault="00AC61BB" w:rsidP="00290C63">
      <w:r>
        <w:continuationSeparator/>
      </w:r>
    </w:p>
    <w:p w:rsidR="00AC61BB" w:rsidRDefault="00AC61BB"/>
  </w:footnote>
  <w:footnote w:id="1">
    <w:p w:rsidR="00AC61BB" w:rsidRDefault="00AC61BB" w:rsidP="00FF6618">
      <w:pPr>
        <w:pStyle w:val="FootnoteText"/>
      </w:pPr>
      <w:r>
        <w:rPr>
          <w:rStyle w:val="FootnoteReference"/>
        </w:rPr>
        <w:footnoteRef/>
      </w:r>
      <w:r>
        <w:t xml:space="preserve"> </w:t>
      </w:r>
      <w:r>
        <w:tab/>
        <w:t>NGR, rr. 74, 91.</w:t>
      </w:r>
    </w:p>
  </w:footnote>
  <w:footnote w:id="2">
    <w:p w:rsidR="00AC61BB" w:rsidRDefault="00AC61BB">
      <w:pPr>
        <w:pStyle w:val="FootnoteText"/>
      </w:pPr>
      <w:r>
        <w:rPr>
          <w:rStyle w:val="FootnoteReference"/>
        </w:rPr>
        <w:footnoteRef/>
      </w:r>
      <w:r>
        <w:t xml:space="preserve"> </w:t>
      </w:r>
      <w:r>
        <w:tab/>
        <w:t>We note that UNFT comprises almost 70 per cent of the total category specific forecast opex.</w:t>
      </w:r>
    </w:p>
  </w:footnote>
  <w:footnote w:id="3">
    <w:p w:rsidR="00AC61BB" w:rsidRDefault="00AC61BB">
      <w:pPr>
        <w:pStyle w:val="FootnoteText"/>
      </w:pPr>
      <w:r>
        <w:rPr>
          <w:rStyle w:val="FootnoteReference"/>
        </w:rPr>
        <w:footnoteRef/>
      </w:r>
      <w:r>
        <w:t xml:space="preserve"> </w:t>
      </w:r>
      <w:r>
        <w:tab/>
      </w:r>
      <w:r w:rsidRPr="00907691">
        <w:t>Debt raising costs are reviewed in Attachment 3 - Rate of return.</w:t>
      </w:r>
    </w:p>
  </w:footnote>
  <w:footnote w:id="4">
    <w:p w:rsidR="00AC61BB" w:rsidRDefault="00AC61BB" w:rsidP="00AB583D">
      <w:pPr>
        <w:pStyle w:val="FootnoteText"/>
      </w:pPr>
      <w:r>
        <w:rPr>
          <w:rStyle w:val="FootnoteReference"/>
        </w:rPr>
        <w:footnoteRef/>
      </w:r>
      <w:r>
        <w:t xml:space="preserve"> </w:t>
      </w:r>
      <w:r>
        <w:tab/>
        <w:t>Also see NGR, r. 40(2).</w:t>
      </w:r>
    </w:p>
  </w:footnote>
  <w:footnote w:id="5">
    <w:p w:rsidR="00AC61BB" w:rsidRDefault="00AC61BB">
      <w:pPr>
        <w:pStyle w:val="FootnoteText"/>
      </w:pPr>
      <w:r>
        <w:rPr>
          <w:rStyle w:val="FootnoteReference"/>
        </w:rPr>
        <w:footnoteRef/>
      </w:r>
      <w:r>
        <w:t xml:space="preserve"> </w:t>
      </w:r>
      <w:r>
        <w:tab/>
        <w:t xml:space="preserve">AER, </w:t>
      </w:r>
      <w:r w:rsidRPr="00E355EF">
        <w:rPr>
          <w:rStyle w:val="Emphasis"/>
        </w:rPr>
        <w:t>Expenditure Forecast Assessment Guideline for Electricity Distribution</w:t>
      </w:r>
      <w:r>
        <w:t xml:space="preserve">, November 2013 and AER, </w:t>
      </w:r>
      <w:r w:rsidRPr="00E355EF">
        <w:rPr>
          <w:rStyle w:val="Emphasis"/>
        </w:rPr>
        <w:t>Explanatory Statement</w:t>
      </w:r>
      <w:r>
        <w:rPr>
          <w:rStyle w:val="Emphasis"/>
        </w:rPr>
        <w:t xml:space="preserve"> Expenditure Forecast Guideline,</w:t>
      </w:r>
      <w:r>
        <w:t xml:space="preserve"> November 2013.</w:t>
      </w:r>
    </w:p>
  </w:footnote>
  <w:footnote w:id="6">
    <w:p w:rsidR="00AC61BB" w:rsidRDefault="00AC61BB" w:rsidP="002D3EE5">
      <w:pPr>
        <w:pStyle w:val="FootnoteText"/>
      </w:pPr>
      <w:r>
        <w:rPr>
          <w:rStyle w:val="FootnoteReference"/>
        </w:rPr>
        <w:footnoteRef/>
      </w:r>
      <w:r>
        <w:t xml:space="preserve"> </w:t>
      </w:r>
      <w:r>
        <w:tab/>
        <w:t xml:space="preserve">AER, </w:t>
      </w:r>
      <w:r w:rsidRPr="00E355EF">
        <w:rPr>
          <w:rStyle w:val="Emphasis"/>
        </w:rPr>
        <w:t>Expenditure Forecast Assessment Guideline for Electricity Distribution</w:t>
      </w:r>
      <w:r>
        <w:t xml:space="preserve">, November 2013 and AER, </w:t>
      </w:r>
      <w:r w:rsidRPr="00E355EF">
        <w:rPr>
          <w:rStyle w:val="Emphasis"/>
        </w:rPr>
        <w:t>Explanatory Statement</w:t>
      </w:r>
      <w:r>
        <w:rPr>
          <w:rStyle w:val="Emphasis"/>
        </w:rPr>
        <w:t xml:space="preserve"> Expenditure Forecast Guideline,</w:t>
      </w:r>
      <w:r>
        <w:t xml:space="preserve"> November 2013.</w:t>
      </w:r>
    </w:p>
  </w:footnote>
  <w:footnote w:id="7">
    <w:p w:rsidR="00AC61BB" w:rsidRDefault="00AC61BB" w:rsidP="00B92283">
      <w:pPr>
        <w:pStyle w:val="FootnoteText"/>
      </w:pPr>
      <w:r>
        <w:rPr>
          <w:rStyle w:val="FootnoteReference"/>
        </w:rPr>
        <w:footnoteRef/>
      </w:r>
      <w:r>
        <w:t xml:space="preserve"> </w:t>
      </w:r>
      <w:r>
        <w:tab/>
        <w:t>Attachment 9 contains information on the efficiency carryover mechanism applied to ActewAGL in the 2010–15 period.</w:t>
      </w:r>
    </w:p>
  </w:footnote>
  <w:footnote w:id="8">
    <w:p w:rsidR="00AC61BB" w:rsidRDefault="00AC61BB">
      <w:pPr>
        <w:pStyle w:val="FootnoteText"/>
      </w:pPr>
      <w:r>
        <w:rPr>
          <w:rStyle w:val="FootnoteReference"/>
        </w:rPr>
        <w:footnoteRef/>
      </w:r>
      <w:r>
        <w:t xml:space="preserve"> </w:t>
      </w:r>
      <w:r>
        <w:tab/>
        <w:t xml:space="preserve">We note that the labour practices in ActewAGL's gas network business are substantively different to that in its electricity business. For example, the gas network business outsources a higher proportion of activities than in its electricity business. </w:t>
      </w:r>
    </w:p>
  </w:footnote>
  <w:footnote w:id="9">
    <w:p w:rsidR="00AC61BB" w:rsidRDefault="00AC61BB">
      <w:pPr>
        <w:pStyle w:val="FootnoteText"/>
      </w:pPr>
      <w:r>
        <w:rPr>
          <w:rStyle w:val="FootnoteReference"/>
        </w:rPr>
        <w:footnoteRef/>
      </w:r>
      <w:r>
        <w:t xml:space="preserve"> </w:t>
      </w:r>
      <w:r>
        <w:tab/>
        <w:t>Actual opex for the base year will be known before our final decision.</w:t>
      </w:r>
    </w:p>
  </w:footnote>
  <w:footnote w:id="10">
    <w:p w:rsidR="00AC61BB" w:rsidRDefault="00AC61BB" w:rsidP="00562E88">
      <w:pPr>
        <w:pStyle w:val="FootnoteText"/>
      </w:pPr>
      <w:r>
        <w:rPr>
          <w:rStyle w:val="FootnoteReference"/>
        </w:rPr>
        <w:footnoteRef/>
      </w:r>
      <w:r>
        <w:t xml:space="preserve"> </w:t>
      </w:r>
      <w:r>
        <w:tab/>
        <w:t xml:space="preserve">Typically, the AER uses revealed expenditure in the second last year as this is usually the most recent available at the time of our final decision. However, given the interval of delay, the outcome of the last year of the 2010–15 period is known and able to be used. </w:t>
      </w:r>
    </w:p>
  </w:footnote>
  <w:footnote w:id="11">
    <w:p w:rsidR="00AC61BB" w:rsidRDefault="00AC61BB">
      <w:pPr>
        <w:pStyle w:val="FootnoteText"/>
      </w:pPr>
      <w:r>
        <w:rPr>
          <w:rStyle w:val="FootnoteReference"/>
        </w:rPr>
        <w:footnoteRef/>
      </w:r>
      <w:r>
        <w:t xml:space="preserve"> </w:t>
      </w:r>
      <w:r>
        <w:tab/>
        <w:t>ActewAGL's gas distribution network is managed through the DAMS agreement between ActewAGL Distribution and JAM. In July 2013, the new DAMS agreement came into effect which simplified and restructured the services in the agreement into two services (with associated fees), management services and assets services. Concurrent with renegotiation of the DAMS agreement, an Asset Services Agreement was negotiated between JAM and one of Zinfra's subsidiaries, ZNX(2), under which the costs for asset services provided by ZNX(2) are passed through by JAM to ActewAGL Distribution.</w:t>
      </w:r>
    </w:p>
  </w:footnote>
  <w:footnote w:id="12">
    <w:p w:rsidR="00AC61BB" w:rsidRDefault="00AC61BB" w:rsidP="00C740FA">
      <w:pPr>
        <w:pStyle w:val="FootnoteText"/>
      </w:pPr>
      <w:r>
        <w:rPr>
          <w:rStyle w:val="FootnoteReference"/>
        </w:rPr>
        <w:footnoteRef/>
      </w:r>
      <w:r>
        <w:t xml:space="preserve"> </w:t>
      </w:r>
      <w:r>
        <w:tab/>
        <w:t xml:space="preserve">AER, </w:t>
      </w:r>
      <w:r w:rsidRPr="007B7632">
        <w:rPr>
          <w:rStyle w:val="AERtextitalic"/>
        </w:rPr>
        <w:t>Expenditure forecast assessment guidelines - Explanatory statement</w:t>
      </w:r>
      <w:r>
        <w:t>, November 2013,</w:t>
      </w:r>
      <w:r w:rsidRPr="007B7632">
        <w:t xml:space="preserve"> </w:t>
      </w:r>
      <w:r>
        <w:t>p. 61.</w:t>
      </w:r>
    </w:p>
  </w:footnote>
  <w:footnote w:id="13">
    <w:p w:rsidR="00AC61BB" w:rsidRDefault="00AC61BB" w:rsidP="00235774">
      <w:pPr>
        <w:pStyle w:val="FootnoteText"/>
      </w:pPr>
      <w:r>
        <w:rPr>
          <w:rStyle w:val="FootnoteReference"/>
        </w:rPr>
        <w:footnoteRef/>
      </w:r>
      <w:r>
        <w:t xml:space="preserve"> </w:t>
      </w:r>
      <w:r>
        <w:tab/>
        <w:t xml:space="preserve">We accept ActewAGL’s explanation that labour estimates from both the ACT and NSW are required as a result of where labour is sourced to provide services through JAM under the DAMS Agreement. </w:t>
      </w:r>
    </w:p>
  </w:footnote>
  <w:footnote w:id="14">
    <w:p w:rsidR="00AC61BB" w:rsidRDefault="00AC61BB" w:rsidP="00235774">
      <w:pPr>
        <w:pStyle w:val="FootnoteText"/>
      </w:pPr>
      <w:r>
        <w:rPr>
          <w:rStyle w:val="FootnoteReference"/>
        </w:rPr>
        <w:footnoteRef/>
      </w:r>
      <w:r>
        <w:t xml:space="preserve"> </w:t>
      </w:r>
      <w:r>
        <w:tab/>
        <w:t xml:space="preserve">This approach is based on our previous analysis, which was corroborated by Professor Borland’s analysis. Refer to AER, </w:t>
      </w:r>
      <w:r w:rsidRPr="00C37599">
        <w:rPr>
          <w:i/>
        </w:rPr>
        <w:t xml:space="preserve">Access arrangement final decision </w:t>
      </w:r>
      <w:r>
        <w:rPr>
          <w:i/>
        </w:rPr>
        <w:t>SPI Networks (Gas) Pty Ltd 2013</w:t>
      </w:r>
      <w:r>
        <w:t>–</w:t>
      </w:r>
      <w:r w:rsidRPr="00C37599">
        <w:rPr>
          <w:i/>
        </w:rPr>
        <w:t>17</w:t>
      </w:r>
      <w:r>
        <w:t xml:space="preserve"> – Part 3: appendices, March 2013, p7.</w:t>
      </w:r>
    </w:p>
  </w:footnote>
  <w:footnote w:id="15">
    <w:p w:rsidR="00AC61BB" w:rsidRDefault="00AC61BB">
      <w:pPr>
        <w:pStyle w:val="FootnoteText"/>
      </w:pPr>
      <w:r>
        <w:rPr>
          <w:rStyle w:val="FootnoteReference"/>
        </w:rPr>
        <w:footnoteRef/>
      </w:r>
      <w:r>
        <w:t xml:space="preserve"> </w:t>
      </w:r>
      <w:r>
        <w:tab/>
        <w:t>The BIS Shrapnel forecast was the sole input in this year given a Deloitte forecast was not available. A forecast for this year will be included when new data becomes available.</w:t>
      </w:r>
    </w:p>
  </w:footnote>
  <w:footnote w:id="16">
    <w:p w:rsidR="00AC61BB" w:rsidRDefault="00AC61BB" w:rsidP="00235774">
      <w:pPr>
        <w:pStyle w:val="FootnoteText"/>
      </w:pPr>
      <w:r>
        <w:rPr>
          <w:rStyle w:val="FootnoteReference"/>
        </w:rPr>
        <w:footnoteRef/>
      </w:r>
      <w:r>
        <w:t xml:space="preserve"> </w:t>
      </w:r>
      <w:r>
        <w:tab/>
        <w:t>Economic Insights, Measurement of Inputs for Economic Benchmarking of Electricity Network Service Providers, 22 April 2013, p. 4.</w:t>
      </w:r>
    </w:p>
  </w:footnote>
  <w:footnote w:id="17">
    <w:p w:rsidR="00AC61BB" w:rsidRDefault="00AC61BB">
      <w:pPr>
        <w:pStyle w:val="FootnoteText"/>
      </w:pPr>
      <w:r>
        <w:rPr>
          <w:rStyle w:val="FootnoteReference"/>
        </w:rPr>
        <w:footnoteRef/>
      </w:r>
      <w:r>
        <w:t xml:space="preserve"> </w:t>
      </w:r>
      <w:r>
        <w:tab/>
        <w:t xml:space="preserve">AER, </w:t>
      </w:r>
      <w:r w:rsidRPr="0092654B">
        <w:rPr>
          <w:i/>
        </w:rPr>
        <w:t>Final decision Jemena Gas Networks (NSW) Ltd Access Arrangement 2015</w:t>
      </w:r>
      <w:r>
        <w:t>–</w:t>
      </w:r>
      <w:r w:rsidRPr="0092654B">
        <w:rPr>
          <w:i/>
        </w:rPr>
        <w:t>20 Attachment 7 – Operating Expenditure</w:t>
      </w:r>
      <w:r>
        <w:t>, June 2015, p. 7-17.</w:t>
      </w:r>
    </w:p>
  </w:footnote>
  <w:footnote w:id="18">
    <w:p w:rsidR="00AC61BB" w:rsidRDefault="00AC61BB" w:rsidP="00235774">
      <w:pPr>
        <w:pStyle w:val="FootnoteText"/>
      </w:pPr>
      <w:r>
        <w:rPr>
          <w:rStyle w:val="FootnoteReference"/>
        </w:rPr>
        <w:footnoteRef/>
      </w:r>
      <w:r>
        <w:t xml:space="preserve"> </w:t>
      </w:r>
      <w:r>
        <w:tab/>
        <w:t xml:space="preserve">This position was in part informed by ACIL Allen Consulting, Final report to Jemena Asset Management on behalf of ActewAGL distribution gas network </w:t>
      </w:r>
      <w:r w:rsidRPr="00E64824">
        <w:rPr>
          <w:i/>
        </w:rPr>
        <w:t>‘Productivity Study - ActewAGL Distribution Gas Network’</w:t>
      </w:r>
      <w:r>
        <w:t xml:space="preserve">, 29 April 2015, p. 31. ACIL Allen Consulting’s analysis suggests that gas throughput is no longer a key driver of increasing operating expenses for the nine gas distribution businesses studied, which included ActewAGL. </w:t>
      </w:r>
    </w:p>
  </w:footnote>
  <w:footnote w:id="19">
    <w:p w:rsidR="00AC61BB" w:rsidRDefault="00AC61BB">
      <w:pPr>
        <w:pStyle w:val="FootnoteText"/>
      </w:pPr>
      <w:r>
        <w:rPr>
          <w:rStyle w:val="FootnoteReference"/>
        </w:rPr>
        <w:footnoteRef/>
      </w:r>
      <w:r>
        <w:t xml:space="preserve"> </w:t>
      </w:r>
      <w:r>
        <w:tab/>
        <w:t>AER, ‘</w:t>
      </w:r>
      <w:r w:rsidRPr="00623364">
        <w:rPr>
          <w:i/>
        </w:rPr>
        <w:t>Draft decision Jemena Gas Networks (N</w:t>
      </w:r>
      <w:r>
        <w:rPr>
          <w:i/>
        </w:rPr>
        <w:t>SW) Ltd Access arrangement 2015</w:t>
      </w:r>
      <w:r>
        <w:t>–</w:t>
      </w:r>
      <w:r w:rsidRPr="00623364">
        <w:rPr>
          <w:i/>
        </w:rPr>
        <w:t>20 Attachment 7 – Operating expenditure’</w:t>
      </w:r>
      <w:r>
        <w:t>, November 2014, p. 7-40.</w:t>
      </w:r>
    </w:p>
  </w:footnote>
  <w:footnote w:id="20">
    <w:p w:rsidR="00AC61BB" w:rsidRDefault="00AC61BB">
      <w:pPr>
        <w:pStyle w:val="FootnoteText"/>
      </w:pPr>
      <w:r>
        <w:rPr>
          <w:rStyle w:val="FootnoteReference"/>
        </w:rPr>
        <w:footnoteRef/>
      </w:r>
      <w:r>
        <w:t xml:space="preserve"> </w:t>
      </w:r>
      <w:r>
        <w:tab/>
        <w:t xml:space="preserve">Economic Insights, </w:t>
      </w:r>
      <w:r w:rsidRPr="00B91ABF">
        <w:rPr>
          <w:i/>
        </w:rPr>
        <w:t>Relative opex efficiency and forecast opex productivity growth of Jemena Gas Networks</w:t>
      </w:r>
      <w:r>
        <w:t>, 3 October 2014, p.17</w:t>
      </w:r>
    </w:p>
  </w:footnote>
  <w:footnote w:id="21">
    <w:p w:rsidR="00AC61BB" w:rsidRDefault="00AC61BB" w:rsidP="004504CF">
      <w:pPr>
        <w:pStyle w:val="FootnoteText"/>
      </w:pPr>
      <w:r>
        <w:rPr>
          <w:rStyle w:val="FootnoteReference"/>
        </w:rPr>
        <w:footnoteRef/>
      </w:r>
      <w:r>
        <w:t xml:space="preserve"> </w:t>
      </w:r>
      <w:r>
        <w:tab/>
        <w:t xml:space="preserve">ACIL Allen Consulting, Final report to Jemena Asset Management on behalf of ActewAGL distribution gas network </w:t>
      </w:r>
      <w:r w:rsidRPr="00E64824">
        <w:rPr>
          <w:i/>
        </w:rPr>
        <w:t>‘Productivity Study - ActewAGL Distribution Gas Network’</w:t>
      </w:r>
      <w:r>
        <w:t>, 29 April 2015 p. xii.</w:t>
      </w:r>
    </w:p>
  </w:footnote>
  <w:footnote w:id="22">
    <w:p w:rsidR="00AC61BB" w:rsidRDefault="00AC61BB" w:rsidP="00727A86">
      <w:pPr>
        <w:pStyle w:val="FootnoteText"/>
      </w:pPr>
      <w:r>
        <w:rPr>
          <w:rStyle w:val="FootnoteReference"/>
        </w:rPr>
        <w:footnoteRef/>
      </w:r>
      <w:r>
        <w:t xml:space="preserve"> </w:t>
      </w:r>
      <w:r>
        <w:tab/>
        <w:t xml:space="preserve">ActewAGL, </w:t>
      </w:r>
      <w:r w:rsidRPr="00E355EF">
        <w:rPr>
          <w:rStyle w:val="Emphasis"/>
        </w:rPr>
        <w:t>Appendix 5.01: Operating expenditure base year and trend forecast efficiency</w:t>
      </w:r>
      <w:r>
        <w:rPr>
          <w:rStyle w:val="Emphasis"/>
        </w:rPr>
        <w:t>,</w:t>
      </w:r>
      <w:r>
        <w:t xml:space="preserve"> June 2015, p. 18.</w:t>
      </w:r>
    </w:p>
  </w:footnote>
  <w:footnote w:id="23">
    <w:p w:rsidR="00AC61BB" w:rsidRDefault="00AC61BB" w:rsidP="009254A6">
      <w:pPr>
        <w:pStyle w:val="FootnoteText"/>
      </w:pPr>
      <w:r>
        <w:rPr>
          <w:rStyle w:val="FootnoteReference"/>
        </w:rPr>
        <w:footnoteRef/>
      </w:r>
      <w:r>
        <w:t xml:space="preserve"> </w:t>
      </w:r>
      <w:r>
        <w:tab/>
        <w:t xml:space="preserve">ActewAGL, </w:t>
      </w:r>
      <w:r w:rsidRPr="00E355EF">
        <w:rPr>
          <w:rStyle w:val="Emphasis"/>
        </w:rPr>
        <w:t>Appendix 5.01: Operating expenditure base year and trend forecast efficiency</w:t>
      </w:r>
      <w:r>
        <w:rPr>
          <w:rStyle w:val="Emphasis"/>
        </w:rPr>
        <w:t>,</w:t>
      </w:r>
      <w:r>
        <w:t xml:space="preserve"> June 2015, pp. 17, 18.</w:t>
      </w:r>
    </w:p>
  </w:footnote>
  <w:footnote w:id="24">
    <w:p w:rsidR="00AC61BB" w:rsidRDefault="00AC61BB">
      <w:pPr>
        <w:pStyle w:val="FootnoteText"/>
      </w:pPr>
      <w:r>
        <w:rPr>
          <w:rStyle w:val="FootnoteReference"/>
        </w:rPr>
        <w:footnoteRef/>
      </w:r>
      <w:r>
        <w:t xml:space="preserve"> </w:t>
      </w:r>
      <w:r>
        <w:tab/>
        <w:t xml:space="preserve">AER, </w:t>
      </w:r>
      <w:r w:rsidRPr="00E355EF">
        <w:rPr>
          <w:rStyle w:val="Emphasis"/>
        </w:rPr>
        <w:t>Efficiency Benefit sharing Scheme for Electricity Network Service Providers</w:t>
      </w:r>
      <w:r>
        <w:t>, November 2013.</w:t>
      </w:r>
    </w:p>
  </w:footnote>
  <w:footnote w:id="25">
    <w:p w:rsidR="00AC61BB" w:rsidRDefault="00AC61BB" w:rsidP="00235774">
      <w:pPr>
        <w:pStyle w:val="FootnoteText"/>
      </w:pPr>
      <w:r>
        <w:rPr>
          <w:rStyle w:val="FootnoteReference"/>
        </w:rPr>
        <w:footnoteRef/>
      </w:r>
      <w:r>
        <w:t xml:space="preserve"> </w:t>
      </w:r>
      <w:r>
        <w:tab/>
        <w:t xml:space="preserve">AER, </w:t>
      </w:r>
      <w:r w:rsidRPr="00E355EF">
        <w:rPr>
          <w:rStyle w:val="Emphasis"/>
        </w:rPr>
        <w:t>Draft decision Jemena Gas Networks (NSW) Ltd Access arrangement 2015–20 Attachment 7 - Operating expenditure</w:t>
      </w:r>
      <w:r>
        <w:t>, November 2015, p. 7-42.</w:t>
      </w:r>
    </w:p>
  </w:footnote>
  <w:footnote w:id="26">
    <w:p w:rsidR="00FB4C13" w:rsidRDefault="00FB4C13">
      <w:pPr>
        <w:pStyle w:val="FootnoteText"/>
      </w:pPr>
      <w:r>
        <w:rPr>
          <w:rStyle w:val="FootnoteReference"/>
        </w:rPr>
        <w:footnoteRef/>
      </w:r>
      <w:r>
        <w:t xml:space="preserve"> </w:t>
      </w:r>
      <w:r>
        <w:tab/>
        <w:t xml:space="preserve">Jemena Gas Networks, </w:t>
      </w:r>
      <w:r w:rsidRPr="00FB4C13">
        <w:rPr>
          <w:rStyle w:val="AERtextitalic"/>
        </w:rPr>
        <w:t>2015-20 Access arrangement, Response to the AER's draft decision and revised proposal, Appendix 5.2 - Updated productivity assessment for JGN</w:t>
      </w:r>
      <w:r>
        <w:t>, 27 February 2015, p. iii.</w:t>
      </w:r>
    </w:p>
  </w:footnote>
  <w:footnote w:id="27">
    <w:p w:rsidR="00AC61BB" w:rsidRDefault="00AC61BB">
      <w:pPr>
        <w:pStyle w:val="FootnoteText"/>
      </w:pPr>
      <w:r>
        <w:rPr>
          <w:rStyle w:val="FootnoteReference"/>
        </w:rPr>
        <w:footnoteRef/>
      </w:r>
      <w:r>
        <w:t xml:space="preserve"> </w:t>
      </w:r>
      <w:r>
        <w:tab/>
      </w:r>
      <w:r w:rsidRPr="00D30BD1">
        <w:t xml:space="preserve">AER, </w:t>
      </w:r>
      <w:r w:rsidRPr="00E355EF">
        <w:rPr>
          <w:rStyle w:val="Emphasis"/>
        </w:rPr>
        <w:t>Explanatory guide: Expenditure assessment forecast guideline</w:t>
      </w:r>
      <w:r w:rsidRPr="00D30BD1">
        <w:t xml:space="preserve">, November 2013, p.73. See, for example, our decision in the Powerlink determination; AER, </w:t>
      </w:r>
      <w:r w:rsidRPr="00E355EF">
        <w:rPr>
          <w:rStyle w:val="Emphasis"/>
        </w:rPr>
        <w:t>Final decision: Powerlink transmission determination 2012–17</w:t>
      </w:r>
      <w:r w:rsidRPr="00D30BD1">
        <w:t>, April 2012, pp, 164–165.</w:t>
      </w:r>
    </w:p>
  </w:footnote>
  <w:footnote w:id="28">
    <w:p w:rsidR="00AC61BB" w:rsidRDefault="00AC61BB">
      <w:pPr>
        <w:pStyle w:val="FootnoteText"/>
      </w:pPr>
      <w:r>
        <w:rPr>
          <w:rStyle w:val="FootnoteReference"/>
        </w:rPr>
        <w:footnoteRef/>
      </w:r>
      <w:r>
        <w:t xml:space="preserve"> </w:t>
      </w:r>
      <w:r>
        <w:tab/>
      </w:r>
      <w:r w:rsidRPr="00D30BD1">
        <w:t xml:space="preserve">AER, </w:t>
      </w:r>
      <w:r w:rsidRPr="00E355EF">
        <w:rPr>
          <w:rStyle w:val="Emphasis"/>
        </w:rPr>
        <w:t>Expenditure assessment forecast guideline</w:t>
      </w:r>
      <w:r w:rsidRPr="00D30BD1">
        <w:t>, November 2013, p. 11.</w:t>
      </w:r>
    </w:p>
  </w:footnote>
  <w:footnote w:id="29">
    <w:p w:rsidR="00AC61BB" w:rsidRDefault="00AC61BB">
      <w:pPr>
        <w:pStyle w:val="FootnoteText"/>
      </w:pPr>
      <w:r>
        <w:rPr>
          <w:rStyle w:val="FootnoteReference"/>
        </w:rPr>
        <w:footnoteRef/>
      </w:r>
      <w:r>
        <w:t xml:space="preserve"> </w:t>
      </w:r>
      <w:r>
        <w:tab/>
      </w:r>
      <w:hyperlink r:id="rId1" w:history="1">
        <w:r w:rsidRPr="00A82FF9">
          <w:rPr>
            <w:rStyle w:val="Hyperlink"/>
            <w:sz w:val="16"/>
          </w:rPr>
          <w:t>http://www.aemc.gov.au/getattachment/95832d23-1789-4902-b717-4a66ec3d5536/National-Gas-Rules-Version-28.aspx</w:t>
        </w:r>
      </w:hyperlink>
      <w:r>
        <w:t>.</w:t>
      </w:r>
    </w:p>
  </w:footnote>
  <w:footnote w:id="30">
    <w:p w:rsidR="00AC61BB" w:rsidRDefault="00AC61BB" w:rsidP="00620022">
      <w:pPr>
        <w:pStyle w:val="FootnoteText"/>
      </w:pPr>
      <w:r>
        <w:rPr>
          <w:rStyle w:val="FootnoteReference"/>
        </w:rPr>
        <w:footnoteRef/>
      </w:r>
      <w:r>
        <w:t xml:space="preserve"> </w:t>
      </w:r>
      <w:r>
        <w:tab/>
        <w:t xml:space="preserve">ActewAGL estimated that services that will be provided to it by JAM are equivalent to 10 per cent of those for JGN, based on ActewAGL's relative number of customers. </w:t>
      </w:r>
    </w:p>
  </w:footnote>
  <w:footnote w:id="31">
    <w:p w:rsidR="00AC61BB" w:rsidRDefault="00AC61BB" w:rsidP="00414771">
      <w:pPr>
        <w:pStyle w:val="FootnoteText"/>
      </w:pPr>
      <w:r>
        <w:rPr>
          <w:rStyle w:val="FootnoteReference"/>
        </w:rPr>
        <w:footnoteRef/>
      </w:r>
      <w:r>
        <w:t xml:space="preserve"> </w:t>
      </w:r>
      <w:r>
        <w:tab/>
      </w:r>
      <w:hyperlink r:id="rId2" w:history="1">
        <w:r w:rsidRPr="00C872E8">
          <w:rPr>
            <w:rStyle w:val="Hyperlink"/>
            <w:sz w:val="16"/>
          </w:rPr>
          <w:t>http://www.aemo.com.au/Consultations/Gas-Consultations/General/IIR-IN006_14-Harmonisation-of-NSW_ACT-business-to-business-processes</w:t>
        </w:r>
      </w:hyperlink>
      <w:r>
        <w:t>.</w:t>
      </w:r>
    </w:p>
  </w:footnote>
  <w:footnote w:id="32">
    <w:p w:rsidR="00AC61BB" w:rsidRDefault="00AC61BB" w:rsidP="00A00262">
      <w:pPr>
        <w:pStyle w:val="FootnoteText"/>
      </w:pPr>
      <w:r>
        <w:rPr>
          <w:rStyle w:val="FootnoteReference"/>
        </w:rPr>
        <w:footnoteRef/>
      </w:r>
      <w:r>
        <w:t xml:space="preserve"> </w:t>
      </w:r>
      <w:r>
        <w:tab/>
        <w:t xml:space="preserve">ActewAGL estimates that services provided to it are equivalent to 10 per cent of those for JGN based on ActewAGL's relative number of customers. </w:t>
      </w:r>
    </w:p>
  </w:footnote>
  <w:footnote w:id="33">
    <w:p w:rsidR="00AC61BB" w:rsidRDefault="00AC61BB">
      <w:pPr>
        <w:pStyle w:val="FootnoteText"/>
      </w:pPr>
      <w:r>
        <w:rPr>
          <w:rStyle w:val="FootnoteReference"/>
        </w:rPr>
        <w:footnoteRef/>
      </w:r>
      <w:r>
        <w:t xml:space="preserve"> </w:t>
      </w:r>
      <w:r>
        <w:tab/>
        <w:t xml:space="preserve">SAP (Business) One is </w:t>
      </w:r>
      <w:r w:rsidRPr="00DC778A">
        <w:t>business management software designed to automate key business functions in financials, operations, and human resources</w:t>
      </w:r>
      <w:r>
        <w:t>.</w:t>
      </w:r>
    </w:p>
  </w:footnote>
  <w:footnote w:id="34">
    <w:p w:rsidR="00AC61BB" w:rsidRDefault="00AC61BB" w:rsidP="00E16C6B">
      <w:pPr>
        <w:pStyle w:val="FootnoteText"/>
      </w:pPr>
      <w:r>
        <w:rPr>
          <w:rStyle w:val="FootnoteReference"/>
        </w:rPr>
        <w:footnoteRef/>
      </w:r>
      <w:r>
        <w:t xml:space="preserve"> </w:t>
      </w:r>
      <w:r>
        <w:tab/>
        <w:t>GASS+ replacement costs have been apportioned to ActewAGL based on estimated activity or apportionment of costs on the basis of service points. ActewAGL’s gas network has 10.14 per cent of the total service points for the JGN and ActewAGL gas networks).</w:t>
      </w:r>
    </w:p>
  </w:footnote>
  <w:footnote w:id="35">
    <w:p w:rsidR="00AC61BB" w:rsidRDefault="00AC61BB">
      <w:pPr>
        <w:pStyle w:val="FootnoteText"/>
      </w:pPr>
      <w:r>
        <w:rPr>
          <w:rStyle w:val="FootnoteReference"/>
        </w:rPr>
        <w:footnoteRef/>
      </w:r>
      <w:r>
        <w:t xml:space="preserve"> </w:t>
      </w:r>
      <w:r>
        <w:tab/>
        <w:t xml:space="preserve">ActewAGL Distribution, </w:t>
      </w:r>
      <w:r w:rsidRPr="000A4DD1">
        <w:rPr>
          <w:rStyle w:val="Emphasis"/>
        </w:rPr>
        <w:t>2016–21 access arrangement information: Appendix 5:04 Step changes report</w:t>
      </w:r>
      <w:r>
        <w:t>, pp. 10, 47.</w:t>
      </w:r>
    </w:p>
  </w:footnote>
  <w:footnote w:id="36">
    <w:p w:rsidR="00AC61BB" w:rsidRDefault="00AC61BB" w:rsidP="00414771">
      <w:pPr>
        <w:pStyle w:val="FootnoteText"/>
      </w:pPr>
      <w:r>
        <w:rPr>
          <w:rStyle w:val="FootnoteReference"/>
        </w:rPr>
        <w:footnoteRef/>
      </w:r>
      <w:r>
        <w:t xml:space="preserve"> </w:t>
      </w:r>
      <w:r>
        <w:tab/>
        <w:t xml:space="preserve">ActewAGL, </w:t>
      </w:r>
      <w:r w:rsidRPr="00E355EF">
        <w:rPr>
          <w:rStyle w:val="Emphasis"/>
        </w:rPr>
        <w:t>2016–21 access arrangement information, Appendix 5.04 Step changes report</w:t>
      </w:r>
      <w:r>
        <w:t>, p. 22.</w:t>
      </w:r>
    </w:p>
  </w:footnote>
  <w:footnote w:id="37">
    <w:p w:rsidR="00AC61BB" w:rsidRDefault="00AC61BB" w:rsidP="00620022">
      <w:pPr>
        <w:pStyle w:val="FootnoteText"/>
      </w:pPr>
      <w:r>
        <w:rPr>
          <w:rStyle w:val="FootnoteReference"/>
        </w:rPr>
        <w:footnoteRef/>
      </w:r>
      <w:r>
        <w:t xml:space="preserve"> </w:t>
      </w:r>
      <w:r>
        <w:tab/>
        <w:t xml:space="preserve">An exposed main is a section of a pipe located on a bridge spanning over an obstacle such as a water course or a railway line. </w:t>
      </w:r>
    </w:p>
  </w:footnote>
  <w:footnote w:id="38">
    <w:p w:rsidR="00AC61BB" w:rsidRDefault="00AC61BB" w:rsidP="00F662AB">
      <w:pPr>
        <w:pStyle w:val="FootnoteText"/>
      </w:pPr>
      <w:r>
        <w:rPr>
          <w:rStyle w:val="FootnoteReference"/>
        </w:rPr>
        <w:footnoteRef/>
      </w:r>
      <w:r>
        <w:t xml:space="preserve"> </w:t>
      </w:r>
      <w:r>
        <w:tab/>
      </w:r>
      <w:r>
        <w:rPr>
          <w:rFonts w:cstheme="majorBidi"/>
        </w:rPr>
        <w:t xml:space="preserve">We also note that in Attachment 6 we have not accepted </w:t>
      </w:r>
      <w:r w:rsidRPr="00CC1EC0">
        <w:rPr>
          <w:rFonts w:cstheme="majorBidi"/>
        </w:rPr>
        <w:t>ActewAGL’s proposal for capex to extend its pr</w:t>
      </w:r>
      <w:r>
        <w:rPr>
          <w:rFonts w:cstheme="majorBidi"/>
        </w:rPr>
        <w:t>imary mains to Molonglo in 2019</w:t>
      </w:r>
      <w:r>
        <w:t>–</w:t>
      </w:r>
      <w:r w:rsidRPr="00CC1EC0">
        <w:rPr>
          <w:rFonts w:cstheme="majorBidi"/>
        </w:rPr>
        <w:t>20</w:t>
      </w:r>
      <w:r>
        <w:rPr>
          <w:rFonts w:cstheme="majorBidi"/>
        </w:rPr>
        <w:t xml:space="preserve"> or to construct the Watson CTS Pressure Limiting Station.</w:t>
      </w:r>
    </w:p>
  </w:footnote>
  <w:footnote w:id="39">
    <w:p w:rsidR="00AC61BB" w:rsidRDefault="00AC61BB">
      <w:pPr>
        <w:pStyle w:val="FootnoteText"/>
      </w:pPr>
      <w:r>
        <w:rPr>
          <w:rStyle w:val="FootnoteReference"/>
        </w:rPr>
        <w:footnoteRef/>
      </w:r>
      <w:r>
        <w:t xml:space="preserve"> </w:t>
      </w:r>
      <w:r>
        <w:tab/>
      </w:r>
      <w:r w:rsidRPr="00E30C42">
        <w:t>Attachment 6</w:t>
      </w:r>
      <w:r>
        <w:t xml:space="preserve">, section 6.4.5 </w:t>
      </w:r>
      <w:r w:rsidRPr="00E30C42">
        <w:t>which focuses on the capital expenditure aspects of this step change.</w:t>
      </w:r>
    </w:p>
  </w:footnote>
  <w:footnote w:id="40">
    <w:p w:rsidR="00AC61BB" w:rsidRDefault="00AC61BB" w:rsidP="00414771">
      <w:pPr>
        <w:pStyle w:val="FootnoteText"/>
      </w:pPr>
      <w:r>
        <w:rPr>
          <w:rStyle w:val="FootnoteReference"/>
        </w:rPr>
        <w:footnoteRef/>
      </w:r>
      <w:r>
        <w:t xml:space="preserve"> </w:t>
      </w:r>
      <w:r>
        <w:tab/>
        <w:t xml:space="preserve">ActewAGL, </w:t>
      </w:r>
      <w:r w:rsidRPr="00E355EF">
        <w:rPr>
          <w:rStyle w:val="Emphasis"/>
        </w:rPr>
        <w:t>Appendix 5.04 Operating expenditure step changes</w:t>
      </w:r>
      <w:r>
        <w:t>, p. 37</w:t>
      </w:r>
      <w:r>
        <w:rPr>
          <w:rStyle w:val="AERtextitalic"/>
        </w:rPr>
        <w:t xml:space="preserve">. </w:t>
      </w:r>
    </w:p>
  </w:footnote>
  <w:footnote w:id="41">
    <w:p w:rsidR="00AC61BB" w:rsidRDefault="00AC61BB">
      <w:pPr>
        <w:pStyle w:val="FootnoteText"/>
      </w:pPr>
      <w:r>
        <w:rPr>
          <w:rStyle w:val="FootnoteReference"/>
        </w:rPr>
        <w:footnoteRef/>
      </w:r>
      <w:r>
        <w:t xml:space="preserve"> </w:t>
      </w:r>
      <w:r>
        <w:tab/>
        <w:t xml:space="preserve">Origin Energy, </w:t>
      </w:r>
      <w:r w:rsidRPr="00E355EF">
        <w:rPr>
          <w:rStyle w:val="Emphasis"/>
        </w:rPr>
        <w:t>Submission on ActewAGL Access Arrangement Proposal 2016–</w:t>
      </w:r>
      <w:r>
        <w:rPr>
          <w:rStyle w:val="Emphasis"/>
        </w:rPr>
        <w:t>21</w:t>
      </w:r>
      <w:r>
        <w:t xml:space="preserve">, 10 August 2015, p4. </w:t>
      </w:r>
    </w:p>
  </w:footnote>
  <w:footnote w:id="42">
    <w:p w:rsidR="00AC61BB" w:rsidRDefault="00AC61BB" w:rsidP="00414771">
      <w:pPr>
        <w:pStyle w:val="FootnoteText"/>
      </w:pPr>
      <w:r>
        <w:rPr>
          <w:rStyle w:val="FootnoteReference"/>
        </w:rPr>
        <w:footnoteRef/>
      </w:r>
      <w:r>
        <w:t xml:space="preserve"> </w:t>
      </w:r>
      <w:r>
        <w:tab/>
        <w:t>In June 2013, AER approved a revised Cost Allocation Method for ActewAGL’s electricity distribution network and this revised CAM was applied in the ActewAGL electricity distribution network determination for the 2014–19 regulatory control period.</w:t>
      </w:r>
    </w:p>
  </w:footnote>
  <w:footnote w:id="43">
    <w:p w:rsidR="00AC61BB" w:rsidRDefault="00AC61BB" w:rsidP="00CD29C8">
      <w:pPr>
        <w:pStyle w:val="FootnoteText"/>
      </w:pPr>
      <w:r>
        <w:rPr>
          <w:rStyle w:val="FootnoteReference"/>
        </w:rPr>
        <w:footnoteRef/>
      </w:r>
      <w:r>
        <w:t xml:space="preserve"> </w:t>
      </w:r>
      <w:r>
        <w:tab/>
        <w:t xml:space="preserve">ActewAGL, </w:t>
      </w:r>
      <w:r w:rsidRPr="00E355EF">
        <w:rPr>
          <w:rStyle w:val="Emphasis"/>
        </w:rPr>
        <w:t>2016–21 access arrangement information: Attachment 5: Operating expenditure</w:t>
      </w:r>
      <w:r>
        <w:t>, p18.</w:t>
      </w:r>
    </w:p>
  </w:footnote>
  <w:footnote w:id="44">
    <w:p w:rsidR="00AC61BB" w:rsidRDefault="00AC61BB" w:rsidP="00CB1A55">
      <w:pPr>
        <w:pStyle w:val="FootnoteText"/>
      </w:pPr>
      <w:r>
        <w:rPr>
          <w:rStyle w:val="FootnoteReference"/>
        </w:rPr>
        <w:footnoteRef/>
      </w:r>
      <w:r>
        <w:t xml:space="preserve"> </w:t>
      </w:r>
      <w:r>
        <w:tab/>
        <w:t xml:space="preserve">ActewAGL, </w:t>
      </w:r>
      <w:r w:rsidRPr="00E355EF">
        <w:rPr>
          <w:rStyle w:val="Emphasis"/>
        </w:rPr>
        <w:t>2016–21 access arrangement information: Attachment 5: Operating expenditure</w:t>
      </w:r>
      <w:r>
        <w:t>, p18.</w:t>
      </w:r>
    </w:p>
  </w:footnote>
  <w:footnote w:id="45">
    <w:p w:rsidR="00AC61BB" w:rsidRPr="00E56C2E" w:rsidRDefault="00AC61BB" w:rsidP="00CB1A55">
      <w:pPr>
        <w:pStyle w:val="FootnoteText"/>
      </w:pPr>
      <w:r>
        <w:rPr>
          <w:rStyle w:val="FootnoteReference"/>
        </w:rPr>
        <w:footnoteRef/>
      </w:r>
      <w:r>
        <w:t xml:space="preserve"> </w:t>
      </w:r>
      <w:r>
        <w:tab/>
      </w:r>
      <w:r>
        <w:rPr>
          <w:lang w:val="en"/>
        </w:rPr>
        <w:t xml:space="preserve">Utility networks include networks for transmitting and distributing electricity, gas, sewage, water and telecommunications. Examples of network facilities include power lines or pipes over or under land, and </w:t>
      </w:r>
      <w:r w:rsidRPr="00E56C2E">
        <w:rPr>
          <w:lang w:val="en"/>
        </w:rPr>
        <w:t>telecommunications cabling.</w:t>
      </w:r>
    </w:p>
  </w:footnote>
  <w:footnote w:id="46">
    <w:p w:rsidR="00AC61BB" w:rsidRPr="00E56C2E" w:rsidRDefault="00AC61BB" w:rsidP="00CB1A55">
      <w:pPr>
        <w:pStyle w:val="FootnoteText"/>
      </w:pPr>
      <w:r w:rsidRPr="00E56C2E">
        <w:rPr>
          <w:rStyle w:val="FootnoteReference"/>
        </w:rPr>
        <w:footnoteRef/>
      </w:r>
      <w:r>
        <w:t xml:space="preserve"> </w:t>
      </w:r>
      <w:r>
        <w:tab/>
        <w:t xml:space="preserve">ActewAGL, </w:t>
      </w:r>
      <w:r w:rsidRPr="00E355EF">
        <w:rPr>
          <w:rStyle w:val="Emphasis"/>
        </w:rPr>
        <w:t>2016–21 access arrangement information: Attachment 5: Operating expenditure</w:t>
      </w:r>
      <w:r w:rsidRPr="00E56C2E">
        <w:t>, p18.</w:t>
      </w:r>
    </w:p>
  </w:footnote>
  <w:footnote w:id="47">
    <w:p w:rsidR="00AC61BB" w:rsidRDefault="00AC61BB" w:rsidP="00F66852">
      <w:pPr>
        <w:pStyle w:val="FootnoteText"/>
      </w:pPr>
      <w:r>
        <w:rPr>
          <w:rStyle w:val="FootnoteReference"/>
        </w:rPr>
        <w:footnoteRef/>
      </w:r>
      <w:r>
        <w:t xml:space="preserve"> </w:t>
      </w:r>
      <w:r>
        <w:tab/>
        <w:t>Frontier Economics, ‘</w:t>
      </w:r>
      <w:r w:rsidRPr="007562B9">
        <w:rPr>
          <w:i/>
        </w:rPr>
        <w:t>Opex forecasting and EBSS advice for the SP AusNet final decisions</w:t>
      </w:r>
      <w:r>
        <w:t>’, January 2014, p7.</w:t>
      </w:r>
    </w:p>
  </w:footnote>
  <w:footnote w:id="48">
    <w:p w:rsidR="00AC61BB" w:rsidRDefault="00AC61BB" w:rsidP="0061228D">
      <w:pPr>
        <w:pStyle w:val="FootnoteText"/>
      </w:pPr>
      <w:r>
        <w:rPr>
          <w:rStyle w:val="FootnoteReference"/>
        </w:rPr>
        <w:footnoteRef/>
      </w:r>
      <w:r>
        <w:t xml:space="preserve"> </w:t>
      </w:r>
      <w:r>
        <w:tab/>
      </w:r>
      <w:r w:rsidRPr="001D1466">
        <w:t xml:space="preserve">Frontier Economics, </w:t>
      </w:r>
      <w:r w:rsidRPr="00E355EF">
        <w:rPr>
          <w:rStyle w:val="Emphasis"/>
        </w:rPr>
        <w:t>Opex forecasting method</w:t>
      </w:r>
      <w:r w:rsidRPr="001D1466">
        <w:t>, December 2014, p. 5.</w:t>
      </w:r>
    </w:p>
  </w:footnote>
  <w:footnote w:id="49">
    <w:p w:rsidR="00AC61BB" w:rsidRDefault="00AC61BB" w:rsidP="001D5F56">
      <w:pPr>
        <w:pStyle w:val="FootnoteText"/>
      </w:pPr>
      <w:r>
        <w:rPr>
          <w:rStyle w:val="FootnoteReference"/>
        </w:rPr>
        <w:footnoteRef/>
      </w:r>
      <w:r>
        <w:t xml:space="preserve"> </w:t>
      </w:r>
      <w:r>
        <w:tab/>
        <w:t>Attachment 11 contains details on the tariff variation mechanism.</w:t>
      </w:r>
    </w:p>
  </w:footnote>
  <w:footnote w:id="50">
    <w:p w:rsidR="00AC61BB" w:rsidRDefault="00AC61BB">
      <w:pPr>
        <w:pStyle w:val="FootnoteText"/>
      </w:pPr>
      <w:r>
        <w:rPr>
          <w:rStyle w:val="FootnoteReference"/>
        </w:rPr>
        <w:footnoteRef/>
      </w:r>
      <w:r>
        <w:t xml:space="preserve"> </w:t>
      </w:r>
      <w:r>
        <w:tab/>
        <w:t xml:space="preserve">Attachment 13 contains details on our assessment of Demand.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BB" w:rsidRDefault="0042290A">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AC61BB">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BB" w:rsidRDefault="0042290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8C4A9E"/>
    <w:multiLevelType w:val="hybridMultilevel"/>
    <w:tmpl w:val="87E84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23D3FCE"/>
    <w:multiLevelType w:val="hybridMultilevel"/>
    <w:tmpl w:val="F508D8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56A062A"/>
    <w:multiLevelType w:val="hybridMultilevel"/>
    <w:tmpl w:val="F508D8F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nsid w:val="400B1CF6"/>
    <w:multiLevelType w:val="hybridMultilevel"/>
    <w:tmpl w:val="64B03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13C4BB68"/>
    <w:styleLink w:val="AERnumberedlist"/>
    <w:lvl w:ilvl="0">
      <w:start w:val="1"/>
      <w:numFmt w:val="none"/>
      <w:lvlText w:val="%1"/>
      <w:lvlJc w:val="left"/>
      <w:pPr>
        <w:tabs>
          <w:tab w:val="num" w:pos="0"/>
        </w:tabs>
        <w:ind w:left="0" w:firstLine="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E6609FD2"/>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9940335"/>
    <w:multiLevelType w:val="hybridMultilevel"/>
    <w:tmpl w:val="6212B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39230E"/>
    <w:multiLevelType w:val="multilevel"/>
    <w:tmpl w:val="119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0"/>
  </w:num>
  <w:num w:numId="14">
    <w:abstractNumId w:val="10"/>
  </w:num>
  <w:num w:numId="15">
    <w:abstractNumId w:val="13"/>
  </w:num>
  <w:num w:numId="16">
    <w:abstractNumId w:val="24"/>
  </w:num>
  <w:num w:numId="17">
    <w:abstractNumId w:val="9"/>
  </w:num>
  <w:num w:numId="18">
    <w:abstractNumId w:val="17"/>
  </w:num>
  <w:num w:numId="19">
    <w:abstractNumId w:val="25"/>
  </w:num>
  <w:num w:numId="20">
    <w:abstractNumId w:val="31"/>
  </w:num>
  <w:num w:numId="21">
    <w:abstractNumId w:val="28"/>
  </w:num>
  <w:num w:numId="22">
    <w:abstractNumId w:val="26"/>
  </w:num>
  <w:num w:numId="23">
    <w:abstractNumId w:val="18"/>
  </w:num>
  <w:num w:numId="24">
    <w:abstractNumId w:val="27"/>
  </w:num>
  <w:num w:numId="25">
    <w:abstractNumId w:val="29"/>
  </w:num>
  <w:num w:numId="26">
    <w:abstractNumId w:val="19"/>
  </w:num>
  <w:num w:numId="27">
    <w:abstractNumId w:val="1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1"/>
  </w:num>
  <w:num w:numId="31">
    <w:abstractNumId w:val="14"/>
  </w:num>
  <w:num w:numId="32">
    <w:abstractNumId w:val="15"/>
  </w:num>
  <w:num w:numId="33">
    <w:abstractNumId w:val="23"/>
  </w:num>
  <w:num w:numId="34">
    <w:abstractNumId w:val="34"/>
  </w:num>
  <w:num w:numId="35">
    <w:abstractNumId w:val="22"/>
  </w:num>
  <w:num w:numId="3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doNotDisplayPageBoundarie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mailMerge>
    <w:mainDocumentType w:val="formLetters"/>
    <w:dataType w:val="textFile"/>
    <w:activeRecord w:val="-1"/>
  </w:mailMerge>
  <w:documentProtection w:formatting="1" w:enforcement="1" w:spinCount="100000" w:hashValue="WZdmX5my7aoFAJaUnjzW05BugpSJZXNEucrzxcDUmco=" w:saltValue="h8magqfP0wTMopFD7nrfL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1914"/>
    <w:rsid w:val="0000609B"/>
    <w:rsid w:val="00010286"/>
    <w:rsid w:val="0001247A"/>
    <w:rsid w:val="0001395C"/>
    <w:rsid w:val="000161D1"/>
    <w:rsid w:val="000176BA"/>
    <w:rsid w:val="00021202"/>
    <w:rsid w:val="00021C2B"/>
    <w:rsid w:val="0002517F"/>
    <w:rsid w:val="00026495"/>
    <w:rsid w:val="000354B1"/>
    <w:rsid w:val="0003578C"/>
    <w:rsid w:val="000401AF"/>
    <w:rsid w:val="000407B0"/>
    <w:rsid w:val="00042EAF"/>
    <w:rsid w:val="00045A0F"/>
    <w:rsid w:val="0005470A"/>
    <w:rsid w:val="00054FCF"/>
    <w:rsid w:val="00057003"/>
    <w:rsid w:val="00063247"/>
    <w:rsid w:val="00063FFD"/>
    <w:rsid w:val="00065DC4"/>
    <w:rsid w:val="00070321"/>
    <w:rsid w:val="00070F9F"/>
    <w:rsid w:val="0007137B"/>
    <w:rsid w:val="00081201"/>
    <w:rsid w:val="00082646"/>
    <w:rsid w:val="00085663"/>
    <w:rsid w:val="00085EBF"/>
    <w:rsid w:val="00091B15"/>
    <w:rsid w:val="0009409C"/>
    <w:rsid w:val="000A0816"/>
    <w:rsid w:val="000A3020"/>
    <w:rsid w:val="000A4DD1"/>
    <w:rsid w:val="000A6C7B"/>
    <w:rsid w:val="000C163F"/>
    <w:rsid w:val="000C2B40"/>
    <w:rsid w:val="000C5C5B"/>
    <w:rsid w:val="000D0075"/>
    <w:rsid w:val="000D06C1"/>
    <w:rsid w:val="000D122C"/>
    <w:rsid w:val="000D245A"/>
    <w:rsid w:val="000D3016"/>
    <w:rsid w:val="000D7C1D"/>
    <w:rsid w:val="000E1819"/>
    <w:rsid w:val="000E3A78"/>
    <w:rsid w:val="000E4821"/>
    <w:rsid w:val="000E5B7E"/>
    <w:rsid w:val="000E6C72"/>
    <w:rsid w:val="000E7AC0"/>
    <w:rsid w:val="000F0B2B"/>
    <w:rsid w:val="000F0BCE"/>
    <w:rsid w:val="000F1ACD"/>
    <w:rsid w:val="000F3E72"/>
    <w:rsid w:val="000F48B1"/>
    <w:rsid w:val="000F7382"/>
    <w:rsid w:val="00103736"/>
    <w:rsid w:val="00116EB2"/>
    <w:rsid w:val="0012045F"/>
    <w:rsid w:val="00124609"/>
    <w:rsid w:val="00126A4C"/>
    <w:rsid w:val="00142AB6"/>
    <w:rsid w:val="00144D27"/>
    <w:rsid w:val="0014573B"/>
    <w:rsid w:val="00147AEA"/>
    <w:rsid w:val="001573E4"/>
    <w:rsid w:val="001575AD"/>
    <w:rsid w:val="00160756"/>
    <w:rsid w:val="00161BB5"/>
    <w:rsid w:val="001663F9"/>
    <w:rsid w:val="00170D80"/>
    <w:rsid w:val="0017232E"/>
    <w:rsid w:val="00174102"/>
    <w:rsid w:val="001754EE"/>
    <w:rsid w:val="00175A03"/>
    <w:rsid w:val="00180157"/>
    <w:rsid w:val="00180E60"/>
    <w:rsid w:val="001824E8"/>
    <w:rsid w:val="00185CB9"/>
    <w:rsid w:val="00186619"/>
    <w:rsid w:val="00186F77"/>
    <w:rsid w:val="00187DED"/>
    <w:rsid w:val="00190EDE"/>
    <w:rsid w:val="001926A4"/>
    <w:rsid w:val="00192AD5"/>
    <w:rsid w:val="0019421A"/>
    <w:rsid w:val="001942F1"/>
    <w:rsid w:val="001B3449"/>
    <w:rsid w:val="001B45A0"/>
    <w:rsid w:val="001B7D00"/>
    <w:rsid w:val="001D055E"/>
    <w:rsid w:val="001D1466"/>
    <w:rsid w:val="001D4B18"/>
    <w:rsid w:val="001D5F56"/>
    <w:rsid w:val="001E37B6"/>
    <w:rsid w:val="001F05A4"/>
    <w:rsid w:val="001F492E"/>
    <w:rsid w:val="001F6DA3"/>
    <w:rsid w:val="002010BC"/>
    <w:rsid w:val="002016E7"/>
    <w:rsid w:val="00201C8B"/>
    <w:rsid w:val="00201F98"/>
    <w:rsid w:val="00202E03"/>
    <w:rsid w:val="0020478D"/>
    <w:rsid w:val="0020492C"/>
    <w:rsid w:val="00210722"/>
    <w:rsid w:val="00212028"/>
    <w:rsid w:val="002202A9"/>
    <w:rsid w:val="00221353"/>
    <w:rsid w:val="00224DB9"/>
    <w:rsid w:val="00225B06"/>
    <w:rsid w:val="00227DCE"/>
    <w:rsid w:val="00232381"/>
    <w:rsid w:val="0023276C"/>
    <w:rsid w:val="00233775"/>
    <w:rsid w:val="002341A3"/>
    <w:rsid w:val="00234AF1"/>
    <w:rsid w:val="00235774"/>
    <w:rsid w:val="0024058C"/>
    <w:rsid w:val="00251745"/>
    <w:rsid w:val="00263AC0"/>
    <w:rsid w:val="00264264"/>
    <w:rsid w:val="0026772D"/>
    <w:rsid w:val="00276FE7"/>
    <w:rsid w:val="002831AC"/>
    <w:rsid w:val="00286874"/>
    <w:rsid w:val="00290C63"/>
    <w:rsid w:val="00291CD5"/>
    <w:rsid w:val="002929E8"/>
    <w:rsid w:val="00296B65"/>
    <w:rsid w:val="002A7DEF"/>
    <w:rsid w:val="002B1003"/>
    <w:rsid w:val="002B15A2"/>
    <w:rsid w:val="002B16E1"/>
    <w:rsid w:val="002B573C"/>
    <w:rsid w:val="002B679E"/>
    <w:rsid w:val="002B6FE1"/>
    <w:rsid w:val="002C233C"/>
    <w:rsid w:val="002C6886"/>
    <w:rsid w:val="002D3EE5"/>
    <w:rsid w:val="002D72E8"/>
    <w:rsid w:val="002E0621"/>
    <w:rsid w:val="002E0E74"/>
    <w:rsid w:val="002E44F2"/>
    <w:rsid w:val="002E6B79"/>
    <w:rsid w:val="002E7B22"/>
    <w:rsid w:val="002F1098"/>
    <w:rsid w:val="002F7986"/>
    <w:rsid w:val="00300CBC"/>
    <w:rsid w:val="00301068"/>
    <w:rsid w:val="00301B40"/>
    <w:rsid w:val="003029EE"/>
    <w:rsid w:val="00302AA4"/>
    <w:rsid w:val="0030370B"/>
    <w:rsid w:val="00305CC8"/>
    <w:rsid w:val="00307F6D"/>
    <w:rsid w:val="0031258B"/>
    <w:rsid w:val="003177A2"/>
    <w:rsid w:val="00326A67"/>
    <w:rsid w:val="003271B5"/>
    <w:rsid w:val="00327A1E"/>
    <w:rsid w:val="00331264"/>
    <w:rsid w:val="00333120"/>
    <w:rsid w:val="00334C8D"/>
    <w:rsid w:val="00343A18"/>
    <w:rsid w:val="00344473"/>
    <w:rsid w:val="003518B3"/>
    <w:rsid w:val="00353105"/>
    <w:rsid w:val="00355AC8"/>
    <w:rsid w:val="003709D0"/>
    <w:rsid w:val="00377577"/>
    <w:rsid w:val="00381A2C"/>
    <w:rsid w:val="003846F1"/>
    <w:rsid w:val="00387D37"/>
    <w:rsid w:val="00387EA3"/>
    <w:rsid w:val="00392FEC"/>
    <w:rsid w:val="003931A7"/>
    <w:rsid w:val="0039356C"/>
    <w:rsid w:val="003B484F"/>
    <w:rsid w:val="003B6428"/>
    <w:rsid w:val="003B7FBA"/>
    <w:rsid w:val="003C12BB"/>
    <w:rsid w:val="003C24B7"/>
    <w:rsid w:val="003C4009"/>
    <w:rsid w:val="003D042D"/>
    <w:rsid w:val="003D274F"/>
    <w:rsid w:val="003D64B9"/>
    <w:rsid w:val="003E0147"/>
    <w:rsid w:val="003F174D"/>
    <w:rsid w:val="003F24AA"/>
    <w:rsid w:val="003F6A46"/>
    <w:rsid w:val="003F7442"/>
    <w:rsid w:val="0040538C"/>
    <w:rsid w:val="00411347"/>
    <w:rsid w:val="004136D7"/>
    <w:rsid w:val="00414771"/>
    <w:rsid w:val="00415F31"/>
    <w:rsid w:val="0042119B"/>
    <w:rsid w:val="0042290A"/>
    <w:rsid w:val="00423A77"/>
    <w:rsid w:val="0042673F"/>
    <w:rsid w:val="00443988"/>
    <w:rsid w:val="0044476F"/>
    <w:rsid w:val="004473D7"/>
    <w:rsid w:val="004504CF"/>
    <w:rsid w:val="00455B1D"/>
    <w:rsid w:val="00456258"/>
    <w:rsid w:val="0045777E"/>
    <w:rsid w:val="00465531"/>
    <w:rsid w:val="00465A0C"/>
    <w:rsid w:val="00474664"/>
    <w:rsid w:val="00474EC7"/>
    <w:rsid w:val="00476884"/>
    <w:rsid w:val="00480B4B"/>
    <w:rsid w:val="00480BD6"/>
    <w:rsid w:val="00485908"/>
    <w:rsid w:val="00485DC4"/>
    <w:rsid w:val="00485E5D"/>
    <w:rsid w:val="0048621A"/>
    <w:rsid w:val="00486C09"/>
    <w:rsid w:val="004974E0"/>
    <w:rsid w:val="004A03D0"/>
    <w:rsid w:val="004A43D1"/>
    <w:rsid w:val="004B355D"/>
    <w:rsid w:val="004B3BA2"/>
    <w:rsid w:val="004B4412"/>
    <w:rsid w:val="004C31B1"/>
    <w:rsid w:val="004C348C"/>
    <w:rsid w:val="004D2B4E"/>
    <w:rsid w:val="004D4DF2"/>
    <w:rsid w:val="004D55BA"/>
    <w:rsid w:val="004D5692"/>
    <w:rsid w:val="004E1F99"/>
    <w:rsid w:val="004E22EC"/>
    <w:rsid w:val="004E5A05"/>
    <w:rsid w:val="004F6A0E"/>
    <w:rsid w:val="004F7084"/>
    <w:rsid w:val="005047C3"/>
    <w:rsid w:val="005057E0"/>
    <w:rsid w:val="0050613F"/>
    <w:rsid w:val="005258DF"/>
    <w:rsid w:val="0052738F"/>
    <w:rsid w:val="00530128"/>
    <w:rsid w:val="00532467"/>
    <w:rsid w:val="005363D5"/>
    <w:rsid w:val="00536DAF"/>
    <w:rsid w:val="00537FD6"/>
    <w:rsid w:val="00540AFE"/>
    <w:rsid w:val="00562E88"/>
    <w:rsid w:val="00564A4D"/>
    <w:rsid w:val="0056588A"/>
    <w:rsid w:val="00566888"/>
    <w:rsid w:val="00567BA5"/>
    <w:rsid w:val="0057011F"/>
    <w:rsid w:val="00571B35"/>
    <w:rsid w:val="00571D57"/>
    <w:rsid w:val="0057497C"/>
    <w:rsid w:val="00577A09"/>
    <w:rsid w:val="005827B2"/>
    <w:rsid w:val="005829C2"/>
    <w:rsid w:val="00584D8F"/>
    <w:rsid w:val="00584E48"/>
    <w:rsid w:val="00586819"/>
    <w:rsid w:val="0059511E"/>
    <w:rsid w:val="0059704C"/>
    <w:rsid w:val="00597873"/>
    <w:rsid w:val="005A0B4C"/>
    <w:rsid w:val="005A404D"/>
    <w:rsid w:val="005B140A"/>
    <w:rsid w:val="005B1E3C"/>
    <w:rsid w:val="005B37D8"/>
    <w:rsid w:val="005B3EC9"/>
    <w:rsid w:val="005B3FB7"/>
    <w:rsid w:val="005B704A"/>
    <w:rsid w:val="005C04DC"/>
    <w:rsid w:val="005C0A7F"/>
    <w:rsid w:val="005C1D1D"/>
    <w:rsid w:val="005C26CC"/>
    <w:rsid w:val="005C2721"/>
    <w:rsid w:val="005C4C9C"/>
    <w:rsid w:val="005C6E91"/>
    <w:rsid w:val="005D7BA2"/>
    <w:rsid w:val="005E17AB"/>
    <w:rsid w:val="005E1BF5"/>
    <w:rsid w:val="005E30C5"/>
    <w:rsid w:val="005E36C2"/>
    <w:rsid w:val="005F18D3"/>
    <w:rsid w:val="005F22B4"/>
    <w:rsid w:val="005F4BA4"/>
    <w:rsid w:val="006007DE"/>
    <w:rsid w:val="00600B92"/>
    <w:rsid w:val="006011BD"/>
    <w:rsid w:val="00601638"/>
    <w:rsid w:val="00610EF9"/>
    <w:rsid w:val="006115CA"/>
    <w:rsid w:val="0061228D"/>
    <w:rsid w:val="00612F4F"/>
    <w:rsid w:val="00615C6B"/>
    <w:rsid w:val="00620022"/>
    <w:rsid w:val="00621DCE"/>
    <w:rsid w:val="00623364"/>
    <w:rsid w:val="00632D6D"/>
    <w:rsid w:val="00634CC2"/>
    <w:rsid w:val="00636A58"/>
    <w:rsid w:val="00642C3E"/>
    <w:rsid w:val="00646A43"/>
    <w:rsid w:val="006509CD"/>
    <w:rsid w:val="00651C3A"/>
    <w:rsid w:val="00651CB2"/>
    <w:rsid w:val="006560CA"/>
    <w:rsid w:val="00657FD9"/>
    <w:rsid w:val="0066104A"/>
    <w:rsid w:val="00663215"/>
    <w:rsid w:val="00663DAD"/>
    <w:rsid w:val="006648B0"/>
    <w:rsid w:val="00665649"/>
    <w:rsid w:val="006672AA"/>
    <w:rsid w:val="00675E20"/>
    <w:rsid w:val="00676679"/>
    <w:rsid w:val="0068340E"/>
    <w:rsid w:val="00683C89"/>
    <w:rsid w:val="006900E0"/>
    <w:rsid w:val="00690921"/>
    <w:rsid w:val="00691D9A"/>
    <w:rsid w:val="00694A23"/>
    <w:rsid w:val="006A69EE"/>
    <w:rsid w:val="006A6C51"/>
    <w:rsid w:val="006B2020"/>
    <w:rsid w:val="006B2395"/>
    <w:rsid w:val="006B45A4"/>
    <w:rsid w:val="006B4CF9"/>
    <w:rsid w:val="006B785B"/>
    <w:rsid w:val="006B7AC8"/>
    <w:rsid w:val="006C1736"/>
    <w:rsid w:val="006C1F3B"/>
    <w:rsid w:val="006C4798"/>
    <w:rsid w:val="006D3030"/>
    <w:rsid w:val="006D550F"/>
    <w:rsid w:val="006E2D13"/>
    <w:rsid w:val="006E3531"/>
    <w:rsid w:val="006E6107"/>
    <w:rsid w:val="006F3652"/>
    <w:rsid w:val="006F38A4"/>
    <w:rsid w:val="006F3AD1"/>
    <w:rsid w:val="006F3FC8"/>
    <w:rsid w:val="006F71B8"/>
    <w:rsid w:val="006F7389"/>
    <w:rsid w:val="0070011E"/>
    <w:rsid w:val="00701CAB"/>
    <w:rsid w:val="00705644"/>
    <w:rsid w:val="00705FC2"/>
    <w:rsid w:val="00707563"/>
    <w:rsid w:val="007104CB"/>
    <w:rsid w:val="00710A20"/>
    <w:rsid w:val="007230B3"/>
    <w:rsid w:val="0072348C"/>
    <w:rsid w:val="00724A37"/>
    <w:rsid w:val="0072629F"/>
    <w:rsid w:val="00727A86"/>
    <w:rsid w:val="007303C3"/>
    <w:rsid w:val="007356C6"/>
    <w:rsid w:val="00741C46"/>
    <w:rsid w:val="00741E23"/>
    <w:rsid w:val="007429BE"/>
    <w:rsid w:val="00743223"/>
    <w:rsid w:val="00744583"/>
    <w:rsid w:val="00746E01"/>
    <w:rsid w:val="00747EEA"/>
    <w:rsid w:val="00757364"/>
    <w:rsid w:val="00757BDF"/>
    <w:rsid w:val="007609D0"/>
    <w:rsid w:val="00762D51"/>
    <w:rsid w:val="007635CA"/>
    <w:rsid w:val="00763E5D"/>
    <w:rsid w:val="00767740"/>
    <w:rsid w:val="00775C15"/>
    <w:rsid w:val="00777EE6"/>
    <w:rsid w:val="00782EEA"/>
    <w:rsid w:val="00791864"/>
    <w:rsid w:val="007937AC"/>
    <w:rsid w:val="007975C2"/>
    <w:rsid w:val="007A7D18"/>
    <w:rsid w:val="007B186E"/>
    <w:rsid w:val="007B2C72"/>
    <w:rsid w:val="007C12C2"/>
    <w:rsid w:val="007C1C53"/>
    <w:rsid w:val="007C2A4B"/>
    <w:rsid w:val="007C74BB"/>
    <w:rsid w:val="007D37DE"/>
    <w:rsid w:val="007D40B9"/>
    <w:rsid w:val="007D456E"/>
    <w:rsid w:val="007D5ED5"/>
    <w:rsid w:val="007E0AC2"/>
    <w:rsid w:val="007E4904"/>
    <w:rsid w:val="007E4CB5"/>
    <w:rsid w:val="007F066B"/>
    <w:rsid w:val="007F213A"/>
    <w:rsid w:val="007F5DF0"/>
    <w:rsid w:val="007F75C4"/>
    <w:rsid w:val="00800397"/>
    <w:rsid w:val="008033C4"/>
    <w:rsid w:val="00804E70"/>
    <w:rsid w:val="00806C88"/>
    <w:rsid w:val="008100D6"/>
    <w:rsid w:val="0081034E"/>
    <w:rsid w:val="008221F2"/>
    <w:rsid w:val="00824F95"/>
    <w:rsid w:val="00825985"/>
    <w:rsid w:val="00833959"/>
    <w:rsid w:val="008344F6"/>
    <w:rsid w:val="0083510F"/>
    <w:rsid w:val="00835323"/>
    <w:rsid w:val="00837C31"/>
    <w:rsid w:val="008408C5"/>
    <w:rsid w:val="00842D90"/>
    <w:rsid w:val="00851209"/>
    <w:rsid w:val="0085158D"/>
    <w:rsid w:val="0085516E"/>
    <w:rsid w:val="0085722A"/>
    <w:rsid w:val="00864B35"/>
    <w:rsid w:val="00866A25"/>
    <w:rsid w:val="008678DF"/>
    <w:rsid w:val="00870479"/>
    <w:rsid w:val="00873CC2"/>
    <w:rsid w:val="00882481"/>
    <w:rsid w:val="008837AC"/>
    <w:rsid w:val="00883D1C"/>
    <w:rsid w:val="00884D13"/>
    <w:rsid w:val="008942D6"/>
    <w:rsid w:val="008A0C8F"/>
    <w:rsid w:val="008A573D"/>
    <w:rsid w:val="008A587D"/>
    <w:rsid w:val="008A6445"/>
    <w:rsid w:val="008B04B2"/>
    <w:rsid w:val="008B35CD"/>
    <w:rsid w:val="008B5FCC"/>
    <w:rsid w:val="008B7544"/>
    <w:rsid w:val="008C3374"/>
    <w:rsid w:val="008C5486"/>
    <w:rsid w:val="008C6AC7"/>
    <w:rsid w:val="008C708B"/>
    <w:rsid w:val="008D0BC3"/>
    <w:rsid w:val="008D14E8"/>
    <w:rsid w:val="008D1592"/>
    <w:rsid w:val="008D1661"/>
    <w:rsid w:val="008D34C9"/>
    <w:rsid w:val="008D6800"/>
    <w:rsid w:val="008D7DA8"/>
    <w:rsid w:val="008E4139"/>
    <w:rsid w:val="008E55BF"/>
    <w:rsid w:val="008E7031"/>
    <w:rsid w:val="008E77DE"/>
    <w:rsid w:val="008F07A3"/>
    <w:rsid w:val="008F08EC"/>
    <w:rsid w:val="008F34DD"/>
    <w:rsid w:val="008F7CF5"/>
    <w:rsid w:val="009001B6"/>
    <w:rsid w:val="00900E1B"/>
    <w:rsid w:val="00901C3C"/>
    <w:rsid w:val="00906A74"/>
    <w:rsid w:val="00907691"/>
    <w:rsid w:val="009178F0"/>
    <w:rsid w:val="00922FD7"/>
    <w:rsid w:val="009233EE"/>
    <w:rsid w:val="009254A6"/>
    <w:rsid w:val="0092654B"/>
    <w:rsid w:val="009272AD"/>
    <w:rsid w:val="009277DC"/>
    <w:rsid w:val="009460AA"/>
    <w:rsid w:val="00951978"/>
    <w:rsid w:val="00961A4A"/>
    <w:rsid w:val="00961C56"/>
    <w:rsid w:val="009661DE"/>
    <w:rsid w:val="009774AE"/>
    <w:rsid w:val="00983C25"/>
    <w:rsid w:val="00984203"/>
    <w:rsid w:val="009856B7"/>
    <w:rsid w:val="00985C86"/>
    <w:rsid w:val="00995811"/>
    <w:rsid w:val="009A02D8"/>
    <w:rsid w:val="009A162D"/>
    <w:rsid w:val="009A5113"/>
    <w:rsid w:val="009A5FC3"/>
    <w:rsid w:val="009A7600"/>
    <w:rsid w:val="009B07D5"/>
    <w:rsid w:val="009B6F84"/>
    <w:rsid w:val="009B70AE"/>
    <w:rsid w:val="009B74B0"/>
    <w:rsid w:val="009C263C"/>
    <w:rsid w:val="009C42DC"/>
    <w:rsid w:val="009C7903"/>
    <w:rsid w:val="009D3906"/>
    <w:rsid w:val="009D5CC0"/>
    <w:rsid w:val="009D6B46"/>
    <w:rsid w:val="009E7783"/>
    <w:rsid w:val="009F4940"/>
    <w:rsid w:val="009F5BA1"/>
    <w:rsid w:val="00A00262"/>
    <w:rsid w:val="00A0137D"/>
    <w:rsid w:val="00A02A88"/>
    <w:rsid w:val="00A04204"/>
    <w:rsid w:val="00A0562E"/>
    <w:rsid w:val="00A06085"/>
    <w:rsid w:val="00A06B43"/>
    <w:rsid w:val="00A0726D"/>
    <w:rsid w:val="00A1689E"/>
    <w:rsid w:val="00A3060E"/>
    <w:rsid w:val="00A30CA8"/>
    <w:rsid w:val="00A32FBB"/>
    <w:rsid w:val="00A42141"/>
    <w:rsid w:val="00A428EE"/>
    <w:rsid w:val="00A4478A"/>
    <w:rsid w:val="00A44852"/>
    <w:rsid w:val="00A4650A"/>
    <w:rsid w:val="00A50502"/>
    <w:rsid w:val="00A54865"/>
    <w:rsid w:val="00A57D04"/>
    <w:rsid w:val="00A60149"/>
    <w:rsid w:val="00A60A26"/>
    <w:rsid w:val="00A61598"/>
    <w:rsid w:val="00A672B0"/>
    <w:rsid w:val="00A7444F"/>
    <w:rsid w:val="00A75004"/>
    <w:rsid w:val="00A77C4C"/>
    <w:rsid w:val="00A8075F"/>
    <w:rsid w:val="00A824AF"/>
    <w:rsid w:val="00A82660"/>
    <w:rsid w:val="00A84A99"/>
    <w:rsid w:val="00A84F46"/>
    <w:rsid w:val="00A871F4"/>
    <w:rsid w:val="00A9070A"/>
    <w:rsid w:val="00A97615"/>
    <w:rsid w:val="00AA2827"/>
    <w:rsid w:val="00AA675F"/>
    <w:rsid w:val="00AA707F"/>
    <w:rsid w:val="00AB1637"/>
    <w:rsid w:val="00AB583D"/>
    <w:rsid w:val="00AC0076"/>
    <w:rsid w:val="00AC1B2C"/>
    <w:rsid w:val="00AC3264"/>
    <w:rsid w:val="00AC61BB"/>
    <w:rsid w:val="00AC744A"/>
    <w:rsid w:val="00AC760F"/>
    <w:rsid w:val="00AD0568"/>
    <w:rsid w:val="00AD3188"/>
    <w:rsid w:val="00AD407D"/>
    <w:rsid w:val="00AD5A24"/>
    <w:rsid w:val="00AE1BF1"/>
    <w:rsid w:val="00AF0DD2"/>
    <w:rsid w:val="00AF5F64"/>
    <w:rsid w:val="00B015D3"/>
    <w:rsid w:val="00B0209D"/>
    <w:rsid w:val="00B04C16"/>
    <w:rsid w:val="00B05B8C"/>
    <w:rsid w:val="00B07CEA"/>
    <w:rsid w:val="00B12AA9"/>
    <w:rsid w:val="00B13048"/>
    <w:rsid w:val="00B13D73"/>
    <w:rsid w:val="00B1716D"/>
    <w:rsid w:val="00B17844"/>
    <w:rsid w:val="00B17A1D"/>
    <w:rsid w:val="00B20288"/>
    <w:rsid w:val="00B207A0"/>
    <w:rsid w:val="00B2627D"/>
    <w:rsid w:val="00B33D0D"/>
    <w:rsid w:val="00B45FAD"/>
    <w:rsid w:val="00B514DD"/>
    <w:rsid w:val="00B51F3F"/>
    <w:rsid w:val="00B52AF0"/>
    <w:rsid w:val="00B54134"/>
    <w:rsid w:val="00B54CD0"/>
    <w:rsid w:val="00B561BD"/>
    <w:rsid w:val="00B56E03"/>
    <w:rsid w:val="00B61EDF"/>
    <w:rsid w:val="00B65108"/>
    <w:rsid w:val="00B72AA7"/>
    <w:rsid w:val="00B73D68"/>
    <w:rsid w:val="00B75708"/>
    <w:rsid w:val="00B757A6"/>
    <w:rsid w:val="00B8080B"/>
    <w:rsid w:val="00B82223"/>
    <w:rsid w:val="00B84A5D"/>
    <w:rsid w:val="00B87BA5"/>
    <w:rsid w:val="00B87C39"/>
    <w:rsid w:val="00B91ABF"/>
    <w:rsid w:val="00B92283"/>
    <w:rsid w:val="00B9562D"/>
    <w:rsid w:val="00BA001E"/>
    <w:rsid w:val="00BA1C9A"/>
    <w:rsid w:val="00BA4665"/>
    <w:rsid w:val="00BA46EA"/>
    <w:rsid w:val="00BB1F10"/>
    <w:rsid w:val="00BB2FB2"/>
    <w:rsid w:val="00BB3304"/>
    <w:rsid w:val="00BB47D4"/>
    <w:rsid w:val="00BB4E2D"/>
    <w:rsid w:val="00BB7528"/>
    <w:rsid w:val="00BB763D"/>
    <w:rsid w:val="00BC7AE9"/>
    <w:rsid w:val="00BC7B19"/>
    <w:rsid w:val="00BD310B"/>
    <w:rsid w:val="00BD326D"/>
    <w:rsid w:val="00BD3446"/>
    <w:rsid w:val="00BD3C38"/>
    <w:rsid w:val="00BD40BC"/>
    <w:rsid w:val="00BE0DE8"/>
    <w:rsid w:val="00BE1F1B"/>
    <w:rsid w:val="00BE47B5"/>
    <w:rsid w:val="00BE5163"/>
    <w:rsid w:val="00C04223"/>
    <w:rsid w:val="00C051ED"/>
    <w:rsid w:val="00C137A2"/>
    <w:rsid w:val="00C25FA6"/>
    <w:rsid w:val="00C2764F"/>
    <w:rsid w:val="00C32A1E"/>
    <w:rsid w:val="00C33093"/>
    <w:rsid w:val="00C3339F"/>
    <w:rsid w:val="00C36BA3"/>
    <w:rsid w:val="00C37599"/>
    <w:rsid w:val="00C42ACA"/>
    <w:rsid w:val="00C43337"/>
    <w:rsid w:val="00C441B3"/>
    <w:rsid w:val="00C4455F"/>
    <w:rsid w:val="00C46223"/>
    <w:rsid w:val="00C52C26"/>
    <w:rsid w:val="00C535FA"/>
    <w:rsid w:val="00C538A9"/>
    <w:rsid w:val="00C53B5A"/>
    <w:rsid w:val="00C54F5A"/>
    <w:rsid w:val="00C569B4"/>
    <w:rsid w:val="00C56A3E"/>
    <w:rsid w:val="00C62AFA"/>
    <w:rsid w:val="00C67A92"/>
    <w:rsid w:val="00C73F9A"/>
    <w:rsid w:val="00C740AA"/>
    <w:rsid w:val="00C740FA"/>
    <w:rsid w:val="00C7497E"/>
    <w:rsid w:val="00C83B6B"/>
    <w:rsid w:val="00C84560"/>
    <w:rsid w:val="00C84F52"/>
    <w:rsid w:val="00C86679"/>
    <w:rsid w:val="00C866CE"/>
    <w:rsid w:val="00C9462D"/>
    <w:rsid w:val="00CA279D"/>
    <w:rsid w:val="00CA3960"/>
    <w:rsid w:val="00CA489E"/>
    <w:rsid w:val="00CA52A2"/>
    <w:rsid w:val="00CB0279"/>
    <w:rsid w:val="00CB1A55"/>
    <w:rsid w:val="00CB1E3A"/>
    <w:rsid w:val="00CB666B"/>
    <w:rsid w:val="00CC49EF"/>
    <w:rsid w:val="00CC6F93"/>
    <w:rsid w:val="00CC7F1D"/>
    <w:rsid w:val="00CD22D5"/>
    <w:rsid w:val="00CD29C8"/>
    <w:rsid w:val="00CD61BE"/>
    <w:rsid w:val="00CE1BDF"/>
    <w:rsid w:val="00CE237E"/>
    <w:rsid w:val="00CE3308"/>
    <w:rsid w:val="00CE3895"/>
    <w:rsid w:val="00CE484B"/>
    <w:rsid w:val="00CE5F06"/>
    <w:rsid w:val="00CF0DEE"/>
    <w:rsid w:val="00CF6EDE"/>
    <w:rsid w:val="00D006AE"/>
    <w:rsid w:val="00D01CF0"/>
    <w:rsid w:val="00D01EFD"/>
    <w:rsid w:val="00D03D50"/>
    <w:rsid w:val="00D0442A"/>
    <w:rsid w:val="00D07FC3"/>
    <w:rsid w:val="00D1623C"/>
    <w:rsid w:val="00D17683"/>
    <w:rsid w:val="00D23160"/>
    <w:rsid w:val="00D30BD1"/>
    <w:rsid w:val="00D34547"/>
    <w:rsid w:val="00D45694"/>
    <w:rsid w:val="00D47E1F"/>
    <w:rsid w:val="00D603A4"/>
    <w:rsid w:val="00D61388"/>
    <w:rsid w:val="00D61A54"/>
    <w:rsid w:val="00D63CFE"/>
    <w:rsid w:val="00D64DEA"/>
    <w:rsid w:val="00D65EDF"/>
    <w:rsid w:val="00D7168E"/>
    <w:rsid w:val="00D71695"/>
    <w:rsid w:val="00D71E57"/>
    <w:rsid w:val="00D7509B"/>
    <w:rsid w:val="00D75AA2"/>
    <w:rsid w:val="00D80893"/>
    <w:rsid w:val="00D84854"/>
    <w:rsid w:val="00D848B4"/>
    <w:rsid w:val="00D9276A"/>
    <w:rsid w:val="00D92CF1"/>
    <w:rsid w:val="00D92D38"/>
    <w:rsid w:val="00D950F5"/>
    <w:rsid w:val="00D95ED5"/>
    <w:rsid w:val="00DA4752"/>
    <w:rsid w:val="00DA503F"/>
    <w:rsid w:val="00DA61F3"/>
    <w:rsid w:val="00DA6B93"/>
    <w:rsid w:val="00DB0F93"/>
    <w:rsid w:val="00DB1A67"/>
    <w:rsid w:val="00DB2CCD"/>
    <w:rsid w:val="00DB5074"/>
    <w:rsid w:val="00DB5B21"/>
    <w:rsid w:val="00DC28A3"/>
    <w:rsid w:val="00DC532E"/>
    <w:rsid w:val="00DC53AC"/>
    <w:rsid w:val="00DC778A"/>
    <w:rsid w:val="00DC7981"/>
    <w:rsid w:val="00DD1AE2"/>
    <w:rsid w:val="00DD20B3"/>
    <w:rsid w:val="00DD35E0"/>
    <w:rsid w:val="00DD58AF"/>
    <w:rsid w:val="00DD6325"/>
    <w:rsid w:val="00DE1093"/>
    <w:rsid w:val="00DE3FE8"/>
    <w:rsid w:val="00DE4EFA"/>
    <w:rsid w:val="00DE5520"/>
    <w:rsid w:val="00DE563D"/>
    <w:rsid w:val="00DE5E2E"/>
    <w:rsid w:val="00DE772C"/>
    <w:rsid w:val="00DF1D6D"/>
    <w:rsid w:val="00DF312A"/>
    <w:rsid w:val="00DF4A50"/>
    <w:rsid w:val="00E04818"/>
    <w:rsid w:val="00E06442"/>
    <w:rsid w:val="00E06BCF"/>
    <w:rsid w:val="00E1001C"/>
    <w:rsid w:val="00E1154F"/>
    <w:rsid w:val="00E125C6"/>
    <w:rsid w:val="00E16C6B"/>
    <w:rsid w:val="00E23993"/>
    <w:rsid w:val="00E24735"/>
    <w:rsid w:val="00E257D6"/>
    <w:rsid w:val="00E25B8C"/>
    <w:rsid w:val="00E30C42"/>
    <w:rsid w:val="00E3196F"/>
    <w:rsid w:val="00E32D19"/>
    <w:rsid w:val="00E355EF"/>
    <w:rsid w:val="00E40D83"/>
    <w:rsid w:val="00E46EFE"/>
    <w:rsid w:val="00E51D65"/>
    <w:rsid w:val="00E5621E"/>
    <w:rsid w:val="00E5690C"/>
    <w:rsid w:val="00E56C2E"/>
    <w:rsid w:val="00E576C7"/>
    <w:rsid w:val="00E6200B"/>
    <w:rsid w:val="00E63F05"/>
    <w:rsid w:val="00E65C85"/>
    <w:rsid w:val="00E66199"/>
    <w:rsid w:val="00E6795C"/>
    <w:rsid w:val="00E711C7"/>
    <w:rsid w:val="00E72F5A"/>
    <w:rsid w:val="00E755EC"/>
    <w:rsid w:val="00E7624D"/>
    <w:rsid w:val="00E779F4"/>
    <w:rsid w:val="00EA21CD"/>
    <w:rsid w:val="00EA2C42"/>
    <w:rsid w:val="00EA3D42"/>
    <w:rsid w:val="00EA6B1B"/>
    <w:rsid w:val="00EB5BC8"/>
    <w:rsid w:val="00EB606C"/>
    <w:rsid w:val="00EC04F1"/>
    <w:rsid w:val="00EC44EC"/>
    <w:rsid w:val="00EC4E2B"/>
    <w:rsid w:val="00ED0EC2"/>
    <w:rsid w:val="00ED541A"/>
    <w:rsid w:val="00ED7323"/>
    <w:rsid w:val="00ED7A19"/>
    <w:rsid w:val="00EE1A95"/>
    <w:rsid w:val="00EE28F3"/>
    <w:rsid w:val="00EE50D1"/>
    <w:rsid w:val="00EE77FA"/>
    <w:rsid w:val="00EF5110"/>
    <w:rsid w:val="00F00373"/>
    <w:rsid w:val="00F0334E"/>
    <w:rsid w:val="00F04B3C"/>
    <w:rsid w:val="00F0601F"/>
    <w:rsid w:val="00F10411"/>
    <w:rsid w:val="00F13EFC"/>
    <w:rsid w:val="00F15882"/>
    <w:rsid w:val="00F171E0"/>
    <w:rsid w:val="00F20BD3"/>
    <w:rsid w:val="00F2526A"/>
    <w:rsid w:val="00F255CC"/>
    <w:rsid w:val="00F27ADB"/>
    <w:rsid w:val="00F304B3"/>
    <w:rsid w:val="00F31745"/>
    <w:rsid w:val="00F373A5"/>
    <w:rsid w:val="00F47559"/>
    <w:rsid w:val="00F52D10"/>
    <w:rsid w:val="00F56DDF"/>
    <w:rsid w:val="00F610F4"/>
    <w:rsid w:val="00F61176"/>
    <w:rsid w:val="00F64C7B"/>
    <w:rsid w:val="00F65B25"/>
    <w:rsid w:val="00F662AB"/>
    <w:rsid w:val="00F66852"/>
    <w:rsid w:val="00F66FBF"/>
    <w:rsid w:val="00F676DD"/>
    <w:rsid w:val="00F71667"/>
    <w:rsid w:val="00F75A26"/>
    <w:rsid w:val="00F76706"/>
    <w:rsid w:val="00F768C8"/>
    <w:rsid w:val="00F81B8D"/>
    <w:rsid w:val="00F83FAD"/>
    <w:rsid w:val="00F84D40"/>
    <w:rsid w:val="00F85FD0"/>
    <w:rsid w:val="00F8653A"/>
    <w:rsid w:val="00F92349"/>
    <w:rsid w:val="00F952A0"/>
    <w:rsid w:val="00F96ECC"/>
    <w:rsid w:val="00F970BE"/>
    <w:rsid w:val="00F9793F"/>
    <w:rsid w:val="00FA00A4"/>
    <w:rsid w:val="00FA19AC"/>
    <w:rsid w:val="00FA3C7F"/>
    <w:rsid w:val="00FB3C20"/>
    <w:rsid w:val="00FB4402"/>
    <w:rsid w:val="00FB4C13"/>
    <w:rsid w:val="00FB60FE"/>
    <w:rsid w:val="00FB6646"/>
    <w:rsid w:val="00FB6EBE"/>
    <w:rsid w:val="00FB74E2"/>
    <w:rsid w:val="00FC02E8"/>
    <w:rsid w:val="00FC5707"/>
    <w:rsid w:val="00FC71AD"/>
    <w:rsid w:val="00FC71DC"/>
    <w:rsid w:val="00FD1992"/>
    <w:rsid w:val="00FD2ED2"/>
    <w:rsid w:val="00FD5614"/>
    <w:rsid w:val="00FD5E78"/>
    <w:rsid w:val="00FD7717"/>
    <w:rsid w:val="00FE0BE1"/>
    <w:rsid w:val="00FE1DE9"/>
    <w:rsid w:val="00FE36AF"/>
    <w:rsid w:val="00FE39C2"/>
    <w:rsid w:val="00FE3C32"/>
    <w:rsid w:val="00FE64AE"/>
    <w:rsid w:val="00FE6D57"/>
    <w:rsid w:val="00FF6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link w:val="AERbulletlistfirststyleChar"/>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ERbulletlistfirststyleChar">
    <w:name w:val="AER bullet list (first style) Char"/>
    <w:link w:val="AERbulletlistfirststyle"/>
    <w:rsid w:val="00AB583D"/>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link w:val="AERbulletlistfirststyleChar"/>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ERbulletlistfirststyleChar">
    <w:name w:val="AER bullet list (first style) Char"/>
    <w:link w:val="AERbulletlistfirststyle"/>
    <w:rsid w:val="00AB583D"/>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95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88659161">
      <w:bodyDiv w:val="1"/>
      <w:marLeft w:val="0"/>
      <w:marRight w:val="0"/>
      <w:marTop w:val="0"/>
      <w:marBottom w:val="0"/>
      <w:divBdr>
        <w:top w:val="none" w:sz="0" w:space="0" w:color="auto"/>
        <w:left w:val="none" w:sz="0" w:space="0" w:color="auto"/>
        <w:bottom w:val="none" w:sz="0" w:space="0" w:color="auto"/>
        <w:right w:val="none" w:sz="0" w:space="0" w:color="auto"/>
      </w:divBdr>
    </w:div>
    <w:div w:id="1656756564">
      <w:bodyDiv w:val="1"/>
      <w:marLeft w:val="0"/>
      <w:marRight w:val="0"/>
      <w:marTop w:val="0"/>
      <w:marBottom w:val="0"/>
      <w:divBdr>
        <w:top w:val="none" w:sz="0" w:space="0" w:color="auto"/>
        <w:left w:val="none" w:sz="0" w:space="0" w:color="auto"/>
        <w:bottom w:val="none" w:sz="0" w:space="0" w:color="auto"/>
        <w:right w:val="none" w:sz="0" w:space="0" w:color="auto"/>
      </w:divBdr>
      <w:divsChild>
        <w:div w:id="989940830">
          <w:marLeft w:val="0"/>
          <w:marRight w:val="0"/>
          <w:marTop w:val="0"/>
          <w:marBottom w:val="0"/>
          <w:divBdr>
            <w:top w:val="none" w:sz="0" w:space="0" w:color="auto"/>
            <w:left w:val="none" w:sz="0" w:space="0" w:color="auto"/>
            <w:bottom w:val="none" w:sz="0" w:space="0" w:color="auto"/>
            <w:right w:val="none" w:sz="0" w:space="0" w:color="auto"/>
          </w:divBdr>
          <w:divsChild>
            <w:div w:id="1638992698">
              <w:marLeft w:val="0"/>
              <w:marRight w:val="0"/>
              <w:marTop w:val="0"/>
              <w:marBottom w:val="0"/>
              <w:divBdr>
                <w:top w:val="none" w:sz="0" w:space="0" w:color="auto"/>
                <w:left w:val="none" w:sz="0" w:space="0" w:color="auto"/>
                <w:bottom w:val="none" w:sz="0" w:space="0" w:color="auto"/>
                <w:right w:val="none" w:sz="0" w:space="0" w:color="auto"/>
              </w:divBdr>
              <w:divsChild>
                <w:div w:id="793718106">
                  <w:marLeft w:val="0"/>
                  <w:marRight w:val="0"/>
                  <w:marTop w:val="0"/>
                  <w:marBottom w:val="150"/>
                  <w:divBdr>
                    <w:top w:val="single" w:sz="6" w:space="5" w:color="143351"/>
                    <w:left w:val="single" w:sz="6" w:space="11" w:color="143351"/>
                    <w:bottom w:val="single" w:sz="6" w:space="5" w:color="143351"/>
                    <w:right w:val="single" w:sz="6" w:space="11" w:color="143351"/>
                  </w:divBdr>
                  <w:divsChild>
                    <w:div w:id="21208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Consultations/Gas-Consultations/General/IIR-IN006_14-Harmonisation-of-NSW_ACT-business-to-business-processes" TargetMode="External"/><Relationship Id="rId1" Type="http://schemas.openxmlformats.org/officeDocument/2006/relationships/hyperlink" Target="http://www.aemc.gov.au/getattachment/95832d23-1789-4902-b717-4a66ec3d5536/National-Gas-Rules-Version-28.asp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874121-998C-4057-8C84-1815400E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39</Pages>
  <Words>11426</Words>
  <Characters>65131</Characters>
  <Application>Microsoft Office Word</Application>
  <DocSecurity>0</DocSecurity>
  <Lines>542</Lines>
  <Paragraphs>152</Paragraphs>
  <ScaleCrop>false</ScaleCrop>
  <Company/>
  <LinksUpToDate>false</LinksUpToDate>
  <CharactersWithSpaces>76405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2015-11-23T01:55:00Z</dcterms:created>
  <dcterms:modified xsi:type="dcterms:W3CDTF">2015-11-23T01:56:00Z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8430174</vt:lpwstr>
  </property>
</Properties>
</file>