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8C54B4E" wp14:editId="33E6B758">
                <wp:simplePos x="0" y="0"/>
                <wp:positionH relativeFrom="column">
                  <wp:posOffset>-1164590</wp:posOffset>
                </wp:positionH>
                <wp:positionV relativeFrom="paragraph">
                  <wp:posOffset>-923925</wp:posOffset>
                </wp:positionV>
                <wp:extent cx="7658100" cy="1072515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0821"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1C2AF6">
            <w:t>DRAFT</w:t>
          </w:r>
          <w:r w:rsidR="00DA4752">
            <w:t xml:space="preserve"> DECISION</w:t>
          </w:r>
        </w:p>
        <w:p w:rsidR="001C2AF6" w:rsidRDefault="00A06085" w:rsidP="008F07A3">
          <w:pPr>
            <w:pStyle w:val="ReportSubtitle"/>
          </w:pPr>
          <w:r>
            <w:t xml:space="preserve">ActewAGL </w:t>
          </w:r>
          <w:r w:rsidR="001C2AF6">
            <w:t>D</w:t>
          </w:r>
          <w:r w:rsidR="0070011E">
            <w:t>istribution</w:t>
          </w:r>
          <w:r w:rsidR="00415F31">
            <w:t xml:space="preserve"> </w:t>
          </w:r>
        </w:p>
        <w:p w:rsidR="00415F31" w:rsidRDefault="001C2AF6"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97615">
            <w:t>8</w:t>
          </w:r>
          <w:r w:rsidR="00DA4752">
            <w:t xml:space="preserve"> </w:t>
          </w:r>
          <w:r w:rsidR="00415F31">
            <w:rPr>
              <w:rFonts w:cs="Arial"/>
            </w:rPr>
            <w:t>–</w:t>
          </w:r>
          <w:r w:rsidR="00DA4752">
            <w:t xml:space="preserve"> </w:t>
          </w:r>
          <w:r w:rsidR="00A97615">
            <w:t>Corporate income tax</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43205"/>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1C2AF6">
        <w:t>draft</w:t>
      </w:r>
      <w:r w:rsidR="00415F31">
        <w:t xml:space="preserve"> decision on </w:t>
      </w:r>
      <w:r w:rsidR="005B140A">
        <w:t>ActewAGL</w:t>
      </w:r>
      <w:r w:rsidR="0070019A">
        <w:t xml:space="preserve"> Distribution</w:t>
      </w:r>
      <w:r w:rsidR="005C0A7F">
        <w:t>'s</w:t>
      </w:r>
      <w:r w:rsidR="00415F31">
        <w:t xml:space="preserve"> </w:t>
      </w:r>
      <w:r w:rsidR="001C2AF6">
        <w:t xml:space="preserve">access arrangement for </w:t>
      </w:r>
      <w:r w:rsidR="00415F31">
        <w:t>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1C2AF6">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1C2AF6">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4320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D5E16"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3205" w:history="1">
            <w:r w:rsidR="008D5E16" w:rsidRPr="00B11995">
              <w:rPr>
                <w:rStyle w:val="Hyperlink"/>
              </w:rPr>
              <w:t>Note</w:t>
            </w:r>
            <w:r w:rsidR="008D5E16">
              <w:rPr>
                <w:webHidden/>
              </w:rPr>
              <w:tab/>
            </w:r>
            <w:r w:rsidR="008D5E16">
              <w:rPr>
                <w:webHidden/>
              </w:rPr>
              <w:fldChar w:fldCharType="begin"/>
            </w:r>
            <w:r w:rsidR="008D5E16">
              <w:rPr>
                <w:webHidden/>
              </w:rPr>
              <w:instrText xml:space="preserve"> PAGEREF _Toc436043205 \h </w:instrText>
            </w:r>
            <w:r w:rsidR="008D5E16">
              <w:rPr>
                <w:webHidden/>
              </w:rPr>
            </w:r>
            <w:r w:rsidR="008D5E16">
              <w:rPr>
                <w:webHidden/>
              </w:rPr>
              <w:fldChar w:fldCharType="separate"/>
            </w:r>
            <w:r w:rsidR="008D5E16">
              <w:rPr>
                <w:webHidden/>
              </w:rPr>
              <w:t>8-2</w:t>
            </w:r>
            <w:r w:rsidR="008D5E16">
              <w:rPr>
                <w:webHidden/>
              </w:rPr>
              <w:fldChar w:fldCharType="end"/>
            </w:r>
          </w:hyperlink>
        </w:p>
        <w:p w:rsidR="008D5E16" w:rsidRDefault="008D5E16">
          <w:pPr>
            <w:pStyle w:val="TOC1"/>
            <w:rPr>
              <w:rFonts w:asciiTheme="minorHAnsi" w:eastAsiaTheme="minorEastAsia" w:hAnsiTheme="minorHAnsi"/>
              <w:b w:val="0"/>
              <w:color w:val="auto"/>
              <w:sz w:val="22"/>
              <w:lang w:val="en-AU" w:eastAsia="en-AU"/>
            </w:rPr>
          </w:pPr>
          <w:hyperlink w:anchor="_Toc436043206" w:history="1">
            <w:r w:rsidRPr="00B11995">
              <w:rPr>
                <w:rStyle w:val="Hyperlink"/>
              </w:rPr>
              <w:t>Contents</w:t>
            </w:r>
            <w:r>
              <w:rPr>
                <w:webHidden/>
              </w:rPr>
              <w:tab/>
            </w:r>
            <w:r>
              <w:rPr>
                <w:webHidden/>
              </w:rPr>
              <w:fldChar w:fldCharType="begin"/>
            </w:r>
            <w:r>
              <w:rPr>
                <w:webHidden/>
              </w:rPr>
              <w:instrText xml:space="preserve"> PAGEREF _Toc436043206 \h </w:instrText>
            </w:r>
            <w:r>
              <w:rPr>
                <w:webHidden/>
              </w:rPr>
            </w:r>
            <w:r>
              <w:rPr>
                <w:webHidden/>
              </w:rPr>
              <w:fldChar w:fldCharType="separate"/>
            </w:r>
            <w:r>
              <w:rPr>
                <w:webHidden/>
              </w:rPr>
              <w:t>8-3</w:t>
            </w:r>
            <w:r>
              <w:rPr>
                <w:webHidden/>
              </w:rPr>
              <w:fldChar w:fldCharType="end"/>
            </w:r>
          </w:hyperlink>
        </w:p>
        <w:p w:rsidR="008D5E16" w:rsidRDefault="008D5E16">
          <w:pPr>
            <w:pStyle w:val="TOC1"/>
            <w:rPr>
              <w:rFonts w:asciiTheme="minorHAnsi" w:eastAsiaTheme="minorEastAsia" w:hAnsiTheme="minorHAnsi"/>
              <w:b w:val="0"/>
              <w:color w:val="auto"/>
              <w:sz w:val="22"/>
              <w:lang w:val="en-AU" w:eastAsia="en-AU"/>
            </w:rPr>
          </w:pPr>
          <w:hyperlink w:anchor="_Toc436043207" w:history="1">
            <w:r w:rsidRPr="00B11995">
              <w:rPr>
                <w:rStyle w:val="Hyperlink"/>
              </w:rPr>
              <w:t>Shortened forms</w:t>
            </w:r>
            <w:r>
              <w:rPr>
                <w:webHidden/>
              </w:rPr>
              <w:tab/>
            </w:r>
            <w:r>
              <w:rPr>
                <w:webHidden/>
              </w:rPr>
              <w:fldChar w:fldCharType="begin"/>
            </w:r>
            <w:r>
              <w:rPr>
                <w:webHidden/>
              </w:rPr>
              <w:instrText xml:space="preserve"> PAGEREF _Toc436043207 \h </w:instrText>
            </w:r>
            <w:r>
              <w:rPr>
                <w:webHidden/>
              </w:rPr>
            </w:r>
            <w:r>
              <w:rPr>
                <w:webHidden/>
              </w:rPr>
              <w:fldChar w:fldCharType="separate"/>
            </w:r>
            <w:r>
              <w:rPr>
                <w:webHidden/>
              </w:rPr>
              <w:t>8-4</w:t>
            </w:r>
            <w:r>
              <w:rPr>
                <w:webHidden/>
              </w:rPr>
              <w:fldChar w:fldCharType="end"/>
            </w:r>
          </w:hyperlink>
        </w:p>
        <w:p w:rsidR="008D5E16" w:rsidRDefault="008D5E16">
          <w:pPr>
            <w:pStyle w:val="TOC1"/>
            <w:rPr>
              <w:rFonts w:asciiTheme="minorHAnsi" w:eastAsiaTheme="minorEastAsia" w:hAnsiTheme="minorHAnsi"/>
              <w:b w:val="0"/>
              <w:color w:val="auto"/>
              <w:sz w:val="22"/>
              <w:lang w:val="en-AU" w:eastAsia="en-AU"/>
            </w:rPr>
          </w:pPr>
          <w:hyperlink w:anchor="_Toc436043208" w:history="1">
            <w:r w:rsidRPr="00B11995">
              <w:rPr>
                <w:rStyle w:val="Hyperlink"/>
              </w:rPr>
              <w:t>8</w:t>
            </w:r>
            <w:r>
              <w:rPr>
                <w:rFonts w:asciiTheme="minorHAnsi" w:eastAsiaTheme="minorEastAsia" w:hAnsiTheme="minorHAnsi"/>
                <w:b w:val="0"/>
                <w:color w:val="auto"/>
                <w:sz w:val="22"/>
                <w:lang w:val="en-AU" w:eastAsia="en-AU"/>
              </w:rPr>
              <w:tab/>
            </w:r>
            <w:r w:rsidRPr="00B11995">
              <w:rPr>
                <w:rStyle w:val="Hyperlink"/>
              </w:rPr>
              <w:t>Corporate income tax</w:t>
            </w:r>
            <w:r>
              <w:rPr>
                <w:webHidden/>
              </w:rPr>
              <w:tab/>
            </w:r>
            <w:r>
              <w:rPr>
                <w:webHidden/>
              </w:rPr>
              <w:fldChar w:fldCharType="begin"/>
            </w:r>
            <w:r>
              <w:rPr>
                <w:webHidden/>
              </w:rPr>
              <w:instrText xml:space="preserve"> PAGEREF _Toc436043208 \h </w:instrText>
            </w:r>
            <w:r>
              <w:rPr>
                <w:webHidden/>
              </w:rPr>
            </w:r>
            <w:r>
              <w:rPr>
                <w:webHidden/>
              </w:rPr>
              <w:fldChar w:fldCharType="separate"/>
            </w:r>
            <w:r>
              <w:rPr>
                <w:webHidden/>
              </w:rPr>
              <w:t>8-6</w:t>
            </w:r>
            <w:r>
              <w:rPr>
                <w:webHidden/>
              </w:rPr>
              <w:fldChar w:fldCharType="end"/>
            </w:r>
          </w:hyperlink>
        </w:p>
        <w:p w:rsidR="008D5E16" w:rsidRDefault="008D5E16">
          <w:pPr>
            <w:pStyle w:val="TOC2"/>
            <w:rPr>
              <w:rFonts w:asciiTheme="minorHAnsi" w:eastAsiaTheme="minorEastAsia" w:hAnsiTheme="minorHAnsi"/>
              <w:b w:val="0"/>
              <w:color w:val="auto"/>
              <w:sz w:val="22"/>
              <w:lang w:eastAsia="en-AU"/>
            </w:rPr>
          </w:pPr>
          <w:hyperlink w:anchor="_Toc436043209" w:history="1">
            <w:r w:rsidRPr="00B11995">
              <w:rPr>
                <w:rStyle w:val="Hyperlink"/>
              </w:rPr>
              <w:t>8.1</w:t>
            </w:r>
            <w:r>
              <w:rPr>
                <w:rFonts w:asciiTheme="minorHAnsi" w:eastAsiaTheme="minorEastAsia" w:hAnsiTheme="minorHAnsi"/>
                <w:b w:val="0"/>
                <w:color w:val="auto"/>
                <w:sz w:val="22"/>
                <w:lang w:eastAsia="en-AU"/>
              </w:rPr>
              <w:tab/>
            </w:r>
            <w:r w:rsidRPr="00B11995">
              <w:rPr>
                <w:rStyle w:val="Hyperlink"/>
              </w:rPr>
              <w:t>Draft decision</w:t>
            </w:r>
            <w:r>
              <w:rPr>
                <w:webHidden/>
              </w:rPr>
              <w:tab/>
            </w:r>
            <w:r>
              <w:rPr>
                <w:webHidden/>
              </w:rPr>
              <w:fldChar w:fldCharType="begin"/>
            </w:r>
            <w:r>
              <w:rPr>
                <w:webHidden/>
              </w:rPr>
              <w:instrText xml:space="preserve"> PAGEREF _Toc436043209 \h </w:instrText>
            </w:r>
            <w:r>
              <w:rPr>
                <w:webHidden/>
              </w:rPr>
            </w:r>
            <w:r>
              <w:rPr>
                <w:webHidden/>
              </w:rPr>
              <w:fldChar w:fldCharType="separate"/>
            </w:r>
            <w:r>
              <w:rPr>
                <w:webHidden/>
              </w:rPr>
              <w:t>8-6</w:t>
            </w:r>
            <w:r>
              <w:rPr>
                <w:webHidden/>
              </w:rPr>
              <w:fldChar w:fldCharType="end"/>
            </w:r>
          </w:hyperlink>
        </w:p>
        <w:p w:rsidR="008D5E16" w:rsidRDefault="008D5E16">
          <w:pPr>
            <w:pStyle w:val="TOC2"/>
            <w:rPr>
              <w:rFonts w:asciiTheme="minorHAnsi" w:eastAsiaTheme="minorEastAsia" w:hAnsiTheme="minorHAnsi"/>
              <w:b w:val="0"/>
              <w:color w:val="auto"/>
              <w:sz w:val="22"/>
              <w:lang w:eastAsia="en-AU"/>
            </w:rPr>
          </w:pPr>
          <w:hyperlink w:anchor="_Toc436043210" w:history="1">
            <w:r w:rsidRPr="00B11995">
              <w:rPr>
                <w:rStyle w:val="Hyperlink"/>
              </w:rPr>
              <w:t>8.2</w:t>
            </w:r>
            <w:r>
              <w:rPr>
                <w:rFonts w:asciiTheme="minorHAnsi" w:eastAsiaTheme="minorEastAsia" w:hAnsiTheme="minorHAnsi"/>
                <w:b w:val="0"/>
                <w:color w:val="auto"/>
                <w:sz w:val="22"/>
                <w:lang w:eastAsia="en-AU"/>
              </w:rPr>
              <w:tab/>
            </w:r>
            <w:r w:rsidRPr="00B11995">
              <w:rPr>
                <w:rStyle w:val="Hyperlink"/>
              </w:rPr>
              <w:t>ActewAGL’s proposal</w:t>
            </w:r>
            <w:r>
              <w:rPr>
                <w:webHidden/>
              </w:rPr>
              <w:tab/>
            </w:r>
            <w:r>
              <w:rPr>
                <w:webHidden/>
              </w:rPr>
              <w:fldChar w:fldCharType="begin"/>
            </w:r>
            <w:r>
              <w:rPr>
                <w:webHidden/>
              </w:rPr>
              <w:instrText xml:space="preserve"> PAGEREF _Toc436043210 \h </w:instrText>
            </w:r>
            <w:r>
              <w:rPr>
                <w:webHidden/>
              </w:rPr>
            </w:r>
            <w:r>
              <w:rPr>
                <w:webHidden/>
              </w:rPr>
              <w:fldChar w:fldCharType="separate"/>
            </w:r>
            <w:r>
              <w:rPr>
                <w:webHidden/>
              </w:rPr>
              <w:t>8-7</w:t>
            </w:r>
            <w:r>
              <w:rPr>
                <w:webHidden/>
              </w:rPr>
              <w:fldChar w:fldCharType="end"/>
            </w:r>
          </w:hyperlink>
        </w:p>
        <w:p w:rsidR="008D5E16" w:rsidRDefault="008D5E16">
          <w:pPr>
            <w:pStyle w:val="TOC2"/>
            <w:rPr>
              <w:rFonts w:asciiTheme="minorHAnsi" w:eastAsiaTheme="minorEastAsia" w:hAnsiTheme="minorHAnsi"/>
              <w:b w:val="0"/>
              <w:color w:val="auto"/>
              <w:sz w:val="22"/>
              <w:lang w:eastAsia="en-AU"/>
            </w:rPr>
          </w:pPr>
          <w:hyperlink w:anchor="_Toc436043211" w:history="1">
            <w:r w:rsidRPr="00B11995">
              <w:rPr>
                <w:rStyle w:val="Hyperlink"/>
              </w:rPr>
              <w:t>8.3</w:t>
            </w:r>
            <w:r>
              <w:rPr>
                <w:rFonts w:asciiTheme="minorHAnsi" w:eastAsiaTheme="minorEastAsia" w:hAnsiTheme="minorHAnsi"/>
                <w:b w:val="0"/>
                <w:color w:val="auto"/>
                <w:sz w:val="22"/>
                <w:lang w:eastAsia="en-AU"/>
              </w:rPr>
              <w:tab/>
            </w:r>
            <w:r w:rsidRPr="00B11995">
              <w:rPr>
                <w:rStyle w:val="Hyperlink"/>
              </w:rPr>
              <w:t>AER’s assessment approach</w:t>
            </w:r>
            <w:r>
              <w:rPr>
                <w:webHidden/>
              </w:rPr>
              <w:tab/>
            </w:r>
            <w:r>
              <w:rPr>
                <w:webHidden/>
              </w:rPr>
              <w:fldChar w:fldCharType="begin"/>
            </w:r>
            <w:r>
              <w:rPr>
                <w:webHidden/>
              </w:rPr>
              <w:instrText xml:space="preserve"> PAGEREF _Toc436043211 \h </w:instrText>
            </w:r>
            <w:r>
              <w:rPr>
                <w:webHidden/>
              </w:rPr>
            </w:r>
            <w:r>
              <w:rPr>
                <w:webHidden/>
              </w:rPr>
              <w:fldChar w:fldCharType="separate"/>
            </w:r>
            <w:r>
              <w:rPr>
                <w:webHidden/>
              </w:rPr>
              <w:t>8-8</w:t>
            </w:r>
            <w:r>
              <w:rPr>
                <w:webHidden/>
              </w:rPr>
              <w:fldChar w:fldCharType="end"/>
            </w:r>
          </w:hyperlink>
        </w:p>
        <w:p w:rsidR="008D5E16" w:rsidRDefault="008D5E16">
          <w:pPr>
            <w:pStyle w:val="TOC3"/>
            <w:rPr>
              <w:rFonts w:asciiTheme="minorHAnsi" w:eastAsiaTheme="minorEastAsia" w:hAnsiTheme="minorHAnsi"/>
              <w:lang w:eastAsia="en-AU"/>
            </w:rPr>
          </w:pPr>
          <w:hyperlink w:anchor="_Toc436043212" w:history="1">
            <w:r w:rsidRPr="00B11995">
              <w:rPr>
                <w:rStyle w:val="Hyperlink"/>
              </w:rPr>
              <w:t>8.3.1</w:t>
            </w:r>
            <w:r>
              <w:rPr>
                <w:rFonts w:asciiTheme="minorHAnsi" w:eastAsiaTheme="minorEastAsia" w:hAnsiTheme="minorHAnsi"/>
                <w:lang w:eastAsia="en-AU"/>
              </w:rPr>
              <w:tab/>
            </w:r>
            <w:r w:rsidRPr="00B11995">
              <w:rPr>
                <w:rStyle w:val="Hyperlink"/>
              </w:rPr>
              <w:t>Interrelationships</w:t>
            </w:r>
            <w:r>
              <w:rPr>
                <w:webHidden/>
              </w:rPr>
              <w:tab/>
            </w:r>
            <w:r>
              <w:rPr>
                <w:webHidden/>
              </w:rPr>
              <w:fldChar w:fldCharType="begin"/>
            </w:r>
            <w:r>
              <w:rPr>
                <w:webHidden/>
              </w:rPr>
              <w:instrText xml:space="preserve"> PAGEREF _Toc436043212 \h </w:instrText>
            </w:r>
            <w:r>
              <w:rPr>
                <w:webHidden/>
              </w:rPr>
            </w:r>
            <w:r>
              <w:rPr>
                <w:webHidden/>
              </w:rPr>
              <w:fldChar w:fldCharType="separate"/>
            </w:r>
            <w:r>
              <w:rPr>
                <w:webHidden/>
              </w:rPr>
              <w:t>8-10</w:t>
            </w:r>
            <w:r>
              <w:rPr>
                <w:webHidden/>
              </w:rPr>
              <w:fldChar w:fldCharType="end"/>
            </w:r>
          </w:hyperlink>
        </w:p>
        <w:p w:rsidR="008D5E16" w:rsidRDefault="008D5E16">
          <w:pPr>
            <w:pStyle w:val="TOC2"/>
            <w:rPr>
              <w:rFonts w:asciiTheme="minorHAnsi" w:eastAsiaTheme="minorEastAsia" w:hAnsiTheme="minorHAnsi"/>
              <w:b w:val="0"/>
              <w:color w:val="auto"/>
              <w:sz w:val="22"/>
              <w:lang w:eastAsia="en-AU"/>
            </w:rPr>
          </w:pPr>
          <w:hyperlink w:anchor="_Toc436043213" w:history="1">
            <w:r w:rsidRPr="00B11995">
              <w:rPr>
                <w:rStyle w:val="Hyperlink"/>
              </w:rPr>
              <w:t>8.4</w:t>
            </w:r>
            <w:r>
              <w:rPr>
                <w:rFonts w:asciiTheme="minorHAnsi" w:eastAsiaTheme="minorEastAsia" w:hAnsiTheme="minorHAnsi"/>
                <w:b w:val="0"/>
                <w:color w:val="auto"/>
                <w:sz w:val="22"/>
                <w:lang w:eastAsia="en-AU"/>
              </w:rPr>
              <w:tab/>
            </w:r>
            <w:r w:rsidRPr="00B11995">
              <w:rPr>
                <w:rStyle w:val="Hyperlink"/>
              </w:rPr>
              <w:t>Reasons for draft decision</w:t>
            </w:r>
            <w:r>
              <w:rPr>
                <w:webHidden/>
              </w:rPr>
              <w:tab/>
            </w:r>
            <w:r>
              <w:rPr>
                <w:webHidden/>
              </w:rPr>
              <w:fldChar w:fldCharType="begin"/>
            </w:r>
            <w:r>
              <w:rPr>
                <w:webHidden/>
              </w:rPr>
              <w:instrText xml:space="preserve"> PAGEREF _Toc436043213 \h </w:instrText>
            </w:r>
            <w:r>
              <w:rPr>
                <w:webHidden/>
              </w:rPr>
            </w:r>
            <w:r>
              <w:rPr>
                <w:webHidden/>
              </w:rPr>
              <w:fldChar w:fldCharType="separate"/>
            </w:r>
            <w:r>
              <w:rPr>
                <w:webHidden/>
              </w:rPr>
              <w:t>8-11</w:t>
            </w:r>
            <w:r>
              <w:rPr>
                <w:webHidden/>
              </w:rPr>
              <w:fldChar w:fldCharType="end"/>
            </w:r>
          </w:hyperlink>
        </w:p>
        <w:p w:rsidR="008D5E16" w:rsidRDefault="008D5E16">
          <w:pPr>
            <w:pStyle w:val="TOC3"/>
            <w:rPr>
              <w:rFonts w:asciiTheme="minorHAnsi" w:eastAsiaTheme="minorEastAsia" w:hAnsiTheme="minorHAnsi"/>
              <w:lang w:eastAsia="en-AU"/>
            </w:rPr>
          </w:pPr>
          <w:hyperlink w:anchor="_Toc436043214" w:history="1">
            <w:r w:rsidRPr="00B11995">
              <w:rPr>
                <w:rStyle w:val="Hyperlink"/>
              </w:rPr>
              <w:t>8.4.1</w:t>
            </w:r>
            <w:r>
              <w:rPr>
                <w:rFonts w:asciiTheme="minorHAnsi" w:eastAsiaTheme="minorEastAsia" w:hAnsiTheme="minorHAnsi"/>
                <w:lang w:eastAsia="en-AU"/>
              </w:rPr>
              <w:tab/>
            </w:r>
            <w:r w:rsidRPr="00B11995">
              <w:rPr>
                <w:rStyle w:val="Hyperlink"/>
              </w:rPr>
              <w:t>Opening tax asset base as at 1 July 2015</w:t>
            </w:r>
            <w:r>
              <w:rPr>
                <w:webHidden/>
              </w:rPr>
              <w:tab/>
            </w:r>
            <w:r>
              <w:rPr>
                <w:webHidden/>
              </w:rPr>
              <w:fldChar w:fldCharType="begin"/>
            </w:r>
            <w:r>
              <w:rPr>
                <w:webHidden/>
              </w:rPr>
              <w:instrText xml:space="preserve"> PAGEREF _Toc436043214 \h </w:instrText>
            </w:r>
            <w:r>
              <w:rPr>
                <w:webHidden/>
              </w:rPr>
            </w:r>
            <w:r>
              <w:rPr>
                <w:webHidden/>
              </w:rPr>
              <w:fldChar w:fldCharType="separate"/>
            </w:r>
            <w:r>
              <w:rPr>
                <w:webHidden/>
              </w:rPr>
              <w:t>8-11</w:t>
            </w:r>
            <w:r>
              <w:rPr>
                <w:webHidden/>
              </w:rPr>
              <w:fldChar w:fldCharType="end"/>
            </w:r>
          </w:hyperlink>
        </w:p>
        <w:p w:rsidR="008D5E16" w:rsidRDefault="008D5E16">
          <w:pPr>
            <w:pStyle w:val="TOC3"/>
            <w:rPr>
              <w:rFonts w:asciiTheme="minorHAnsi" w:eastAsiaTheme="minorEastAsia" w:hAnsiTheme="minorHAnsi"/>
              <w:lang w:eastAsia="en-AU"/>
            </w:rPr>
          </w:pPr>
          <w:hyperlink w:anchor="_Toc436043215" w:history="1">
            <w:r w:rsidRPr="00B11995">
              <w:rPr>
                <w:rStyle w:val="Hyperlink"/>
              </w:rPr>
              <w:t>8.4.2</w:t>
            </w:r>
            <w:r>
              <w:rPr>
                <w:rFonts w:asciiTheme="minorHAnsi" w:eastAsiaTheme="minorEastAsia" w:hAnsiTheme="minorHAnsi"/>
                <w:lang w:eastAsia="en-AU"/>
              </w:rPr>
              <w:tab/>
            </w:r>
            <w:r w:rsidRPr="00B11995">
              <w:rPr>
                <w:rStyle w:val="Hyperlink"/>
              </w:rPr>
              <w:t>Tax asset lives</w:t>
            </w:r>
            <w:r>
              <w:rPr>
                <w:webHidden/>
              </w:rPr>
              <w:tab/>
            </w:r>
            <w:r>
              <w:rPr>
                <w:webHidden/>
              </w:rPr>
              <w:fldChar w:fldCharType="begin"/>
            </w:r>
            <w:r>
              <w:rPr>
                <w:webHidden/>
              </w:rPr>
              <w:instrText xml:space="preserve"> PAGEREF _Toc436043215 \h </w:instrText>
            </w:r>
            <w:r>
              <w:rPr>
                <w:webHidden/>
              </w:rPr>
            </w:r>
            <w:r>
              <w:rPr>
                <w:webHidden/>
              </w:rPr>
              <w:fldChar w:fldCharType="separate"/>
            </w:r>
            <w:r>
              <w:rPr>
                <w:webHidden/>
              </w:rPr>
              <w:t>8-12</w:t>
            </w:r>
            <w:r>
              <w:rPr>
                <w:webHidden/>
              </w:rPr>
              <w:fldChar w:fldCharType="end"/>
            </w:r>
          </w:hyperlink>
        </w:p>
        <w:p w:rsidR="008D5E16" w:rsidRDefault="008D5E16">
          <w:pPr>
            <w:pStyle w:val="TOC2"/>
            <w:rPr>
              <w:rFonts w:asciiTheme="minorHAnsi" w:eastAsiaTheme="minorEastAsia" w:hAnsiTheme="minorHAnsi"/>
              <w:b w:val="0"/>
              <w:color w:val="auto"/>
              <w:sz w:val="22"/>
              <w:lang w:eastAsia="en-AU"/>
            </w:rPr>
          </w:pPr>
          <w:hyperlink w:anchor="_Toc436043216" w:history="1">
            <w:r w:rsidRPr="00B11995">
              <w:rPr>
                <w:rStyle w:val="Hyperlink"/>
              </w:rPr>
              <w:t>8.5</w:t>
            </w:r>
            <w:r>
              <w:rPr>
                <w:rFonts w:asciiTheme="minorHAnsi" w:eastAsiaTheme="minorEastAsia" w:hAnsiTheme="minorHAnsi"/>
                <w:b w:val="0"/>
                <w:color w:val="auto"/>
                <w:sz w:val="22"/>
                <w:lang w:eastAsia="en-AU"/>
              </w:rPr>
              <w:tab/>
            </w:r>
            <w:r w:rsidRPr="00B11995">
              <w:rPr>
                <w:rStyle w:val="Hyperlink"/>
              </w:rPr>
              <w:t>Revisions</w:t>
            </w:r>
            <w:r>
              <w:rPr>
                <w:webHidden/>
              </w:rPr>
              <w:tab/>
            </w:r>
            <w:r>
              <w:rPr>
                <w:webHidden/>
              </w:rPr>
              <w:fldChar w:fldCharType="begin"/>
            </w:r>
            <w:r>
              <w:rPr>
                <w:webHidden/>
              </w:rPr>
              <w:instrText xml:space="preserve"> PAGEREF _Toc436043216 \h </w:instrText>
            </w:r>
            <w:r>
              <w:rPr>
                <w:webHidden/>
              </w:rPr>
            </w:r>
            <w:r>
              <w:rPr>
                <w:webHidden/>
              </w:rPr>
              <w:fldChar w:fldCharType="separate"/>
            </w:r>
            <w:r>
              <w:rPr>
                <w:webHidden/>
              </w:rPr>
              <w:t>8-14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D77D66" w:rsidRDefault="00DE563D" w:rsidP="00DE772C">
      <w:pPr>
        <w:pStyle w:val="UnnumberedHeading"/>
        <w:numPr>
          <w:ilvl w:val="0"/>
          <w:numId w:val="23"/>
        </w:numPr>
      </w:pPr>
      <w:bookmarkStart w:id="8" w:name="_Toc404700925"/>
      <w:bookmarkStart w:id="9" w:name="_Toc436043207"/>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AD3977"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Shortened form</w:t>
            </w:r>
          </w:p>
        </w:tc>
        <w:tc>
          <w:tcPr>
            <w:tcW w:w="5041" w:type="dxa"/>
          </w:tcPr>
          <w:p w:rsidR="00AD3977" w:rsidRDefault="00AD3977" w:rsidP="00AD3977">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AA</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Access Arrangement</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AAI</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AER</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ASA</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Asset Services Agreement</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ATO</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Australian Tax Office</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capex</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CAPM</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CCP</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CESS</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CMF</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construction management fee</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CPI</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DAMS</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DRP</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EBSS</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EIL</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Energy Industry Levy</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ERP</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Expenditure Guideline</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gamma</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Value of Imputation Credits</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GSL</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Guaranteed Service Level</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GTA</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ICRC</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MRP</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NECF</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NERL</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National Energy Retail Law</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NERR</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NGL</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NGO</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NGR</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NPV</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net present value</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opex</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lastRenderedPageBreak/>
              <w:t>PFP</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partial factor productivity</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PPI</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PTRM</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RBA</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RFM</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RIN</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RoLR</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retailer of last resort</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RSA</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Reference Service Agreement</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RPP</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SLCAPM</w:t>
            </w:r>
          </w:p>
        </w:tc>
        <w:tc>
          <w:tcPr>
            <w:tcW w:w="5041" w:type="dxa"/>
          </w:tcPr>
          <w:p w:rsidR="00AD3977" w:rsidRDefault="00AD3977" w:rsidP="00AD3977">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STTM</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Short Term Trading Market</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TAB</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Tax asset base</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UAFG</w:t>
            </w:r>
          </w:p>
        </w:tc>
        <w:tc>
          <w:tcPr>
            <w:tcW w:w="5041" w:type="dxa"/>
          </w:tcPr>
          <w:p w:rsidR="00AD3977" w:rsidRDefault="00AD3977" w:rsidP="000C0557">
            <w:pPr>
              <w:cnfStyle w:val="000000000000" w:firstRow="0" w:lastRow="0" w:firstColumn="0" w:lastColumn="0" w:oddVBand="0" w:evenVBand="0" w:oddHBand="0" w:evenHBand="0" w:firstRowFirstColumn="0" w:firstRowLastColumn="0" w:lastRowFirstColumn="0" w:lastRowLastColumn="0"/>
            </w:pPr>
            <w:r>
              <w:t>Unaccounted for gas</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UNFT</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AD3977" w:rsidTr="000C0557">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WACC</w:t>
            </w:r>
          </w:p>
        </w:tc>
        <w:tc>
          <w:tcPr>
            <w:tcW w:w="5041" w:type="dxa"/>
          </w:tcPr>
          <w:p w:rsidR="00AD3977" w:rsidRDefault="00AD3977" w:rsidP="00AD3977">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AD397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D3977" w:rsidRDefault="00AD3977" w:rsidP="00AD3977">
            <w:pPr>
              <w:numPr>
                <w:ilvl w:val="0"/>
                <w:numId w:val="24"/>
              </w:numPr>
            </w:pPr>
            <w:r>
              <w:t>WPI</w:t>
            </w:r>
          </w:p>
        </w:tc>
        <w:tc>
          <w:tcPr>
            <w:tcW w:w="5041" w:type="dxa"/>
          </w:tcPr>
          <w:p w:rsidR="00AD3977" w:rsidRDefault="00AD3977" w:rsidP="000C0557">
            <w:pPr>
              <w:cnfStyle w:val="000000010000" w:firstRow="0" w:lastRow="0" w:firstColumn="0" w:lastColumn="0" w:oddVBand="0" w:evenVBand="0" w:oddHBand="0" w:evenHBand="1" w:firstRowFirstColumn="0" w:firstRowLastColumn="0" w:lastRowFirstColumn="0" w:lastRowLastColumn="0"/>
            </w:pPr>
            <w:r>
              <w:t>Wage Price Index</w:t>
            </w:r>
          </w:p>
        </w:tc>
      </w:tr>
    </w:tbl>
    <w:p w:rsidR="00AD3977" w:rsidRPr="00AD3977" w:rsidRDefault="00AD3977" w:rsidP="00AD3977"/>
    <w:p w:rsidR="00DE563D" w:rsidRDefault="00A97615" w:rsidP="00A97615">
      <w:pPr>
        <w:pStyle w:val="Heading1"/>
      </w:pPr>
      <w:bookmarkStart w:id="10" w:name="_Toc436043208"/>
      <w:r>
        <w:lastRenderedPageBreak/>
        <w:t>Corporate income tax</w:t>
      </w:r>
      <w:bookmarkEnd w:id="10"/>
    </w:p>
    <w:p w:rsidR="00817EB0" w:rsidRPr="00FD50DB" w:rsidRDefault="00817EB0" w:rsidP="00817EB0">
      <w:r w:rsidRPr="00FD50DB">
        <w:t xml:space="preserve">When determining the total revenue for </w:t>
      </w:r>
      <w:r>
        <w:t>ActewAGL</w:t>
      </w:r>
      <w:r w:rsidRPr="00FD50DB">
        <w:t xml:space="preserve">, we must estimate </w:t>
      </w:r>
      <w:r>
        <w:t>ActewAGL</w:t>
      </w:r>
      <w:r w:rsidRPr="00FD50DB">
        <w:t>’s cost of corporate income tax.</w:t>
      </w:r>
      <w:r w:rsidRPr="00FD50DB">
        <w:rPr>
          <w:rStyle w:val="FootnoteReference"/>
        </w:rPr>
        <w:footnoteReference w:id="1"/>
      </w:r>
      <w:r w:rsidRPr="00FD50DB">
        <w:t xml:space="preserve"> </w:t>
      </w:r>
      <w:r>
        <w:t>ActewAGL</w:t>
      </w:r>
      <w:r w:rsidRPr="00FD50DB">
        <w:t xml:space="preserve"> has adopted the post</w:t>
      </w:r>
      <w:r w:rsidR="00AE3D2E">
        <w:t>–</w:t>
      </w:r>
      <w:r w:rsidRPr="00FD50DB">
        <w:t xml:space="preserve">tax framework to derive its revenue requirement for the </w:t>
      </w:r>
      <w:r>
        <w:t>2016–21</w:t>
      </w:r>
      <w:r w:rsidRPr="00FD50DB">
        <w:t xml:space="preserve"> access arrangement period.</w:t>
      </w:r>
      <w:r w:rsidRPr="00FD50DB">
        <w:rPr>
          <w:rStyle w:val="FootnoteReference"/>
        </w:rPr>
        <w:footnoteReference w:id="2"/>
      </w:r>
      <w:r w:rsidRPr="00FD50DB">
        <w:t xml:space="preserve"> Under the post</w:t>
      </w:r>
      <w:r w:rsidR="00AE3D2E">
        <w:t>–</w:t>
      </w:r>
      <w:r w:rsidRPr="00FD50DB">
        <w:t xml:space="preserve">tax framework, a separate corporate income tax allowance is calculated as part of the building blocks assessment. </w:t>
      </w:r>
      <w:r w:rsidR="00B601D6">
        <w:t xml:space="preserve">As discussed in the overview, we decided to apply a </w:t>
      </w:r>
      <w:r w:rsidR="002D16C3">
        <w:t>reconciliation (or ‘true</w:t>
      </w:r>
      <w:r w:rsidR="00AE3D2E">
        <w:t>–</w:t>
      </w:r>
      <w:r w:rsidR="002D16C3">
        <w:t>up’) of</w:t>
      </w:r>
      <w:r w:rsidR="00B601D6">
        <w:t xml:space="preserve"> ActewAGL’s revenue for </w:t>
      </w:r>
      <w:r w:rsidR="00F819DB">
        <w:t xml:space="preserve">the </w:t>
      </w:r>
      <w:r w:rsidR="00B601D6">
        <w:t>2015–16 interval of delay. Consequently, we must also estimate a corporate income tax allowance for 2015–16.</w:t>
      </w:r>
    </w:p>
    <w:p w:rsidR="009A5113" w:rsidRDefault="001C2AF6" w:rsidP="009A5113">
      <w:pPr>
        <w:pStyle w:val="Heading2"/>
      </w:pPr>
      <w:bookmarkStart w:id="11" w:name="_Toc408404320"/>
      <w:bookmarkStart w:id="12" w:name="_Toc436043209"/>
      <w:r>
        <w:t>Draft</w:t>
      </w:r>
      <w:r w:rsidR="009A5113" w:rsidRPr="0074565D">
        <w:t xml:space="preserve"> decision</w:t>
      </w:r>
      <w:bookmarkEnd w:id="11"/>
      <w:bookmarkEnd w:id="12"/>
    </w:p>
    <w:p w:rsidR="00817EB0" w:rsidRDefault="00817EB0" w:rsidP="00817EB0">
      <w:pPr>
        <w:rPr>
          <w:rStyle w:val="AERbody"/>
        </w:rPr>
      </w:pPr>
      <w:r>
        <w:t>We approve ActewAGL’s proposed approach to calculate its forecast corporate income tax allowance. ActewAGL’s proposed approach is consistent with the AER’s post</w:t>
      </w:r>
      <w:r w:rsidR="00AE3D2E">
        <w:t>–</w:t>
      </w:r>
      <w:r>
        <w:t>tax revenue model (PTRM) for electricity service providers and the approach previously approved in gas access arrangement decisions. However, w</w:t>
      </w:r>
      <w:r w:rsidRPr="00FD50DB">
        <w:t xml:space="preserve">e do not approve </w:t>
      </w:r>
      <w:r>
        <w:t>ActewAGL</w:t>
      </w:r>
      <w:r w:rsidRPr="00FD50DB">
        <w:t>’s proposed corporate income tax allowance of $</w:t>
      </w:r>
      <w:r w:rsidR="00CF3303">
        <w:t>17</w:t>
      </w:r>
      <w:r>
        <w:t>.1</w:t>
      </w:r>
      <w:r w:rsidRPr="00FD50DB">
        <w:t xml:space="preserve"> million ($nominal) for </w:t>
      </w:r>
      <w:r w:rsidR="00B601D6">
        <w:t xml:space="preserve">2015–16 and </w:t>
      </w:r>
      <w:r w:rsidRPr="00FD50DB">
        <w:t xml:space="preserve">the </w:t>
      </w:r>
      <w:r>
        <w:rPr>
          <w:rStyle w:val="AERbody"/>
        </w:rPr>
        <w:t>2016–21</w:t>
      </w:r>
      <w:r w:rsidRPr="00FD50DB">
        <w:rPr>
          <w:rStyle w:val="AERbody"/>
        </w:rPr>
        <w:t xml:space="preserve"> </w:t>
      </w:r>
      <w:r w:rsidRPr="00FD50DB">
        <w:t xml:space="preserve">access arrangement period. This is mainly </w:t>
      </w:r>
      <w:r>
        <w:t xml:space="preserve">a consequence </w:t>
      </w:r>
      <w:r w:rsidRPr="00FD50DB">
        <w:t xml:space="preserve">of our adjustments to </w:t>
      </w:r>
      <w:r>
        <w:t>ActewAGL’</w:t>
      </w:r>
      <w:r w:rsidRPr="00FD50DB">
        <w:t xml:space="preserve">s </w:t>
      </w:r>
      <w:r w:rsidRPr="00F17F59">
        <w:rPr>
          <w:rStyle w:val="AERbody"/>
        </w:rPr>
        <w:t>value of imputation cr</w:t>
      </w:r>
      <w:r>
        <w:rPr>
          <w:rStyle w:val="AERbody"/>
        </w:rPr>
        <w:t>edits</w:t>
      </w:r>
      <w:r w:rsidR="00F819DB">
        <w:rPr>
          <w:rStyle w:val="AERbody"/>
        </w:rPr>
        <w:t>—</w:t>
      </w:r>
      <w:r>
        <w:rPr>
          <w:rStyle w:val="AERbody"/>
        </w:rPr>
        <w:t>gamma</w:t>
      </w:r>
      <w:r w:rsidR="00F819DB">
        <w:rPr>
          <w:rStyle w:val="AERbody"/>
        </w:rPr>
        <w:t>—</w:t>
      </w:r>
      <w:r w:rsidR="00AD4514">
        <w:rPr>
          <w:rStyle w:val="AERbody"/>
        </w:rPr>
        <w:t>(attachment </w:t>
      </w:r>
      <w:r>
        <w:rPr>
          <w:rStyle w:val="AERbody"/>
        </w:rPr>
        <w:t>4</w:t>
      </w:r>
      <w:r w:rsidRPr="00F17F59">
        <w:rPr>
          <w:rStyle w:val="AERbody"/>
        </w:rPr>
        <w:t>)</w:t>
      </w:r>
      <w:r>
        <w:rPr>
          <w:rStyle w:val="AERbody"/>
        </w:rPr>
        <w:t xml:space="preserve"> and other building block costs that affect revenues, such as the rate of return on capital (attachment 3), forecast capex (attachment 6</w:t>
      </w:r>
      <w:r w:rsidR="00AD4514">
        <w:rPr>
          <w:rStyle w:val="AERbody"/>
        </w:rPr>
        <w:t>) and forecast opex (attachment </w:t>
      </w:r>
      <w:r>
        <w:rPr>
          <w:rStyle w:val="AERbody"/>
        </w:rPr>
        <w:t>7)</w:t>
      </w:r>
      <w:r w:rsidRPr="00F17F59">
        <w:rPr>
          <w:rStyle w:val="AERbody"/>
        </w:rPr>
        <w:t>.</w:t>
      </w:r>
      <w:r>
        <w:rPr>
          <w:rStyle w:val="FootnoteReference"/>
        </w:rPr>
        <w:footnoteReference w:id="3"/>
      </w:r>
      <w:r>
        <w:rPr>
          <w:rStyle w:val="AERbody"/>
        </w:rPr>
        <w:t xml:space="preserve"> </w:t>
      </w:r>
    </w:p>
    <w:p w:rsidR="00817EB0" w:rsidRDefault="00817EB0" w:rsidP="00817EB0">
      <w:pPr>
        <w:rPr>
          <w:rStyle w:val="AERbody"/>
        </w:rPr>
      </w:pPr>
      <w:r>
        <w:rPr>
          <w:rStyle w:val="AERbody"/>
        </w:rPr>
        <w:t xml:space="preserve">We approve </w:t>
      </w:r>
      <w:r>
        <w:t>ActewAGL</w:t>
      </w:r>
      <w:r>
        <w:rPr>
          <w:rStyle w:val="AERbody"/>
        </w:rPr>
        <w:t xml:space="preserve">’s proposed method to roll forward the tax asset base (TAB) because it is consistent with the AER’s roll forward model (RFM) for electricity service providers and the approach previously approved in gas access arrangement decisions. </w:t>
      </w:r>
      <w:r w:rsidR="004B3854">
        <w:rPr>
          <w:rStyle w:val="AERbody"/>
        </w:rPr>
        <w:t>W</w:t>
      </w:r>
      <w:r>
        <w:rPr>
          <w:rStyle w:val="AERbody"/>
        </w:rPr>
        <w:t xml:space="preserve">e </w:t>
      </w:r>
      <w:r w:rsidR="004B3854">
        <w:rPr>
          <w:rStyle w:val="AERbody"/>
        </w:rPr>
        <w:t>also</w:t>
      </w:r>
      <w:r>
        <w:rPr>
          <w:rStyle w:val="AERbody"/>
        </w:rPr>
        <w:t xml:space="preserve"> approve the proposed opening TAB of $</w:t>
      </w:r>
      <w:r w:rsidR="00613625">
        <w:rPr>
          <w:rStyle w:val="AERbody"/>
        </w:rPr>
        <w:t>231.9</w:t>
      </w:r>
      <w:r>
        <w:rPr>
          <w:rStyle w:val="AERbody"/>
        </w:rPr>
        <w:t xml:space="preserve"> million ($nominal) as at 1 July 201</w:t>
      </w:r>
      <w:r w:rsidR="00613625">
        <w:rPr>
          <w:rStyle w:val="AERbody"/>
        </w:rPr>
        <w:t>5</w:t>
      </w:r>
      <w:r w:rsidR="004B3854">
        <w:rPr>
          <w:rStyle w:val="AERbody"/>
        </w:rPr>
        <w:t xml:space="preserve"> because </w:t>
      </w:r>
      <w:r w:rsidR="00BB7DAD">
        <w:rPr>
          <w:rStyle w:val="AERbody"/>
        </w:rPr>
        <w:t>the inputs for calculating the opening TAB are correct.</w:t>
      </w:r>
    </w:p>
    <w:p w:rsidR="00817EB0" w:rsidRDefault="00817EB0" w:rsidP="00817EB0">
      <w:pPr>
        <w:rPr>
          <w:rStyle w:val="AERbody"/>
        </w:rPr>
      </w:pPr>
      <w:r>
        <w:rPr>
          <w:rStyle w:val="AERbody"/>
        </w:rPr>
        <w:t xml:space="preserve">We approve </w:t>
      </w:r>
      <w:r>
        <w:t>ActewAGL</w:t>
      </w:r>
      <w:r>
        <w:rPr>
          <w:rStyle w:val="AERbody"/>
        </w:rPr>
        <w:t xml:space="preserve">’s proposed standard tax asset lives for </w:t>
      </w:r>
      <w:r w:rsidR="00BB7DAD">
        <w:rPr>
          <w:rStyle w:val="AERbody"/>
        </w:rPr>
        <w:t xml:space="preserve">2015–16 and the </w:t>
      </w:r>
      <w:r>
        <w:rPr>
          <w:rStyle w:val="AERbody"/>
        </w:rPr>
        <w:t xml:space="preserve">2016–21 access arrangement period. This is because they are consistent with the provisions of the </w:t>
      </w:r>
      <w:r w:rsidRPr="00300607">
        <w:rPr>
          <w:rStyle w:val="AERbody"/>
          <w:i/>
        </w:rPr>
        <w:t>Income Tax Assessment Act</w:t>
      </w:r>
      <w:r>
        <w:rPr>
          <w:rStyle w:val="AERbody"/>
        </w:rPr>
        <w:t xml:space="preserve"> (ITAA) 1997 and the standard tax asset lives prescribed in the Tax Ruling 2015/2. Also, these proposed standard tax asset lives are consistent with the approved standard tax asset lives in the 201</w:t>
      </w:r>
      <w:r w:rsidR="00BB7DAD">
        <w:rPr>
          <w:rStyle w:val="AERbody"/>
        </w:rPr>
        <w:t>0</w:t>
      </w:r>
      <w:r>
        <w:rPr>
          <w:rStyle w:val="AERbody"/>
        </w:rPr>
        <w:t>–1</w:t>
      </w:r>
      <w:r w:rsidR="00BB7DAD">
        <w:rPr>
          <w:rStyle w:val="AERbody"/>
        </w:rPr>
        <w:t>5</w:t>
      </w:r>
      <w:r>
        <w:rPr>
          <w:rStyle w:val="AERbody"/>
        </w:rPr>
        <w:t xml:space="preserve"> access arrangement period.</w:t>
      </w:r>
      <w:r w:rsidR="00AA16F1">
        <w:rPr>
          <w:rStyle w:val="AERbody"/>
        </w:rPr>
        <w:t xml:space="preserve"> </w:t>
      </w:r>
      <w:r w:rsidR="00AA16F1">
        <w:t>As discussed in attachment 5, we created a ‘Land and easement’ asset class for ActewAGL’s forecast land capex in 2015–16 and</w:t>
      </w:r>
      <w:r w:rsidR="00F819DB">
        <w:t xml:space="preserve"> the</w:t>
      </w:r>
      <w:r w:rsidR="00AA16F1">
        <w:t xml:space="preserve"> 2016–21 access arrangement period. </w:t>
      </w:r>
      <w:r w:rsidR="00F819DB">
        <w:t>Consistent with tax law requirements, w</w:t>
      </w:r>
      <w:r w:rsidR="00AA16F1">
        <w:t>e have not applied a standard tax asset life to this new asset class. This is because land and easement are non</w:t>
      </w:r>
      <w:r w:rsidR="00AE3D2E">
        <w:t>–</w:t>
      </w:r>
      <w:r w:rsidR="00AA16F1">
        <w:t>depreciating assets.</w:t>
      </w:r>
    </w:p>
    <w:p w:rsidR="00817EB0" w:rsidRDefault="00817EB0" w:rsidP="00817EB0">
      <w:pPr>
        <w:rPr>
          <w:rStyle w:val="AERbody"/>
        </w:rPr>
      </w:pPr>
      <w:r>
        <w:rPr>
          <w:rStyle w:val="AERbody"/>
        </w:rPr>
        <w:lastRenderedPageBreak/>
        <w:t xml:space="preserve">We accept </w:t>
      </w:r>
      <w:r>
        <w:t>ActewAGL</w:t>
      </w:r>
      <w:r>
        <w:rPr>
          <w:rStyle w:val="AERbody"/>
        </w:rPr>
        <w:t>’s proposed weighted average method to calculate the remaining tax asset lives as at 1 July 201</w:t>
      </w:r>
      <w:r w:rsidR="007F3217">
        <w:rPr>
          <w:rStyle w:val="AERbody"/>
        </w:rPr>
        <w:t>5</w:t>
      </w:r>
      <w:r>
        <w:rPr>
          <w:rStyle w:val="AERbody"/>
        </w:rPr>
        <w:t xml:space="preserve">. However, we do not accept </w:t>
      </w:r>
      <w:r>
        <w:t>ActewAGL</w:t>
      </w:r>
      <w:r>
        <w:rPr>
          <w:rStyle w:val="AERbody"/>
        </w:rPr>
        <w:t>’s proposed remaining tax asset lives as at 1 July 201</w:t>
      </w:r>
      <w:r w:rsidR="00AA32AE">
        <w:rPr>
          <w:rStyle w:val="AERbody"/>
        </w:rPr>
        <w:t>5</w:t>
      </w:r>
      <w:r>
        <w:rPr>
          <w:rStyle w:val="AERbody"/>
        </w:rPr>
        <w:t xml:space="preserve">. This is because we </w:t>
      </w:r>
      <w:r w:rsidR="00BB7DAD">
        <w:rPr>
          <w:rStyle w:val="AERbody"/>
        </w:rPr>
        <w:t>updated</w:t>
      </w:r>
      <w:r>
        <w:rPr>
          <w:rStyle w:val="AERbody"/>
        </w:rPr>
        <w:t xml:space="preserve"> some </w:t>
      </w:r>
      <w:r w:rsidR="00BB7DAD">
        <w:rPr>
          <w:rStyle w:val="AERbody"/>
        </w:rPr>
        <w:t>formula</w:t>
      </w:r>
      <w:r w:rsidR="00F819DB">
        <w:rPr>
          <w:rStyle w:val="AERbody"/>
        </w:rPr>
        <w:t>e</w:t>
      </w:r>
      <w:r>
        <w:rPr>
          <w:rStyle w:val="AERbody"/>
        </w:rPr>
        <w:t xml:space="preserve"> in the tax asset lives roll forward calculation in </w:t>
      </w:r>
      <w:r>
        <w:t>ActewAGL</w:t>
      </w:r>
      <w:r>
        <w:rPr>
          <w:rStyle w:val="AERbody"/>
        </w:rPr>
        <w:t>’s proposed RFM</w:t>
      </w:r>
      <w:r w:rsidR="00CA7FBC" w:rsidRPr="00CA7FBC">
        <w:rPr>
          <w:rStyle w:val="AERbody"/>
        </w:rPr>
        <w:t xml:space="preserve"> </w:t>
      </w:r>
      <w:r w:rsidR="00CA7FBC">
        <w:rPr>
          <w:rStyle w:val="AERbody"/>
        </w:rPr>
        <w:t>to incorporate 2009–10 actual capex</w:t>
      </w:r>
      <w:r>
        <w:rPr>
          <w:rStyle w:val="AERbody"/>
        </w:rPr>
        <w:t>.</w:t>
      </w:r>
    </w:p>
    <w:p w:rsidR="00817EB0" w:rsidRDefault="00817EB0" w:rsidP="00817EB0">
      <w:pPr>
        <w:rPr>
          <w:rStyle w:val="AERbody"/>
        </w:rPr>
      </w:pPr>
      <w:r>
        <w:rPr>
          <w:rStyle w:val="AERbody"/>
        </w:rPr>
        <w:t xml:space="preserve">In assessing </w:t>
      </w:r>
      <w:r>
        <w:t>ActewAGL</w:t>
      </w:r>
      <w:r>
        <w:rPr>
          <w:rStyle w:val="AERbody"/>
        </w:rPr>
        <w:t xml:space="preserve">’s proposal, we have had regard to the requirement of the NGO </w:t>
      </w:r>
      <w:r>
        <w:t>and the revenue and pricing principles.</w:t>
      </w:r>
      <w:r>
        <w:rPr>
          <w:rStyle w:val="FootnoteReference"/>
        </w:rPr>
        <w:footnoteReference w:id="4"/>
      </w:r>
      <w:r>
        <w:t xml:space="preserve"> Our</w:t>
      </w:r>
      <w:r w:rsidRPr="009C2602">
        <w:t xml:space="preserve"> draft decision on </w:t>
      </w:r>
      <w:r>
        <w:t>ActewAGL’s</w:t>
      </w:r>
      <w:r w:rsidRPr="009C2602">
        <w:t xml:space="preserve"> </w:t>
      </w:r>
      <w:r>
        <w:t>corporate income tax</w:t>
      </w:r>
      <w:r w:rsidRPr="009C2602">
        <w:t xml:space="preserve"> allowance over </w:t>
      </w:r>
      <w:r w:rsidR="004C1C4B">
        <w:t xml:space="preserve">2015–16 and </w:t>
      </w:r>
      <w:r w:rsidRPr="009C2602">
        <w:t xml:space="preserve">the </w:t>
      </w:r>
      <w:r>
        <w:rPr>
          <w:rStyle w:val="AERbody"/>
        </w:rPr>
        <w:t>2016</w:t>
      </w:r>
      <w:r w:rsidRPr="00B077E0">
        <w:rPr>
          <w:rStyle w:val="AERbody"/>
        </w:rPr>
        <w:t>–</w:t>
      </w:r>
      <w:r>
        <w:rPr>
          <w:rStyle w:val="AERbody"/>
        </w:rPr>
        <w:t>21</w:t>
      </w:r>
      <w:r w:rsidRPr="00B077E0">
        <w:rPr>
          <w:rStyle w:val="AERbody"/>
        </w:rPr>
        <w:t xml:space="preserve"> </w:t>
      </w:r>
      <w:r w:rsidRPr="009C2602">
        <w:t>access arrangement period is $</w:t>
      </w:r>
      <w:r w:rsidR="003A42DC">
        <w:t xml:space="preserve">8.3 </w:t>
      </w:r>
      <w:r>
        <w:t xml:space="preserve">million ($nominal), as set out in </w:t>
      </w:r>
      <w:r>
        <w:fldChar w:fldCharType="begin"/>
      </w:r>
      <w:r>
        <w:instrText xml:space="preserve"> REF  _Ref398553891 \* Lower \h  \* MERGEFORMAT </w:instrText>
      </w:r>
      <w:r>
        <w:fldChar w:fldCharType="separate"/>
      </w:r>
      <w:r w:rsidR="004634B2" w:rsidRPr="00FD50DB">
        <w:t xml:space="preserve">table </w:t>
      </w:r>
      <w:r w:rsidR="004634B2">
        <w:rPr>
          <w:noProof/>
        </w:rPr>
        <w:t>8.1</w:t>
      </w:r>
      <w:r>
        <w:fldChar w:fldCharType="end"/>
      </w:r>
      <w:r>
        <w:t xml:space="preserve">. </w:t>
      </w:r>
      <w:r w:rsidRPr="009C2602">
        <w:t>This represents a reduction of $</w:t>
      </w:r>
      <w:r w:rsidR="003A42DC">
        <w:t>8.8</w:t>
      </w:r>
      <w:r w:rsidR="00AD4514">
        <w:t> </w:t>
      </w:r>
      <w:r w:rsidRPr="009C2602">
        <w:t>million (</w:t>
      </w:r>
      <w:r>
        <w:t>$</w:t>
      </w:r>
      <w:r w:rsidRPr="009C2602">
        <w:t xml:space="preserve">nominal) or </w:t>
      </w:r>
      <w:r w:rsidR="003A42DC">
        <w:t>51.5</w:t>
      </w:r>
      <w:r w:rsidR="00AD4514">
        <w:t> </w:t>
      </w:r>
      <w:r w:rsidRPr="009C2602">
        <w:t xml:space="preserve">per cent of </w:t>
      </w:r>
      <w:r>
        <w:t>ActewAGL’</w:t>
      </w:r>
      <w:r w:rsidRPr="009C2602">
        <w:t xml:space="preserve">s proposed </w:t>
      </w:r>
      <w:r>
        <w:t>forecast corporate income tax allowance.</w:t>
      </w:r>
    </w:p>
    <w:p w:rsidR="00817EB0" w:rsidRPr="00FD50DB" w:rsidRDefault="00817EB0" w:rsidP="00015D88">
      <w:pPr>
        <w:pStyle w:val="Caption"/>
      </w:pPr>
      <w:bookmarkStart w:id="13" w:name="_Ref398553891"/>
      <w:r w:rsidRPr="00FD50DB">
        <w:t xml:space="preserve">Table </w:t>
      </w:r>
      <w:r w:rsidRPr="00F17F59">
        <w:fldChar w:fldCharType="begin"/>
      </w:r>
      <w:r>
        <w:instrText xml:space="preserve"> STYLEREF 1 \s </w:instrText>
      </w:r>
      <w:r w:rsidRPr="00F17F59">
        <w:fldChar w:fldCharType="separate"/>
      </w:r>
      <w:r w:rsidR="004634B2">
        <w:rPr>
          <w:noProof/>
        </w:rPr>
        <w:t>8</w:t>
      </w:r>
      <w:r w:rsidRPr="00F17F59">
        <w:fldChar w:fldCharType="end"/>
      </w:r>
      <w:r w:rsidR="00015D88">
        <w:t>.</w:t>
      </w:r>
      <w:r w:rsidRPr="00F17F59">
        <w:fldChar w:fldCharType="begin"/>
      </w:r>
      <w:r>
        <w:instrText xml:space="preserve"> SEQ Table \* ARABIC \s 1 </w:instrText>
      </w:r>
      <w:r w:rsidRPr="00F17F59">
        <w:fldChar w:fldCharType="separate"/>
      </w:r>
      <w:r w:rsidR="004634B2">
        <w:rPr>
          <w:noProof/>
        </w:rPr>
        <w:t>1</w:t>
      </w:r>
      <w:r w:rsidRPr="00F17F59">
        <w:fldChar w:fldCharType="end"/>
      </w:r>
      <w:bookmarkEnd w:id="13"/>
      <w:r>
        <w:tab/>
        <w:t>AER’</w:t>
      </w:r>
      <w:r w:rsidRPr="00FD50DB">
        <w:t xml:space="preserve">s draft decision on corporate income tax allowance for </w:t>
      </w:r>
      <w:r>
        <w:t>ActewAGL</w:t>
      </w:r>
      <w:r w:rsidRPr="00FD50DB">
        <w:t xml:space="preserve"> </w:t>
      </w:r>
      <w:r w:rsidR="000C3AD4" w:rsidRPr="00FD50DB">
        <w:t xml:space="preserve">for </w:t>
      </w:r>
      <w:r w:rsidR="000C3AD4">
        <w:t xml:space="preserve">2015–16 and </w:t>
      </w:r>
      <w:r w:rsidR="000C3AD4" w:rsidRPr="00FD50DB">
        <w:t xml:space="preserve">the </w:t>
      </w:r>
      <w:r w:rsidR="000C3AD4">
        <w:t>2016–21</w:t>
      </w:r>
      <w:r w:rsidR="000C3AD4" w:rsidRPr="00FD50DB">
        <w:t xml:space="preserve"> access arrangement period </w:t>
      </w:r>
      <w:r w:rsidRPr="00FD50DB">
        <w:t xml:space="preserve">($million, nominal)  </w:t>
      </w:r>
    </w:p>
    <w:tbl>
      <w:tblPr>
        <w:tblStyle w:val="AERtable-numbers"/>
        <w:tblW w:w="8693" w:type="dxa"/>
        <w:tblLayout w:type="fixed"/>
        <w:tblLook w:val="01E0" w:firstRow="1" w:lastRow="1" w:firstColumn="1" w:lastColumn="1" w:noHBand="0" w:noVBand="0"/>
      </w:tblPr>
      <w:tblGrid>
        <w:gridCol w:w="2802"/>
        <w:gridCol w:w="841"/>
        <w:gridCol w:w="842"/>
        <w:gridCol w:w="841"/>
        <w:gridCol w:w="842"/>
        <w:gridCol w:w="841"/>
        <w:gridCol w:w="842"/>
        <w:gridCol w:w="842"/>
      </w:tblGrid>
      <w:tr w:rsidR="004C1C4B" w:rsidRPr="00077B2C" w:rsidTr="00A241F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02" w:type="dxa"/>
          </w:tcPr>
          <w:p w:rsidR="004C1C4B" w:rsidRPr="00077B2C" w:rsidRDefault="004C1C4B" w:rsidP="00817EB0">
            <w:pPr>
              <w:pStyle w:val="AERtabletextleft"/>
              <w:rPr>
                <w:sz w:val="16"/>
                <w:szCs w:val="16"/>
              </w:rPr>
            </w:pPr>
          </w:p>
        </w:tc>
        <w:tc>
          <w:tcPr>
            <w:tcW w:w="841"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2015–16</w:t>
            </w:r>
          </w:p>
        </w:tc>
        <w:tc>
          <w:tcPr>
            <w:tcW w:w="842"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2016–17</w:t>
            </w:r>
          </w:p>
        </w:tc>
        <w:tc>
          <w:tcPr>
            <w:tcW w:w="841"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2017–18</w:t>
            </w:r>
          </w:p>
        </w:tc>
        <w:tc>
          <w:tcPr>
            <w:tcW w:w="842"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2018–19</w:t>
            </w:r>
          </w:p>
        </w:tc>
        <w:tc>
          <w:tcPr>
            <w:tcW w:w="841"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2019–20</w:t>
            </w:r>
          </w:p>
        </w:tc>
        <w:tc>
          <w:tcPr>
            <w:tcW w:w="842"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2020–21</w:t>
            </w:r>
          </w:p>
        </w:tc>
        <w:tc>
          <w:tcPr>
            <w:tcW w:w="842" w:type="dxa"/>
          </w:tcPr>
          <w:p w:rsidR="004C1C4B" w:rsidRPr="00077B2C" w:rsidRDefault="004C1C4B"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Total</w:t>
            </w:r>
          </w:p>
        </w:tc>
      </w:tr>
      <w:tr w:rsidR="003A42DC" w:rsidRPr="00077B2C" w:rsidTr="00A241F3">
        <w:trPr>
          <w:trHeight w:val="278"/>
        </w:trPr>
        <w:tc>
          <w:tcPr>
            <w:cnfStyle w:val="001000000000" w:firstRow="0" w:lastRow="0" w:firstColumn="1" w:lastColumn="0" w:oddVBand="0" w:evenVBand="0" w:oddHBand="0" w:evenHBand="0" w:firstRowFirstColumn="0" w:firstRowLastColumn="0" w:lastRowFirstColumn="0" w:lastRowLastColumn="0"/>
            <w:tcW w:w="2802" w:type="dxa"/>
          </w:tcPr>
          <w:p w:rsidR="003A42DC" w:rsidRPr="00077B2C" w:rsidRDefault="003A42DC" w:rsidP="00817EB0">
            <w:pPr>
              <w:pStyle w:val="AERtabletextleft"/>
              <w:rPr>
                <w:sz w:val="16"/>
                <w:szCs w:val="16"/>
              </w:rPr>
            </w:pPr>
            <w:r w:rsidRPr="00077B2C">
              <w:rPr>
                <w:sz w:val="16"/>
                <w:szCs w:val="16"/>
              </w:rPr>
              <w:t>Tax payable</w:t>
            </w:r>
          </w:p>
        </w:tc>
        <w:tc>
          <w:tcPr>
            <w:tcW w:w="841"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2.0</w:t>
            </w:r>
          </w:p>
        </w:tc>
        <w:tc>
          <w:tcPr>
            <w:tcW w:w="841"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2.2</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2.4</w:t>
            </w:r>
          </w:p>
        </w:tc>
        <w:tc>
          <w:tcPr>
            <w:tcW w:w="841"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2.6</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2.7</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13.8</w:t>
            </w:r>
          </w:p>
        </w:tc>
      </w:tr>
      <w:tr w:rsidR="003A42DC" w:rsidRPr="00077B2C" w:rsidTr="00A241F3">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802" w:type="dxa"/>
          </w:tcPr>
          <w:p w:rsidR="003A42DC" w:rsidRPr="00077B2C" w:rsidRDefault="003A42DC" w:rsidP="00817EB0">
            <w:pPr>
              <w:pStyle w:val="AERtabletextleft"/>
              <w:rPr>
                <w:sz w:val="16"/>
                <w:szCs w:val="16"/>
              </w:rPr>
            </w:pPr>
            <w:r w:rsidRPr="00077B2C">
              <w:rPr>
                <w:rStyle w:val="AERtextitalic"/>
                <w:sz w:val="16"/>
                <w:szCs w:val="16"/>
              </w:rPr>
              <w:t>Less</w:t>
            </w:r>
            <w:r w:rsidRPr="00077B2C">
              <w:rPr>
                <w:sz w:val="16"/>
                <w:szCs w:val="16"/>
              </w:rPr>
              <w:t>: value of imputation credits</w:t>
            </w:r>
          </w:p>
        </w:tc>
        <w:tc>
          <w:tcPr>
            <w:tcW w:w="841"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0.7</w:t>
            </w:r>
          </w:p>
        </w:tc>
        <w:tc>
          <w:tcPr>
            <w:tcW w:w="842"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0.8</w:t>
            </w:r>
          </w:p>
        </w:tc>
        <w:tc>
          <w:tcPr>
            <w:tcW w:w="841"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0.9</w:t>
            </w:r>
          </w:p>
        </w:tc>
        <w:tc>
          <w:tcPr>
            <w:tcW w:w="842"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w:t>
            </w:r>
          </w:p>
        </w:tc>
        <w:tc>
          <w:tcPr>
            <w:tcW w:w="841"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w:t>
            </w:r>
          </w:p>
        </w:tc>
        <w:tc>
          <w:tcPr>
            <w:tcW w:w="842"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w:t>
            </w:r>
          </w:p>
        </w:tc>
        <w:tc>
          <w:tcPr>
            <w:tcW w:w="842" w:type="dxa"/>
          </w:tcPr>
          <w:p w:rsidR="003A42DC" w:rsidRDefault="003A42DC">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5.5</w:t>
            </w:r>
          </w:p>
        </w:tc>
      </w:tr>
      <w:tr w:rsidR="003A42DC" w:rsidRPr="00077B2C" w:rsidTr="00A241F3">
        <w:trPr>
          <w:trHeight w:val="467"/>
        </w:trPr>
        <w:tc>
          <w:tcPr>
            <w:cnfStyle w:val="001000000000" w:firstRow="0" w:lastRow="0" w:firstColumn="1" w:lastColumn="0" w:oddVBand="0" w:evenVBand="0" w:oddHBand="0" w:evenHBand="0" w:firstRowFirstColumn="0" w:firstRowLastColumn="0" w:lastRowFirstColumn="0" w:lastRowLastColumn="0"/>
            <w:tcW w:w="2802" w:type="dxa"/>
          </w:tcPr>
          <w:p w:rsidR="003A42DC" w:rsidRPr="00077B2C" w:rsidRDefault="003A42DC" w:rsidP="00817EB0">
            <w:pPr>
              <w:pStyle w:val="AERtabletextleft"/>
              <w:rPr>
                <w:rStyle w:val="Strong"/>
                <w:sz w:val="16"/>
                <w:szCs w:val="16"/>
              </w:rPr>
            </w:pPr>
            <w:r w:rsidRPr="00077B2C">
              <w:rPr>
                <w:rStyle w:val="Strong"/>
                <w:sz w:val="16"/>
                <w:szCs w:val="16"/>
              </w:rPr>
              <w:t>Net corporate income tax allowance</w:t>
            </w:r>
          </w:p>
        </w:tc>
        <w:tc>
          <w:tcPr>
            <w:tcW w:w="841"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1.1</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1.2</w:t>
            </w:r>
          </w:p>
        </w:tc>
        <w:tc>
          <w:tcPr>
            <w:tcW w:w="841"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1.3</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1.4</w:t>
            </w:r>
          </w:p>
        </w:tc>
        <w:tc>
          <w:tcPr>
            <w:tcW w:w="841"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1.5</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1.6</w:t>
            </w:r>
          </w:p>
        </w:tc>
        <w:tc>
          <w:tcPr>
            <w:tcW w:w="842" w:type="dxa"/>
          </w:tcPr>
          <w:p w:rsidR="003A42DC" w:rsidRDefault="003A42DC">
            <w:pPr>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8.3</w:t>
            </w:r>
          </w:p>
        </w:tc>
      </w:tr>
    </w:tbl>
    <w:p w:rsidR="00817EB0" w:rsidRPr="00FD50DB" w:rsidRDefault="00817EB0" w:rsidP="00817EB0">
      <w:pPr>
        <w:pStyle w:val="AERtablesource"/>
      </w:pPr>
      <w:r w:rsidRPr="00FD50DB">
        <w:t xml:space="preserve">Source: </w:t>
      </w:r>
      <w:r w:rsidRPr="00FD50DB">
        <w:tab/>
        <w:t>AER analysis.</w:t>
      </w:r>
    </w:p>
    <w:p w:rsidR="009A5113" w:rsidRDefault="005B140A" w:rsidP="009A5113">
      <w:pPr>
        <w:pStyle w:val="Heading2"/>
      </w:pPr>
      <w:bookmarkStart w:id="14" w:name="_Toc436043210"/>
      <w:r>
        <w:t>ActewAGL</w:t>
      </w:r>
      <w:r w:rsidR="00817EB0">
        <w:t>’</w:t>
      </w:r>
      <w:r w:rsidR="005C0A7F">
        <w:t>s proposal</w:t>
      </w:r>
      <w:bookmarkEnd w:id="14"/>
    </w:p>
    <w:p w:rsidR="00817EB0" w:rsidRDefault="00817EB0" w:rsidP="00817EB0">
      <w:bookmarkStart w:id="15" w:name="_Ref308172283"/>
      <w:r>
        <w:t xml:space="preserve">ActewAGL proposed a corporate income </w:t>
      </w:r>
      <w:r w:rsidR="00380292">
        <w:t xml:space="preserve">tax </w:t>
      </w:r>
      <w:r>
        <w:t>allowance of $</w:t>
      </w:r>
      <w:r w:rsidR="00D10B88">
        <w:t>17</w:t>
      </w:r>
      <w:r>
        <w:t xml:space="preserve">.1 million ($nominal) for </w:t>
      </w:r>
      <w:r w:rsidR="00D10B88">
        <w:t xml:space="preserve">2015–16 and </w:t>
      </w:r>
      <w:r>
        <w:t xml:space="preserve">the 2016–21 access arrangement period </w:t>
      </w:r>
      <w:r w:rsidRPr="00FD50DB">
        <w:t>as set out in</w:t>
      </w:r>
      <w:r>
        <w:t xml:space="preserve"> </w:t>
      </w:r>
      <w:r>
        <w:fldChar w:fldCharType="begin"/>
      </w:r>
      <w:r>
        <w:instrText xml:space="preserve"> REF  _Ref398279252 \* Lower \h  \* MERGEFORMAT </w:instrText>
      </w:r>
      <w:r>
        <w:fldChar w:fldCharType="separate"/>
      </w:r>
      <w:r w:rsidR="004634B2" w:rsidRPr="00FD50DB">
        <w:t xml:space="preserve">table </w:t>
      </w:r>
      <w:r w:rsidR="004634B2">
        <w:rPr>
          <w:noProof/>
        </w:rPr>
        <w:t>8.2</w:t>
      </w:r>
      <w:r>
        <w:fldChar w:fldCharType="end"/>
      </w:r>
      <w:r w:rsidRPr="00FD50DB">
        <w:t>.</w:t>
      </w:r>
      <w:r>
        <w:t xml:space="preserve"> It used the AER’s PTRM to calculate the corporate income tax allowance for </w:t>
      </w:r>
      <w:r w:rsidR="0017772F">
        <w:t xml:space="preserve">2015–16 and </w:t>
      </w:r>
      <w:r>
        <w:t>each year of the 2016–21 access arrangement period. In estimating its corporate income tax allowance, ActewAGL used:</w:t>
      </w:r>
    </w:p>
    <w:p w:rsidR="00817EB0" w:rsidRPr="003A718F" w:rsidRDefault="00817EB0" w:rsidP="00817EB0">
      <w:pPr>
        <w:pStyle w:val="AERbulletlistfirststyle"/>
      </w:pPr>
      <w:r w:rsidRPr="003A718F">
        <w:t>a</w:t>
      </w:r>
      <w:r>
        <w:t>n opening TAB of $</w:t>
      </w:r>
      <w:r w:rsidR="00556EC9">
        <w:t>231.9</w:t>
      </w:r>
      <w:r w:rsidRPr="003A718F">
        <w:t xml:space="preserve"> million ($nominal) as at 1 </w:t>
      </w:r>
      <w:r>
        <w:t>July 20</w:t>
      </w:r>
      <w:r w:rsidR="00D10B88">
        <w:t>1</w:t>
      </w:r>
      <w:r w:rsidR="00556EC9">
        <w:t>5</w:t>
      </w:r>
      <w:r>
        <w:t xml:space="preserve"> (as shown in </w:t>
      </w:r>
      <w:r>
        <w:fldChar w:fldCharType="begin"/>
      </w:r>
      <w:r>
        <w:instrText xml:space="preserve"> REF _Ref398551924 \h </w:instrText>
      </w:r>
      <w:r>
        <w:fldChar w:fldCharType="separate"/>
      </w:r>
      <w:r w:rsidR="004634B2">
        <w:t xml:space="preserve">table </w:t>
      </w:r>
      <w:r w:rsidR="004634B2">
        <w:rPr>
          <w:noProof/>
        </w:rPr>
        <w:t>8</w:t>
      </w:r>
      <w:r w:rsidR="004634B2">
        <w:t>.</w:t>
      </w:r>
      <w:r w:rsidR="004634B2">
        <w:rPr>
          <w:noProof/>
        </w:rPr>
        <w:t>3</w:t>
      </w:r>
      <w:r>
        <w:fldChar w:fldCharType="end"/>
      </w:r>
      <w:r>
        <w:t>)</w:t>
      </w:r>
      <w:r w:rsidRPr="003A718F">
        <w:t xml:space="preserve"> </w:t>
      </w:r>
    </w:p>
    <w:p w:rsidR="00817EB0" w:rsidRPr="003A718F" w:rsidRDefault="00817EB0" w:rsidP="00817EB0">
      <w:pPr>
        <w:pStyle w:val="AERbulletlistfirststyle"/>
      </w:pPr>
      <w:r w:rsidRPr="003A718F">
        <w:t>an expected statutory income rate of 30 per cent per year</w:t>
      </w:r>
    </w:p>
    <w:p w:rsidR="00817EB0" w:rsidRPr="003A718F" w:rsidRDefault="00817EB0" w:rsidP="00817EB0">
      <w:pPr>
        <w:pStyle w:val="AERbulletlistfirststyle"/>
      </w:pPr>
      <w:r w:rsidRPr="003A718F">
        <w:t>a value for the assumed utilisation of imputation credits (gamma) of 0.25</w:t>
      </w:r>
    </w:p>
    <w:p w:rsidR="00817EB0" w:rsidRDefault="00817EB0" w:rsidP="00817EB0">
      <w:pPr>
        <w:pStyle w:val="AERbulletlistfirststyle"/>
      </w:pPr>
      <w:r w:rsidRPr="003A718F">
        <w:t xml:space="preserve">the standard tax asset lives </w:t>
      </w:r>
      <w:r>
        <w:t>as approved for the 201</w:t>
      </w:r>
      <w:r w:rsidR="000C3AD4">
        <w:t>0</w:t>
      </w:r>
      <w:r>
        <w:t>–1</w:t>
      </w:r>
      <w:r w:rsidR="000C3AD4">
        <w:t>5</w:t>
      </w:r>
      <w:r>
        <w:t xml:space="preserve"> access arrangement period</w:t>
      </w:r>
    </w:p>
    <w:p w:rsidR="00817EB0" w:rsidRPr="003A718F" w:rsidRDefault="00817EB0" w:rsidP="00817EB0">
      <w:pPr>
        <w:pStyle w:val="AERbulletlistfirststyle"/>
      </w:pPr>
      <w:r w:rsidRPr="003A718F">
        <w:lastRenderedPageBreak/>
        <w:t xml:space="preserve">remaining tax asset lives </w:t>
      </w:r>
      <w:r w:rsidR="0017772F">
        <w:t xml:space="preserve">as at 1 July 2015 </w:t>
      </w:r>
      <w:r>
        <w:t>which are calculated using a weighted average remaining life approach as contained in its proposed RFM</w:t>
      </w:r>
      <w:r w:rsidRPr="003A718F">
        <w:t>.</w:t>
      </w:r>
    </w:p>
    <w:p w:rsidR="00817EB0" w:rsidRPr="00FD50DB" w:rsidRDefault="00817EB0" w:rsidP="008C4BF0">
      <w:pPr>
        <w:pStyle w:val="Caption"/>
      </w:pPr>
      <w:bookmarkStart w:id="16" w:name="_Ref398279252"/>
      <w:bookmarkStart w:id="17" w:name="_Ref398907457"/>
      <w:r w:rsidRPr="00FD50DB">
        <w:t xml:space="preserve">Table </w:t>
      </w:r>
      <w:r w:rsidRPr="00F17F59">
        <w:fldChar w:fldCharType="begin"/>
      </w:r>
      <w:r>
        <w:instrText xml:space="preserve"> STYLEREF 1 \s </w:instrText>
      </w:r>
      <w:r w:rsidRPr="00F17F59">
        <w:fldChar w:fldCharType="separate"/>
      </w:r>
      <w:r w:rsidR="004634B2">
        <w:rPr>
          <w:noProof/>
        </w:rPr>
        <w:t>8</w:t>
      </w:r>
      <w:r w:rsidRPr="00F17F59">
        <w:fldChar w:fldCharType="end"/>
      </w:r>
      <w:r w:rsidR="008C4BF0">
        <w:t>.</w:t>
      </w:r>
      <w:r w:rsidRPr="00F17F59">
        <w:fldChar w:fldCharType="begin"/>
      </w:r>
      <w:r>
        <w:instrText xml:space="preserve"> SEQ Table \* ARABIC \s 1 </w:instrText>
      </w:r>
      <w:r w:rsidRPr="00F17F59">
        <w:fldChar w:fldCharType="separate"/>
      </w:r>
      <w:r w:rsidR="004634B2">
        <w:rPr>
          <w:noProof/>
        </w:rPr>
        <w:t>2</w:t>
      </w:r>
      <w:r w:rsidRPr="00F17F59">
        <w:fldChar w:fldCharType="end"/>
      </w:r>
      <w:bookmarkEnd w:id="16"/>
      <w:r w:rsidRPr="00FD50DB">
        <w:tab/>
      </w:r>
      <w:r>
        <w:t>ActewAGL’s</w:t>
      </w:r>
      <w:r w:rsidRPr="00FD50DB">
        <w:t xml:space="preserve"> proposed corporate income tax </w:t>
      </w:r>
      <w:r>
        <w:t xml:space="preserve">allowance </w:t>
      </w:r>
      <w:r w:rsidRPr="00FD50DB">
        <w:t xml:space="preserve">for </w:t>
      </w:r>
      <w:r w:rsidR="000C3AD4">
        <w:t xml:space="preserve">2015–16 and </w:t>
      </w:r>
      <w:r w:rsidRPr="00FD50DB">
        <w:t xml:space="preserve">the </w:t>
      </w:r>
      <w:r>
        <w:t>2016–21</w:t>
      </w:r>
      <w:r w:rsidRPr="00FD50DB">
        <w:t xml:space="preserve"> access arrangement period ($million, nominal)</w:t>
      </w:r>
      <w:bookmarkEnd w:id="17"/>
    </w:p>
    <w:tbl>
      <w:tblPr>
        <w:tblStyle w:val="AERtable-numbers"/>
        <w:tblW w:w="8725" w:type="dxa"/>
        <w:tblLayout w:type="fixed"/>
        <w:tblLook w:val="04A0" w:firstRow="1" w:lastRow="0" w:firstColumn="1" w:lastColumn="0" w:noHBand="0" w:noVBand="1"/>
      </w:tblPr>
      <w:tblGrid>
        <w:gridCol w:w="2660"/>
        <w:gridCol w:w="866"/>
        <w:gridCol w:w="866"/>
        <w:gridCol w:w="867"/>
        <w:gridCol w:w="866"/>
        <w:gridCol w:w="867"/>
        <w:gridCol w:w="866"/>
        <w:gridCol w:w="867"/>
      </w:tblGrid>
      <w:tr w:rsidR="00741293" w:rsidRPr="00077B2C" w:rsidTr="00A241F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660" w:type="dxa"/>
            <w:hideMark/>
          </w:tcPr>
          <w:p w:rsidR="00741293" w:rsidRPr="00077B2C" w:rsidRDefault="00741293" w:rsidP="00817EB0">
            <w:pPr>
              <w:pStyle w:val="AERtabletextleft"/>
              <w:rPr>
                <w:sz w:val="16"/>
                <w:szCs w:val="16"/>
              </w:rPr>
            </w:pPr>
            <w:r w:rsidRPr="00077B2C">
              <w:rPr>
                <w:sz w:val="16"/>
                <w:szCs w:val="16"/>
              </w:rPr>
              <w:t xml:space="preserve"> </w:t>
            </w:r>
          </w:p>
        </w:tc>
        <w:tc>
          <w:tcPr>
            <w:tcW w:w="866" w:type="dxa"/>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2015–16</w:t>
            </w:r>
          </w:p>
        </w:tc>
        <w:tc>
          <w:tcPr>
            <w:tcW w:w="866" w:type="dxa"/>
            <w:hideMark/>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2016–17</w:t>
            </w:r>
          </w:p>
        </w:tc>
        <w:tc>
          <w:tcPr>
            <w:tcW w:w="867" w:type="dxa"/>
            <w:hideMark/>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2017–18</w:t>
            </w:r>
          </w:p>
        </w:tc>
        <w:tc>
          <w:tcPr>
            <w:tcW w:w="866" w:type="dxa"/>
            <w:hideMark/>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2018–19</w:t>
            </w:r>
          </w:p>
        </w:tc>
        <w:tc>
          <w:tcPr>
            <w:tcW w:w="867" w:type="dxa"/>
            <w:hideMark/>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2019–20</w:t>
            </w:r>
          </w:p>
        </w:tc>
        <w:tc>
          <w:tcPr>
            <w:tcW w:w="866" w:type="dxa"/>
            <w:hideMark/>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2020–21</w:t>
            </w:r>
          </w:p>
        </w:tc>
        <w:tc>
          <w:tcPr>
            <w:tcW w:w="867" w:type="dxa"/>
          </w:tcPr>
          <w:p w:rsidR="00741293" w:rsidRPr="00077B2C" w:rsidRDefault="00741293"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Total</w:t>
            </w:r>
          </w:p>
        </w:tc>
      </w:tr>
      <w:tr w:rsidR="00741293" w:rsidRPr="00077B2C" w:rsidTr="00A241F3">
        <w:trPr>
          <w:trHeight w:val="233"/>
        </w:trPr>
        <w:tc>
          <w:tcPr>
            <w:cnfStyle w:val="001000000000" w:firstRow="0" w:lastRow="0" w:firstColumn="1" w:lastColumn="0" w:oddVBand="0" w:evenVBand="0" w:oddHBand="0" w:evenHBand="0" w:firstRowFirstColumn="0" w:firstRowLastColumn="0" w:lastRowFirstColumn="0" w:lastRowLastColumn="0"/>
            <w:tcW w:w="2660" w:type="dxa"/>
            <w:hideMark/>
          </w:tcPr>
          <w:p w:rsidR="00741293" w:rsidRPr="00077B2C" w:rsidRDefault="00741293" w:rsidP="00817EB0">
            <w:pPr>
              <w:pStyle w:val="AERtabletextleft"/>
              <w:rPr>
                <w:sz w:val="16"/>
                <w:szCs w:val="16"/>
              </w:rPr>
            </w:pPr>
            <w:r w:rsidRPr="00077B2C">
              <w:rPr>
                <w:sz w:val="16"/>
                <w:szCs w:val="16"/>
              </w:rPr>
              <w:t>Tax payable</w:t>
            </w:r>
          </w:p>
        </w:tc>
        <w:tc>
          <w:tcPr>
            <w:tcW w:w="866"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3.1</w:t>
            </w:r>
          </w:p>
        </w:tc>
        <w:tc>
          <w:tcPr>
            <w:tcW w:w="866"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w:t>
            </w:r>
          </w:p>
        </w:tc>
        <w:tc>
          <w:tcPr>
            <w:tcW w:w="867"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3.7</w:t>
            </w:r>
          </w:p>
        </w:tc>
        <w:tc>
          <w:tcPr>
            <w:tcW w:w="866"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w:t>
            </w:r>
          </w:p>
        </w:tc>
        <w:tc>
          <w:tcPr>
            <w:tcW w:w="867"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4.2</w:t>
            </w:r>
          </w:p>
        </w:tc>
        <w:tc>
          <w:tcPr>
            <w:tcW w:w="866"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w:t>
            </w:r>
          </w:p>
        </w:tc>
        <w:tc>
          <w:tcPr>
            <w:tcW w:w="867" w:type="dxa"/>
          </w:tcPr>
          <w:p w:rsidR="00741293" w:rsidRPr="00077B2C" w:rsidRDefault="00741293"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22.8</w:t>
            </w:r>
          </w:p>
        </w:tc>
      </w:tr>
      <w:tr w:rsidR="00741293" w:rsidRPr="00077B2C" w:rsidTr="00A241F3">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60" w:type="dxa"/>
            <w:hideMark/>
          </w:tcPr>
          <w:p w:rsidR="00741293" w:rsidRPr="00077B2C" w:rsidRDefault="00741293" w:rsidP="00257B94">
            <w:pPr>
              <w:pStyle w:val="AERtabletextleft"/>
              <w:rPr>
                <w:sz w:val="16"/>
                <w:szCs w:val="16"/>
              </w:rPr>
            </w:pPr>
            <w:r w:rsidRPr="00077B2C">
              <w:rPr>
                <w:rStyle w:val="AERtextitalic"/>
                <w:sz w:val="16"/>
                <w:szCs w:val="16"/>
              </w:rPr>
              <w:t>Less</w:t>
            </w:r>
            <w:r w:rsidRPr="00077B2C">
              <w:rPr>
                <w:sz w:val="16"/>
                <w:szCs w:val="16"/>
              </w:rPr>
              <w:t xml:space="preserve">: </w:t>
            </w:r>
            <w:r w:rsidR="00257B94">
              <w:rPr>
                <w:sz w:val="16"/>
                <w:szCs w:val="16"/>
              </w:rPr>
              <w:t>v</w:t>
            </w:r>
            <w:r w:rsidRPr="00077B2C">
              <w:rPr>
                <w:sz w:val="16"/>
                <w:szCs w:val="16"/>
              </w:rPr>
              <w:t>alue of imputation credits</w:t>
            </w:r>
          </w:p>
        </w:tc>
        <w:tc>
          <w:tcPr>
            <w:tcW w:w="866"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0.8</w:t>
            </w:r>
          </w:p>
        </w:tc>
        <w:tc>
          <w:tcPr>
            <w:tcW w:w="866"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0.9</w:t>
            </w:r>
          </w:p>
        </w:tc>
        <w:tc>
          <w:tcPr>
            <w:tcW w:w="867"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0.9</w:t>
            </w:r>
          </w:p>
        </w:tc>
        <w:tc>
          <w:tcPr>
            <w:tcW w:w="866"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1.0</w:t>
            </w:r>
          </w:p>
        </w:tc>
        <w:tc>
          <w:tcPr>
            <w:tcW w:w="867"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1.1</w:t>
            </w:r>
          </w:p>
        </w:tc>
        <w:tc>
          <w:tcPr>
            <w:tcW w:w="866"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1.1</w:t>
            </w:r>
          </w:p>
        </w:tc>
        <w:tc>
          <w:tcPr>
            <w:tcW w:w="867" w:type="dxa"/>
          </w:tcPr>
          <w:p w:rsidR="00741293" w:rsidRPr="00077B2C" w:rsidRDefault="008A3E31"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5.7</w:t>
            </w:r>
          </w:p>
        </w:tc>
      </w:tr>
      <w:tr w:rsidR="00741293" w:rsidRPr="00077B2C" w:rsidTr="00A241F3">
        <w:trPr>
          <w:trHeight w:val="553"/>
        </w:trPr>
        <w:tc>
          <w:tcPr>
            <w:cnfStyle w:val="001000000000" w:firstRow="0" w:lastRow="0" w:firstColumn="1" w:lastColumn="0" w:oddVBand="0" w:evenVBand="0" w:oddHBand="0" w:evenHBand="0" w:firstRowFirstColumn="0" w:firstRowLastColumn="0" w:lastRowFirstColumn="0" w:lastRowLastColumn="0"/>
            <w:tcW w:w="2660" w:type="dxa"/>
            <w:hideMark/>
          </w:tcPr>
          <w:p w:rsidR="00741293" w:rsidRPr="00077B2C" w:rsidRDefault="00741293" w:rsidP="00257B94">
            <w:pPr>
              <w:pStyle w:val="AERtabletextleft"/>
              <w:rPr>
                <w:rStyle w:val="Strong"/>
                <w:sz w:val="16"/>
                <w:szCs w:val="16"/>
              </w:rPr>
            </w:pPr>
            <w:r w:rsidRPr="00077B2C">
              <w:rPr>
                <w:rStyle w:val="Strong"/>
                <w:sz w:val="16"/>
                <w:szCs w:val="16"/>
              </w:rPr>
              <w:t>Net corporate</w:t>
            </w:r>
            <w:r w:rsidR="00257B94">
              <w:rPr>
                <w:rStyle w:val="Strong"/>
                <w:sz w:val="16"/>
                <w:szCs w:val="16"/>
              </w:rPr>
              <w:t xml:space="preserve"> income</w:t>
            </w:r>
            <w:r w:rsidRPr="00077B2C">
              <w:rPr>
                <w:rStyle w:val="Strong"/>
                <w:sz w:val="16"/>
                <w:szCs w:val="16"/>
              </w:rPr>
              <w:t xml:space="preserve"> tax</w:t>
            </w:r>
            <w:r w:rsidR="00257B94">
              <w:rPr>
                <w:rStyle w:val="Strong"/>
                <w:sz w:val="16"/>
                <w:szCs w:val="16"/>
              </w:rPr>
              <w:t xml:space="preserve"> allowance</w:t>
            </w:r>
          </w:p>
        </w:tc>
        <w:tc>
          <w:tcPr>
            <w:tcW w:w="866"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2.3</w:t>
            </w:r>
          </w:p>
        </w:tc>
        <w:tc>
          <w:tcPr>
            <w:tcW w:w="866"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2.6</w:t>
            </w:r>
          </w:p>
        </w:tc>
        <w:tc>
          <w:tcPr>
            <w:tcW w:w="867"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2.7</w:t>
            </w:r>
          </w:p>
        </w:tc>
        <w:tc>
          <w:tcPr>
            <w:tcW w:w="866"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3.0</w:t>
            </w:r>
          </w:p>
        </w:tc>
        <w:tc>
          <w:tcPr>
            <w:tcW w:w="867"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3.2</w:t>
            </w:r>
          </w:p>
        </w:tc>
        <w:tc>
          <w:tcPr>
            <w:tcW w:w="866"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3.3</w:t>
            </w:r>
          </w:p>
        </w:tc>
        <w:tc>
          <w:tcPr>
            <w:tcW w:w="867" w:type="dxa"/>
          </w:tcPr>
          <w:p w:rsidR="00741293" w:rsidRPr="00077B2C" w:rsidRDefault="002E79AE" w:rsidP="00817EB0">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17.1</w:t>
            </w:r>
          </w:p>
        </w:tc>
      </w:tr>
    </w:tbl>
    <w:p w:rsidR="00817EB0" w:rsidRPr="00FD50DB" w:rsidRDefault="00817EB0" w:rsidP="00817EB0">
      <w:pPr>
        <w:pStyle w:val="AERtablesource"/>
      </w:pPr>
      <w:r w:rsidRPr="00F17F59">
        <w:rPr>
          <w:rFonts w:eastAsia="Calibri"/>
        </w:rPr>
        <w:t xml:space="preserve">Source: </w:t>
      </w:r>
      <w:r w:rsidRPr="00F17F59">
        <w:rPr>
          <w:rFonts w:eastAsia="Calibri"/>
        </w:rPr>
        <w:tab/>
      </w:r>
      <w:r>
        <w:t>ActewAGL</w:t>
      </w:r>
      <w:r w:rsidRPr="00FD50DB">
        <w:t xml:space="preserve">, </w:t>
      </w:r>
      <w:r w:rsidRPr="00597093">
        <w:rPr>
          <w:i/>
        </w:rPr>
        <w:t>Proposed</w:t>
      </w:r>
      <w:r>
        <w:t xml:space="preserve"> </w:t>
      </w:r>
      <w:r>
        <w:rPr>
          <w:rStyle w:val="AERtextitalic"/>
        </w:rPr>
        <w:t>PTRM</w:t>
      </w:r>
      <w:r w:rsidR="00343749">
        <w:rPr>
          <w:rStyle w:val="AERtextitalic"/>
        </w:rPr>
        <w:t xml:space="preserve"> (alternative approach)</w:t>
      </w:r>
      <w:r w:rsidRPr="00FD50DB">
        <w:t xml:space="preserve">, </w:t>
      </w:r>
      <w:r w:rsidR="00A262D6">
        <w:t>June</w:t>
      </w:r>
      <w:r>
        <w:t xml:space="preserve"> 2015.</w:t>
      </w:r>
    </w:p>
    <w:p w:rsidR="00817EB0" w:rsidRDefault="00817EB0" w:rsidP="005934B0">
      <w:r>
        <w:t>ActewAGL’s proposed roll forward of its TAB over the 201</w:t>
      </w:r>
      <w:r w:rsidR="005934B0">
        <w:t>0</w:t>
      </w:r>
      <w:r>
        <w:t>–1</w:t>
      </w:r>
      <w:r w:rsidR="005934B0">
        <w:t>5</w:t>
      </w:r>
      <w:r>
        <w:t xml:space="preserve"> access arrangement period is set out in </w:t>
      </w:r>
      <w:r>
        <w:fldChar w:fldCharType="begin"/>
      </w:r>
      <w:r>
        <w:instrText xml:space="preserve"> REF  _Ref398551924 \* Lower \h  \* MERGEFORMAT </w:instrText>
      </w:r>
      <w:r>
        <w:fldChar w:fldCharType="separate"/>
      </w:r>
      <w:r w:rsidR="004634B2">
        <w:t xml:space="preserve">table </w:t>
      </w:r>
      <w:r w:rsidR="004634B2">
        <w:rPr>
          <w:noProof/>
        </w:rPr>
        <w:t>8.3</w:t>
      </w:r>
      <w:r>
        <w:fldChar w:fldCharType="end"/>
      </w:r>
      <w:r>
        <w:t>.</w:t>
      </w:r>
    </w:p>
    <w:p w:rsidR="00817EB0" w:rsidRDefault="00817EB0" w:rsidP="008C4BF0">
      <w:pPr>
        <w:pStyle w:val="Caption"/>
      </w:pPr>
      <w:bookmarkStart w:id="18" w:name="_Ref398551924"/>
      <w:r>
        <w:t xml:space="preserve">Table </w:t>
      </w:r>
      <w:r w:rsidRPr="00F17F59">
        <w:fldChar w:fldCharType="begin"/>
      </w:r>
      <w:r>
        <w:instrText xml:space="preserve"> STYLEREF 1 \s </w:instrText>
      </w:r>
      <w:r w:rsidRPr="00F17F59">
        <w:fldChar w:fldCharType="separate"/>
      </w:r>
      <w:r w:rsidR="004634B2">
        <w:rPr>
          <w:noProof/>
        </w:rPr>
        <w:t>8</w:t>
      </w:r>
      <w:r w:rsidRPr="00F17F59">
        <w:fldChar w:fldCharType="end"/>
      </w:r>
      <w:r w:rsidR="008C4BF0">
        <w:t>.</w:t>
      </w:r>
      <w:r w:rsidRPr="00F17F59">
        <w:fldChar w:fldCharType="begin"/>
      </w:r>
      <w:r>
        <w:instrText xml:space="preserve"> SEQ Table \* ARABIC \s 1 </w:instrText>
      </w:r>
      <w:r w:rsidRPr="00F17F59">
        <w:fldChar w:fldCharType="separate"/>
      </w:r>
      <w:r w:rsidR="004634B2">
        <w:rPr>
          <w:noProof/>
        </w:rPr>
        <w:t>3</w:t>
      </w:r>
      <w:r w:rsidRPr="00F17F59">
        <w:fldChar w:fldCharType="end"/>
      </w:r>
      <w:bookmarkEnd w:id="18"/>
      <w:r>
        <w:tab/>
        <w:t>ActewAGL’s proposed tax asset base roll forward over the 201</w:t>
      </w:r>
      <w:r w:rsidR="00350344">
        <w:t>0</w:t>
      </w:r>
      <w:r>
        <w:t>–1</w:t>
      </w:r>
      <w:r w:rsidR="00350344">
        <w:t>5</w:t>
      </w:r>
      <w:r>
        <w:t xml:space="preserve">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5934B0" w:rsidRPr="00077B2C" w:rsidTr="00817EB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5934B0" w:rsidRPr="00077B2C" w:rsidRDefault="005934B0" w:rsidP="00817EB0">
            <w:pPr>
              <w:pStyle w:val="AERtabletextleft"/>
              <w:rPr>
                <w:sz w:val="16"/>
                <w:szCs w:val="16"/>
              </w:rPr>
            </w:pPr>
          </w:p>
        </w:tc>
        <w:tc>
          <w:tcPr>
            <w:tcW w:w="1184" w:type="dxa"/>
            <w:hideMark/>
          </w:tcPr>
          <w:p w:rsidR="005934B0" w:rsidRPr="00077B2C" w:rsidRDefault="005934B0" w:rsidP="005934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w:t>
            </w:r>
            <w:r>
              <w:rPr>
                <w:sz w:val="16"/>
                <w:szCs w:val="16"/>
              </w:rPr>
              <w:t>0</w:t>
            </w:r>
            <w:r w:rsidRPr="00077B2C">
              <w:rPr>
                <w:sz w:val="16"/>
                <w:szCs w:val="16"/>
              </w:rPr>
              <w:t>–1</w:t>
            </w:r>
            <w:r>
              <w:rPr>
                <w:sz w:val="16"/>
                <w:szCs w:val="16"/>
              </w:rPr>
              <w:t>1</w:t>
            </w:r>
          </w:p>
        </w:tc>
        <w:tc>
          <w:tcPr>
            <w:tcW w:w="1184" w:type="dxa"/>
          </w:tcPr>
          <w:p w:rsidR="005934B0" w:rsidRPr="00077B2C" w:rsidRDefault="005934B0" w:rsidP="005934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w:t>
            </w:r>
            <w:r>
              <w:rPr>
                <w:sz w:val="16"/>
                <w:szCs w:val="16"/>
              </w:rPr>
              <w:t>1</w:t>
            </w:r>
            <w:r w:rsidRPr="00077B2C">
              <w:rPr>
                <w:sz w:val="16"/>
                <w:szCs w:val="16"/>
              </w:rPr>
              <w:t>–1</w:t>
            </w:r>
            <w:r>
              <w:rPr>
                <w:sz w:val="16"/>
                <w:szCs w:val="16"/>
              </w:rPr>
              <w:t>2</w:t>
            </w:r>
          </w:p>
        </w:tc>
        <w:tc>
          <w:tcPr>
            <w:tcW w:w="1185" w:type="dxa"/>
          </w:tcPr>
          <w:p w:rsidR="005934B0" w:rsidRPr="00077B2C" w:rsidRDefault="005934B0"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2012–13</w:t>
            </w:r>
          </w:p>
        </w:tc>
        <w:tc>
          <w:tcPr>
            <w:tcW w:w="1184" w:type="dxa"/>
          </w:tcPr>
          <w:p w:rsidR="005934B0" w:rsidRPr="00077B2C" w:rsidRDefault="005934B0"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2013–14</w:t>
            </w:r>
          </w:p>
        </w:tc>
        <w:tc>
          <w:tcPr>
            <w:tcW w:w="1185" w:type="dxa"/>
          </w:tcPr>
          <w:p w:rsidR="005934B0" w:rsidRPr="00077B2C" w:rsidRDefault="005934B0"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2014–15</w:t>
            </w:r>
          </w:p>
        </w:tc>
      </w:tr>
      <w:tr w:rsidR="00817EB0" w:rsidRPr="00077B2C" w:rsidTr="00817EB0">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817EB0" w:rsidRPr="00077B2C" w:rsidRDefault="00817EB0" w:rsidP="00817EB0">
            <w:pPr>
              <w:pStyle w:val="AERtabletextleft"/>
              <w:rPr>
                <w:sz w:val="16"/>
                <w:szCs w:val="16"/>
              </w:rPr>
            </w:pPr>
            <w:r w:rsidRPr="00077B2C">
              <w:rPr>
                <w:sz w:val="16"/>
                <w:szCs w:val="16"/>
              </w:rPr>
              <w:t>Opening tax asset base</w:t>
            </w:r>
          </w:p>
        </w:tc>
        <w:tc>
          <w:tcPr>
            <w:tcW w:w="1184" w:type="dxa"/>
          </w:tcPr>
          <w:p w:rsidR="00817EB0" w:rsidRPr="00077B2C" w:rsidRDefault="00B91279"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191.6</w:t>
            </w:r>
          </w:p>
        </w:tc>
        <w:tc>
          <w:tcPr>
            <w:tcW w:w="1184" w:type="dxa"/>
          </w:tcPr>
          <w:p w:rsidR="00817EB0" w:rsidRPr="00077B2C" w:rsidRDefault="00B91279"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195.8</w:t>
            </w:r>
          </w:p>
        </w:tc>
        <w:tc>
          <w:tcPr>
            <w:tcW w:w="1185" w:type="dxa"/>
          </w:tcPr>
          <w:p w:rsidR="00817EB0" w:rsidRPr="00077B2C" w:rsidRDefault="00B91279"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201.0</w:t>
            </w:r>
          </w:p>
        </w:tc>
        <w:tc>
          <w:tcPr>
            <w:tcW w:w="1184" w:type="dxa"/>
          </w:tcPr>
          <w:p w:rsidR="00817EB0" w:rsidRPr="00077B2C" w:rsidRDefault="00B91279"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210.9</w:t>
            </w:r>
          </w:p>
        </w:tc>
        <w:tc>
          <w:tcPr>
            <w:tcW w:w="1185" w:type="dxa"/>
          </w:tcPr>
          <w:p w:rsidR="00817EB0" w:rsidRPr="00077B2C" w:rsidRDefault="00B91279" w:rsidP="00817EB0">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218.7</w:t>
            </w:r>
          </w:p>
        </w:tc>
      </w:tr>
      <w:tr w:rsidR="00B91279" w:rsidRPr="00077B2C" w:rsidTr="00817EB0">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B91279" w:rsidRPr="00077B2C" w:rsidRDefault="00B91279" w:rsidP="00817EB0">
            <w:pPr>
              <w:pStyle w:val="AERtabletextleft"/>
              <w:rPr>
                <w:sz w:val="16"/>
                <w:szCs w:val="16"/>
              </w:rPr>
            </w:pPr>
            <w:r w:rsidRPr="00077B2C">
              <w:rPr>
                <w:sz w:val="16"/>
                <w:szCs w:val="16"/>
              </w:rPr>
              <w:t>Capex</w:t>
            </w:r>
          </w:p>
        </w:tc>
        <w:tc>
          <w:tcPr>
            <w:tcW w:w="1184"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12.8</w:t>
            </w:r>
          </w:p>
        </w:tc>
        <w:tc>
          <w:tcPr>
            <w:tcW w:w="1184"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14.3</w:t>
            </w:r>
          </w:p>
        </w:tc>
        <w:tc>
          <w:tcPr>
            <w:tcW w:w="1185"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19.4</w:t>
            </w:r>
          </w:p>
        </w:tc>
        <w:tc>
          <w:tcPr>
            <w:tcW w:w="1184"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17.8</w:t>
            </w:r>
          </w:p>
        </w:tc>
        <w:tc>
          <w:tcPr>
            <w:tcW w:w="1185" w:type="dxa"/>
          </w:tcPr>
          <w:p w:rsidR="00B91279" w:rsidRPr="00077B2C" w:rsidRDefault="00B91279"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23.7</w:t>
            </w:r>
          </w:p>
        </w:tc>
      </w:tr>
      <w:tr w:rsidR="00817EB0" w:rsidRPr="00077B2C" w:rsidTr="00817EB0">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817EB0" w:rsidRPr="00077B2C" w:rsidRDefault="00817EB0" w:rsidP="00817EB0">
            <w:pPr>
              <w:pStyle w:val="AERtabletextleft"/>
              <w:rPr>
                <w:sz w:val="16"/>
                <w:szCs w:val="16"/>
              </w:rPr>
            </w:pPr>
            <w:r>
              <w:rPr>
                <w:sz w:val="16"/>
                <w:szCs w:val="16"/>
              </w:rPr>
              <w:t>T</w:t>
            </w:r>
            <w:r w:rsidRPr="00077B2C">
              <w:rPr>
                <w:sz w:val="16"/>
                <w:szCs w:val="16"/>
              </w:rPr>
              <w:t>ax depreciation</w:t>
            </w:r>
          </w:p>
        </w:tc>
        <w:tc>
          <w:tcPr>
            <w:tcW w:w="1184" w:type="dxa"/>
          </w:tcPr>
          <w:p w:rsidR="00817EB0" w:rsidRPr="00077B2C" w:rsidRDefault="00817EB0" w:rsidP="00B9127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B91279">
              <w:rPr>
                <w:sz w:val="16"/>
                <w:szCs w:val="16"/>
              </w:rPr>
              <w:t>8.6</w:t>
            </w:r>
          </w:p>
        </w:tc>
        <w:tc>
          <w:tcPr>
            <w:tcW w:w="1184" w:type="dxa"/>
          </w:tcPr>
          <w:p w:rsidR="00817EB0" w:rsidRPr="00077B2C" w:rsidRDefault="00817EB0" w:rsidP="00B9127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B91279">
              <w:rPr>
                <w:sz w:val="16"/>
                <w:szCs w:val="16"/>
              </w:rPr>
              <w:t>9.1</w:t>
            </w:r>
          </w:p>
        </w:tc>
        <w:tc>
          <w:tcPr>
            <w:tcW w:w="1185" w:type="dxa"/>
          </w:tcPr>
          <w:p w:rsidR="00817EB0" w:rsidRPr="00077B2C" w:rsidRDefault="00817EB0" w:rsidP="00B9127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B91279">
              <w:rPr>
                <w:sz w:val="16"/>
                <w:szCs w:val="16"/>
              </w:rPr>
              <w:t>9.5</w:t>
            </w:r>
          </w:p>
        </w:tc>
        <w:tc>
          <w:tcPr>
            <w:tcW w:w="1184" w:type="dxa"/>
          </w:tcPr>
          <w:p w:rsidR="00817EB0" w:rsidRPr="00077B2C" w:rsidRDefault="00817EB0" w:rsidP="00B9127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B91279">
              <w:rPr>
                <w:sz w:val="16"/>
                <w:szCs w:val="16"/>
              </w:rPr>
              <w:t>10</w:t>
            </w:r>
            <w:r w:rsidRPr="00077B2C">
              <w:rPr>
                <w:sz w:val="16"/>
                <w:szCs w:val="16"/>
              </w:rPr>
              <w:t>.0</w:t>
            </w:r>
          </w:p>
        </w:tc>
        <w:tc>
          <w:tcPr>
            <w:tcW w:w="1185" w:type="dxa"/>
          </w:tcPr>
          <w:p w:rsidR="00817EB0" w:rsidRPr="00077B2C" w:rsidRDefault="00817EB0" w:rsidP="00B9127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B91279">
              <w:rPr>
                <w:sz w:val="16"/>
                <w:szCs w:val="16"/>
              </w:rPr>
              <w:t>10.5</w:t>
            </w:r>
          </w:p>
        </w:tc>
      </w:tr>
      <w:tr w:rsidR="00B91279" w:rsidRPr="00077B2C" w:rsidTr="00D63EBB">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93" w:type="dxa"/>
            <w:hideMark/>
          </w:tcPr>
          <w:p w:rsidR="00B91279" w:rsidRPr="00077B2C" w:rsidRDefault="00B91279" w:rsidP="00817EB0">
            <w:pPr>
              <w:pStyle w:val="AERtabletextleft"/>
              <w:rPr>
                <w:sz w:val="16"/>
                <w:szCs w:val="16"/>
              </w:rPr>
            </w:pPr>
            <w:r w:rsidRPr="00077B2C">
              <w:rPr>
                <w:sz w:val="16"/>
                <w:szCs w:val="16"/>
              </w:rPr>
              <w:t>Closing tax asset base</w:t>
            </w:r>
          </w:p>
        </w:tc>
        <w:tc>
          <w:tcPr>
            <w:tcW w:w="1184"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195.8</w:t>
            </w:r>
          </w:p>
        </w:tc>
        <w:tc>
          <w:tcPr>
            <w:tcW w:w="1184"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201.0</w:t>
            </w:r>
          </w:p>
        </w:tc>
        <w:tc>
          <w:tcPr>
            <w:tcW w:w="1185"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210.9</w:t>
            </w:r>
          </w:p>
        </w:tc>
        <w:tc>
          <w:tcPr>
            <w:tcW w:w="1184" w:type="dxa"/>
          </w:tcPr>
          <w:p w:rsidR="00B91279" w:rsidRPr="00077B2C" w:rsidRDefault="00B9127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218.7</w:t>
            </w:r>
          </w:p>
        </w:tc>
        <w:tc>
          <w:tcPr>
            <w:tcW w:w="1185" w:type="dxa"/>
          </w:tcPr>
          <w:p w:rsidR="00B91279" w:rsidRPr="00077B2C" w:rsidRDefault="00B91279" w:rsidP="00817EB0">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231.9</w:t>
            </w:r>
          </w:p>
        </w:tc>
      </w:tr>
    </w:tbl>
    <w:p w:rsidR="00817EB0" w:rsidRPr="00F17F59" w:rsidRDefault="00817EB0" w:rsidP="00817EB0">
      <w:pPr>
        <w:pStyle w:val="AERtablesource"/>
        <w:rPr>
          <w:rFonts w:eastAsia="Calibri"/>
        </w:rPr>
      </w:pPr>
      <w:r>
        <w:t xml:space="preserve"> </w:t>
      </w:r>
      <w:r w:rsidRPr="00F17F59">
        <w:rPr>
          <w:rFonts w:eastAsia="Calibri"/>
        </w:rPr>
        <w:t xml:space="preserve">Source: </w:t>
      </w:r>
      <w:r w:rsidRPr="00F17F59">
        <w:rPr>
          <w:rFonts w:eastAsia="Calibri"/>
        </w:rPr>
        <w:tab/>
      </w:r>
      <w:r>
        <w:t>ActewAGL</w:t>
      </w:r>
      <w:r w:rsidRPr="000F2AA1">
        <w:t>,</w:t>
      </w:r>
      <w:r>
        <w:t xml:space="preserve"> </w:t>
      </w:r>
      <w:r w:rsidRPr="00282284">
        <w:rPr>
          <w:i/>
        </w:rPr>
        <w:t>Proposed RFM</w:t>
      </w:r>
      <w:r w:rsidR="00343749">
        <w:rPr>
          <w:i/>
        </w:rPr>
        <w:t xml:space="preserve"> (alternative approach)</w:t>
      </w:r>
      <w:r w:rsidRPr="000F2AA1">
        <w:t xml:space="preserve">, </w:t>
      </w:r>
      <w:r w:rsidR="00343749">
        <w:t>June</w:t>
      </w:r>
      <w:r>
        <w:t xml:space="preserve"> 2015.</w:t>
      </w:r>
    </w:p>
    <w:p w:rsidR="009A5113" w:rsidRDefault="009A5113" w:rsidP="009A5113">
      <w:pPr>
        <w:pStyle w:val="Heading2"/>
      </w:pPr>
      <w:bookmarkStart w:id="19" w:name="_Toc408404322"/>
      <w:bookmarkStart w:id="20" w:name="_Toc436043211"/>
      <w:bookmarkEnd w:id="15"/>
      <w:r w:rsidRPr="0074565D">
        <w:t>AER’s assessment approach</w:t>
      </w:r>
      <w:bookmarkEnd w:id="19"/>
      <w:bookmarkEnd w:id="20"/>
    </w:p>
    <w:p w:rsidR="00817EB0" w:rsidRPr="00FD50DB" w:rsidRDefault="00817EB0" w:rsidP="00817EB0">
      <w:r>
        <w:t>Our approach to calculate ActewAGL’s cost of corporate income tax begins with an</w:t>
      </w:r>
      <w:r w:rsidRPr="00FD50DB">
        <w:t xml:space="preserve"> estimate</w:t>
      </w:r>
      <w:r>
        <w:t xml:space="preserve"> of</w:t>
      </w:r>
      <w:r w:rsidRPr="00FD50DB">
        <w:t xml:space="preserve"> taxable income that would be earned by a</w:t>
      </w:r>
      <w:r>
        <w:t xml:space="preserve"> benchmark</w:t>
      </w:r>
      <w:r w:rsidRPr="00FD50DB">
        <w:t xml:space="preserve"> efficient company operating </w:t>
      </w:r>
      <w:r>
        <w:t>ActewAGL’</w:t>
      </w:r>
      <w:r w:rsidRPr="00FD50DB">
        <w:t xml:space="preserve">s </w:t>
      </w:r>
      <w:r>
        <w:t>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w:t>
      </w:r>
      <w:r>
        <w:t>ActewAGL</w:t>
      </w:r>
      <w:r w:rsidRPr="00FD50DB">
        <w:t xml:space="preserve">’s actual gearing. Tax depreciation is calculated using a separate </w:t>
      </w:r>
      <w:r>
        <w:t>TAB</w:t>
      </w:r>
      <w:r w:rsidRPr="00FD50DB">
        <w:t>. All tax expenses (including other expenses such as operating expenditure) are offs</w:t>
      </w:r>
      <w:r>
        <w:t>et against the service provider’</w:t>
      </w:r>
      <w:r w:rsidRPr="00FD50DB">
        <w:t xml:space="preserve">s forecast revenue to estimate the taxable income. The statutory income tax rate of 30 per cent is then applied to the estimated taxable income to arrive at a notional amount of tax payable. We then apply a discount to that notional amount of </w:t>
      </w:r>
      <w:r w:rsidRPr="00FD50DB">
        <w:lastRenderedPageBreak/>
        <w:t xml:space="preserve">tax payable to account for the </w:t>
      </w:r>
      <w:r>
        <w:t xml:space="preserve">value of imputation credits (gamma). </w:t>
      </w:r>
      <w:r w:rsidRPr="002616BC">
        <w:t>T</w:t>
      </w:r>
      <w:r w:rsidRPr="00286FBC">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 xml:space="preserve">is then included as a separate building block in determining </w:t>
      </w:r>
      <w:r>
        <w:t>ActewAGL</w:t>
      </w:r>
      <w:r w:rsidRPr="00FD50DB">
        <w:t>’s total revenue.</w:t>
      </w:r>
      <w:r w:rsidRPr="00FD50DB">
        <w:rPr>
          <w:rStyle w:val="FootnoteReference"/>
        </w:rPr>
        <w:footnoteReference w:id="5"/>
      </w:r>
      <w:r w:rsidRPr="00FD50DB">
        <w:t xml:space="preserve"> </w:t>
      </w:r>
    </w:p>
    <w:p w:rsidR="00817EB0" w:rsidRPr="00FD50DB" w:rsidRDefault="00817EB0" w:rsidP="00817EB0">
      <w:r>
        <w:t xml:space="preserve">The corporate income tax allowance </w:t>
      </w:r>
      <w:r w:rsidRPr="00874BD1">
        <w:t>is an output of the AER’s PTRM</w:t>
      </w:r>
      <w:r>
        <w:t>, which has been adopted by ActewAGL</w:t>
      </w:r>
      <w:r w:rsidRPr="00874BD1">
        <w:t xml:space="preserve">. </w:t>
      </w:r>
      <w:r w:rsidRPr="00FD50DB">
        <w:t xml:space="preserve">We </w:t>
      </w:r>
      <w:r>
        <w:t xml:space="preserve">have </w:t>
      </w:r>
      <w:r w:rsidRPr="00FD50DB">
        <w:t xml:space="preserve">therefore assessed </w:t>
      </w:r>
      <w:r>
        <w:t>ActewAGL’</w:t>
      </w:r>
      <w:r w:rsidRPr="00FD50DB">
        <w:t xml:space="preserve">s proposed corporate income tax allowance by analysing </w:t>
      </w:r>
      <w:r>
        <w:t>its</w:t>
      </w:r>
      <w:r w:rsidRPr="00FD50DB">
        <w:t xml:space="preserve"> proposed inputs to the </w:t>
      </w:r>
      <w:r>
        <w:t>PTRM</w:t>
      </w:r>
      <w:r w:rsidRPr="00FD50DB">
        <w:t xml:space="preserve"> for calculating the tax allowance. These inputs include: </w:t>
      </w:r>
    </w:p>
    <w:p w:rsidR="00817EB0" w:rsidRPr="00F8282A" w:rsidRDefault="00817EB0" w:rsidP="00817EB0">
      <w:pPr>
        <w:pStyle w:val="AERbulletlistfirststyle"/>
      </w:pPr>
      <w:r w:rsidRPr="00F8282A">
        <w:t>the opening TAB as at 1 July 201</w:t>
      </w:r>
      <w:r w:rsidR="00C065CF">
        <w:t>5</w:t>
      </w:r>
      <w:r w:rsidRPr="00F8282A">
        <w:t xml:space="preserve"> </w:t>
      </w:r>
    </w:p>
    <w:p w:rsidR="00817EB0" w:rsidRPr="00F8282A" w:rsidRDefault="00817EB0" w:rsidP="00817EB0">
      <w:pPr>
        <w:pStyle w:val="AERbulletlistfirststyle"/>
      </w:pPr>
      <w:r>
        <w:t xml:space="preserve">the standard tax asset life </w:t>
      </w:r>
      <w:r w:rsidRPr="00F8282A">
        <w:t>for each asset class</w:t>
      </w:r>
    </w:p>
    <w:p w:rsidR="00817EB0" w:rsidRPr="00F8282A" w:rsidRDefault="00817EB0" w:rsidP="00817EB0">
      <w:pPr>
        <w:pStyle w:val="AERbulletlistfirststyle"/>
      </w:pPr>
      <w:r w:rsidRPr="00F8282A">
        <w:t xml:space="preserve">the </w:t>
      </w:r>
      <w:r>
        <w:t>remaining tax asset life</w:t>
      </w:r>
      <w:r w:rsidRPr="00F8282A">
        <w:t xml:space="preserve"> for each asset class</w:t>
      </w:r>
      <w:r>
        <w:t xml:space="preserve"> as at 1 July 201</w:t>
      </w:r>
      <w:r w:rsidR="00C065CF">
        <w:t>5</w:t>
      </w:r>
    </w:p>
    <w:p w:rsidR="00817EB0" w:rsidRPr="00F8282A" w:rsidRDefault="00817EB0" w:rsidP="00817EB0">
      <w:pPr>
        <w:pStyle w:val="AERbulletlistfirststyle"/>
      </w:pPr>
      <w:r w:rsidRPr="00F8282A">
        <w:t xml:space="preserve">the income tax rate </w:t>
      </w:r>
    </w:p>
    <w:p w:rsidR="00817EB0" w:rsidRPr="00F8282A" w:rsidRDefault="00817EB0" w:rsidP="00817EB0">
      <w:pPr>
        <w:pStyle w:val="AERbulletlistfirststyle"/>
      </w:pPr>
      <w:r w:rsidRPr="00F8282A">
        <w:t xml:space="preserve">the value of </w:t>
      </w:r>
      <w:r>
        <w:t>imputation credits (</w:t>
      </w:r>
      <w:r w:rsidRPr="00F8282A">
        <w:t>gamma</w:t>
      </w:r>
      <w:r>
        <w:t>)</w:t>
      </w:r>
      <w:r w:rsidRPr="00F8282A">
        <w:t>.</w:t>
      </w:r>
    </w:p>
    <w:p w:rsidR="00817EB0" w:rsidRPr="00FD50DB" w:rsidRDefault="00817EB0" w:rsidP="00817EB0">
      <w:r w:rsidRPr="00FD50DB">
        <w:rPr>
          <w:rStyle w:val="AERbody"/>
        </w:rPr>
        <w:t xml:space="preserve">In assessing </w:t>
      </w:r>
      <w:r>
        <w:t>ActewAGL</w:t>
      </w:r>
      <w:r>
        <w:rPr>
          <w:rStyle w:val="AERbody"/>
        </w:rPr>
        <w:t>’</w:t>
      </w:r>
      <w:r w:rsidRPr="00FD50DB">
        <w:rPr>
          <w:rStyle w:val="AERbody"/>
        </w:rPr>
        <w:t>s 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6"/>
      </w:r>
    </w:p>
    <w:p w:rsidR="00817EB0" w:rsidRPr="00FD50DB" w:rsidRDefault="00817EB0" w:rsidP="00817EB0">
      <w:r>
        <w:t>We consider</w:t>
      </w:r>
      <w:r w:rsidRPr="00FD50DB">
        <w:t xml:space="preserve"> that the roll forward of the opening </w:t>
      </w:r>
      <w:r>
        <w:t>TAB</w:t>
      </w:r>
      <w:r w:rsidRPr="00FD50DB">
        <w:t xml:space="preserve"> to </w:t>
      </w:r>
      <w:r>
        <w:t>1 July 201</w:t>
      </w:r>
      <w:r w:rsidR="00C065CF">
        <w:t>5</w:t>
      </w:r>
      <w:r w:rsidRPr="00FD50DB">
        <w:t xml:space="preserve"> should be based on the approved opening </w:t>
      </w:r>
      <w:r>
        <w:t>TAB</w:t>
      </w:r>
      <w:r w:rsidRPr="00FD50DB">
        <w:t xml:space="preserve"> as at </w:t>
      </w:r>
      <w:r>
        <w:t>1 July 201</w:t>
      </w:r>
      <w:r w:rsidR="00C065CF">
        <w:t>0</w:t>
      </w:r>
      <w:r w:rsidRPr="00FD50DB">
        <w:t xml:space="preserve"> and </w:t>
      </w:r>
      <w:r>
        <w:t>ActewAGL</w:t>
      </w:r>
      <w:r w:rsidRPr="00FD50DB">
        <w:t xml:space="preserve">’s actual capex in </w:t>
      </w:r>
      <w:r>
        <w:t>the 201</w:t>
      </w:r>
      <w:r w:rsidR="0017772F">
        <w:t>0</w:t>
      </w:r>
      <w:r>
        <w:t>–1</w:t>
      </w:r>
      <w:r w:rsidR="0017772F">
        <w:t>5</w:t>
      </w:r>
      <w:r>
        <w:t xml:space="preserve"> access arrangement period</w:t>
      </w:r>
      <w:r w:rsidRPr="00FD50DB">
        <w:t xml:space="preserve">. The value of the </w:t>
      </w:r>
      <w:r w:rsidRPr="002616BC">
        <w:rPr>
          <w:rStyle w:val="AERbody"/>
        </w:rPr>
        <w:t>actual capex used for rolling forward the TAB is subject to our assessment of these values as discussed in attachment 6.</w:t>
      </w:r>
    </w:p>
    <w:p w:rsidR="00817EB0" w:rsidRDefault="00817EB0" w:rsidP="00817EB0">
      <w:r w:rsidRPr="00FD50DB">
        <w:t xml:space="preserve">We assess </w:t>
      </w:r>
      <w:r>
        <w:t>ActewAGL’</w:t>
      </w:r>
      <w:r w:rsidRPr="00FD50DB">
        <w:t xml:space="preserve">s proposed </w:t>
      </w:r>
      <w:r>
        <w:t xml:space="preserve">standard tax asset lives, where appropriate, by comparing them against the values approved </w:t>
      </w:r>
      <w:r w:rsidRPr="00FD50DB">
        <w:t xml:space="preserve">in the </w:t>
      </w:r>
      <w:r>
        <w:t>201</w:t>
      </w:r>
      <w:r w:rsidR="00C065CF">
        <w:t>0</w:t>
      </w:r>
      <w:r>
        <w:t>–1</w:t>
      </w:r>
      <w:r w:rsidR="00C065CF">
        <w:t>5</w:t>
      </w:r>
      <w:r w:rsidRPr="00FD50DB">
        <w:t xml:space="preserve"> access arrangement period </w:t>
      </w:r>
      <w:r>
        <w:t xml:space="preserve">as well as </w:t>
      </w:r>
      <w:r w:rsidRPr="00D079C3">
        <w:t xml:space="preserve">those prescribed by the Commissioner for </w:t>
      </w:r>
      <w:r>
        <w:t>t</w:t>
      </w:r>
      <w:r w:rsidRPr="00D079C3">
        <w:t xml:space="preserve">axation in </w:t>
      </w:r>
      <w:r>
        <w:t>t</w:t>
      </w:r>
      <w:r w:rsidRPr="00D079C3">
        <w:t xml:space="preserve">ax </w:t>
      </w:r>
      <w:r>
        <w:t>r</w:t>
      </w:r>
      <w:r w:rsidRPr="00D079C3">
        <w:t xml:space="preserve">uling </w:t>
      </w:r>
      <w:r w:rsidRPr="002616BC">
        <w:rPr>
          <w:rStyle w:val="AERbody"/>
        </w:rPr>
        <w:t>201</w:t>
      </w:r>
      <w:r>
        <w:rPr>
          <w:rStyle w:val="AERbody"/>
        </w:rPr>
        <w:t>5</w:t>
      </w:r>
      <w:r w:rsidRPr="002616BC">
        <w:rPr>
          <w:rStyle w:val="AERbody"/>
        </w:rPr>
        <w:t>/</w:t>
      </w:r>
      <w:r>
        <w:rPr>
          <w:rStyle w:val="AERbody"/>
        </w:rPr>
        <w:t>2</w:t>
      </w:r>
      <w:r w:rsidRPr="00FD50DB">
        <w:t>.</w:t>
      </w:r>
      <w:r>
        <w:rPr>
          <w:rStyle w:val="FootnoteReference"/>
        </w:rPr>
        <w:footnoteReference w:id="7"/>
      </w:r>
      <w:r w:rsidRPr="00FD50DB">
        <w:t xml:space="preserve"> </w:t>
      </w:r>
    </w:p>
    <w:p w:rsidR="00817EB0" w:rsidRPr="00FD50DB" w:rsidRDefault="00817EB0" w:rsidP="00817EB0">
      <w:r>
        <w:t>Our</w:t>
      </w:r>
      <w:r w:rsidRPr="00874BD1">
        <w:t xml:space="preserve"> </w:t>
      </w:r>
      <w:r>
        <w:t>standard</w:t>
      </w:r>
      <w:r w:rsidRPr="00874BD1">
        <w:t xml:space="preserve"> method </w:t>
      </w:r>
      <w:r>
        <w:t>for</w:t>
      </w:r>
      <w:r w:rsidRPr="00874BD1">
        <w:t xml:space="preserve"> determin</w:t>
      </w:r>
      <w:r>
        <w:t>ing</w:t>
      </w:r>
      <w:r w:rsidRPr="00874BD1">
        <w:t xml:space="preserve"> the remaining tax asset lives is the weighted average method. </w:t>
      </w:r>
      <w:r w:rsidRPr="003A447F">
        <w:t xml:space="preserve">The weighted average method </w:t>
      </w:r>
      <w:r>
        <w:t xml:space="preserve">rolls forward the remaining tax asset life for a tax asset class from the last year of the earlier access arrangement period (in </w:t>
      </w:r>
      <w:r w:rsidR="00397630">
        <w:t>ActewAGL</w:t>
      </w:r>
      <w:r w:rsidR="00C065CF">
        <w:t>’s case 2009</w:t>
      </w:r>
      <w:r>
        <w:t>–1</w:t>
      </w:r>
      <w:r w:rsidR="00C065CF">
        <w:t>0</w:t>
      </w:r>
      <w:r>
        <w:t>) in order to take into account the actual capex for that year. This approach</w:t>
      </w:r>
      <w:r w:rsidRPr="00334ADF">
        <w:t xml:space="preserve"> reflect</w:t>
      </w:r>
      <w:r>
        <w:t>s</w:t>
      </w:r>
      <w:r w:rsidRPr="00334ADF">
        <w:t xml:space="preserve"> the mix of assets within that </w:t>
      </w:r>
      <w:r>
        <w:t xml:space="preserve">tax </w:t>
      </w:r>
      <w:r w:rsidRPr="00334ADF">
        <w:t>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w:t>
      </w:r>
      <w:r>
        <w:t>We</w:t>
      </w:r>
      <w:r w:rsidRPr="00334ADF">
        <w:t xml:space="preserve"> will assess the outcomes of other approaches against </w:t>
      </w:r>
      <w:r>
        <w:t>the outcomes of t</w:t>
      </w:r>
      <w:r w:rsidRPr="00334ADF">
        <w:t>his standard approach</w:t>
      </w:r>
      <w:r>
        <w:t>.</w:t>
      </w:r>
    </w:p>
    <w:p w:rsidR="005C0A7F" w:rsidRDefault="005C0A7F" w:rsidP="005C0A7F">
      <w:pPr>
        <w:pStyle w:val="Heading3"/>
      </w:pPr>
      <w:bookmarkStart w:id="21" w:name="_Toc436043212"/>
      <w:r>
        <w:lastRenderedPageBreak/>
        <w:t>Interrelationships</w:t>
      </w:r>
      <w:bookmarkEnd w:id="21"/>
    </w:p>
    <w:p w:rsidR="00817EB0" w:rsidRPr="00FD50DB" w:rsidRDefault="00817EB0" w:rsidP="00817EB0">
      <w:r w:rsidRPr="00FD50DB">
        <w:t>The corporate income tax building block feeds directly into the annual revenue requirement. This tax allowance is determined by four factors:</w:t>
      </w:r>
    </w:p>
    <w:p w:rsidR="00817EB0" w:rsidRPr="00F8282A" w:rsidRDefault="00817EB0" w:rsidP="00817EB0">
      <w:pPr>
        <w:pStyle w:val="AERbulletlistfirststyle"/>
      </w:pPr>
      <w:r w:rsidRPr="00F8282A">
        <w:t>pre</w:t>
      </w:r>
      <w:r w:rsidR="00AE3D2E">
        <w:t>–</w:t>
      </w:r>
      <w:r w:rsidRPr="00F8282A">
        <w:t xml:space="preserve">tax revenues </w:t>
      </w:r>
    </w:p>
    <w:p w:rsidR="00817EB0" w:rsidRPr="00F8282A" w:rsidRDefault="00817EB0" w:rsidP="00817EB0">
      <w:pPr>
        <w:pStyle w:val="AERbulletlistfirststyle"/>
      </w:pPr>
      <w:r w:rsidRPr="00F8282A">
        <w:t>tax expenses (including tax depreciation)</w:t>
      </w:r>
    </w:p>
    <w:p w:rsidR="00817EB0" w:rsidRPr="00F8282A" w:rsidRDefault="00817EB0" w:rsidP="00817EB0">
      <w:pPr>
        <w:pStyle w:val="AERbulletlistfirststyle"/>
      </w:pPr>
      <w:r w:rsidRPr="00F8282A">
        <w:t>the corporate tax rate</w:t>
      </w:r>
    </w:p>
    <w:p w:rsidR="00817EB0" w:rsidRPr="00F8282A" w:rsidRDefault="00817EB0" w:rsidP="00817EB0">
      <w:pPr>
        <w:pStyle w:val="AERbulletlistfirststyle"/>
      </w:pPr>
      <w:r>
        <w:t>the value of imputation credits (</w:t>
      </w:r>
      <w:r w:rsidRPr="00F8282A">
        <w:t>gamma</w:t>
      </w:r>
      <w:r>
        <w:t>)</w:t>
      </w:r>
      <w:r w:rsidRPr="00F8282A">
        <w:t>—the expected proportion of company tax that is returned to investors through the utilisation of imputation credits—which offsets against the corporate income tax allowance. This is discussed further at attachment 4.</w:t>
      </w:r>
    </w:p>
    <w:p w:rsidR="00817EB0" w:rsidRPr="00FD50DB" w:rsidRDefault="00817EB0" w:rsidP="00817EB0">
      <w:r w:rsidRPr="00FD50DB">
        <w:t>Of these four factors, the corporate tax rate is set externally by the Government. The higher the tax rate the higher the required tax allowance.</w:t>
      </w:r>
    </w:p>
    <w:p w:rsidR="00817EB0" w:rsidRPr="00FD50DB" w:rsidRDefault="00817EB0" w:rsidP="00817EB0">
      <w:r w:rsidRPr="00FD50DB">
        <w:t>The pre</w:t>
      </w:r>
      <w:r w:rsidR="00AE3D2E">
        <w:t>–</w:t>
      </w:r>
      <w:r w:rsidRPr="00FD50DB">
        <w:t>tax revenues depend on all the building block components. Any factor that affects revenue will therefore affect pre</w:t>
      </w:r>
      <w:r w:rsidR="00AE3D2E">
        <w:t>–</w:t>
      </w:r>
      <w:r w:rsidRPr="00FD50DB">
        <w:t xml:space="preserve">tax revenues. </w:t>
      </w:r>
      <w:r>
        <w:t>H</w:t>
      </w:r>
      <w:r w:rsidRPr="00FD50DB">
        <w:t>igher pre</w:t>
      </w:r>
      <w:r w:rsidR="00AE3D2E">
        <w:t>–</w:t>
      </w:r>
      <w:r w:rsidRPr="00FD50DB">
        <w:t xml:space="preserve">tax revenues </w:t>
      </w:r>
      <w:r>
        <w:t>can</w:t>
      </w:r>
      <w:r w:rsidRPr="00FD50DB">
        <w:t xml:space="preserve"> increase the corporate income tax allowance.</w:t>
      </w:r>
      <w:r w:rsidRPr="00FD50DB">
        <w:rPr>
          <w:rStyle w:val="FootnoteReference"/>
        </w:rPr>
        <w:footnoteReference w:id="8"/>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9"/>
      </w:r>
      <w:r w:rsidRPr="004656C5">
        <w:t xml:space="preserve">   </w:t>
      </w:r>
    </w:p>
    <w:p w:rsidR="00817EB0" w:rsidRPr="00FD50DB" w:rsidRDefault="00817EB0" w:rsidP="00817EB0">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817EB0" w:rsidRPr="00F8282A" w:rsidRDefault="00817EB0" w:rsidP="00817EB0">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817EB0" w:rsidRPr="00F8282A" w:rsidRDefault="00817EB0" w:rsidP="00817EB0">
      <w:pPr>
        <w:pStyle w:val="AERbulletlistfirststyle"/>
      </w:pPr>
      <w:r w:rsidRPr="00F8282A">
        <w:t>General expenses – In the main these expenses will match the opex allowance.</w:t>
      </w:r>
    </w:p>
    <w:p w:rsidR="00817EB0" w:rsidRPr="00F8282A" w:rsidRDefault="00817EB0" w:rsidP="00817EB0">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817EB0" w:rsidRPr="006A5792" w:rsidRDefault="00817EB0" w:rsidP="00817EB0">
      <w:r w:rsidRPr="002616BC">
        <w:rPr>
          <w:rStyle w:val="AERbody"/>
        </w:rPr>
        <w:lastRenderedPageBreak/>
        <w:t>A ten</w:t>
      </w:r>
      <w:r>
        <w:rPr>
          <w:rStyle w:val="AERbody"/>
        </w:rPr>
        <w:t xml:space="preserve"> </w:t>
      </w:r>
      <w:r w:rsidRPr="002616BC">
        <w:rPr>
          <w:rStyle w:val="AERbody"/>
        </w:rPr>
        <w:t xml:space="preserve">per cent increase in the corporate income tax allowance would cause revenues to increase by about </w:t>
      </w:r>
      <w:r>
        <w:rPr>
          <w:rStyle w:val="AERbody"/>
        </w:rPr>
        <w:t>0.</w:t>
      </w:r>
      <w:r w:rsidR="00E014B2">
        <w:rPr>
          <w:rStyle w:val="AERbody"/>
        </w:rPr>
        <w:t>4</w:t>
      </w:r>
      <w:r>
        <w:rPr>
          <w:rStyle w:val="AERbody"/>
        </w:rPr>
        <w:t xml:space="preserve"> </w:t>
      </w:r>
      <w:r w:rsidRPr="002616BC">
        <w:rPr>
          <w:rStyle w:val="AERbody"/>
        </w:rPr>
        <w:t xml:space="preserve">per cent. The proposed gamma of 0.25 compared to the </w:t>
      </w:r>
      <w:r w:rsidR="00971A1C">
        <w:rPr>
          <w:rStyle w:val="AERbody"/>
        </w:rPr>
        <w:t>AER’</w:t>
      </w:r>
      <w:r w:rsidRPr="002616BC">
        <w:rPr>
          <w:rStyle w:val="AERbody"/>
        </w:rPr>
        <w:t xml:space="preserve">s decision of 0.4, would increase the corporate income tax allowance by </w:t>
      </w:r>
      <w:r>
        <w:rPr>
          <w:rStyle w:val="AERbody"/>
        </w:rPr>
        <w:t xml:space="preserve">32 </w:t>
      </w:r>
      <w:r w:rsidRPr="002616BC">
        <w:rPr>
          <w:rStyle w:val="AERbody"/>
        </w:rPr>
        <w:t xml:space="preserve">per cent and total revenues by about </w:t>
      </w:r>
      <w:r w:rsidR="00E014B2">
        <w:rPr>
          <w:rStyle w:val="AERbody"/>
        </w:rPr>
        <w:t>1.0</w:t>
      </w:r>
      <w:r>
        <w:rPr>
          <w:rStyle w:val="AERbody"/>
        </w:rPr>
        <w:t> </w:t>
      </w:r>
      <w:r w:rsidRPr="002616BC">
        <w:rPr>
          <w:rStyle w:val="AERbody"/>
        </w:rPr>
        <w:t>per cent</w:t>
      </w:r>
      <w:r w:rsidRPr="006A5792">
        <w:t>.</w:t>
      </w:r>
    </w:p>
    <w:p w:rsidR="009A5113" w:rsidRDefault="009A5113" w:rsidP="009A5113">
      <w:pPr>
        <w:pStyle w:val="Heading2"/>
      </w:pPr>
      <w:bookmarkStart w:id="22" w:name="_Toc408404324"/>
      <w:bookmarkStart w:id="23" w:name="_Toc436043213"/>
      <w:r w:rsidRPr="0074565D">
        <w:t xml:space="preserve">Reasons for </w:t>
      </w:r>
      <w:r w:rsidR="001C2AF6">
        <w:t>draft</w:t>
      </w:r>
      <w:r w:rsidR="00651CB2" w:rsidRPr="0074565D">
        <w:t xml:space="preserve"> </w:t>
      </w:r>
      <w:r w:rsidRPr="0074565D">
        <w:t>decision</w:t>
      </w:r>
      <w:bookmarkEnd w:id="22"/>
      <w:bookmarkEnd w:id="23"/>
      <w:r w:rsidRPr="0074565D">
        <w:t xml:space="preserve"> </w:t>
      </w:r>
    </w:p>
    <w:p w:rsidR="00817EB0" w:rsidRPr="00407443" w:rsidRDefault="00817EB0" w:rsidP="00817EB0">
      <w:r w:rsidRPr="00407443">
        <w:t xml:space="preserve">Our </w:t>
      </w:r>
      <w:r w:rsidRPr="002616BC">
        <w:rPr>
          <w:rStyle w:val="AERbody"/>
        </w:rPr>
        <w:t xml:space="preserve">draft decision on </w:t>
      </w:r>
      <w:r>
        <w:t>ActewAGL</w:t>
      </w:r>
      <w:r w:rsidRPr="002616BC">
        <w:rPr>
          <w:rStyle w:val="AERbody"/>
        </w:rPr>
        <w:t>’s corporate income tax allowance is $</w:t>
      </w:r>
      <w:r w:rsidR="003D748D">
        <w:rPr>
          <w:rStyle w:val="AERbody"/>
        </w:rPr>
        <w:t>8.3</w:t>
      </w:r>
      <w:r w:rsidRPr="002616BC">
        <w:rPr>
          <w:rStyle w:val="AERbody"/>
        </w:rPr>
        <w:t xml:space="preserve"> million ($nominal), which is a reduction of $</w:t>
      </w:r>
      <w:r w:rsidR="003D748D">
        <w:rPr>
          <w:rStyle w:val="AERbody"/>
        </w:rPr>
        <w:t>8.8</w:t>
      </w:r>
      <w:r w:rsidRPr="002616BC">
        <w:rPr>
          <w:rStyle w:val="AERbody"/>
        </w:rPr>
        <w:t xml:space="preserve"> million ($nominal) or </w:t>
      </w:r>
      <w:r w:rsidR="003D748D">
        <w:rPr>
          <w:rStyle w:val="AERbody"/>
        </w:rPr>
        <w:t xml:space="preserve">51.5 </w:t>
      </w:r>
      <w:r w:rsidRPr="002616BC">
        <w:rPr>
          <w:rStyle w:val="AERbody"/>
        </w:rPr>
        <w:t>per cent</w:t>
      </w:r>
      <w:r w:rsidRPr="00407443">
        <w:t xml:space="preserve"> of </w:t>
      </w:r>
      <w:r w:rsidR="00397630">
        <w:t>ActewAGL</w:t>
      </w:r>
      <w:r>
        <w:t>’</w:t>
      </w:r>
      <w:r w:rsidRPr="00407443">
        <w:t>s proposal.</w:t>
      </w:r>
    </w:p>
    <w:p w:rsidR="00817EB0" w:rsidRPr="00407443" w:rsidRDefault="00817EB0" w:rsidP="00817EB0">
      <w:r w:rsidRPr="00407443">
        <w:t xml:space="preserve">We accept </w:t>
      </w:r>
      <w:r>
        <w:t>ActewAGL</w:t>
      </w:r>
      <w:r w:rsidRPr="00407443">
        <w:t xml:space="preserve">’s proposed </w:t>
      </w:r>
      <w:r>
        <w:t>approach</w:t>
      </w:r>
      <w:r w:rsidRPr="00407443">
        <w:t xml:space="preserve"> for calculating the</w:t>
      </w:r>
      <w:r>
        <w:t xml:space="preserve"> corporate income tax allowance.</w:t>
      </w:r>
      <w:r w:rsidRPr="00407443">
        <w:t xml:space="preserve"> However, we adjusted several inputs </w:t>
      </w:r>
      <w:r>
        <w:t xml:space="preserve">in ActewAGL’s </w:t>
      </w:r>
      <w:r w:rsidRPr="00407443">
        <w:t xml:space="preserve">proposed </w:t>
      </w:r>
      <w:r>
        <w:t>PTRM</w:t>
      </w:r>
      <w:r w:rsidRPr="00407443">
        <w:t xml:space="preserve"> for calculating the corporate income tax allowance. These relate to:</w:t>
      </w:r>
    </w:p>
    <w:p w:rsidR="00817EB0" w:rsidRDefault="00817EB0" w:rsidP="00817EB0">
      <w:pPr>
        <w:pStyle w:val="AERbulletlistfirststyle"/>
      </w:pPr>
      <w:r>
        <w:t>changes to the remaining tax asset lives as at 1 July 201</w:t>
      </w:r>
      <w:r w:rsidR="00823526">
        <w:t>5</w:t>
      </w:r>
      <w:r w:rsidR="0012280C">
        <w:t xml:space="preserve"> and the addition of </w:t>
      </w:r>
      <w:r w:rsidR="00637B9D">
        <w:t xml:space="preserve">the </w:t>
      </w:r>
      <w:r w:rsidR="00522FDA">
        <w:t xml:space="preserve">new </w:t>
      </w:r>
      <w:r w:rsidR="0012280C">
        <w:t>asset class for ‘Land and easement’</w:t>
      </w:r>
      <w:r>
        <w:t xml:space="preserve"> (section </w:t>
      </w:r>
      <w:r>
        <w:fldChar w:fldCharType="begin"/>
      </w:r>
      <w:r>
        <w:instrText xml:space="preserve"> REF _Ref430850204 \r \h </w:instrText>
      </w:r>
      <w:r>
        <w:fldChar w:fldCharType="separate"/>
      </w:r>
      <w:r w:rsidR="004634B2">
        <w:t>8.4.2</w:t>
      </w:r>
      <w:r>
        <w:fldChar w:fldCharType="end"/>
      </w:r>
      <w:r>
        <w:t>)</w:t>
      </w:r>
    </w:p>
    <w:p w:rsidR="00817EB0" w:rsidRPr="00F8282A" w:rsidRDefault="00817EB0" w:rsidP="00817EB0">
      <w:pPr>
        <w:pStyle w:val="AERbulletlistfirststyle"/>
        <w:rPr>
          <w:rStyle w:val="AERtexthighlight"/>
          <w:shd w:val="clear" w:color="auto" w:fill="auto"/>
        </w:rPr>
      </w:pPr>
      <w:r>
        <w:t xml:space="preserve">changing </w:t>
      </w:r>
      <w:r w:rsidRPr="00F8282A">
        <w:t xml:space="preserve">the value of </w:t>
      </w:r>
      <w:r w:rsidRPr="00F8282A">
        <w:rPr>
          <w:rStyle w:val="AERbody"/>
        </w:rPr>
        <w:t>gamma to 0.4 from 0.25 (attachment 4)</w:t>
      </w:r>
    </w:p>
    <w:p w:rsidR="00817EB0" w:rsidRPr="00F8282A" w:rsidRDefault="00817EB0" w:rsidP="00817EB0">
      <w:pPr>
        <w:pStyle w:val="AERbulletlistfirststyle"/>
      </w:pPr>
      <w:r w:rsidRPr="00F8282A">
        <w:t xml:space="preserve">changes </w:t>
      </w:r>
      <w:r w:rsidRPr="00F8282A">
        <w:rPr>
          <w:rStyle w:val="AERbody"/>
        </w:rPr>
        <w:t>to other building block components including rate of return (attachment 3)</w:t>
      </w:r>
      <w:r>
        <w:rPr>
          <w:rStyle w:val="AERbody"/>
        </w:rPr>
        <w:t xml:space="preserve">, </w:t>
      </w:r>
      <w:r w:rsidRPr="00F8282A">
        <w:rPr>
          <w:rStyle w:val="AERbody"/>
        </w:rPr>
        <w:t xml:space="preserve">forecast capex (attachment 6) </w:t>
      </w:r>
      <w:r>
        <w:rPr>
          <w:rStyle w:val="AERbody"/>
        </w:rPr>
        <w:t>and forecast opex (attachment 7)</w:t>
      </w:r>
      <w:r w:rsidRPr="00F8282A">
        <w:t>.</w:t>
      </w:r>
      <w:r w:rsidRPr="009C2A22">
        <w:rPr>
          <w:rStyle w:val="FootnoteReference"/>
        </w:rPr>
        <w:footnoteReference w:id="10"/>
      </w:r>
      <w:r w:rsidRPr="00F8282A">
        <w:t xml:space="preserve"> </w:t>
      </w:r>
    </w:p>
    <w:p w:rsidR="00817EB0" w:rsidRPr="00CA51E3" w:rsidRDefault="00817EB0" w:rsidP="00817EB0">
      <w:pPr>
        <w:pStyle w:val="Heading3"/>
        <w:spacing w:before="120" w:after="120" w:line="288" w:lineRule="auto"/>
      </w:pPr>
      <w:bookmarkStart w:id="24" w:name="_Toc403463358"/>
      <w:bookmarkStart w:id="25" w:name="_Toc404182766"/>
      <w:bookmarkStart w:id="26" w:name="_Ref430792434"/>
      <w:bookmarkStart w:id="27" w:name="_Ref430866274"/>
      <w:bookmarkStart w:id="28" w:name="_Toc430871310"/>
      <w:bookmarkStart w:id="29" w:name="_Toc436043214"/>
      <w:r w:rsidRPr="00CA51E3">
        <w:t>Opening tax asset base as at 1 July 201</w:t>
      </w:r>
      <w:bookmarkEnd w:id="24"/>
      <w:bookmarkEnd w:id="25"/>
      <w:bookmarkEnd w:id="26"/>
      <w:bookmarkEnd w:id="27"/>
      <w:bookmarkEnd w:id="28"/>
      <w:r w:rsidR="00A84C96">
        <w:t>5</w:t>
      </w:r>
      <w:bookmarkEnd w:id="29"/>
    </w:p>
    <w:p w:rsidR="00817EB0" w:rsidRDefault="00817EB0" w:rsidP="00817EB0">
      <w:r w:rsidRPr="00896D81">
        <w:t>We accept</w:t>
      </w:r>
      <w:r>
        <w:t xml:space="preserve"> ActewAGL’</w:t>
      </w:r>
      <w:r w:rsidRPr="00896D81">
        <w:t xml:space="preserve">s approach to determine the opening </w:t>
      </w:r>
      <w:r>
        <w:t>TAB. This is because ActewAGL’s proposed approach is consistent with the AER’s RFM</w:t>
      </w:r>
      <w:r w:rsidR="00771738">
        <w:t xml:space="preserve"> </w:t>
      </w:r>
      <w:r w:rsidR="00771738">
        <w:rPr>
          <w:rStyle w:val="AERbody"/>
        </w:rPr>
        <w:t>for electricity service providers and the approach previously approved in gas access arrangement decisions</w:t>
      </w:r>
      <w:r w:rsidR="00771738">
        <w:t>. W</w:t>
      </w:r>
      <w:r>
        <w:t xml:space="preserve">e </w:t>
      </w:r>
      <w:r w:rsidR="00771738">
        <w:t>also</w:t>
      </w:r>
      <w:r>
        <w:t xml:space="preserve"> approve ActewAGL’s proposed total opening TAB of $</w:t>
      </w:r>
      <w:r w:rsidR="00ED37E2">
        <w:t>231.9</w:t>
      </w:r>
      <w:r>
        <w:t xml:space="preserve"> million ($nominal) as at 1 July 201</w:t>
      </w:r>
      <w:r w:rsidR="00771738">
        <w:t>5</w:t>
      </w:r>
      <w:r>
        <w:t xml:space="preserve">. </w:t>
      </w:r>
    </w:p>
    <w:p w:rsidR="00817EB0" w:rsidRPr="00896D81" w:rsidRDefault="00817EB0" w:rsidP="00817EB0">
      <w:r w:rsidRPr="00D940F4">
        <w:t xml:space="preserve">We </w:t>
      </w:r>
      <w:r w:rsidR="00D514EE">
        <w:t xml:space="preserve">accept </w:t>
      </w:r>
      <w:r>
        <w:t>the</w:t>
      </w:r>
      <w:r w:rsidRPr="00D940F4">
        <w:t xml:space="preserve"> inputs </w:t>
      </w:r>
      <w:r w:rsidR="0020300E">
        <w:t xml:space="preserve">that </w:t>
      </w:r>
      <w:r>
        <w:t>ActewAGL</w:t>
      </w:r>
      <w:r w:rsidRPr="00896D81">
        <w:t xml:space="preserve"> </w:t>
      </w:r>
      <w:r>
        <w:t xml:space="preserve">used to </w:t>
      </w:r>
      <w:r w:rsidRPr="00896D81">
        <w:t>roll forward the TAB over</w:t>
      </w:r>
      <w:r>
        <w:t xml:space="preserve"> the 201</w:t>
      </w:r>
      <w:r w:rsidR="00161AC4">
        <w:t>0</w:t>
      </w:r>
      <w:r>
        <w:t>–1</w:t>
      </w:r>
      <w:r w:rsidR="00161AC4">
        <w:t>5</w:t>
      </w:r>
      <w:r>
        <w:t xml:space="preserve"> access arrangement. This includes the opening TAB </w:t>
      </w:r>
      <w:r w:rsidR="00ED37E2">
        <w:t>as at 1 July 20</w:t>
      </w:r>
      <w:r w:rsidR="00161AC4">
        <w:t>10</w:t>
      </w:r>
      <w:r w:rsidR="00D514EE">
        <w:t>, the</w:t>
      </w:r>
      <w:r w:rsidR="00ED37E2">
        <w:t xml:space="preserve"> </w:t>
      </w:r>
      <w:r>
        <w:t>remaining tax asset life values as at 1 July 2010</w:t>
      </w:r>
      <w:r w:rsidR="00D514EE">
        <w:t>,</w:t>
      </w:r>
      <w:r>
        <w:t xml:space="preserve"> and </w:t>
      </w:r>
      <w:r w:rsidRPr="00896D81">
        <w:t>actual capex</w:t>
      </w:r>
      <w:r>
        <w:t xml:space="preserve"> for 20</w:t>
      </w:r>
      <w:r w:rsidR="00ED37E2">
        <w:t>09–10</w:t>
      </w:r>
      <w:r>
        <w:t xml:space="preserve"> and </w:t>
      </w:r>
      <w:r w:rsidR="00522FDA">
        <w:t xml:space="preserve">the </w:t>
      </w:r>
      <w:r>
        <w:t>201</w:t>
      </w:r>
      <w:r w:rsidR="00ED37E2">
        <w:t>0</w:t>
      </w:r>
      <w:r>
        <w:t>–1</w:t>
      </w:r>
      <w:r w:rsidR="00ED37E2">
        <w:t>5</w:t>
      </w:r>
      <w:r>
        <w:t xml:space="preserve"> access arrangement period.</w:t>
      </w:r>
      <w:r w:rsidR="00D514EE">
        <w:t xml:space="preserve"> </w:t>
      </w:r>
      <w:r>
        <w:t xml:space="preserve">ActewAGL’s proposed </w:t>
      </w:r>
      <w:r w:rsidR="00D514EE">
        <w:t>opening TAB and the remaining tax asset lives as at 1 July 2010</w:t>
      </w:r>
      <w:r>
        <w:t xml:space="preserve"> </w:t>
      </w:r>
      <w:r w:rsidR="00BC2ABE">
        <w:t xml:space="preserve">inputs </w:t>
      </w:r>
      <w:r w:rsidR="00D514EE">
        <w:t>are consistent with</w:t>
      </w:r>
      <w:r>
        <w:t xml:space="preserve"> the approved </w:t>
      </w:r>
      <w:r w:rsidR="00D514EE">
        <w:t>values</w:t>
      </w:r>
      <w:r>
        <w:t xml:space="preserve"> in the 201</w:t>
      </w:r>
      <w:r w:rsidR="00ED37E2">
        <w:t>0</w:t>
      </w:r>
      <w:r>
        <w:t>–1</w:t>
      </w:r>
      <w:r w:rsidR="00ED37E2">
        <w:t>5</w:t>
      </w:r>
      <w:r>
        <w:t xml:space="preserve"> access arrangement. We</w:t>
      </w:r>
      <w:r w:rsidRPr="002616BC">
        <w:t xml:space="preserve"> are </w:t>
      </w:r>
      <w:r>
        <w:t xml:space="preserve">also </w:t>
      </w:r>
      <w:r w:rsidRPr="002616BC">
        <w:t xml:space="preserve">satisfied the </w:t>
      </w:r>
      <w:r>
        <w:t xml:space="preserve">actual </w:t>
      </w:r>
      <w:r w:rsidRPr="002616BC">
        <w:t>capex</w:t>
      </w:r>
      <w:r>
        <w:t xml:space="preserve"> included in the TAB</w:t>
      </w:r>
      <w:r w:rsidRPr="002616BC">
        <w:t xml:space="preserve"> reflect</w:t>
      </w:r>
      <w:r>
        <w:t>s</w:t>
      </w:r>
      <w:r w:rsidRPr="002616BC">
        <w:t xml:space="preserve"> the requirements of rule 79 of the NGR.</w:t>
      </w:r>
      <w:r>
        <w:rPr>
          <w:rStyle w:val="FootnoteReference"/>
        </w:rPr>
        <w:footnoteReference w:id="11"/>
      </w:r>
      <w:r w:rsidRPr="002616BC">
        <w:t xml:space="preserve"> Our detailed assessment of this conforming capex is set out in </w:t>
      </w:r>
      <w:r w:rsidR="005B52AE">
        <w:t xml:space="preserve">the capex </w:t>
      </w:r>
      <w:r w:rsidRPr="00286FBC">
        <w:t>attachment 6</w:t>
      </w:r>
      <w:r w:rsidRPr="002616BC">
        <w:t>.</w:t>
      </w:r>
      <w:r w:rsidR="00ED37E2">
        <w:t xml:space="preserve"> </w:t>
      </w:r>
      <w:r>
        <w:fldChar w:fldCharType="begin"/>
      </w:r>
      <w:r>
        <w:instrText xml:space="preserve"> REF _Ref398907505 \h  \* MERGEFORMAT </w:instrText>
      </w:r>
      <w:r>
        <w:fldChar w:fldCharType="separate"/>
      </w:r>
      <w:r w:rsidR="004634B2" w:rsidRPr="00896D81">
        <w:t xml:space="preserve">Table </w:t>
      </w:r>
      <w:r w:rsidR="004634B2">
        <w:rPr>
          <w:noProof/>
        </w:rPr>
        <w:t>8.4</w:t>
      </w:r>
      <w:r>
        <w:fldChar w:fldCharType="end"/>
      </w:r>
      <w:r>
        <w:t xml:space="preserve"> </w:t>
      </w:r>
      <w:r w:rsidRPr="00896D81">
        <w:t xml:space="preserve">sets out our draft decision on the roll forward of </w:t>
      </w:r>
      <w:r>
        <w:t>ActewAGL’</w:t>
      </w:r>
      <w:r w:rsidRPr="00896D81">
        <w:t xml:space="preserve">s </w:t>
      </w:r>
      <w:r>
        <w:t xml:space="preserve">TAB </w:t>
      </w:r>
      <w:r w:rsidRPr="00896D81">
        <w:t xml:space="preserve">values. </w:t>
      </w:r>
    </w:p>
    <w:p w:rsidR="00817EB0" w:rsidRPr="00896D81" w:rsidRDefault="00817EB0" w:rsidP="00072E5E">
      <w:pPr>
        <w:pStyle w:val="Caption"/>
      </w:pPr>
      <w:bookmarkStart w:id="30" w:name="_Ref398907505"/>
      <w:r w:rsidRPr="00896D81">
        <w:lastRenderedPageBreak/>
        <w:t xml:space="preserve">Table </w:t>
      </w:r>
      <w:r w:rsidRPr="00F17F59">
        <w:fldChar w:fldCharType="begin"/>
      </w:r>
      <w:r>
        <w:instrText xml:space="preserve"> STYLEREF 1 \s </w:instrText>
      </w:r>
      <w:r w:rsidRPr="00F17F59">
        <w:fldChar w:fldCharType="separate"/>
      </w:r>
      <w:r w:rsidR="004634B2">
        <w:rPr>
          <w:noProof/>
        </w:rPr>
        <w:t>8</w:t>
      </w:r>
      <w:r w:rsidRPr="00F17F59">
        <w:fldChar w:fldCharType="end"/>
      </w:r>
      <w:r w:rsidR="00072E5E">
        <w:t>.</w:t>
      </w:r>
      <w:r w:rsidRPr="00F17F59">
        <w:fldChar w:fldCharType="begin"/>
      </w:r>
      <w:r>
        <w:instrText xml:space="preserve"> SEQ Table \* ARABIC \s 1 </w:instrText>
      </w:r>
      <w:r w:rsidRPr="00F17F59">
        <w:fldChar w:fldCharType="separate"/>
      </w:r>
      <w:r w:rsidR="004634B2">
        <w:rPr>
          <w:noProof/>
        </w:rPr>
        <w:t>4</w:t>
      </w:r>
      <w:r w:rsidRPr="00F17F59">
        <w:fldChar w:fldCharType="end"/>
      </w:r>
      <w:bookmarkEnd w:id="30"/>
      <w:r>
        <w:tab/>
        <w:t>AER’</w:t>
      </w:r>
      <w:r w:rsidRPr="00896D81">
        <w:t xml:space="preserve">s draft decision on </w:t>
      </w:r>
      <w:r>
        <w:t>ActewAGL’</w:t>
      </w:r>
      <w:r w:rsidRPr="00896D81">
        <w:t xml:space="preserve">s tax asset base roll forward for the </w:t>
      </w:r>
      <w:r>
        <w:t>201</w:t>
      </w:r>
      <w:r w:rsidR="00C65859">
        <w:t>0</w:t>
      </w:r>
      <w:r>
        <w:t>–1</w:t>
      </w:r>
      <w:r w:rsidR="00C65859">
        <w:t>5</w:t>
      </w:r>
      <w:r w:rsidRPr="00896D81">
        <w:t xml:space="preserve"> </w:t>
      </w:r>
      <w:r>
        <w:t>access arrangement</w:t>
      </w:r>
      <w:r w:rsidRPr="00896D81">
        <w:t xml:space="preserve">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C65859" w:rsidRPr="0035646D" w:rsidTr="00817EB0">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C65859" w:rsidRPr="00077B2C" w:rsidRDefault="00C65859" w:rsidP="00817EB0">
            <w:pPr>
              <w:pStyle w:val="AERtabletextleft"/>
              <w:rPr>
                <w:sz w:val="16"/>
                <w:szCs w:val="16"/>
              </w:rPr>
            </w:pPr>
          </w:p>
        </w:tc>
        <w:tc>
          <w:tcPr>
            <w:tcW w:w="1256" w:type="dxa"/>
            <w:hideMark/>
          </w:tcPr>
          <w:p w:rsidR="00C65859" w:rsidRPr="00077B2C" w:rsidRDefault="00C65859" w:rsidP="00C6585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2010</w:t>
            </w:r>
            <w:r w:rsidRPr="00077B2C">
              <w:rPr>
                <w:sz w:val="16"/>
                <w:szCs w:val="16"/>
              </w:rPr>
              <w:t>–1</w:t>
            </w:r>
            <w:r>
              <w:rPr>
                <w:sz w:val="16"/>
                <w:szCs w:val="16"/>
              </w:rPr>
              <w:t>1</w:t>
            </w:r>
          </w:p>
        </w:tc>
        <w:tc>
          <w:tcPr>
            <w:tcW w:w="1257" w:type="dxa"/>
            <w:hideMark/>
          </w:tcPr>
          <w:p w:rsidR="00C65859" w:rsidRPr="00077B2C" w:rsidRDefault="00C65859"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2011–12</w:t>
            </w:r>
          </w:p>
        </w:tc>
        <w:tc>
          <w:tcPr>
            <w:tcW w:w="1257" w:type="dxa"/>
            <w:hideMark/>
          </w:tcPr>
          <w:p w:rsidR="00C65859" w:rsidRPr="00077B2C" w:rsidRDefault="00C65859"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2012–13</w:t>
            </w:r>
          </w:p>
        </w:tc>
        <w:tc>
          <w:tcPr>
            <w:tcW w:w="1257" w:type="dxa"/>
            <w:hideMark/>
          </w:tcPr>
          <w:p w:rsidR="00C65859" w:rsidRPr="00077B2C" w:rsidRDefault="00C65859"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2013–14</w:t>
            </w:r>
          </w:p>
        </w:tc>
        <w:tc>
          <w:tcPr>
            <w:tcW w:w="1257" w:type="dxa"/>
            <w:hideMark/>
          </w:tcPr>
          <w:p w:rsidR="00C65859" w:rsidRPr="00077B2C" w:rsidRDefault="00C65859" w:rsidP="00F819D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2014–15</w:t>
            </w:r>
          </w:p>
        </w:tc>
      </w:tr>
      <w:tr w:rsidR="00C65859" w:rsidRPr="0035646D" w:rsidTr="00817EB0">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C65859" w:rsidRPr="00077B2C" w:rsidRDefault="00C65859" w:rsidP="00817EB0">
            <w:pPr>
              <w:pStyle w:val="AERtabletextleft"/>
              <w:rPr>
                <w:sz w:val="16"/>
                <w:szCs w:val="16"/>
              </w:rPr>
            </w:pPr>
            <w:r w:rsidRPr="00077B2C">
              <w:rPr>
                <w:sz w:val="16"/>
                <w:szCs w:val="16"/>
              </w:rPr>
              <w:t>Opening tax asset base</w:t>
            </w:r>
          </w:p>
        </w:tc>
        <w:tc>
          <w:tcPr>
            <w:tcW w:w="1256"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191.6</w:t>
            </w:r>
            <w:r w:rsidR="00161AC4" w:rsidRPr="00161AC4">
              <w:rPr>
                <w:sz w:val="16"/>
                <w:szCs w:val="16"/>
                <w:vertAlign w:val="superscript"/>
              </w:rPr>
              <w:t>a</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195.8</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201.0</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210.9</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218.7</w:t>
            </w:r>
          </w:p>
        </w:tc>
      </w:tr>
      <w:tr w:rsidR="00C65859" w:rsidRPr="0035646D" w:rsidTr="00817EB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C65859" w:rsidRPr="00077B2C" w:rsidRDefault="00C65859" w:rsidP="00817EB0">
            <w:pPr>
              <w:pStyle w:val="AERtabletextleft"/>
              <w:rPr>
                <w:sz w:val="16"/>
                <w:szCs w:val="16"/>
              </w:rPr>
            </w:pPr>
            <w:r w:rsidRPr="00077B2C">
              <w:rPr>
                <w:sz w:val="16"/>
                <w:szCs w:val="16"/>
              </w:rPr>
              <w:t xml:space="preserve"> Capex</w:t>
            </w:r>
          </w:p>
        </w:tc>
        <w:tc>
          <w:tcPr>
            <w:tcW w:w="1256"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12.8</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14.3</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19.4</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17.8</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23.7</w:t>
            </w:r>
          </w:p>
        </w:tc>
      </w:tr>
      <w:tr w:rsidR="00C65859" w:rsidRPr="0035646D" w:rsidTr="00817EB0">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C65859" w:rsidRPr="00077B2C" w:rsidRDefault="00C65859" w:rsidP="00817EB0">
            <w:pPr>
              <w:pStyle w:val="AERtabletextleft"/>
              <w:rPr>
                <w:sz w:val="16"/>
                <w:szCs w:val="16"/>
              </w:rPr>
            </w:pPr>
            <w:r w:rsidRPr="00077B2C">
              <w:rPr>
                <w:sz w:val="16"/>
                <w:szCs w:val="16"/>
              </w:rPr>
              <w:t>Tax depreciation</w:t>
            </w:r>
          </w:p>
        </w:tc>
        <w:tc>
          <w:tcPr>
            <w:tcW w:w="1256"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Pr>
                <w:sz w:val="16"/>
                <w:szCs w:val="16"/>
              </w:rPr>
              <w:t>8.6</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Pr>
                <w:sz w:val="16"/>
                <w:szCs w:val="16"/>
              </w:rPr>
              <w:t>9.1</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Pr>
                <w:sz w:val="16"/>
                <w:szCs w:val="16"/>
              </w:rPr>
              <w:t>9.5</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Pr>
                <w:sz w:val="16"/>
                <w:szCs w:val="16"/>
              </w:rPr>
              <w:t>10</w:t>
            </w:r>
            <w:r w:rsidRPr="00077B2C">
              <w:rPr>
                <w:sz w:val="16"/>
                <w:szCs w:val="16"/>
              </w:rPr>
              <w:t>.0</w:t>
            </w:r>
          </w:p>
        </w:tc>
        <w:tc>
          <w:tcPr>
            <w:tcW w:w="1257" w:type="dxa"/>
          </w:tcPr>
          <w:p w:rsidR="00C65859" w:rsidRPr="00077B2C" w:rsidRDefault="00C65859" w:rsidP="00F819DB">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Pr>
                <w:sz w:val="16"/>
                <w:szCs w:val="16"/>
              </w:rPr>
              <w:t>10.5</w:t>
            </w:r>
          </w:p>
        </w:tc>
      </w:tr>
      <w:tr w:rsidR="00C65859" w:rsidRPr="0035646D" w:rsidTr="00817EB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C65859" w:rsidRPr="00077B2C" w:rsidRDefault="00C65859" w:rsidP="00817EB0">
            <w:pPr>
              <w:pStyle w:val="AERtabletextleft"/>
              <w:rPr>
                <w:sz w:val="16"/>
                <w:szCs w:val="16"/>
              </w:rPr>
            </w:pPr>
            <w:r w:rsidRPr="00077B2C">
              <w:rPr>
                <w:sz w:val="16"/>
                <w:szCs w:val="16"/>
              </w:rPr>
              <w:t>Closing tax asset base</w:t>
            </w:r>
          </w:p>
        </w:tc>
        <w:tc>
          <w:tcPr>
            <w:tcW w:w="1256"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195.8</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201.0</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210.9</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218.7</w:t>
            </w:r>
          </w:p>
        </w:tc>
        <w:tc>
          <w:tcPr>
            <w:tcW w:w="1257" w:type="dxa"/>
          </w:tcPr>
          <w:p w:rsidR="00C65859" w:rsidRPr="00077B2C" w:rsidRDefault="00C65859" w:rsidP="00F819DB">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231.9</w:t>
            </w:r>
          </w:p>
        </w:tc>
      </w:tr>
    </w:tbl>
    <w:p w:rsidR="00817EB0" w:rsidRDefault="00817EB0" w:rsidP="00817EB0">
      <w:pPr>
        <w:pStyle w:val="AERtablesource"/>
      </w:pPr>
      <w:r w:rsidRPr="00896D81">
        <w:t xml:space="preserve">Source: </w:t>
      </w:r>
      <w:r w:rsidRPr="00896D81">
        <w:tab/>
      </w:r>
      <w:r w:rsidR="0085402A">
        <w:t>AER analysis</w:t>
      </w:r>
      <w:r w:rsidRPr="00896D81">
        <w:t>.</w:t>
      </w:r>
    </w:p>
    <w:p w:rsidR="00161AC4" w:rsidRPr="00161AC4" w:rsidRDefault="00522FDA" w:rsidP="00161AC4">
      <w:pPr>
        <w:pStyle w:val="AERtablesource"/>
      </w:pPr>
      <w:r>
        <w:t>(a)</w:t>
      </w:r>
      <w:r>
        <w:tab/>
        <w:t>T</w:t>
      </w:r>
      <w:r w:rsidR="00161AC4">
        <w:t xml:space="preserve">he approved opening TAB as at 1 July 2010 has been adjusted for </w:t>
      </w:r>
      <w:r w:rsidR="000672A5">
        <w:t xml:space="preserve">the </w:t>
      </w:r>
      <w:r w:rsidR="00161AC4">
        <w:t>difference between the actual and forecast capex for 2009–10.</w:t>
      </w:r>
    </w:p>
    <w:p w:rsidR="00817EB0" w:rsidRDefault="00145C2B" w:rsidP="00817EB0">
      <w:pPr>
        <w:pStyle w:val="Heading3"/>
      </w:pPr>
      <w:bookmarkStart w:id="31" w:name="_Ref430850204"/>
      <w:bookmarkStart w:id="32" w:name="_Toc430871311"/>
      <w:bookmarkStart w:id="33" w:name="_Toc436043215"/>
      <w:r>
        <w:t>T</w:t>
      </w:r>
      <w:r w:rsidR="00817EB0" w:rsidRPr="00F00152">
        <w:t>ax asset li</w:t>
      </w:r>
      <w:r w:rsidR="00817EB0">
        <w:t>ves</w:t>
      </w:r>
      <w:bookmarkEnd w:id="31"/>
      <w:bookmarkEnd w:id="32"/>
      <w:bookmarkEnd w:id="33"/>
    </w:p>
    <w:p w:rsidR="00145C2B" w:rsidRPr="00145C2B" w:rsidRDefault="00145C2B" w:rsidP="00145C2B">
      <w:pPr>
        <w:pStyle w:val="Heading4"/>
      </w:pPr>
      <w:r>
        <w:t>Standard tax asset lives</w:t>
      </w:r>
    </w:p>
    <w:p w:rsidR="00817EB0" w:rsidRDefault="00817EB0" w:rsidP="00817EB0">
      <w:pPr>
        <w:pStyle w:val="ListParagraph"/>
        <w:numPr>
          <w:ilvl w:val="0"/>
          <w:numId w:val="29"/>
        </w:numPr>
      </w:pPr>
      <w:r>
        <w:t>We</w:t>
      </w:r>
      <w:r w:rsidRPr="00AB1F30">
        <w:t xml:space="preserve"> approv</w:t>
      </w:r>
      <w:r>
        <w:t>e</w:t>
      </w:r>
      <w:r w:rsidRPr="00AB1F30">
        <w:t xml:space="preserve"> </w:t>
      </w:r>
      <w:r>
        <w:t>ActewAGL’s</w:t>
      </w:r>
      <w:r w:rsidRPr="00AB1F30">
        <w:t xml:space="preserve"> propos</w:t>
      </w:r>
      <w:r>
        <w:t xml:space="preserve">ed standard tax asset lives assigned to each of its asset classes for </w:t>
      </w:r>
      <w:r w:rsidR="008C3E10">
        <w:t xml:space="preserve">2015–16 and </w:t>
      </w:r>
      <w:r w:rsidRPr="00AB1F30">
        <w:t xml:space="preserve">the </w:t>
      </w:r>
      <w:r w:rsidRPr="00B077E0">
        <w:rPr>
          <w:rStyle w:val="AERbody"/>
        </w:rPr>
        <w:t>201</w:t>
      </w:r>
      <w:r>
        <w:rPr>
          <w:rStyle w:val="AERbody"/>
        </w:rPr>
        <w:t>6</w:t>
      </w:r>
      <w:r w:rsidRPr="00B077E0">
        <w:rPr>
          <w:rStyle w:val="AERbody"/>
        </w:rPr>
        <w:t>–</w:t>
      </w:r>
      <w:r>
        <w:rPr>
          <w:rStyle w:val="AERbody"/>
        </w:rPr>
        <w:t xml:space="preserve">21 </w:t>
      </w:r>
      <w:r w:rsidRPr="00AB1F30">
        <w:t xml:space="preserve">access arrangement period. This is because they are consistent with </w:t>
      </w:r>
      <w:r>
        <w:t xml:space="preserve">the statutory cap on the effective life of gas transmission assets under the </w:t>
      </w:r>
      <w:r w:rsidRPr="006555A7">
        <w:rPr>
          <w:rStyle w:val="AERtextitalic"/>
        </w:rPr>
        <w:t xml:space="preserve">Income Tax Assessment Act </w:t>
      </w:r>
      <w:r w:rsidRPr="003124D9">
        <w:rPr>
          <w:rStyle w:val="AERtextitalic"/>
        </w:rPr>
        <w:t>(ITAA)</w:t>
      </w:r>
      <w:r w:rsidRPr="006555A7">
        <w:rPr>
          <w:rStyle w:val="AERtextitalic"/>
        </w:rPr>
        <w:t xml:space="preserve"> </w:t>
      </w:r>
      <w:r w:rsidRPr="006555A7">
        <w:t>1997</w:t>
      </w:r>
      <w:r>
        <w:t xml:space="preserve">, and with the standard tax asset lives </w:t>
      </w:r>
      <w:r w:rsidRPr="006555A7">
        <w:t xml:space="preserve">prescribed </w:t>
      </w:r>
      <w:r>
        <w:t>in the Tax Ruling 2015</w:t>
      </w:r>
      <w:r w:rsidRPr="006555A7">
        <w:t>/2</w:t>
      </w:r>
      <w:r>
        <w:t>.</w:t>
      </w:r>
      <w:r w:rsidRPr="0019550D">
        <w:rPr>
          <w:rStyle w:val="FootnoteReference"/>
        </w:rPr>
        <w:footnoteReference w:id="12"/>
      </w:r>
      <w:r>
        <w:t xml:space="preserve"> The proposed standard tax asset lives are also consistent with </w:t>
      </w:r>
      <w:r w:rsidRPr="00F40DA8">
        <w:t xml:space="preserve">the approved standard tax asset lives in the </w:t>
      </w:r>
      <w:r w:rsidRPr="00B077E0">
        <w:t>20</w:t>
      </w:r>
      <w:r>
        <w:t>1</w:t>
      </w:r>
      <w:r w:rsidR="008C3E10">
        <w:t>0</w:t>
      </w:r>
      <w:r w:rsidRPr="00B077E0">
        <w:t>–1</w:t>
      </w:r>
      <w:r w:rsidR="008C3E10">
        <w:t>5</w:t>
      </w:r>
      <w:r w:rsidRPr="00B077E0">
        <w:t xml:space="preserve"> </w:t>
      </w:r>
      <w:r w:rsidRPr="00F40DA8">
        <w:t>access arrangement.</w:t>
      </w:r>
      <w:r>
        <w:rPr>
          <w:rStyle w:val="FootnoteReference"/>
        </w:rPr>
        <w:footnoteReference w:id="13"/>
      </w:r>
      <w:r w:rsidRPr="00F40DA8">
        <w:t xml:space="preserve"> </w:t>
      </w:r>
    </w:p>
    <w:p w:rsidR="00FD2914" w:rsidRDefault="00FD2914" w:rsidP="00FD2914">
      <w:pPr>
        <w:pStyle w:val="ListParagraph"/>
        <w:numPr>
          <w:ilvl w:val="0"/>
          <w:numId w:val="29"/>
        </w:numPr>
      </w:pPr>
      <w:r>
        <w:t>As discussed in attachment 5, we decide</w:t>
      </w:r>
      <w:r w:rsidR="00522FDA">
        <w:t>d</w:t>
      </w:r>
      <w:r>
        <w:t xml:space="preserve"> to create a ‘Land and easement’ asset class for ActewAGL’s forecast </w:t>
      </w:r>
      <w:r w:rsidR="00522FDA">
        <w:t>l</w:t>
      </w:r>
      <w:r>
        <w:t xml:space="preserve">and capex in 2015–16 and </w:t>
      </w:r>
      <w:r w:rsidR="00522FDA">
        <w:t xml:space="preserve">the </w:t>
      </w:r>
      <w:r>
        <w:t xml:space="preserve">2016–21 access arrangement period. Consistent with our approach for regulatory depreciation, we have not applied a standard </w:t>
      </w:r>
      <w:r w:rsidR="008570CD">
        <w:t xml:space="preserve">tax </w:t>
      </w:r>
      <w:r>
        <w:t>asset life to this new asset class for tax depreciation purposes</w:t>
      </w:r>
      <w:r w:rsidR="00522FDA">
        <w:t xml:space="preserve"> (“n/a” is assigned for tax de</w:t>
      </w:r>
      <w:r w:rsidR="00411B19">
        <w:t>preciation modelling purposes in</w:t>
      </w:r>
      <w:r w:rsidR="00522FDA">
        <w:t xml:space="preserve"> the PTRM)</w:t>
      </w:r>
      <w:r>
        <w:t>. This is because land and easement are non</w:t>
      </w:r>
      <w:r w:rsidR="00AE3D2E">
        <w:t>–</w:t>
      </w:r>
      <w:r>
        <w:t>depreciating assets</w:t>
      </w:r>
      <w:r w:rsidR="008570CD">
        <w:t>, and</w:t>
      </w:r>
      <w:r>
        <w:t xml:space="preserve"> </w:t>
      </w:r>
      <w:r w:rsidR="008570CD">
        <w:t>t</w:t>
      </w:r>
      <w:r>
        <w:t>herefore should not have a standard tax asset life for tax depreciation purposes. This approach is consistent with Australian accounting standards and ATO’s treatment for such assets.</w:t>
      </w:r>
      <w:r w:rsidRPr="008C43A1">
        <w:rPr>
          <w:rStyle w:val="FootnoteReference"/>
        </w:rPr>
        <w:footnoteReference w:id="14"/>
      </w:r>
      <w:r w:rsidR="00522FDA">
        <w:t xml:space="preserve"> </w:t>
      </w:r>
      <w:r>
        <w:t>We have also consistently treated land and easement as non</w:t>
      </w:r>
      <w:r w:rsidR="00AE3D2E">
        <w:t>–</w:t>
      </w:r>
      <w:r>
        <w:t xml:space="preserve">depreciating assets for other regulated businesses. </w:t>
      </w:r>
    </w:p>
    <w:p w:rsidR="00145C2B" w:rsidRDefault="00145C2B" w:rsidP="00E06AEE">
      <w:pPr>
        <w:pStyle w:val="Heading4"/>
        <w:keepNext/>
        <w:ind w:left="862" w:hanging="862"/>
      </w:pPr>
      <w:r>
        <w:lastRenderedPageBreak/>
        <w:t>Remaining tax asset lives as at 1 July 2015</w:t>
      </w:r>
    </w:p>
    <w:p w:rsidR="00817EB0" w:rsidRDefault="00817EB0" w:rsidP="00817EB0">
      <w:pPr>
        <w:pStyle w:val="ListParagraph"/>
        <w:numPr>
          <w:ilvl w:val="0"/>
          <w:numId w:val="29"/>
        </w:numPr>
      </w:pPr>
      <w:r>
        <w:t>We accept ActewAGL’s proposed weighted average method to calculate the remaining t</w:t>
      </w:r>
      <w:r w:rsidR="00642532">
        <w:t>ax asset lives as at 1 July 2015</w:t>
      </w:r>
      <w:r>
        <w:t>. In accepting the weighted average method, we have updated ActewAGL’s remaining tax asset lives as at 1 July 201</w:t>
      </w:r>
      <w:r w:rsidR="00642532">
        <w:t>5.</w:t>
      </w:r>
      <w:r w:rsidR="00642532">
        <w:rPr>
          <w:rStyle w:val="FootnoteReference"/>
        </w:rPr>
        <w:footnoteReference w:id="15"/>
      </w:r>
      <w:r>
        <w:t xml:space="preserve"> </w:t>
      </w:r>
      <w:r w:rsidR="00642532">
        <w:t>This is because w</w:t>
      </w:r>
      <w:r>
        <w:t xml:space="preserve">e </w:t>
      </w:r>
      <w:r w:rsidR="00642532">
        <w:t>changed some formula</w:t>
      </w:r>
      <w:r w:rsidR="00522FDA">
        <w:t>e</w:t>
      </w:r>
      <w:r>
        <w:t xml:space="preserve"> in the tax asset lives roll forward calculation </w:t>
      </w:r>
      <w:r w:rsidR="00642532">
        <w:t>in the R</w:t>
      </w:r>
      <w:r>
        <w:t>FM</w:t>
      </w:r>
      <w:r w:rsidR="00642532" w:rsidRPr="00642532">
        <w:t xml:space="preserve"> </w:t>
      </w:r>
      <w:r w:rsidR="00642532">
        <w:t>to incorporate 2009–10 actual capex. These changes</w:t>
      </w:r>
      <w:r>
        <w:t xml:space="preserve"> affected the remaining tax asset lives as at 1 July 201</w:t>
      </w:r>
      <w:r w:rsidR="0058701A">
        <w:t>5</w:t>
      </w:r>
      <w:r>
        <w:t>.</w:t>
      </w:r>
    </w:p>
    <w:p w:rsidR="00817EB0" w:rsidRDefault="00817EB0" w:rsidP="00817EB0">
      <w:pPr>
        <w:pStyle w:val="ListParagraph"/>
        <w:numPr>
          <w:ilvl w:val="0"/>
          <w:numId w:val="29"/>
        </w:numPr>
      </w:pPr>
      <w:r>
        <w:t xml:space="preserve">Our draft decision on ActewAGL’s standard tax asset lives and remaining tax asset lives for each of its asset classes for </w:t>
      </w:r>
      <w:r w:rsidR="00F16648">
        <w:t xml:space="preserve">2015–16 and </w:t>
      </w:r>
      <w:r>
        <w:t xml:space="preserve">the </w:t>
      </w:r>
      <w:r w:rsidRPr="00B077E0">
        <w:rPr>
          <w:rStyle w:val="AERbody"/>
        </w:rPr>
        <w:t>201</w:t>
      </w:r>
      <w:r>
        <w:rPr>
          <w:rStyle w:val="AERbody"/>
        </w:rPr>
        <w:t>6–21</w:t>
      </w:r>
      <w:r w:rsidRPr="00B077E0">
        <w:rPr>
          <w:rStyle w:val="AERbody"/>
        </w:rPr>
        <w:t xml:space="preserve"> </w:t>
      </w:r>
      <w:r>
        <w:t xml:space="preserve">access arrangement period is set out in </w:t>
      </w:r>
      <w:r w:rsidR="00666378">
        <w:fldChar w:fldCharType="begin"/>
      </w:r>
      <w:r w:rsidR="00666378">
        <w:instrText xml:space="preserve"> REF _Ref432674818 \h </w:instrText>
      </w:r>
      <w:r w:rsidR="00666378">
        <w:fldChar w:fldCharType="separate"/>
      </w:r>
      <w:r w:rsidR="004634B2">
        <w:t>t</w:t>
      </w:r>
      <w:r w:rsidR="004634B2" w:rsidRPr="00896D81">
        <w:t xml:space="preserve">able </w:t>
      </w:r>
      <w:r w:rsidR="004634B2">
        <w:rPr>
          <w:noProof/>
        </w:rPr>
        <w:t>8</w:t>
      </w:r>
      <w:r w:rsidR="004634B2">
        <w:t>.</w:t>
      </w:r>
      <w:r w:rsidR="004634B2">
        <w:rPr>
          <w:noProof/>
        </w:rPr>
        <w:t>5</w:t>
      </w:r>
      <w:r w:rsidR="00666378">
        <w:fldChar w:fldCharType="end"/>
      </w:r>
      <w:r>
        <w:t xml:space="preserve">. </w:t>
      </w:r>
    </w:p>
    <w:p w:rsidR="00817EB0" w:rsidRPr="00EF647F" w:rsidRDefault="00817EB0" w:rsidP="00666378">
      <w:pPr>
        <w:pStyle w:val="Caption"/>
      </w:pPr>
      <w:bookmarkStart w:id="34" w:name="_Ref432674818"/>
      <w:r w:rsidRPr="00896D81">
        <w:t xml:space="preserve">Table </w:t>
      </w:r>
      <w:r w:rsidRPr="00F17F59">
        <w:fldChar w:fldCharType="begin"/>
      </w:r>
      <w:r>
        <w:instrText xml:space="preserve"> STYLEREF 1 \s </w:instrText>
      </w:r>
      <w:r w:rsidRPr="00F17F59">
        <w:fldChar w:fldCharType="separate"/>
      </w:r>
      <w:r w:rsidR="004634B2">
        <w:rPr>
          <w:noProof/>
        </w:rPr>
        <w:t>8</w:t>
      </w:r>
      <w:r w:rsidRPr="00F17F59">
        <w:fldChar w:fldCharType="end"/>
      </w:r>
      <w:r w:rsidR="00666378">
        <w:t>.</w:t>
      </w:r>
      <w:r w:rsidRPr="00F17F59">
        <w:fldChar w:fldCharType="begin"/>
      </w:r>
      <w:r>
        <w:instrText xml:space="preserve"> SEQ Table \* ARABIC \s 1 </w:instrText>
      </w:r>
      <w:r w:rsidRPr="00F17F59">
        <w:fldChar w:fldCharType="separate"/>
      </w:r>
      <w:r w:rsidR="004634B2">
        <w:rPr>
          <w:noProof/>
        </w:rPr>
        <w:t>5</w:t>
      </w:r>
      <w:r w:rsidRPr="00F17F59">
        <w:fldChar w:fldCharType="end"/>
      </w:r>
      <w:bookmarkEnd w:id="34"/>
      <w:r>
        <w:tab/>
        <w:t>AER</w:t>
      </w:r>
      <w:r w:rsidR="00391965">
        <w:t>’</w:t>
      </w:r>
      <w:r w:rsidRPr="003124D9">
        <w:t xml:space="preserve">s draft decision on </w:t>
      </w:r>
      <w:r>
        <w:t>ActewAGL</w:t>
      </w:r>
      <w:r w:rsidRPr="003124D9">
        <w:t>’s standard tax asset lives and remaining tax asset lives</w:t>
      </w:r>
      <w:r>
        <w:t xml:space="preserve"> as at 1 July 201</w:t>
      </w:r>
      <w:r w:rsidR="00F57849">
        <w:t>5</w:t>
      </w:r>
      <w:r w:rsidRPr="003124D9">
        <w:t xml:space="preserve"> for </w:t>
      </w:r>
      <w:r w:rsidR="00F57849">
        <w:t xml:space="preserve">2015–16 and </w:t>
      </w:r>
      <w:r w:rsidRPr="003124D9">
        <w:t xml:space="preserve">the </w:t>
      </w:r>
      <w:r w:rsidRPr="00463AB3">
        <w:t>201</w:t>
      </w:r>
      <w:r>
        <w:t>6–21</w:t>
      </w:r>
      <w:r w:rsidRPr="00463AB3">
        <w:t xml:space="preserve"> </w:t>
      </w:r>
      <w:r w:rsidRPr="003124D9">
        <w:t>access arrangement period</w:t>
      </w:r>
      <w:r>
        <w:t xml:space="preserve"> (year</w:t>
      </w:r>
      <w:r w:rsidR="00F9666E">
        <w:t>s</w:t>
      </w:r>
      <w:r>
        <w:t>)</w:t>
      </w:r>
    </w:p>
    <w:tbl>
      <w:tblPr>
        <w:tblStyle w:val="AERtable-numbers"/>
        <w:tblW w:w="8711" w:type="dxa"/>
        <w:tblLayout w:type="fixed"/>
        <w:tblLook w:val="04A0" w:firstRow="1" w:lastRow="0" w:firstColumn="1" w:lastColumn="0" w:noHBand="0" w:noVBand="1"/>
      </w:tblPr>
      <w:tblGrid>
        <w:gridCol w:w="2943"/>
        <w:gridCol w:w="2410"/>
        <w:gridCol w:w="3358"/>
      </w:tblGrid>
      <w:tr w:rsidR="00817EB0" w:rsidRPr="00E369C5" w:rsidTr="00F5784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943" w:type="dxa"/>
            <w:noWrap/>
          </w:tcPr>
          <w:p w:rsidR="00817EB0" w:rsidRPr="000E1408" w:rsidRDefault="00817EB0" w:rsidP="00817EB0">
            <w:pPr>
              <w:pStyle w:val="AERtabletextleft"/>
              <w:rPr>
                <w:sz w:val="16"/>
                <w:szCs w:val="16"/>
              </w:rPr>
            </w:pPr>
            <w:r w:rsidRPr="000E1408">
              <w:rPr>
                <w:sz w:val="16"/>
                <w:szCs w:val="16"/>
              </w:rPr>
              <w:t>Tax asset class</w:t>
            </w:r>
          </w:p>
        </w:tc>
        <w:tc>
          <w:tcPr>
            <w:tcW w:w="2410" w:type="dxa"/>
            <w:noWrap/>
          </w:tcPr>
          <w:p w:rsidR="00817EB0" w:rsidRPr="000E1408" w:rsidRDefault="00817EB0" w:rsidP="00817EB0">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E1408">
              <w:rPr>
                <w:sz w:val="16"/>
                <w:szCs w:val="16"/>
              </w:rPr>
              <w:t>Standard tax asset life</w:t>
            </w:r>
          </w:p>
        </w:tc>
        <w:tc>
          <w:tcPr>
            <w:tcW w:w="3358" w:type="dxa"/>
            <w:noWrap/>
          </w:tcPr>
          <w:p w:rsidR="00817EB0" w:rsidRPr="000E1408" w:rsidRDefault="00817EB0" w:rsidP="00F5784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E1408">
              <w:rPr>
                <w:sz w:val="16"/>
                <w:szCs w:val="16"/>
              </w:rPr>
              <w:t>Remaining tax asset life as at 1 July 201</w:t>
            </w:r>
            <w:r w:rsidR="00F57849">
              <w:rPr>
                <w:sz w:val="16"/>
                <w:szCs w:val="16"/>
              </w:rPr>
              <w:t>5</w:t>
            </w:r>
          </w:p>
        </w:tc>
      </w:tr>
      <w:tr w:rsidR="00D91604" w:rsidRPr="002C4B0D" w:rsidTr="00F819DB">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3619F5">
            <w:pPr>
              <w:rPr>
                <w:rFonts w:cs="Arial"/>
                <w:szCs w:val="16"/>
              </w:rPr>
            </w:pPr>
            <w:bookmarkStart w:id="35" w:name="RANGE!G7"/>
            <w:r>
              <w:rPr>
                <w:rFonts w:cs="Arial"/>
                <w:szCs w:val="16"/>
              </w:rPr>
              <w:t>HP m</w:t>
            </w:r>
            <w:r w:rsidR="00D91604" w:rsidRPr="00D91604">
              <w:rPr>
                <w:rFonts w:cs="Arial"/>
                <w:szCs w:val="16"/>
              </w:rPr>
              <w:t>ains</w:t>
            </w:r>
            <w:bookmarkEnd w:id="35"/>
          </w:p>
        </w:tc>
        <w:tc>
          <w:tcPr>
            <w:tcW w:w="2410" w:type="dxa"/>
            <w:noWrap/>
            <w:vAlign w:val="bottom"/>
          </w:tcPr>
          <w:p w:rsidR="00D91604" w:rsidRPr="00D91604" w:rsidRDefault="00D91604" w:rsidP="00D91604">
            <w:pPr>
              <w:cnfStyle w:val="000000000000" w:firstRow="0" w:lastRow="0" w:firstColumn="0" w:lastColumn="0" w:oddVBand="0" w:evenVBand="0" w:oddHBand="0" w:evenHBand="0" w:firstRowFirstColumn="0" w:firstRowLastColumn="0" w:lastRowFirstColumn="0" w:lastRowLastColumn="0"/>
              <w:rPr>
                <w:rFonts w:cs="Arial"/>
                <w:szCs w:val="16"/>
              </w:rPr>
            </w:pPr>
            <w:bookmarkStart w:id="36" w:name="RANGE!U7"/>
            <w:r w:rsidRPr="00D91604">
              <w:rPr>
                <w:rFonts w:cs="Arial"/>
                <w:szCs w:val="16"/>
              </w:rPr>
              <w:t>50</w:t>
            </w:r>
            <w:bookmarkEnd w:id="36"/>
          </w:p>
        </w:tc>
        <w:tc>
          <w:tcPr>
            <w:tcW w:w="3358" w:type="dxa"/>
            <w:noWrap/>
            <w:vAlign w:val="bottom"/>
          </w:tcPr>
          <w:p w:rsidR="00D91604" w:rsidRPr="00D91604" w:rsidRDefault="00D91604">
            <w:pPr>
              <w:cnfStyle w:val="000000000000" w:firstRow="0" w:lastRow="0" w:firstColumn="0" w:lastColumn="0" w:oddVBand="0" w:evenVBand="0" w:oddHBand="0" w:evenHBand="0" w:firstRowFirstColumn="0" w:firstRowLastColumn="0" w:lastRowFirstColumn="0" w:lastRowLastColumn="0"/>
              <w:rPr>
                <w:rFonts w:cs="Arial"/>
                <w:szCs w:val="16"/>
              </w:rPr>
            </w:pPr>
            <w:r w:rsidRPr="00D91604">
              <w:rPr>
                <w:rFonts w:cs="Arial"/>
                <w:szCs w:val="16"/>
              </w:rPr>
              <w:t>42.5</w:t>
            </w:r>
          </w:p>
        </w:tc>
      </w:tr>
      <w:tr w:rsidR="00D91604" w:rsidRPr="002C4B0D" w:rsidTr="00F819DB">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3619F5">
            <w:pPr>
              <w:rPr>
                <w:rFonts w:cs="Arial"/>
                <w:szCs w:val="16"/>
              </w:rPr>
            </w:pPr>
            <w:bookmarkStart w:id="37" w:name="RANGE!G8"/>
            <w:r>
              <w:rPr>
                <w:rFonts w:cs="Arial"/>
                <w:szCs w:val="16"/>
              </w:rPr>
              <w:t>HP s</w:t>
            </w:r>
            <w:r w:rsidR="00D91604" w:rsidRPr="00D91604">
              <w:rPr>
                <w:rFonts w:cs="Arial"/>
                <w:szCs w:val="16"/>
              </w:rPr>
              <w:t>ervices</w:t>
            </w:r>
            <w:bookmarkEnd w:id="37"/>
          </w:p>
        </w:tc>
        <w:tc>
          <w:tcPr>
            <w:tcW w:w="2410" w:type="dxa"/>
            <w:noWrap/>
            <w:vAlign w:val="bottom"/>
          </w:tcPr>
          <w:p w:rsidR="00D91604" w:rsidRPr="00D91604" w:rsidRDefault="00D91604" w:rsidP="00D91604">
            <w:pPr>
              <w:cnfStyle w:val="000000010000" w:firstRow="0" w:lastRow="0" w:firstColumn="0" w:lastColumn="0" w:oddVBand="0" w:evenVBand="0" w:oddHBand="0" w:evenHBand="1" w:firstRowFirstColumn="0" w:firstRowLastColumn="0" w:lastRowFirstColumn="0" w:lastRowLastColumn="0"/>
              <w:rPr>
                <w:rFonts w:cs="Arial"/>
                <w:szCs w:val="16"/>
              </w:rPr>
            </w:pPr>
            <w:bookmarkStart w:id="38" w:name="RANGE!U8"/>
            <w:r w:rsidRPr="00D91604">
              <w:rPr>
                <w:rFonts w:cs="Arial"/>
                <w:szCs w:val="16"/>
              </w:rPr>
              <w:t>50</w:t>
            </w:r>
            <w:bookmarkEnd w:id="38"/>
          </w:p>
        </w:tc>
        <w:tc>
          <w:tcPr>
            <w:tcW w:w="3358" w:type="dxa"/>
            <w:noWrap/>
            <w:vAlign w:val="bottom"/>
          </w:tcPr>
          <w:p w:rsidR="00D91604" w:rsidRPr="00D91604" w:rsidRDefault="00D91604">
            <w:pPr>
              <w:cnfStyle w:val="000000010000" w:firstRow="0" w:lastRow="0" w:firstColumn="0" w:lastColumn="0" w:oddVBand="0" w:evenVBand="0" w:oddHBand="0" w:evenHBand="1" w:firstRowFirstColumn="0" w:firstRowLastColumn="0" w:lastRowFirstColumn="0" w:lastRowLastColumn="0"/>
              <w:rPr>
                <w:rFonts w:cs="Arial"/>
                <w:szCs w:val="16"/>
              </w:rPr>
            </w:pPr>
            <w:r w:rsidRPr="00D91604">
              <w:rPr>
                <w:rFonts w:cs="Arial"/>
                <w:szCs w:val="16"/>
              </w:rPr>
              <w:t>29.4</w:t>
            </w:r>
          </w:p>
        </w:tc>
      </w:tr>
      <w:tr w:rsidR="00D91604" w:rsidRPr="002C4B0D" w:rsidTr="00F819DB">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D91604" w:rsidP="003619F5">
            <w:pPr>
              <w:rPr>
                <w:rFonts w:cs="Arial"/>
                <w:szCs w:val="16"/>
              </w:rPr>
            </w:pPr>
            <w:bookmarkStart w:id="39" w:name="RANGE!G9"/>
            <w:r w:rsidRPr="00D91604">
              <w:rPr>
                <w:rFonts w:cs="Arial"/>
                <w:szCs w:val="16"/>
              </w:rPr>
              <w:t xml:space="preserve">MP </w:t>
            </w:r>
            <w:r w:rsidR="003619F5">
              <w:rPr>
                <w:rFonts w:cs="Arial"/>
                <w:szCs w:val="16"/>
              </w:rPr>
              <w:t>m</w:t>
            </w:r>
            <w:r w:rsidRPr="00D91604">
              <w:rPr>
                <w:rFonts w:cs="Arial"/>
                <w:szCs w:val="16"/>
              </w:rPr>
              <w:t>ains</w:t>
            </w:r>
            <w:bookmarkEnd w:id="39"/>
          </w:p>
        </w:tc>
        <w:tc>
          <w:tcPr>
            <w:tcW w:w="2410" w:type="dxa"/>
            <w:noWrap/>
            <w:vAlign w:val="bottom"/>
          </w:tcPr>
          <w:p w:rsidR="00D91604" w:rsidRPr="00D91604" w:rsidRDefault="00D91604" w:rsidP="00D91604">
            <w:pPr>
              <w:cnfStyle w:val="000000000000" w:firstRow="0" w:lastRow="0" w:firstColumn="0" w:lastColumn="0" w:oddVBand="0" w:evenVBand="0" w:oddHBand="0" w:evenHBand="0" w:firstRowFirstColumn="0" w:firstRowLastColumn="0" w:lastRowFirstColumn="0" w:lastRowLastColumn="0"/>
              <w:rPr>
                <w:rFonts w:cs="Arial"/>
                <w:szCs w:val="16"/>
              </w:rPr>
            </w:pPr>
            <w:bookmarkStart w:id="40" w:name="RANGE!U9"/>
            <w:r w:rsidRPr="00D91604">
              <w:rPr>
                <w:rFonts w:cs="Arial"/>
                <w:szCs w:val="16"/>
              </w:rPr>
              <w:t>50</w:t>
            </w:r>
            <w:bookmarkEnd w:id="40"/>
          </w:p>
        </w:tc>
        <w:tc>
          <w:tcPr>
            <w:tcW w:w="3358" w:type="dxa"/>
            <w:noWrap/>
            <w:vAlign w:val="bottom"/>
          </w:tcPr>
          <w:p w:rsidR="00D91604" w:rsidRPr="00D91604" w:rsidRDefault="00D91604">
            <w:pPr>
              <w:cnfStyle w:val="000000000000" w:firstRow="0" w:lastRow="0" w:firstColumn="0" w:lastColumn="0" w:oddVBand="0" w:evenVBand="0" w:oddHBand="0" w:evenHBand="0" w:firstRowFirstColumn="0" w:firstRowLastColumn="0" w:lastRowFirstColumn="0" w:lastRowLastColumn="0"/>
              <w:rPr>
                <w:rFonts w:cs="Arial"/>
                <w:szCs w:val="16"/>
              </w:rPr>
            </w:pPr>
            <w:r w:rsidRPr="00D91604">
              <w:rPr>
                <w:rFonts w:cs="Arial"/>
                <w:szCs w:val="16"/>
              </w:rPr>
              <w:t>29.6</w:t>
            </w:r>
          </w:p>
        </w:tc>
      </w:tr>
      <w:tr w:rsidR="00D91604" w:rsidRPr="002C4B0D" w:rsidTr="00F819DB">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3619F5">
            <w:pPr>
              <w:rPr>
                <w:rFonts w:cs="Arial"/>
                <w:szCs w:val="16"/>
              </w:rPr>
            </w:pPr>
            <w:bookmarkStart w:id="41" w:name="RANGE!G10"/>
            <w:r>
              <w:rPr>
                <w:rFonts w:cs="Arial"/>
                <w:szCs w:val="16"/>
              </w:rPr>
              <w:t>MP s</w:t>
            </w:r>
            <w:r w:rsidR="00D91604" w:rsidRPr="00D91604">
              <w:rPr>
                <w:rFonts w:cs="Arial"/>
                <w:szCs w:val="16"/>
              </w:rPr>
              <w:t>ervices</w:t>
            </w:r>
            <w:bookmarkEnd w:id="41"/>
          </w:p>
        </w:tc>
        <w:tc>
          <w:tcPr>
            <w:tcW w:w="2410" w:type="dxa"/>
            <w:noWrap/>
            <w:vAlign w:val="bottom"/>
          </w:tcPr>
          <w:p w:rsidR="00D91604" w:rsidRPr="00D91604" w:rsidRDefault="00D91604" w:rsidP="00D91604">
            <w:pPr>
              <w:cnfStyle w:val="000000010000" w:firstRow="0" w:lastRow="0" w:firstColumn="0" w:lastColumn="0" w:oddVBand="0" w:evenVBand="0" w:oddHBand="0" w:evenHBand="1" w:firstRowFirstColumn="0" w:firstRowLastColumn="0" w:lastRowFirstColumn="0" w:lastRowLastColumn="0"/>
              <w:rPr>
                <w:rFonts w:cs="Arial"/>
                <w:szCs w:val="16"/>
              </w:rPr>
            </w:pPr>
            <w:bookmarkStart w:id="42" w:name="RANGE!U10"/>
            <w:r w:rsidRPr="00D91604">
              <w:rPr>
                <w:rFonts w:cs="Arial"/>
                <w:szCs w:val="16"/>
              </w:rPr>
              <w:t>30</w:t>
            </w:r>
            <w:bookmarkEnd w:id="42"/>
          </w:p>
        </w:tc>
        <w:tc>
          <w:tcPr>
            <w:tcW w:w="3358" w:type="dxa"/>
            <w:noWrap/>
            <w:vAlign w:val="bottom"/>
          </w:tcPr>
          <w:p w:rsidR="00D91604" w:rsidRPr="00D91604" w:rsidRDefault="00D91604">
            <w:pPr>
              <w:cnfStyle w:val="000000010000" w:firstRow="0" w:lastRow="0" w:firstColumn="0" w:lastColumn="0" w:oddVBand="0" w:evenVBand="0" w:oddHBand="0" w:evenHBand="1" w:firstRowFirstColumn="0" w:firstRowLastColumn="0" w:lastRowFirstColumn="0" w:lastRowLastColumn="0"/>
              <w:rPr>
                <w:rFonts w:cs="Arial"/>
                <w:szCs w:val="16"/>
              </w:rPr>
            </w:pPr>
            <w:r w:rsidRPr="00D91604">
              <w:rPr>
                <w:rFonts w:cs="Arial"/>
                <w:szCs w:val="16"/>
              </w:rPr>
              <w:t>24.8</w:t>
            </w:r>
          </w:p>
        </w:tc>
      </w:tr>
      <w:tr w:rsidR="00D91604" w:rsidRPr="002C4B0D" w:rsidTr="00F819DB">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3619F5" w:rsidP="003619F5">
            <w:pPr>
              <w:rPr>
                <w:rFonts w:cs="Arial"/>
                <w:szCs w:val="16"/>
              </w:rPr>
            </w:pPr>
            <w:bookmarkStart w:id="43" w:name="RANGE!G11"/>
            <w:r>
              <w:rPr>
                <w:rFonts w:cs="Arial"/>
                <w:szCs w:val="16"/>
              </w:rPr>
              <w:t>TRS and DRS—valves and r</w:t>
            </w:r>
            <w:r w:rsidR="00D91604" w:rsidRPr="00D91604">
              <w:rPr>
                <w:rFonts w:cs="Arial"/>
                <w:szCs w:val="16"/>
              </w:rPr>
              <w:t>egulators</w:t>
            </w:r>
            <w:bookmarkEnd w:id="43"/>
          </w:p>
        </w:tc>
        <w:tc>
          <w:tcPr>
            <w:tcW w:w="2410" w:type="dxa"/>
            <w:noWrap/>
            <w:vAlign w:val="bottom"/>
          </w:tcPr>
          <w:p w:rsidR="00D91604" w:rsidRPr="00D91604" w:rsidRDefault="00D91604" w:rsidP="00D91604">
            <w:pPr>
              <w:cnfStyle w:val="000000000000" w:firstRow="0" w:lastRow="0" w:firstColumn="0" w:lastColumn="0" w:oddVBand="0" w:evenVBand="0" w:oddHBand="0" w:evenHBand="0" w:firstRowFirstColumn="0" w:firstRowLastColumn="0" w:lastRowFirstColumn="0" w:lastRowLastColumn="0"/>
              <w:rPr>
                <w:rFonts w:cs="Arial"/>
                <w:szCs w:val="16"/>
              </w:rPr>
            </w:pPr>
            <w:bookmarkStart w:id="44" w:name="RANGE!U11"/>
            <w:r w:rsidRPr="00D91604">
              <w:rPr>
                <w:rFonts w:cs="Arial"/>
                <w:szCs w:val="16"/>
              </w:rPr>
              <w:t>40</w:t>
            </w:r>
            <w:bookmarkEnd w:id="44"/>
          </w:p>
        </w:tc>
        <w:tc>
          <w:tcPr>
            <w:tcW w:w="3358" w:type="dxa"/>
            <w:noWrap/>
            <w:vAlign w:val="bottom"/>
          </w:tcPr>
          <w:p w:rsidR="00D91604" w:rsidRPr="00D91604" w:rsidRDefault="00D91604">
            <w:pPr>
              <w:cnfStyle w:val="000000000000" w:firstRow="0" w:lastRow="0" w:firstColumn="0" w:lastColumn="0" w:oddVBand="0" w:evenVBand="0" w:oddHBand="0" w:evenHBand="0" w:firstRowFirstColumn="0" w:firstRowLastColumn="0" w:lastRowFirstColumn="0" w:lastRowLastColumn="0"/>
              <w:rPr>
                <w:rFonts w:cs="Arial"/>
                <w:szCs w:val="16"/>
              </w:rPr>
            </w:pPr>
            <w:r w:rsidRPr="00D91604">
              <w:rPr>
                <w:rFonts w:cs="Arial"/>
                <w:szCs w:val="16"/>
              </w:rPr>
              <w:t>38.3</w:t>
            </w:r>
          </w:p>
        </w:tc>
      </w:tr>
      <w:tr w:rsidR="00D91604" w:rsidRPr="002C4B0D" w:rsidTr="00F819DB">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D91604">
            <w:pPr>
              <w:rPr>
                <w:rFonts w:cs="Arial"/>
                <w:szCs w:val="16"/>
              </w:rPr>
            </w:pPr>
            <w:bookmarkStart w:id="45" w:name="RANGE!G12"/>
            <w:r w:rsidRPr="00D91604">
              <w:rPr>
                <w:rFonts w:cs="Arial"/>
                <w:szCs w:val="16"/>
              </w:rPr>
              <w:t>Contract meters</w:t>
            </w:r>
            <w:bookmarkEnd w:id="45"/>
          </w:p>
        </w:tc>
        <w:tc>
          <w:tcPr>
            <w:tcW w:w="2410" w:type="dxa"/>
            <w:noWrap/>
            <w:vAlign w:val="bottom"/>
          </w:tcPr>
          <w:p w:rsidR="00D91604" w:rsidRPr="00D91604" w:rsidRDefault="00D91604" w:rsidP="00D91604">
            <w:pPr>
              <w:cnfStyle w:val="000000010000" w:firstRow="0" w:lastRow="0" w:firstColumn="0" w:lastColumn="0" w:oddVBand="0" w:evenVBand="0" w:oddHBand="0" w:evenHBand="1" w:firstRowFirstColumn="0" w:firstRowLastColumn="0" w:lastRowFirstColumn="0" w:lastRowLastColumn="0"/>
              <w:rPr>
                <w:rFonts w:cs="Arial"/>
                <w:szCs w:val="16"/>
              </w:rPr>
            </w:pPr>
            <w:bookmarkStart w:id="46" w:name="RANGE!U12"/>
            <w:r w:rsidRPr="00D91604">
              <w:rPr>
                <w:rFonts w:cs="Arial"/>
                <w:szCs w:val="16"/>
              </w:rPr>
              <w:t>15</w:t>
            </w:r>
            <w:bookmarkEnd w:id="46"/>
          </w:p>
        </w:tc>
        <w:tc>
          <w:tcPr>
            <w:tcW w:w="3358" w:type="dxa"/>
            <w:noWrap/>
            <w:vAlign w:val="bottom"/>
          </w:tcPr>
          <w:p w:rsidR="00D91604" w:rsidRPr="00D91604" w:rsidRDefault="00D91604">
            <w:pPr>
              <w:cnfStyle w:val="000000010000" w:firstRow="0" w:lastRow="0" w:firstColumn="0" w:lastColumn="0" w:oddVBand="0" w:evenVBand="0" w:oddHBand="0" w:evenHBand="1" w:firstRowFirstColumn="0" w:firstRowLastColumn="0" w:lastRowFirstColumn="0" w:lastRowLastColumn="0"/>
              <w:rPr>
                <w:rFonts w:cs="Arial"/>
                <w:szCs w:val="16"/>
              </w:rPr>
            </w:pPr>
            <w:r w:rsidRPr="00D91604">
              <w:rPr>
                <w:rFonts w:cs="Arial"/>
                <w:szCs w:val="16"/>
              </w:rPr>
              <w:t>7.5</w:t>
            </w:r>
          </w:p>
        </w:tc>
      </w:tr>
      <w:tr w:rsidR="00D91604" w:rsidRPr="002C4B0D" w:rsidTr="00F819DB">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D91604">
            <w:pPr>
              <w:rPr>
                <w:rFonts w:cs="Arial"/>
                <w:szCs w:val="16"/>
              </w:rPr>
            </w:pPr>
            <w:bookmarkStart w:id="47" w:name="RANGE!G13"/>
            <w:r w:rsidRPr="00D91604">
              <w:rPr>
                <w:rFonts w:cs="Arial"/>
                <w:szCs w:val="16"/>
              </w:rPr>
              <w:t>Tariff meters</w:t>
            </w:r>
            <w:bookmarkEnd w:id="47"/>
          </w:p>
        </w:tc>
        <w:tc>
          <w:tcPr>
            <w:tcW w:w="2410" w:type="dxa"/>
            <w:noWrap/>
            <w:vAlign w:val="bottom"/>
          </w:tcPr>
          <w:p w:rsidR="00D91604" w:rsidRPr="00D91604" w:rsidRDefault="00D91604" w:rsidP="00D91604">
            <w:pPr>
              <w:cnfStyle w:val="000000000000" w:firstRow="0" w:lastRow="0" w:firstColumn="0" w:lastColumn="0" w:oddVBand="0" w:evenVBand="0" w:oddHBand="0" w:evenHBand="0" w:firstRowFirstColumn="0" w:firstRowLastColumn="0" w:lastRowFirstColumn="0" w:lastRowLastColumn="0"/>
              <w:rPr>
                <w:rFonts w:cs="Arial"/>
                <w:szCs w:val="16"/>
              </w:rPr>
            </w:pPr>
            <w:bookmarkStart w:id="48" w:name="RANGE!U13"/>
            <w:r w:rsidRPr="00D91604">
              <w:rPr>
                <w:rFonts w:cs="Arial"/>
                <w:szCs w:val="16"/>
              </w:rPr>
              <w:t>15</w:t>
            </w:r>
            <w:bookmarkEnd w:id="48"/>
          </w:p>
        </w:tc>
        <w:tc>
          <w:tcPr>
            <w:tcW w:w="3358" w:type="dxa"/>
            <w:noWrap/>
            <w:vAlign w:val="bottom"/>
          </w:tcPr>
          <w:p w:rsidR="00D91604" w:rsidRPr="00D91604" w:rsidRDefault="00D91604">
            <w:pPr>
              <w:cnfStyle w:val="000000000000" w:firstRow="0" w:lastRow="0" w:firstColumn="0" w:lastColumn="0" w:oddVBand="0" w:evenVBand="0" w:oddHBand="0" w:evenHBand="0" w:firstRowFirstColumn="0" w:firstRowLastColumn="0" w:lastRowFirstColumn="0" w:lastRowLastColumn="0"/>
              <w:rPr>
                <w:rFonts w:cs="Arial"/>
                <w:szCs w:val="16"/>
              </w:rPr>
            </w:pPr>
            <w:r w:rsidRPr="00D91604">
              <w:rPr>
                <w:rFonts w:cs="Arial"/>
                <w:szCs w:val="16"/>
              </w:rPr>
              <w:t>13.4</w:t>
            </w:r>
          </w:p>
        </w:tc>
      </w:tr>
      <w:tr w:rsidR="00D91604" w:rsidRPr="002C4B0D" w:rsidTr="00F819DB">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3619F5">
            <w:pPr>
              <w:rPr>
                <w:rFonts w:cs="Arial"/>
                <w:szCs w:val="16"/>
              </w:rPr>
            </w:pPr>
            <w:bookmarkStart w:id="49" w:name="RANGE!G14"/>
            <w:r>
              <w:rPr>
                <w:rFonts w:cs="Arial"/>
                <w:szCs w:val="16"/>
              </w:rPr>
              <w:t>Regulatory c</w:t>
            </w:r>
            <w:r w:rsidR="00D91604" w:rsidRPr="00D91604">
              <w:rPr>
                <w:rFonts w:cs="Arial"/>
                <w:szCs w:val="16"/>
              </w:rPr>
              <w:t>osts</w:t>
            </w:r>
            <w:bookmarkEnd w:id="49"/>
          </w:p>
        </w:tc>
        <w:tc>
          <w:tcPr>
            <w:tcW w:w="2410" w:type="dxa"/>
            <w:noWrap/>
            <w:vAlign w:val="bottom"/>
          </w:tcPr>
          <w:p w:rsidR="00D91604" w:rsidRPr="00D91604" w:rsidRDefault="00D91604" w:rsidP="00D91604">
            <w:pPr>
              <w:cnfStyle w:val="000000010000" w:firstRow="0" w:lastRow="0" w:firstColumn="0" w:lastColumn="0" w:oddVBand="0" w:evenVBand="0" w:oddHBand="0" w:evenHBand="1" w:firstRowFirstColumn="0" w:firstRowLastColumn="0" w:lastRowFirstColumn="0" w:lastRowLastColumn="0"/>
              <w:rPr>
                <w:rFonts w:cs="Arial"/>
                <w:szCs w:val="16"/>
              </w:rPr>
            </w:pPr>
            <w:bookmarkStart w:id="50" w:name="RANGE!U14"/>
            <w:r w:rsidRPr="00D91604">
              <w:rPr>
                <w:rFonts w:cs="Arial"/>
                <w:szCs w:val="16"/>
              </w:rPr>
              <w:t>5</w:t>
            </w:r>
            <w:bookmarkEnd w:id="50"/>
          </w:p>
        </w:tc>
        <w:tc>
          <w:tcPr>
            <w:tcW w:w="3358" w:type="dxa"/>
            <w:noWrap/>
            <w:vAlign w:val="bottom"/>
          </w:tcPr>
          <w:p w:rsidR="00D91604" w:rsidRPr="00D91604" w:rsidRDefault="00D51291" w:rsidP="00D51291">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0.0</w:t>
            </w:r>
          </w:p>
        </w:tc>
      </w:tr>
      <w:tr w:rsidR="00D91604" w:rsidRPr="002C4B0D" w:rsidTr="00F819DB">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D91604" w:rsidRPr="00D91604" w:rsidRDefault="003619F5">
            <w:pPr>
              <w:rPr>
                <w:rFonts w:cs="Arial"/>
                <w:szCs w:val="16"/>
              </w:rPr>
            </w:pPr>
            <w:bookmarkStart w:id="51" w:name="RANGE!G15"/>
            <w:r>
              <w:rPr>
                <w:rFonts w:cs="Arial"/>
                <w:szCs w:val="16"/>
              </w:rPr>
              <w:t>IT s</w:t>
            </w:r>
            <w:r w:rsidR="00D91604" w:rsidRPr="00D91604">
              <w:rPr>
                <w:rFonts w:cs="Arial"/>
                <w:szCs w:val="16"/>
              </w:rPr>
              <w:t>ystem</w:t>
            </w:r>
            <w:bookmarkEnd w:id="51"/>
            <w:r w:rsidR="000C6F47" w:rsidRPr="000C6F47">
              <w:rPr>
                <w:rFonts w:cs="Arial"/>
                <w:szCs w:val="16"/>
                <w:vertAlign w:val="superscript"/>
              </w:rPr>
              <w:t>a</w:t>
            </w:r>
          </w:p>
        </w:tc>
        <w:tc>
          <w:tcPr>
            <w:tcW w:w="2410" w:type="dxa"/>
            <w:noWrap/>
            <w:vAlign w:val="bottom"/>
          </w:tcPr>
          <w:p w:rsidR="00D91604" w:rsidRPr="00D91604" w:rsidRDefault="00D91604" w:rsidP="00D91604">
            <w:pPr>
              <w:cnfStyle w:val="000000000000" w:firstRow="0" w:lastRow="0" w:firstColumn="0" w:lastColumn="0" w:oddVBand="0" w:evenVBand="0" w:oddHBand="0" w:evenHBand="0" w:firstRowFirstColumn="0" w:firstRowLastColumn="0" w:lastRowFirstColumn="0" w:lastRowLastColumn="0"/>
              <w:rPr>
                <w:rFonts w:cs="Arial"/>
                <w:szCs w:val="16"/>
              </w:rPr>
            </w:pPr>
            <w:bookmarkStart w:id="52" w:name="RANGE!U15"/>
            <w:r w:rsidRPr="00D91604">
              <w:rPr>
                <w:rFonts w:cs="Arial"/>
                <w:szCs w:val="16"/>
              </w:rPr>
              <w:t>5</w:t>
            </w:r>
            <w:bookmarkEnd w:id="52"/>
          </w:p>
        </w:tc>
        <w:tc>
          <w:tcPr>
            <w:tcW w:w="3358" w:type="dxa"/>
            <w:noWrap/>
            <w:vAlign w:val="bottom"/>
          </w:tcPr>
          <w:p w:rsidR="00D91604" w:rsidRPr="00D91604" w:rsidRDefault="00D91604">
            <w:pPr>
              <w:cnfStyle w:val="000000000000" w:firstRow="0" w:lastRow="0" w:firstColumn="0" w:lastColumn="0" w:oddVBand="0" w:evenVBand="0" w:oddHBand="0" w:evenHBand="0" w:firstRowFirstColumn="0" w:firstRowLastColumn="0" w:lastRowFirstColumn="0" w:lastRowLastColumn="0"/>
              <w:rPr>
                <w:rFonts w:cs="Arial"/>
                <w:szCs w:val="16"/>
              </w:rPr>
            </w:pPr>
            <w:r w:rsidRPr="00D91604">
              <w:rPr>
                <w:rFonts w:cs="Arial"/>
                <w:szCs w:val="16"/>
              </w:rPr>
              <w:t xml:space="preserve">1.0 </w:t>
            </w:r>
          </w:p>
        </w:tc>
      </w:tr>
      <w:tr w:rsidR="00B61050" w:rsidRPr="002C4B0D" w:rsidTr="00F819DB">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B61050" w:rsidRDefault="00B61050">
            <w:pPr>
              <w:rPr>
                <w:rFonts w:cs="Arial"/>
                <w:szCs w:val="16"/>
              </w:rPr>
            </w:pPr>
            <w:r>
              <w:rPr>
                <w:rFonts w:cs="Arial"/>
                <w:szCs w:val="16"/>
              </w:rPr>
              <w:t>Land and easement</w:t>
            </w:r>
          </w:p>
        </w:tc>
        <w:tc>
          <w:tcPr>
            <w:tcW w:w="2410" w:type="dxa"/>
            <w:noWrap/>
            <w:vAlign w:val="bottom"/>
          </w:tcPr>
          <w:p w:rsidR="00B61050" w:rsidRPr="00D91604" w:rsidRDefault="00B61050" w:rsidP="00D91604">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n/a</w:t>
            </w:r>
          </w:p>
        </w:tc>
        <w:tc>
          <w:tcPr>
            <w:tcW w:w="3358" w:type="dxa"/>
            <w:noWrap/>
            <w:vAlign w:val="bottom"/>
          </w:tcPr>
          <w:p w:rsidR="00B61050" w:rsidRPr="00D91604" w:rsidRDefault="00B61050">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n/a</w:t>
            </w:r>
          </w:p>
        </w:tc>
      </w:tr>
    </w:tbl>
    <w:p w:rsidR="00817EB0" w:rsidRDefault="00817EB0" w:rsidP="00817EB0">
      <w:pPr>
        <w:pStyle w:val="AERtablesource"/>
      </w:pPr>
      <w:r w:rsidRPr="00EA0E36">
        <w:t xml:space="preserve">Source: </w:t>
      </w:r>
      <w:r w:rsidRPr="00EA0E36">
        <w:tab/>
        <w:t>AER analysis.</w:t>
      </w:r>
    </w:p>
    <w:p w:rsidR="000C6F47" w:rsidRDefault="00522FDA" w:rsidP="00817EB0">
      <w:pPr>
        <w:pStyle w:val="AERtablesource"/>
      </w:pPr>
      <w:r>
        <w:t>(</w:t>
      </w:r>
      <w:r w:rsidR="00A15560">
        <w:t>a</w:t>
      </w:r>
      <w:r>
        <w:t>)</w:t>
      </w:r>
      <w:r w:rsidR="000C6F47">
        <w:tab/>
        <w:t xml:space="preserve">The remaining asset life as at 1 July 2015 for </w:t>
      </w:r>
      <w:r>
        <w:t xml:space="preserve">the </w:t>
      </w:r>
      <w:r w:rsidR="000C6F47">
        <w:t>‘IT system’ asset class is set to 1 year in order to fully deprec</w:t>
      </w:r>
      <w:r>
        <w:t>i</w:t>
      </w:r>
      <w:r w:rsidR="000C6F47">
        <w:t xml:space="preserve">ate the small residual TAB value for this asset class within </w:t>
      </w:r>
      <w:r>
        <w:t xml:space="preserve">2015–16 and </w:t>
      </w:r>
      <w:r w:rsidR="000C6F47">
        <w:t xml:space="preserve">the </w:t>
      </w:r>
      <w:r>
        <w:t>2016–21</w:t>
      </w:r>
      <w:r w:rsidR="000C6F47">
        <w:t xml:space="preserve"> access arrangement period.</w:t>
      </w:r>
      <w:r w:rsidR="000C6F47">
        <w:tab/>
      </w:r>
    </w:p>
    <w:p w:rsidR="00817EB0" w:rsidRPr="00E369C5" w:rsidRDefault="000C6F47" w:rsidP="00817EB0">
      <w:pPr>
        <w:pStyle w:val="AERtablesource"/>
      </w:pPr>
      <w:r>
        <w:t>n/a</w:t>
      </w:r>
      <w:r>
        <w:tab/>
        <w:t>Not applicable.</w:t>
      </w:r>
    </w:p>
    <w:p w:rsidR="00817EB0" w:rsidRPr="00407443" w:rsidRDefault="00817EB0" w:rsidP="00817EB0">
      <w:pPr>
        <w:pStyle w:val="Heading2"/>
      </w:pPr>
      <w:bookmarkStart w:id="53" w:name="_Toc430871312"/>
      <w:bookmarkStart w:id="54" w:name="_Toc436043216"/>
      <w:r w:rsidRPr="00407443">
        <w:lastRenderedPageBreak/>
        <w:t>Revisions</w:t>
      </w:r>
      <w:bookmarkEnd w:id="53"/>
      <w:bookmarkEnd w:id="54"/>
    </w:p>
    <w:p w:rsidR="00817EB0" w:rsidRPr="00407443" w:rsidRDefault="00022CE7" w:rsidP="00817EB0">
      <w:r>
        <w:rPr>
          <w:rStyle w:val="AERbody"/>
        </w:rPr>
        <w:t>We</w:t>
      </w:r>
      <w:r w:rsidR="00817EB0" w:rsidRPr="00407443">
        <w:rPr>
          <w:rStyle w:val="AERbody"/>
        </w:rPr>
        <w:t xml:space="preserve"> require the following revisions to make the access arrangement proposal acceptable</w:t>
      </w:r>
      <w:r w:rsidR="00817EB0" w:rsidRPr="00407443">
        <w:t>:</w:t>
      </w:r>
    </w:p>
    <w:p w:rsidR="00B61EDF" w:rsidRDefault="00817EB0" w:rsidP="00A241F3">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F17F59">
        <w:rPr>
          <w:rStyle w:val="Strong"/>
          <w:rFonts w:eastAsia="Calibri"/>
        </w:rPr>
        <w:t xml:space="preserve">Revision </w:t>
      </w:r>
      <w:r>
        <w:rPr>
          <w:rStyle w:val="Strong"/>
          <w:rFonts w:eastAsia="Calibri"/>
        </w:rPr>
        <w:t>8</w:t>
      </w:r>
      <w:r w:rsidRPr="00F17F59">
        <w:rPr>
          <w:rStyle w:val="Strong"/>
          <w:rFonts w:eastAsia="Calibri"/>
        </w:rPr>
        <w:t>.1</w:t>
      </w:r>
      <w:r w:rsidRPr="00F17F59">
        <w:rPr>
          <w:rFonts w:eastAsia="Calibri"/>
        </w:rPr>
        <w:t xml:space="preserve"> Make all necessary amendments to reflect </w:t>
      </w:r>
      <w:r w:rsidR="00022CE7">
        <w:rPr>
          <w:rFonts w:eastAsia="Calibri"/>
        </w:rPr>
        <w:t>this</w:t>
      </w:r>
      <w:r w:rsidRPr="00F17F59">
        <w:rPr>
          <w:rFonts w:eastAsia="Calibri"/>
        </w:rPr>
        <w:t xml:space="preserve"> draft decision on the proposed corporate income tax allowance for </w:t>
      </w:r>
      <w:r w:rsidR="008446B5">
        <w:rPr>
          <w:rFonts w:eastAsia="Calibri"/>
        </w:rPr>
        <w:t xml:space="preserve">2015–16 and </w:t>
      </w:r>
      <w:r w:rsidRPr="00F17F59">
        <w:rPr>
          <w:rFonts w:eastAsia="Calibri"/>
        </w:rPr>
        <w:t>the 201</w:t>
      </w:r>
      <w:r>
        <w:rPr>
          <w:rFonts w:eastAsia="Calibri"/>
        </w:rPr>
        <w:t>6</w:t>
      </w:r>
      <w:r w:rsidRPr="00F17F59">
        <w:rPr>
          <w:rFonts w:eastAsia="Calibri"/>
        </w:rPr>
        <w:t>–2</w:t>
      </w:r>
      <w:r>
        <w:rPr>
          <w:rFonts w:eastAsia="Calibri"/>
        </w:rPr>
        <w:t>1</w:t>
      </w:r>
      <w:r w:rsidRPr="00F17F59">
        <w:rPr>
          <w:rFonts w:eastAsia="Calibri"/>
        </w:rPr>
        <w:t xml:space="preserve"> access arrangement period, as set out in </w:t>
      </w:r>
      <w:r w:rsidR="00572FB4">
        <w:rPr>
          <w:rFonts w:eastAsia="Calibri"/>
        </w:rPr>
        <w:fldChar w:fldCharType="begin"/>
      </w:r>
      <w:r w:rsidR="00572FB4">
        <w:rPr>
          <w:rFonts w:eastAsia="Calibri"/>
        </w:rPr>
        <w:instrText xml:space="preserve"> REF _Ref398553891 \h </w:instrText>
      </w:r>
      <w:r w:rsidR="00572FB4">
        <w:rPr>
          <w:rFonts w:eastAsia="Calibri"/>
        </w:rPr>
      </w:r>
      <w:r w:rsidR="00572FB4">
        <w:rPr>
          <w:rFonts w:eastAsia="Calibri"/>
        </w:rPr>
        <w:fldChar w:fldCharType="separate"/>
      </w:r>
      <w:r w:rsidR="004634B2">
        <w:t>t</w:t>
      </w:r>
      <w:r w:rsidR="004634B2" w:rsidRPr="00FD50DB">
        <w:t xml:space="preserve">able </w:t>
      </w:r>
      <w:r w:rsidR="004634B2">
        <w:rPr>
          <w:noProof/>
        </w:rPr>
        <w:t>8</w:t>
      </w:r>
      <w:r w:rsidR="004634B2">
        <w:t>.</w:t>
      </w:r>
      <w:r w:rsidR="004634B2">
        <w:rPr>
          <w:noProof/>
        </w:rPr>
        <w:t>1</w:t>
      </w:r>
      <w:r w:rsidR="00572FB4">
        <w:rPr>
          <w:rFonts w:eastAsia="Calibri"/>
        </w:rPr>
        <w:fldChar w:fldCharType="end"/>
      </w:r>
      <w:r w:rsidRPr="00F17F59">
        <w:rPr>
          <w:rFonts w:eastAsia="Calibri"/>
        </w:rPr>
        <w:t xml:space="preserve">. </w:t>
      </w:r>
    </w:p>
    <w:p w:rsidR="00527E9A" w:rsidRPr="00A241F3" w:rsidRDefault="00527E9A" w:rsidP="00A241F3">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572FB4">
        <w:rPr>
          <w:rFonts w:eastAsia="Calibri"/>
          <w:b/>
        </w:rPr>
        <w:t>Revision 8.2</w:t>
      </w:r>
      <w:r>
        <w:rPr>
          <w:rFonts w:eastAsia="Calibri"/>
        </w:rPr>
        <w:t xml:space="preserve"> Make all necessary amendments to reflect </w:t>
      </w:r>
      <w:r w:rsidR="00022CE7">
        <w:rPr>
          <w:rFonts w:eastAsia="Calibri"/>
        </w:rPr>
        <w:t>this</w:t>
      </w:r>
      <w:r>
        <w:rPr>
          <w:rFonts w:eastAsia="Calibri"/>
        </w:rPr>
        <w:t xml:space="preserve"> draft decision on the standard and remaining tax asset lives for 2015–16 and the 2016–21 access arrangement period, as set out in </w:t>
      </w:r>
      <w:r>
        <w:rPr>
          <w:rFonts w:eastAsia="Calibri"/>
        </w:rPr>
        <w:fldChar w:fldCharType="begin"/>
      </w:r>
      <w:r>
        <w:rPr>
          <w:rFonts w:eastAsia="Calibri"/>
        </w:rPr>
        <w:instrText xml:space="preserve"> REF _Ref432674818 \h </w:instrText>
      </w:r>
      <w:r>
        <w:rPr>
          <w:rFonts w:eastAsia="Calibri"/>
        </w:rPr>
      </w:r>
      <w:r>
        <w:rPr>
          <w:rFonts w:eastAsia="Calibri"/>
        </w:rPr>
        <w:fldChar w:fldCharType="separate"/>
      </w:r>
      <w:r w:rsidR="004634B2">
        <w:t>t</w:t>
      </w:r>
      <w:r w:rsidR="004634B2" w:rsidRPr="00896D81">
        <w:t xml:space="preserve">able </w:t>
      </w:r>
      <w:r w:rsidR="004634B2">
        <w:rPr>
          <w:noProof/>
        </w:rPr>
        <w:t>8</w:t>
      </w:r>
      <w:r w:rsidR="004634B2">
        <w:t>.</w:t>
      </w:r>
      <w:r w:rsidR="004634B2">
        <w:rPr>
          <w:noProof/>
        </w:rPr>
        <w:t>5</w:t>
      </w:r>
      <w:r>
        <w:rPr>
          <w:rFonts w:eastAsia="Calibri"/>
        </w:rPr>
        <w:fldChar w:fldCharType="end"/>
      </w:r>
      <w:r>
        <w:rPr>
          <w:rFonts w:eastAsia="Calibri"/>
        </w:rPr>
        <w:t>.</w:t>
      </w:r>
    </w:p>
    <w:sectPr w:rsidR="00527E9A" w:rsidRPr="00A241F3"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14" w:rsidRPr="00290C63" w:rsidRDefault="00AD4514" w:rsidP="00290C63">
      <w:r>
        <w:separator/>
      </w:r>
    </w:p>
    <w:p w:rsidR="00AD4514" w:rsidRDefault="00AD4514"/>
  </w:endnote>
  <w:endnote w:type="continuationSeparator" w:id="0">
    <w:p w:rsidR="00AD4514" w:rsidRPr="00290C63" w:rsidRDefault="00AD4514" w:rsidP="00290C63">
      <w:r>
        <w:continuationSeparator/>
      </w:r>
    </w:p>
    <w:p w:rsidR="00AD4514" w:rsidRDefault="00AD4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14" w:rsidRDefault="00AD451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D4514" w:rsidRDefault="00AD4514">
    <w:pPr>
      <w:pStyle w:val="Footer"/>
    </w:pPr>
  </w:p>
  <w:p w:rsidR="00AD4514" w:rsidRDefault="00AD451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D4514" w:rsidRPr="00CA52A2" w:rsidRDefault="00AD4514" w:rsidP="00CA52A2">
        <w:pPr>
          <w:pStyle w:val="Footer"/>
        </w:pPr>
        <w:r w:rsidRPr="00CA52A2">
          <w:fldChar w:fldCharType="begin"/>
        </w:r>
        <w:r>
          <w:instrText xml:space="preserve"> PAGE   \* MERGEFORMAT </w:instrText>
        </w:r>
        <w:r w:rsidRPr="00CA52A2">
          <w:fldChar w:fldCharType="separate"/>
        </w:r>
        <w:r w:rsidR="00E41435">
          <w:rPr>
            <w:noProof/>
          </w:rPr>
          <w:t>8-3</w:t>
        </w:r>
        <w:r w:rsidRPr="00CA52A2">
          <w:fldChar w:fldCharType="end"/>
        </w:r>
        <w:r w:rsidRPr="00CA52A2">
          <w:t xml:space="preserve">         Attachment </w:t>
        </w:r>
        <w:r>
          <w:t xml:space="preserve">8 </w:t>
        </w:r>
        <w:r w:rsidRPr="00CA52A2">
          <w:t xml:space="preserve">– </w:t>
        </w:r>
        <w:r>
          <w:t xml:space="preserve">Corporate income tax </w:t>
        </w:r>
        <w:r w:rsidRPr="00CA52A2">
          <w:t xml:space="preserve">| </w:t>
        </w:r>
        <w:r>
          <w:t>Draft decision: ActewAGL Access Arrangement 2016</w:t>
        </w:r>
        <w:r w:rsidRPr="00CA52A2">
          <w:t>–</w:t>
        </w:r>
        <w:r>
          <w:t>21</w:t>
        </w:r>
      </w:p>
    </w:sdtContent>
  </w:sdt>
  <w:p w:rsidR="00AD4514" w:rsidRDefault="00AD451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14" w:rsidRPr="00290C63" w:rsidRDefault="00AD4514" w:rsidP="00290C63">
      <w:r>
        <w:separator/>
      </w:r>
    </w:p>
    <w:p w:rsidR="00AD4514" w:rsidRDefault="00AD4514"/>
  </w:footnote>
  <w:footnote w:type="continuationSeparator" w:id="0">
    <w:p w:rsidR="00AD4514" w:rsidRPr="00290C63" w:rsidRDefault="00AD4514" w:rsidP="00290C63">
      <w:r>
        <w:continuationSeparator/>
      </w:r>
    </w:p>
    <w:p w:rsidR="00AD4514" w:rsidRDefault="00AD4514"/>
  </w:footnote>
  <w:footnote w:id="1">
    <w:p w:rsidR="00AD4514" w:rsidRDefault="00AD4514" w:rsidP="00817EB0">
      <w:pPr>
        <w:pStyle w:val="FootnoteText"/>
      </w:pPr>
      <w:r>
        <w:rPr>
          <w:rStyle w:val="FootnoteReference"/>
        </w:rPr>
        <w:footnoteRef/>
      </w:r>
      <w:r>
        <w:t xml:space="preserve"> </w:t>
      </w:r>
      <w:r>
        <w:tab/>
        <w:t>NGR, r. 76(c).</w:t>
      </w:r>
    </w:p>
  </w:footnote>
  <w:footnote w:id="2">
    <w:p w:rsidR="00AD4514" w:rsidRDefault="00AD4514" w:rsidP="00817EB0">
      <w:pPr>
        <w:pStyle w:val="FootnoteText"/>
      </w:pPr>
      <w:r>
        <w:rPr>
          <w:rStyle w:val="FootnoteReference"/>
        </w:rPr>
        <w:footnoteRef/>
      </w:r>
      <w:r>
        <w:t xml:space="preserve"> </w:t>
      </w:r>
      <w:r>
        <w:tab/>
        <w:t>ActewAGL</w:t>
      </w:r>
      <w:r w:rsidRPr="00F406F0">
        <w:t xml:space="preserve">, </w:t>
      </w:r>
      <w:r w:rsidR="00665CFF">
        <w:rPr>
          <w:rStyle w:val="AERtextitalic"/>
        </w:rPr>
        <w:t>Access arrangement information for the 2016–21 ACT, Queenbeyan and Palerang access arrangement:</w:t>
      </w:r>
      <w:r>
        <w:rPr>
          <w:rStyle w:val="AERtextitalic"/>
        </w:rPr>
        <w:t xml:space="preserve"> Attachment 9</w:t>
      </w:r>
      <w:r w:rsidR="00665CFF">
        <w:rPr>
          <w:rStyle w:val="AERtextitalic"/>
        </w:rPr>
        <w:t xml:space="preserve"> Corporate income tax</w:t>
      </w:r>
      <w:r w:rsidRPr="00F406F0">
        <w:t xml:space="preserve">, </w:t>
      </w:r>
      <w:r>
        <w:t>June 2015</w:t>
      </w:r>
      <w:r w:rsidRPr="00F406F0">
        <w:t>,</w:t>
      </w:r>
      <w:r>
        <w:t xml:space="preserve"> </w:t>
      </w:r>
      <w:r w:rsidRPr="00F406F0">
        <w:t xml:space="preserve">p. </w:t>
      </w:r>
      <w:r w:rsidR="00351BDF">
        <w:t>1</w:t>
      </w:r>
      <w:r w:rsidRPr="00F406F0">
        <w:t>.</w:t>
      </w:r>
    </w:p>
  </w:footnote>
  <w:footnote w:id="3">
    <w:p w:rsidR="00AD4514" w:rsidRDefault="00AD4514" w:rsidP="00817EB0">
      <w:pPr>
        <w:pStyle w:val="FootnoteText"/>
      </w:pPr>
      <w:r>
        <w:rPr>
          <w:rStyle w:val="FootnoteReference"/>
        </w:rPr>
        <w:footnoteRef/>
      </w:r>
      <w:r>
        <w:t xml:space="preserve"> </w:t>
      </w:r>
      <w:r>
        <w:tab/>
        <w:t>Changes to other building block costs affect revenues, which also impact the tax calculation.</w:t>
      </w:r>
    </w:p>
  </w:footnote>
  <w:footnote w:id="4">
    <w:p w:rsidR="00AD4514" w:rsidRDefault="00AD4514" w:rsidP="00817EB0">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5">
    <w:p w:rsidR="00AD4514" w:rsidRDefault="00AD4514" w:rsidP="00817EB0">
      <w:pPr>
        <w:pStyle w:val="FootnoteText"/>
      </w:pPr>
      <w:r>
        <w:rPr>
          <w:rStyle w:val="FootnoteReference"/>
        </w:rPr>
        <w:footnoteRef/>
      </w:r>
      <w:r>
        <w:t xml:space="preserve"> </w:t>
      </w:r>
      <w:r>
        <w:tab/>
        <w:t>NGR, r. 76(c).</w:t>
      </w:r>
    </w:p>
  </w:footnote>
  <w:footnote w:id="6">
    <w:p w:rsidR="00AD4514" w:rsidRDefault="00AD4514" w:rsidP="00817EB0">
      <w:pPr>
        <w:pStyle w:val="FootnoteText"/>
      </w:pPr>
      <w:r>
        <w:rPr>
          <w:rStyle w:val="FootnoteReference"/>
        </w:rPr>
        <w:footnoteRef/>
      </w:r>
      <w:r>
        <w:t xml:space="preserve"> </w:t>
      </w:r>
      <w:r>
        <w:tab/>
        <w:t>NGL, s</w:t>
      </w:r>
      <w:r w:rsidRPr="002E5E36">
        <w:rPr>
          <w:rFonts w:eastAsia="Calibri"/>
        </w:rPr>
        <w:t xml:space="preserve"> 28; NGR r. 100(1). The NGO is set out in NGL, s. 23. The revenue and pricing principles are set out in NGL, s. 24.</w:t>
      </w:r>
    </w:p>
  </w:footnote>
  <w:footnote w:id="7">
    <w:p w:rsidR="00AD4514" w:rsidRPr="00D84948" w:rsidRDefault="00AD4514" w:rsidP="00817EB0">
      <w:pPr>
        <w:pStyle w:val="FootnoteText"/>
        <w:rPr>
          <w:szCs w:val="16"/>
        </w:rPr>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w:t>
      </w:r>
      <w:r>
        <w:rPr>
          <w:rStyle w:val="AERtextitalic"/>
        </w:rPr>
        <w:t>5</w:t>
      </w:r>
      <w:r w:rsidRPr="00896D81">
        <w:rPr>
          <w:rStyle w:val="AERtextitalic"/>
        </w:rPr>
        <w:t>)</w:t>
      </w:r>
      <w:r>
        <w:t xml:space="preserve">: </w:t>
      </w:r>
      <w:hyperlink r:id="rId1" w:history="1">
        <w:r w:rsidRPr="00821798">
          <w:rPr>
            <w:rStyle w:val="Hyperlink"/>
            <w:sz w:val="16"/>
          </w:rPr>
          <w:t>http://law.ato.gov.au/atolaw/view.htm?docid=%22TXR%2FTR20152%2FNAT%2FATO%2F00001%22</w:t>
        </w:r>
      </w:hyperlink>
      <w:r w:rsidRPr="002E5E36">
        <w:rPr>
          <w:rFonts w:eastAsia="Calibri"/>
        </w:rPr>
        <w:t>.</w:t>
      </w:r>
    </w:p>
  </w:footnote>
  <w:footnote w:id="8">
    <w:p w:rsidR="00AD4514" w:rsidRDefault="00AD4514" w:rsidP="00817EB0">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9">
    <w:p w:rsidR="00AD4514" w:rsidRDefault="00AD4514" w:rsidP="00817EB0">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0">
    <w:p w:rsidR="00AD4514" w:rsidRDefault="00AD4514" w:rsidP="00817EB0">
      <w:pPr>
        <w:pStyle w:val="FootnoteText"/>
      </w:pPr>
      <w:r>
        <w:rPr>
          <w:rStyle w:val="FootnoteReference"/>
        </w:rPr>
        <w:footnoteRef/>
      </w:r>
      <w:r>
        <w:t xml:space="preserve"> </w:t>
      </w:r>
      <w:r>
        <w:tab/>
        <w:t>NGR, r. 87A.</w:t>
      </w:r>
    </w:p>
  </w:footnote>
  <w:footnote w:id="11">
    <w:p w:rsidR="00AD4514" w:rsidRPr="009E1948" w:rsidRDefault="00AD4514" w:rsidP="00817EB0">
      <w:pPr>
        <w:pStyle w:val="FootnoteText"/>
        <w:rPr>
          <w:rStyle w:val="FootnoteReference"/>
        </w:rPr>
      </w:pPr>
      <w:r>
        <w:rPr>
          <w:rStyle w:val="FootnoteReference"/>
        </w:rPr>
        <w:footnoteRef/>
      </w:r>
      <w:r w:rsidRPr="009E1948">
        <w:rPr>
          <w:rStyle w:val="FootnoteReference"/>
        </w:rPr>
        <w:t xml:space="preserve"> </w:t>
      </w:r>
      <w:r w:rsidRPr="009E1948">
        <w:rPr>
          <w:rStyle w:val="FootnoteReference"/>
        </w:rPr>
        <w:tab/>
      </w:r>
      <w:r w:rsidRPr="009E1948">
        <w:rPr>
          <w:rFonts w:eastAsia="Calibri"/>
        </w:rPr>
        <w:t>We note that the capex determined in this draft decision for 201</w:t>
      </w:r>
      <w:r>
        <w:rPr>
          <w:rFonts w:eastAsia="Calibri"/>
        </w:rPr>
        <w:t>4</w:t>
      </w:r>
      <w:r w:rsidRPr="009E1948">
        <w:rPr>
          <w:rFonts w:eastAsia="Calibri"/>
        </w:rPr>
        <w:t>–1</w:t>
      </w:r>
      <w:r>
        <w:rPr>
          <w:rFonts w:eastAsia="Calibri"/>
        </w:rPr>
        <w:t>5</w:t>
      </w:r>
      <w:r w:rsidRPr="009E1948">
        <w:rPr>
          <w:rFonts w:eastAsia="Calibri"/>
        </w:rPr>
        <w:t xml:space="preserve"> </w:t>
      </w:r>
      <w:r>
        <w:rPr>
          <w:rFonts w:eastAsia="Calibri"/>
        </w:rPr>
        <w:t>is</w:t>
      </w:r>
      <w:r w:rsidRPr="009E1948">
        <w:rPr>
          <w:rFonts w:eastAsia="Calibri"/>
        </w:rPr>
        <w:t xml:space="preserve"> </w:t>
      </w:r>
      <w:r>
        <w:rPr>
          <w:rFonts w:eastAsia="Calibri"/>
        </w:rPr>
        <w:t xml:space="preserve">an </w:t>
      </w:r>
      <w:r w:rsidRPr="009E1948">
        <w:rPr>
          <w:rFonts w:eastAsia="Calibri"/>
        </w:rPr>
        <w:t>estimate. As part of the final decision, we expect the estimate of capex for 201</w:t>
      </w:r>
      <w:r>
        <w:rPr>
          <w:rFonts w:eastAsia="Calibri"/>
        </w:rPr>
        <w:t>4</w:t>
      </w:r>
      <w:r w:rsidRPr="009E1948">
        <w:rPr>
          <w:rFonts w:eastAsia="Calibri"/>
        </w:rPr>
        <w:t>–1</w:t>
      </w:r>
      <w:r>
        <w:rPr>
          <w:rFonts w:eastAsia="Calibri"/>
        </w:rPr>
        <w:t>5 to be replaced by actuals.</w:t>
      </w:r>
    </w:p>
  </w:footnote>
  <w:footnote w:id="12">
    <w:p w:rsidR="00AD4514" w:rsidRDefault="00AD4514" w:rsidP="00817EB0">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sidRPr="00896D81">
        <w:rPr>
          <w:rStyle w:val="AERtextitalic"/>
        </w:rPr>
        <w:t>Taxation Ruling Income tax: effective life of depreciating assets (applicable from 1 July 201</w:t>
      </w:r>
      <w:r>
        <w:rPr>
          <w:rStyle w:val="AERtextitalic"/>
        </w:rPr>
        <w:t>5</w:t>
      </w:r>
      <w:r w:rsidRPr="00896D81">
        <w:rPr>
          <w:rStyle w:val="AERtextitalic"/>
        </w:rPr>
        <w:t>)</w:t>
      </w:r>
      <w:r>
        <w:t xml:space="preserve">: </w:t>
      </w:r>
      <w:hyperlink r:id="rId2" w:history="1">
        <w:r w:rsidRPr="00821798">
          <w:rPr>
            <w:rStyle w:val="Hyperlink"/>
            <w:sz w:val="16"/>
          </w:rPr>
          <w:t>http://law.ato.gov.au/atolaw/view.htm?docid=%22TXR%2FTR20152%2FNAT%2FATO%2F00001%22</w:t>
        </w:r>
      </w:hyperlink>
      <w:r w:rsidRPr="001A6E43">
        <w:t>.</w:t>
      </w:r>
    </w:p>
  </w:footnote>
  <w:footnote w:id="13">
    <w:p w:rsidR="00AD4514" w:rsidRDefault="00AD4514" w:rsidP="00817EB0">
      <w:pPr>
        <w:pStyle w:val="FootnoteText"/>
      </w:pPr>
      <w:r>
        <w:rPr>
          <w:rStyle w:val="FootnoteReference"/>
        </w:rPr>
        <w:footnoteRef/>
      </w:r>
      <w:r>
        <w:t xml:space="preserve"> </w:t>
      </w:r>
      <w:r>
        <w:tab/>
        <w:t>AER</w:t>
      </w:r>
      <w:r w:rsidRPr="001A6E43">
        <w:t xml:space="preserve">, </w:t>
      </w:r>
      <w:r w:rsidRPr="00B2085D">
        <w:rPr>
          <w:rStyle w:val="AERtextitalic"/>
        </w:rPr>
        <w:t>F</w:t>
      </w:r>
      <w:r>
        <w:rPr>
          <w:rStyle w:val="AERtextitalic"/>
        </w:rPr>
        <w:t>inal decision PTRM for ActewAGL (Tribunal varied)</w:t>
      </w:r>
      <w:r w:rsidRPr="001A6E43">
        <w:t xml:space="preserve">, </w:t>
      </w:r>
      <w:r>
        <w:t>June 2010</w:t>
      </w:r>
      <w:r w:rsidRPr="001A6E43">
        <w:t>.</w:t>
      </w:r>
    </w:p>
  </w:footnote>
  <w:footnote w:id="14">
    <w:p w:rsidR="00AD4514" w:rsidRDefault="00AD4514" w:rsidP="00FD2914">
      <w:pPr>
        <w:pStyle w:val="FootnoteText"/>
      </w:pPr>
      <w:r>
        <w:rPr>
          <w:rStyle w:val="FootnoteReference"/>
        </w:rPr>
        <w:footnoteRef/>
      </w:r>
      <w:r>
        <w:t xml:space="preserve"> </w:t>
      </w:r>
      <w:r>
        <w:tab/>
        <w:t xml:space="preserve">Australian accounting standard board, </w:t>
      </w:r>
      <w:r w:rsidRPr="00A5787D">
        <w:rPr>
          <w:i/>
        </w:rPr>
        <w:t>Accounting standard AASB1021: Depreciation, August 1997</w:t>
      </w:r>
      <w:r>
        <w:t xml:space="preserve">, pp. 10–11; ATO, </w:t>
      </w:r>
      <w:r w:rsidRPr="00A5787D">
        <w:rPr>
          <w:i/>
        </w:rPr>
        <w:t>Guide to depreciating assets 2011</w:t>
      </w:r>
      <w:r>
        <w:t>, 2011, p. 3.</w:t>
      </w:r>
    </w:p>
  </w:footnote>
  <w:footnote w:id="15">
    <w:p w:rsidR="00AD4514" w:rsidRPr="00EF647F" w:rsidRDefault="00AD4514" w:rsidP="00642532">
      <w:pPr>
        <w:pStyle w:val="FootnoteText"/>
        <w:rPr>
          <w:vertAlign w:val="superscript"/>
        </w:rPr>
      </w:pPr>
      <w:r>
        <w:rPr>
          <w:rStyle w:val="FootnoteReference"/>
        </w:rPr>
        <w:footnoteRef/>
      </w:r>
      <w:r>
        <w:t xml:space="preserve"> </w:t>
      </w:r>
      <w:r>
        <w:tab/>
      </w:r>
      <w:r w:rsidRPr="009E1948">
        <w:rPr>
          <w:rFonts w:eastAsia="Calibri"/>
        </w:rPr>
        <w:t>We note that the capex determined in this draft decision for 201</w:t>
      </w:r>
      <w:r>
        <w:rPr>
          <w:rFonts w:eastAsia="Calibri"/>
        </w:rPr>
        <w:t>4</w:t>
      </w:r>
      <w:r w:rsidRPr="009E1948">
        <w:rPr>
          <w:rFonts w:eastAsia="Calibri"/>
        </w:rPr>
        <w:t>–1</w:t>
      </w:r>
      <w:r>
        <w:rPr>
          <w:rFonts w:eastAsia="Calibri"/>
        </w:rPr>
        <w:t>5</w:t>
      </w:r>
      <w:r w:rsidRPr="009E1948">
        <w:rPr>
          <w:rFonts w:eastAsia="Calibri"/>
        </w:rPr>
        <w:t xml:space="preserve"> </w:t>
      </w:r>
      <w:r>
        <w:rPr>
          <w:rFonts w:eastAsia="Calibri"/>
        </w:rPr>
        <w:t>is an</w:t>
      </w:r>
      <w:r w:rsidRPr="009E1948">
        <w:rPr>
          <w:rFonts w:eastAsia="Calibri"/>
        </w:rPr>
        <w:t xml:space="preserve"> estimate. As part of the final decision, we expect the estimate of capex for 201</w:t>
      </w:r>
      <w:r>
        <w:rPr>
          <w:rFonts w:eastAsia="Calibri"/>
        </w:rPr>
        <w:t>4</w:t>
      </w:r>
      <w:r w:rsidRPr="009E1948">
        <w:rPr>
          <w:rFonts w:eastAsia="Calibri"/>
        </w:rPr>
        <w:t>–1</w:t>
      </w:r>
      <w:r>
        <w:rPr>
          <w:rFonts w:eastAsia="Calibri"/>
        </w:rPr>
        <w:t>5</w:t>
      </w:r>
      <w:r w:rsidRPr="009E1948">
        <w:rPr>
          <w:rFonts w:eastAsia="Calibri"/>
        </w:rPr>
        <w:t xml:space="preserve"> to be replaced by actuals. </w:t>
      </w:r>
      <w:r w:rsidRPr="00EF647F">
        <w:rPr>
          <w:rFonts w:eastAsia="Calibri"/>
        </w:rPr>
        <w:t>Th</w:t>
      </w:r>
      <w:r>
        <w:rPr>
          <w:rFonts w:eastAsia="Calibri"/>
        </w:rPr>
        <w:t>is</w:t>
      </w:r>
      <w:r w:rsidRPr="00EF647F">
        <w:rPr>
          <w:rFonts w:eastAsia="Calibri"/>
        </w:rPr>
        <w:t xml:space="preserve"> capex </w:t>
      </w:r>
      <w:r>
        <w:rPr>
          <w:rFonts w:eastAsia="Calibri"/>
        </w:rPr>
        <w:t>value</w:t>
      </w:r>
      <w:r w:rsidRPr="00EF647F">
        <w:rPr>
          <w:rFonts w:eastAsia="Calibri"/>
        </w:rPr>
        <w:t xml:space="preserve"> </w:t>
      </w:r>
      <w:r>
        <w:rPr>
          <w:rFonts w:eastAsia="Calibri"/>
        </w:rPr>
        <w:t>is</w:t>
      </w:r>
      <w:r w:rsidRPr="00EF647F">
        <w:rPr>
          <w:rFonts w:eastAsia="Calibri"/>
        </w:rPr>
        <w:t xml:space="preserve"> used to calculate the weighted average remaining tax asset lives of the assets. Therefore, </w:t>
      </w:r>
      <w:r>
        <w:rPr>
          <w:rFonts w:eastAsia="Calibri"/>
        </w:rPr>
        <w:t>we</w:t>
      </w:r>
      <w:r w:rsidRPr="00EF647F">
        <w:rPr>
          <w:rFonts w:eastAsia="Calibri"/>
        </w:rPr>
        <w:t xml:space="preserve"> </w:t>
      </w:r>
      <w:r>
        <w:rPr>
          <w:rFonts w:eastAsia="Calibri"/>
        </w:rPr>
        <w:t>will</w:t>
      </w:r>
      <w:r w:rsidRPr="00EF647F">
        <w:rPr>
          <w:rFonts w:eastAsia="Calibri"/>
        </w:rPr>
        <w:t xml:space="preserve"> recalculate </w:t>
      </w:r>
      <w:r>
        <w:t>ActewAGL</w:t>
      </w:r>
      <w:r>
        <w:rPr>
          <w:rFonts w:eastAsia="Calibri"/>
        </w:rPr>
        <w:t>’s</w:t>
      </w:r>
      <w:r w:rsidRPr="00EF647F">
        <w:rPr>
          <w:rFonts w:eastAsia="Calibri"/>
        </w:rPr>
        <w:t xml:space="preserve"> remaining tax asset lives using the method approved in this draft decision to</w:t>
      </w:r>
      <w:r w:rsidRPr="008914BF">
        <w:t xml:space="preserve"> reflect the </w:t>
      </w:r>
      <w:r>
        <w:t>actual</w:t>
      </w:r>
      <w:r w:rsidRPr="008914BF">
        <w:t xml:space="preserve"> </w:t>
      </w:r>
      <w:r>
        <w:t xml:space="preserve">2014–15 </w:t>
      </w:r>
      <w:r w:rsidRPr="008914BF">
        <w:t>capex</w:t>
      </w:r>
      <w:r>
        <w:t xml:space="preserve"> value</w:t>
      </w:r>
      <w:r w:rsidRPr="008914BF">
        <w:t xml:space="preserve">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14" w:rsidRDefault="00E4143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D451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14" w:rsidRDefault="00E4143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31447CC"/>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15D88"/>
    <w:rsid w:val="00021202"/>
    <w:rsid w:val="00021C2B"/>
    <w:rsid w:val="00022CE7"/>
    <w:rsid w:val="0002517F"/>
    <w:rsid w:val="00026495"/>
    <w:rsid w:val="0003578C"/>
    <w:rsid w:val="000401AF"/>
    <w:rsid w:val="0004469C"/>
    <w:rsid w:val="00063247"/>
    <w:rsid w:val="000632AE"/>
    <w:rsid w:val="000672A5"/>
    <w:rsid w:val="00070F9F"/>
    <w:rsid w:val="0007137B"/>
    <w:rsid w:val="00072E5E"/>
    <w:rsid w:val="00085663"/>
    <w:rsid w:val="00085EBF"/>
    <w:rsid w:val="00091B15"/>
    <w:rsid w:val="000A3020"/>
    <w:rsid w:val="000A6C7B"/>
    <w:rsid w:val="000B1F8B"/>
    <w:rsid w:val="000C2B40"/>
    <w:rsid w:val="000C3AD4"/>
    <w:rsid w:val="000C6F47"/>
    <w:rsid w:val="000D06C1"/>
    <w:rsid w:val="000D122C"/>
    <w:rsid w:val="000D3016"/>
    <w:rsid w:val="000E1819"/>
    <w:rsid w:val="000E4821"/>
    <w:rsid w:val="000E6C72"/>
    <w:rsid w:val="000F0B2B"/>
    <w:rsid w:val="000F3E72"/>
    <w:rsid w:val="000F48B1"/>
    <w:rsid w:val="00116EB2"/>
    <w:rsid w:val="0012280C"/>
    <w:rsid w:val="00124609"/>
    <w:rsid w:val="00126A4C"/>
    <w:rsid w:val="00142AB6"/>
    <w:rsid w:val="0014573B"/>
    <w:rsid w:val="00145C2B"/>
    <w:rsid w:val="001573E4"/>
    <w:rsid w:val="00160756"/>
    <w:rsid w:val="00161AC4"/>
    <w:rsid w:val="0017232E"/>
    <w:rsid w:val="00174102"/>
    <w:rsid w:val="001754EE"/>
    <w:rsid w:val="0017772F"/>
    <w:rsid w:val="00180157"/>
    <w:rsid w:val="00185CB9"/>
    <w:rsid w:val="00186F77"/>
    <w:rsid w:val="001926A4"/>
    <w:rsid w:val="00192AD5"/>
    <w:rsid w:val="001B280B"/>
    <w:rsid w:val="001B45A0"/>
    <w:rsid w:val="001B7D00"/>
    <w:rsid w:val="001C2AF6"/>
    <w:rsid w:val="001D055E"/>
    <w:rsid w:val="001F05A4"/>
    <w:rsid w:val="001F492E"/>
    <w:rsid w:val="001F6DA3"/>
    <w:rsid w:val="002010BC"/>
    <w:rsid w:val="002016E7"/>
    <w:rsid w:val="00201F98"/>
    <w:rsid w:val="00202DB8"/>
    <w:rsid w:val="00202E03"/>
    <w:rsid w:val="0020300E"/>
    <w:rsid w:val="0020478D"/>
    <w:rsid w:val="0020492C"/>
    <w:rsid w:val="00224DB9"/>
    <w:rsid w:val="00227DCE"/>
    <w:rsid w:val="0023276C"/>
    <w:rsid w:val="00233775"/>
    <w:rsid w:val="00251745"/>
    <w:rsid w:val="00257B94"/>
    <w:rsid w:val="00263AC0"/>
    <w:rsid w:val="00264264"/>
    <w:rsid w:val="0026772D"/>
    <w:rsid w:val="00286874"/>
    <w:rsid w:val="00290C63"/>
    <w:rsid w:val="00296B65"/>
    <w:rsid w:val="002A7DEF"/>
    <w:rsid w:val="002B1003"/>
    <w:rsid w:val="002B573C"/>
    <w:rsid w:val="002B61DB"/>
    <w:rsid w:val="002C233C"/>
    <w:rsid w:val="002D16C3"/>
    <w:rsid w:val="002D72E8"/>
    <w:rsid w:val="002E79AE"/>
    <w:rsid w:val="002E7B22"/>
    <w:rsid w:val="002F7986"/>
    <w:rsid w:val="00301B40"/>
    <w:rsid w:val="003029EE"/>
    <w:rsid w:val="0030370B"/>
    <w:rsid w:val="00305CC8"/>
    <w:rsid w:val="00307F6D"/>
    <w:rsid w:val="003177A2"/>
    <w:rsid w:val="003271B5"/>
    <w:rsid w:val="00327A1E"/>
    <w:rsid w:val="00331264"/>
    <w:rsid w:val="00334C8D"/>
    <w:rsid w:val="00343749"/>
    <w:rsid w:val="00343A18"/>
    <w:rsid w:val="00344473"/>
    <w:rsid w:val="00347823"/>
    <w:rsid w:val="00350344"/>
    <w:rsid w:val="003518B3"/>
    <w:rsid w:val="00351BDF"/>
    <w:rsid w:val="003619F5"/>
    <w:rsid w:val="00380292"/>
    <w:rsid w:val="003846F1"/>
    <w:rsid w:val="00391965"/>
    <w:rsid w:val="00392FEC"/>
    <w:rsid w:val="003931A7"/>
    <w:rsid w:val="00397630"/>
    <w:rsid w:val="003A42DC"/>
    <w:rsid w:val="003B484F"/>
    <w:rsid w:val="003B53FB"/>
    <w:rsid w:val="003B7FBA"/>
    <w:rsid w:val="003D748D"/>
    <w:rsid w:val="003E6B7F"/>
    <w:rsid w:val="003F174D"/>
    <w:rsid w:val="003F7442"/>
    <w:rsid w:val="00411B19"/>
    <w:rsid w:val="00415F31"/>
    <w:rsid w:val="00423A77"/>
    <w:rsid w:val="0045777E"/>
    <w:rsid w:val="004634B2"/>
    <w:rsid w:val="00474EC7"/>
    <w:rsid w:val="00480B4B"/>
    <w:rsid w:val="00485DC4"/>
    <w:rsid w:val="004A43D1"/>
    <w:rsid w:val="004A7C93"/>
    <w:rsid w:val="004B19A0"/>
    <w:rsid w:val="004B355D"/>
    <w:rsid w:val="004B3854"/>
    <w:rsid w:val="004B4412"/>
    <w:rsid w:val="004C1C4B"/>
    <w:rsid w:val="004C348C"/>
    <w:rsid w:val="004D4FAE"/>
    <w:rsid w:val="004D55BA"/>
    <w:rsid w:val="004E22EC"/>
    <w:rsid w:val="004E263D"/>
    <w:rsid w:val="004F6A0E"/>
    <w:rsid w:val="004F6B7C"/>
    <w:rsid w:val="00522FDA"/>
    <w:rsid w:val="00527E9A"/>
    <w:rsid w:val="00530128"/>
    <w:rsid w:val="00532467"/>
    <w:rsid w:val="00537FD6"/>
    <w:rsid w:val="0054604A"/>
    <w:rsid w:val="00556EC9"/>
    <w:rsid w:val="00564A4D"/>
    <w:rsid w:val="0056588A"/>
    <w:rsid w:val="00567BA5"/>
    <w:rsid w:val="00571B35"/>
    <w:rsid w:val="00571D57"/>
    <w:rsid w:val="0057202D"/>
    <w:rsid w:val="00572FB4"/>
    <w:rsid w:val="0057481B"/>
    <w:rsid w:val="00577A09"/>
    <w:rsid w:val="005829C2"/>
    <w:rsid w:val="00584D8F"/>
    <w:rsid w:val="00586819"/>
    <w:rsid w:val="0058701A"/>
    <w:rsid w:val="005934B0"/>
    <w:rsid w:val="0059704C"/>
    <w:rsid w:val="005A404D"/>
    <w:rsid w:val="005B140A"/>
    <w:rsid w:val="005B1E3C"/>
    <w:rsid w:val="005B3FB7"/>
    <w:rsid w:val="005B52AE"/>
    <w:rsid w:val="005B704A"/>
    <w:rsid w:val="005C0A7F"/>
    <w:rsid w:val="005C26CC"/>
    <w:rsid w:val="005C4C9C"/>
    <w:rsid w:val="005C7F78"/>
    <w:rsid w:val="005D272A"/>
    <w:rsid w:val="005D7BA2"/>
    <w:rsid w:val="005E36C2"/>
    <w:rsid w:val="005E5361"/>
    <w:rsid w:val="006007DE"/>
    <w:rsid w:val="00600B92"/>
    <w:rsid w:val="00601638"/>
    <w:rsid w:val="00610EF9"/>
    <w:rsid w:val="00612F4F"/>
    <w:rsid w:val="00613625"/>
    <w:rsid w:val="00615C6B"/>
    <w:rsid w:val="00621DCE"/>
    <w:rsid w:val="00632D6D"/>
    <w:rsid w:val="006331E3"/>
    <w:rsid w:val="00637B9D"/>
    <w:rsid w:val="00642532"/>
    <w:rsid w:val="00642C3E"/>
    <w:rsid w:val="00651C3A"/>
    <w:rsid w:val="00651CB2"/>
    <w:rsid w:val="006560CA"/>
    <w:rsid w:val="0066104A"/>
    <w:rsid w:val="00663DAD"/>
    <w:rsid w:val="00665649"/>
    <w:rsid w:val="00665CFF"/>
    <w:rsid w:val="00666378"/>
    <w:rsid w:val="006672AA"/>
    <w:rsid w:val="00675E20"/>
    <w:rsid w:val="00676679"/>
    <w:rsid w:val="00683C89"/>
    <w:rsid w:val="00691D9A"/>
    <w:rsid w:val="006A1E1B"/>
    <w:rsid w:val="006B2395"/>
    <w:rsid w:val="006B45A4"/>
    <w:rsid w:val="006B4CF9"/>
    <w:rsid w:val="006B785B"/>
    <w:rsid w:val="006B7AC8"/>
    <w:rsid w:val="006C1736"/>
    <w:rsid w:val="006C4798"/>
    <w:rsid w:val="006D550F"/>
    <w:rsid w:val="006F3AD1"/>
    <w:rsid w:val="006F3FC8"/>
    <w:rsid w:val="0070011E"/>
    <w:rsid w:val="0070019A"/>
    <w:rsid w:val="00701CAB"/>
    <w:rsid w:val="00707563"/>
    <w:rsid w:val="0072348C"/>
    <w:rsid w:val="00724A37"/>
    <w:rsid w:val="007303C3"/>
    <w:rsid w:val="00737788"/>
    <w:rsid w:val="00741293"/>
    <w:rsid w:val="00741C46"/>
    <w:rsid w:val="00741E23"/>
    <w:rsid w:val="007429BE"/>
    <w:rsid w:val="00743223"/>
    <w:rsid w:val="00746E01"/>
    <w:rsid w:val="00747EEA"/>
    <w:rsid w:val="00757364"/>
    <w:rsid w:val="00757BDF"/>
    <w:rsid w:val="007609D0"/>
    <w:rsid w:val="00763E5D"/>
    <w:rsid w:val="00767740"/>
    <w:rsid w:val="00771738"/>
    <w:rsid w:val="00777EE6"/>
    <w:rsid w:val="00782EEA"/>
    <w:rsid w:val="00792714"/>
    <w:rsid w:val="007B186E"/>
    <w:rsid w:val="007B2C72"/>
    <w:rsid w:val="007B6AC5"/>
    <w:rsid w:val="007C1C53"/>
    <w:rsid w:val="007C74BB"/>
    <w:rsid w:val="007D456E"/>
    <w:rsid w:val="007E4904"/>
    <w:rsid w:val="007E4CB5"/>
    <w:rsid w:val="007F066B"/>
    <w:rsid w:val="007F213A"/>
    <w:rsid w:val="007F3217"/>
    <w:rsid w:val="007F75C4"/>
    <w:rsid w:val="008033C4"/>
    <w:rsid w:val="00806C88"/>
    <w:rsid w:val="0081034E"/>
    <w:rsid w:val="00817EB0"/>
    <w:rsid w:val="008221F2"/>
    <w:rsid w:val="00823526"/>
    <w:rsid w:val="00825985"/>
    <w:rsid w:val="00826983"/>
    <w:rsid w:val="00830B89"/>
    <w:rsid w:val="008314B1"/>
    <w:rsid w:val="008344F6"/>
    <w:rsid w:val="0083510F"/>
    <w:rsid w:val="008408C5"/>
    <w:rsid w:val="008446B5"/>
    <w:rsid w:val="00851209"/>
    <w:rsid w:val="0085402A"/>
    <w:rsid w:val="008570CD"/>
    <w:rsid w:val="0085722A"/>
    <w:rsid w:val="00864B35"/>
    <w:rsid w:val="00882481"/>
    <w:rsid w:val="008837AC"/>
    <w:rsid w:val="0088488A"/>
    <w:rsid w:val="008A3E31"/>
    <w:rsid w:val="008A587D"/>
    <w:rsid w:val="008B35CD"/>
    <w:rsid w:val="008B5FCC"/>
    <w:rsid w:val="008B7544"/>
    <w:rsid w:val="008C3374"/>
    <w:rsid w:val="008C3E10"/>
    <w:rsid w:val="008C4BF0"/>
    <w:rsid w:val="008C5486"/>
    <w:rsid w:val="008C708B"/>
    <w:rsid w:val="008D1661"/>
    <w:rsid w:val="008D5E16"/>
    <w:rsid w:val="008D6800"/>
    <w:rsid w:val="008E7031"/>
    <w:rsid w:val="008E77DE"/>
    <w:rsid w:val="008F07A3"/>
    <w:rsid w:val="008F34DD"/>
    <w:rsid w:val="009001B6"/>
    <w:rsid w:val="00900E1B"/>
    <w:rsid w:val="00901C3C"/>
    <w:rsid w:val="009233EE"/>
    <w:rsid w:val="009272AD"/>
    <w:rsid w:val="009277DC"/>
    <w:rsid w:val="00933B76"/>
    <w:rsid w:val="009348D0"/>
    <w:rsid w:val="009460AA"/>
    <w:rsid w:val="00951978"/>
    <w:rsid w:val="00961A4A"/>
    <w:rsid w:val="009661DE"/>
    <w:rsid w:val="00971A1C"/>
    <w:rsid w:val="00983C25"/>
    <w:rsid w:val="009856B7"/>
    <w:rsid w:val="00985C86"/>
    <w:rsid w:val="009A5113"/>
    <w:rsid w:val="009A5FC3"/>
    <w:rsid w:val="009B6F84"/>
    <w:rsid w:val="009B74B0"/>
    <w:rsid w:val="009D3906"/>
    <w:rsid w:val="009D6B46"/>
    <w:rsid w:val="009E624C"/>
    <w:rsid w:val="009F4940"/>
    <w:rsid w:val="009F5BA1"/>
    <w:rsid w:val="00A02A88"/>
    <w:rsid w:val="00A0562E"/>
    <w:rsid w:val="00A06085"/>
    <w:rsid w:val="00A0726D"/>
    <w:rsid w:val="00A15560"/>
    <w:rsid w:val="00A241F3"/>
    <w:rsid w:val="00A262D6"/>
    <w:rsid w:val="00A32FBB"/>
    <w:rsid w:val="00A428EE"/>
    <w:rsid w:val="00A4478A"/>
    <w:rsid w:val="00A44852"/>
    <w:rsid w:val="00A4650A"/>
    <w:rsid w:val="00A50502"/>
    <w:rsid w:val="00A57D04"/>
    <w:rsid w:val="00A60A26"/>
    <w:rsid w:val="00A61598"/>
    <w:rsid w:val="00A63A9A"/>
    <w:rsid w:val="00A84A99"/>
    <w:rsid w:val="00A84C96"/>
    <w:rsid w:val="00A84F46"/>
    <w:rsid w:val="00A871F4"/>
    <w:rsid w:val="00A97615"/>
    <w:rsid w:val="00AA16F1"/>
    <w:rsid w:val="00AA32AE"/>
    <w:rsid w:val="00AC1B2C"/>
    <w:rsid w:val="00AC3264"/>
    <w:rsid w:val="00AD3977"/>
    <w:rsid w:val="00AD4514"/>
    <w:rsid w:val="00AE1BF1"/>
    <w:rsid w:val="00AE3CB2"/>
    <w:rsid w:val="00AE3D2E"/>
    <w:rsid w:val="00AF0DD2"/>
    <w:rsid w:val="00B0209D"/>
    <w:rsid w:val="00B07CEA"/>
    <w:rsid w:val="00B13048"/>
    <w:rsid w:val="00B1716D"/>
    <w:rsid w:val="00B17A1D"/>
    <w:rsid w:val="00B207A0"/>
    <w:rsid w:val="00B2085D"/>
    <w:rsid w:val="00B466B0"/>
    <w:rsid w:val="00B514DD"/>
    <w:rsid w:val="00B51F3F"/>
    <w:rsid w:val="00B52AF0"/>
    <w:rsid w:val="00B561BD"/>
    <w:rsid w:val="00B56E03"/>
    <w:rsid w:val="00B601D6"/>
    <w:rsid w:val="00B61050"/>
    <w:rsid w:val="00B61EDF"/>
    <w:rsid w:val="00B757A6"/>
    <w:rsid w:val="00B8080B"/>
    <w:rsid w:val="00B82223"/>
    <w:rsid w:val="00B87BA5"/>
    <w:rsid w:val="00B87C39"/>
    <w:rsid w:val="00B91279"/>
    <w:rsid w:val="00B9562D"/>
    <w:rsid w:val="00BA4665"/>
    <w:rsid w:val="00BB2FB2"/>
    <w:rsid w:val="00BB3304"/>
    <w:rsid w:val="00BB7528"/>
    <w:rsid w:val="00BB7DAD"/>
    <w:rsid w:val="00BC2ABE"/>
    <w:rsid w:val="00BC694E"/>
    <w:rsid w:val="00BD310B"/>
    <w:rsid w:val="00BD3446"/>
    <w:rsid w:val="00BE1F1B"/>
    <w:rsid w:val="00BE47B5"/>
    <w:rsid w:val="00BF0504"/>
    <w:rsid w:val="00C04223"/>
    <w:rsid w:val="00C065CF"/>
    <w:rsid w:val="00C25FA6"/>
    <w:rsid w:val="00C42ACA"/>
    <w:rsid w:val="00C538A9"/>
    <w:rsid w:val="00C53B5A"/>
    <w:rsid w:val="00C54F5A"/>
    <w:rsid w:val="00C569B4"/>
    <w:rsid w:val="00C56A3E"/>
    <w:rsid w:val="00C65859"/>
    <w:rsid w:val="00C67A92"/>
    <w:rsid w:val="00C7497E"/>
    <w:rsid w:val="00C83EF6"/>
    <w:rsid w:val="00C84560"/>
    <w:rsid w:val="00C84F52"/>
    <w:rsid w:val="00C86679"/>
    <w:rsid w:val="00C95EEE"/>
    <w:rsid w:val="00CA489E"/>
    <w:rsid w:val="00CA52A2"/>
    <w:rsid w:val="00CA7FBC"/>
    <w:rsid w:val="00CB0279"/>
    <w:rsid w:val="00CB666B"/>
    <w:rsid w:val="00CC7F1D"/>
    <w:rsid w:val="00CE484B"/>
    <w:rsid w:val="00CF0DEE"/>
    <w:rsid w:val="00CF3303"/>
    <w:rsid w:val="00CF6EDE"/>
    <w:rsid w:val="00D006AE"/>
    <w:rsid w:val="00D01CF0"/>
    <w:rsid w:val="00D01EFD"/>
    <w:rsid w:val="00D0442A"/>
    <w:rsid w:val="00D06847"/>
    <w:rsid w:val="00D078C4"/>
    <w:rsid w:val="00D10B88"/>
    <w:rsid w:val="00D17683"/>
    <w:rsid w:val="00D45694"/>
    <w:rsid w:val="00D51291"/>
    <w:rsid w:val="00D514EE"/>
    <w:rsid w:val="00D57FB9"/>
    <w:rsid w:val="00D61388"/>
    <w:rsid w:val="00D61A54"/>
    <w:rsid w:val="00D63EBB"/>
    <w:rsid w:val="00D64DEA"/>
    <w:rsid w:val="00D7168E"/>
    <w:rsid w:val="00D71E57"/>
    <w:rsid w:val="00D75AA2"/>
    <w:rsid w:val="00D77D66"/>
    <w:rsid w:val="00D80893"/>
    <w:rsid w:val="00D84854"/>
    <w:rsid w:val="00D848B4"/>
    <w:rsid w:val="00D91604"/>
    <w:rsid w:val="00D92CF1"/>
    <w:rsid w:val="00D92D38"/>
    <w:rsid w:val="00D950F5"/>
    <w:rsid w:val="00DA4752"/>
    <w:rsid w:val="00DA61F3"/>
    <w:rsid w:val="00DA6B93"/>
    <w:rsid w:val="00DA77DC"/>
    <w:rsid w:val="00DB0F93"/>
    <w:rsid w:val="00DB1A67"/>
    <w:rsid w:val="00DB5074"/>
    <w:rsid w:val="00DB5B21"/>
    <w:rsid w:val="00DC13B5"/>
    <w:rsid w:val="00DC7981"/>
    <w:rsid w:val="00DE1093"/>
    <w:rsid w:val="00DE4EFA"/>
    <w:rsid w:val="00DE5520"/>
    <w:rsid w:val="00DE563D"/>
    <w:rsid w:val="00DE5E2E"/>
    <w:rsid w:val="00DE772C"/>
    <w:rsid w:val="00DF312A"/>
    <w:rsid w:val="00E014B2"/>
    <w:rsid w:val="00E04818"/>
    <w:rsid w:val="00E06442"/>
    <w:rsid w:val="00E06AEE"/>
    <w:rsid w:val="00E06BCF"/>
    <w:rsid w:val="00E1001C"/>
    <w:rsid w:val="00E23993"/>
    <w:rsid w:val="00E257D6"/>
    <w:rsid w:val="00E25B8C"/>
    <w:rsid w:val="00E41435"/>
    <w:rsid w:val="00E51D65"/>
    <w:rsid w:val="00E6200B"/>
    <w:rsid w:val="00E65C85"/>
    <w:rsid w:val="00E66199"/>
    <w:rsid w:val="00E711C7"/>
    <w:rsid w:val="00E755EC"/>
    <w:rsid w:val="00E7624D"/>
    <w:rsid w:val="00EA3D42"/>
    <w:rsid w:val="00EA6B1B"/>
    <w:rsid w:val="00EB5BC8"/>
    <w:rsid w:val="00EB606C"/>
    <w:rsid w:val="00EC04F1"/>
    <w:rsid w:val="00ED0EC2"/>
    <w:rsid w:val="00ED37E2"/>
    <w:rsid w:val="00ED7323"/>
    <w:rsid w:val="00EE28F3"/>
    <w:rsid w:val="00EE50D1"/>
    <w:rsid w:val="00EE77FA"/>
    <w:rsid w:val="00EF5110"/>
    <w:rsid w:val="00F0334E"/>
    <w:rsid w:val="00F04B3C"/>
    <w:rsid w:val="00F10411"/>
    <w:rsid w:val="00F15882"/>
    <w:rsid w:val="00F16648"/>
    <w:rsid w:val="00F171E0"/>
    <w:rsid w:val="00F20BD3"/>
    <w:rsid w:val="00F2526A"/>
    <w:rsid w:val="00F373A5"/>
    <w:rsid w:val="00F47559"/>
    <w:rsid w:val="00F57849"/>
    <w:rsid w:val="00F61176"/>
    <w:rsid w:val="00F64C7B"/>
    <w:rsid w:val="00F65B25"/>
    <w:rsid w:val="00F676DD"/>
    <w:rsid w:val="00F71667"/>
    <w:rsid w:val="00F75A26"/>
    <w:rsid w:val="00F76706"/>
    <w:rsid w:val="00F768C8"/>
    <w:rsid w:val="00F819DB"/>
    <w:rsid w:val="00F81B8D"/>
    <w:rsid w:val="00F82E7C"/>
    <w:rsid w:val="00F83FAD"/>
    <w:rsid w:val="00F8653A"/>
    <w:rsid w:val="00F92349"/>
    <w:rsid w:val="00F952A0"/>
    <w:rsid w:val="00F9666E"/>
    <w:rsid w:val="00FA3C7F"/>
    <w:rsid w:val="00FB4402"/>
    <w:rsid w:val="00FB60FE"/>
    <w:rsid w:val="00FB74E2"/>
    <w:rsid w:val="00FC71DC"/>
    <w:rsid w:val="00FD2914"/>
    <w:rsid w:val="00FD2ED2"/>
    <w:rsid w:val="00FD5614"/>
    <w:rsid w:val="00FD5E78"/>
    <w:rsid w:val="00FE0BE1"/>
    <w:rsid w:val="00FE1DE9"/>
    <w:rsid w:val="00FE1E06"/>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52%2FNAT%2FATO%2F00001%22" TargetMode="External"/><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DEFB3-5A19-437C-AE6C-39ECFFB3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15</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2015-11-23T00:59:00Z</dcterms:created>
  <dcterms:modified xsi:type="dcterms:W3CDTF">2015-11-23T01:01:00Z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8430170</vt:lpwstr>
  </property>
</Properties>
</file>