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348" w:rsidRDefault="000B5FBD" w:rsidP="00290C63">
      <w:pPr>
        <w:rPr>
          <w:rFonts w:eastAsiaTheme="majorEastAsia" w:cstheme="majorBidi"/>
          <w:noProof/>
          <w:sz w:val="36"/>
          <w:szCs w:val="36"/>
          <w:lang w:eastAsia="en-AU"/>
        </w:rPr>
      </w:pPr>
      <w:bookmarkStart w:id="0" w:name="_GoBack"/>
      <w:bookmarkEnd w:id="0"/>
      <w:r w:rsidRPr="00290C63">
        <w:rPr>
          <w:noProof/>
          <w:lang w:eastAsia="en-AU"/>
        </w:rPr>
        <w:drawing>
          <wp:anchor distT="0" distB="0" distL="114300" distR="114300" simplePos="0" relativeHeight="251659264" behindDoc="1" locked="0" layoutInCell="1" allowOverlap="1" wp14:anchorId="16810E4D" wp14:editId="700E4AAE">
            <wp:simplePos x="0" y="0"/>
            <wp:positionH relativeFrom="column">
              <wp:posOffset>-1107440</wp:posOffset>
            </wp:positionH>
            <wp:positionV relativeFrom="paragraph">
              <wp:posOffset>-914400</wp:posOffset>
            </wp:positionV>
            <wp:extent cx="7588250" cy="11144250"/>
            <wp:effectExtent l="0" t="0" r="0"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88250" cy="11144250"/>
                    </a:xfrm>
                    <a:prstGeom prst="rect">
                      <a:avLst/>
                    </a:prstGeom>
                    <a:noFill/>
                  </pic:spPr>
                </pic:pic>
              </a:graphicData>
            </a:graphic>
            <wp14:sizeRelH relativeFrom="page">
              <wp14:pctWidth>0</wp14:pctWidth>
            </wp14:sizeRelH>
            <wp14:sizeRelV relativeFrom="page">
              <wp14:pctHeight>0</wp14:pctHeight>
            </wp14:sizeRelV>
          </wp:anchor>
        </w:drawing>
      </w:r>
      <w:r w:rsidR="00FC5348">
        <w:rPr>
          <w:rFonts w:eastAsiaTheme="majorEastAsia" w:cstheme="majorBidi"/>
          <w:noProof/>
          <w:sz w:val="36"/>
          <w:szCs w:val="36"/>
          <w:lang w:eastAsia="en-AU"/>
        </w:rPr>
        <w:t xml:space="preserve"> </w:t>
      </w:r>
    </w:p>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CF2C05">
            <w:t>DRAFT</w:t>
          </w:r>
          <w:r w:rsidR="00DA4752">
            <w:t xml:space="preserve"> DECISION</w:t>
          </w:r>
        </w:p>
        <w:p w:rsidR="00415F31" w:rsidRDefault="00A06085" w:rsidP="008F07A3">
          <w:pPr>
            <w:pStyle w:val="ReportSubtitle"/>
          </w:pPr>
          <w:r>
            <w:t xml:space="preserve">ActewAGL </w:t>
          </w:r>
          <w:r w:rsidR="00CF2C05">
            <w:t>D</w:t>
          </w:r>
          <w:r w:rsidR="0070011E">
            <w:t>istribution</w:t>
          </w:r>
          <w:r w:rsidR="00CF2C05">
            <w:br/>
            <w:t>Access Arrangement</w:t>
          </w:r>
        </w:p>
        <w:p w:rsidR="000A6C7B" w:rsidRDefault="005C0A7F" w:rsidP="008F07A3">
          <w:pPr>
            <w:pStyle w:val="ReportSubtitle"/>
          </w:pPr>
          <w:r>
            <w:t xml:space="preserve"> 20</w:t>
          </w:r>
          <w:r w:rsidR="00DA4752">
            <w:t xml:space="preserve">16 to </w:t>
          </w:r>
          <w:r w:rsidR="00A06085">
            <w:t>2021</w:t>
          </w:r>
        </w:p>
        <w:p w:rsidR="008F07A3" w:rsidRPr="000A6C7B" w:rsidRDefault="008F07A3" w:rsidP="008F07A3">
          <w:pPr>
            <w:pStyle w:val="ReportSubtitle"/>
          </w:pPr>
        </w:p>
        <w:p w:rsidR="000A6C7B" w:rsidRPr="000A6C7B" w:rsidRDefault="0070011E" w:rsidP="008F07A3">
          <w:pPr>
            <w:pStyle w:val="ReportSubtitle"/>
          </w:pPr>
          <w:r>
            <w:t xml:space="preserve">Attachment </w:t>
          </w:r>
          <w:r w:rsidR="00A06085">
            <w:t>13</w:t>
          </w:r>
          <w:r w:rsidR="00DA4752">
            <w:t xml:space="preserve"> </w:t>
          </w:r>
          <w:r w:rsidR="00415F31">
            <w:rPr>
              <w:rFonts w:cs="Arial"/>
            </w:rPr>
            <w:t>–</w:t>
          </w:r>
          <w:r w:rsidR="00DA4752">
            <w:t xml:space="preserve"> </w:t>
          </w:r>
          <w:r w:rsidR="00A06085">
            <w:t>Demand</w:t>
          </w:r>
        </w:p>
        <w:p w:rsidR="000A6C7B" w:rsidRPr="00327A1E" w:rsidRDefault="00A06085" w:rsidP="00327A1E">
          <w:pPr>
            <w:pStyle w:val="ReportDate"/>
          </w:pPr>
          <w:r>
            <w:t>November</w:t>
          </w:r>
          <w:r w:rsidR="005C0A7F">
            <w:t xml:space="preserve"> </w:t>
          </w:r>
          <w:r w:rsidR="00DA4752">
            <w:t>2015</w:t>
          </w: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961A4A">
      <w:pPr>
        <w:pStyle w:val="Copyright"/>
      </w:pPr>
      <w:r>
        <w:t>Tel: (03) 9290 1444</w:t>
      </w:r>
      <w:r w:rsidR="00951978">
        <w:br/>
      </w:r>
      <w:r>
        <w:t>Fax: (03) 9290 1457</w:t>
      </w:r>
    </w:p>
    <w:p w:rsidR="00B9562D" w:rsidRDefault="000A6C7B" w:rsidP="00B9562D">
      <w:pPr>
        <w:pStyle w:val="Copyright"/>
      </w:pPr>
      <w:r>
        <w:t xml:space="preserve">Email: </w:t>
      </w:r>
      <w:hyperlink r:id="rId11" w:history="1">
        <w:r w:rsidRPr="00D64888">
          <w:rPr>
            <w:rStyle w:val="Hyperlink"/>
          </w:rPr>
          <w:t>AERInquiry@aer.gov.au</w:t>
        </w:r>
      </w:hyperlink>
      <w:r w:rsidR="00951978">
        <w:rPr>
          <w:rStyle w:val="Hyperlink"/>
        </w:rPr>
        <w:br/>
      </w:r>
    </w:p>
    <w:p w:rsidR="009001B6" w:rsidRDefault="009001B6">
      <w:pPr>
        <w:spacing w:line="240" w:lineRule="auto"/>
      </w:pPr>
      <w:bookmarkStart w:id="1" w:name="_Toc404354899"/>
      <w:bookmarkStart w:id="2" w:name="_Toc404353070"/>
      <w:bookmarkStart w:id="3" w:name="_Toc404684201"/>
      <w:bookmarkStart w:id="4" w:name="_Toc404700923"/>
      <w:r>
        <w:br w:type="page"/>
      </w:r>
    </w:p>
    <w:p w:rsidR="008F07A3" w:rsidRDefault="00DA61F3" w:rsidP="00DE772C">
      <w:pPr>
        <w:pStyle w:val="UnnumberedHeading"/>
        <w:numPr>
          <w:ilvl w:val="0"/>
          <w:numId w:val="23"/>
        </w:numPr>
      </w:pPr>
      <w:bookmarkStart w:id="5" w:name="_Toc435700347"/>
      <w:r>
        <w:lastRenderedPageBreak/>
        <w:t>N</w:t>
      </w:r>
      <w:r w:rsidR="008F07A3">
        <w:t>ote</w:t>
      </w:r>
      <w:bookmarkEnd w:id="1"/>
      <w:bookmarkEnd w:id="2"/>
      <w:bookmarkEnd w:id="3"/>
      <w:bookmarkEnd w:id="4"/>
      <w:bookmarkEnd w:id="5"/>
    </w:p>
    <w:p w:rsidR="00415F31" w:rsidRDefault="00415F31" w:rsidP="00DE772C">
      <w:pPr>
        <w:numPr>
          <w:ilvl w:val="0"/>
          <w:numId w:val="24"/>
        </w:numPr>
        <w:spacing w:before="0" w:after="240" w:line="288" w:lineRule="auto"/>
        <w:jc w:val="both"/>
      </w:pPr>
    </w:p>
    <w:p w:rsidR="00415F31" w:rsidRDefault="008F07A3" w:rsidP="00DE772C">
      <w:pPr>
        <w:numPr>
          <w:ilvl w:val="0"/>
          <w:numId w:val="24"/>
        </w:numPr>
        <w:spacing w:before="0" w:after="240" w:line="288" w:lineRule="auto"/>
        <w:jc w:val="both"/>
      </w:pPr>
      <w:r>
        <w:t xml:space="preserve">This </w:t>
      </w:r>
      <w:r w:rsidR="00415F31">
        <w:t xml:space="preserve">attachment forms part of the AER's </w:t>
      </w:r>
      <w:r w:rsidR="00CF2C05">
        <w:t>draft</w:t>
      </w:r>
      <w:r w:rsidR="00415F31">
        <w:t xml:space="preserve"> decision on </w:t>
      </w:r>
      <w:r w:rsidR="00BB3FD7">
        <w:t>ActewAGL</w:t>
      </w:r>
      <w:r w:rsidR="00374C51">
        <w:t xml:space="preserve"> Distribution</w:t>
      </w:r>
      <w:r w:rsidR="005C0A7F">
        <w:t>'s</w:t>
      </w:r>
      <w:r w:rsidR="00415F31">
        <w:t xml:space="preserve"> </w:t>
      </w:r>
      <w:r w:rsidR="00CF2C05">
        <w:t>access</w:t>
      </w:r>
      <w:r w:rsidR="00415F31">
        <w:t xml:space="preserve"> </w:t>
      </w:r>
      <w:r w:rsidR="00CF2C05">
        <w:t>arrangement for</w:t>
      </w:r>
      <w:r w:rsidR="00415F31">
        <w:t xml:space="preserve"> 201</w:t>
      </w:r>
      <w:r w:rsidR="005C0A7F">
        <w:t>6</w:t>
      </w:r>
      <w:r w:rsidR="00415F31" w:rsidRPr="00D904FA">
        <w:t>–</w:t>
      </w:r>
      <w:r w:rsidR="00103A67">
        <w:t>21</w:t>
      </w:r>
      <w:r w:rsidR="00415F31">
        <w:t xml:space="preserve">. It should be read with </w:t>
      </w:r>
      <w:r w:rsidR="005C0A7F">
        <w:t xml:space="preserve">all </w:t>
      </w:r>
      <w:r w:rsidR="00415F31">
        <w:t xml:space="preserve">other parts of the </w:t>
      </w:r>
      <w:r w:rsidR="00CF2C05">
        <w:t>draft</w:t>
      </w:r>
      <w:r w:rsidR="005C0A7F">
        <w:t xml:space="preserve"> </w:t>
      </w:r>
      <w:r w:rsidR="00415F31">
        <w:t>decision.</w:t>
      </w:r>
    </w:p>
    <w:p w:rsidR="00415F31" w:rsidRDefault="00415F31" w:rsidP="00DE772C">
      <w:pPr>
        <w:numPr>
          <w:ilvl w:val="0"/>
          <w:numId w:val="24"/>
        </w:numPr>
        <w:spacing w:before="0" w:after="240" w:line="288" w:lineRule="auto"/>
        <w:jc w:val="both"/>
      </w:pPr>
      <w:r>
        <w:t xml:space="preserve">The </w:t>
      </w:r>
      <w:r w:rsidR="00CF2C05">
        <w:t>draft</w:t>
      </w:r>
      <w:r w:rsidR="005C0A7F">
        <w:t xml:space="preserve"> </w:t>
      </w:r>
      <w:r>
        <w:t>decision includes the following documents:</w:t>
      </w:r>
    </w:p>
    <w:p w:rsidR="00415F31" w:rsidRDefault="00415F31" w:rsidP="00DE772C">
      <w:pPr>
        <w:numPr>
          <w:ilvl w:val="0"/>
          <w:numId w:val="24"/>
        </w:numPr>
        <w:spacing w:before="0" w:after="240" w:line="288" w:lineRule="auto"/>
        <w:jc w:val="both"/>
      </w:pPr>
      <w:r>
        <w:t>Overview</w:t>
      </w:r>
    </w:p>
    <w:p w:rsidR="0070011E" w:rsidRDefault="0070011E" w:rsidP="0070011E">
      <w:r>
        <w:t xml:space="preserve">Attachment 1 - </w:t>
      </w:r>
      <w:r w:rsidR="00EE77FA">
        <w:t>Services covered by the access arrangement</w:t>
      </w:r>
    </w:p>
    <w:p w:rsidR="0070011E" w:rsidRDefault="0070011E" w:rsidP="0070011E">
      <w:r>
        <w:t xml:space="preserve">Attachment 2 - </w:t>
      </w:r>
      <w:r w:rsidR="00EE77FA">
        <w:t>Capital base</w:t>
      </w:r>
    </w:p>
    <w:p w:rsidR="0070011E" w:rsidRDefault="0070011E" w:rsidP="0070011E">
      <w:r>
        <w:t xml:space="preserve">Attachment 3 - </w:t>
      </w:r>
      <w:r w:rsidR="00EE77FA">
        <w:t>R</w:t>
      </w:r>
      <w:r>
        <w:t>ate of return</w:t>
      </w:r>
    </w:p>
    <w:p w:rsidR="0070011E" w:rsidRDefault="0070011E" w:rsidP="0070011E">
      <w:r>
        <w:t>Attachment 4 - Value of imputation credits</w:t>
      </w:r>
    </w:p>
    <w:p w:rsidR="0070011E" w:rsidRDefault="0070011E" w:rsidP="0070011E">
      <w:r>
        <w:t>Attachment 5 - Regulatory depreciation</w:t>
      </w:r>
    </w:p>
    <w:p w:rsidR="0070011E" w:rsidRDefault="0070011E" w:rsidP="0070011E">
      <w:r>
        <w:t xml:space="preserve">Attachment 6 - Capital expenditure </w:t>
      </w:r>
    </w:p>
    <w:p w:rsidR="0070011E" w:rsidRDefault="0070011E" w:rsidP="0070011E">
      <w:r>
        <w:t>Attachment 7 - Operating expenditure</w:t>
      </w:r>
    </w:p>
    <w:p w:rsidR="0070011E" w:rsidRDefault="0070011E" w:rsidP="0070011E">
      <w:r>
        <w:t>Attachment 8 - Corporate income tax</w:t>
      </w:r>
    </w:p>
    <w:p w:rsidR="0070011E" w:rsidRDefault="0070011E" w:rsidP="0070011E">
      <w:r>
        <w:t xml:space="preserve">Attachment 9 - Efficiency </w:t>
      </w:r>
      <w:r w:rsidR="00EE77FA">
        <w:t>carryover mechanism</w:t>
      </w:r>
    </w:p>
    <w:p w:rsidR="0070011E" w:rsidRDefault="0070011E" w:rsidP="0070011E">
      <w:r>
        <w:t xml:space="preserve">Attachment 10 - </w:t>
      </w:r>
      <w:r w:rsidR="00EE77FA">
        <w:t>Reference tariff setting</w:t>
      </w:r>
    </w:p>
    <w:p w:rsidR="0070011E" w:rsidRDefault="0070011E" w:rsidP="0070011E">
      <w:r>
        <w:t xml:space="preserve">Attachment 11 - </w:t>
      </w:r>
      <w:r w:rsidR="00EE77FA">
        <w:t>Reference tariff variation mechanism</w:t>
      </w:r>
    </w:p>
    <w:p w:rsidR="0070011E" w:rsidRDefault="0070011E" w:rsidP="0070011E">
      <w:r>
        <w:t xml:space="preserve">Attachment 12 - </w:t>
      </w:r>
      <w:r w:rsidR="00EE77FA">
        <w:t>Non-tariff components</w:t>
      </w:r>
    </w:p>
    <w:p w:rsidR="0070011E" w:rsidRDefault="0070011E" w:rsidP="0070011E">
      <w:r>
        <w:t xml:space="preserve">Attachment 13 - </w:t>
      </w:r>
      <w:r w:rsidR="00EE77FA">
        <w:t>Demand</w:t>
      </w:r>
    </w:p>
    <w:p w:rsidR="00DE563D" w:rsidRPr="00A72B34" w:rsidRDefault="00DE563D" w:rsidP="00DE772C">
      <w:pPr>
        <w:pStyle w:val="UnnumberedHeading"/>
        <w:numPr>
          <w:ilvl w:val="0"/>
          <w:numId w:val="23"/>
        </w:numPr>
      </w:pPr>
      <w:bookmarkStart w:id="6" w:name="_Toc403144133"/>
      <w:bookmarkStart w:id="7" w:name="_Toc435700348"/>
      <w:r>
        <w:lastRenderedPageBreak/>
        <w:t>Contents</w:t>
      </w:r>
      <w:bookmarkEnd w:id="6"/>
      <w:bookmarkEnd w:id="7"/>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577464" w:rsidRDefault="00577464">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\t "Heading 3,3,Heading 7,1,Heading 8,2,Heading 9,3" </w:instrText>
          </w:r>
          <w:r>
            <w:rPr>
              <w:color w:val="auto"/>
              <w:sz w:val="22"/>
            </w:rPr>
            <w:fldChar w:fldCharType="separate"/>
          </w:r>
          <w:hyperlink w:anchor="_Toc435700347" w:history="1">
            <w:r w:rsidRPr="000130E1">
              <w:rPr>
                <w:rStyle w:val="Hyperlink"/>
              </w:rPr>
              <w:t>Note</w:t>
            </w:r>
            <w:r>
              <w:rPr>
                <w:webHidden/>
              </w:rPr>
              <w:tab/>
            </w:r>
            <w:r>
              <w:rPr>
                <w:webHidden/>
              </w:rPr>
              <w:fldChar w:fldCharType="begin"/>
            </w:r>
            <w:r>
              <w:rPr>
                <w:webHidden/>
              </w:rPr>
              <w:instrText xml:space="preserve"> PAGEREF _Toc435700347 \h </w:instrText>
            </w:r>
            <w:r>
              <w:rPr>
                <w:webHidden/>
              </w:rPr>
            </w:r>
            <w:r>
              <w:rPr>
                <w:webHidden/>
              </w:rPr>
              <w:fldChar w:fldCharType="separate"/>
            </w:r>
            <w:r w:rsidR="006E19D2">
              <w:rPr>
                <w:webHidden/>
              </w:rPr>
              <w:t>13-2</w:t>
            </w:r>
            <w:r>
              <w:rPr>
                <w:webHidden/>
              </w:rPr>
              <w:fldChar w:fldCharType="end"/>
            </w:r>
          </w:hyperlink>
        </w:p>
        <w:p w:rsidR="00577464" w:rsidRDefault="00992D82">
          <w:pPr>
            <w:pStyle w:val="TOC1"/>
            <w:rPr>
              <w:rFonts w:asciiTheme="minorHAnsi" w:eastAsiaTheme="minorEastAsia" w:hAnsiTheme="minorHAnsi"/>
              <w:b w:val="0"/>
              <w:color w:val="auto"/>
              <w:sz w:val="22"/>
              <w:lang w:val="en-AU" w:eastAsia="en-AU"/>
            </w:rPr>
          </w:pPr>
          <w:hyperlink w:anchor="_Toc435700348" w:history="1">
            <w:r w:rsidR="00577464" w:rsidRPr="000130E1">
              <w:rPr>
                <w:rStyle w:val="Hyperlink"/>
              </w:rPr>
              <w:t>Contents</w:t>
            </w:r>
            <w:r w:rsidR="00577464">
              <w:rPr>
                <w:webHidden/>
              </w:rPr>
              <w:tab/>
            </w:r>
            <w:r w:rsidR="00577464">
              <w:rPr>
                <w:webHidden/>
              </w:rPr>
              <w:fldChar w:fldCharType="begin"/>
            </w:r>
            <w:r w:rsidR="00577464">
              <w:rPr>
                <w:webHidden/>
              </w:rPr>
              <w:instrText xml:space="preserve"> PAGEREF _Toc435700348 \h </w:instrText>
            </w:r>
            <w:r w:rsidR="00577464">
              <w:rPr>
                <w:webHidden/>
              </w:rPr>
            </w:r>
            <w:r w:rsidR="00577464">
              <w:rPr>
                <w:webHidden/>
              </w:rPr>
              <w:fldChar w:fldCharType="separate"/>
            </w:r>
            <w:r w:rsidR="006E19D2">
              <w:rPr>
                <w:webHidden/>
              </w:rPr>
              <w:t>13-3</w:t>
            </w:r>
            <w:r w:rsidR="00577464">
              <w:rPr>
                <w:webHidden/>
              </w:rPr>
              <w:fldChar w:fldCharType="end"/>
            </w:r>
          </w:hyperlink>
        </w:p>
        <w:p w:rsidR="00577464" w:rsidRDefault="00992D82">
          <w:pPr>
            <w:pStyle w:val="TOC1"/>
            <w:rPr>
              <w:rFonts w:asciiTheme="minorHAnsi" w:eastAsiaTheme="minorEastAsia" w:hAnsiTheme="minorHAnsi"/>
              <w:b w:val="0"/>
              <w:color w:val="auto"/>
              <w:sz w:val="22"/>
              <w:lang w:val="en-AU" w:eastAsia="en-AU"/>
            </w:rPr>
          </w:pPr>
          <w:hyperlink w:anchor="_Toc435700349" w:history="1">
            <w:r w:rsidR="00577464" w:rsidRPr="000130E1">
              <w:rPr>
                <w:rStyle w:val="Hyperlink"/>
              </w:rPr>
              <w:t>Shortened forms</w:t>
            </w:r>
            <w:r w:rsidR="00577464">
              <w:rPr>
                <w:webHidden/>
              </w:rPr>
              <w:tab/>
            </w:r>
            <w:r w:rsidR="00577464">
              <w:rPr>
                <w:webHidden/>
              </w:rPr>
              <w:fldChar w:fldCharType="begin"/>
            </w:r>
            <w:r w:rsidR="00577464">
              <w:rPr>
                <w:webHidden/>
              </w:rPr>
              <w:instrText xml:space="preserve"> PAGEREF _Toc435700349 \h </w:instrText>
            </w:r>
            <w:r w:rsidR="00577464">
              <w:rPr>
                <w:webHidden/>
              </w:rPr>
            </w:r>
            <w:r w:rsidR="00577464">
              <w:rPr>
                <w:webHidden/>
              </w:rPr>
              <w:fldChar w:fldCharType="separate"/>
            </w:r>
            <w:r w:rsidR="006E19D2">
              <w:rPr>
                <w:webHidden/>
              </w:rPr>
              <w:t>13-4</w:t>
            </w:r>
            <w:r w:rsidR="00577464">
              <w:rPr>
                <w:webHidden/>
              </w:rPr>
              <w:fldChar w:fldCharType="end"/>
            </w:r>
          </w:hyperlink>
        </w:p>
        <w:p w:rsidR="00577464" w:rsidRDefault="00992D82">
          <w:pPr>
            <w:pStyle w:val="TOC1"/>
            <w:rPr>
              <w:rFonts w:asciiTheme="minorHAnsi" w:eastAsiaTheme="minorEastAsia" w:hAnsiTheme="minorHAnsi"/>
              <w:b w:val="0"/>
              <w:color w:val="auto"/>
              <w:sz w:val="22"/>
              <w:lang w:val="en-AU" w:eastAsia="en-AU"/>
            </w:rPr>
          </w:pPr>
          <w:hyperlink w:anchor="_Toc435700350" w:history="1">
            <w:r w:rsidR="00577464" w:rsidRPr="000130E1">
              <w:rPr>
                <w:rStyle w:val="Hyperlink"/>
              </w:rPr>
              <w:t>13</w:t>
            </w:r>
            <w:r w:rsidR="00577464">
              <w:rPr>
                <w:rFonts w:asciiTheme="minorHAnsi" w:eastAsiaTheme="minorEastAsia" w:hAnsiTheme="minorHAnsi"/>
                <w:b w:val="0"/>
                <w:color w:val="auto"/>
                <w:sz w:val="22"/>
                <w:lang w:val="en-AU" w:eastAsia="en-AU"/>
              </w:rPr>
              <w:tab/>
            </w:r>
            <w:r w:rsidR="00577464" w:rsidRPr="000130E1">
              <w:rPr>
                <w:rStyle w:val="Hyperlink"/>
              </w:rPr>
              <w:t>Demand</w:t>
            </w:r>
            <w:r w:rsidR="00577464">
              <w:rPr>
                <w:webHidden/>
              </w:rPr>
              <w:tab/>
            </w:r>
            <w:r w:rsidR="00577464">
              <w:rPr>
                <w:webHidden/>
              </w:rPr>
              <w:fldChar w:fldCharType="begin"/>
            </w:r>
            <w:r w:rsidR="00577464">
              <w:rPr>
                <w:webHidden/>
              </w:rPr>
              <w:instrText xml:space="preserve"> PAGEREF _Toc435700350 \h </w:instrText>
            </w:r>
            <w:r w:rsidR="00577464">
              <w:rPr>
                <w:webHidden/>
              </w:rPr>
            </w:r>
            <w:r w:rsidR="00577464">
              <w:rPr>
                <w:webHidden/>
              </w:rPr>
              <w:fldChar w:fldCharType="separate"/>
            </w:r>
            <w:r w:rsidR="006E19D2">
              <w:rPr>
                <w:webHidden/>
              </w:rPr>
              <w:t>13-6</w:t>
            </w:r>
            <w:r w:rsidR="00577464">
              <w:rPr>
                <w:webHidden/>
              </w:rPr>
              <w:fldChar w:fldCharType="end"/>
            </w:r>
          </w:hyperlink>
        </w:p>
        <w:p w:rsidR="00577464" w:rsidRDefault="00992D82">
          <w:pPr>
            <w:pStyle w:val="TOC2"/>
            <w:tabs>
              <w:tab w:val="left" w:pos="1276"/>
            </w:tabs>
            <w:rPr>
              <w:rFonts w:asciiTheme="minorHAnsi" w:eastAsiaTheme="minorEastAsia" w:hAnsiTheme="minorHAnsi"/>
              <w:b w:val="0"/>
              <w:color w:val="auto"/>
              <w:sz w:val="22"/>
              <w:lang w:eastAsia="en-AU"/>
            </w:rPr>
          </w:pPr>
          <w:hyperlink w:anchor="_Toc435700351" w:history="1">
            <w:r w:rsidR="00577464" w:rsidRPr="000130E1">
              <w:rPr>
                <w:rStyle w:val="Hyperlink"/>
              </w:rPr>
              <w:t>13.1</w:t>
            </w:r>
            <w:r w:rsidR="00577464">
              <w:rPr>
                <w:rFonts w:asciiTheme="minorHAnsi" w:eastAsiaTheme="minorEastAsia" w:hAnsiTheme="minorHAnsi"/>
                <w:b w:val="0"/>
                <w:color w:val="auto"/>
                <w:sz w:val="22"/>
                <w:lang w:eastAsia="en-AU"/>
              </w:rPr>
              <w:tab/>
            </w:r>
            <w:r w:rsidR="00577464" w:rsidRPr="000130E1">
              <w:rPr>
                <w:rStyle w:val="Hyperlink"/>
              </w:rPr>
              <w:t>Draft decision</w:t>
            </w:r>
            <w:r w:rsidR="00577464">
              <w:rPr>
                <w:webHidden/>
              </w:rPr>
              <w:tab/>
            </w:r>
            <w:r w:rsidR="00577464">
              <w:rPr>
                <w:webHidden/>
              </w:rPr>
              <w:fldChar w:fldCharType="begin"/>
            </w:r>
            <w:r w:rsidR="00577464">
              <w:rPr>
                <w:webHidden/>
              </w:rPr>
              <w:instrText xml:space="preserve"> PAGEREF _Toc435700351 \h </w:instrText>
            </w:r>
            <w:r w:rsidR="00577464">
              <w:rPr>
                <w:webHidden/>
              </w:rPr>
            </w:r>
            <w:r w:rsidR="00577464">
              <w:rPr>
                <w:webHidden/>
              </w:rPr>
              <w:fldChar w:fldCharType="separate"/>
            </w:r>
            <w:r w:rsidR="006E19D2">
              <w:rPr>
                <w:webHidden/>
              </w:rPr>
              <w:t>13-6</w:t>
            </w:r>
            <w:r w:rsidR="00577464">
              <w:rPr>
                <w:webHidden/>
              </w:rPr>
              <w:fldChar w:fldCharType="end"/>
            </w:r>
          </w:hyperlink>
        </w:p>
        <w:p w:rsidR="00577464" w:rsidRDefault="00992D82">
          <w:pPr>
            <w:pStyle w:val="TOC2"/>
            <w:tabs>
              <w:tab w:val="left" w:pos="1276"/>
            </w:tabs>
            <w:rPr>
              <w:rFonts w:asciiTheme="minorHAnsi" w:eastAsiaTheme="minorEastAsia" w:hAnsiTheme="minorHAnsi"/>
              <w:b w:val="0"/>
              <w:color w:val="auto"/>
              <w:sz w:val="22"/>
              <w:lang w:eastAsia="en-AU"/>
            </w:rPr>
          </w:pPr>
          <w:hyperlink w:anchor="_Toc435700352" w:history="1">
            <w:r w:rsidR="00577464" w:rsidRPr="000130E1">
              <w:rPr>
                <w:rStyle w:val="Hyperlink"/>
              </w:rPr>
              <w:t>13.2</w:t>
            </w:r>
            <w:r w:rsidR="00577464">
              <w:rPr>
                <w:rFonts w:asciiTheme="minorHAnsi" w:eastAsiaTheme="minorEastAsia" w:hAnsiTheme="minorHAnsi"/>
                <w:b w:val="0"/>
                <w:color w:val="auto"/>
                <w:sz w:val="22"/>
                <w:lang w:eastAsia="en-AU"/>
              </w:rPr>
              <w:tab/>
            </w:r>
            <w:r w:rsidR="00577464" w:rsidRPr="000130E1">
              <w:rPr>
                <w:rStyle w:val="Hyperlink"/>
              </w:rPr>
              <w:t>AER’s assessment approach</w:t>
            </w:r>
            <w:r w:rsidR="00577464">
              <w:rPr>
                <w:webHidden/>
              </w:rPr>
              <w:tab/>
            </w:r>
            <w:r w:rsidR="00577464">
              <w:rPr>
                <w:webHidden/>
              </w:rPr>
              <w:fldChar w:fldCharType="begin"/>
            </w:r>
            <w:r w:rsidR="00577464">
              <w:rPr>
                <w:webHidden/>
              </w:rPr>
              <w:instrText xml:space="preserve"> PAGEREF _Toc435700352 \h </w:instrText>
            </w:r>
            <w:r w:rsidR="00577464">
              <w:rPr>
                <w:webHidden/>
              </w:rPr>
            </w:r>
            <w:r w:rsidR="00577464">
              <w:rPr>
                <w:webHidden/>
              </w:rPr>
              <w:fldChar w:fldCharType="separate"/>
            </w:r>
            <w:r w:rsidR="006E19D2">
              <w:rPr>
                <w:webHidden/>
              </w:rPr>
              <w:t>13-8</w:t>
            </w:r>
            <w:r w:rsidR="00577464">
              <w:rPr>
                <w:webHidden/>
              </w:rPr>
              <w:fldChar w:fldCharType="end"/>
            </w:r>
          </w:hyperlink>
        </w:p>
        <w:p w:rsidR="00577464" w:rsidRDefault="00992D82">
          <w:pPr>
            <w:pStyle w:val="TOC3"/>
            <w:rPr>
              <w:rFonts w:asciiTheme="minorHAnsi" w:eastAsiaTheme="minorEastAsia" w:hAnsiTheme="minorHAnsi"/>
              <w:lang w:eastAsia="en-AU"/>
            </w:rPr>
          </w:pPr>
          <w:hyperlink w:anchor="_Toc435700353" w:history="1">
            <w:r w:rsidR="00577464" w:rsidRPr="000130E1">
              <w:rPr>
                <w:rStyle w:val="Hyperlink"/>
              </w:rPr>
              <w:t>13.2.1</w:t>
            </w:r>
            <w:r w:rsidR="00577464">
              <w:rPr>
                <w:rFonts w:asciiTheme="minorHAnsi" w:eastAsiaTheme="minorEastAsia" w:hAnsiTheme="minorHAnsi"/>
                <w:lang w:eastAsia="en-AU"/>
              </w:rPr>
              <w:tab/>
            </w:r>
            <w:r w:rsidR="00577464" w:rsidRPr="000130E1">
              <w:rPr>
                <w:rStyle w:val="Hyperlink"/>
              </w:rPr>
              <w:t>Interrelationships</w:t>
            </w:r>
            <w:r w:rsidR="00577464">
              <w:rPr>
                <w:webHidden/>
              </w:rPr>
              <w:tab/>
            </w:r>
            <w:r w:rsidR="00577464">
              <w:rPr>
                <w:webHidden/>
              </w:rPr>
              <w:fldChar w:fldCharType="begin"/>
            </w:r>
            <w:r w:rsidR="00577464">
              <w:rPr>
                <w:webHidden/>
              </w:rPr>
              <w:instrText xml:space="preserve"> PAGEREF _Toc435700353 \h </w:instrText>
            </w:r>
            <w:r w:rsidR="00577464">
              <w:rPr>
                <w:webHidden/>
              </w:rPr>
            </w:r>
            <w:r w:rsidR="00577464">
              <w:rPr>
                <w:webHidden/>
              </w:rPr>
              <w:fldChar w:fldCharType="separate"/>
            </w:r>
            <w:r w:rsidR="006E19D2">
              <w:rPr>
                <w:webHidden/>
              </w:rPr>
              <w:t>13-9</w:t>
            </w:r>
            <w:r w:rsidR="00577464">
              <w:rPr>
                <w:webHidden/>
              </w:rPr>
              <w:fldChar w:fldCharType="end"/>
            </w:r>
          </w:hyperlink>
        </w:p>
        <w:p w:rsidR="00577464" w:rsidRDefault="00992D82">
          <w:pPr>
            <w:pStyle w:val="TOC3"/>
            <w:rPr>
              <w:rFonts w:asciiTheme="minorHAnsi" w:eastAsiaTheme="minorEastAsia" w:hAnsiTheme="minorHAnsi"/>
              <w:lang w:eastAsia="en-AU"/>
            </w:rPr>
          </w:pPr>
          <w:hyperlink w:anchor="_Toc435700354" w:history="1">
            <w:r w:rsidR="00577464" w:rsidRPr="000130E1">
              <w:rPr>
                <w:rStyle w:val="Hyperlink"/>
              </w:rPr>
              <w:t>13.2.2</w:t>
            </w:r>
            <w:r w:rsidR="00577464">
              <w:rPr>
                <w:rFonts w:asciiTheme="minorHAnsi" w:eastAsiaTheme="minorEastAsia" w:hAnsiTheme="minorHAnsi"/>
                <w:lang w:eastAsia="en-AU"/>
              </w:rPr>
              <w:tab/>
            </w:r>
            <w:r w:rsidR="00577464" w:rsidRPr="000130E1">
              <w:rPr>
                <w:rStyle w:val="Hyperlink"/>
              </w:rPr>
              <w:t>Minimum, maximum and average demand</w:t>
            </w:r>
            <w:r w:rsidR="00577464">
              <w:rPr>
                <w:webHidden/>
              </w:rPr>
              <w:tab/>
            </w:r>
            <w:r w:rsidR="00577464">
              <w:rPr>
                <w:webHidden/>
              </w:rPr>
              <w:fldChar w:fldCharType="begin"/>
            </w:r>
            <w:r w:rsidR="00577464">
              <w:rPr>
                <w:webHidden/>
              </w:rPr>
              <w:instrText xml:space="preserve"> PAGEREF _Toc435700354 \h </w:instrText>
            </w:r>
            <w:r w:rsidR="00577464">
              <w:rPr>
                <w:webHidden/>
              </w:rPr>
            </w:r>
            <w:r w:rsidR="00577464">
              <w:rPr>
                <w:webHidden/>
              </w:rPr>
              <w:fldChar w:fldCharType="separate"/>
            </w:r>
            <w:r w:rsidR="006E19D2">
              <w:rPr>
                <w:webHidden/>
              </w:rPr>
              <w:t>13-10</w:t>
            </w:r>
            <w:r w:rsidR="00577464">
              <w:rPr>
                <w:webHidden/>
              </w:rPr>
              <w:fldChar w:fldCharType="end"/>
            </w:r>
          </w:hyperlink>
        </w:p>
        <w:p w:rsidR="00577464" w:rsidRDefault="00992D82">
          <w:pPr>
            <w:pStyle w:val="TOC3"/>
            <w:rPr>
              <w:rFonts w:asciiTheme="minorHAnsi" w:eastAsiaTheme="minorEastAsia" w:hAnsiTheme="minorHAnsi"/>
              <w:lang w:eastAsia="en-AU"/>
            </w:rPr>
          </w:pPr>
          <w:hyperlink w:anchor="_Toc435700355" w:history="1">
            <w:r w:rsidR="00577464" w:rsidRPr="000130E1">
              <w:rPr>
                <w:rStyle w:val="Hyperlink"/>
              </w:rPr>
              <w:t>13.2.3</w:t>
            </w:r>
            <w:r w:rsidR="00577464">
              <w:rPr>
                <w:rFonts w:asciiTheme="minorHAnsi" w:eastAsiaTheme="minorEastAsia" w:hAnsiTheme="minorHAnsi"/>
                <w:lang w:eastAsia="en-AU"/>
              </w:rPr>
              <w:tab/>
            </w:r>
            <w:r w:rsidR="00577464" w:rsidRPr="000130E1">
              <w:rPr>
                <w:rStyle w:val="Hyperlink"/>
              </w:rPr>
              <w:t>Forecast pipeline capacity and utilisation</w:t>
            </w:r>
            <w:r w:rsidR="00577464">
              <w:rPr>
                <w:webHidden/>
              </w:rPr>
              <w:tab/>
            </w:r>
            <w:r w:rsidR="00577464">
              <w:rPr>
                <w:webHidden/>
              </w:rPr>
              <w:fldChar w:fldCharType="begin"/>
            </w:r>
            <w:r w:rsidR="00577464">
              <w:rPr>
                <w:webHidden/>
              </w:rPr>
              <w:instrText xml:space="preserve"> PAGEREF _Toc435700355 \h </w:instrText>
            </w:r>
            <w:r w:rsidR="00577464">
              <w:rPr>
                <w:webHidden/>
              </w:rPr>
            </w:r>
            <w:r w:rsidR="00577464">
              <w:rPr>
                <w:webHidden/>
              </w:rPr>
              <w:fldChar w:fldCharType="separate"/>
            </w:r>
            <w:r w:rsidR="006E19D2">
              <w:rPr>
                <w:webHidden/>
              </w:rPr>
              <w:t>13-10</w:t>
            </w:r>
            <w:r w:rsidR="00577464">
              <w:rPr>
                <w:webHidden/>
              </w:rPr>
              <w:fldChar w:fldCharType="end"/>
            </w:r>
          </w:hyperlink>
        </w:p>
        <w:p w:rsidR="00577464" w:rsidRDefault="00992D82">
          <w:pPr>
            <w:pStyle w:val="TOC2"/>
            <w:tabs>
              <w:tab w:val="left" w:pos="1276"/>
            </w:tabs>
            <w:rPr>
              <w:rFonts w:asciiTheme="minorHAnsi" w:eastAsiaTheme="minorEastAsia" w:hAnsiTheme="minorHAnsi"/>
              <w:b w:val="0"/>
              <w:color w:val="auto"/>
              <w:sz w:val="22"/>
              <w:lang w:eastAsia="en-AU"/>
            </w:rPr>
          </w:pPr>
          <w:hyperlink w:anchor="_Toc435700356" w:history="1">
            <w:r w:rsidR="00577464" w:rsidRPr="000130E1">
              <w:rPr>
                <w:rStyle w:val="Hyperlink"/>
              </w:rPr>
              <w:t>13.3</w:t>
            </w:r>
            <w:r w:rsidR="00577464">
              <w:rPr>
                <w:rFonts w:asciiTheme="minorHAnsi" w:eastAsiaTheme="minorEastAsia" w:hAnsiTheme="minorHAnsi"/>
                <w:b w:val="0"/>
                <w:color w:val="auto"/>
                <w:sz w:val="22"/>
                <w:lang w:eastAsia="en-AU"/>
              </w:rPr>
              <w:tab/>
            </w:r>
            <w:r w:rsidR="00577464" w:rsidRPr="000130E1">
              <w:rPr>
                <w:rStyle w:val="Hyperlink"/>
              </w:rPr>
              <w:t>Reasons for draft decision</w:t>
            </w:r>
            <w:r w:rsidR="00577464">
              <w:rPr>
                <w:webHidden/>
              </w:rPr>
              <w:tab/>
            </w:r>
            <w:r w:rsidR="00577464">
              <w:rPr>
                <w:webHidden/>
              </w:rPr>
              <w:fldChar w:fldCharType="begin"/>
            </w:r>
            <w:r w:rsidR="00577464">
              <w:rPr>
                <w:webHidden/>
              </w:rPr>
              <w:instrText xml:space="preserve"> PAGEREF _Toc435700356 \h </w:instrText>
            </w:r>
            <w:r w:rsidR="00577464">
              <w:rPr>
                <w:webHidden/>
              </w:rPr>
            </w:r>
            <w:r w:rsidR="00577464">
              <w:rPr>
                <w:webHidden/>
              </w:rPr>
              <w:fldChar w:fldCharType="separate"/>
            </w:r>
            <w:r w:rsidR="006E19D2">
              <w:rPr>
                <w:webHidden/>
              </w:rPr>
              <w:t>13-11</w:t>
            </w:r>
            <w:r w:rsidR="00577464">
              <w:rPr>
                <w:webHidden/>
              </w:rPr>
              <w:fldChar w:fldCharType="end"/>
            </w:r>
          </w:hyperlink>
        </w:p>
        <w:p w:rsidR="00577464" w:rsidRDefault="00992D82">
          <w:pPr>
            <w:pStyle w:val="TOC3"/>
            <w:rPr>
              <w:rFonts w:asciiTheme="minorHAnsi" w:eastAsiaTheme="minorEastAsia" w:hAnsiTheme="minorHAnsi"/>
              <w:lang w:eastAsia="en-AU"/>
            </w:rPr>
          </w:pPr>
          <w:hyperlink w:anchor="_Toc435700357" w:history="1">
            <w:r w:rsidR="00577464" w:rsidRPr="000130E1">
              <w:rPr>
                <w:rStyle w:val="Hyperlink"/>
              </w:rPr>
              <w:t>13.3.1</w:t>
            </w:r>
            <w:r w:rsidR="00577464">
              <w:rPr>
                <w:rFonts w:asciiTheme="minorHAnsi" w:eastAsiaTheme="minorEastAsia" w:hAnsiTheme="minorHAnsi"/>
                <w:lang w:eastAsia="en-AU"/>
              </w:rPr>
              <w:tab/>
            </w:r>
            <w:r w:rsidR="00577464" w:rsidRPr="000130E1">
              <w:rPr>
                <w:rStyle w:val="Hyperlink"/>
              </w:rPr>
              <w:t>Forecast tariff V residential new connections</w:t>
            </w:r>
            <w:r w:rsidR="00577464">
              <w:rPr>
                <w:webHidden/>
              </w:rPr>
              <w:tab/>
            </w:r>
            <w:r w:rsidR="00577464">
              <w:rPr>
                <w:webHidden/>
              </w:rPr>
              <w:fldChar w:fldCharType="begin"/>
            </w:r>
            <w:r w:rsidR="00577464">
              <w:rPr>
                <w:webHidden/>
              </w:rPr>
              <w:instrText xml:space="preserve"> PAGEREF _Toc435700357 \h </w:instrText>
            </w:r>
            <w:r w:rsidR="00577464">
              <w:rPr>
                <w:webHidden/>
              </w:rPr>
            </w:r>
            <w:r w:rsidR="00577464">
              <w:rPr>
                <w:webHidden/>
              </w:rPr>
              <w:fldChar w:fldCharType="separate"/>
            </w:r>
            <w:r w:rsidR="006E19D2">
              <w:rPr>
                <w:webHidden/>
              </w:rPr>
              <w:t>13-11</w:t>
            </w:r>
            <w:r w:rsidR="00577464">
              <w:rPr>
                <w:webHidden/>
              </w:rPr>
              <w:fldChar w:fldCharType="end"/>
            </w:r>
          </w:hyperlink>
        </w:p>
        <w:p w:rsidR="00577464" w:rsidRDefault="00992D82">
          <w:pPr>
            <w:pStyle w:val="TOC2"/>
            <w:tabs>
              <w:tab w:val="left" w:pos="1276"/>
            </w:tabs>
            <w:rPr>
              <w:rFonts w:asciiTheme="minorHAnsi" w:eastAsiaTheme="minorEastAsia" w:hAnsiTheme="minorHAnsi"/>
              <w:b w:val="0"/>
              <w:color w:val="auto"/>
              <w:sz w:val="22"/>
              <w:lang w:eastAsia="en-AU"/>
            </w:rPr>
          </w:pPr>
          <w:hyperlink w:anchor="_Toc435700358" w:history="1">
            <w:r w:rsidR="00577464" w:rsidRPr="000130E1">
              <w:rPr>
                <w:rStyle w:val="Hyperlink"/>
              </w:rPr>
              <w:t>13.4</w:t>
            </w:r>
            <w:r w:rsidR="00577464">
              <w:rPr>
                <w:rFonts w:asciiTheme="minorHAnsi" w:eastAsiaTheme="minorEastAsia" w:hAnsiTheme="minorHAnsi"/>
                <w:b w:val="0"/>
                <w:color w:val="auto"/>
                <w:sz w:val="22"/>
                <w:lang w:eastAsia="en-AU"/>
              </w:rPr>
              <w:tab/>
            </w:r>
            <w:r w:rsidR="00577464" w:rsidRPr="000130E1">
              <w:rPr>
                <w:rStyle w:val="Hyperlink"/>
              </w:rPr>
              <w:t>Tariff V consumption per connection</w:t>
            </w:r>
            <w:r w:rsidR="00577464">
              <w:rPr>
                <w:webHidden/>
              </w:rPr>
              <w:tab/>
            </w:r>
            <w:r w:rsidR="00577464">
              <w:rPr>
                <w:webHidden/>
              </w:rPr>
              <w:fldChar w:fldCharType="begin"/>
            </w:r>
            <w:r w:rsidR="00577464">
              <w:rPr>
                <w:webHidden/>
              </w:rPr>
              <w:instrText xml:space="preserve"> PAGEREF _Toc435700358 \h </w:instrText>
            </w:r>
            <w:r w:rsidR="00577464">
              <w:rPr>
                <w:webHidden/>
              </w:rPr>
            </w:r>
            <w:r w:rsidR="00577464">
              <w:rPr>
                <w:webHidden/>
              </w:rPr>
              <w:fldChar w:fldCharType="separate"/>
            </w:r>
            <w:r w:rsidR="006E19D2">
              <w:rPr>
                <w:webHidden/>
              </w:rPr>
              <w:t>13-16</w:t>
            </w:r>
            <w:r w:rsidR="00577464">
              <w:rPr>
                <w:webHidden/>
              </w:rPr>
              <w:fldChar w:fldCharType="end"/>
            </w:r>
          </w:hyperlink>
        </w:p>
        <w:p w:rsidR="00577464" w:rsidRDefault="00992D82">
          <w:pPr>
            <w:pStyle w:val="TOC3"/>
            <w:rPr>
              <w:rFonts w:asciiTheme="minorHAnsi" w:eastAsiaTheme="minorEastAsia" w:hAnsiTheme="minorHAnsi"/>
              <w:lang w:eastAsia="en-AU"/>
            </w:rPr>
          </w:pPr>
          <w:hyperlink w:anchor="_Toc435700359" w:history="1">
            <w:r w:rsidR="00577464" w:rsidRPr="000130E1">
              <w:rPr>
                <w:rStyle w:val="Hyperlink"/>
              </w:rPr>
              <w:t>13.4.1</w:t>
            </w:r>
            <w:r w:rsidR="00577464">
              <w:rPr>
                <w:rFonts w:asciiTheme="minorHAnsi" w:eastAsiaTheme="minorEastAsia" w:hAnsiTheme="minorHAnsi"/>
                <w:lang w:eastAsia="en-AU"/>
              </w:rPr>
              <w:tab/>
            </w:r>
            <w:r w:rsidR="00577464" w:rsidRPr="000130E1">
              <w:rPr>
                <w:rStyle w:val="Hyperlink"/>
              </w:rPr>
              <w:t>Methodological error with Core Energy’s forecasting approach</w:t>
            </w:r>
            <w:r w:rsidR="00577464">
              <w:rPr>
                <w:webHidden/>
              </w:rPr>
              <w:tab/>
            </w:r>
            <w:r w:rsidR="00577464">
              <w:rPr>
                <w:webHidden/>
              </w:rPr>
              <w:fldChar w:fldCharType="begin"/>
            </w:r>
            <w:r w:rsidR="00577464">
              <w:rPr>
                <w:webHidden/>
              </w:rPr>
              <w:instrText xml:space="preserve"> PAGEREF _Toc435700359 \h </w:instrText>
            </w:r>
            <w:r w:rsidR="00577464">
              <w:rPr>
                <w:webHidden/>
              </w:rPr>
            </w:r>
            <w:r w:rsidR="00577464">
              <w:rPr>
                <w:webHidden/>
              </w:rPr>
              <w:fldChar w:fldCharType="separate"/>
            </w:r>
            <w:r w:rsidR="006E19D2">
              <w:rPr>
                <w:webHidden/>
              </w:rPr>
              <w:t>13-17</w:t>
            </w:r>
            <w:r w:rsidR="00577464">
              <w:rPr>
                <w:webHidden/>
              </w:rPr>
              <w:fldChar w:fldCharType="end"/>
            </w:r>
          </w:hyperlink>
        </w:p>
        <w:p w:rsidR="00577464" w:rsidRDefault="00992D82">
          <w:pPr>
            <w:pStyle w:val="TOC2"/>
            <w:tabs>
              <w:tab w:val="left" w:pos="1276"/>
            </w:tabs>
            <w:rPr>
              <w:rFonts w:asciiTheme="minorHAnsi" w:eastAsiaTheme="minorEastAsia" w:hAnsiTheme="minorHAnsi"/>
              <w:b w:val="0"/>
              <w:color w:val="auto"/>
              <w:sz w:val="22"/>
              <w:lang w:eastAsia="en-AU"/>
            </w:rPr>
          </w:pPr>
          <w:hyperlink w:anchor="_Toc435700360" w:history="1">
            <w:r w:rsidR="00577464" w:rsidRPr="000130E1">
              <w:rPr>
                <w:rStyle w:val="Hyperlink"/>
              </w:rPr>
              <w:t>13.5</w:t>
            </w:r>
            <w:r w:rsidR="00577464">
              <w:rPr>
                <w:rFonts w:asciiTheme="minorHAnsi" w:eastAsiaTheme="minorEastAsia" w:hAnsiTheme="minorHAnsi"/>
                <w:b w:val="0"/>
                <w:color w:val="auto"/>
                <w:sz w:val="22"/>
                <w:lang w:eastAsia="en-AU"/>
              </w:rPr>
              <w:tab/>
            </w:r>
            <w:r w:rsidR="00577464" w:rsidRPr="000130E1">
              <w:rPr>
                <w:rStyle w:val="Hyperlink"/>
              </w:rPr>
              <w:t>Revisions</w:t>
            </w:r>
            <w:r w:rsidR="00577464">
              <w:rPr>
                <w:webHidden/>
              </w:rPr>
              <w:tab/>
            </w:r>
            <w:r w:rsidR="00577464">
              <w:rPr>
                <w:webHidden/>
              </w:rPr>
              <w:fldChar w:fldCharType="begin"/>
            </w:r>
            <w:r w:rsidR="00577464">
              <w:rPr>
                <w:webHidden/>
              </w:rPr>
              <w:instrText xml:space="preserve"> PAGEREF _Toc435700360 \h </w:instrText>
            </w:r>
            <w:r w:rsidR="00577464">
              <w:rPr>
                <w:webHidden/>
              </w:rPr>
            </w:r>
            <w:r w:rsidR="00577464">
              <w:rPr>
                <w:webHidden/>
              </w:rPr>
              <w:fldChar w:fldCharType="separate"/>
            </w:r>
            <w:r w:rsidR="006E19D2">
              <w:rPr>
                <w:webHidden/>
              </w:rPr>
              <w:t>13-20</w:t>
            </w:r>
            <w:r w:rsidR="00577464">
              <w:rPr>
                <w:webHidden/>
              </w:rPr>
              <w:fldChar w:fldCharType="end"/>
            </w:r>
          </w:hyperlink>
        </w:p>
        <w:p w:rsidR="00DE563D" w:rsidRDefault="00577464" w:rsidP="00577464">
          <w:pPr>
            <w:pStyle w:val="TOC1"/>
          </w:pPr>
          <w:r>
            <w:rPr>
              <w:color w:val="auto"/>
              <w:sz w:val="22"/>
            </w:rPr>
            <w:fldChar w:fldCharType="end"/>
          </w:r>
        </w:p>
      </w:sdtContent>
    </w:sdt>
    <w:p w:rsidR="00DE563D" w:rsidRDefault="00C84560">
      <w:pPr>
        <w:spacing w:line="240" w:lineRule="auto"/>
      </w:pPr>
      <w:r>
        <w:t xml:space="preserve"> </w:t>
      </w:r>
    </w:p>
    <w:p w:rsidR="00EE77FA" w:rsidRDefault="00DE563D" w:rsidP="00DE772C">
      <w:pPr>
        <w:pStyle w:val="UnnumberedHeading"/>
        <w:numPr>
          <w:ilvl w:val="0"/>
          <w:numId w:val="23"/>
        </w:numPr>
      </w:pPr>
      <w:bookmarkStart w:id="8" w:name="_Toc404700925"/>
      <w:bookmarkStart w:id="9" w:name="_Toc435700349"/>
      <w:r>
        <w:lastRenderedPageBreak/>
        <w:t>Shortened forms</w:t>
      </w:r>
      <w:bookmarkEnd w:id="8"/>
      <w:bookmarkEnd w:id="9"/>
    </w:p>
    <w:tbl>
      <w:tblPr>
        <w:tblStyle w:val="AERtable-numbers"/>
        <w:tblW w:w="0" w:type="auto"/>
        <w:tblLook w:val="04A0" w:firstRow="1" w:lastRow="0" w:firstColumn="1" w:lastColumn="0" w:noHBand="0" w:noVBand="1"/>
      </w:tblPr>
      <w:tblGrid>
        <w:gridCol w:w="3652"/>
        <w:gridCol w:w="5041"/>
      </w:tblGrid>
      <w:tr w:rsidR="007B4915" w:rsidTr="000C05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Shortened form</w:t>
            </w:r>
          </w:p>
        </w:tc>
        <w:tc>
          <w:tcPr>
            <w:tcW w:w="5041" w:type="dxa"/>
          </w:tcPr>
          <w:p w:rsidR="007B4915" w:rsidRDefault="007B4915" w:rsidP="007B4915">
            <w:pPr>
              <w:numPr>
                <w:ilvl w:val="0"/>
                <w:numId w:val="24"/>
              </w:numPr>
              <w:cnfStyle w:val="100000000000" w:firstRow="1" w:lastRow="0" w:firstColumn="0" w:lastColumn="0" w:oddVBand="0" w:evenVBand="0" w:oddHBand="0" w:evenHBand="0" w:firstRowFirstColumn="0" w:firstRowLastColumn="0" w:lastRowFirstColumn="0" w:lastRowLastColumn="0"/>
            </w:pPr>
            <w:r>
              <w:t>Extended form</w:t>
            </w:r>
          </w:p>
        </w:tc>
      </w:tr>
      <w:tr w:rsidR="007B4915" w:rsidTr="000C0557">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AA</w:t>
            </w:r>
          </w:p>
        </w:tc>
        <w:tc>
          <w:tcPr>
            <w:tcW w:w="5041" w:type="dxa"/>
          </w:tcPr>
          <w:p w:rsidR="007B4915" w:rsidRPr="007B4915" w:rsidRDefault="007B4915" w:rsidP="007B4915">
            <w:pPr>
              <w:cnfStyle w:val="000000000000" w:firstRow="0" w:lastRow="0" w:firstColumn="0" w:lastColumn="0" w:oddVBand="0" w:evenVBand="0" w:oddHBand="0" w:evenHBand="0" w:firstRowFirstColumn="0" w:firstRowLastColumn="0" w:lastRowFirstColumn="0" w:lastRowLastColumn="0"/>
            </w:pPr>
            <w:r>
              <w:t>Access Arrangement</w:t>
            </w:r>
          </w:p>
        </w:tc>
      </w:tr>
      <w:tr w:rsidR="007B4915"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AAI</w:t>
            </w:r>
          </w:p>
        </w:tc>
        <w:tc>
          <w:tcPr>
            <w:tcW w:w="5041" w:type="dxa"/>
          </w:tcPr>
          <w:p w:rsidR="007B4915" w:rsidRPr="007B4915" w:rsidRDefault="007B4915" w:rsidP="007B4915">
            <w:pPr>
              <w:cnfStyle w:val="000000010000" w:firstRow="0" w:lastRow="0" w:firstColumn="0" w:lastColumn="0" w:oddVBand="0" w:evenVBand="0" w:oddHBand="0" w:evenHBand="1" w:firstRowFirstColumn="0" w:firstRowLastColumn="0" w:lastRowFirstColumn="0" w:lastRowLastColumn="0"/>
            </w:pPr>
            <w:r>
              <w:t>Access Arrangement Information</w:t>
            </w:r>
          </w:p>
        </w:tc>
      </w:tr>
      <w:tr w:rsidR="007B4915" w:rsidTr="000C0557">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AER</w:t>
            </w:r>
          </w:p>
        </w:tc>
        <w:tc>
          <w:tcPr>
            <w:tcW w:w="5041" w:type="dxa"/>
          </w:tcPr>
          <w:p w:rsidR="007B4915" w:rsidRDefault="007B4915" w:rsidP="007B4915">
            <w:pPr>
              <w:numPr>
                <w:ilvl w:val="0"/>
                <w:numId w:val="24"/>
              </w:numPr>
              <w:cnfStyle w:val="000000000000" w:firstRow="0" w:lastRow="0" w:firstColumn="0" w:lastColumn="0" w:oddVBand="0" w:evenVBand="0" w:oddHBand="0" w:evenHBand="0" w:firstRowFirstColumn="0" w:firstRowLastColumn="0" w:lastRowFirstColumn="0" w:lastRowLastColumn="0"/>
            </w:pPr>
            <w:r>
              <w:t>Australian Energy Regulator</w:t>
            </w:r>
          </w:p>
        </w:tc>
      </w:tr>
      <w:tr w:rsidR="007B4915"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ASA</w:t>
            </w:r>
          </w:p>
        </w:tc>
        <w:tc>
          <w:tcPr>
            <w:tcW w:w="5041" w:type="dxa"/>
          </w:tcPr>
          <w:p w:rsidR="007B4915" w:rsidRPr="007B4915" w:rsidRDefault="007B4915" w:rsidP="007B4915">
            <w:pPr>
              <w:cnfStyle w:val="000000010000" w:firstRow="0" w:lastRow="0" w:firstColumn="0" w:lastColumn="0" w:oddVBand="0" w:evenVBand="0" w:oddHBand="0" w:evenHBand="1" w:firstRowFirstColumn="0" w:firstRowLastColumn="0" w:lastRowFirstColumn="0" w:lastRowLastColumn="0"/>
            </w:pPr>
            <w:r>
              <w:t>Asset Services Agreement</w:t>
            </w:r>
          </w:p>
        </w:tc>
      </w:tr>
      <w:tr w:rsidR="007B4915" w:rsidTr="000C0557">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ATO</w:t>
            </w:r>
          </w:p>
        </w:tc>
        <w:tc>
          <w:tcPr>
            <w:tcW w:w="5041" w:type="dxa"/>
          </w:tcPr>
          <w:p w:rsidR="007B4915" w:rsidRPr="007B4915" w:rsidRDefault="007B4915" w:rsidP="007B4915">
            <w:pPr>
              <w:cnfStyle w:val="000000000000" w:firstRow="0" w:lastRow="0" w:firstColumn="0" w:lastColumn="0" w:oddVBand="0" w:evenVBand="0" w:oddHBand="0" w:evenHBand="0" w:firstRowFirstColumn="0" w:firstRowLastColumn="0" w:lastRowFirstColumn="0" w:lastRowLastColumn="0"/>
            </w:pPr>
            <w:r>
              <w:t>Australian Tax Office</w:t>
            </w:r>
          </w:p>
        </w:tc>
      </w:tr>
      <w:tr w:rsidR="007B4915"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capex</w:t>
            </w:r>
          </w:p>
        </w:tc>
        <w:tc>
          <w:tcPr>
            <w:tcW w:w="5041" w:type="dxa"/>
          </w:tcPr>
          <w:p w:rsidR="007B4915" w:rsidRDefault="007B4915" w:rsidP="007B4915">
            <w:pPr>
              <w:numPr>
                <w:ilvl w:val="0"/>
                <w:numId w:val="24"/>
              </w:numPr>
              <w:cnfStyle w:val="000000010000" w:firstRow="0" w:lastRow="0" w:firstColumn="0" w:lastColumn="0" w:oddVBand="0" w:evenVBand="0" w:oddHBand="0" w:evenHBand="1" w:firstRowFirstColumn="0" w:firstRowLastColumn="0" w:lastRowFirstColumn="0" w:lastRowLastColumn="0"/>
            </w:pPr>
            <w:r>
              <w:t>capital expenditure</w:t>
            </w:r>
          </w:p>
        </w:tc>
      </w:tr>
      <w:tr w:rsidR="007B4915" w:rsidTr="000C0557">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CAPM</w:t>
            </w:r>
          </w:p>
        </w:tc>
        <w:tc>
          <w:tcPr>
            <w:tcW w:w="5041" w:type="dxa"/>
          </w:tcPr>
          <w:p w:rsidR="007B4915" w:rsidRDefault="007B4915" w:rsidP="007B4915">
            <w:pPr>
              <w:numPr>
                <w:ilvl w:val="0"/>
                <w:numId w:val="24"/>
              </w:numPr>
              <w:cnfStyle w:val="000000000000" w:firstRow="0" w:lastRow="0" w:firstColumn="0" w:lastColumn="0" w:oddVBand="0" w:evenVBand="0" w:oddHBand="0" w:evenHBand="0" w:firstRowFirstColumn="0" w:firstRowLastColumn="0" w:lastRowFirstColumn="0" w:lastRowLastColumn="0"/>
            </w:pPr>
            <w:r>
              <w:t>capital asset pricing model</w:t>
            </w:r>
          </w:p>
        </w:tc>
      </w:tr>
      <w:tr w:rsidR="007B4915"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CCP</w:t>
            </w:r>
          </w:p>
        </w:tc>
        <w:tc>
          <w:tcPr>
            <w:tcW w:w="5041" w:type="dxa"/>
          </w:tcPr>
          <w:p w:rsidR="007B4915" w:rsidRDefault="007B4915" w:rsidP="007B4915">
            <w:pPr>
              <w:numPr>
                <w:ilvl w:val="0"/>
                <w:numId w:val="24"/>
              </w:numPr>
              <w:cnfStyle w:val="000000010000" w:firstRow="0" w:lastRow="0" w:firstColumn="0" w:lastColumn="0" w:oddVBand="0" w:evenVBand="0" w:oddHBand="0" w:evenHBand="1" w:firstRowFirstColumn="0" w:firstRowLastColumn="0" w:lastRowFirstColumn="0" w:lastRowLastColumn="0"/>
            </w:pPr>
            <w:r>
              <w:t>Consumer Challenge Panel</w:t>
            </w:r>
          </w:p>
        </w:tc>
      </w:tr>
      <w:tr w:rsidR="007B4915" w:rsidTr="000C0557">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CESS</w:t>
            </w:r>
          </w:p>
        </w:tc>
        <w:tc>
          <w:tcPr>
            <w:tcW w:w="5041" w:type="dxa"/>
          </w:tcPr>
          <w:p w:rsidR="007B4915" w:rsidRDefault="007B4915" w:rsidP="007B4915">
            <w:pPr>
              <w:numPr>
                <w:ilvl w:val="0"/>
                <w:numId w:val="24"/>
              </w:numPr>
              <w:cnfStyle w:val="000000000000" w:firstRow="0" w:lastRow="0" w:firstColumn="0" w:lastColumn="0" w:oddVBand="0" w:evenVBand="0" w:oddHBand="0" w:evenHBand="0" w:firstRowFirstColumn="0" w:firstRowLastColumn="0" w:lastRowFirstColumn="0" w:lastRowLastColumn="0"/>
            </w:pPr>
            <w:r>
              <w:t>Capital Expenditure Sharing Scheme</w:t>
            </w:r>
          </w:p>
        </w:tc>
      </w:tr>
      <w:tr w:rsidR="007B4915"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CMF</w:t>
            </w:r>
          </w:p>
        </w:tc>
        <w:tc>
          <w:tcPr>
            <w:tcW w:w="5041" w:type="dxa"/>
          </w:tcPr>
          <w:p w:rsidR="007B4915" w:rsidRPr="007B4915" w:rsidRDefault="007B4915" w:rsidP="007B4915">
            <w:pPr>
              <w:cnfStyle w:val="000000010000" w:firstRow="0" w:lastRow="0" w:firstColumn="0" w:lastColumn="0" w:oddVBand="0" w:evenVBand="0" w:oddHBand="0" w:evenHBand="1" w:firstRowFirstColumn="0" w:firstRowLastColumn="0" w:lastRowFirstColumn="0" w:lastRowLastColumn="0"/>
            </w:pPr>
            <w:r>
              <w:t>construction management fee</w:t>
            </w:r>
          </w:p>
        </w:tc>
      </w:tr>
      <w:tr w:rsidR="007B4915" w:rsidTr="000C0557">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CPI</w:t>
            </w:r>
          </w:p>
        </w:tc>
        <w:tc>
          <w:tcPr>
            <w:tcW w:w="5041" w:type="dxa"/>
          </w:tcPr>
          <w:p w:rsidR="007B4915" w:rsidRDefault="007B4915" w:rsidP="007B4915">
            <w:pPr>
              <w:numPr>
                <w:ilvl w:val="0"/>
                <w:numId w:val="24"/>
              </w:numPr>
              <w:cnfStyle w:val="000000000000" w:firstRow="0" w:lastRow="0" w:firstColumn="0" w:lastColumn="0" w:oddVBand="0" w:evenVBand="0" w:oddHBand="0" w:evenHBand="0" w:firstRowFirstColumn="0" w:firstRowLastColumn="0" w:lastRowFirstColumn="0" w:lastRowLastColumn="0"/>
            </w:pPr>
            <w:r>
              <w:t>consumer price index</w:t>
            </w:r>
          </w:p>
        </w:tc>
      </w:tr>
      <w:tr w:rsidR="007B4915"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DAMS</w:t>
            </w:r>
          </w:p>
        </w:tc>
        <w:tc>
          <w:tcPr>
            <w:tcW w:w="5041" w:type="dxa"/>
          </w:tcPr>
          <w:p w:rsidR="007B4915" w:rsidRPr="007B4915" w:rsidRDefault="007B4915" w:rsidP="007B4915">
            <w:pPr>
              <w:cnfStyle w:val="000000010000" w:firstRow="0" w:lastRow="0" w:firstColumn="0" w:lastColumn="0" w:oddVBand="0" w:evenVBand="0" w:oddHBand="0" w:evenHBand="1" w:firstRowFirstColumn="0" w:firstRowLastColumn="0" w:lastRowFirstColumn="0" w:lastRowLastColumn="0"/>
            </w:pPr>
            <w:r>
              <w:t>Distribution Asset Management Services</w:t>
            </w:r>
          </w:p>
        </w:tc>
      </w:tr>
      <w:tr w:rsidR="007B4915" w:rsidTr="000C0557">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DRP</w:t>
            </w:r>
          </w:p>
        </w:tc>
        <w:tc>
          <w:tcPr>
            <w:tcW w:w="5041" w:type="dxa"/>
          </w:tcPr>
          <w:p w:rsidR="007B4915" w:rsidRDefault="007B4915" w:rsidP="007B4915">
            <w:pPr>
              <w:numPr>
                <w:ilvl w:val="0"/>
                <w:numId w:val="24"/>
              </w:numPr>
              <w:cnfStyle w:val="000000000000" w:firstRow="0" w:lastRow="0" w:firstColumn="0" w:lastColumn="0" w:oddVBand="0" w:evenVBand="0" w:oddHBand="0" w:evenHBand="0" w:firstRowFirstColumn="0" w:firstRowLastColumn="0" w:lastRowFirstColumn="0" w:lastRowLastColumn="0"/>
            </w:pPr>
            <w:r>
              <w:t>debt risk premium</w:t>
            </w:r>
          </w:p>
        </w:tc>
      </w:tr>
      <w:tr w:rsidR="007B4915"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EBSS</w:t>
            </w:r>
          </w:p>
        </w:tc>
        <w:tc>
          <w:tcPr>
            <w:tcW w:w="5041" w:type="dxa"/>
          </w:tcPr>
          <w:p w:rsidR="007B4915" w:rsidRPr="007B4915" w:rsidRDefault="007B4915" w:rsidP="007B4915">
            <w:pPr>
              <w:cnfStyle w:val="000000010000" w:firstRow="0" w:lastRow="0" w:firstColumn="0" w:lastColumn="0" w:oddVBand="0" w:evenVBand="0" w:oddHBand="0" w:evenHBand="1" w:firstRowFirstColumn="0" w:firstRowLastColumn="0" w:lastRowFirstColumn="0" w:lastRowLastColumn="0"/>
            </w:pPr>
            <w:r>
              <w:t>Efficiency Benefit Sharing Scheme</w:t>
            </w:r>
          </w:p>
        </w:tc>
      </w:tr>
      <w:tr w:rsidR="007B4915" w:rsidTr="000C0557">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EIL</w:t>
            </w:r>
          </w:p>
        </w:tc>
        <w:tc>
          <w:tcPr>
            <w:tcW w:w="5041" w:type="dxa"/>
          </w:tcPr>
          <w:p w:rsidR="007B4915" w:rsidRPr="007B4915" w:rsidRDefault="007B4915" w:rsidP="007B4915">
            <w:pPr>
              <w:cnfStyle w:val="000000000000" w:firstRow="0" w:lastRow="0" w:firstColumn="0" w:lastColumn="0" w:oddVBand="0" w:evenVBand="0" w:oddHBand="0" w:evenHBand="0" w:firstRowFirstColumn="0" w:firstRowLastColumn="0" w:lastRowFirstColumn="0" w:lastRowLastColumn="0"/>
            </w:pPr>
            <w:r>
              <w:t xml:space="preserve">Energy Industry </w:t>
            </w:r>
            <w:r w:rsidRPr="007B4915">
              <w:t>Levy</w:t>
            </w:r>
          </w:p>
        </w:tc>
      </w:tr>
      <w:tr w:rsidR="007B4915"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ERP</w:t>
            </w:r>
          </w:p>
        </w:tc>
        <w:tc>
          <w:tcPr>
            <w:tcW w:w="5041" w:type="dxa"/>
          </w:tcPr>
          <w:p w:rsidR="007B4915" w:rsidRDefault="007B4915" w:rsidP="007B4915">
            <w:pPr>
              <w:numPr>
                <w:ilvl w:val="0"/>
                <w:numId w:val="24"/>
              </w:numPr>
              <w:cnfStyle w:val="000000010000" w:firstRow="0" w:lastRow="0" w:firstColumn="0" w:lastColumn="0" w:oddVBand="0" w:evenVBand="0" w:oddHBand="0" w:evenHBand="1" w:firstRowFirstColumn="0" w:firstRowLastColumn="0" w:lastRowFirstColumn="0" w:lastRowLastColumn="0"/>
            </w:pPr>
            <w:r>
              <w:t>equity risk premium</w:t>
            </w:r>
          </w:p>
        </w:tc>
      </w:tr>
      <w:tr w:rsidR="007B4915" w:rsidTr="000C0557">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Expenditure Guideline</w:t>
            </w:r>
          </w:p>
        </w:tc>
        <w:tc>
          <w:tcPr>
            <w:tcW w:w="5041" w:type="dxa"/>
          </w:tcPr>
          <w:p w:rsidR="007B4915" w:rsidRPr="007B4915" w:rsidRDefault="007B4915" w:rsidP="007B4915">
            <w:pPr>
              <w:cnfStyle w:val="000000000000" w:firstRow="0" w:lastRow="0" w:firstColumn="0" w:lastColumn="0" w:oddVBand="0" w:evenVBand="0" w:oddHBand="0" w:evenHBand="0" w:firstRowFirstColumn="0" w:firstRowLastColumn="0" w:lastRowFirstColumn="0" w:lastRowLastColumn="0"/>
            </w:pPr>
            <w:r>
              <w:t>Expenditure Forecast Assessment Guideline</w:t>
            </w:r>
          </w:p>
        </w:tc>
      </w:tr>
      <w:tr w:rsidR="007B4915"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gamma</w:t>
            </w:r>
          </w:p>
        </w:tc>
        <w:tc>
          <w:tcPr>
            <w:tcW w:w="5041" w:type="dxa"/>
          </w:tcPr>
          <w:p w:rsidR="007B4915" w:rsidRPr="007B4915" w:rsidRDefault="007B4915" w:rsidP="007B4915">
            <w:pPr>
              <w:cnfStyle w:val="000000010000" w:firstRow="0" w:lastRow="0" w:firstColumn="0" w:lastColumn="0" w:oddVBand="0" w:evenVBand="0" w:oddHBand="0" w:evenHBand="1" w:firstRowFirstColumn="0" w:firstRowLastColumn="0" w:lastRowFirstColumn="0" w:lastRowLastColumn="0"/>
            </w:pPr>
            <w:r>
              <w:t>Value of Imputation Credits</w:t>
            </w:r>
          </w:p>
        </w:tc>
      </w:tr>
      <w:tr w:rsidR="007B4915" w:rsidTr="000C0557">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GSL</w:t>
            </w:r>
          </w:p>
        </w:tc>
        <w:tc>
          <w:tcPr>
            <w:tcW w:w="5041" w:type="dxa"/>
          </w:tcPr>
          <w:p w:rsidR="007B4915" w:rsidRPr="007B4915" w:rsidRDefault="007B4915" w:rsidP="007B4915">
            <w:pPr>
              <w:cnfStyle w:val="000000000000" w:firstRow="0" w:lastRow="0" w:firstColumn="0" w:lastColumn="0" w:oddVBand="0" w:evenVBand="0" w:oddHBand="0" w:evenHBand="0" w:firstRowFirstColumn="0" w:firstRowLastColumn="0" w:lastRowFirstColumn="0" w:lastRowLastColumn="0"/>
            </w:pPr>
            <w:r>
              <w:t>Guaranteed Service Level</w:t>
            </w:r>
          </w:p>
        </w:tc>
      </w:tr>
      <w:tr w:rsidR="007B4915"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GTA</w:t>
            </w:r>
          </w:p>
        </w:tc>
        <w:tc>
          <w:tcPr>
            <w:tcW w:w="5041" w:type="dxa"/>
          </w:tcPr>
          <w:p w:rsidR="007B4915" w:rsidRPr="007B4915" w:rsidRDefault="007B4915" w:rsidP="007B4915">
            <w:pPr>
              <w:cnfStyle w:val="000000010000" w:firstRow="0" w:lastRow="0" w:firstColumn="0" w:lastColumn="0" w:oddVBand="0" w:evenVBand="0" w:oddHBand="0" w:evenHBand="1" w:firstRowFirstColumn="0" w:firstRowLastColumn="0" w:lastRowFirstColumn="0" w:lastRowLastColumn="0"/>
            </w:pPr>
            <w:r>
              <w:t>gas transport services agreement</w:t>
            </w:r>
          </w:p>
        </w:tc>
      </w:tr>
      <w:tr w:rsidR="007B4915" w:rsidTr="000C0557">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ICRC</w:t>
            </w:r>
          </w:p>
        </w:tc>
        <w:tc>
          <w:tcPr>
            <w:tcW w:w="5041" w:type="dxa"/>
          </w:tcPr>
          <w:p w:rsidR="007B4915" w:rsidRPr="007B4915" w:rsidRDefault="007B4915" w:rsidP="007B4915">
            <w:pPr>
              <w:cnfStyle w:val="000000000000" w:firstRow="0" w:lastRow="0" w:firstColumn="0" w:lastColumn="0" w:oddVBand="0" w:evenVBand="0" w:oddHBand="0" w:evenHBand="0" w:firstRowFirstColumn="0" w:firstRowLastColumn="0" w:lastRowFirstColumn="0" w:lastRowLastColumn="0"/>
            </w:pPr>
            <w:r>
              <w:t>Independent Competition and Regulatory Commission</w:t>
            </w:r>
          </w:p>
        </w:tc>
      </w:tr>
      <w:tr w:rsidR="007B4915"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MRP</w:t>
            </w:r>
          </w:p>
        </w:tc>
        <w:tc>
          <w:tcPr>
            <w:tcW w:w="5041" w:type="dxa"/>
          </w:tcPr>
          <w:p w:rsidR="007B4915" w:rsidRDefault="007B4915" w:rsidP="007B4915">
            <w:pPr>
              <w:numPr>
                <w:ilvl w:val="0"/>
                <w:numId w:val="24"/>
              </w:numPr>
              <w:cnfStyle w:val="000000010000" w:firstRow="0" w:lastRow="0" w:firstColumn="0" w:lastColumn="0" w:oddVBand="0" w:evenVBand="0" w:oddHBand="0" w:evenHBand="1" w:firstRowFirstColumn="0" w:firstRowLastColumn="0" w:lastRowFirstColumn="0" w:lastRowLastColumn="0"/>
            </w:pPr>
            <w:r>
              <w:t>market risk premium</w:t>
            </w:r>
          </w:p>
        </w:tc>
      </w:tr>
      <w:tr w:rsidR="007B4915" w:rsidTr="000C0557">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NECF</w:t>
            </w:r>
          </w:p>
        </w:tc>
        <w:tc>
          <w:tcPr>
            <w:tcW w:w="5041" w:type="dxa"/>
          </w:tcPr>
          <w:p w:rsidR="007B4915" w:rsidRPr="007B4915" w:rsidRDefault="007B4915" w:rsidP="007B4915">
            <w:pPr>
              <w:cnfStyle w:val="000000000000" w:firstRow="0" w:lastRow="0" w:firstColumn="0" w:lastColumn="0" w:oddVBand="0" w:evenVBand="0" w:oddHBand="0" w:evenHBand="0" w:firstRowFirstColumn="0" w:firstRowLastColumn="0" w:lastRowFirstColumn="0" w:lastRowLastColumn="0"/>
            </w:pPr>
            <w:r>
              <w:t>National Energy Customer Framework</w:t>
            </w:r>
          </w:p>
        </w:tc>
      </w:tr>
      <w:tr w:rsidR="007B4915"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NERL</w:t>
            </w:r>
          </w:p>
        </w:tc>
        <w:tc>
          <w:tcPr>
            <w:tcW w:w="5041" w:type="dxa"/>
          </w:tcPr>
          <w:p w:rsidR="007B4915" w:rsidRPr="007B4915" w:rsidRDefault="007B4915" w:rsidP="007B4915">
            <w:pPr>
              <w:cnfStyle w:val="000000010000" w:firstRow="0" w:lastRow="0" w:firstColumn="0" w:lastColumn="0" w:oddVBand="0" w:evenVBand="0" w:oddHBand="0" w:evenHBand="1" w:firstRowFirstColumn="0" w:firstRowLastColumn="0" w:lastRowFirstColumn="0" w:lastRowLastColumn="0"/>
            </w:pPr>
            <w:r>
              <w:t>National Energy Retail Law</w:t>
            </w:r>
          </w:p>
        </w:tc>
      </w:tr>
      <w:tr w:rsidR="007B4915" w:rsidTr="000C0557">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NERR</w:t>
            </w:r>
          </w:p>
        </w:tc>
        <w:tc>
          <w:tcPr>
            <w:tcW w:w="5041" w:type="dxa"/>
          </w:tcPr>
          <w:p w:rsidR="007B4915" w:rsidRDefault="007B4915" w:rsidP="007B4915">
            <w:pPr>
              <w:numPr>
                <w:ilvl w:val="0"/>
                <w:numId w:val="24"/>
              </w:numPr>
              <w:cnfStyle w:val="000000000000" w:firstRow="0" w:lastRow="0" w:firstColumn="0" w:lastColumn="0" w:oddVBand="0" w:evenVBand="0" w:oddHBand="0" w:evenHBand="0" w:firstRowFirstColumn="0" w:firstRowLastColumn="0" w:lastRowFirstColumn="0" w:lastRowLastColumn="0"/>
            </w:pPr>
            <w:r>
              <w:t>National Energy Retail Rules</w:t>
            </w:r>
          </w:p>
        </w:tc>
      </w:tr>
      <w:tr w:rsidR="007B4915"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NGL</w:t>
            </w:r>
          </w:p>
        </w:tc>
        <w:tc>
          <w:tcPr>
            <w:tcW w:w="5041" w:type="dxa"/>
          </w:tcPr>
          <w:p w:rsidR="007B4915" w:rsidRDefault="007B4915" w:rsidP="007B4915">
            <w:pPr>
              <w:numPr>
                <w:ilvl w:val="0"/>
                <w:numId w:val="24"/>
              </w:numPr>
              <w:cnfStyle w:val="000000010000" w:firstRow="0" w:lastRow="0" w:firstColumn="0" w:lastColumn="0" w:oddVBand="0" w:evenVBand="0" w:oddHBand="0" w:evenHBand="1" w:firstRowFirstColumn="0" w:firstRowLastColumn="0" w:lastRowFirstColumn="0" w:lastRowLastColumn="0"/>
            </w:pPr>
            <w:r>
              <w:t>national gas law</w:t>
            </w:r>
          </w:p>
        </w:tc>
      </w:tr>
      <w:tr w:rsidR="007B4915" w:rsidTr="000C0557">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NGO</w:t>
            </w:r>
          </w:p>
        </w:tc>
        <w:tc>
          <w:tcPr>
            <w:tcW w:w="5041" w:type="dxa"/>
          </w:tcPr>
          <w:p w:rsidR="007B4915" w:rsidRDefault="007B4915" w:rsidP="007B4915">
            <w:pPr>
              <w:numPr>
                <w:ilvl w:val="0"/>
                <w:numId w:val="24"/>
              </w:numPr>
              <w:cnfStyle w:val="000000000000" w:firstRow="0" w:lastRow="0" w:firstColumn="0" w:lastColumn="0" w:oddVBand="0" w:evenVBand="0" w:oddHBand="0" w:evenHBand="0" w:firstRowFirstColumn="0" w:firstRowLastColumn="0" w:lastRowFirstColumn="0" w:lastRowLastColumn="0"/>
            </w:pPr>
            <w:r>
              <w:t>national gas objective</w:t>
            </w:r>
          </w:p>
        </w:tc>
      </w:tr>
      <w:tr w:rsidR="007B4915"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NGR</w:t>
            </w:r>
          </w:p>
        </w:tc>
        <w:tc>
          <w:tcPr>
            <w:tcW w:w="5041" w:type="dxa"/>
          </w:tcPr>
          <w:p w:rsidR="007B4915" w:rsidRDefault="007B4915" w:rsidP="007B4915">
            <w:pPr>
              <w:numPr>
                <w:ilvl w:val="0"/>
                <w:numId w:val="24"/>
              </w:numPr>
              <w:cnfStyle w:val="000000010000" w:firstRow="0" w:lastRow="0" w:firstColumn="0" w:lastColumn="0" w:oddVBand="0" w:evenVBand="0" w:oddHBand="0" w:evenHBand="1" w:firstRowFirstColumn="0" w:firstRowLastColumn="0" w:lastRowFirstColumn="0" w:lastRowLastColumn="0"/>
            </w:pPr>
            <w:r>
              <w:t>national gas rules</w:t>
            </w:r>
          </w:p>
        </w:tc>
      </w:tr>
      <w:tr w:rsidR="007B4915" w:rsidTr="000C0557">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NPV</w:t>
            </w:r>
          </w:p>
        </w:tc>
        <w:tc>
          <w:tcPr>
            <w:tcW w:w="5041" w:type="dxa"/>
          </w:tcPr>
          <w:p w:rsidR="007B4915" w:rsidRPr="007B4915" w:rsidRDefault="007B4915" w:rsidP="007B4915">
            <w:pPr>
              <w:cnfStyle w:val="000000000000" w:firstRow="0" w:lastRow="0" w:firstColumn="0" w:lastColumn="0" w:oddVBand="0" w:evenVBand="0" w:oddHBand="0" w:evenHBand="0" w:firstRowFirstColumn="0" w:firstRowLastColumn="0" w:lastRowFirstColumn="0" w:lastRowLastColumn="0"/>
            </w:pPr>
            <w:r>
              <w:t>net present value</w:t>
            </w:r>
          </w:p>
        </w:tc>
      </w:tr>
      <w:tr w:rsidR="007B4915"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opex</w:t>
            </w:r>
          </w:p>
        </w:tc>
        <w:tc>
          <w:tcPr>
            <w:tcW w:w="5041" w:type="dxa"/>
          </w:tcPr>
          <w:p w:rsidR="007B4915" w:rsidRDefault="007B4915" w:rsidP="007B4915">
            <w:pPr>
              <w:numPr>
                <w:ilvl w:val="0"/>
                <w:numId w:val="24"/>
              </w:numPr>
              <w:cnfStyle w:val="000000010000" w:firstRow="0" w:lastRow="0" w:firstColumn="0" w:lastColumn="0" w:oddVBand="0" w:evenVBand="0" w:oddHBand="0" w:evenHBand="1" w:firstRowFirstColumn="0" w:firstRowLastColumn="0" w:lastRowFirstColumn="0" w:lastRowLastColumn="0"/>
            </w:pPr>
            <w:r>
              <w:t>operating expenditure</w:t>
            </w:r>
          </w:p>
        </w:tc>
      </w:tr>
      <w:tr w:rsidR="007B4915" w:rsidTr="000C0557">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lastRenderedPageBreak/>
              <w:t>PFP</w:t>
            </w:r>
          </w:p>
        </w:tc>
        <w:tc>
          <w:tcPr>
            <w:tcW w:w="5041" w:type="dxa"/>
          </w:tcPr>
          <w:p w:rsidR="007B4915" w:rsidRPr="007B4915" w:rsidRDefault="007B4915" w:rsidP="007B4915">
            <w:pPr>
              <w:cnfStyle w:val="000000000000" w:firstRow="0" w:lastRow="0" w:firstColumn="0" w:lastColumn="0" w:oddVBand="0" w:evenVBand="0" w:oddHBand="0" w:evenHBand="0" w:firstRowFirstColumn="0" w:firstRowLastColumn="0" w:lastRowFirstColumn="0" w:lastRowLastColumn="0"/>
            </w:pPr>
            <w:r>
              <w:t>partial factor productivity</w:t>
            </w:r>
          </w:p>
        </w:tc>
      </w:tr>
      <w:tr w:rsidR="007B4915"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PPI</w:t>
            </w:r>
          </w:p>
        </w:tc>
        <w:tc>
          <w:tcPr>
            <w:tcW w:w="5041" w:type="dxa"/>
          </w:tcPr>
          <w:p w:rsidR="007B4915" w:rsidRDefault="007B4915" w:rsidP="007B4915">
            <w:pPr>
              <w:numPr>
                <w:ilvl w:val="0"/>
                <w:numId w:val="24"/>
              </w:numPr>
              <w:cnfStyle w:val="000000010000" w:firstRow="0" w:lastRow="0" w:firstColumn="0" w:lastColumn="0" w:oddVBand="0" w:evenVBand="0" w:oddHBand="0" w:evenHBand="1" w:firstRowFirstColumn="0" w:firstRowLastColumn="0" w:lastRowFirstColumn="0" w:lastRowLastColumn="0"/>
            </w:pPr>
            <w:r>
              <w:t>partial performance indicators</w:t>
            </w:r>
          </w:p>
        </w:tc>
      </w:tr>
      <w:tr w:rsidR="007B4915" w:rsidTr="000C0557">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PTRM</w:t>
            </w:r>
          </w:p>
        </w:tc>
        <w:tc>
          <w:tcPr>
            <w:tcW w:w="5041" w:type="dxa"/>
          </w:tcPr>
          <w:p w:rsidR="007B4915" w:rsidRDefault="007B4915" w:rsidP="007B4915">
            <w:pPr>
              <w:numPr>
                <w:ilvl w:val="0"/>
                <w:numId w:val="24"/>
              </w:numPr>
              <w:cnfStyle w:val="000000000000" w:firstRow="0" w:lastRow="0" w:firstColumn="0" w:lastColumn="0" w:oddVBand="0" w:evenVBand="0" w:oddHBand="0" w:evenHBand="0" w:firstRowFirstColumn="0" w:firstRowLastColumn="0" w:lastRowFirstColumn="0" w:lastRowLastColumn="0"/>
            </w:pPr>
            <w:r>
              <w:t>post-tax revenue model</w:t>
            </w:r>
          </w:p>
        </w:tc>
      </w:tr>
      <w:tr w:rsidR="007B4915"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RBA</w:t>
            </w:r>
          </w:p>
        </w:tc>
        <w:tc>
          <w:tcPr>
            <w:tcW w:w="5041" w:type="dxa"/>
          </w:tcPr>
          <w:p w:rsidR="007B4915" w:rsidRDefault="007B4915" w:rsidP="007B4915">
            <w:pPr>
              <w:numPr>
                <w:ilvl w:val="0"/>
                <w:numId w:val="24"/>
              </w:numPr>
              <w:cnfStyle w:val="000000010000" w:firstRow="0" w:lastRow="0" w:firstColumn="0" w:lastColumn="0" w:oddVBand="0" w:evenVBand="0" w:oddHBand="0" w:evenHBand="1" w:firstRowFirstColumn="0" w:firstRowLastColumn="0" w:lastRowFirstColumn="0" w:lastRowLastColumn="0"/>
            </w:pPr>
            <w:r>
              <w:t>Reserve Bank of Australia</w:t>
            </w:r>
          </w:p>
        </w:tc>
      </w:tr>
      <w:tr w:rsidR="007B4915" w:rsidTr="000C0557">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RFM</w:t>
            </w:r>
          </w:p>
        </w:tc>
        <w:tc>
          <w:tcPr>
            <w:tcW w:w="5041" w:type="dxa"/>
          </w:tcPr>
          <w:p w:rsidR="007B4915" w:rsidRDefault="007B4915" w:rsidP="007B4915">
            <w:pPr>
              <w:numPr>
                <w:ilvl w:val="0"/>
                <w:numId w:val="24"/>
              </w:numPr>
              <w:cnfStyle w:val="000000000000" w:firstRow="0" w:lastRow="0" w:firstColumn="0" w:lastColumn="0" w:oddVBand="0" w:evenVBand="0" w:oddHBand="0" w:evenHBand="0" w:firstRowFirstColumn="0" w:firstRowLastColumn="0" w:lastRowFirstColumn="0" w:lastRowLastColumn="0"/>
            </w:pPr>
            <w:r>
              <w:t>roll forward model</w:t>
            </w:r>
          </w:p>
        </w:tc>
      </w:tr>
      <w:tr w:rsidR="007B4915"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RIN</w:t>
            </w:r>
          </w:p>
        </w:tc>
        <w:tc>
          <w:tcPr>
            <w:tcW w:w="5041" w:type="dxa"/>
          </w:tcPr>
          <w:p w:rsidR="007B4915" w:rsidRDefault="007B4915" w:rsidP="007B4915">
            <w:pPr>
              <w:numPr>
                <w:ilvl w:val="0"/>
                <w:numId w:val="24"/>
              </w:numPr>
              <w:cnfStyle w:val="000000010000" w:firstRow="0" w:lastRow="0" w:firstColumn="0" w:lastColumn="0" w:oddVBand="0" w:evenVBand="0" w:oddHBand="0" w:evenHBand="1" w:firstRowFirstColumn="0" w:firstRowLastColumn="0" w:lastRowFirstColumn="0" w:lastRowLastColumn="0"/>
            </w:pPr>
            <w:r>
              <w:t>regulatory information notice</w:t>
            </w:r>
          </w:p>
        </w:tc>
      </w:tr>
      <w:tr w:rsidR="007B4915" w:rsidTr="000C0557">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RoLR</w:t>
            </w:r>
          </w:p>
        </w:tc>
        <w:tc>
          <w:tcPr>
            <w:tcW w:w="5041" w:type="dxa"/>
          </w:tcPr>
          <w:p w:rsidR="007B4915" w:rsidRPr="007B4915" w:rsidRDefault="007B4915" w:rsidP="007B4915">
            <w:pPr>
              <w:cnfStyle w:val="000000000000" w:firstRow="0" w:lastRow="0" w:firstColumn="0" w:lastColumn="0" w:oddVBand="0" w:evenVBand="0" w:oddHBand="0" w:evenHBand="0" w:firstRowFirstColumn="0" w:firstRowLastColumn="0" w:lastRowFirstColumn="0" w:lastRowLastColumn="0"/>
            </w:pPr>
            <w:r>
              <w:t>retailer of last resort</w:t>
            </w:r>
          </w:p>
        </w:tc>
      </w:tr>
      <w:tr w:rsidR="007B4915"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RSA</w:t>
            </w:r>
          </w:p>
        </w:tc>
        <w:tc>
          <w:tcPr>
            <w:tcW w:w="5041" w:type="dxa"/>
          </w:tcPr>
          <w:p w:rsidR="007B4915" w:rsidRPr="007B4915" w:rsidRDefault="007B4915" w:rsidP="007B4915">
            <w:pPr>
              <w:cnfStyle w:val="000000010000" w:firstRow="0" w:lastRow="0" w:firstColumn="0" w:lastColumn="0" w:oddVBand="0" w:evenVBand="0" w:oddHBand="0" w:evenHBand="1" w:firstRowFirstColumn="0" w:firstRowLastColumn="0" w:lastRowFirstColumn="0" w:lastRowLastColumn="0"/>
            </w:pPr>
            <w:r>
              <w:t xml:space="preserve">Reference Service </w:t>
            </w:r>
            <w:r w:rsidRPr="007B4915">
              <w:t>Agreement</w:t>
            </w:r>
          </w:p>
        </w:tc>
      </w:tr>
      <w:tr w:rsidR="007B4915" w:rsidTr="000C0557">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RPP</w:t>
            </w:r>
          </w:p>
        </w:tc>
        <w:tc>
          <w:tcPr>
            <w:tcW w:w="5041" w:type="dxa"/>
          </w:tcPr>
          <w:p w:rsidR="007B4915" w:rsidRDefault="007B4915" w:rsidP="007B4915">
            <w:pPr>
              <w:numPr>
                <w:ilvl w:val="0"/>
                <w:numId w:val="24"/>
              </w:numPr>
              <w:cnfStyle w:val="000000000000" w:firstRow="0" w:lastRow="0" w:firstColumn="0" w:lastColumn="0" w:oddVBand="0" w:evenVBand="0" w:oddHBand="0" w:evenHBand="0" w:firstRowFirstColumn="0" w:firstRowLastColumn="0" w:lastRowFirstColumn="0" w:lastRowLastColumn="0"/>
            </w:pPr>
            <w:r>
              <w:t>revenue and pricing principles</w:t>
            </w:r>
          </w:p>
        </w:tc>
      </w:tr>
      <w:tr w:rsidR="007B4915"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SLCAPM</w:t>
            </w:r>
          </w:p>
        </w:tc>
        <w:tc>
          <w:tcPr>
            <w:tcW w:w="5041" w:type="dxa"/>
          </w:tcPr>
          <w:p w:rsidR="007B4915" w:rsidRDefault="007B4915" w:rsidP="007B4915">
            <w:pPr>
              <w:numPr>
                <w:ilvl w:val="0"/>
                <w:numId w:val="24"/>
              </w:numPr>
              <w:cnfStyle w:val="000000010000" w:firstRow="0" w:lastRow="0" w:firstColumn="0" w:lastColumn="0" w:oddVBand="0" w:evenVBand="0" w:oddHBand="0" w:evenHBand="1" w:firstRowFirstColumn="0" w:firstRowLastColumn="0" w:lastRowFirstColumn="0" w:lastRowLastColumn="0"/>
            </w:pPr>
            <w:r>
              <w:t>Sharpe-Lintner capital asset pricing model</w:t>
            </w:r>
          </w:p>
        </w:tc>
      </w:tr>
      <w:tr w:rsidR="007B4915" w:rsidTr="000C0557">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STTM</w:t>
            </w:r>
          </w:p>
        </w:tc>
        <w:tc>
          <w:tcPr>
            <w:tcW w:w="5041" w:type="dxa"/>
          </w:tcPr>
          <w:p w:rsidR="007B4915" w:rsidRPr="007B4915" w:rsidRDefault="007B4915" w:rsidP="007B4915">
            <w:pPr>
              <w:cnfStyle w:val="000000000000" w:firstRow="0" w:lastRow="0" w:firstColumn="0" w:lastColumn="0" w:oddVBand="0" w:evenVBand="0" w:oddHBand="0" w:evenHBand="0" w:firstRowFirstColumn="0" w:firstRowLastColumn="0" w:lastRowFirstColumn="0" w:lastRowLastColumn="0"/>
            </w:pPr>
            <w:r>
              <w:t>Short Term Trading Market</w:t>
            </w:r>
          </w:p>
        </w:tc>
      </w:tr>
      <w:tr w:rsidR="007B4915"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TAB</w:t>
            </w:r>
          </w:p>
        </w:tc>
        <w:tc>
          <w:tcPr>
            <w:tcW w:w="5041" w:type="dxa"/>
          </w:tcPr>
          <w:p w:rsidR="007B4915" w:rsidRPr="007B4915" w:rsidRDefault="007B4915" w:rsidP="007B4915">
            <w:pPr>
              <w:cnfStyle w:val="000000010000" w:firstRow="0" w:lastRow="0" w:firstColumn="0" w:lastColumn="0" w:oddVBand="0" w:evenVBand="0" w:oddHBand="0" w:evenHBand="1" w:firstRowFirstColumn="0" w:firstRowLastColumn="0" w:lastRowFirstColumn="0" w:lastRowLastColumn="0"/>
            </w:pPr>
            <w:r>
              <w:t>Tax asset base</w:t>
            </w:r>
          </w:p>
        </w:tc>
      </w:tr>
      <w:tr w:rsidR="007B4915" w:rsidTr="000C0557">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UAFG</w:t>
            </w:r>
          </w:p>
        </w:tc>
        <w:tc>
          <w:tcPr>
            <w:tcW w:w="5041" w:type="dxa"/>
          </w:tcPr>
          <w:p w:rsidR="007B4915" w:rsidRPr="007B4915" w:rsidRDefault="007B4915" w:rsidP="007B4915">
            <w:pPr>
              <w:cnfStyle w:val="000000000000" w:firstRow="0" w:lastRow="0" w:firstColumn="0" w:lastColumn="0" w:oddVBand="0" w:evenVBand="0" w:oddHBand="0" w:evenHBand="0" w:firstRowFirstColumn="0" w:firstRowLastColumn="0" w:lastRowFirstColumn="0" w:lastRowLastColumn="0"/>
            </w:pPr>
            <w:r>
              <w:t>Unaccounted for gas</w:t>
            </w:r>
          </w:p>
        </w:tc>
      </w:tr>
      <w:tr w:rsidR="007B4915"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UNFT</w:t>
            </w:r>
          </w:p>
        </w:tc>
        <w:tc>
          <w:tcPr>
            <w:tcW w:w="5041" w:type="dxa"/>
          </w:tcPr>
          <w:p w:rsidR="007B4915" w:rsidRPr="007B4915" w:rsidRDefault="007B4915" w:rsidP="007B4915">
            <w:pPr>
              <w:cnfStyle w:val="000000010000" w:firstRow="0" w:lastRow="0" w:firstColumn="0" w:lastColumn="0" w:oddVBand="0" w:evenVBand="0" w:oddHBand="0" w:evenHBand="1" w:firstRowFirstColumn="0" w:firstRowLastColumn="0" w:lastRowFirstColumn="0" w:lastRowLastColumn="0"/>
            </w:pPr>
            <w:r>
              <w:t xml:space="preserve">Utilities Network </w:t>
            </w:r>
            <w:r w:rsidRPr="007B4915">
              <w:t>Facilities Tax</w:t>
            </w:r>
          </w:p>
        </w:tc>
      </w:tr>
      <w:tr w:rsidR="007B4915" w:rsidTr="000C0557">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WACC</w:t>
            </w:r>
          </w:p>
        </w:tc>
        <w:tc>
          <w:tcPr>
            <w:tcW w:w="5041" w:type="dxa"/>
          </w:tcPr>
          <w:p w:rsidR="007B4915" w:rsidRDefault="007B4915" w:rsidP="007B4915">
            <w:pPr>
              <w:numPr>
                <w:ilvl w:val="0"/>
                <w:numId w:val="24"/>
              </w:numPr>
              <w:cnfStyle w:val="000000000000" w:firstRow="0" w:lastRow="0" w:firstColumn="0" w:lastColumn="0" w:oddVBand="0" w:evenVBand="0" w:oddHBand="0" w:evenHBand="0" w:firstRowFirstColumn="0" w:firstRowLastColumn="0" w:lastRowFirstColumn="0" w:lastRowLastColumn="0"/>
            </w:pPr>
            <w:r>
              <w:t>weighted average cost of capital</w:t>
            </w:r>
          </w:p>
        </w:tc>
      </w:tr>
      <w:tr w:rsidR="007B4915"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B4915" w:rsidRDefault="007B4915" w:rsidP="007B4915">
            <w:pPr>
              <w:numPr>
                <w:ilvl w:val="0"/>
                <w:numId w:val="24"/>
              </w:numPr>
            </w:pPr>
            <w:r>
              <w:t>WPI</w:t>
            </w:r>
          </w:p>
        </w:tc>
        <w:tc>
          <w:tcPr>
            <w:tcW w:w="5041" w:type="dxa"/>
          </w:tcPr>
          <w:p w:rsidR="007B4915" w:rsidRPr="007B4915" w:rsidRDefault="007B4915" w:rsidP="007B4915">
            <w:pPr>
              <w:cnfStyle w:val="000000010000" w:firstRow="0" w:lastRow="0" w:firstColumn="0" w:lastColumn="0" w:oddVBand="0" w:evenVBand="0" w:oddHBand="0" w:evenHBand="1" w:firstRowFirstColumn="0" w:firstRowLastColumn="0" w:lastRowFirstColumn="0" w:lastRowLastColumn="0"/>
            </w:pPr>
            <w:r>
              <w:t>Wage Price Index</w:t>
            </w:r>
          </w:p>
        </w:tc>
      </w:tr>
    </w:tbl>
    <w:p w:rsidR="007B4915" w:rsidRPr="007B4915" w:rsidRDefault="007B4915" w:rsidP="007B4915"/>
    <w:p w:rsidR="00DE563D" w:rsidRDefault="00205A33" w:rsidP="00EE77FA">
      <w:pPr>
        <w:pStyle w:val="Heading1"/>
      </w:pPr>
      <w:bookmarkStart w:id="10" w:name="_Toc435700350"/>
      <w:r>
        <w:lastRenderedPageBreak/>
        <w:t>Demand</w:t>
      </w:r>
      <w:bookmarkEnd w:id="10"/>
    </w:p>
    <w:p w:rsidR="009430FC" w:rsidRPr="00795676" w:rsidRDefault="009430FC" w:rsidP="009430FC">
      <w:bookmarkStart w:id="11" w:name="_Toc408404320"/>
      <w:r>
        <w:t>This attachment sets out our assessment of the demand forecasts for ActewAGL for the 2016–21 access arrangement period. Demand is an important input into the derivation of ActewAGL’s reference tariffs. It affects operating expenditure (opex) and capital expenditure (capex) linked to network growth.</w:t>
      </w:r>
      <w:r>
        <w:rPr>
          <w:rStyle w:val="FootnoteReference"/>
        </w:rPr>
        <w:footnoteReference w:id="1"/>
      </w:r>
    </w:p>
    <w:p w:rsidR="009A5113" w:rsidRDefault="00CF2C05" w:rsidP="009A5113">
      <w:pPr>
        <w:pStyle w:val="Heading2"/>
      </w:pPr>
      <w:bookmarkStart w:id="12" w:name="_Toc435700351"/>
      <w:r>
        <w:t>Draft</w:t>
      </w:r>
      <w:r w:rsidR="009A5113" w:rsidRPr="0074565D">
        <w:t xml:space="preserve"> decision</w:t>
      </w:r>
      <w:bookmarkEnd w:id="11"/>
      <w:bookmarkEnd w:id="12"/>
    </w:p>
    <w:p w:rsidR="009430FC" w:rsidRDefault="009430FC" w:rsidP="009430FC">
      <w:bookmarkStart w:id="13" w:name="_Ref420067875"/>
      <w:r>
        <w:t xml:space="preserve">Our position in this draft decision is to not approve ActewAGL’s proposed demand forecasts. </w:t>
      </w:r>
    </w:p>
    <w:p w:rsidR="009430FC" w:rsidRDefault="009430FC" w:rsidP="009430FC">
      <w:r>
        <w:t>The forecasts ActewAGL proposed in its access arrangement proposal were prepared by Core Energy. Our review of those forecasts has identified concerns with the forecasting method and assumptions that Core Energy has used to forecast new residential connection numbers and tariff V residential and commercial consumption per connection.</w:t>
      </w:r>
      <w:r w:rsidRPr="0040152D">
        <w:t xml:space="preserve"> </w:t>
      </w:r>
      <w:r>
        <w:t>We are not satisfied that these forecasts comply with the NGR. They have not been arrived at on a reasonable basis and are not the best estimates in the circumstances.</w:t>
      </w:r>
      <w:r>
        <w:rPr>
          <w:rStyle w:val="FootnoteReference"/>
        </w:rPr>
        <w:footnoteReference w:id="2"/>
      </w:r>
    </w:p>
    <w:p w:rsidR="009430FC" w:rsidRDefault="009430FC" w:rsidP="009430FC">
      <w:r>
        <w:t xml:space="preserve">We have developed alternative demand forecasts that we consider address these concerns and comply with the NGR. We have used these alternative demand forecasts in this draft decision. </w:t>
      </w:r>
      <w:r>
        <w:rPr>
          <w:rStyle w:val="AERbody"/>
        </w:rPr>
        <w:t xml:space="preserve">These </w:t>
      </w:r>
      <w:r w:rsidRPr="002F3E2B">
        <w:rPr>
          <w:rStyle w:val="AERbody"/>
        </w:rPr>
        <w:t xml:space="preserve">forecasts are set out in </w:t>
      </w:r>
      <w:r>
        <w:rPr>
          <w:rStyle w:val="AERbody"/>
        </w:rPr>
        <w:fldChar w:fldCharType="begin"/>
      </w:r>
      <w:r>
        <w:rPr>
          <w:rStyle w:val="AERbody"/>
        </w:rPr>
        <w:instrText xml:space="preserve"> REF _Ref420067875 \h </w:instrText>
      </w:r>
      <w:r>
        <w:rPr>
          <w:rStyle w:val="AERbody"/>
        </w:rPr>
      </w:r>
      <w:r>
        <w:rPr>
          <w:rStyle w:val="AERbody"/>
        </w:rPr>
        <w:fldChar w:fldCharType="separate"/>
      </w:r>
      <w:r>
        <w:t xml:space="preserve">Table </w:t>
      </w:r>
      <w:r>
        <w:rPr>
          <w:noProof/>
        </w:rPr>
        <w:t>13</w:t>
      </w:r>
      <w:r>
        <w:noBreakHyphen/>
      </w:r>
      <w:r>
        <w:rPr>
          <w:noProof/>
        </w:rPr>
        <w:t>1</w:t>
      </w:r>
      <w:r>
        <w:rPr>
          <w:rStyle w:val="AERbody"/>
        </w:rPr>
        <w:fldChar w:fldCharType="end"/>
      </w:r>
      <w:r w:rsidR="008405E9">
        <w:rPr>
          <w:rStyle w:val="AERbody"/>
        </w:rPr>
        <w:t xml:space="preserve"> </w:t>
      </w:r>
      <w:r w:rsidRPr="002F3E2B">
        <w:rPr>
          <w:rStyle w:val="AERbody"/>
        </w:rPr>
        <w:t xml:space="preserve">and </w:t>
      </w:r>
      <w:r>
        <w:rPr>
          <w:rStyle w:val="AERbody"/>
        </w:rPr>
        <w:fldChar w:fldCharType="begin"/>
      </w:r>
      <w:r>
        <w:rPr>
          <w:rStyle w:val="AERbody"/>
        </w:rPr>
        <w:instrText xml:space="preserve"> REF _Ref420067884 \h </w:instrText>
      </w:r>
      <w:r>
        <w:rPr>
          <w:rStyle w:val="AERbody"/>
        </w:rPr>
      </w:r>
      <w:r>
        <w:rPr>
          <w:rStyle w:val="AERbody"/>
        </w:rPr>
        <w:fldChar w:fldCharType="separate"/>
      </w:r>
      <w:r>
        <w:t xml:space="preserve">Table </w:t>
      </w:r>
      <w:r>
        <w:rPr>
          <w:noProof/>
        </w:rPr>
        <w:t>13</w:t>
      </w:r>
      <w:r>
        <w:noBreakHyphen/>
      </w:r>
      <w:r>
        <w:rPr>
          <w:noProof/>
        </w:rPr>
        <w:t>2</w:t>
      </w:r>
      <w:r>
        <w:rPr>
          <w:rStyle w:val="AERbody"/>
        </w:rPr>
        <w:fldChar w:fldCharType="end"/>
      </w:r>
      <w:r w:rsidR="000550AF">
        <w:rPr>
          <w:rStyle w:val="AERbody"/>
        </w:rPr>
        <w:t xml:space="preserve">. </w:t>
      </w:r>
      <w:r>
        <w:rPr>
          <w:rStyle w:val="AERbody"/>
        </w:rPr>
        <w:t>In particular, they</w:t>
      </w:r>
      <w:r>
        <w:t xml:space="preserve"> result in:</w:t>
      </w:r>
    </w:p>
    <w:p w:rsidR="009430FC" w:rsidRDefault="009430FC" w:rsidP="009430FC">
      <w:pPr>
        <w:pStyle w:val="AERbulletlistfirststyle"/>
      </w:pPr>
      <w:r>
        <w:t xml:space="preserve">on average, 2600 forecast </w:t>
      </w:r>
      <w:r w:rsidR="00934F2A">
        <w:t>new estate and new medium density/high rise</w:t>
      </w:r>
      <w:r w:rsidR="000B5FBD">
        <w:t xml:space="preserve"> connections in the 2016–</w:t>
      </w:r>
      <w:r>
        <w:t>21 period (a reduction of 31.9 per cent from ActewAGL’s proposed 3816</w:t>
      </w:r>
      <w:r w:rsidR="0009704B">
        <w:t xml:space="preserve"> for those connection types</w:t>
      </w:r>
      <w:r>
        <w:t>)</w:t>
      </w:r>
    </w:p>
    <w:p w:rsidR="009430FC" w:rsidRDefault="009430FC" w:rsidP="009430FC">
      <w:pPr>
        <w:pStyle w:val="AERbulletlistfirststyle"/>
      </w:pPr>
      <w:r>
        <w:t>forecast consumption per connection of –3.57 per cent for all residential customers, compared to Core Energy’s estimate of –4.52 per cent</w:t>
      </w:r>
      <w:r w:rsidRPr="005C6B22">
        <w:t xml:space="preserve"> </w:t>
      </w:r>
    </w:p>
    <w:p w:rsidR="009430FC" w:rsidRDefault="009430FC" w:rsidP="009430FC">
      <w:pPr>
        <w:pStyle w:val="AERbulletlistfirststyle"/>
      </w:pPr>
      <w:r>
        <w:t>forecast consumption per connection of –3.62 per cent for all commercial customers, compared to Core Energy’s estimate of –2.83 per cent.</w:t>
      </w:r>
    </w:p>
    <w:p w:rsidR="009430FC" w:rsidRDefault="009430FC" w:rsidP="009430FC">
      <w:pPr>
        <w:rPr>
          <w:rStyle w:val="AERbody"/>
        </w:rPr>
      </w:pPr>
      <w:r>
        <w:rPr>
          <w:rStyle w:val="AERbody"/>
        </w:rPr>
        <w:t>Our alternative estimate for Tariff V business connection numbers also reflects updated GSP forecasts for 2015</w:t>
      </w:r>
      <w:r w:rsidR="000B5FBD">
        <w:rPr>
          <w:rStyle w:val="AERbody"/>
        </w:rPr>
        <w:t>–</w:t>
      </w:r>
      <w:r>
        <w:rPr>
          <w:rStyle w:val="AERbody"/>
        </w:rPr>
        <w:t>16.</w:t>
      </w:r>
      <w:r>
        <w:rPr>
          <w:rStyle w:val="FootnoteReference"/>
        </w:rPr>
        <w:footnoteReference w:id="3"/>
      </w:r>
    </w:p>
    <w:p w:rsidR="009430FC" w:rsidRDefault="009430FC" w:rsidP="009430FC">
      <w:pPr>
        <w:rPr>
          <w:rStyle w:val="AERbody"/>
        </w:rPr>
      </w:pPr>
      <w:r>
        <w:rPr>
          <w:rStyle w:val="AERbody"/>
        </w:rPr>
        <w:t>We are satisfied that ActewAGL’s Tariff D demand forecasts comply with the NGR.</w:t>
      </w:r>
    </w:p>
    <w:p w:rsidR="009430FC" w:rsidRDefault="009430FC" w:rsidP="009430FC">
      <w:pPr>
        <w:pStyle w:val="Caption"/>
        <w:ind w:left="1695" w:hanging="1695"/>
      </w:pPr>
      <w:bookmarkStart w:id="14" w:name="_Ref435692992"/>
      <w:bookmarkEnd w:id="13"/>
      <w:r>
        <w:lastRenderedPageBreak/>
        <w:t xml:space="preserve">Table </w:t>
      </w:r>
      <w:r w:rsidR="007B4915">
        <w:fldChar w:fldCharType="begin"/>
      </w:r>
      <w:r w:rsidR="007B4915">
        <w:instrText xml:space="preserve"> STYLEREF 1 \s </w:instrText>
      </w:r>
      <w:r w:rsidR="007B4915">
        <w:fldChar w:fldCharType="separate"/>
      </w:r>
      <w:r>
        <w:rPr>
          <w:noProof/>
        </w:rPr>
        <w:t>13</w:t>
      </w:r>
      <w:r w:rsidR="007B4915">
        <w:rPr>
          <w:noProof/>
        </w:rPr>
        <w:fldChar w:fldCharType="end"/>
      </w:r>
      <w:r w:rsidR="00477EAD">
        <w:rPr>
          <w:noProof/>
        </w:rPr>
        <w:t>.</w:t>
      </w:r>
      <w:r w:rsidR="007B4915">
        <w:fldChar w:fldCharType="begin"/>
      </w:r>
      <w:r w:rsidR="007B4915">
        <w:instrText xml:space="preserve"> SEQ Table \* ARABIC \s 1 </w:instrText>
      </w:r>
      <w:r w:rsidR="007B4915">
        <w:fldChar w:fldCharType="separate"/>
      </w:r>
      <w:r>
        <w:rPr>
          <w:noProof/>
        </w:rPr>
        <w:t>1</w:t>
      </w:r>
      <w:r w:rsidR="007B4915">
        <w:rPr>
          <w:noProof/>
        </w:rPr>
        <w:fldChar w:fldCharType="end"/>
      </w:r>
      <w:bookmarkEnd w:id="14"/>
      <w:r>
        <w:tab/>
      </w:r>
      <w:r>
        <w:tab/>
        <w:t xml:space="preserve">Draft </w:t>
      </w:r>
      <w:r w:rsidRPr="00983CDC">
        <w:t>decision on consumption</w:t>
      </w:r>
      <w:r>
        <w:t xml:space="preserve"> and consumption per connection for tariff V and tariff D </w:t>
      </w:r>
    </w:p>
    <w:tbl>
      <w:tblPr>
        <w:tblStyle w:val="AERtable-numbers"/>
        <w:tblW w:w="8613" w:type="dxa"/>
        <w:tblLayout w:type="fixed"/>
        <w:tblLook w:val="04A0" w:firstRow="1" w:lastRow="0" w:firstColumn="1" w:lastColumn="0" w:noHBand="0" w:noVBand="1"/>
      </w:tblPr>
      <w:tblGrid>
        <w:gridCol w:w="3652"/>
        <w:gridCol w:w="992"/>
        <w:gridCol w:w="993"/>
        <w:gridCol w:w="992"/>
        <w:gridCol w:w="992"/>
        <w:gridCol w:w="992"/>
      </w:tblGrid>
      <w:tr w:rsidR="009430FC" w:rsidRPr="0018218B" w:rsidTr="009430F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noWrap/>
            <w:hideMark/>
          </w:tcPr>
          <w:p w:rsidR="009430FC" w:rsidRPr="008F0CF0" w:rsidRDefault="009430FC" w:rsidP="009430FC"/>
        </w:tc>
        <w:tc>
          <w:tcPr>
            <w:tcW w:w="992" w:type="dxa"/>
            <w:noWrap/>
            <w:hideMark/>
          </w:tcPr>
          <w:p w:rsidR="009430FC" w:rsidRPr="002A09B6" w:rsidRDefault="009430FC" w:rsidP="009430FC">
            <w:pPr>
              <w:cnfStyle w:val="100000000000" w:firstRow="1" w:lastRow="0" w:firstColumn="0" w:lastColumn="0" w:oddVBand="0" w:evenVBand="0" w:oddHBand="0" w:evenHBand="0" w:firstRowFirstColumn="0" w:firstRowLastColumn="0" w:lastRowFirstColumn="0" w:lastRowLastColumn="0"/>
            </w:pPr>
            <w:r>
              <w:t>2016</w:t>
            </w:r>
            <w:r w:rsidRPr="008F0CF0">
              <w:t>–1</w:t>
            </w:r>
            <w:r>
              <w:t>7</w:t>
            </w:r>
          </w:p>
        </w:tc>
        <w:tc>
          <w:tcPr>
            <w:tcW w:w="993" w:type="dxa"/>
            <w:noWrap/>
            <w:hideMark/>
          </w:tcPr>
          <w:p w:rsidR="009430FC" w:rsidRPr="002A09B6" w:rsidRDefault="009430FC" w:rsidP="009430FC">
            <w:pPr>
              <w:cnfStyle w:val="100000000000" w:firstRow="1" w:lastRow="0" w:firstColumn="0" w:lastColumn="0" w:oddVBand="0" w:evenVBand="0" w:oddHBand="0" w:evenHBand="0" w:firstRowFirstColumn="0" w:firstRowLastColumn="0" w:lastRowFirstColumn="0" w:lastRowLastColumn="0"/>
            </w:pPr>
            <w:r>
              <w:t>2017</w:t>
            </w:r>
            <w:r w:rsidRPr="008F0CF0">
              <w:t>–1</w:t>
            </w:r>
            <w:r>
              <w:t>8</w:t>
            </w:r>
          </w:p>
        </w:tc>
        <w:tc>
          <w:tcPr>
            <w:tcW w:w="992" w:type="dxa"/>
            <w:noWrap/>
            <w:hideMark/>
          </w:tcPr>
          <w:p w:rsidR="009430FC" w:rsidRPr="002A09B6" w:rsidRDefault="009430FC" w:rsidP="009430FC">
            <w:pPr>
              <w:cnfStyle w:val="100000000000" w:firstRow="1" w:lastRow="0" w:firstColumn="0" w:lastColumn="0" w:oddVBand="0" w:evenVBand="0" w:oddHBand="0" w:evenHBand="0" w:firstRowFirstColumn="0" w:firstRowLastColumn="0" w:lastRowFirstColumn="0" w:lastRowLastColumn="0"/>
            </w:pPr>
            <w:r>
              <w:t>2018</w:t>
            </w:r>
            <w:r w:rsidRPr="008F0CF0">
              <w:t>–1</w:t>
            </w:r>
            <w:r>
              <w:t>9</w:t>
            </w:r>
          </w:p>
        </w:tc>
        <w:tc>
          <w:tcPr>
            <w:tcW w:w="992" w:type="dxa"/>
            <w:noWrap/>
            <w:hideMark/>
          </w:tcPr>
          <w:p w:rsidR="009430FC" w:rsidRPr="002A09B6" w:rsidRDefault="009430FC" w:rsidP="009430FC">
            <w:pPr>
              <w:cnfStyle w:val="100000000000" w:firstRow="1" w:lastRow="0" w:firstColumn="0" w:lastColumn="0" w:oddVBand="0" w:evenVBand="0" w:oddHBand="0" w:evenHBand="0" w:firstRowFirstColumn="0" w:firstRowLastColumn="0" w:lastRowFirstColumn="0" w:lastRowLastColumn="0"/>
            </w:pPr>
            <w:r>
              <w:t>2019</w:t>
            </w:r>
            <w:r w:rsidRPr="008F0CF0">
              <w:t>–</w:t>
            </w:r>
            <w:r>
              <w:t>20</w:t>
            </w:r>
          </w:p>
        </w:tc>
        <w:tc>
          <w:tcPr>
            <w:tcW w:w="992" w:type="dxa"/>
            <w:noWrap/>
            <w:hideMark/>
          </w:tcPr>
          <w:p w:rsidR="009430FC" w:rsidRPr="002A09B6" w:rsidRDefault="009430FC" w:rsidP="009430FC">
            <w:pPr>
              <w:cnfStyle w:val="100000000000" w:firstRow="1" w:lastRow="0" w:firstColumn="0" w:lastColumn="0" w:oddVBand="0" w:evenVBand="0" w:oddHBand="0" w:evenHBand="0" w:firstRowFirstColumn="0" w:firstRowLastColumn="0" w:lastRowFirstColumn="0" w:lastRowLastColumn="0"/>
            </w:pPr>
            <w:r>
              <w:t>2020</w:t>
            </w:r>
            <w:r w:rsidRPr="008F0CF0">
              <w:t>–2</w:t>
            </w:r>
            <w:r>
              <w:t>1</w:t>
            </w:r>
          </w:p>
        </w:tc>
      </w:tr>
      <w:tr w:rsidR="009430FC" w:rsidRPr="0018218B" w:rsidTr="009430FC">
        <w:trPr>
          <w:trHeight w:val="300"/>
        </w:trPr>
        <w:tc>
          <w:tcPr>
            <w:cnfStyle w:val="001000000000" w:firstRow="0" w:lastRow="0" w:firstColumn="1" w:lastColumn="0" w:oddVBand="0" w:evenVBand="0" w:oddHBand="0" w:evenHBand="0" w:firstRowFirstColumn="0" w:firstRowLastColumn="0" w:lastRowFirstColumn="0" w:lastRowLastColumn="0"/>
            <w:tcW w:w="3652" w:type="dxa"/>
            <w:noWrap/>
          </w:tcPr>
          <w:p w:rsidR="009430FC" w:rsidRPr="004121ED" w:rsidRDefault="009430FC" w:rsidP="009430FC">
            <w:pPr>
              <w:pStyle w:val="HeadingOrange"/>
            </w:pPr>
            <w:r>
              <w:t>Tariff V total consumption</w:t>
            </w:r>
          </w:p>
        </w:tc>
        <w:tc>
          <w:tcPr>
            <w:tcW w:w="992" w:type="dxa"/>
            <w:noWrap/>
          </w:tcPr>
          <w:p w:rsidR="009430FC" w:rsidRPr="008F0CF0" w:rsidRDefault="009430FC" w:rsidP="009430FC">
            <w:pPr>
              <w:cnfStyle w:val="000000000000" w:firstRow="0" w:lastRow="0" w:firstColumn="0" w:lastColumn="0" w:oddVBand="0" w:evenVBand="0" w:oddHBand="0" w:evenHBand="0" w:firstRowFirstColumn="0" w:firstRowLastColumn="0" w:lastRowFirstColumn="0" w:lastRowLastColumn="0"/>
            </w:pPr>
          </w:p>
        </w:tc>
        <w:tc>
          <w:tcPr>
            <w:tcW w:w="993" w:type="dxa"/>
            <w:noWrap/>
          </w:tcPr>
          <w:p w:rsidR="009430FC" w:rsidRPr="008F0CF0" w:rsidRDefault="009430FC" w:rsidP="009430FC">
            <w:pPr>
              <w:cnfStyle w:val="000000000000" w:firstRow="0" w:lastRow="0" w:firstColumn="0" w:lastColumn="0" w:oddVBand="0" w:evenVBand="0" w:oddHBand="0" w:evenHBand="0" w:firstRowFirstColumn="0" w:firstRowLastColumn="0" w:lastRowFirstColumn="0" w:lastRowLastColumn="0"/>
            </w:pPr>
          </w:p>
        </w:tc>
        <w:tc>
          <w:tcPr>
            <w:tcW w:w="992" w:type="dxa"/>
            <w:noWrap/>
          </w:tcPr>
          <w:p w:rsidR="009430FC" w:rsidRPr="008F0CF0" w:rsidRDefault="009430FC" w:rsidP="009430FC">
            <w:pPr>
              <w:cnfStyle w:val="000000000000" w:firstRow="0" w:lastRow="0" w:firstColumn="0" w:lastColumn="0" w:oddVBand="0" w:evenVBand="0" w:oddHBand="0" w:evenHBand="0" w:firstRowFirstColumn="0" w:firstRowLastColumn="0" w:lastRowFirstColumn="0" w:lastRowLastColumn="0"/>
            </w:pPr>
          </w:p>
        </w:tc>
        <w:tc>
          <w:tcPr>
            <w:tcW w:w="992" w:type="dxa"/>
            <w:noWrap/>
          </w:tcPr>
          <w:p w:rsidR="009430FC" w:rsidRPr="008F0CF0" w:rsidRDefault="009430FC" w:rsidP="009430FC">
            <w:pPr>
              <w:cnfStyle w:val="000000000000" w:firstRow="0" w:lastRow="0" w:firstColumn="0" w:lastColumn="0" w:oddVBand="0" w:evenVBand="0" w:oddHBand="0" w:evenHBand="0" w:firstRowFirstColumn="0" w:firstRowLastColumn="0" w:lastRowFirstColumn="0" w:lastRowLastColumn="0"/>
            </w:pPr>
          </w:p>
        </w:tc>
        <w:tc>
          <w:tcPr>
            <w:tcW w:w="992" w:type="dxa"/>
            <w:noWrap/>
          </w:tcPr>
          <w:p w:rsidR="009430FC" w:rsidRPr="008F0CF0" w:rsidRDefault="009430FC" w:rsidP="009430FC">
            <w:pPr>
              <w:cnfStyle w:val="000000000000" w:firstRow="0" w:lastRow="0" w:firstColumn="0" w:lastColumn="0" w:oddVBand="0" w:evenVBand="0" w:oddHBand="0" w:evenHBand="0" w:firstRowFirstColumn="0" w:firstRowLastColumn="0" w:lastRowFirstColumn="0" w:lastRowLastColumn="0"/>
            </w:pPr>
          </w:p>
        </w:tc>
      </w:tr>
      <w:tr w:rsidR="009430FC" w:rsidRPr="0018218B" w:rsidTr="009430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noWrap/>
          </w:tcPr>
          <w:p w:rsidR="009430FC" w:rsidRPr="004121ED" w:rsidRDefault="009430FC" w:rsidP="009430FC">
            <w:pPr>
              <w:pStyle w:val="HeadingOrange"/>
            </w:pPr>
            <w:r>
              <w:t>Residential</w:t>
            </w:r>
          </w:p>
        </w:tc>
        <w:tc>
          <w:tcPr>
            <w:tcW w:w="992" w:type="dxa"/>
            <w:noWrap/>
          </w:tcPr>
          <w:p w:rsidR="009430FC" w:rsidRPr="00987821" w:rsidRDefault="009430FC" w:rsidP="009430FC">
            <w:pPr>
              <w:outlineLvl w:val="0"/>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15" w:name="_Toc433930543"/>
            <w:bookmarkStart w:id="16" w:name="_Toc435427900"/>
            <w:bookmarkStart w:id="17" w:name="_Toc435450802"/>
            <w:r w:rsidRPr="00987821">
              <w:rPr>
                <w:rFonts w:cs="Arial"/>
                <w:color w:val="000000"/>
                <w:szCs w:val="16"/>
              </w:rPr>
              <w:t>4,795,633</w:t>
            </w:r>
            <w:bookmarkEnd w:id="15"/>
            <w:bookmarkEnd w:id="16"/>
            <w:bookmarkEnd w:id="17"/>
          </w:p>
        </w:tc>
        <w:tc>
          <w:tcPr>
            <w:tcW w:w="993" w:type="dxa"/>
            <w:noWrap/>
          </w:tcPr>
          <w:p w:rsidR="009430FC" w:rsidRPr="00987821" w:rsidRDefault="009430FC" w:rsidP="009430FC">
            <w:pPr>
              <w:outlineLvl w:val="0"/>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18" w:name="_Toc433930544"/>
            <w:bookmarkStart w:id="19" w:name="_Toc435427901"/>
            <w:bookmarkStart w:id="20" w:name="_Toc435450803"/>
            <w:r w:rsidRPr="00987821">
              <w:rPr>
                <w:rFonts w:cs="Arial"/>
                <w:color w:val="000000"/>
                <w:szCs w:val="16"/>
              </w:rPr>
              <w:t>4,673,937</w:t>
            </w:r>
            <w:bookmarkEnd w:id="18"/>
            <w:bookmarkEnd w:id="19"/>
            <w:bookmarkEnd w:id="20"/>
          </w:p>
        </w:tc>
        <w:tc>
          <w:tcPr>
            <w:tcW w:w="992" w:type="dxa"/>
            <w:noWrap/>
          </w:tcPr>
          <w:p w:rsidR="009430FC" w:rsidRPr="00987821" w:rsidRDefault="009430FC" w:rsidP="009430FC">
            <w:pPr>
              <w:outlineLvl w:val="0"/>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21" w:name="_Toc433930545"/>
            <w:bookmarkStart w:id="22" w:name="_Toc435427902"/>
            <w:bookmarkStart w:id="23" w:name="_Toc435450804"/>
            <w:r w:rsidRPr="00987821">
              <w:rPr>
                <w:rFonts w:cs="Arial"/>
                <w:color w:val="000000"/>
                <w:szCs w:val="16"/>
              </w:rPr>
              <w:t>4,574,659</w:t>
            </w:r>
            <w:bookmarkEnd w:id="21"/>
            <w:bookmarkEnd w:id="22"/>
            <w:bookmarkEnd w:id="23"/>
          </w:p>
        </w:tc>
        <w:tc>
          <w:tcPr>
            <w:tcW w:w="992" w:type="dxa"/>
            <w:noWrap/>
          </w:tcPr>
          <w:p w:rsidR="009430FC" w:rsidRPr="00987821" w:rsidRDefault="009430FC" w:rsidP="009430FC">
            <w:pPr>
              <w:outlineLvl w:val="0"/>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24" w:name="_Toc433930546"/>
            <w:bookmarkStart w:id="25" w:name="_Toc435427903"/>
            <w:bookmarkStart w:id="26" w:name="_Toc435450805"/>
            <w:r w:rsidRPr="00987821">
              <w:rPr>
                <w:rFonts w:cs="Arial"/>
                <w:color w:val="000000"/>
                <w:szCs w:val="16"/>
              </w:rPr>
              <w:t>4,494,840</w:t>
            </w:r>
            <w:bookmarkEnd w:id="24"/>
            <w:bookmarkEnd w:id="25"/>
            <w:bookmarkEnd w:id="26"/>
          </w:p>
        </w:tc>
        <w:tc>
          <w:tcPr>
            <w:tcW w:w="992" w:type="dxa"/>
            <w:noWrap/>
          </w:tcPr>
          <w:p w:rsidR="009430FC" w:rsidRPr="00987821" w:rsidRDefault="009430FC" w:rsidP="009430FC">
            <w:pPr>
              <w:outlineLvl w:val="0"/>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27" w:name="_Toc433930547"/>
            <w:bookmarkStart w:id="28" w:name="_Toc435427904"/>
            <w:bookmarkStart w:id="29" w:name="_Toc435450806"/>
            <w:r w:rsidRPr="00987821">
              <w:rPr>
                <w:rFonts w:cs="Arial"/>
                <w:color w:val="000000"/>
                <w:szCs w:val="16"/>
              </w:rPr>
              <w:t>4,419,827</w:t>
            </w:r>
            <w:bookmarkEnd w:id="27"/>
            <w:bookmarkEnd w:id="28"/>
            <w:bookmarkEnd w:id="29"/>
          </w:p>
        </w:tc>
      </w:tr>
      <w:tr w:rsidR="009430FC" w:rsidRPr="0018218B" w:rsidTr="009430FC">
        <w:trPr>
          <w:trHeight w:val="300"/>
        </w:trPr>
        <w:tc>
          <w:tcPr>
            <w:cnfStyle w:val="001000000000" w:firstRow="0" w:lastRow="0" w:firstColumn="1" w:lastColumn="0" w:oddVBand="0" w:evenVBand="0" w:oddHBand="0" w:evenHBand="0" w:firstRowFirstColumn="0" w:firstRowLastColumn="0" w:lastRowFirstColumn="0" w:lastRowLastColumn="0"/>
            <w:tcW w:w="3652" w:type="dxa"/>
            <w:noWrap/>
          </w:tcPr>
          <w:p w:rsidR="009430FC" w:rsidRPr="004121ED" w:rsidRDefault="009430FC" w:rsidP="009430FC">
            <w:pPr>
              <w:pStyle w:val="HeadingOrange"/>
            </w:pPr>
            <w:r>
              <w:t>Commercial</w:t>
            </w:r>
          </w:p>
        </w:tc>
        <w:tc>
          <w:tcPr>
            <w:tcW w:w="992" w:type="dxa"/>
            <w:noWrap/>
          </w:tcPr>
          <w:p w:rsidR="009430FC" w:rsidRPr="00987821" w:rsidRDefault="009430FC" w:rsidP="009430FC">
            <w:pPr>
              <w:outlineLvl w:val="0"/>
              <w:cnfStyle w:val="000000000000" w:firstRow="0" w:lastRow="0" w:firstColumn="0" w:lastColumn="0" w:oddVBand="0" w:evenVBand="0" w:oddHBand="0" w:evenHBand="0" w:firstRowFirstColumn="0" w:firstRowLastColumn="0" w:lastRowFirstColumn="0" w:lastRowLastColumn="0"/>
              <w:rPr>
                <w:rFonts w:cs="Arial"/>
                <w:color w:val="000000"/>
                <w:szCs w:val="16"/>
              </w:rPr>
            </w:pPr>
            <w:bookmarkStart w:id="30" w:name="_Toc433930548"/>
            <w:bookmarkStart w:id="31" w:name="_Toc435427905"/>
            <w:bookmarkStart w:id="32" w:name="_Toc435450807"/>
            <w:r w:rsidRPr="00987821">
              <w:rPr>
                <w:rFonts w:cs="Arial"/>
                <w:color w:val="000000"/>
                <w:szCs w:val="16"/>
              </w:rPr>
              <w:t>1,455,376</w:t>
            </w:r>
            <w:bookmarkEnd w:id="30"/>
            <w:bookmarkEnd w:id="31"/>
            <w:bookmarkEnd w:id="32"/>
            <w:r w:rsidRPr="00987821">
              <w:rPr>
                <w:rFonts w:cs="Arial"/>
                <w:color w:val="000000"/>
                <w:szCs w:val="16"/>
              </w:rPr>
              <w:t xml:space="preserve"> </w:t>
            </w:r>
          </w:p>
        </w:tc>
        <w:tc>
          <w:tcPr>
            <w:tcW w:w="993" w:type="dxa"/>
            <w:noWrap/>
          </w:tcPr>
          <w:p w:rsidR="009430FC" w:rsidRPr="00987821" w:rsidRDefault="009430FC" w:rsidP="009430FC">
            <w:pPr>
              <w:outlineLvl w:val="0"/>
              <w:cnfStyle w:val="000000000000" w:firstRow="0" w:lastRow="0" w:firstColumn="0" w:lastColumn="0" w:oddVBand="0" w:evenVBand="0" w:oddHBand="0" w:evenHBand="0" w:firstRowFirstColumn="0" w:firstRowLastColumn="0" w:lastRowFirstColumn="0" w:lastRowLastColumn="0"/>
              <w:rPr>
                <w:rFonts w:cs="Arial"/>
                <w:color w:val="000000"/>
                <w:szCs w:val="16"/>
              </w:rPr>
            </w:pPr>
            <w:bookmarkStart w:id="33" w:name="_Toc433930549"/>
            <w:bookmarkStart w:id="34" w:name="_Toc435427906"/>
            <w:bookmarkStart w:id="35" w:name="_Toc435450808"/>
            <w:r w:rsidRPr="00987821">
              <w:rPr>
                <w:rFonts w:cs="Arial"/>
                <w:color w:val="000000"/>
                <w:szCs w:val="16"/>
              </w:rPr>
              <w:t>1,438,401</w:t>
            </w:r>
            <w:bookmarkEnd w:id="33"/>
            <w:bookmarkEnd w:id="34"/>
            <w:bookmarkEnd w:id="35"/>
            <w:r w:rsidRPr="00987821">
              <w:rPr>
                <w:rFonts w:cs="Arial"/>
                <w:color w:val="000000"/>
                <w:szCs w:val="16"/>
              </w:rPr>
              <w:t xml:space="preserve"> </w:t>
            </w:r>
          </w:p>
        </w:tc>
        <w:tc>
          <w:tcPr>
            <w:tcW w:w="992" w:type="dxa"/>
            <w:noWrap/>
          </w:tcPr>
          <w:p w:rsidR="009430FC" w:rsidRPr="00987821" w:rsidRDefault="009430FC" w:rsidP="009430FC">
            <w:pPr>
              <w:outlineLvl w:val="0"/>
              <w:cnfStyle w:val="000000000000" w:firstRow="0" w:lastRow="0" w:firstColumn="0" w:lastColumn="0" w:oddVBand="0" w:evenVBand="0" w:oddHBand="0" w:evenHBand="0" w:firstRowFirstColumn="0" w:firstRowLastColumn="0" w:lastRowFirstColumn="0" w:lastRowLastColumn="0"/>
              <w:rPr>
                <w:rFonts w:cs="Arial"/>
                <w:color w:val="000000"/>
                <w:szCs w:val="16"/>
              </w:rPr>
            </w:pPr>
            <w:bookmarkStart w:id="36" w:name="_Toc433930550"/>
            <w:bookmarkStart w:id="37" w:name="_Toc435427907"/>
            <w:bookmarkStart w:id="38" w:name="_Toc435450809"/>
            <w:r w:rsidRPr="00987821">
              <w:rPr>
                <w:rFonts w:cs="Arial"/>
                <w:color w:val="000000"/>
                <w:szCs w:val="16"/>
              </w:rPr>
              <w:t>1,414,171</w:t>
            </w:r>
            <w:bookmarkEnd w:id="36"/>
            <w:bookmarkEnd w:id="37"/>
            <w:bookmarkEnd w:id="38"/>
            <w:r w:rsidRPr="00987821">
              <w:rPr>
                <w:rFonts w:cs="Arial"/>
                <w:color w:val="000000"/>
                <w:szCs w:val="16"/>
              </w:rPr>
              <w:t xml:space="preserve"> </w:t>
            </w:r>
          </w:p>
        </w:tc>
        <w:tc>
          <w:tcPr>
            <w:tcW w:w="992" w:type="dxa"/>
            <w:noWrap/>
          </w:tcPr>
          <w:p w:rsidR="009430FC" w:rsidRPr="00987821" w:rsidRDefault="009430FC" w:rsidP="009430FC">
            <w:pPr>
              <w:outlineLvl w:val="0"/>
              <w:cnfStyle w:val="000000000000" w:firstRow="0" w:lastRow="0" w:firstColumn="0" w:lastColumn="0" w:oddVBand="0" w:evenVBand="0" w:oddHBand="0" w:evenHBand="0" w:firstRowFirstColumn="0" w:firstRowLastColumn="0" w:lastRowFirstColumn="0" w:lastRowLastColumn="0"/>
              <w:rPr>
                <w:rFonts w:cs="Arial"/>
                <w:color w:val="000000"/>
                <w:szCs w:val="16"/>
              </w:rPr>
            </w:pPr>
            <w:bookmarkStart w:id="39" w:name="_Toc433930551"/>
            <w:bookmarkStart w:id="40" w:name="_Toc435427908"/>
            <w:bookmarkStart w:id="41" w:name="_Toc435450810"/>
            <w:r w:rsidRPr="00987821">
              <w:rPr>
                <w:rFonts w:cs="Arial"/>
                <w:color w:val="000000"/>
                <w:szCs w:val="16"/>
              </w:rPr>
              <w:t>1,403,759</w:t>
            </w:r>
            <w:bookmarkEnd w:id="39"/>
            <w:bookmarkEnd w:id="40"/>
            <w:bookmarkEnd w:id="41"/>
            <w:r w:rsidRPr="00987821">
              <w:rPr>
                <w:rFonts w:cs="Arial"/>
                <w:color w:val="000000"/>
                <w:szCs w:val="16"/>
              </w:rPr>
              <w:t xml:space="preserve"> </w:t>
            </w:r>
          </w:p>
        </w:tc>
        <w:tc>
          <w:tcPr>
            <w:tcW w:w="992" w:type="dxa"/>
            <w:noWrap/>
          </w:tcPr>
          <w:p w:rsidR="009430FC" w:rsidRPr="00987821" w:rsidRDefault="009430FC" w:rsidP="009430FC">
            <w:pPr>
              <w:outlineLvl w:val="0"/>
              <w:cnfStyle w:val="000000000000" w:firstRow="0" w:lastRow="0" w:firstColumn="0" w:lastColumn="0" w:oddVBand="0" w:evenVBand="0" w:oddHBand="0" w:evenHBand="0" w:firstRowFirstColumn="0" w:firstRowLastColumn="0" w:lastRowFirstColumn="0" w:lastRowLastColumn="0"/>
              <w:rPr>
                <w:rFonts w:cs="Arial"/>
                <w:color w:val="000000"/>
                <w:szCs w:val="16"/>
              </w:rPr>
            </w:pPr>
            <w:bookmarkStart w:id="42" w:name="_Toc433930552"/>
            <w:bookmarkStart w:id="43" w:name="_Toc435427909"/>
            <w:bookmarkStart w:id="44" w:name="_Toc435450811"/>
            <w:r w:rsidRPr="00987821">
              <w:rPr>
                <w:rFonts w:cs="Arial"/>
                <w:color w:val="000000"/>
                <w:szCs w:val="16"/>
              </w:rPr>
              <w:t>1,402,929</w:t>
            </w:r>
            <w:bookmarkEnd w:id="42"/>
            <w:bookmarkEnd w:id="43"/>
            <w:bookmarkEnd w:id="44"/>
            <w:r w:rsidRPr="00987821">
              <w:rPr>
                <w:rFonts w:cs="Arial"/>
                <w:color w:val="000000"/>
                <w:szCs w:val="16"/>
              </w:rPr>
              <w:t xml:space="preserve"> </w:t>
            </w:r>
          </w:p>
        </w:tc>
      </w:tr>
      <w:tr w:rsidR="009430FC" w:rsidRPr="0018218B" w:rsidTr="009430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noWrap/>
          </w:tcPr>
          <w:p w:rsidR="009430FC" w:rsidRPr="002A09B6" w:rsidRDefault="009430FC" w:rsidP="009430FC">
            <w:pPr>
              <w:pStyle w:val="HeadingOrange"/>
            </w:pPr>
            <w:r>
              <w:t xml:space="preserve">Tariff V </w:t>
            </w:r>
            <w:r w:rsidRPr="004121ED">
              <w:t>consumption per</w:t>
            </w:r>
            <w:r>
              <w:t xml:space="preserve"> c</w:t>
            </w:r>
            <w:r w:rsidRPr="004121ED">
              <w:t>onnection</w:t>
            </w:r>
          </w:p>
        </w:tc>
        <w:tc>
          <w:tcPr>
            <w:tcW w:w="992" w:type="dxa"/>
            <w:noWrap/>
          </w:tcPr>
          <w:p w:rsidR="009430FC" w:rsidRPr="008F0CF0" w:rsidRDefault="009430FC" w:rsidP="009430FC">
            <w:pPr>
              <w:cnfStyle w:val="000000010000" w:firstRow="0" w:lastRow="0" w:firstColumn="0" w:lastColumn="0" w:oddVBand="0" w:evenVBand="0" w:oddHBand="0" w:evenHBand="1" w:firstRowFirstColumn="0" w:firstRowLastColumn="0" w:lastRowFirstColumn="0" w:lastRowLastColumn="0"/>
            </w:pPr>
          </w:p>
        </w:tc>
        <w:tc>
          <w:tcPr>
            <w:tcW w:w="993" w:type="dxa"/>
            <w:noWrap/>
          </w:tcPr>
          <w:p w:rsidR="009430FC" w:rsidRPr="008F0CF0" w:rsidRDefault="009430FC" w:rsidP="009430FC">
            <w:pPr>
              <w:cnfStyle w:val="000000010000" w:firstRow="0" w:lastRow="0" w:firstColumn="0" w:lastColumn="0" w:oddVBand="0" w:evenVBand="0" w:oddHBand="0" w:evenHBand="1" w:firstRowFirstColumn="0" w:firstRowLastColumn="0" w:lastRowFirstColumn="0" w:lastRowLastColumn="0"/>
            </w:pPr>
          </w:p>
        </w:tc>
        <w:tc>
          <w:tcPr>
            <w:tcW w:w="992" w:type="dxa"/>
            <w:noWrap/>
          </w:tcPr>
          <w:p w:rsidR="009430FC" w:rsidRPr="008F0CF0" w:rsidRDefault="009430FC" w:rsidP="009430FC">
            <w:pPr>
              <w:cnfStyle w:val="000000010000" w:firstRow="0" w:lastRow="0" w:firstColumn="0" w:lastColumn="0" w:oddVBand="0" w:evenVBand="0" w:oddHBand="0" w:evenHBand="1" w:firstRowFirstColumn="0" w:firstRowLastColumn="0" w:lastRowFirstColumn="0" w:lastRowLastColumn="0"/>
            </w:pPr>
          </w:p>
        </w:tc>
        <w:tc>
          <w:tcPr>
            <w:tcW w:w="992" w:type="dxa"/>
            <w:noWrap/>
          </w:tcPr>
          <w:p w:rsidR="009430FC" w:rsidRPr="008F0CF0" w:rsidRDefault="009430FC" w:rsidP="009430FC">
            <w:pPr>
              <w:cnfStyle w:val="000000010000" w:firstRow="0" w:lastRow="0" w:firstColumn="0" w:lastColumn="0" w:oddVBand="0" w:evenVBand="0" w:oddHBand="0" w:evenHBand="1" w:firstRowFirstColumn="0" w:firstRowLastColumn="0" w:lastRowFirstColumn="0" w:lastRowLastColumn="0"/>
            </w:pPr>
          </w:p>
        </w:tc>
        <w:tc>
          <w:tcPr>
            <w:tcW w:w="992" w:type="dxa"/>
            <w:noWrap/>
          </w:tcPr>
          <w:p w:rsidR="009430FC" w:rsidRPr="008F0CF0" w:rsidRDefault="009430FC" w:rsidP="009430FC">
            <w:pPr>
              <w:cnfStyle w:val="000000010000" w:firstRow="0" w:lastRow="0" w:firstColumn="0" w:lastColumn="0" w:oddVBand="0" w:evenVBand="0" w:oddHBand="0" w:evenHBand="1" w:firstRowFirstColumn="0" w:firstRowLastColumn="0" w:lastRowFirstColumn="0" w:lastRowLastColumn="0"/>
            </w:pPr>
          </w:p>
        </w:tc>
      </w:tr>
      <w:tr w:rsidR="009430FC" w:rsidRPr="00DA24FF" w:rsidTr="009430FC">
        <w:trPr>
          <w:trHeight w:val="300"/>
        </w:trPr>
        <w:tc>
          <w:tcPr>
            <w:cnfStyle w:val="001000000000" w:firstRow="0" w:lastRow="0" w:firstColumn="1" w:lastColumn="0" w:oddVBand="0" w:evenVBand="0" w:oddHBand="0" w:evenHBand="0" w:firstRowFirstColumn="0" w:firstRowLastColumn="0" w:lastRowFirstColumn="0" w:lastRowLastColumn="0"/>
            <w:tcW w:w="3652" w:type="dxa"/>
            <w:noWrap/>
          </w:tcPr>
          <w:p w:rsidR="009430FC" w:rsidRPr="00F94CD8" w:rsidRDefault="009430FC" w:rsidP="009430FC">
            <w:r w:rsidRPr="00F94CD8">
              <w:t>Existing Residential</w:t>
            </w:r>
          </w:p>
        </w:tc>
        <w:tc>
          <w:tcPr>
            <w:tcW w:w="992" w:type="dxa"/>
            <w:noWrap/>
            <w:vAlign w:val="bottom"/>
          </w:tcPr>
          <w:p w:rsidR="009430FC" w:rsidRPr="00F94CD8" w:rsidRDefault="009430FC" w:rsidP="009430FC">
            <w:pPr>
              <w:cnfStyle w:val="000000000000" w:firstRow="0" w:lastRow="0" w:firstColumn="0" w:lastColumn="0" w:oddVBand="0" w:evenVBand="0" w:oddHBand="0" w:evenHBand="0" w:firstRowFirstColumn="0" w:firstRowLastColumn="0" w:lastRowFirstColumn="0" w:lastRowLastColumn="0"/>
            </w:pPr>
            <w:r>
              <w:t>-</w:t>
            </w:r>
          </w:p>
        </w:tc>
        <w:tc>
          <w:tcPr>
            <w:tcW w:w="993" w:type="dxa"/>
            <w:noWrap/>
            <w:vAlign w:val="bottom"/>
          </w:tcPr>
          <w:p w:rsidR="009430FC" w:rsidRPr="00F94CD8" w:rsidRDefault="009430FC" w:rsidP="009430FC">
            <w:pPr>
              <w:cnfStyle w:val="000000000000" w:firstRow="0" w:lastRow="0" w:firstColumn="0" w:lastColumn="0" w:oddVBand="0" w:evenVBand="0" w:oddHBand="0" w:evenHBand="0" w:firstRowFirstColumn="0" w:firstRowLastColumn="0" w:lastRowFirstColumn="0" w:lastRowLastColumn="0"/>
            </w:pPr>
            <w:r>
              <w:t>-</w:t>
            </w:r>
          </w:p>
        </w:tc>
        <w:tc>
          <w:tcPr>
            <w:tcW w:w="992" w:type="dxa"/>
            <w:noWrap/>
            <w:vAlign w:val="bottom"/>
          </w:tcPr>
          <w:p w:rsidR="009430FC" w:rsidRPr="00F94CD8" w:rsidRDefault="009430FC" w:rsidP="00601A03">
            <w:pPr>
              <w:cnfStyle w:val="000000000000" w:firstRow="0" w:lastRow="0" w:firstColumn="0" w:lastColumn="0" w:oddVBand="0" w:evenVBand="0" w:oddHBand="0" w:evenHBand="0" w:firstRowFirstColumn="0" w:firstRowLastColumn="0" w:lastRowFirstColumn="0" w:lastRowLastColumn="0"/>
            </w:pPr>
            <w:r>
              <w:t>-</w:t>
            </w:r>
          </w:p>
        </w:tc>
        <w:tc>
          <w:tcPr>
            <w:tcW w:w="992" w:type="dxa"/>
            <w:noWrap/>
            <w:vAlign w:val="bottom"/>
          </w:tcPr>
          <w:p w:rsidR="009430FC" w:rsidRPr="00F94CD8" w:rsidRDefault="009430FC" w:rsidP="00601A03">
            <w:pPr>
              <w:cnfStyle w:val="000000000000" w:firstRow="0" w:lastRow="0" w:firstColumn="0" w:lastColumn="0" w:oddVBand="0" w:evenVBand="0" w:oddHBand="0" w:evenHBand="0" w:firstRowFirstColumn="0" w:firstRowLastColumn="0" w:lastRowFirstColumn="0" w:lastRowLastColumn="0"/>
            </w:pPr>
            <w:r>
              <w:t>-</w:t>
            </w:r>
          </w:p>
        </w:tc>
        <w:tc>
          <w:tcPr>
            <w:tcW w:w="992" w:type="dxa"/>
            <w:noWrap/>
            <w:vAlign w:val="bottom"/>
          </w:tcPr>
          <w:p w:rsidR="009430FC" w:rsidRPr="00F94CD8" w:rsidRDefault="009430FC" w:rsidP="009430FC">
            <w:pPr>
              <w:cnfStyle w:val="000000000000" w:firstRow="0" w:lastRow="0" w:firstColumn="0" w:lastColumn="0" w:oddVBand="0" w:evenVBand="0" w:oddHBand="0" w:evenHBand="0" w:firstRowFirstColumn="0" w:firstRowLastColumn="0" w:lastRowFirstColumn="0" w:lastRowLastColumn="0"/>
            </w:pPr>
            <w:r>
              <w:t>-</w:t>
            </w:r>
          </w:p>
        </w:tc>
      </w:tr>
      <w:tr w:rsidR="009430FC" w:rsidRPr="0018218B" w:rsidTr="009430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noWrap/>
          </w:tcPr>
          <w:p w:rsidR="009430FC" w:rsidRPr="009210A8" w:rsidRDefault="009430FC" w:rsidP="009430FC">
            <w:r w:rsidRPr="009210A8">
              <w:t>New E-to-G</w:t>
            </w:r>
          </w:p>
        </w:tc>
        <w:tc>
          <w:tcPr>
            <w:tcW w:w="992" w:type="dxa"/>
            <w:noWrap/>
            <w:vAlign w:val="bottom"/>
          </w:tcPr>
          <w:p w:rsidR="009430FC" w:rsidRPr="009210A8" w:rsidRDefault="009430FC" w:rsidP="009430FC">
            <w:pPr>
              <w:cnfStyle w:val="000000010000" w:firstRow="0" w:lastRow="0" w:firstColumn="0" w:lastColumn="0" w:oddVBand="0" w:evenVBand="0" w:oddHBand="0" w:evenHBand="1" w:firstRowFirstColumn="0" w:firstRowLastColumn="0" w:lastRowFirstColumn="0" w:lastRowLastColumn="0"/>
            </w:pPr>
            <w:r>
              <w:t>-</w:t>
            </w:r>
          </w:p>
        </w:tc>
        <w:tc>
          <w:tcPr>
            <w:tcW w:w="993" w:type="dxa"/>
            <w:noWrap/>
            <w:vAlign w:val="bottom"/>
          </w:tcPr>
          <w:p w:rsidR="009430FC" w:rsidRPr="009210A8" w:rsidRDefault="009430FC" w:rsidP="009430FC">
            <w:pPr>
              <w:cnfStyle w:val="000000010000" w:firstRow="0" w:lastRow="0" w:firstColumn="0" w:lastColumn="0" w:oddVBand="0" w:evenVBand="0" w:oddHBand="0" w:evenHBand="1" w:firstRowFirstColumn="0" w:firstRowLastColumn="0" w:lastRowFirstColumn="0" w:lastRowLastColumn="0"/>
            </w:pPr>
            <w:r>
              <w:t>-</w:t>
            </w:r>
          </w:p>
        </w:tc>
        <w:tc>
          <w:tcPr>
            <w:tcW w:w="992" w:type="dxa"/>
            <w:noWrap/>
            <w:vAlign w:val="bottom"/>
          </w:tcPr>
          <w:p w:rsidR="009430FC" w:rsidRPr="009210A8" w:rsidRDefault="009430FC" w:rsidP="009430FC">
            <w:pPr>
              <w:cnfStyle w:val="000000010000" w:firstRow="0" w:lastRow="0" w:firstColumn="0" w:lastColumn="0" w:oddVBand="0" w:evenVBand="0" w:oddHBand="0" w:evenHBand="1" w:firstRowFirstColumn="0" w:firstRowLastColumn="0" w:lastRowFirstColumn="0" w:lastRowLastColumn="0"/>
            </w:pPr>
            <w:r>
              <w:t>-</w:t>
            </w:r>
          </w:p>
        </w:tc>
        <w:tc>
          <w:tcPr>
            <w:tcW w:w="992" w:type="dxa"/>
            <w:noWrap/>
            <w:vAlign w:val="bottom"/>
          </w:tcPr>
          <w:p w:rsidR="009430FC" w:rsidRPr="009210A8" w:rsidRDefault="009430FC" w:rsidP="009430FC">
            <w:pPr>
              <w:cnfStyle w:val="000000010000" w:firstRow="0" w:lastRow="0" w:firstColumn="0" w:lastColumn="0" w:oddVBand="0" w:evenVBand="0" w:oddHBand="0" w:evenHBand="1" w:firstRowFirstColumn="0" w:firstRowLastColumn="0" w:lastRowFirstColumn="0" w:lastRowLastColumn="0"/>
            </w:pPr>
            <w:r>
              <w:t>-</w:t>
            </w:r>
          </w:p>
        </w:tc>
        <w:tc>
          <w:tcPr>
            <w:tcW w:w="992" w:type="dxa"/>
            <w:noWrap/>
            <w:vAlign w:val="bottom"/>
          </w:tcPr>
          <w:p w:rsidR="009430FC" w:rsidRPr="009210A8" w:rsidRDefault="009430FC" w:rsidP="009430FC">
            <w:pPr>
              <w:cnfStyle w:val="000000010000" w:firstRow="0" w:lastRow="0" w:firstColumn="0" w:lastColumn="0" w:oddVBand="0" w:evenVBand="0" w:oddHBand="0" w:evenHBand="1" w:firstRowFirstColumn="0" w:firstRowLastColumn="0" w:lastRowFirstColumn="0" w:lastRowLastColumn="0"/>
            </w:pPr>
            <w:r>
              <w:t>-</w:t>
            </w:r>
          </w:p>
        </w:tc>
      </w:tr>
      <w:tr w:rsidR="009430FC" w:rsidRPr="0018218B" w:rsidTr="009430FC">
        <w:trPr>
          <w:trHeight w:val="203"/>
        </w:trPr>
        <w:tc>
          <w:tcPr>
            <w:cnfStyle w:val="001000000000" w:firstRow="0" w:lastRow="0" w:firstColumn="1" w:lastColumn="0" w:oddVBand="0" w:evenVBand="0" w:oddHBand="0" w:evenHBand="0" w:firstRowFirstColumn="0" w:firstRowLastColumn="0" w:lastRowFirstColumn="0" w:lastRowLastColumn="0"/>
            <w:tcW w:w="3652" w:type="dxa"/>
            <w:noWrap/>
          </w:tcPr>
          <w:p w:rsidR="009430FC" w:rsidRPr="009210A8" w:rsidRDefault="009430FC" w:rsidP="009430FC">
            <w:r w:rsidRPr="009210A8">
              <w:t>New Estates</w:t>
            </w:r>
          </w:p>
        </w:tc>
        <w:tc>
          <w:tcPr>
            <w:tcW w:w="992" w:type="dxa"/>
            <w:noWrap/>
            <w:vAlign w:val="bottom"/>
          </w:tcPr>
          <w:p w:rsidR="009430FC" w:rsidRPr="009210A8" w:rsidRDefault="009430FC" w:rsidP="009430FC">
            <w:pPr>
              <w:cnfStyle w:val="000000000000" w:firstRow="0" w:lastRow="0" w:firstColumn="0" w:lastColumn="0" w:oddVBand="0" w:evenVBand="0" w:oddHBand="0" w:evenHBand="0" w:firstRowFirstColumn="0" w:firstRowLastColumn="0" w:lastRowFirstColumn="0" w:lastRowLastColumn="0"/>
            </w:pPr>
            <w:r>
              <w:t>-</w:t>
            </w:r>
          </w:p>
        </w:tc>
        <w:tc>
          <w:tcPr>
            <w:tcW w:w="993" w:type="dxa"/>
            <w:noWrap/>
            <w:vAlign w:val="bottom"/>
          </w:tcPr>
          <w:p w:rsidR="009430FC" w:rsidRPr="009210A8" w:rsidRDefault="009430FC" w:rsidP="009430FC">
            <w:pPr>
              <w:cnfStyle w:val="000000000000" w:firstRow="0" w:lastRow="0" w:firstColumn="0" w:lastColumn="0" w:oddVBand="0" w:evenVBand="0" w:oddHBand="0" w:evenHBand="0" w:firstRowFirstColumn="0" w:firstRowLastColumn="0" w:lastRowFirstColumn="0" w:lastRowLastColumn="0"/>
            </w:pPr>
            <w:r>
              <w:t>-</w:t>
            </w:r>
          </w:p>
        </w:tc>
        <w:tc>
          <w:tcPr>
            <w:tcW w:w="992" w:type="dxa"/>
            <w:noWrap/>
            <w:vAlign w:val="bottom"/>
          </w:tcPr>
          <w:p w:rsidR="009430FC" w:rsidRPr="009210A8" w:rsidRDefault="009430FC" w:rsidP="009430FC">
            <w:pPr>
              <w:cnfStyle w:val="000000000000" w:firstRow="0" w:lastRow="0" w:firstColumn="0" w:lastColumn="0" w:oddVBand="0" w:evenVBand="0" w:oddHBand="0" w:evenHBand="0" w:firstRowFirstColumn="0" w:firstRowLastColumn="0" w:lastRowFirstColumn="0" w:lastRowLastColumn="0"/>
            </w:pPr>
            <w:r>
              <w:t>-</w:t>
            </w:r>
          </w:p>
        </w:tc>
        <w:tc>
          <w:tcPr>
            <w:tcW w:w="992" w:type="dxa"/>
            <w:noWrap/>
            <w:vAlign w:val="bottom"/>
          </w:tcPr>
          <w:p w:rsidR="009430FC" w:rsidRPr="009210A8" w:rsidRDefault="009430FC" w:rsidP="009430FC">
            <w:pPr>
              <w:cnfStyle w:val="000000000000" w:firstRow="0" w:lastRow="0" w:firstColumn="0" w:lastColumn="0" w:oddVBand="0" w:evenVBand="0" w:oddHBand="0" w:evenHBand="0" w:firstRowFirstColumn="0" w:firstRowLastColumn="0" w:lastRowFirstColumn="0" w:lastRowLastColumn="0"/>
            </w:pPr>
            <w:r>
              <w:t>-</w:t>
            </w:r>
          </w:p>
        </w:tc>
        <w:tc>
          <w:tcPr>
            <w:tcW w:w="992" w:type="dxa"/>
            <w:noWrap/>
            <w:vAlign w:val="bottom"/>
          </w:tcPr>
          <w:p w:rsidR="009430FC" w:rsidRPr="009210A8" w:rsidRDefault="009430FC" w:rsidP="009430FC">
            <w:pPr>
              <w:cnfStyle w:val="000000000000" w:firstRow="0" w:lastRow="0" w:firstColumn="0" w:lastColumn="0" w:oddVBand="0" w:evenVBand="0" w:oddHBand="0" w:evenHBand="0" w:firstRowFirstColumn="0" w:firstRowLastColumn="0" w:lastRowFirstColumn="0" w:lastRowLastColumn="0"/>
            </w:pPr>
            <w:r>
              <w:t>-</w:t>
            </w:r>
          </w:p>
        </w:tc>
      </w:tr>
      <w:tr w:rsidR="009430FC" w:rsidRPr="0018218B" w:rsidTr="009430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noWrap/>
          </w:tcPr>
          <w:p w:rsidR="009430FC" w:rsidRPr="009210A8" w:rsidRDefault="009430FC" w:rsidP="009430FC">
            <w:r w:rsidRPr="009210A8">
              <w:t>New Med Density</w:t>
            </w:r>
          </w:p>
        </w:tc>
        <w:tc>
          <w:tcPr>
            <w:tcW w:w="992" w:type="dxa"/>
            <w:noWrap/>
            <w:vAlign w:val="bottom"/>
          </w:tcPr>
          <w:p w:rsidR="009430FC" w:rsidRPr="009210A8" w:rsidRDefault="009430FC" w:rsidP="009430FC">
            <w:pPr>
              <w:cnfStyle w:val="000000010000" w:firstRow="0" w:lastRow="0" w:firstColumn="0" w:lastColumn="0" w:oddVBand="0" w:evenVBand="0" w:oddHBand="0" w:evenHBand="1" w:firstRowFirstColumn="0" w:firstRowLastColumn="0" w:lastRowFirstColumn="0" w:lastRowLastColumn="0"/>
            </w:pPr>
            <w:r>
              <w:t>-</w:t>
            </w:r>
          </w:p>
        </w:tc>
        <w:tc>
          <w:tcPr>
            <w:tcW w:w="993" w:type="dxa"/>
            <w:noWrap/>
            <w:vAlign w:val="bottom"/>
          </w:tcPr>
          <w:p w:rsidR="009430FC" w:rsidRPr="009210A8" w:rsidRDefault="009430FC" w:rsidP="009430FC">
            <w:pPr>
              <w:cnfStyle w:val="000000010000" w:firstRow="0" w:lastRow="0" w:firstColumn="0" w:lastColumn="0" w:oddVBand="0" w:evenVBand="0" w:oddHBand="0" w:evenHBand="1" w:firstRowFirstColumn="0" w:firstRowLastColumn="0" w:lastRowFirstColumn="0" w:lastRowLastColumn="0"/>
            </w:pPr>
            <w:r>
              <w:t>-</w:t>
            </w:r>
          </w:p>
        </w:tc>
        <w:tc>
          <w:tcPr>
            <w:tcW w:w="992" w:type="dxa"/>
            <w:noWrap/>
            <w:vAlign w:val="bottom"/>
          </w:tcPr>
          <w:p w:rsidR="009430FC" w:rsidRPr="009210A8" w:rsidRDefault="009430FC" w:rsidP="009430FC">
            <w:pPr>
              <w:cnfStyle w:val="000000010000" w:firstRow="0" w:lastRow="0" w:firstColumn="0" w:lastColumn="0" w:oddVBand="0" w:evenVBand="0" w:oddHBand="0" w:evenHBand="1" w:firstRowFirstColumn="0" w:firstRowLastColumn="0" w:lastRowFirstColumn="0" w:lastRowLastColumn="0"/>
            </w:pPr>
            <w:r>
              <w:t>-</w:t>
            </w:r>
          </w:p>
        </w:tc>
        <w:tc>
          <w:tcPr>
            <w:tcW w:w="992" w:type="dxa"/>
            <w:noWrap/>
            <w:vAlign w:val="bottom"/>
          </w:tcPr>
          <w:p w:rsidR="009430FC" w:rsidRPr="009210A8" w:rsidRDefault="009430FC" w:rsidP="009430FC">
            <w:pPr>
              <w:cnfStyle w:val="000000010000" w:firstRow="0" w:lastRow="0" w:firstColumn="0" w:lastColumn="0" w:oddVBand="0" w:evenVBand="0" w:oddHBand="0" w:evenHBand="1" w:firstRowFirstColumn="0" w:firstRowLastColumn="0" w:lastRowFirstColumn="0" w:lastRowLastColumn="0"/>
            </w:pPr>
            <w:r>
              <w:t>-</w:t>
            </w:r>
          </w:p>
        </w:tc>
        <w:tc>
          <w:tcPr>
            <w:tcW w:w="992" w:type="dxa"/>
            <w:noWrap/>
            <w:vAlign w:val="bottom"/>
          </w:tcPr>
          <w:p w:rsidR="009430FC" w:rsidRPr="009210A8" w:rsidRDefault="009430FC" w:rsidP="009430FC">
            <w:pPr>
              <w:cnfStyle w:val="000000010000" w:firstRow="0" w:lastRow="0" w:firstColumn="0" w:lastColumn="0" w:oddVBand="0" w:evenVBand="0" w:oddHBand="0" w:evenHBand="1" w:firstRowFirstColumn="0" w:firstRowLastColumn="0" w:lastRowFirstColumn="0" w:lastRowLastColumn="0"/>
            </w:pPr>
            <w:r>
              <w:t>-</w:t>
            </w:r>
          </w:p>
        </w:tc>
      </w:tr>
      <w:tr w:rsidR="009430FC" w:rsidRPr="0018218B" w:rsidTr="009430FC">
        <w:trPr>
          <w:trHeight w:val="300"/>
        </w:trPr>
        <w:tc>
          <w:tcPr>
            <w:cnfStyle w:val="001000000000" w:firstRow="0" w:lastRow="0" w:firstColumn="1" w:lastColumn="0" w:oddVBand="0" w:evenVBand="0" w:oddHBand="0" w:evenHBand="0" w:firstRowFirstColumn="0" w:firstRowLastColumn="0" w:lastRowFirstColumn="0" w:lastRowLastColumn="0"/>
            <w:tcW w:w="3652" w:type="dxa"/>
            <w:noWrap/>
          </w:tcPr>
          <w:p w:rsidR="009430FC" w:rsidRPr="00DD1044" w:rsidRDefault="009430FC" w:rsidP="009430FC">
            <w:r w:rsidRPr="00EA3815">
              <w:rPr>
                <w:i/>
              </w:rPr>
              <w:t>Total Residential</w:t>
            </w:r>
            <w:r w:rsidRPr="00EA3815" w:rsidDel="00FF11FB">
              <w:rPr>
                <w:rStyle w:val="FootnoteReference"/>
                <w:i/>
              </w:rPr>
              <w:t xml:space="preserve"> </w:t>
            </w:r>
            <w:r w:rsidRPr="00DD1044">
              <w:rPr>
                <w:vertAlign w:val="superscript"/>
              </w:rPr>
              <w:t>a</w:t>
            </w:r>
          </w:p>
        </w:tc>
        <w:tc>
          <w:tcPr>
            <w:tcW w:w="992" w:type="dxa"/>
            <w:noWrap/>
          </w:tcPr>
          <w:p w:rsidR="009430FC" w:rsidRDefault="009430FC" w:rsidP="009430FC">
            <w:pPr>
              <w:outlineLvl w:val="0"/>
              <w:cnfStyle w:val="000000000000" w:firstRow="0" w:lastRow="0" w:firstColumn="0" w:lastColumn="0" w:oddVBand="0" w:evenVBand="0" w:oddHBand="0" w:evenHBand="0" w:firstRowFirstColumn="0" w:firstRowLastColumn="0" w:lastRowFirstColumn="0" w:lastRowLastColumn="0"/>
              <w:rPr>
                <w:rFonts w:cs="Arial"/>
                <w:color w:val="000000"/>
                <w:szCs w:val="16"/>
              </w:rPr>
            </w:pPr>
            <w:bookmarkStart w:id="45" w:name="_Toc433930553"/>
            <w:bookmarkStart w:id="46" w:name="_Toc435427910"/>
            <w:bookmarkStart w:id="47" w:name="_Toc435450812"/>
            <w:r>
              <w:rPr>
                <w:rFonts w:cs="Arial"/>
                <w:color w:val="000000"/>
                <w:szCs w:val="16"/>
              </w:rPr>
              <w:t>34.84</w:t>
            </w:r>
            <w:bookmarkEnd w:id="45"/>
            <w:bookmarkEnd w:id="46"/>
            <w:bookmarkEnd w:id="47"/>
          </w:p>
        </w:tc>
        <w:tc>
          <w:tcPr>
            <w:tcW w:w="993" w:type="dxa"/>
            <w:noWrap/>
          </w:tcPr>
          <w:p w:rsidR="009430FC" w:rsidRDefault="009430FC" w:rsidP="009430FC">
            <w:pPr>
              <w:outlineLvl w:val="0"/>
              <w:cnfStyle w:val="000000000000" w:firstRow="0" w:lastRow="0" w:firstColumn="0" w:lastColumn="0" w:oddVBand="0" w:evenVBand="0" w:oddHBand="0" w:evenHBand="0" w:firstRowFirstColumn="0" w:firstRowLastColumn="0" w:lastRowFirstColumn="0" w:lastRowLastColumn="0"/>
              <w:rPr>
                <w:rFonts w:cs="Arial"/>
                <w:color w:val="000000"/>
                <w:szCs w:val="16"/>
              </w:rPr>
            </w:pPr>
            <w:bookmarkStart w:id="48" w:name="_Toc433930554"/>
            <w:bookmarkStart w:id="49" w:name="_Toc435427911"/>
            <w:bookmarkStart w:id="50" w:name="_Toc435450813"/>
            <w:r>
              <w:rPr>
                <w:rFonts w:cs="Arial"/>
                <w:color w:val="000000"/>
                <w:szCs w:val="16"/>
              </w:rPr>
              <w:t>33.39</w:t>
            </w:r>
            <w:bookmarkEnd w:id="48"/>
            <w:bookmarkEnd w:id="49"/>
            <w:bookmarkEnd w:id="50"/>
          </w:p>
        </w:tc>
        <w:tc>
          <w:tcPr>
            <w:tcW w:w="992" w:type="dxa"/>
            <w:noWrap/>
          </w:tcPr>
          <w:p w:rsidR="009430FC" w:rsidRDefault="009430FC" w:rsidP="009430FC">
            <w:pPr>
              <w:outlineLvl w:val="0"/>
              <w:cnfStyle w:val="000000000000" w:firstRow="0" w:lastRow="0" w:firstColumn="0" w:lastColumn="0" w:oddVBand="0" w:evenVBand="0" w:oddHBand="0" w:evenHBand="0" w:firstRowFirstColumn="0" w:firstRowLastColumn="0" w:lastRowFirstColumn="0" w:lastRowLastColumn="0"/>
              <w:rPr>
                <w:rFonts w:cs="Arial"/>
                <w:color w:val="000000"/>
                <w:szCs w:val="16"/>
              </w:rPr>
            </w:pPr>
            <w:bookmarkStart w:id="51" w:name="_Toc433930555"/>
            <w:bookmarkStart w:id="52" w:name="_Toc435427912"/>
            <w:bookmarkStart w:id="53" w:name="_Toc435450814"/>
            <w:r>
              <w:rPr>
                <w:rFonts w:cs="Arial"/>
                <w:color w:val="000000"/>
                <w:szCs w:val="16"/>
              </w:rPr>
              <w:t>32.15</w:t>
            </w:r>
            <w:bookmarkEnd w:id="51"/>
            <w:bookmarkEnd w:id="52"/>
            <w:bookmarkEnd w:id="53"/>
          </w:p>
        </w:tc>
        <w:tc>
          <w:tcPr>
            <w:tcW w:w="992" w:type="dxa"/>
            <w:noWrap/>
          </w:tcPr>
          <w:p w:rsidR="009430FC" w:rsidRDefault="009430FC" w:rsidP="009430FC">
            <w:pPr>
              <w:outlineLvl w:val="0"/>
              <w:cnfStyle w:val="000000000000" w:firstRow="0" w:lastRow="0" w:firstColumn="0" w:lastColumn="0" w:oddVBand="0" w:evenVBand="0" w:oddHBand="0" w:evenHBand="0" w:firstRowFirstColumn="0" w:firstRowLastColumn="0" w:lastRowFirstColumn="0" w:lastRowLastColumn="0"/>
              <w:rPr>
                <w:rFonts w:cs="Arial"/>
                <w:color w:val="000000"/>
                <w:szCs w:val="16"/>
              </w:rPr>
            </w:pPr>
            <w:bookmarkStart w:id="54" w:name="_Toc433930556"/>
            <w:bookmarkStart w:id="55" w:name="_Toc435427913"/>
            <w:bookmarkStart w:id="56" w:name="_Toc435450815"/>
            <w:r>
              <w:rPr>
                <w:rFonts w:cs="Arial"/>
                <w:color w:val="000000"/>
                <w:szCs w:val="16"/>
              </w:rPr>
              <w:t>31.05</w:t>
            </w:r>
            <w:bookmarkEnd w:id="54"/>
            <w:bookmarkEnd w:id="55"/>
            <w:bookmarkEnd w:id="56"/>
          </w:p>
        </w:tc>
        <w:tc>
          <w:tcPr>
            <w:tcW w:w="992" w:type="dxa"/>
            <w:noWrap/>
          </w:tcPr>
          <w:p w:rsidR="009430FC" w:rsidRDefault="009430FC" w:rsidP="009430FC">
            <w:pPr>
              <w:outlineLvl w:val="0"/>
              <w:cnfStyle w:val="000000000000" w:firstRow="0" w:lastRow="0" w:firstColumn="0" w:lastColumn="0" w:oddVBand="0" w:evenVBand="0" w:oddHBand="0" w:evenHBand="0" w:firstRowFirstColumn="0" w:firstRowLastColumn="0" w:lastRowFirstColumn="0" w:lastRowLastColumn="0"/>
              <w:rPr>
                <w:rFonts w:cs="Arial"/>
                <w:color w:val="000000"/>
                <w:szCs w:val="16"/>
              </w:rPr>
            </w:pPr>
            <w:bookmarkStart w:id="57" w:name="_Toc433930557"/>
            <w:bookmarkStart w:id="58" w:name="_Toc435427914"/>
            <w:bookmarkStart w:id="59" w:name="_Toc435450816"/>
            <w:r>
              <w:rPr>
                <w:rFonts w:cs="Arial"/>
                <w:color w:val="000000"/>
                <w:szCs w:val="16"/>
              </w:rPr>
              <w:t>30.06</w:t>
            </w:r>
            <w:bookmarkEnd w:id="57"/>
            <w:bookmarkEnd w:id="58"/>
            <w:bookmarkEnd w:id="59"/>
          </w:p>
        </w:tc>
      </w:tr>
      <w:tr w:rsidR="009430FC" w:rsidRPr="0018218B" w:rsidTr="009430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noWrap/>
          </w:tcPr>
          <w:p w:rsidR="009430FC" w:rsidRDefault="009430FC" w:rsidP="009430FC">
            <w:r>
              <w:t>Existing commercial</w:t>
            </w:r>
          </w:p>
        </w:tc>
        <w:tc>
          <w:tcPr>
            <w:tcW w:w="992" w:type="dxa"/>
            <w:noWrap/>
            <w:vAlign w:val="bottom"/>
          </w:tcPr>
          <w:p w:rsidR="009430FC" w:rsidRPr="000923CD" w:rsidRDefault="009430FC" w:rsidP="009430FC">
            <w:pPr>
              <w:pStyle w:val="HeadingOrange"/>
              <w:cnfStyle w:val="000000010000" w:firstRow="0" w:lastRow="0" w:firstColumn="0" w:lastColumn="0" w:oddVBand="0" w:evenVBand="0" w:oddHBand="0" w:evenHBand="1" w:firstRowFirstColumn="0" w:firstRowLastColumn="0" w:lastRowFirstColumn="0" w:lastRowLastColumn="0"/>
              <w:rPr>
                <w:b w:val="0"/>
              </w:rPr>
            </w:pPr>
            <w:r w:rsidRPr="000923CD">
              <w:rPr>
                <w:b w:val="0"/>
              </w:rPr>
              <w:t>-</w:t>
            </w:r>
          </w:p>
        </w:tc>
        <w:tc>
          <w:tcPr>
            <w:tcW w:w="993" w:type="dxa"/>
            <w:noWrap/>
            <w:vAlign w:val="bottom"/>
          </w:tcPr>
          <w:p w:rsidR="009430FC" w:rsidRPr="000923CD" w:rsidRDefault="009430FC" w:rsidP="009430FC">
            <w:pPr>
              <w:pStyle w:val="HeadingOrange"/>
              <w:cnfStyle w:val="000000010000" w:firstRow="0" w:lastRow="0" w:firstColumn="0" w:lastColumn="0" w:oddVBand="0" w:evenVBand="0" w:oddHBand="0" w:evenHBand="1" w:firstRowFirstColumn="0" w:firstRowLastColumn="0" w:lastRowFirstColumn="0" w:lastRowLastColumn="0"/>
              <w:rPr>
                <w:b w:val="0"/>
              </w:rPr>
            </w:pPr>
            <w:r w:rsidRPr="000923CD">
              <w:rPr>
                <w:b w:val="0"/>
              </w:rPr>
              <w:t>-</w:t>
            </w:r>
          </w:p>
        </w:tc>
        <w:tc>
          <w:tcPr>
            <w:tcW w:w="992" w:type="dxa"/>
            <w:noWrap/>
            <w:vAlign w:val="bottom"/>
          </w:tcPr>
          <w:p w:rsidR="009430FC" w:rsidRPr="000923CD" w:rsidRDefault="009430FC" w:rsidP="009430FC">
            <w:pPr>
              <w:pStyle w:val="HeadingOrange"/>
              <w:cnfStyle w:val="000000010000" w:firstRow="0" w:lastRow="0" w:firstColumn="0" w:lastColumn="0" w:oddVBand="0" w:evenVBand="0" w:oddHBand="0" w:evenHBand="1" w:firstRowFirstColumn="0" w:firstRowLastColumn="0" w:lastRowFirstColumn="0" w:lastRowLastColumn="0"/>
              <w:rPr>
                <w:b w:val="0"/>
              </w:rPr>
            </w:pPr>
            <w:r w:rsidRPr="000923CD">
              <w:rPr>
                <w:b w:val="0"/>
              </w:rPr>
              <w:t>-</w:t>
            </w:r>
          </w:p>
        </w:tc>
        <w:tc>
          <w:tcPr>
            <w:tcW w:w="992" w:type="dxa"/>
            <w:noWrap/>
            <w:vAlign w:val="bottom"/>
          </w:tcPr>
          <w:p w:rsidR="009430FC" w:rsidRPr="000923CD" w:rsidRDefault="009430FC" w:rsidP="009430FC">
            <w:pPr>
              <w:pStyle w:val="HeadingOrange"/>
              <w:cnfStyle w:val="000000010000" w:firstRow="0" w:lastRow="0" w:firstColumn="0" w:lastColumn="0" w:oddVBand="0" w:evenVBand="0" w:oddHBand="0" w:evenHBand="1" w:firstRowFirstColumn="0" w:firstRowLastColumn="0" w:lastRowFirstColumn="0" w:lastRowLastColumn="0"/>
              <w:rPr>
                <w:b w:val="0"/>
              </w:rPr>
            </w:pPr>
            <w:r w:rsidRPr="000923CD">
              <w:rPr>
                <w:b w:val="0"/>
              </w:rPr>
              <w:t>-</w:t>
            </w:r>
          </w:p>
        </w:tc>
        <w:tc>
          <w:tcPr>
            <w:tcW w:w="992" w:type="dxa"/>
            <w:noWrap/>
            <w:vAlign w:val="bottom"/>
          </w:tcPr>
          <w:p w:rsidR="009430FC" w:rsidRPr="000923CD" w:rsidRDefault="009430FC" w:rsidP="009430FC">
            <w:pPr>
              <w:pStyle w:val="HeadingOrange"/>
              <w:cnfStyle w:val="000000010000" w:firstRow="0" w:lastRow="0" w:firstColumn="0" w:lastColumn="0" w:oddVBand="0" w:evenVBand="0" w:oddHBand="0" w:evenHBand="1" w:firstRowFirstColumn="0" w:firstRowLastColumn="0" w:lastRowFirstColumn="0" w:lastRowLastColumn="0"/>
              <w:rPr>
                <w:b w:val="0"/>
              </w:rPr>
            </w:pPr>
            <w:r w:rsidRPr="000923CD">
              <w:rPr>
                <w:b w:val="0"/>
              </w:rPr>
              <w:t>-</w:t>
            </w:r>
          </w:p>
        </w:tc>
      </w:tr>
      <w:tr w:rsidR="009430FC" w:rsidRPr="0018218B" w:rsidTr="009430FC">
        <w:trPr>
          <w:trHeight w:val="300"/>
        </w:trPr>
        <w:tc>
          <w:tcPr>
            <w:cnfStyle w:val="001000000000" w:firstRow="0" w:lastRow="0" w:firstColumn="1" w:lastColumn="0" w:oddVBand="0" w:evenVBand="0" w:oddHBand="0" w:evenHBand="0" w:firstRowFirstColumn="0" w:firstRowLastColumn="0" w:lastRowFirstColumn="0" w:lastRowLastColumn="0"/>
            <w:tcW w:w="3652" w:type="dxa"/>
            <w:noWrap/>
          </w:tcPr>
          <w:p w:rsidR="009430FC" w:rsidRDefault="009430FC" w:rsidP="009430FC">
            <w:r>
              <w:t>New commercial</w:t>
            </w:r>
          </w:p>
        </w:tc>
        <w:tc>
          <w:tcPr>
            <w:tcW w:w="992" w:type="dxa"/>
            <w:noWrap/>
            <w:vAlign w:val="bottom"/>
          </w:tcPr>
          <w:p w:rsidR="009430FC" w:rsidRPr="000923CD" w:rsidRDefault="009430FC" w:rsidP="009430FC">
            <w:pPr>
              <w:pStyle w:val="HeadingOrange"/>
              <w:cnfStyle w:val="000000000000" w:firstRow="0" w:lastRow="0" w:firstColumn="0" w:lastColumn="0" w:oddVBand="0" w:evenVBand="0" w:oddHBand="0" w:evenHBand="0" w:firstRowFirstColumn="0" w:firstRowLastColumn="0" w:lastRowFirstColumn="0" w:lastRowLastColumn="0"/>
              <w:rPr>
                <w:b w:val="0"/>
              </w:rPr>
            </w:pPr>
            <w:r w:rsidRPr="000923CD">
              <w:rPr>
                <w:b w:val="0"/>
              </w:rPr>
              <w:t>-</w:t>
            </w:r>
          </w:p>
        </w:tc>
        <w:tc>
          <w:tcPr>
            <w:tcW w:w="993" w:type="dxa"/>
            <w:noWrap/>
            <w:vAlign w:val="bottom"/>
          </w:tcPr>
          <w:p w:rsidR="009430FC" w:rsidRPr="000923CD" w:rsidRDefault="009430FC" w:rsidP="009430FC">
            <w:pPr>
              <w:pStyle w:val="HeadingOrange"/>
              <w:cnfStyle w:val="000000000000" w:firstRow="0" w:lastRow="0" w:firstColumn="0" w:lastColumn="0" w:oddVBand="0" w:evenVBand="0" w:oddHBand="0" w:evenHBand="0" w:firstRowFirstColumn="0" w:firstRowLastColumn="0" w:lastRowFirstColumn="0" w:lastRowLastColumn="0"/>
              <w:rPr>
                <w:b w:val="0"/>
              </w:rPr>
            </w:pPr>
            <w:r w:rsidRPr="000923CD">
              <w:rPr>
                <w:b w:val="0"/>
              </w:rPr>
              <w:t>-</w:t>
            </w:r>
          </w:p>
        </w:tc>
        <w:tc>
          <w:tcPr>
            <w:tcW w:w="992" w:type="dxa"/>
            <w:noWrap/>
            <w:vAlign w:val="bottom"/>
          </w:tcPr>
          <w:p w:rsidR="009430FC" w:rsidRPr="000923CD" w:rsidRDefault="009430FC" w:rsidP="009430FC">
            <w:pPr>
              <w:pStyle w:val="HeadingOrange"/>
              <w:cnfStyle w:val="000000000000" w:firstRow="0" w:lastRow="0" w:firstColumn="0" w:lastColumn="0" w:oddVBand="0" w:evenVBand="0" w:oddHBand="0" w:evenHBand="0" w:firstRowFirstColumn="0" w:firstRowLastColumn="0" w:lastRowFirstColumn="0" w:lastRowLastColumn="0"/>
              <w:rPr>
                <w:b w:val="0"/>
              </w:rPr>
            </w:pPr>
            <w:r w:rsidRPr="000923CD">
              <w:rPr>
                <w:b w:val="0"/>
              </w:rPr>
              <w:t>-</w:t>
            </w:r>
          </w:p>
        </w:tc>
        <w:tc>
          <w:tcPr>
            <w:tcW w:w="992" w:type="dxa"/>
            <w:noWrap/>
            <w:vAlign w:val="bottom"/>
          </w:tcPr>
          <w:p w:rsidR="009430FC" w:rsidRPr="000923CD" w:rsidRDefault="009430FC" w:rsidP="009430FC">
            <w:pPr>
              <w:pStyle w:val="HeadingOrange"/>
              <w:cnfStyle w:val="000000000000" w:firstRow="0" w:lastRow="0" w:firstColumn="0" w:lastColumn="0" w:oddVBand="0" w:evenVBand="0" w:oddHBand="0" w:evenHBand="0" w:firstRowFirstColumn="0" w:firstRowLastColumn="0" w:lastRowFirstColumn="0" w:lastRowLastColumn="0"/>
              <w:rPr>
                <w:b w:val="0"/>
              </w:rPr>
            </w:pPr>
            <w:r w:rsidRPr="000923CD">
              <w:rPr>
                <w:b w:val="0"/>
              </w:rPr>
              <w:t>-</w:t>
            </w:r>
          </w:p>
        </w:tc>
        <w:tc>
          <w:tcPr>
            <w:tcW w:w="992" w:type="dxa"/>
            <w:noWrap/>
            <w:vAlign w:val="bottom"/>
          </w:tcPr>
          <w:p w:rsidR="009430FC" w:rsidRPr="000923CD" w:rsidRDefault="009430FC" w:rsidP="009430FC">
            <w:pPr>
              <w:pStyle w:val="HeadingOrange"/>
              <w:cnfStyle w:val="000000000000" w:firstRow="0" w:lastRow="0" w:firstColumn="0" w:lastColumn="0" w:oddVBand="0" w:evenVBand="0" w:oddHBand="0" w:evenHBand="0" w:firstRowFirstColumn="0" w:firstRowLastColumn="0" w:lastRowFirstColumn="0" w:lastRowLastColumn="0"/>
              <w:rPr>
                <w:b w:val="0"/>
              </w:rPr>
            </w:pPr>
            <w:r w:rsidRPr="000923CD">
              <w:rPr>
                <w:b w:val="0"/>
              </w:rPr>
              <w:t>-</w:t>
            </w:r>
          </w:p>
        </w:tc>
      </w:tr>
      <w:tr w:rsidR="009430FC" w:rsidRPr="0018218B" w:rsidTr="009430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noWrap/>
          </w:tcPr>
          <w:p w:rsidR="009430FC" w:rsidRPr="00DD1044" w:rsidRDefault="00934F2A" w:rsidP="009430FC">
            <w:r>
              <w:rPr>
                <w:i/>
              </w:rPr>
              <w:t>Total c</w:t>
            </w:r>
            <w:r w:rsidR="009430FC" w:rsidRPr="00EA3815">
              <w:rPr>
                <w:i/>
              </w:rPr>
              <w:t>ommercial</w:t>
            </w:r>
            <w:r>
              <w:rPr>
                <w:vertAlign w:val="superscript"/>
              </w:rPr>
              <w:t>a</w:t>
            </w:r>
          </w:p>
        </w:tc>
        <w:tc>
          <w:tcPr>
            <w:tcW w:w="992" w:type="dxa"/>
            <w:noWrap/>
          </w:tcPr>
          <w:p w:rsidR="009430FC" w:rsidRDefault="009430FC" w:rsidP="009430FC">
            <w:pPr>
              <w:outlineLvl w:val="0"/>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60" w:name="_Toc433930558"/>
            <w:bookmarkStart w:id="61" w:name="_Toc435427915"/>
            <w:bookmarkStart w:id="62" w:name="_Toc435450817"/>
            <w:r>
              <w:rPr>
                <w:rFonts w:cs="Arial"/>
                <w:color w:val="000000"/>
                <w:szCs w:val="16"/>
              </w:rPr>
              <w:t>414</w:t>
            </w:r>
            <w:bookmarkEnd w:id="60"/>
            <w:bookmarkEnd w:id="61"/>
            <w:bookmarkEnd w:id="62"/>
          </w:p>
        </w:tc>
        <w:tc>
          <w:tcPr>
            <w:tcW w:w="993" w:type="dxa"/>
            <w:noWrap/>
          </w:tcPr>
          <w:p w:rsidR="009430FC" w:rsidRDefault="009430FC" w:rsidP="009430FC">
            <w:pPr>
              <w:outlineLvl w:val="0"/>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63" w:name="_Toc433930559"/>
            <w:bookmarkStart w:id="64" w:name="_Toc435427916"/>
            <w:bookmarkStart w:id="65" w:name="_Toc435450818"/>
            <w:r>
              <w:rPr>
                <w:rFonts w:cs="Arial"/>
                <w:color w:val="000000"/>
                <w:szCs w:val="16"/>
              </w:rPr>
              <w:t>398</w:t>
            </w:r>
            <w:bookmarkEnd w:id="63"/>
            <w:bookmarkEnd w:id="64"/>
            <w:bookmarkEnd w:id="65"/>
          </w:p>
        </w:tc>
        <w:tc>
          <w:tcPr>
            <w:tcW w:w="992" w:type="dxa"/>
            <w:noWrap/>
          </w:tcPr>
          <w:p w:rsidR="009430FC" w:rsidRDefault="009430FC" w:rsidP="009430FC">
            <w:pPr>
              <w:outlineLvl w:val="0"/>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66" w:name="_Toc433930560"/>
            <w:bookmarkStart w:id="67" w:name="_Toc435427917"/>
            <w:bookmarkStart w:id="68" w:name="_Toc435450819"/>
            <w:r>
              <w:rPr>
                <w:rFonts w:cs="Arial"/>
                <w:color w:val="000000"/>
                <w:szCs w:val="16"/>
              </w:rPr>
              <w:t>380</w:t>
            </w:r>
            <w:bookmarkEnd w:id="66"/>
            <w:bookmarkEnd w:id="67"/>
            <w:bookmarkEnd w:id="68"/>
          </w:p>
        </w:tc>
        <w:tc>
          <w:tcPr>
            <w:tcW w:w="992" w:type="dxa"/>
            <w:noWrap/>
          </w:tcPr>
          <w:p w:rsidR="009430FC" w:rsidRDefault="009430FC" w:rsidP="009430FC">
            <w:pPr>
              <w:outlineLvl w:val="0"/>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69" w:name="_Toc433930561"/>
            <w:bookmarkStart w:id="70" w:name="_Toc435427918"/>
            <w:bookmarkStart w:id="71" w:name="_Toc435450820"/>
            <w:r>
              <w:rPr>
                <w:rFonts w:cs="Arial"/>
                <w:color w:val="000000"/>
                <w:szCs w:val="16"/>
              </w:rPr>
              <w:t>366</w:t>
            </w:r>
            <w:bookmarkEnd w:id="69"/>
            <w:bookmarkEnd w:id="70"/>
            <w:bookmarkEnd w:id="71"/>
          </w:p>
        </w:tc>
        <w:tc>
          <w:tcPr>
            <w:tcW w:w="992" w:type="dxa"/>
            <w:noWrap/>
          </w:tcPr>
          <w:p w:rsidR="009430FC" w:rsidRDefault="009430FC" w:rsidP="009430FC">
            <w:pPr>
              <w:outlineLvl w:val="0"/>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72" w:name="_Toc433930562"/>
            <w:bookmarkStart w:id="73" w:name="_Toc435427919"/>
            <w:bookmarkStart w:id="74" w:name="_Toc435450821"/>
            <w:r>
              <w:rPr>
                <w:rFonts w:cs="Arial"/>
                <w:color w:val="000000"/>
                <w:szCs w:val="16"/>
              </w:rPr>
              <w:t>355</w:t>
            </w:r>
            <w:bookmarkEnd w:id="72"/>
            <w:bookmarkEnd w:id="73"/>
            <w:bookmarkEnd w:id="74"/>
          </w:p>
        </w:tc>
      </w:tr>
      <w:tr w:rsidR="009430FC" w:rsidRPr="0018218B" w:rsidTr="009430FC">
        <w:trPr>
          <w:trHeight w:val="300"/>
        </w:trPr>
        <w:tc>
          <w:tcPr>
            <w:cnfStyle w:val="001000000000" w:firstRow="0" w:lastRow="0" w:firstColumn="1" w:lastColumn="0" w:oddVBand="0" w:evenVBand="0" w:oddHBand="0" w:evenHBand="0" w:firstRowFirstColumn="0" w:firstRowLastColumn="0" w:lastRowFirstColumn="0" w:lastRowLastColumn="0"/>
            <w:tcW w:w="3652" w:type="dxa"/>
            <w:noWrap/>
          </w:tcPr>
          <w:p w:rsidR="009430FC" w:rsidRPr="005312DB" w:rsidRDefault="009430FC" w:rsidP="009430FC">
            <w:pPr>
              <w:rPr>
                <w:b/>
              </w:rPr>
            </w:pPr>
            <w:r>
              <w:rPr>
                <w:b/>
              </w:rPr>
              <w:t xml:space="preserve">Tariff D </w:t>
            </w:r>
            <w:r w:rsidRPr="005312DB">
              <w:rPr>
                <w:b/>
              </w:rPr>
              <w:t>total consumption</w:t>
            </w:r>
          </w:p>
        </w:tc>
        <w:tc>
          <w:tcPr>
            <w:tcW w:w="992" w:type="dxa"/>
            <w:noWrap/>
            <w:vAlign w:val="bottom"/>
          </w:tcPr>
          <w:p w:rsidR="009430FC" w:rsidRPr="00987821" w:rsidRDefault="009430FC" w:rsidP="009430FC">
            <w:pPr>
              <w:outlineLvl w:val="0"/>
              <w:cnfStyle w:val="000000000000" w:firstRow="0" w:lastRow="0" w:firstColumn="0" w:lastColumn="0" w:oddVBand="0" w:evenVBand="0" w:oddHBand="0" w:evenHBand="0" w:firstRowFirstColumn="0" w:firstRowLastColumn="0" w:lastRowFirstColumn="0" w:lastRowLastColumn="0"/>
              <w:rPr>
                <w:rFonts w:cs="Arial"/>
                <w:color w:val="000000"/>
                <w:szCs w:val="16"/>
              </w:rPr>
            </w:pPr>
          </w:p>
        </w:tc>
        <w:tc>
          <w:tcPr>
            <w:tcW w:w="993" w:type="dxa"/>
            <w:noWrap/>
            <w:vAlign w:val="bottom"/>
          </w:tcPr>
          <w:p w:rsidR="009430FC" w:rsidRPr="00987821" w:rsidRDefault="009430FC" w:rsidP="009430FC">
            <w:pPr>
              <w:outlineLvl w:val="0"/>
              <w:cnfStyle w:val="000000000000" w:firstRow="0" w:lastRow="0" w:firstColumn="0" w:lastColumn="0" w:oddVBand="0" w:evenVBand="0" w:oddHBand="0" w:evenHBand="0" w:firstRowFirstColumn="0" w:firstRowLastColumn="0" w:lastRowFirstColumn="0" w:lastRowLastColumn="0"/>
              <w:rPr>
                <w:rFonts w:cs="Arial"/>
                <w:color w:val="000000"/>
                <w:szCs w:val="16"/>
              </w:rPr>
            </w:pPr>
          </w:p>
        </w:tc>
        <w:tc>
          <w:tcPr>
            <w:tcW w:w="992" w:type="dxa"/>
            <w:noWrap/>
            <w:vAlign w:val="bottom"/>
          </w:tcPr>
          <w:p w:rsidR="009430FC" w:rsidRPr="00987821" w:rsidRDefault="009430FC" w:rsidP="009430FC">
            <w:pPr>
              <w:outlineLvl w:val="0"/>
              <w:cnfStyle w:val="000000000000" w:firstRow="0" w:lastRow="0" w:firstColumn="0" w:lastColumn="0" w:oddVBand="0" w:evenVBand="0" w:oddHBand="0" w:evenHBand="0" w:firstRowFirstColumn="0" w:firstRowLastColumn="0" w:lastRowFirstColumn="0" w:lastRowLastColumn="0"/>
              <w:rPr>
                <w:rFonts w:cs="Arial"/>
                <w:color w:val="000000"/>
                <w:szCs w:val="16"/>
              </w:rPr>
            </w:pPr>
          </w:p>
        </w:tc>
        <w:tc>
          <w:tcPr>
            <w:tcW w:w="992" w:type="dxa"/>
            <w:noWrap/>
            <w:vAlign w:val="bottom"/>
          </w:tcPr>
          <w:p w:rsidR="009430FC" w:rsidRPr="00987821" w:rsidRDefault="009430FC" w:rsidP="009430FC">
            <w:pPr>
              <w:outlineLvl w:val="0"/>
              <w:cnfStyle w:val="000000000000" w:firstRow="0" w:lastRow="0" w:firstColumn="0" w:lastColumn="0" w:oddVBand="0" w:evenVBand="0" w:oddHBand="0" w:evenHBand="0" w:firstRowFirstColumn="0" w:firstRowLastColumn="0" w:lastRowFirstColumn="0" w:lastRowLastColumn="0"/>
              <w:rPr>
                <w:rFonts w:cs="Arial"/>
                <w:color w:val="000000"/>
                <w:szCs w:val="16"/>
              </w:rPr>
            </w:pPr>
          </w:p>
        </w:tc>
        <w:tc>
          <w:tcPr>
            <w:tcW w:w="992" w:type="dxa"/>
            <w:noWrap/>
            <w:vAlign w:val="bottom"/>
          </w:tcPr>
          <w:p w:rsidR="009430FC" w:rsidRPr="00987821" w:rsidRDefault="009430FC" w:rsidP="009430FC">
            <w:pPr>
              <w:outlineLvl w:val="0"/>
              <w:cnfStyle w:val="000000000000" w:firstRow="0" w:lastRow="0" w:firstColumn="0" w:lastColumn="0" w:oddVBand="0" w:evenVBand="0" w:oddHBand="0" w:evenHBand="0" w:firstRowFirstColumn="0" w:firstRowLastColumn="0" w:lastRowFirstColumn="0" w:lastRowLastColumn="0"/>
              <w:rPr>
                <w:rFonts w:cs="Arial"/>
                <w:color w:val="000000"/>
                <w:szCs w:val="16"/>
              </w:rPr>
            </w:pPr>
          </w:p>
        </w:tc>
      </w:tr>
      <w:tr w:rsidR="009430FC" w:rsidRPr="0018218B" w:rsidTr="009430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noWrap/>
          </w:tcPr>
          <w:p w:rsidR="009430FC" w:rsidRDefault="009430FC" w:rsidP="009430FC">
            <w:r>
              <w:t>MDQ</w:t>
            </w:r>
          </w:p>
        </w:tc>
        <w:tc>
          <w:tcPr>
            <w:tcW w:w="992" w:type="dxa"/>
            <w:noWrap/>
          </w:tcPr>
          <w:p w:rsidR="009430FC" w:rsidRPr="00987821" w:rsidRDefault="009430FC" w:rsidP="009430FC">
            <w:pPr>
              <w:outlineLvl w:val="0"/>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75" w:name="_Toc433930563"/>
            <w:bookmarkStart w:id="76" w:name="_Toc435427920"/>
            <w:bookmarkStart w:id="77" w:name="_Toc435450822"/>
            <w:r w:rsidRPr="00987821">
              <w:rPr>
                <w:rFonts w:cs="Arial"/>
                <w:color w:val="000000"/>
                <w:szCs w:val="16"/>
              </w:rPr>
              <w:t>7,951</w:t>
            </w:r>
            <w:bookmarkEnd w:id="75"/>
            <w:bookmarkEnd w:id="76"/>
            <w:bookmarkEnd w:id="77"/>
            <w:r w:rsidRPr="00987821">
              <w:rPr>
                <w:rFonts w:cs="Arial"/>
                <w:color w:val="000000"/>
                <w:szCs w:val="16"/>
              </w:rPr>
              <w:t xml:space="preserve"> </w:t>
            </w:r>
          </w:p>
        </w:tc>
        <w:tc>
          <w:tcPr>
            <w:tcW w:w="993" w:type="dxa"/>
            <w:noWrap/>
          </w:tcPr>
          <w:p w:rsidR="009430FC" w:rsidRPr="00987821" w:rsidRDefault="009430FC" w:rsidP="009430FC">
            <w:pPr>
              <w:outlineLvl w:val="0"/>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78" w:name="_Toc433930564"/>
            <w:bookmarkStart w:id="79" w:name="_Toc435427921"/>
            <w:bookmarkStart w:id="80" w:name="_Toc435450823"/>
            <w:r w:rsidRPr="00987821">
              <w:rPr>
                <w:rFonts w:cs="Arial"/>
                <w:color w:val="000000"/>
                <w:szCs w:val="16"/>
              </w:rPr>
              <w:t>7,956</w:t>
            </w:r>
            <w:bookmarkEnd w:id="78"/>
            <w:bookmarkEnd w:id="79"/>
            <w:bookmarkEnd w:id="80"/>
            <w:r w:rsidRPr="00987821">
              <w:rPr>
                <w:rFonts w:cs="Arial"/>
                <w:color w:val="000000"/>
                <w:szCs w:val="16"/>
              </w:rPr>
              <w:t xml:space="preserve"> </w:t>
            </w:r>
          </w:p>
        </w:tc>
        <w:tc>
          <w:tcPr>
            <w:tcW w:w="992" w:type="dxa"/>
            <w:noWrap/>
          </w:tcPr>
          <w:p w:rsidR="009430FC" w:rsidRPr="00987821" w:rsidRDefault="009430FC" w:rsidP="009430FC">
            <w:pPr>
              <w:outlineLvl w:val="0"/>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81" w:name="_Toc433930565"/>
            <w:bookmarkStart w:id="82" w:name="_Toc435427922"/>
            <w:bookmarkStart w:id="83" w:name="_Toc435450824"/>
            <w:r w:rsidRPr="00987821">
              <w:rPr>
                <w:rFonts w:cs="Arial"/>
                <w:color w:val="000000"/>
                <w:szCs w:val="16"/>
              </w:rPr>
              <w:t>8,201</w:t>
            </w:r>
            <w:bookmarkEnd w:id="81"/>
            <w:bookmarkEnd w:id="82"/>
            <w:bookmarkEnd w:id="83"/>
            <w:r w:rsidRPr="00987821">
              <w:rPr>
                <w:rFonts w:cs="Arial"/>
                <w:color w:val="000000"/>
                <w:szCs w:val="16"/>
              </w:rPr>
              <w:t xml:space="preserve"> </w:t>
            </w:r>
          </w:p>
        </w:tc>
        <w:tc>
          <w:tcPr>
            <w:tcW w:w="992" w:type="dxa"/>
            <w:noWrap/>
          </w:tcPr>
          <w:p w:rsidR="009430FC" w:rsidRPr="00987821" w:rsidRDefault="009430FC" w:rsidP="009430FC">
            <w:pPr>
              <w:outlineLvl w:val="0"/>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84" w:name="_Toc433930566"/>
            <w:bookmarkStart w:id="85" w:name="_Toc435427923"/>
            <w:bookmarkStart w:id="86" w:name="_Toc435450825"/>
            <w:r w:rsidRPr="00987821">
              <w:rPr>
                <w:rFonts w:cs="Arial"/>
                <w:color w:val="000000"/>
                <w:szCs w:val="16"/>
              </w:rPr>
              <w:t>8,206</w:t>
            </w:r>
            <w:bookmarkEnd w:id="84"/>
            <w:bookmarkEnd w:id="85"/>
            <w:bookmarkEnd w:id="86"/>
          </w:p>
        </w:tc>
        <w:tc>
          <w:tcPr>
            <w:tcW w:w="992" w:type="dxa"/>
            <w:noWrap/>
          </w:tcPr>
          <w:p w:rsidR="009430FC" w:rsidRPr="00987821" w:rsidRDefault="009430FC" w:rsidP="009430FC">
            <w:pPr>
              <w:outlineLvl w:val="0"/>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87" w:name="_Toc433930567"/>
            <w:bookmarkStart w:id="88" w:name="_Toc435427924"/>
            <w:bookmarkStart w:id="89" w:name="_Toc435450826"/>
            <w:r w:rsidRPr="00987821">
              <w:rPr>
                <w:rFonts w:cs="Arial"/>
                <w:color w:val="000000"/>
                <w:szCs w:val="16"/>
              </w:rPr>
              <w:t>8,211</w:t>
            </w:r>
            <w:bookmarkEnd w:id="87"/>
            <w:bookmarkEnd w:id="88"/>
            <w:bookmarkEnd w:id="89"/>
          </w:p>
        </w:tc>
      </w:tr>
      <w:tr w:rsidR="009430FC" w:rsidRPr="0018218B" w:rsidTr="009430FC">
        <w:trPr>
          <w:trHeight w:val="300"/>
        </w:trPr>
        <w:tc>
          <w:tcPr>
            <w:cnfStyle w:val="001000000000" w:firstRow="0" w:lastRow="0" w:firstColumn="1" w:lastColumn="0" w:oddVBand="0" w:evenVBand="0" w:oddHBand="0" w:evenHBand="0" w:firstRowFirstColumn="0" w:firstRowLastColumn="0" w:lastRowFirstColumn="0" w:lastRowLastColumn="0"/>
            <w:tcW w:w="3652" w:type="dxa"/>
            <w:noWrap/>
          </w:tcPr>
          <w:p w:rsidR="009430FC" w:rsidRPr="009210A8" w:rsidRDefault="009430FC" w:rsidP="009430FC">
            <w:r>
              <w:t>ACQ (GJ)</w:t>
            </w:r>
          </w:p>
        </w:tc>
        <w:tc>
          <w:tcPr>
            <w:tcW w:w="992" w:type="dxa"/>
            <w:noWrap/>
          </w:tcPr>
          <w:p w:rsidR="009430FC" w:rsidRPr="00987821" w:rsidRDefault="009430FC" w:rsidP="009430FC">
            <w:pPr>
              <w:outlineLvl w:val="0"/>
              <w:cnfStyle w:val="000000000000" w:firstRow="0" w:lastRow="0" w:firstColumn="0" w:lastColumn="0" w:oddVBand="0" w:evenVBand="0" w:oddHBand="0" w:evenHBand="0" w:firstRowFirstColumn="0" w:firstRowLastColumn="0" w:lastRowFirstColumn="0" w:lastRowLastColumn="0"/>
              <w:rPr>
                <w:rFonts w:cs="Arial"/>
                <w:color w:val="000000"/>
                <w:szCs w:val="16"/>
              </w:rPr>
            </w:pPr>
            <w:bookmarkStart w:id="90" w:name="_Toc433930568"/>
            <w:bookmarkStart w:id="91" w:name="_Toc435427925"/>
            <w:bookmarkStart w:id="92" w:name="_Toc435450827"/>
            <w:r w:rsidRPr="00987821">
              <w:rPr>
                <w:rFonts w:cs="Arial"/>
                <w:color w:val="000000"/>
                <w:szCs w:val="16"/>
              </w:rPr>
              <w:t>1,185,399</w:t>
            </w:r>
            <w:bookmarkEnd w:id="90"/>
            <w:bookmarkEnd w:id="91"/>
            <w:bookmarkEnd w:id="92"/>
            <w:r w:rsidRPr="00987821">
              <w:rPr>
                <w:rFonts w:cs="Arial"/>
                <w:color w:val="000000"/>
                <w:szCs w:val="16"/>
              </w:rPr>
              <w:t xml:space="preserve"> </w:t>
            </w:r>
          </w:p>
        </w:tc>
        <w:tc>
          <w:tcPr>
            <w:tcW w:w="993" w:type="dxa"/>
            <w:noWrap/>
          </w:tcPr>
          <w:p w:rsidR="009430FC" w:rsidRPr="00987821" w:rsidRDefault="009430FC" w:rsidP="009430FC">
            <w:pPr>
              <w:outlineLvl w:val="0"/>
              <w:cnfStyle w:val="000000000000" w:firstRow="0" w:lastRow="0" w:firstColumn="0" w:lastColumn="0" w:oddVBand="0" w:evenVBand="0" w:oddHBand="0" w:evenHBand="0" w:firstRowFirstColumn="0" w:firstRowLastColumn="0" w:lastRowFirstColumn="0" w:lastRowLastColumn="0"/>
              <w:rPr>
                <w:rFonts w:cs="Arial"/>
                <w:color w:val="000000"/>
                <w:szCs w:val="16"/>
              </w:rPr>
            </w:pPr>
            <w:bookmarkStart w:id="93" w:name="_Toc433930569"/>
            <w:bookmarkStart w:id="94" w:name="_Toc435427926"/>
            <w:bookmarkStart w:id="95" w:name="_Toc435450828"/>
            <w:r w:rsidRPr="00987821">
              <w:rPr>
                <w:rFonts w:cs="Arial"/>
                <w:color w:val="000000"/>
                <w:szCs w:val="16"/>
              </w:rPr>
              <w:t>1,185,769</w:t>
            </w:r>
            <w:bookmarkEnd w:id="93"/>
            <w:bookmarkEnd w:id="94"/>
            <w:bookmarkEnd w:id="95"/>
          </w:p>
        </w:tc>
        <w:tc>
          <w:tcPr>
            <w:tcW w:w="992" w:type="dxa"/>
            <w:noWrap/>
          </w:tcPr>
          <w:p w:rsidR="009430FC" w:rsidRPr="00987821" w:rsidRDefault="009430FC" w:rsidP="009430FC">
            <w:pPr>
              <w:outlineLvl w:val="0"/>
              <w:cnfStyle w:val="000000000000" w:firstRow="0" w:lastRow="0" w:firstColumn="0" w:lastColumn="0" w:oddVBand="0" w:evenVBand="0" w:oddHBand="0" w:evenHBand="0" w:firstRowFirstColumn="0" w:firstRowLastColumn="0" w:lastRowFirstColumn="0" w:lastRowLastColumn="0"/>
              <w:rPr>
                <w:rFonts w:cs="Arial"/>
                <w:color w:val="000000"/>
                <w:szCs w:val="16"/>
              </w:rPr>
            </w:pPr>
            <w:bookmarkStart w:id="96" w:name="_Toc433930570"/>
            <w:bookmarkStart w:id="97" w:name="_Toc435427927"/>
            <w:bookmarkStart w:id="98" w:name="_Toc435450829"/>
            <w:r w:rsidRPr="00987821">
              <w:rPr>
                <w:rFonts w:cs="Arial"/>
                <w:color w:val="000000"/>
                <w:szCs w:val="16"/>
              </w:rPr>
              <w:t>1,231,356</w:t>
            </w:r>
            <w:bookmarkEnd w:id="96"/>
            <w:bookmarkEnd w:id="97"/>
            <w:bookmarkEnd w:id="98"/>
            <w:r w:rsidRPr="00987821">
              <w:rPr>
                <w:rFonts w:cs="Arial"/>
                <w:color w:val="000000"/>
                <w:szCs w:val="16"/>
              </w:rPr>
              <w:t xml:space="preserve"> </w:t>
            </w:r>
          </w:p>
        </w:tc>
        <w:tc>
          <w:tcPr>
            <w:tcW w:w="992" w:type="dxa"/>
            <w:noWrap/>
          </w:tcPr>
          <w:p w:rsidR="009430FC" w:rsidRPr="00987821" w:rsidRDefault="009430FC" w:rsidP="009430FC">
            <w:pPr>
              <w:outlineLvl w:val="0"/>
              <w:cnfStyle w:val="000000000000" w:firstRow="0" w:lastRow="0" w:firstColumn="0" w:lastColumn="0" w:oddVBand="0" w:evenVBand="0" w:oddHBand="0" w:evenHBand="0" w:firstRowFirstColumn="0" w:firstRowLastColumn="0" w:lastRowFirstColumn="0" w:lastRowLastColumn="0"/>
              <w:rPr>
                <w:rFonts w:cs="Arial"/>
                <w:color w:val="000000"/>
                <w:szCs w:val="16"/>
              </w:rPr>
            </w:pPr>
            <w:bookmarkStart w:id="99" w:name="_Toc433930571"/>
            <w:bookmarkStart w:id="100" w:name="_Toc435427928"/>
            <w:bookmarkStart w:id="101" w:name="_Toc435450830"/>
            <w:r w:rsidRPr="00987821">
              <w:rPr>
                <w:rFonts w:cs="Arial"/>
                <w:color w:val="000000"/>
                <w:szCs w:val="16"/>
              </w:rPr>
              <w:t>1,231,764</w:t>
            </w:r>
            <w:bookmarkEnd w:id="99"/>
            <w:bookmarkEnd w:id="100"/>
            <w:bookmarkEnd w:id="101"/>
          </w:p>
        </w:tc>
        <w:tc>
          <w:tcPr>
            <w:tcW w:w="992" w:type="dxa"/>
            <w:noWrap/>
          </w:tcPr>
          <w:p w:rsidR="009430FC" w:rsidRPr="00987821" w:rsidRDefault="009430FC" w:rsidP="009430FC">
            <w:pPr>
              <w:outlineLvl w:val="0"/>
              <w:cnfStyle w:val="000000000000" w:firstRow="0" w:lastRow="0" w:firstColumn="0" w:lastColumn="0" w:oddVBand="0" w:evenVBand="0" w:oddHBand="0" w:evenHBand="0" w:firstRowFirstColumn="0" w:firstRowLastColumn="0" w:lastRowFirstColumn="0" w:lastRowLastColumn="0"/>
              <w:rPr>
                <w:rFonts w:cs="Arial"/>
                <w:color w:val="000000"/>
                <w:szCs w:val="16"/>
              </w:rPr>
            </w:pPr>
            <w:bookmarkStart w:id="102" w:name="_Toc433930572"/>
            <w:bookmarkStart w:id="103" w:name="_Toc435427929"/>
            <w:bookmarkStart w:id="104" w:name="_Toc435450831"/>
            <w:r w:rsidRPr="00987821">
              <w:rPr>
                <w:rFonts w:cs="Arial"/>
                <w:color w:val="000000"/>
                <w:szCs w:val="16"/>
              </w:rPr>
              <w:t>1,232,191</w:t>
            </w:r>
            <w:bookmarkEnd w:id="102"/>
            <w:bookmarkEnd w:id="103"/>
            <w:bookmarkEnd w:id="104"/>
          </w:p>
        </w:tc>
      </w:tr>
    </w:tbl>
    <w:p w:rsidR="009430FC" w:rsidRDefault="009430FC" w:rsidP="009430FC">
      <w:pPr>
        <w:pStyle w:val="AERtablesource"/>
      </w:pPr>
      <w:r>
        <w:t xml:space="preserve">Source: </w:t>
      </w:r>
      <w:r>
        <w:tab/>
        <w:t>AER analysis.</w:t>
      </w:r>
    </w:p>
    <w:p w:rsidR="009430FC" w:rsidRDefault="009430FC" w:rsidP="009430FC">
      <w:pPr>
        <w:pStyle w:val="AERtablesource"/>
      </w:pPr>
      <w:r>
        <w:t>Notes:</w:t>
      </w:r>
      <w:r>
        <w:tab/>
        <w:t>(a) This excludes the downward adjustment of –5.58GJ per annum for the new medium-density/high-rise dwellings, reflecting the impact of the Gas Service and Installation Rules Code and Gas Network Boundary Code Amendment introduced in 2013.</w:t>
      </w:r>
    </w:p>
    <w:p w:rsidR="009430FC" w:rsidRPr="00FF11FB" w:rsidRDefault="009430FC" w:rsidP="009430FC">
      <w:pPr>
        <w:pStyle w:val="AERtablesource"/>
      </w:pPr>
      <w:r>
        <w:tab/>
        <w:t>(b) This adjusts for tariff D movements.</w:t>
      </w:r>
    </w:p>
    <w:p w:rsidR="009430FC" w:rsidRDefault="009430FC">
      <w:pPr>
        <w:pStyle w:val="Caption"/>
      </w:pPr>
      <w:bookmarkStart w:id="105" w:name="_Ref420067884"/>
      <w:r>
        <w:lastRenderedPageBreak/>
        <w:t xml:space="preserve">Table </w:t>
      </w:r>
      <w:r w:rsidR="007B4915">
        <w:fldChar w:fldCharType="begin"/>
      </w:r>
      <w:r w:rsidR="007B4915">
        <w:instrText xml:space="preserve"> STYLEREF 1 \s </w:instrText>
      </w:r>
      <w:r w:rsidR="007B4915">
        <w:fldChar w:fldCharType="separate"/>
      </w:r>
      <w:r>
        <w:rPr>
          <w:noProof/>
        </w:rPr>
        <w:t>13</w:t>
      </w:r>
      <w:r w:rsidR="007B4915">
        <w:rPr>
          <w:noProof/>
        </w:rPr>
        <w:fldChar w:fldCharType="end"/>
      </w:r>
      <w:r w:rsidR="00477EAD">
        <w:t>.</w:t>
      </w:r>
      <w:r w:rsidR="007B4915">
        <w:fldChar w:fldCharType="begin"/>
      </w:r>
      <w:r w:rsidR="007B4915">
        <w:instrText xml:space="preserve"> SEQ Table \* ARABIC \s 1 </w:instrText>
      </w:r>
      <w:r w:rsidR="007B4915">
        <w:fldChar w:fldCharType="separate"/>
      </w:r>
      <w:r>
        <w:rPr>
          <w:noProof/>
        </w:rPr>
        <w:t>2</w:t>
      </w:r>
      <w:r w:rsidR="007B4915">
        <w:rPr>
          <w:noProof/>
        </w:rPr>
        <w:fldChar w:fldCharType="end"/>
      </w:r>
      <w:bookmarkEnd w:id="105"/>
      <w:r>
        <w:tab/>
        <w:t xml:space="preserve">Draft </w:t>
      </w:r>
      <w:r w:rsidRPr="00983CDC">
        <w:t xml:space="preserve">decision </w:t>
      </w:r>
      <w:r w:rsidR="00B575FC">
        <w:t xml:space="preserve">on </w:t>
      </w:r>
      <w:r>
        <w:t xml:space="preserve">total connections, new connections and disconnection numbers </w:t>
      </w:r>
    </w:p>
    <w:tbl>
      <w:tblPr>
        <w:tblStyle w:val="AERtable-numbers"/>
        <w:tblW w:w="5000" w:type="pct"/>
        <w:tblLayout w:type="fixed"/>
        <w:tblLook w:val="04A0" w:firstRow="1" w:lastRow="0" w:firstColumn="1" w:lastColumn="0" w:noHBand="0" w:noVBand="1"/>
      </w:tblPr>
      <w:tblGrid>
        <w:gridCol w:w="3255"/>
        <w:gridCol w:w="1087"/>
        <w:gridCol w:w="1088"/>
        <w:gridCol w:w="1088"/>
        <w:gridCol w:w="1088"/>
        <w:gridCol w:w="1087"/>
      </w:tblGrid>
      <w:tr w:rsidR="009430FC" w:rsidRPr="0018218B" w:rsidTr="0041442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2" w:type="pct"/>
            <w:noWrap/>
            <w:hideMark/>
          </w:tcPr>
          <w:p w:rsidR="009430FC" w:rsidRPr="008F0CF0" w:rsidRDefault="009430FC">
            <w:pPr>
              <w:keepNext/>
            </w:pPr>
          </w:p>
        </w:tc>
        <w:tc>
          <w:tcPr>
            <w:tcW w:w="625" w:type="pct"/>
            <w:noWrap/>
            <w:hideMark/>
          </w:tcPr>
          <w:p w:rsidR="009430FC" w:rsidRPr="002A09B6" w:rsidRDefault="009430FC">
            <w:pPr>
              <w:keepNext/>
              <w:cnfStyle w:val="100000000000" w:firstRow="1" w:lastRow="0" w:firstColumn="0" w:lastColumn="0" w:oddVBand="0" w:evenVBand="0" w:oddHBand="0" w:evenHBand="0" w:firstRowFirstColumn="0" w:firstRowLastColumn="0" w:lastRowFirstColumn="0" w:lastRowLastColumn="0"/>
            </w:pPr>
            <w:r>
              <w:t>2016</w:t>
            </w:r>
            <w:r w:rsidRPr="008F0CF0">
              <w:t>–1</w:t>
            </w:r>
            <w:r>
              <w:t>7</w:t>
            </w:r>
          </w:p>
        </w:tc>
        <w:tc>
          <w:tcPr>
            <w:tcW w:w="626" w:type="pct"/>
            <w:noWrap/>
            <w:hideMark/>
          </w:tcPr>
          <w:p w:rsidR="009430FC" w:rsidRPr="002A09B6" w:rsidRDefault="009430FC">
            <w:pPr>
              <w:keepNext/>
              <w:cnfStyle w:val="100000000000" w:firstRow="1" w:lastRow="0" w:firstColumn="0" w:lastColumn="0" w:oddVBand="0" w:evenVBand="0" w:oddHBand="0" w:evenHBand="0" w:firstRowFirstColumn="0" w:firstRowLastColumn="0" w:lastRowFirstColumn="0" w:lastRowLastColumn="0"/>
            </w:pPr>
            <w:r>
              <w:t>2017</w:t>
            </w:r>
            <w:r w:rsidRPr="008F0CF0">
              <w:t>–1</w:t>
            </w:r>
            <w:r>
              <w:t>8</w:t>
            </w:r>
          </w:p>
        </w:tc>
        <w:tc>
          <w:tcPr>
            <w:tcW w:w="626" w:type="pct"/>
            <w:noWrap/>
            <w:hideMark/>
          </w:tcPr>
          <w:p w:rsidR="009430FC" w:rsidRPr="002A09B6" w:rsidRDefault="009430FC">
            <w:pPr>
              <w:keepNext/>
              <w:cnfStyle w:val="100000000000" w:firstRow="1" w:lastRow="0" w:firstColumn="0" w:lastColumn="0" w:oddVBand="0" w:evenVBand="0" w:oddHBand="0" w:evenHBand="0" w:firstRowFirstColumn="0" w:firstRowLastColumn="0" w:lastRowFirstColumn="0" w:lastRowLastColumn="0"/>
            </w:pPr>
            <w:r>
              <w:t>2018</w:t>
            </w:r>
            <w:r w:rsidRPr="008F0CF0">
              <w:t>–1</w:t>
            </w:r>
            <w:r>
              <w:t>9</w:t>
            </w:r>
          </w:p>
        </w:tc>
        <w:tc>
          <w:tcPr>
            <w:tcW w:w="626" w:type="pct"/>
            <w:noWrap/>
            <w:hideMark/>
          </w:tcPr>
          <w:p w:rsidR="009430FC" w:rsidRPr="002A09B6" w:rsidRDefault="009430FC">
            <w:pPr>
              <w:keepNext/>
              <w:cnfStyle w:val="100000000000" w:firstRow="1" w:lastRow="0" w:firstColumn="0" w:lastColumn="0" w:oddVBand="0" w:evenVBand="0" w:oddHBand="0" w:evenHBand="0" w:firstRowFirstColumn="0" w:firstRowLastColumn="0" w:lastRowFirstColumn="0" w:lastRowLastColumn="0"/>
            </w:pPr>
            <w:r>
              <w:t>2019</w:t>
            </w:r>
            <w:r w:rsidRPr="008F0CF0">
              <w:t>–</w:t>
            </w:r>
            <w:r>
              <w:t>20</w:t>
            </w:r>
          </w:p>
        </w:tc>
        <w:tc>
          <w:tcPr>
            <w:tcW w:w="625" w:type="pct"/>
            <w:noWrap/>
            <w:hideMark/>
          </w:tcPr>
          <w:p w:rsidR="009430FC" w:rsidRPr="002A09B6" w:rsidRDefault="009430FC">
            <w:pPr>
              <w:keepNext/>
              <w:cnfStyle w:val="100000000000" w:firstRow="1" w:lastRow="0" w:firstColumn="0" w:lastColumn="0" w:oddVBand="0" w:evenVBand="0" w:oddHBand="0" w:evenHBand="0" w:firstRowFirstColumn="0" w:firstRowLastColumn="0" w:lastRowFirstColumn="0" w:lastRowLastColumn="0"/>
            </w:pPr>
            <w:r>
              <w:t>2020</w:t>
            </w:r>
            <w:r w:rsidRPr="008F0CF0">
              <w:t>–2</w:t>
            </w:r>
            <w:r>
              <w:t>1</w:t>
            </w:r>
          </w:p>
        </w:tc>
      </w:tr>
      <w:tr w:rsidR="009430FC" w:rsidRPr="0018218B" w:rsidTr="00414420">
        <w:trPr>
          <w:trHeight w:val="300"/>
        </w:trPr>
        <w:tc>
          <w:tcPr>
            <w:cnfStyle w:val="001000000000" w:firstRow="0" w:lastRow="0" w:firstColumn="1" w:lastColumn="0" w:oddVBand="0" w:evenVBand="0" w:oddHBand="0" w:evenHBand="0" w:firstRowFirstColumn="0" w:firstRowLastColumn="0" w:lastRowFirstColumn="0" w:lastRowLastColumn="0"/>
            <w:tcW w:w="1872" w:type="pct"/>
            <w:noWrap/>
          </w:tcPr>
          <w:p w:rsidR="009430FC" w:rsidRPr="002A09B6" w:rsidRDefault="009430FC">
            <w:pPr>
              <w:pStyle w:val="HeadingOrange"/>
              <w:keepNext/>
            </w:pPr>
            <w:r>
              <w:t>Total connections</w:t>
            </w:r>
          </w:p>
        </w:tc>
        <w:tc>
          <w:tcPr>
            <w:tcW w:w="625" w:type="pct"/>
            <w:noWrap/>
          </w:tcPr>
          <w:p w:rsidR="009430FC" w:rsidRPr="008F0CF0" w:rsidRDefault="009430FC" w:rsidP="006E19D2">
            <w:pPr>
              <w:keepNext/>
              <w:cnfStyle w:val="000000000000" w:firstRow="0" w:lastRow="0" w:firstColumn="0" w:lastColumn="0" w:oddVBand="0" w:evenVBand="0" w:oddHBand="0" w:evenHBand="0" w:firstRowFirstColumn="0" w:firstRowLastColumn="0" w:lastRowFirstColumn="0" w:lastRowLastColumn="0"/>
            </w:pPr>
          </w:p>
        </w:tc>
        <w:tc>
          <w:tcPr>
            <w:tcW w:w="626" w:type="pct"/>
            <w:noWrap/>
          </w:tcPr>
          <w:p w:rsidR="009430FC" w:rsidRPr="008F0CF0" w:rsidRDefault="009430FC" w:rsidP="006E19D2">
            <w:pPr>
              <w:keepNext/>
              <w:cnfStyle w:val="000000000000" w:firstRow="0" w:lastRow="0" w:firstColumn="0" w:lastColumn="0" w:oddVBand="0" w:evenVBand="0" w:oddHBand="0" w:evenHBand="0" w:firstRowFirstColumn="0" w:firstRowLastColumn="0" w:lastRowFirstColumn="0" w:lastRowLastColumn="0"/>
            </w:pPr>
          </w:p>
        </w:tc>
        <w:tc>
          <w:tcPr>
            <w:tcW w:w="626" w:type="pct"/>
            <w:noWrap/>
          </w:tcPr>
          <w:p w:rsidR="009430FC" w:rsidRPr="008F0CF0" w:rsidRDefault="009430FC" w:rsidP="006E19D2">
            <w:pPr>
              <w:keepNext/>
              <w:cnfStyle w:val="000000000000" w:firstRow="0" w:lastRow="0" w:firstColumn="0" w:lastColumn="0" w:oddVBand="0" w:evenVBand="0" w:oddHBand="0" w:evenHBand="0" w:firstRowFirstColumn="0" w:firstRowLastColumn="0" w:lastRowFirstColumn="0" w:lastRowLastColumn="0"/>
            </w:pPr>
          </w:p>
        </w:tc>
        <w:tc>
          <w:tcPr>
            <w:tcW w:w="626" w:type="pct"/>
            <w:noWrap/>
          </w:tcPr>
          <w:p w:rsidR="009430FC" w:rsidRPr="008F0CF0" w:rsidRDefault="009430FC" w:rsidP="006E19D2">
            <w:pPr>
              <w:keepNext/>
              <w:cnfStyle w:val="000000000000" w:firstRow="0" w:lastRow="0" w:firstColumn="0" w:lastColumn="0" w:oddVBand="0" w:evenVBand="0" w:oddHBand="0" w:evenHBand="0" w:firstRowFirstColumn="0" w:firstRowLastColumn="0" w:lastRowFirstColumn="0" w:lastRowLastColumn="0"/>
            </w:pPr>
          </w:p>
        </w:tc>
        <w:tc>
          <w:tcPr>
            <w:tcW w:w="625" w:type="pct"/>
            <w:noWrap/>
          </w:tcPr>
          <w:p w:rsidR="009430FC" w:rsidRPr="008F0CF0" w:rsidRDefault="009430FC" w:rsidP="006E19D2">
            <w:pPr>
              <w:keepNext/>
              <w:cnfStyle w:val="000000000000" w:firstRow="0" w:lastRow="0" w:firstColumn="0" w:lastColumn="0" w:oddVBand="0" w:evenVBand="0" w:oddHBand="0" w:evenHBand="0" w:firstRowFirstColumn="0" w:firstRowLastColumn="0" w:lastRowFirstColumn="0" w:lastRowLastColumn="0"/>
            </w:pPr>
          </w:p>
        </w:tc>
      </w:tr>
      <w:tr w:rsidR="009430FC" w:rsidRPr="0018218B" w:rsidTr="0041442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2" w:type="pct"/>
            <w:noWrap/>
          </w:tcPr>
          <w:p w:rsidR="009430FC" w:rsidRPr="00960A99" w:rsidRDefault="009430FC">
            <w:pPr>
              <w:keepNext/>
            </w:pPr>
            <w:r w:rsidRPr="00960A99">
              <w:t>Residential</w:t>
            </w:r>
          </w:p>
        </w:tc>
        <w:tc>
          <w:tcPr>
            <w:tcW w:w="625" w:type="pct"/>
            <w:noWrap/>
          </w:tcPr>
          <w:p w:rsidR="009430FC" w:rsidRPr="00987821" w:rsidRDefault="009430FC" w:rsidP="006E19D2">
            <w:pPr>
              <w:keepNext/>
              <w:outlineLvl w:val="0"/>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106" w:name="_Toc433930573"/>
            <w:bookmarkStart w:id="107" w:name="_Toc435427930"/>
            <w:bookmarkStart w:id="108" w:name="_Toc435450832"/>
            <w:r w:rsidRPr="00987821">
              <w:rPr>
                <w:rFonts w:cs="Arial"/>
                <w:color w:val="000000"/>
                <w:szCs w:val="16"/>
              </w:rPr>
              <w:t>137,921</w:t>
            </w:r>
            <w:bookmarkEnd w:id="106"/>
            <w:bookmarkEnd w:id="107"/>
            <w:bookmarkEnd w:id="108"/>
            <w:r w:rsidRPr="00987821">
              <w:rPr>
                <w:rFonts w:cs="Arial"/>
                <w:color w:val="000000"/>
                <w:szCs w:val="16"/>
              </w:rPr>
              <w:t xml:space="preserve"> </w:t>
            </w:r>
          </w:p>
        </w:tc>
        <w:tc>
          <w:tcPr>
            <w:tcW w:w="626" w:type="pct"/>
            <w:noWrap/>
          </w:tcPr>
          <w:p w:rsidR="009430FC" w:rsidRPr="00987821" w:rsidRDefault="009430FC" w:rsidP="006E19D2">
            <w:pPr>
              <w:keepNext/>
              <w:outlineLvl w:val="0"/>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109" w:name="_Toc433930574"/>
            <w:bookmarkStart w:id="110" w:name="_Toc435427931"/>
            <w:bookmarkStart w:id="111" w:name="_Toc435450833"/>
            <w:r w:rsidRPr="00987821">
              <w:rPr>
                <w:rFonts w:cs="Arial"/>
                <w:color w:val="000000"/>
                <w:szCs w:val="16"/>
              </w:rPr>
              <w:t>140,388</w:t>
            </w:r>
            <w:bookmarkEnd w:id="109"/>
            <w:bookmarkEnd w:id="110"/>
            <w:bookmarkEnd w:id="111"/>
            <w:r w:rsidRPr="00987821">
              <w:rPr>
                <w:rFonts w:cs="Arial"/>
                <w:color w:val="000000"/>
                <w:szCs w:val="16"/>
              </w:rPr>
              <w:t xml:space="preserve"> </w:t>
            </w:r>
          </w:p>
        </w:tc>
        <w:tc>
          <w:tcPr>
            <w:tcW w:w="626" w:type="pct"/>
            <w:noWrap/>
          </w:tcPr>
          <w:p w:rsidR="009430FC" w:rsidRPr="00987821" w:rsidRDefault="009430FC" w:rsidP="006E19D2">
            <w:pPr>
              <w:keepNext/>
              <w:outlineLvl w:val="0"/>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112" w:name="_Toc433930575"/>
            <w:bookmarkStart w:id="113" w:name="_Toc435427932"/>
            <w:bookmarkStart w:id="114" w:name="_Toc435450834"/>
            <w:r w:rsidRPr="00987821">
              <w:rPr>
                <w:rFonts w:cs="Arial"/>
                <w:color w:val="000000"/>
                <w:szCs w:val="16"/>
              </w:rPr>
              <w:t>142,815</w:t>
            </w:r>
            <w:bookmarkEnd w:id="112"/>
            <w:bookmarkEnd w:id="113"/>
            <w:bookmarkEnd w:id="114"/>
            <w:r w:rsidRPr="00987821">
              <w:rPr>
                <w:rFonts w:cs="Arial"/>
                <w:color w:val="000000"/>
                <w:szCs w:val="16"/>
              </w:rPr>
              <w:t xml:space="preserve"> </w:t>
            </w:r>
          </w:p>
        </w:tc>
        <w:tc>
          <w:tcPr>
            <w:tcW w:w="626" w:type="pct"/>
            <w:noWrap/>
          </w:tcPr>
          <w:p w:rsidR="009430FC" w:rsidRPr="00987821" w:rsidRDefault="009430FC" w:rsidP="006E19D2">
            <w:pPr>
              <w:keepNext/>
              <w:outlineLvl w:val="0"/>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115" w:name="_Toc433930576"/>
            <w:bookmarkStart w:id="116" w:name="_Toc435427933"/>
            <w:bookmarkStart w:id="117" w:name="_Toc435450835"/>
            <w:r w:rsidRPr="00987821">
              <w:rPr>
                <w:rFonts w:cs="Arial"/>
                <w:color w:val="000000"/>
                <w:szCs w:val="16"/>
              </w:rPr>
              <w:t>145,438</w:t>
            </w:r>
            <w:bookmarkEnd w:id="115"/>
            <w:bookmarkEnd w:id="116"/>
            <w:bookmarkEnd w:id="117"/>
            <w:r w:rsidRPr="00987821">
              <w:rPr>
                <w:rFonts w:cs="Arial"/>
                <w:color w:val="000000"/>
                <w:szCs w:val="16"/>
              </w:rPr>
              <w:t xml:space="preserve"> </w:t>
            </w:r>
          </w:p>
        </w:tc>
        <w:tc>
          <w:tcPr>
            <w:tcW w:w="625" w:type="pct"/>
            <w:noWrap/>
          </w:tcPr>
          <w:p w:rsidR="009430FC" w:rsidRPr="00987821" w:rsidRDefault="009430FC" w:rsidP="006E19D2">
            <w:pPr>
              <w:keepNext/>
              <w:outlineLvl w:val="0"/>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118" w:name="_Toc433930577"/>
            <w:bookmarkStart w:id="119" w:name="_Toc435427934"/>
            <w:bookmarkStart w:id="120" w:name="_Toc435450836"/>
            <w:r w:rsidRPr="00987821">
              <w:rPr>
                <w:rFonts w:cs="Arial"/>
                <w:color w:val="000000"/>
                <w:szCs w:val="16"/>
              </w:rPr>
              <w:t>147,837</w:t>
            </w:r>
            <w:bookmarkEnd w:id="118"/>
            <w:bookmarkEnd w:id="119"/>
            <w:bookmarkEnd w:id="120"/>
            <w:r w:rsidRPr="00987821">
              <w:rPr>
                <w:rFonts w:cs="Arial"/>
                <w:color w:val="000000"/>
                <w:szCs w:val="16"/>
              </w:rPr>
              <w:t xml:space="preserve"> </w:t>
            </w:r>
          </w:p>
        </w:tc>
      </w:tr>
      <w:tr w:rsidR="009430FC" w:rsidRPr="0018218B" w:rsidTr="00414420">
        <w:trPr>
          <w:trHeight w:val="300"/>
        </w:trPr>
        <w:tc>
          <w:tcPr>
            <w:cnfStyle w:val="001000000000" w:firstRow="0" w:lastRow="0" w:firstColumn="1" w:lastColumn="0" w:oddVBand="0" w:evenVBand="0" w:oddHBand="0" w:evenHBand="0" w:firstRowFirstColumn="0" w:firstRowLastColumn="0" w:lastRowFirstColumn="0" w:lastRowLastColumn="0"/>
            <w:tcW w:w="1872" w:type="pct"/>
            <w:noWrap/>
          </w:tcPr>
          <w:p w:rsidR="009430FC" w:rsidRPr="00960A99" w:rsidRDefault="009430FC" w:rsidP="006E19D2">
            <w:pPr>
              <w:keepNext/>
            </w:pPr>
            <w:r>
              <w:t xml:space="preserve">Commercial </w:t>
            </w:r>
            <w:r w:rsidRPr="00960A99">
              <w:t xml:space="preserve"> </w:t>
            </w:r>
          </w:p>
        </w:tc>
        <w:tc>
          <w:tcPr>
            <w:tcW w:w="625" w:type="pct"/>
            <w:noWrap/>
          </w:tcPr>
          <w:p w:rsidR="009430FC" w:rsidRPr="00987821" w:rsidRDefault="009430FC" w:rsidP="006E19D2">
            <w:pPr>
              <w:keepNext/>
              <w:outlineLvl w:val="0"/>
              <w:cnfStyle w:val="000000000000" w:firstRow="0" w:lastRow="0" w:firstColumn="0" w:lastColumn="0" w:oddVBand="0" w:evenVBand="0" w:oddHBand="0" w:evenHBand="0" w:firstRowFirstColumn="0" w:firstRowLastColumn="0" w:lastRowFirstColumn="0" w:lastRowLastColumn="0"/>
              <w:rPr>
                <w:rFonts w:cs="Arial"/>
                <w:color w:val="000000"/>
                <w:szCs w:val="16"/>
              </w:rPr>
            </w:pPr>
            <w:bookmarkStart w:id="121" w:name="_Toc433930578"/>
            <w:bookmarkStart w:id="122" w:name="_Toc435427935"/>
            <w:bookmarkStart w:id="123" w:name="_Toc435450837"/>
            <w:r w:rsidRPr="00987821">
              <w:rPr>
                <w:rFonts w:cs="Arial"/>
                <w:color w:val="000000"/>
                <w:szCs w:val="16"/>
              </w:rPr>
              <w:t>3,572</w:t>
            </w:r>
            <w:bookmarkEnd w:id="121"/>
            <w:bookmarkEnd w:id="122"/>
            <w:bookmarkEnd w:id="123"/>
            <w:r w:rsidRPr="00987821">
              <w:rPr>
                <w:rFonts w:cs="Arial"/>
                <w:color w:val="000000"/>
                <w:szCs w:val="16"/>
              </w:rPr>
              <w:t xml:space="preserve"> </w:t>
            </w:r>
          </w:p>
        </w:tc>
        <w:tc>
          <w:tcPr>
            <w:tcW w:w="626" w:type="pct"/>
            <w:noWrap/>
          </w:tcPr>
          <w:p w:rsidR="009430FC" w:rsidRPr="00987821" w:rsidRDefault="009430FC" w:rsidP="006E19D2">
            <w:pPr>
              <w:keepNext/>
              <w:outlineLvl w:val="0"/>
              <w:cnfStyle w:val="000000000000" w:firstRow="0" w:lastRow="0" w:firstColumn="0" w:lastColumn="0" w:oddVBand="0" w:evenVBand="0" w:oddHBand="0" w:evenHBand="0" w:firstRowFirstColumn="0" w:firstRowLastColumn="0" w:lastRowFirstColumn="0" w:lastRowLastColumn="0"/>
              <w:rPr>
                <w:rFonts w:cs="Arial"/>
                <w:color w:val="000000"/>
                <w:szCs w:val="16"/>
              </w:rPr>
            </w:pPr>
            <w:bookmarkStart w:id="124" w:name="_Toc433930579"/>
            <w:bookmarkStart w:id="125" w:name="_Toc435427936"/>
            <w:bookmarkStart w:id="126" w:name="_Toc435450838"/>
            <w:r w:rsidRPr="00987821">
              <w:rPr>
                <w:rFonts w:cs="Arial"/>
                <w:color w:val="000000"/>
                <w:szCs w:val="16"/>
              </w:rPr>
              <w:t>3,680</w:t>
            </w:r>
            <w:bookmarkEnd w:id="124"/>
            <w:bookmarkEnd w:id="125"/>
            <w:bookmarkEnd w:id="126"/>
            <w:r w:rsidRPr="00987821">
              <w:rPr>
                <w:rFonts w:cs="Arial"/>
                <w:color w:val="000000"/>
                <w:szCs w:val="16"/>
              </w:rPr>
              <w:t xml:space="preserve"> </w:t>
            </w:r>
          </w:p>
        </w:tc>
        <w:tc>
          <w:tcPr>
            <w:tcW w:w="626" w:type="pct"/>
            <w:noWrap/>
          </w:tcPr>
          <w:p w:rsidR="009430FC" w:rsidRPr="00987821" w:rsidRDefault="009430FC" w:rsidP="006E19D2">
            <w:pPr>
              <w:keepNext/>
              <w:outlineLvl w:val="0"/>
              <w:cnfStyle w:val="000000000000" w:firstRow="0" w:lastRow="0" w:firstColumn="0" w:lastColumn="0" w:oddVBand="0" w:evenVBand="0" w:oddHBand="0" w:evenHBand="0" w:firstRowFirstColumn="0" w:firstRowLastColumn="0" w:lastRowFirstColumn="0" w:lastRowLastColumn="0"/>
              <w:rPr>
                <w:rFonts w:cs="Arial"/>
                <w:color w:val="000000"/>
                <w:szCs w:val="16"/>
              </w:rPr>
            </w:pPr>
            <w:bookmarkStart w:id="127" w:name="_Toc433930580"/>
            <w:bookmarkStart w:id="128" w:name="_Toc435427937"/>
            <w:bookmarkStart w:id="129" w:name="_Toc435450839"/>
            <w:r w:rsidRPr="00987821">
              <w:rPr>
                <w:rFonts w:cs="Arial"/>
                <w:color w:val="000000"/>
                <w:szCs w:val="16"/>
              </w:rPr>
              <w:t>3,792</w:t>
            </w:r>
            <w:bookmarkEnd w:id="127"/>
            <w:bookmarkEnd w:id="128"/>
            <w:bookmarkEnd w:id="129"/>
            <w:r w:rsidRPr="00987821">
              <w:rPr>
                <w:rFonts w:cs="Arial"/>
                <w:color w:val="000000"/>
                <w:szCs w:val="16"/>
              </w:rPr>
              <w:t xml:space="preserve"> </w:t>
            </w:r>
          </w:p>
        </w:tc>
        <w:tc>
          <w:tcPr>
            <w:tcW w:w="626" w:type="pct"/>
            <w:noWrap/>
          </w:tcPr>
          <w:p w:rsidR="009430FC" w:rsidRPr="00987821" w:rsidRDefault="009430FC" w:rsidP="006E19D2">
            <w:pPr>
              <w:keepNext/>
              <w:outlineLvl w:val="0"/>
              <w:cnfStyle w:val="000000000000" w:firstRow="0" w:lastRow="0" w:firstColumn="0" w:lastColumn="0" w:oddVBand="0" w:evenVBand="0" w:oddHBand="0" w:evenHBand="0" w:firstRowFirstColumn="0" w:firstRowLastColumn="0" w:lastRowFirstColumn="0" w:lastRowLastColumn="0"/>
              <w:rPr>
                <w:rFonts w:cs="Arial"/>
                <w:color w:val="000000"/>
                <w:szCs w:val="16"/>
              </w:rPr>
            </w:pPr>
            <w:bookmarkStart w:id="130" w:name="_Toc433930581"/>
            <w:bookmarkStart w:id="131" w:name="_Toc435427938"/>
            <w:bookmarkStart w:id="132" w:name="_Toc435450840"/>
            <w:r w:rsidRPr="00987821">
              <w:rPr>
                <w:rFonts w:cs="Arial"/>
                <w:color w:val="000000"/>
                <w:szCs w:val="16"/>
              </w:rPr>
              <w:t>3,907</w:t>
            </w:r>
            <w:bookmarkEnd w:id="130"/>
            <w:bookmarkEnd w:id="131"/>
            <w:bookmarkEnd w:id="132"/>
            <w:r w:rsidRPr="00987821">
              <w:rPr>
                <w:rFonts w:cs="Arial"/>
                <w:color w:val="000000"/>
                <w:szCs w:val="16"/>
              </w:rPr>
              <w:t xml:space="preserve"> </w:t>
            </w:r>
          </w:p>
        </w:tc>
        <w:tc>
          <w:tcPr>
            <w:tcW w:w="625" w:type="pct"/>
            <w:noWrap/>
          </w:tcPr>
          <w:p w:rsidR="009430FC" w:rsidRPr="00987821" w:rsidRDefault="009430FC" w:rsidP="006E19D2">
            <w:pPr>
              <w:keepNext/>
              <w:outlineLvl w:val="0"/>
              <w:cnfStyle w:val="000000000000" w:firstRow="0" w:lastRow="0" w:firstColumn="0" w:lastColumn="0" w:oddVBand="0" w:evenVBand="0" w:oddHBand="0" w:evenHBand="0" w:firstRowFirstColumn="0" w:firstRowLastColumn="0" w:lastRowFirstColumn="0" w:lastRowLastColumn="0"/>
              <w:rPr>
                <w:rFonts w:cs="Arial"/>
                <w:color w:val="000000"/>
                <w:szCs w:val="16"/>
              </w:rPr>
            </w:pPr>
            <w:bookmarkStart w:id="133" w:name="_Toc433930582"/>
            <w:bookmarkStart w:id="134" w:name="_Toc435427939"/>
            <w:bookmarkStart w:id="135" w:name="_Toc435450841"/>
            <w:r w:rsidRPr="00987821">
              <w:rPr>
                <w:rFonts w:cs="Arial"/>
                <w:color w:val="000000"/>
                <w:szCs w:val="16"/>
              </w:rPr>
              <w:t>4,025</w:t>
            </w:r>
            <w:bookmarkEnd w:id="133"/>
            <w:bookmarkEnd w:id="134"/>
            <w:bookmarkEnd w:id="135"/>
            <w:r w:rsidRPr="00987821">
              <w:rPr>
                <w:rFonts w:cs="Arial"/>
                <w:color w:val="000000"/>
                <w:szCs w:val="16"/>
              </w:rPr>
              <w:t xml:space="preserve"> </w:t>
            </w:r>
          </w:p>
        </w:tc>
      </w:tr>
      <w:tr w:rsidR="009430FC" w:rsidRPr="0018218B" w:rsidTr="0041442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2" w:type="pct"/>
            <w:noWrap/>
          </w:tcPr>
          <w:p w:rsidR="009430FC" w:rsidRPr="00960A99" w:rsidRDefault="009430FC" w:rsidP="006E19D2">
            <w:pPr>
              <w:keepNext/>
            </w:pPr>
            <w:r w:rsidRPr="00960A99">
              <w:t xml:space="preserve">Tariff D </w:t>
            </w:r>
          </w:p>
        </w:tc>
        <w:tc>
          <w:tcPr>
            <w:tcW w:w="625" w:type="pct"/>
            <w:noWrap/>
          </w:tcPr>
          <w:p w:rsidR="009430FC" w:rsidRPr="00987821" w:rsidRDefault="009430FC" w:rsidP="006E19D2">
            <w:pPr>
              <w:keepNext/>
              <w:outlineLvl w:val="0"/>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136" w:name="_Toc433930583"/>
            <w:bookmarkStart w:id="137" w:name="_Toc435427940"/>
            <w:bookmarkStart w:id="138" w:name="_Toc435450842"/>
            <w:r w:rsidRPr="00987821">
              <w:rPr>
                <w:rFonts w:cs="Arial"/>
                <w:color w:val="000000"/>
                <w:szCs w:val="16"/>
              </w:rPr>
              <w:t>40</w:t>
            </w:r>
            <w:bookmarkEnd w:id="136"/>
            <w:bookmarkEnd w:id="137"/>
            <w:bookmarkEnd w:id="138"/>
            <w:r w:rsidRPr="00987821">
              <w:rPr>
                <w:rFonts w:cs="Arial"/>
                <w:color w:val="000000"/>
                <w:szCs w:val="16"/>
              </w:rPr>
              <w:t xml:space="preserve"> </w:t>
            </w:r>
          </w:p>
        </w:tc>
        <w:tc>
          <w:tcPr>
            <w:tcW w:w="626" w:type="pct"/>
            <w:noWrap/>
          </w:tcPr>
          <w:p w:rsidR="009430FC" w:rsidRPr="00987821" w:rsidRDefault="009430FC" w:rsidP="006E19D2">
            <w:pPr>
              <w:keepNext/>
              <w:outlineLvl w:val="0"/>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139" w:name="_Toc433930584"/>
            <w:bookmarkStart w:id="140" w:name="_Toc435427941"/>
            <w:bookmarkStart w:id="141" w:name="_Toc435450843"/>
            <w:r w:rsidRPr="00987821">
              <w:rPr>
                <w:rFonts w:cs="Arial"/>
                <w:color w:val="000000"/>
                <w:szCs w:val="16"/>
              </w:rPr>
              <w:t>40</w:t>
            </w:r>
            <w:bookmarkEnd w:id="139"/>
            <w:bookmarkEnd w:id="140"/>
            <w:bookmarkEnd w:id="141"/>
            <w:r w:rsidRPr="00987821">
              <w:rPr>
                <w:rFonts w:cs="Arial"/>
                <w:color w:val="000000"/>
                <w:szCs w:val="16"/>
              </w:rPr>
              <w:t xml:space="preserve"> </w:t>
            </w:r>
          </w:p>
        </w:tc>
        <w:tc>
          <w:tcPr>
            <w:tcW w:w="626" w:type="pct"/>
            <w:noWrap/>
          </w:tcPr>
          <w:p w:rsidR="009430FC" w:rsidRPr="00987821" w:rsidRDefault="009430FC" w:rsidP="006E19D2">
            <w:pPr>
              <w:keepNext/>
              <w:outlineLvl w:val="0"/>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142" w:name="_Toc433930585"/>
            <w:bookmarkStart w:id="143" w:name="_Toc435427942"/>
            <w:bookmarkStart w:id="144" w:name="_Toc435450844"/>
            <w:r w:rsidRPr="00987821">
              <w:rPr>
                <w:rFonts w:cs="Arial"/>
                <w:color w:val="000000"/>
                <w:szCs w:val="16"/>
              </w:rPr>
              <w:t>40</w:t>
            </w:r>
            <w:bookmarkEnd w:id="142"/>
            <w:bookmarkEnd w:id="143"/>
            <w:bookmarkEnd w:id="144"/>
            <w:r w:rsidRPr="00987821">
              <w:rPr>
                <w:rFonts w:cs="Arial"/>
                <w:color w:val="000000"/>
                <w:szCs w:val="16"/>
              </w:rPr>
              <w:t xml:space="preserve"> </w:t>
            </w:r>
          </w:p>
        </w:tc>
        <w:tc>
          <w:tcPr>
            <w:tcW w:w="626" w:type="pct"/>
            <w:noWrap/>
          </w:tcPr>
          <w:p w:rsidR="009430FC" w:rsidRPr="00987821" w:rsidRDefault="009430FC" w:rsidP="006E19D2">
            <w:pPr>
              <w:keepNext/>
              <w:outlineLvl w:val="0"/>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145" w:name="_Toc433930586"/>
            <w:bookmarkStart w:id="146" w:name="_Toc435427943"/>
            <w:bookmarkStart w:id="147" w:name="_Toc435450845"/>
            <w:r w:rsidRPr="00987821">
              <w:rPr>
                <w:rFonts w:cs="Arial"/>
                <w:color w:val="000000"/>
                <w:szCs w:val="16"/>
              </w:rPr>
              <w:t>40</w:t>
            </w:r>
            <w:bookmarkEnd w:id="145"/>
            <w:bookmarkEnd w:id="146"/>
            <w:bookmarkEnd w:id="147"/>
            <w:r w:rsidRPr="00987821">
              <w:rPr>
                <w:rFonts w:cs="Arial"/>
                <w:color w:val="000000"/>
                <w:szCs w:val="16"/>
              </w:rPr>
              <w:t xml:space="preserve"> </w:t>
            </w:r>
          </w:p>
        </w:tc>
        <w:tc>
          <w:tcPr>
            <w:tcW w:w="625" w:type="pct"/>
            <w:noWrap/>
          </w:tcPr>
          <w:p w:rsidR="009430FC" w:rsidRPr="00987821" w:rsidRDefault="009430FC" w:rsidP="006E19D2">
            <w:pPr>
              <w:keepNext/>
              <w:outlineLvl w:val="0"/>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148" w:name="_Toc433930587"/>
            <w:bookmarkStart w:id="149" w:name="_Toc435427944"/>
            <w:bookmarkStart w:id="150" w:name="_Toc435450846"/>
            <w:r w:rsidRPr="00987821">
              <w:rPr>
                <w:rFonts w:cs="Arial"/>
                <w:color w:val="000000"/>
                <w:szCs w:val="16"/>
              </w:rPr>
              <w:t>40</w:t>
            </w:r>
            <w:bookmarkEnd w:id="148"/>
            <w:bookmarkEnd w:id="149"/>
            <w:bookmarkEnd w:id="150"/>
            <w:r w:rsidRPr="00987821">
              <w:rPr>
                <w:rFonts w:cs="Arial"/>
                <w:color w:val="000000"/>
                <w:szCs w:val="16"/>
              </w:rPr>
              <w:t xml:space="preserve"> </w:t>
            </w:r>
          </w:p>
        </w:tc>
      </w:tr>
      <w:tr w:rsidR="009430FC" w:rsidRPr="0018218B" w:rsidTr="00414420">
        <w:trPr>
          <w:trHeight w:val="300"/>
        </w:trPr>
        <w:tc>
          <w:tcPr>
            <w:cnfStyle w:val="001000000000" w:firstRow="0" w:lastRow="0" w:firstColumn="1" w:lastColumn="0" w:oddVBand="0" w:evenVBand="0" w:oddHBand="0" w:evenHBand="0" w:firstRowFirstColumn="0" w:firstRowLastColumn="0" w:lastRowFirstColumn="0" w:lastRowLastColumn="0"/>
            <w:tcW w:w="1872" w:type="pct"/>
            <w:noWrap/>
          </w:tcPr>
          <w:p w:rsidR="009430FC" w:rsidRPr="002A09B6" w:rsidRDefault="009430FC" w:rsidP="006E19D2">
            <w:pPr>
              <w:pStyle w:val="HeadingOrange"/>
              <w:keepNext/>
              <w:rPr>
                <w:rStyle w:val="AERtextitalic"/>
                <w:rFonts w:eastAsia="Calibri" w:cs="Times New Roman"/>
                <w:b w:val="0"/>
                <w:color w:val="auto"/>
              </w:rPr>
            </w:pPr>
            <w:r>
              <w:t>New connections</w:t>
            </w:r>
          </w:p>
        </w:tc>
        <w:tc>
          <w:tcPr>
            <w:tcW w:w="625" w:type="pct"/>
            <w:noWrap/>
          </w:tcPr>
          <w:p w:rsidR="009430FC" w:rsidRPr="008F0CF0" w:rsidRDefault="009430FC" w:rsidP="006E19D2">
            <w:pPr>
              <w:keepNext/>
              <w:cnfStyle w:val="000000000000" w:firstRow="0" w:lastRow="0" w:firstColumn="0" w:lastColumn="0" w:oddVBand="0" w:evenVBand="0" w:oddHBand="0" w:evenHBand="0" w:firstRowFirstColumn="0" w:firstRowLastColumn="0" w:lastRowFirstColumn="0" w:lastRowLastColumn="0"/>
            </w:pPr>
          </w:p>
        </w:tc>
        <w:tc>
          <w:tcPr>
            <w:tcW w:w="626" w:type="pct"/>
            <w:noWrap/>
          </w:tcPr>
          <w:p w:rsidR="009430FC" w:rsidRPr="008F0CF0" w:rsidRDefault="009430FC" w:rsidP="006E19D2">
            <w:pPr>
              <w:keepNext/>
              <w:cnfStyle w:val="000000000000" w:firstRow="0" w:lastRow="0" w:firstColumn="0" w:lastColumn="0" w:oddVBand="0" w:evenVBand="0" w:oddHBand="0" w:evenHBand="0" w:firstRowFirstColumn="0" w:firstRowLastColumn="0" w:lastRowFirstColumn="0" w:lastRowLastColumn="0"/>
            </w:pPr>
          </w:p>
        </w:tc>
        <w:tc>
          <w:tcPr>
            <w:tcW w:w="626" w:type="pct"/>
            <w:noWrap/>
          </w:tcPr>
          <w:p w:rsidR="009430FC" w:rsidRPr="008F0CF0" w:rsidRDefault="009430FC" w:rsidP="006E19D2">
            <w:pPr>
              <w:keepNext/>
              <w:cnfStyle w:val="000000000000" w:firstRow="0" w:lastRow="0" w:firstColumn="0" w:lastColumn="0" w:oddVBand="0" w:evenVBand="0" w:oddHBand="0" w:evenHBand="0" w:firstRowFirstColumn="0" w:firstRowLastColumn="0" w:lastRowFirstColumn="0" w:lastRowLastColumn="0"/>
            </w:pPr>
          </w:p>
        </w:tc>
        <w:tc>
          <w:tcPr>
            <w:tcW w:w="626" w:type="pct"/>
            <w:noWrap/>
          </w:tcPr>
          <w:p w:rsidR="009430FC" w:rsidRPr="008F0CF0" w:rsidRDefault="009430FC" w:rsidP="006E19D2">
            <w:pPr>
              <w:keepNext/>
              <w:cnfStyle w:val="000000000000" w:firstRow="0" w:lastRow="0" w:firstColumn="0" w:lastColumn="0" w:oddVBand="0" w:evenVBand="0" w:oddHBand="0" w:evenHBand="0" w:firstRowFirstColumn="0" w:firstRowLastColumn="0" w:lastRowFirstColumn="0" w:lastRowLastColumn="0"/>
            </w:pPr>
          </w:p>
        </w:tc>
        <w:tc>
          <w:tcPr>
            <w:tcW w:w="625" w:type="pct"/>
            <w:noWrap/>
          </w:tcPr>
          <w:p w:rsidR="009430FC" w:rsidRPr="008F0CF0" w:rsidRDefault="009430FC" w:rsidP="006E19D2">
            <w:pPr>
              <w:keepNext/>
              <w:cnfStyle w:val="000000000000" w:firstRow="0" w:lastRow="0" w:firstColumn="0" w:lastColumn="0" w:oddVBand="0" w:evenVBand="0" w:oddHBand="0" w:evenHBand="0" w:firstRowFirstColumn="0" w:firstRowLastColumn="0" w:lastRowFirstColumn="0" w:lastRowLastColumn="0"/>
            </w:pPr>
          </w:p>
        </w:tc>
      </w:tr>
      <w:tr w:rsidR="009430FC" w:rsidRPr="0018218B" w:rsidTr="0041442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2" w:type="pct"/>
            <w:noWrap/>
          </w:tcPr>
          <w:p w:rsidR="009430FC" w:rsidRPr="00960A99" w:rsidRDefault="009430FC" w:rsidP="006E19D2">
            <w:pPr>
              <w:keepNext/>
            </w:pPr>
            <w:r>
              <w:t>Exi</w:t>
            </w:r>
            <w:r w:rsidR="00923D4B">
              <w:t>s</w:t>
            </w:r>
            <w:r>
              <w:t>ting connections from FY2014</w:t>
            </w:r>
          </w:p>
        </w:tc>
        <w:tc>
          <w:tcPr>
            <w:tcW w:w="625" w:type="pct"/>
            <w:noWrap/>
          </w:tcPr>
          <w:p w:rsidR="009430FC" w:rsidRDefault="009430FC" w:rsidP="006E19D2">
            <w:pPr>
              <w:keepNext/>
              <w:outlineLvl w:val="0"/>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151" w:name="_Toc433930588"/>
            <w:bookmarkStart w:id="152" w:name="_Toc435427945"/>
            <w:bookmarkStart w:id="153" w:name="_Toc435450847"/>
            <w:r>
              <w:rPr>
                <w:rFonts w:cs="Arial"/>
                <w:color w:val="000000"/>
                <w:szCs w:val="16"/>
              </w:rPr>
              <w:t>128,406</w:t>
            </w:r>
            <w:bookmarkEnd w:id="151"/>
            <w:bookmarkEnd w:id="152"/>
            <w:bookmarkEnd w:id="153"/>
            <w:r>
              <w:rPr>
                <w:rFonts w:cs="Arial"/>
                <w:color w:val="000000"/>
                <w:szCs w:val="16"/>
              </w:rPr>
              <w:t xml:space="preserve"> </w:t>
            </w:r>
          </w:p>
        </w:tc>
        <w:tc>
          <w:tcPr>
            <w:tcW w:w="626" w:type="pct"/>
            <w:noWrap/>
          </w:tcPr>
          <w:p w:rsidR="009430FC" w:rsidRDefault="009430FC" w:rsidP="006E19D2">
            <w:pPr>
              <w:keepNext/>
              <w:outlineLvl w:val="0"/>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154" w:name="_Toc433930589"/>
            <w:bookmarkStart w:id="155" w:name="_Toc435427946"/>
            <w:bookmarkStart w:id="156" w:name="_Toc435450848"/>
            <w:r>
              <w:rPr>
                <w:rFonts w:cs="Arial"/>
                <w:color w:val="000000"/>
                <w:szCs w:val="16"/>
              </w:rPr>
              <w:t>127,436</w:t>
            </w:r>
            <w:bookmarkEnd w:id="154"/>
            <w:bookmarkEnd w:id="155"/>
            <w:bookmarkEnd w:id="156"/>
            <w:r>
              <w:rPr>
                <w:rFonts w:cs="Arial"/>
                <w:color w:val="000000"/>
                <w:szCs w:val="16"/>
              </w:rPr>
              <w:t xml:space="preserve"> </w:t>
            </w:r>
          </w:p>
        </w:tc>
        <w:tc>
          <w:tcPr>
            <w:tcW w:w="626" w:type="pct"/>
            <w:noWrap/>
          </w:tcPr>
          <w:p w:rsidR="009430FC" w:rsidRDefault="009430FC" w:rsidP="006E19D2">
            <w:pPr>
              <w:keepNext/>
              <w:outlineLvl w:val="0"/>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157" w:name="_Toc433930590"/>
            <w:bookmarkStart w:id="158" w:name="_Toc435427947"/>
            <w:bookmarkStart w:id="159" w:name="_Toc435450849"/>
            <w:r>
              <w:rPr>
                <w:rFonts w:cs="Arial"/>
                <w:color w:val="000000"/>
                <w:szCs w:val="16"/>
              </w:rPr>
              <w:t>126,451</w:t>
            </w:r>
            <w:bookmarkEnd w:id="157"/>
            <w:bookmarkEnd w:id="158"/>
            <w:bookmarkEnd w:id="159"/>
            <w:r>
              <w:rPr>
                <w:rFonts w:cs="Arial"/>
                <w:color w:val="000000"/>
                <w:szCs w:val="16"/>
              </w:rPr>
              <w:t xml:space="preserve"> </w:t>
            </w:r>
          </w:p>
        </w:tc>
        <w:tc>
          <w:tcPr>
            <w:tcW w:w="626" w:type="pct"/>
            <w:noWrap/>
          </w:tcPr>
          <w:p w:rsidR="009430FC" w:rsidRDefault="009430FC" w:rsidP="006E19D2">
            <w:pPr>
              <w:keepNext/>
              <w:outlineLvl w:val="0"/>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160" w:name="_Toc433930591"/>
            <w:bookmarkStart w:id="161" w:name="_Toc435427948"/>
            <w:bookmarkStart w:id="162" w:name="_Toc435450850"/>
            <w:r>
              <w:rPr>
                <w:rFonts w:cs="Arial"/>
                <w:color w:val="000000"/>
                <w:szCs w:val="16"/>
              </w:rPr>
              <w:t>125,664</w:t>
            </w:r>
            <w:bookmarkEnd w:id="160"/>
            <w:bookmarkEnd w:id="161"/>
            <w:bookmarkEnd w:id="162"/>
            <w:r>
              <w:rPr>
                <w:rFonts w:cs="Arial"/>
                <w:color w:val="000000"/>
                <w:szCs w:val="16"/>
              </w:rPr>
              <w:t xml:space="preserve"> </w:t>
            </w:r>
          </w:p>
        </w:tc>
        <w:tc>
          <w:tcPr>
            <w:tcW w:w="625" w:type="pct"/>
            <w:noWrap/>
          </w:tcPr>
          <w:p w:rsidR="009430FC" w:rsidRDefault="009430FC" w:rsidP="006E19D2">
            <w:pPr>
              <w:keepNext/>
              <w:outlineLvl w:val="0"/>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163" w:name="_Toc433930592"/>
            <w:bookmarkStart w:id="164" w:name="_Toc435427949"/>
            <w:bookmarkStart w:id="165" w:name="_Toc435450851"/>
            <w:r>
              <w:rPr>
                <w:rFonts w:cs="Arial"/>
                <w:color w:val="000000"/>
                <w:szCs w:val="16"/>
              </w:rPr>
              <w:t>124,862</w:t>
            </w:r>
            <w:bookmarkEnd w:id="163"/>
            <w:bookmarkEnd w:id="164"/>
            <w:bookmarkEnd w:id="165"/>
            <w:r>
              <w:rPr>
                <w:rFonts w:cs="Arial"/>
                <w:color w:val="000000"/>
                <w:szCs w:val="16"/>
              </w:rPr>
              <w:t xml:space="preserve"> </w:t>
            </w:r>
          </w:p>
        </w:tc>
      </w:tr>
      <w:tr w:rsidR="009430FC" w:rsidRPr="0018218B" w:rsidTr="00414420">
        <w:trPr>
          <w:trHeight w:val="300"/>
        </w:trPr>
        <w:tc>
          <w:tcPr>
            <w:cnfStyle w:val="001000000000" w:firstRow="0" w:lastRow="0" w:firstColumn="1" w:lastColumn="0" w:oddVBand="0" w:evenVBand="0" w:oddHBand="0" w:evenHBand="0" w:firstRowFirstColumn="0" w:firstRowLastColumn="0" w:lastRowFirstColumn="0" w:lastRowLastColumn="0"/>
            <w:tcW w:w="1872" w:type="pct"/>
            <w:noWrap/>
          </w:tcPr>
          <w:p w:rsidR="009430FC" w:rsidRPr="00601A03" w:rsidRDefault="009430FC" w:rsidP="006E19D2">
            <w:pPr>
              <w:keepNext/>
              <w:rPr>
                <w:vertAlign w:val="superscript"/>
              </w:rPr>
            </w:pPr>
            <w:r w:rsidRPr="00960A99">
              <w:t>Electricity to gas</w:t>
            </w:r>
            <w:r w:rsidR="00601A03">
              <w:rPr>
                <w:vertAlign w:val="superscript"/>
              </w:rPr>
              <w:t>a</w:t>
            </w:r>
          </w:p>
        </w:tc>
        <w:tc>
          <w:tcPr>
            <w:tcW w:w="625" w:type="pct"/>
            <w:noWrap/>
          </w:tcPr>
          <w:p w:rsidR="009430FC" w:rsidRPr="000923CD" w:rsidRDefault="009430FC" w:rsidP="006E19D2">
            <w:pPr>
              <w:keepNext/>
              <w:cnfStyle w:val="000000000000" w:firstRow="0" w:lastRow="0" w:firstColumn="0" w:lastColumn="0" w:oddVBand="0" w:evenVBand="0" w:oddHBand="0" w:evenHBand="0" w:firstRowFirstColumn="0" w:firstRowLastColumn="0" w:lastRowFirstColumn="0" w:lastRowLastColumn="0"/>
            </w:pPr>
            <w:r w:rsidRPr="000923CD">
              <w:t>768</w:t>
            </w:r>
          </w:p>
        </w:tc>
        <w:tc>
          <w:tcPr>
            <w:tcW w:w="626" w:type="pct"/>
            <w:noWrap/>
          </w:tcPr>
          <w:p w:rsidR="009430FC" w:rsidRPr="000923CD" w:rsidRDefault="009430FC" w:rsidP="006E19D2">
            <w:pPr>
              <w:keepNext/>
              <w:cnfStyle w:val="000000000000" w:firstRow="0" w:lastRow="0" w:firstColumn="0" w:lastColumn="0" w:oddVBand="0" w:evenVBand="0" w:oddHBand="0" w:evenHBand="0" w:firstRowFirstColumn="0" w:firstRowLastColumn="0" w:lastRowFirstColumn="0" w:lastRowLastColumn="0"/>
            </w:pPr>
            <w:r w:rsidRPr="000923CD">
              <w:t>768</w:t>
            </w:r>
          </w:p>
        </w:tc>
        <w:tc>
          <w:tcPr>
            <w:tcW w:w="626" w:type="pct"/>
            <w:noWrap/>
          </w:tcPr>
          <w:p w:rsidR="009430FC" w:rsidRPr="000923CD" w:rsidRDefault="009430FC" w:rsidP="006E19D2">
            <w:pPr>
              <w:keepNext/>
              <w:cnfStyle w:val="000000000000" w:firstRow="0" w:lastRow="0" w:firstColumn="0" w:lastColumn="0" w:oddVBand="0" w:evenVBand="0" w:oddHBand="0" w:evenHBand="0" w:firstRowFirstColumn="0" w:firstRowLastColumn="0" w:lastRowFirstColumn="0" w:lastRowLastColumn="0"/>
            </w:pPr>
            <w:r w:rsidRPr="000923CD">
              <w:t>768</w:t>
            </w:r>
          </w:p>
        </w:tc>
        <w:tc>
          <w:tcPr>
            <w:tcW w:w="626" w:type="pct"/>
            <w:noWrap/>
          </w:tcPr>
          <w:p w:rsidR="009430FC" w:rsidRPr="000923CD" w:rsidRDefault="009430FC" w:rsidP="006E19D2">
            <w:pPr>
              <w:keepNext/>
              <w:cnfStyle w:val="000000000000" w:firstRow="0" w:lastRow="0" w:firstColumn="0" w:lastColumn="0" w:oddVBand="0" w:evenVBand="0" w:oddHBand="0" w:evenHBand="0" w:firstRowFirstColumn="0" w:firstRowLastColumn="0" w:lastRowFirstColumn="0" w:lastRowLastColumn="0"/>
            </w:pPr>
            <w:r w:rsidRPr="000923CD">
              <w:t>768</w:t>
            </w:r>
          </w:p>
        </w:tc>
        <w:tc>
          <w:tcPr>
            <w:tcW w:w="625" w:type="pct"/>
            <w:noWrap/>
          </w:tcPr>
          <w:p w:rsidR="009430FC" w:rsidRPr="000923CD" w:rsidRDefault="009430FC" w:rsidP="006E19D2">
            <w:pPr>
              <w:keepNext/>
              <w:cnfStyle w:val="000000000000" w:firstRow="0" w:lastRow="0" w:firstColumn="0" w:lastColumn="0" w:oddVBand="0" w:evenVBand="0" w:oddHBand="0" w:evenHBand="0" w:firstRowFirstColumn="0" w:firstRowLastColumn="0" w:lastRowFirstColumn="0" w:lastRowLastColumn="0"/>
            </w:pPr>
            <w:r w:rsidRPr="000923CD">
              <w:t>768</w:t>
            </w:r>
          </w:p>
        </w:tc>
      </w:tr>
      <w:tr w:rsidR="009430FC" w:rsidRPr="0018218B" w:rsidTr="0041442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2" w:type="pct"/>
            <w:noWrap/>
          </w:tcPr>
          <w:p w:rsidR="009430FC" w:rsidRPr="00960A99" w:rsidRDefault="009430FC" w:rsidP="009430FC">
            <w:r w:rsidRPr="00960A99">
              <w:t>New estates</w:t>
            </w:r>
          </w:p>
        </w:tc>
        <w:tc>
          <w:tcPr>
            <w:tcW w:w="625" w:type="pct"/>
            <w:noWrap/>
          </w:tcPr>
          <w:p w:rsidR="009430FC" w:rsidRPr="005D0FC2" w:rsidRDefault="009430FC" w:rsidP="00B75CEF">
            <w:pPr>
              <w:cnfStyle w:val="000000010000" w:firstRow="0" w:lastRow="0" w:firstColumn="0" w:lastColumn="0" w:oddVBand="0" w:evenVBand="0" w:oddHBand="0" w:evenHBand="1" w:firstRowFirstColumn="0" w:firstRowLastColumn="0" w:lastRowFirstColumn="0" w:lastRowLastColumn="0"/>
            </w:pPr>
            <w:r>
              <w:rPr>
                <w:rFonts w:cs="Arial"/>
                <w:color w:val="000000"/>
                <w:szCs w:val="16"/>
              </w:rPr>
              <w:t>2,073</w:t>
            </w:r>
          </w:p>
        </w:tc>
        <w:tc>
          <w:tcPr>
            <w:tcW w:w="626" w:type="pct"/>
            <w:noWrap/>
          </w:tcPr>
          <w:p w:rsidR="009430FC" w:rsidRPr="005D0FC2" w:rsidRDefault="009430FC" w:rsidP="00B75CEF">
            <w:pPr>
              <w:cnfStyle w:val="000000010000" w:firstRow="0" w:lastRow="0" w:firstColumn="0" w:lastColumn="0" w:oddVBand="0" w:evenVBand="0" w:oddHBand="0" w:evenHBand="1" w:firstRowFirstColumn="0" w:firstRowLastColumn="0" w:lastRowFirstColumn="0" w:lastRowLastColumn="0"/>
            </w:pPr>
            <w:r>
              <w:rPr>
                <w:rFonts w:cs="Arial"/>
                <w:color w:val="000000"/>
                <w:szCs w:val="16"/>
              </w:rPr>
              <w:t>1,98</w:t>
            </w:r>
            <w:r w:rsidR="00B75CEF">
              <w:rPr>
                <w:rFonts w:cs="Arial"/>
                <w:color w:val="000000"/>
                <w:szCs w:val="16"/>
              </w:rPr>
              <w:t>8</w:t>
            </w:r>
          </w:p>
        </w:tc>
        <w:tc>
          <w:tcPr>
            <w:tcW w:w="626" w:type="pct"/>
            <w:noWrap/>
          </w:tcPr>
          <w:p w:rsidR="009430FC" w:rsidRPr="005D0FC2" w:rsidRDefault="009430FC" w:rsidP="00B75CEF">
            <w:pPr>
              <w:cnfStyle w:val="000000010000" w:firstRow="0" w:lastRow="0" w:firstColumn="0" w:lastColumn="0" w:oddVBand="0" w:evenVBand="0" w:oddHBand="0" w:evenHBand="1" w:firstRowFirstColumn="0" w:firstRowLastColumn="0" w:lastRowFirstColumn="0" w:lastRowLastColumn="0"/>
            </w:pPr>
            <w:r>
              <w:rPr>
                <w:rFonts w:cs="Arial"/>
                <w:color w:val="000000"/>
                <w:szCs w:val="16"/>
              </w:rPr>
              <w:t>1,936</w:t>
            </w:r>
          </w:p>
        </w:tc>
        <w:tc>
          <w:tcPr>
            <w:tcW w:w="626" w:type="pct"/>
            <w:noWrap/>
          </w:tcPr>
          <w:p w:rsidR="009430FC" w:rsidRPr="005D0FC2" w:rsidRDefault="009430FC" w:rsidP="00B75CEF">
            <w:pPr>
              <w:cnfStyle w:val="000000010000" w:firstRow="0" w:lastRow="0" w:firstColumn="0" w:lastColumn="0" w:oddVBand="0" w:evenVBand="0" w:oddHBand="0" w:evenHBand="1" w:firstRowFirstColumn="0" w:firstRowLastColumn="0" w:lastRowFirstColumn="0" w:lastRowLastColumn="0"/>
            </w:pPr>
            <w:r>
              <w:rPr>
                <w:rFonts w:cs="Arial"/>
                <w:color w:val="000000"/>
                <w:szCs w:val="16"/>
              </w:rPr>
              <w:t>1,936</w:t>
            </w:r>
          </w:p>
        </w:tc>
        <w:tc>
          <w:tcPr>
            <w:tcW w:w="625" w:type="pct"/>
            <w:noWrap/>
          </w:tcPr>
          <w:p w:rsidR="009430FC" w:rsidRPr="005D0FC2" w:rsidRDefault="009430FC" w:rsidP="00B75CEF">
            <w:pPr>
              <w:cnfStyle w:val="000000010000" w:firstRow="0" w:lastRow="0" w:firstColumn="0" w:lastColumn="0" w:oddVBand="0" w:evenVBand="0" w:oddHBand="0" w:evenHBand="1" w:firstRowFirstColumn="0" w:firstRowLastColumn="0" w:lastRowFirstColumn="0" w:lastRowLastColumn="0"/>
            </w:pPr>
            <w:r>
              <w:rPr>
                <w:rFonts w:cs="Arial"/>
                <w:color w:val="000000"/>
                <w:szCs w:val="16"/>
              </w:rPr>
              <w:t>1,796</w:t>
            </w:r>
          </w:p>
        </w:tc>
      </w:tr>
      <w:tr w:rsidR="009430FC" w:rsidRPr="0018218B" w:rsidTr="00414420">
        <w:trPr>
          <w:trHeight w:val="300"/>
        </w:trPr>
        <w:tc>
          <w:tcPr>
            <w:cnfStyle w:val="001000000000" w:firstRow="0" w:lastRow="0" w:firstColumn="1" w:lastColumn="0" w:oddVBand="0" w:evenVBand="0" w:oddHBand="0" w:evenHBand="0" w:firstRowFirstColumn="0" w:firstRowLastColumn="0" w:lastRowFirstColumn="0" w:lastRowLastColumn="0"/>
            <w:tcW w:w="1872" w:type="pct"/>
            <w:noWrap/>
          </w:tcPr>
          <w:p w:rsidR="009430FC" w:rsidRPr="00960A99" w:rsidRDefault="009430FC" w:rsidP="009430FC">
            <w:r w:rsidRPr="00960A99">
              <w:t>Medium/high density</w:t>
            </w:r>
          </w:p>
        </w:tc>
        <w:tc>
          <w:tcPr>
            <w:tcW w:w="625" w:type="pct"/>
            <w:noWrap/>
          </w:tcPr>
          <w:p w:rsidR="009430FC" w:rsidRPr="00987821" w:rsidRDefault="009430FC" w:rsidP="00B75CEF">
            <w:pPr>
              <w:cnfStyle w:val="000000000000" w:firstRow="0" w:lastRow="0" w:firstColumn="0" w:lastColumn="0" w:oddVBand="0" w:evenVBand="0" w:oddHBand="0" w:evenHBand="0" w:firstRowFirstColumn="0" w:firstRowLastColumn="0" w:lastRowFirstColumn="0" w:lastRowLastColumn="0"/>
            </w:pPr>
            <w:r>
              <w:rPr>
                <w:rFonts w:cs="Arial"/>
                <w:color w:val="000000"/>
                <w:szCs w:val="16"/>
              </w:rPr>
              <w:t>53</w:t>
            </w:r>
            <w:r w:rsidR="00B75CEF">
              <w:rPr>
                <w:rFonts w:cs="Arial"/>
                <w:color w:val="000000"/>
                <w:szCs w:val="16"/>
              </w:rPr>
              <w:t>9</w:t>
            </w:r>
          </w:p>
        </w:tc>
        <w:tc>
          <w:tcPr>
            <w:tcW w:w="626" w:type="pct"/>
            <w:noWrap/>
          </w:tcPr>
          <w:p w:rsidR="009430FC" w:rsidRPr="00987821" w:rsidRDefault="009430FC" w:rsidP="00B75CEF">
            <w:pPr>
              <w:cnfStyle w:val="000000000000" w:firstRow="0" w:lastRow="0" w:firstColumn="0" w:lastColumn="0" w:oddVBand="0" w:evenVBand="0" w:oddHBand="0" w:evenHBand="0" w:firstRowFirstColumn="0" w:firstRowLastColumn="0" w:lastRowFirstColumn="0" w:lastRowLastColumn="0"/>
            </w:pPr>
            <w:r>
              <w:rPr>
                <w:rFonts w:cs="Arial"/>
                <w:color w:val="000000"/>
                <w:szCs w:val="16"/>
              </w:rPr>
              <w:t>681</w:t>
            </w:r>
          </w:p>
        </w:tc>
        <w:tc>
          <w:tcPr>
            <w:tcW w:w="626" w:type="pct"/>
            <w:noWrap/>
          </w:tcPr>
          <w:p w:rsidR="009430FC" w:rsidRPr="00987821" w:rsidRDefault="009430FC" w:rsidP="00B75CEF">
            <w:pPr>
              <w:cnfStyle w:val="000000000000" w:firstRow="0" w:lastRow="0" w:firstColumn="0" w:lastColumn="0" w:oddVBand="0" w:evenVBand="0" w:oddHBand="0" w:evenHBand="0" w:firstRowFirstColumn="0" w:firstRowLastColumn="0" w:lastRowFirstColumn="0" w:lastRowLastColumn="0"/>
            </w:pPr>
            <w:r>
              <w:rPr>
                <w:rFonts w:cs="Arial"/>
                <w:color w:val="000000"/>
                <w:szCs w:val="16"/>
              </w:rPr>
              <w:t>70</w:t>
            </w:r>
            <w:r w:rsidR="00B75CEF">
              <w:rPr>
                <w:rFonts w:cs="Arial"/>
                <w:color w:val="000000"/>
                <w:szCs w:val="16"/>
              </w:rPr>
              <w:t>7</w:t>
            </w:r>
          </w:p>
        </w:tc>
        <w:tc>
          <w:tcPr>
            <w:tcW w:w="626" w:type="pct"/>
            <w:noWrap/>
          </w:tcPr>
          <w:p w:rsidR="009430FC" w:rsidRPr="00987821" w:rsidRDefault="009430FC" w:rsidP="00B75CEF">
            <w:pPr>
              <w:cnfStyle w:val="000000000000" w:firstRow="0" w:lastRow="0" w:firstColumn="0" w:lastColumn="0" w:oddVBand="0" w:evenVBand="0" w:oddHBand="0" w:evenHBand="0" w:firstRowFirstColumn="0" w:firstRowLastColumn="0" w:lastRowFirstColumn="0" w:lastRowLastColumn="0"/>
            </w:pPr>
            <w:r>
              <w:rPr>
                <w:rFonts w:cs="Arial"/>
                <w:color w:val="000000"/>
                <w:szCs w:val="16"/>
              </w:rPr>
              <w:t>70</w:t>
            </w:r>
            <w:r w:rsidR="00B75CEF">
              <w:rPr>
                <w:rFonts w:cs="Arial"/>
                <w:color w:val="000000"/>
                <w:szCs w:val="16"/>
              </w:rPr>
              <w:t>7</w:t>
            </w:r>
          </w:p>
        </w:tc>
        <w:tc>
          <w:tcPr>
            <w:tcW w:w="625" w:type="pct"/>
            <w:noWrap/>
          </w:tcPr>
          <w:p w:rsidR="009430FC" w:rsidRPr="00987821" w:rsidRDefault="009430FC" w:rsidP="00B75CEF">
            <w:pPr>
              <w:cnfStyle w:val="000000000000" w:firstRow="0" w:lastRow="0" w:firstColumn="0" w:lastColumn="0" w:oddVBand="0" w:evenVBand="0" w:oddHBand="0" w:evenHBand="0" w:firstRowFirstColumn="0" w:firstRowLastColumn="0" w:lastRowFirstColumn="0" w:lastRowLastColumn="0"/>
            </w:pPr>
            <w:r>
              <w:rPr>
                <w:rFonts w:cs="Arial"/>
                <w:color w:val="000000"/>
                <w:szCs w:val="16"/>
              </w:rPr>
              <w:t>63</w:t>
            </w:r>
            <w:r w:rsidR="00B75CEF">
              <w:rPr>
                <w:rFonts w:cs="Arial"/>
                <w:color w:val="000000"/>
                <w:szCs w:val="16"/>
              </w:rPr>
              <w:t>7</w:t>
            </w:r>
          </w:p>
        </w:tc>
      </w:tr>
      <w:tr w:rsidR="009430FC" w:rsidRPr="0018218B" w:rsidTr="0041442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2" w:type="pct"/>
            <w:noWrap/>
          </w:tcPr>
          <w:p w:rsidR="009430FC" w:rsidRPr="00960A99" w:rsidRDefault="009430FC" w:rsidP="009430FC">
            <w:r>
              <w:t>Commercial</w:t>
            </w:r>
          </w:p>
        </w:tc>
        <w:tc>
          <w:tcPr>
            <w:tcW w:w="625" w:type="pct"/>
            <w:noWrap/>
          </w:tcPr>
          <w:p w:rsidR="009430FC" w:rsidRDefault="009430FC" w:rsidP="009430FC">
            <w:pPr>
              <w:outlineLvl w:val="1"/>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166" w:name="_Toc433930593"/>
            <w:bookmarkStart w:id="167" w:name="_Toc435427950"/>
            <w:bookmarkStart w:id="168" w:name="_Toc435450852"/>
            <w:r>
              <w:rPr>
                <w:rFonts w:cs="Arial"/>
                <w:color w:val="000000"/>
                <w:szCs w:val="16"/>
              </w:rPr>
              <w:t>84</w:t>
            </w:r>
            <w:bookmarkEnd w:id="166"/>
            <w:bookmarkEnd w:id="167"/>
            <w:bookmarkEnd w:id="168"/>
          </w:p>
        </w:tc>
        <w:tc>
          <w:tcPr>
            <w:tcW w:w="626" w:type="pct"/>
            <w:noWrap/>
          </w:tcPr>
          <w:p w:rsidR="009430FC" w:rsidRDefault="009430FC" w:rsidP="009430FC">
            <w:pPr>
              <w:outlineLvl w:val="1"/>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169" w:name="_Toc433930594"/>
            <w:bookmarkStart w:id="170" w:name="_Toc435427951"/>
            <w:bookmarkStart w:id="171" w:name="_Toc435450853"/>
            <w:r>
              <w:rPr>
                <w:rFonts w:cs="Arial"/>
                <w:color w:val="000000"/>
                <w:szCs w:val="16"/>
              </w:rPr>
              <w:t>126</w:t>
            </w:r>
            <w:bookmarkEnd w:id="169"/>
            <w:bookmarkEnd w:id="170"/>
            <w:bookmarkEnd w:id="171"/>
          </w:p>
        </w:tc>
        <w:tc>
          <w:tcPr>
            <w:tcW w:w="626" w:type="pct"/>
            <w:noWrap/>
          </w:tcPr>
          <w:p w:rsidR="009430FC" w:rsidRDefault="009430FC" w:rsidP="009430FC">
            <w:pPr>
              <w:outlineLvl w:val="1"/>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172" w:name="_Toc433930595"/>
            <w:bookmarkStart w:id="173" w:name="_Toc435427952"/>
            <w:bookmarkStart w:id="174" w:name="_Toc435450854"/>
            <w:r>
              <w:rPr>
                <w:rFonts w:cs="Arial"/>
                <w:color w:val="000000"/>
                <w:szCs w:val="16"/>
              </w:rPr>
              <w:t>129</w:t>
            </w:r>
            <w:bookmarkEnd w:id="172"/>
            <w:bookmarkEnd w:id="173"/>
            <w:bookmarkEnd w:id="174"/>
          </w:p>
        </w:tc>
        <w:tc>
          <w:tcPr>
            <w:tcW w:w="626" w:type="pct"/>
            <w:noWrap/>
          </w:tcPr>
          <w:p w:rsidR="009430FC" w:rsidRDefault="009430FC" w:rsidP="009430FC">
            <w:pPr>
              <w:outlineLvl w:val="1"/>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175" w:name="_Toc433930596"/>
            <w:bookmarkStart w:id="176" w:name="_Toc435427953"/>
            <w:bookmarkStart w:id="177" w:name="_Toc435450855"/>
            <w:r>
              <w:rPr>
                <w:rFonts w:cs="Arial"/>
                <w:color w:val="000000"/>
                <w:szCs w:val="16"/>
              </w:rPr>
              <w:t>132</w:t>
            </w:r>
            <w:bookmarkEnd w:id="175"/>
            <w:bookmarkEnd w:id="176"/>
            <w:bookmarkEnd w:id="177"/>
          </w:p>
        </w:tc>
        <w:tc>
          <w:tcPr>
            <w:tcW w:w="625" w:type="pct"/>
            <w:noWrap/>
          </w:tcPr>
          <w:p w:rsidR="009430FC" w:rsidRDefault="009430FC" w:rsidP="009430FC">
            <w:pPr>
              <w:outlineLvl w:val="1"/>
              <w:cnfStyle w:val="000000010000" w:firstRow="0" w:lastRow="0" w:firstColumn="0" w:lastColumn="0" w:oddVBand="0" w:evenVBand="0" w:oddHBand="0" w:evenHBand="1" w:firstRowFirstColumn="0" w:firstRowLastColumn="0" w:lastRowFirstColumn="0" w:lastRowLastColumn="0"/>
              <w:rPr>
                <w:rFonts w:cs="Arial"/>
                <w:color w:val="000000"/>
                <w:szCs w:val="16"/>
              </w:rPr>
            </w:pPr>
            <w:bookmarkStart w:id="178" w:name="_Toc433930597"/>
            <w:bookmarkStart w:id="179" w:name="_Toc435427954"/>
            <w:bookmarkStart w:id="180" w:name="_Toc435450856"/>
            <w:r>
              <w:rPr>
                <w:rFonts w:cs="Arial"/>
                <w:color w:val="000000"/>
                <w:szCs w:val="16"/>
              </w:rPr>
              <w:t>136</w:t>
            </w:r>
            <w:bookmarkEnd w:id="178"/>
            <w:bookmarkEnd w:id="179"/>
            <w:bookmarkEnd w:id="180"/>
          </w:p>
        </w:tc>
      </w:tr>
      <w:tr w:rsidR="009430FC" w:rsidRPr="0018218B" w:rsidTr="00414420">
        <w:trPr>
          <w:trHeight w:val="474"/>
        </w:trPr>
        <w:tc>
          <w:tcPr>
            <w:cnfStyle w:val="001000000000" w:firstRow="0" w:lastRow="0" w:firstColumn="1" w:lastColumn="0" w:oddVBand="0" w:evenVBand="0" w:oddHBand="0" w:evenHBand="0" w:firstRowFirstColumn="0" w:firstRowLastColumn="0" w:lastRowFirstColumn="0" w:lastRowLastColumn="0"/>
            <w:tcW w:w="1872" w:type="pct"/>
            <w:shd w:val="clear" w:color="auto" w:fill="auto"/>
            <w:noWrap/>
          </w:tcPr>
          <w:p w:rsidR="009430FC" w:rsidRPr="00626723" w:rsidRDefault="009430FC" w:rsidP="009430FC">
            <w:pPr>
              <w:pStyle w:val="HeadingOrange"/>
              <w:rPr>
                <w:rStyle w:val="AERtextitalic"/>
              </w:rPr>
            </w:pPr>
            <w:r w:rsidRPr="00626723">
              <w:t>Disconnections</w:t>
            </w:r>
          </w:p>
        </w:tc>
        <w:tc>
          <w:tcPr>
            <w:tcW w:w="625" w:type="pct"/>
            <w:shd w:val="clear" w:color="auto" w:fill="auto"/>
            <w:noWrap/>
          </w:tcPr>
          <w:p w:rsidR="009430FC" w:rsidRPr="008405E9" w:rsidRDefault="009430FC" w:rsidP="009430FC">
            <w:pPr>
              <w:cnfStyle w:val="000000000000" w:firstRow="0" w:lastRow="0" w:firstColumn="0" w:lastColumn="0" w:oddVBand="0" w:evenVBand="0" w:oddHBand="0" w:evenHBand="0" w:firstRowFirstColumn="0" w:firstRowLastColumn="0" w:lastRowFirstColumn="0" w:lastRowLastColumn="0"/>
            </w:pPr>
          </w:p>
        </w:tc>
        <w:tc>
          <w:tcPr>
            <w:tcW w:w="626" w:type="pct"/>
            <w:shd w:val="clear" w:color="auto" w:fill="auto"/>
            <w:noWrap/>
          </w:tcPr>
          <w:p w:rsidR="009430FC" w:rsidRPr="00B75CEF" w:rsidRDefault="009430FC" w:rsidP="009430FC">
            <w:pPr>
              <w:cnfStyle w:val="000000000000" w:firstRow="0" w:lastRow="0" w:firstColumn="0" w:lastColumn="0" w:oddVBand="0" w:evenVBand="0" w:oddHBand="0" w:evenHBand="0" w:firstRowFirstColumn="0" w:firstRowLastColumn="0" w:lastRowFirstColumn="0" w:lastRowLastColumn="0"/>
            </w:pPr>
          </w:p>
        </w:tc>
        <w:tc>
          <w:tcPr>
            <w:tcW w:w="626" w:type="pct"/>
            <w:shd w:val="clear" w:color="auto" w:fill="auto"/>
            <w:noWrap/>
          </w:tcPr>
          <w:p w:rsidR="009430FC" w:rsidRPr="00B75CEF" w:rsidRDefault="009430FC" w:rsidP="009430FC">
            <w:pPr>
              <w:cnfStyle w:val="000000000000" w:firstRow="0" w:lastRow="0" w:firstColumn="0" w:lastColumn="0" w:oddVBand="0" w:evenVBand="0" w:oddHBand="0" w:evenHBand="0" w:firstRowFirstColumn="0" w:firstRowLastColumn="0" w:lastRowFirstColumn="0" w:lastRowLastColumn="0"/>
            </w:pPr>
          </w:p>
        </w:tc>
        <w:tc>
          <w:tcPr>
            <w:tcW w:w="626" w:type="pct"/>
            <w:shd w:val="clear" w:color="auto" w:fill="auto"/>
            <w:noWrap/>
          </w:tcPr>
          <w:p w:rsidR="009430FC" w:rsidRPr="00B75CEF" w:rsidRDefault="009430FC" w:rsidP="009430FC">
            <w:pPr>
              <w:cnfStyle w:val="000000000000" w:firstRow="0" w:lastRow="0" w:firstColumn="0" w:lastColumn="0" w:oddVBand="0" w:evenVBand="0" w:oddHBand="0" w:evenHBand="0" w:firstRowFirstColumn="0" w:firstRowLastColumn="0" w:lastRowFirstColumn="0" w:lastRowLastColumn="0"/>
            </w:pPr>
          </w:p>
        </w:tc>
        <w:tc>
          <w:tcPr>
            <w:tcW w:w="625" w:type="pct"/>
            <w:shd w:val="clear" w:color="auto" w:fill="auto"/>
            <w:noWrap/>
          </w:tcPr>
          <w:p w:rsidR="009430FC" w:rsidRPr="00B75CEF" w:rsidRDefault="009430FC" w:rsidP="009430FC">
            <w:pPr>
              <w:cnfStyle w:val="000000000000" w:firstRow="0" w:lastRow="0" w:firstColumn="0" w:lastColumn="0" w:oddVBand="0" w:evenVBand="0" w:oddHBand="0" w:evenHBand="0" w:firstRowFirstColumn="0" w:firstRowLastColumn="0" w:lastRowFirstColumn="0" w:lastRowLastColumn="0"/>
            </w:pPr>
          </w:p>
        </w:tc>
      </w:tr>
      <w:tr w:rsidR="00B75CEF" w:rsidRPr="0018218B" w:rsidTr="0041442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2" w:type="pct"/>
            <w:noWrap/>
          </w:tcPr>
          <w:p w:rsidR="00B75CEF" w:rsidRPr="00960A99" w:rsidRDefault="00B75CEF" w:rsidP="009430FC">
            <w:r w:rsidRPr="00960A99">
              <w:t>Residential</w:t>
            </w:r>
          </w:p>
        </w:tc>
        <w:tc>
          <w:tcPr>
            <w:tcW w:w="625" w:type="pct"/>
            <w:noWrap/>
          </w:tcPr>
          <w:p w:rsidR="00B75CEF" w:rsidRPr="007B2458" w:rsidRDefault="00B75CEF" w:rsidP="00626723">
            <w:pPr>
              <w:cnfStyle w:val="000000010000" w:firstRow="0" w:lastRow="0" w:firstColumn="0" w:lastColumn="0" w:oddVBand="0" w:evenVBand="0" w:oddHBand="0" w:evenHBand="1" w:firstRowFirstColumn="0" w:firstRowLastColumn="0" w:lastRowFirstColumn="0" w:lastRowLastColumn="0"/>
            </w:pPr>
            <w:r w:rsidRPr="00EA3815">
              <w:rPr>
                <w:rFonts w:cs="Arial"/>
                <w:bCs/>
                <w:color w:val="000000"/>
                <w:szCs w:val="16"/>
              </w:rPr>
              <w:t>957</w:t>
            </w:r>
          </w:p>
        </w:tc>
        <w:tc>
          <w:tcPr>
            <w:tcW w:w="626" w:type="pct"/>
            <w:noWrap/>
          </w:tcPr>
          <w:p w:rsidR="00B75CEF" w:rsidRPr="007B2458" w:rsidRDefault="00B75CEF" w:rsidP="00414420">
            <w:pPr>
              <w:cnfStyle w:val="000000010000" w:firstRow="0" w:lastRow="0" w:firstColumn="0" w:lastColumn="0" w:oddVBand="0" w:evenVBand="0" w:oddHBand="0" w:evenHBand="1" w:firstRowFirstColumn="0" w:firstRowLastColumn="0" w:lastRowFirstColumn="0" w:lastRowLastColumn="0"/>
            </w:pPr>
            <w:r w:rsidRPr="00EA3815">
              <w:rPr>
                <w:rFonts w:cs="Arial"/>
                <w:bCs/>
                <w:color w:val="000000"/>
                <w:szCs w:val="16"/>
              </w:rPr>
              <w:t>971</w:t>
            </w:r>
          </w:p>
        </w:tc>
        <w:tc>
          <w:tcPr>
            <w:tcW w:w="626" w:type="pct"/>
            <w:noWrap/>
          </w:tcPr>
          <w:p w:rsidR="00B75CEF" w:rsidRPr="007B2458" w:rsidRDefault="00B75CEF" w:rsidP="00626723">
            <w:pPr>
              <w:cnfStyle w:val="000000010000" w:firstRow="0" w:lastRow="0" w:firstColumn="0" w:lastColumn="0" w:oddVBand="0" w:evenVBand="0" w:oddHBand="0" w:evenHBand="1" w:firstRowFirstColumn="0" w:firstRowLastColumn="0" w:lastRowFirstColumn="0" w:lastRowLastColumn="0"/>
            </w:pPr>
            <w:r w:rsidRPr="00EA3815">
              <w:rPr>
                <w:rFonts w:cs="Arial"/>
                <w:bCs/>
                <w:color w:val="000000"/>
                <w:szCs w:val="16"/>
              </w:rPr>
              <w:t>984</w:t>
            </w:r>
          </w:p>
        </w:tc>
        <w:tc>
          <w:tcPr>
            <w:tcW w:w="626" w:type="pct"/>
            <w:noWrap/>
          </w:tcPr>
          <w:p w:rsidR="00B75CEF" w:rsidRPr="007B2458" w:rsidRDefault="00B75CEF" w:rsidP="008405E9">
            <w:pPr>
              <w:cnfStyle w:val="000000010000" w:firstRow="0" w:lastRow="0" w:firstColumn="0" w:lastColumn="0" w:oddVBand="0" w:evenVBand="0" w:oddHBand="0" w:evenHBand="1" w:firstRowFirstColumn="0" w:firstRowLastColumn="0" w:lastRowFirstColumn="0" w:lastRowLastColumn="0"/>
            </w:pPr>
            <w:r w:rsidRPr="00EA3815">
              <w:rPr>
                <w:rFonts w:cs="Arial"/>
                <w:bCs/>
                <w:color w:val="000000"/>
                <w:szCs w:val="16"/>
              </w:rPr>
              <w:t>787</w:t>
            </w:r>
          </w:p>
        </w:tc>
        <w:tc>
          <w:tcPr>
            <w:tcW w:w="625" w:type="pct"/>
            <w:noWrap/>
          </w:tcPr>
          <w:p w:rsidR="00B75CEF" w:rsidRPr="007B2458" w:rsidRDefault="00B75CEF" w:rsidP="00414420">
            <w:pPr>
              <w:cnfStyle w:val="000000010000" w:firstRow="0" w:lastRow="0" w:firstColumn="0" w:lastColumn="0" w:oddVBand="0" w:evenVBand="0" w:oddHBand="0" w:evenHBand="1" w:firstRowFirstColumn="0" w:firstRowLastColumn="0" w:lastRowFirstColumn="0" w:lastRowLastColumn="0"/>
            </w:pPr>
            <w:r w:rsidRPr="00EA3815">
              <w:rPr>
                <w:rFonts w:cs="Arial"/>
                <w:bCs/>
                <w:color w:val="000000"/>
                <w:szCs w:val="16"/>
              </w:rPr>
              <w:t>802</w:t>
            </w:r>
          </w:p>
        </w:tc>
      </w:tr>
      <w:tr w:rsidR="00B75CEF" w:rsidRPr="0018218B" w:rsidTr="00414420">
        <w:trPr>
          <w:trHeight w:val="300"/>
        </w:trPr>
        <w:tc>
          <w:tcPr>
            <w:cnfStyle w:val="001000000000" w:firstRow="0" w:lastRow="0" w:firstColumn="1" w:lastColumn="0" w:oddVBand="0" w:evenVBand="0" w:oddHBand="0" w:evenHBand="0" w:firstRowFirstColumn="0" w:firstRowLastColumn="0" w:lastRowFirstColumn="0" w:lastRowLastColumn="0"/>
            <w:tcW w:w="1872" w:type="pct"/>
            <w:shd w:val="clear" w:color="auto" w:fill="auto"/>
            <w:noWrap/>
          </w:tcPr>
          <w:p w:rsidR="00B75CEF" w:rsidRPr="002A09B6" w:rsidRDefault="00B75CEF" w:rsidP="009430FC">
            <w:pPr>
              <w:rPr>
                <w:rStyle w:val="AERtextitalic"/>
              </w:rPr>
            </w:pPr>
            <w:r>
              <w:t xml:space="preserve">Commercial </w:t>
            </w:r>
          </w:p>
        </w:tc>
        <w:tc>
          <w:tcPr>
            <w:tcW w:w="625" w:type="pct"/>
            <w:shd w:val="clear" w:color="auto" w:fill="auto"/>
            <w:noWrap/>
          </w:tcPr>
          <w:p w:rsidR="00B75CEF" w:rsidRPr="000923CD" w:rsidRDefault="00B75CEF" w:rsidP="009430FC">
            <w:pPr>
              <w:cnfStyle w:val="000000000000" w:firstRow="0" w:lastRow="0" w:firstColumn="0" w:lastColumn="0" w:oddVBand="0" w:evenVBand="0" w:oddHBand="0" w:evenHBand="0" w:firstRowFirstColumn="0" w:firstRowLastColumn="0" w:lastRowFirstColumn="0" w:lastRowLastColumn="0"/>
            </w:pPr>
            <w:r w:rsidRPr="000923CD">
              <w:t>17</w:t>
            </w:r>
          </w:p>
        </w:tc>
        <w:tc>
          <w:tcPr>
            <w:tcW w:w="626" w:type="pct"/>
            <w:shd w:val="clear" w:color="auto" w:fill="auto"/>
            <w:noWrap/>
          </w:tcPr>
          <w:p w:rsidR="00B75CEF" w:rsidRPr="000923CD" w:rsidRDefault="00B75CEF" w:rsidP="009430FC">
            <w:pPr>
              <w:cnfStyle w:val="000000000000" w:firstRow="0" w:lastRow="0" w:firstColumn="0" w:lastColumn="0" w:oddVBand="0" w:evenVBand="0" w:oddHBand="0" w:evenHBand="0" w:firstRowFirstColumn="0" w:firstRowLastColumn="0" w:lastRowFirstColumn="0" w:lastRowLastColumn="0"/>
            </w:pPr>
            <w:r w:rsidRPr="000923CD">
              <w:t>17</w:t>
            </w:r>
          </w:p>
        </w:tc>
        <w:tc>
          <w:tcPr>
            <w:tcW w:w="626" w:type="pct"/>
            <w:shd w:val="clear" w:color="auto" w:fill="auto"/>
            <w:noWrap/>
          </w:tcPr>
          <w:p w:rsidR="00B75CEF" w:rsidRPr="000923CD" w:rsidRDefault="00B75CEF" w:rsidP="009430FC">
            <w:pPr>
              <w:cnfStyle w:val="000000000000" w:firstRow="0" w:lastRow="0" w:firstColumn="0" w:lastColumn="0" w:oddVBand="0" w:evenVBand="0" w:oddHBand="0" w:evenHBand="0" w:firstRowFirstColumn="0" w:firstRowLastColumn="0" w:lastRowFirstColumn="0" w:lastRowLastColumn="0"/>
            </w:pPr>
            <w:r w:rsidRPr="000923CD">
              <w:t>17</w:t>
            </w:r>
          </w:p>
        </w:tc>
        <w:tc>
          <w:tcPr>
            <w:tcW w:w="626" w:type="pct"/>
            <w:shd w:val="clear" w:color="auto" w:fill="auto"/>
            <w:noWrap/>
          </w:tcPr>
          <w:p w:rsidR="00B75CEF" w:rsidRPr="000923CD" w:rsidRDefault="00B75CEF" w:rsidP="009430FC">
            <w:pPr>
              <w:cnfStyle w:val="000000000000" w:firstRow="0" w:lastRow="0" w:firstColumn="0" w:lastColumn="0" w:oddVBand="0" w:evenVBand="0" w:oddHBand="0" w:evenHBand="0" w:firstRowFirstColumn="0" w:firstRowLastColumn="0" w:lastRowFirstColumn="0" w:lastRowLastColumn="0"/>
            </w:pPr>
            <w:r w:rsidRPr="000923CD">
              <w:t>17</w:t>
            </w:r>
          </w:p>
        </w:tc>
        <w:tc>
          <w:tcPr>
            <w:tcW w:w="625" w:type="pct"/>
            <w:shd w:val="clear" w:color="auto" w:fill="auto"/>
            <w:noWrap/>
          </w:tcPr>
          <w:p w:rsidR="00B75CEF" w:rsidRPr="000923CD" w:rsidRDefault="00B75CEF" w:rsidP="009430FC">
            <w:pPr>
              <w:cnfStyle w:val="000000000000" w:firstRow="0" w:lastRow="0" w:firstColumn="0" w:lastColumn="0" w:oddVBand="0" w:evenVBand="0" w:oddHBand="0" w:evenHBand="0" w:firstRowFirstColumn="0" w:firstRowLastColumn="0" w:lastRowFirstColumn="0" w:lastRowLastColumn="0"/>
            </w:pPr>
            <w:r w:rsidRPr="000923CD">
              <w:t>17</w:t>
            </w:r>
          </w:p>
        </w:tc>
      </w:tr>
      <w:tr w:rsidR="00B75CEF" w:rsidRPr="0018218B" w:rsidTr="0041442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2" w:type="pct"/>
            <w:noWrap/>
          </w:tcPr>
          <w:p w:rsidR="00B75CEF" w:rsidRDefault="00B75CEF" w:rsidP="009430FC">
            <w:r>
              <w:t>Tariff D to tariff V movement</w:t>
            </w:r>
          </w:p>
        </w:tc>
        <w:tc>
          <w:tcPr>
            <w:tcW w:w="625" w:type="pct"/>
            <w:noWrap/>
          </w:tcPr>
          <w:p w:rsidR="00B75CEF" w:rsidRDefault="00B75CEF" w:rsidP="009430FC">
            <w:pPr>
              <w:cnfStyle w:val="000000010000" w:firstRow="0" w:lastRow="0" w:firstColumn="0" w:lastColumn="0" w:oddVBand="0" w:evenVBand="0" w:oddHBand="0" w:evenHBand="1" w:firstRowFirstColumn="0" w:firstRowLastColumn="0" w:lastRowFirstColumn="0" w:lastRowLastColumn="0"/>
            </w:pPr>
            <w:r>
              <w:t>3</w:t>
            </w:r>
          </w:p>
        </w:tc>
        <w:tc>
          <w:tcPr>
            <w:tcW w:w="626" w:type="pct"/>
            <w:noWrap/>
          </w:tcPr>
          <w:p w:rsidR="00B75CEF" w:rsidRDefault="00B75CEF" w:rsidP="009430FC">
            <w:pPr>
              <w:cnfStyle w:val="000000010000" w:firstRow="0" w:lastRow="0" w:firstColumn="0" w:lastColumn="0" w:oddVBand="0" w:evenVBand="0" w:oddHBand="0" w:evenHBand="1" w:firstRowFirstColumn="0" w:firstRowLastColumn="0" w:lastRowFirstColumn="0" w:lastRowLastColumn="0"/>
            </w:pPr>
            <w:r>
              <w:t>3</w:t>
            </w:r>
          </w:p>
        </w:tc>
        <w:tc>
          <w:tcPr>
            <w:tcW w:w="626" w:type="pct"/>
            <w:noWrap/>
          </w:tcPr>
          <w:p w:rsidR="00B75CEF" w:rsidRDefault="00B75CEF" w:rsidP="009430FC">
            <w:pPr>
              <w:cnfStyle w:val="000000010000" w:firstRow="0" w:lastRow="0" w:firstColumn="0" w:lastColumn="0" w:oddVBand="0" w:evenVBand="0" w:oddHBand="0" w:evenHBand="1" w:firstRowFirstColumn="0" w:firstRowLastColumn="0" w:lastRowFirstColumn="0" w:lastRowLastColumn="0"/>
            </w:pPr>
            <w:r>
              <w:t>3</w:t>
            </w:r>
          </w:p>
        </w:tc>
        <w:tc>
          <w:tcPr>
            <w:tcW w:w="626" w:type="pct"/>
            <w:noWrap/>
          </w:tcPr>
          <w:p w:rsidR="00B75CEF" w:rsidRDefault="00B75CEF" w:rsidP="009430FC">
            <w:pPr>
              <w:cnfStyle w:val="000000010000" w:firstRow="0" w:lastRow="0" w:firstColumn="0" w:lastColumn="0" w:oddVBand="0" w:evenVBand="0" w:oddHBand="0" w:evenHBand="1" w:firstRowFirstColumn="0" w:firstRowLastColumn="0" w:lastRowFirstColumn="0" w:lastRowLastColumn="0"/>
            </w:pPr>
            <w:r>
              <w:t>3</w:t>
            </w:r>
          </w:p>
        </w:tc>
        <w:tc>
          <w:tcPr>
            <w:tcW w:w="625" w:type="pct"/>
            <w:noWrap/>
          </w:tcPr>
          <w:p w:rsidR="00B75CEF" w:rsidRDefault="00B75CEF" w:rsidP="009430FC">
            <w:pPr>
              <w:cnfStyle w:val="000000010000" w:firstRow="0" w:lastRow="0" w:firstColumn="0" w:lastColumn="0" w:oddVBand="0" w:evenVBand="0" w:oddHBand="0" w:evenHBand="1" w:firstRowFirstColumn="0" w:firstRowLastColumn="0" w:lastRowFirstColumn="0" w:lastRowLastColumn="0"/>
            </w:pPr>
            <w:r>
              <w:t>3</w:t>
            </w:r>
          </w:p>
        </w:tc>
      </w:tr>
      <w:tr w:rsidR="00B75CEF" w:rsidRPr="0018218B" w:rsidTr="00414420">
        <w:trPr>
          <w:trHeight w:val="300"/>
        </w:trPr>
        <w:tc>
          <w:tcPr>
            <w:cnfStyle w:val="001000000000" w:firstRow="0" w:lastRow="0" w:firstColumn="1" w:lastColumn="0" w:oddVBand="0" w:evenVBand="0" w:oddHBand="0" w:evenHBand="0" w:firstRowFirstColumn="0" w:firstRowLastColumn="0" w:lastRowFirstColumn="0" w:lastRowLastColumn="0"/>
            <w:tcW w:w="1872" w:type="pct"/>
            <w:shd w:val="clear" w:color="auto" w:fill="auto"/>
            <w:noWrap/>
          </w:tcPr>
          <w:p w:rsidR="00B75CEF" w:rsidRPr="00960A99" w:rsidRDefault="00B75CEF" w:rsidP="009430FC">
            <w:r>
              <w:t>Tariff V to tariff D movement</w:t>
            </w:r>
          </w:p>
        </w:tc>
        <w:tc>
          <w:tcPr>
            <w:tcW w:w="625" w:type="pct"/>
            <w:shd w:val="clear" w:color="auto" w:fill="auto"/>
            <w:noWrap/>
          </w:tcPr>
          <w:p w:rsidR="00B75CEF" w:rsidRPr="007B2458" w:rsidRDefault="00B75CEF" w:rsidP="009430FC">
            <w:pPr>
              <w:cnfStyle w:val="000000000000" w:firstRow="0" w:lastRow="0" w:firstColumn="0" w:lastColumn="0" w:oddVBand="0" w:evenVBand="0" w:oddHBand="0" w:evenHBand="0" w:firstRowFirstColumn="0" w:firstRowLastColumn="0" w:lastRowFirstColumn="0" w:lastRowLastColumn="0"/>
            </w:pPr>
            <w:r>
              <w:t>4</w:t>
            </w:r>
          </w:p>
        </w:tc>
        <w:tc>
          <w:tcPr>
            <w:tcW w:w="626" w:type="pct"/>
            <w:shd w:val="clear" w:color="auto" w:fill="auto"/>
            <w:noWrap/>
          </w:tcPr>
          <w:p w:rsidR="00B75CEF" w:rsidRPr="007B2458" w:rsidRDefault="00B75CEF" w:rsidP="009430FC">
            <w:pPr>
              <w:cnfStyle w:val="000000000000" w:firstRow="0" w:lastRow="0" w:firstColumn="0" w:lastColumn="0" w:oddVBand="0" w:evenVBand="0" w:oddHBand="0" w:evenHBand="0" w:firstRowFirstColumn="0" w:firstRowLastColumn="0" w:lastRowFirstColumn="0" w:lastRowLastColumn="0"/>
            </w:pPr>
            <w:r>
              <w:t>4</w:t>
            </w:r>
          </w:p>
        </w:tc>
        <w:tc>
          <w:tcPr>
            <w:tcW w:w="626" w:type="pct"/>
            <w:shd w:val="clear" w:color="auto" w:fill="auto"/>
            <w:noWrap/>
          </w:tcPr>
          <w:p w:rsidR="00B75CEF" w:rsidRPr="007B2458" w:rsidRDefault="00B75CEF" w:rsidP="009430FC">
            <w:pPr>
              <w:cnfStyle w:val="000000000000" w:firstRow="0" w:lastRow="0" w:firstColumn="0" w:lastColumn="0" w:oddVBand="0" w:evenVBand="0" w:oddHBand="0" w:evenHBand="0" w:firstRowFirstColumn="0" w:firstRowLastColumn="0" w:lastRowFirstColumn="0" w:lastRowLastColumn="0"/>
            </w:pPr>
            <w:r>
              <w:t>4</w:t>
            </w:r>
          </w:p>
        </w:tc>
        <w:tc>
          <w:tcPr>
            <w:tcW w:w="626" w:type="pct"/>
            <w:shd w:val="clear" w:color="auto" w:fill="auto"/>
            <w:noWrap/>
          </w:tcPr>
          <w:p w:rsidR="00B75CEF" w:rsidRPr="007B2458" w:rsidRDefault="00B75CEF" w:rsidP="009430FC">
            <w:pPr>
              <w:cnfStyle w:val="000000000000" w:firstRow="0" w:lastRow="0" w:firstColumn="0" w:lastColumn="0" w:oddVBand="0" w:evenVBand="0" w:oddHBand="0" w:evenHBand="0" w:firstRowFirstColumn="0" w:firstRowLastColumn="0" w:lastRowFirstColumn="0" w:lastRowLastColumn="0"/>
            </w:pPr>
            <w:r>
              <w:t>4</w:t>
            </w:r>
          </w:p>
        </w:tc>
        <w:tc>
          <w:tcPr>
            <w:tcW w:w="625" w:type="pct"/>
            <w:shd w:val="clear" w:color="auto" w:fill="auto"/>
            <w:noWrap/>
          </w:tcPr>
          <w:p w:rsidR="00B75CEF" w:rsidRPr="007B2458" w:rsidRDefault="00B75CEF" w:rsidP="009430FC">
            <w:pPr>
              <w:cnfStyle w:val="000000000000" w:firstRow="0" w:lastRow="0" w:firstColumn="0" w:lastColumn="0" w:oddVBand="0" w:evenVBand="0" w:oddHBand="0" w:evenHBand="0" w:firstRowFirstColumn="0" w:firstRowLastColumn="0" w:lastRowFirstColumn="0" w:lastRowLastColumn="0"/>
            </w:pPr>
            <w:r>
              <w:t>4</w:t>
            </w:r>
          </w:p>
        </w:tc>
      </w:tr>
    </w:tbl>
    <w:p w:rsidR="009430FC" w:rsidRPr="00290C63" w:rsidRDefault="009430FC" w:rsidP="009430FC">
      <w:pPr>
        <w:pStyle w:val="AERtablesource"/>
      </w:pPr>
      <w:r>
        <w:t xml:space="preserve">Source: </w:t>
      </w:r>
      <w:r>
        <w:tab/>
        <w:t>AER analysis.</w:t>
      </w:r>
    </w:p>
    <w:p w:rsidR="00795676" w:rsidRPr="00795676" w:rsidRDefault="00601A03" w:rsidP="00601A03">
      <w:pPr>
        <w:pStyle w:val="AERtablesource"/>
      </w:pPr>
      <w:r>
        <w:t xml:space="preserve">Notes: </w:t>
      </w:r>
      <w:r w:rsidRPr="00B575FC">
        <w:rPr>
          <w:rStyle w:val="AERsuperscript"/>
        </w:rPr>
        <w:t>(a)</w:t>
      </w:r>
      <w:r>
        <w:tab/>
        <w:t>this is based on an average over 201</w:t>
      </w:r>
      <w:r w:rsidR="00626723">
        <w:t>0</w:t>
      </w:r>
      <w:r w:rsidR="000B5FBD">
        <w:t>–</w:t>
      </w:r>
      <w:r>
        <w:t>2014, instead of 201</w:t>
      </w:r>
      <w:r w:rsidR="00626723">
        <w:t>9</w:t>
      </w:r>
      <w:r w:rsidR="000B5FBD">
        <w:t>–</w:t>
      </w:r>
      <w:r>
        <w:t>14 (used by Core Energy)</w:t>
      </w:r>
      <w:r w:rsidR="00100EBF">
        <w:t xml:space="preserve"> </w:t>
      </w:r>
      <w:r>
        <w:t xml:space="preserve">to be consistent with the review period </w:t>
      </w:r>
      <w:r w:rsidR="00100EBF">
        <w:t xml:space="preserve">we have </w:t>
      </w:r>
      <w:r>
        <w:t>used for other new connection</w:t>
      </w:r>
      <w:r w:rsidR="00100EBF">
        <w:t xml:space="preserve"> types and disconnections.</w:t>
      </w:r>
    </w:p>
    <w:p w:rsidR="009A5113" w:rsidRDefault="009A5113" w:rsidP="009A5113">
      <w:pPr>
        <w:pStyle w:val="Heading2"/>
      </w:pPr>
      <w:bookmarkStart w:id="181" w:name="_Toc408404322"/>
      <w:bookmarkStart w:id="182" w:name="_Toc435700352"/>
      <w:r w:rsidRPr="0074565D">
        <w:t>AER’s assessment approach</w:t>
      </w:r>
      <w:bookmarkEnd w:id="181"/>
      <w:bookmarkEnd w:id="182"/>
    </w:p>
    <w:p w:rsidR="00646B82" w:rsidRPr="0003496D" w:rsidRDefault="00646B82" w:rsidP="00646B82">
      <w:bookmarkStart w:id="183" w:name="_Toc403144139"/>
      <w:r w:rsidRPr="00AB30F3">
        <w:t>The NGR require a full access arrangement proposal for a distribution pipeline to include usage of the</w:t>
      </w:r>
      <w:r w:rsidRPr="0003496D">
        <w:t xml:space="preserve"> pipeline over the earlier access arrangement period showing:</w:t>
      </w:r>
    </w:p>
    <w:p w:rsidR="00646B82" w:rsidRPr="0003496D" w:rsidRDefault="00646B82" w:rsidP="00646B82">
      <w:pPr>
        <w:pStyle w:val="AERbulletlistfirststyle"/>
      </w:pPr>
      <w:r w:rsidRPr="00AB30F3">
        <w:t>minimum, maximum and average demand; and customer numbers in total and by tariff class</w:t>
      </w:r>
      <w:r w:rsidRPr="0003496D">
        <w:rPr>
          <w:rStyle w:val="FootnoteReference"/>
        </w:rPr>
        <w:footnoteReference w:id="4"/>
      </w:r>
    </w:p>
    <w:p w:rsidR="00646B82" w:rsidRDefault="00646B82" w:rsidP="00646B82">
      <w:pPr>
        <w:pStyle w:val="AERbulletlistfirststyle"/>
      </w:pPr>
      <w:r w:rsidRPr="00AB30F3">
        <w:t>to the extent that it is practicable to forecast pipeline capacity and utilisation of pipeline capacity</w:t>
      </w:r>
      <w:r w:rsidRPr="0003496D">
        <w:t xml:space="preserve"> over the access arrangement period, a forecast of pipeline capacity and utilisation of pipeline capacity over that period and the basis on which the forecast has been derived.</w:t>
      </w:r>
      <w:r w:rsidRPr="0003496D">
        <w:rPr>
          <w:rStyle w:val="FootnoteReference"/>
        </w:rPr>
        <w:footnoteReference w:id="5"/>
      </w:r>
    </w:p>
    <w:p w:rsidR="00646B82" w:rsidRPr="0003496D" w:rsidRDefault="00646B82" w:rsidP="00646B82">
      <w:r w:rsidRPr="00AB30F3">
        <w:lastRenderedPageBreak/>
        <w:t>The NGR also require that forecasts and estimates:</w:t>
      </w:r>
      <w:r w:rsidRPr="0003496D">
        <w:rPr>
          <w:rStyle w:val="FootnoteReference"/>
        </w:rPr>
        <w:footnoteReference w:id="6"/>
      </w:r>
    </w:p>
    <w:p w:rsidR="00646B82" w:rsidRPr="0003496D" w:rsidRDefault="00646B82" w:rsidP="00646B82">
      <w:pPr>
        <w:pStyle w:val="AERbulletlistfirststyle"/>
      </w:pPr>
      <w:r w:rsidRPr="00AB30F3">
        <w:t>are arrived at on a reasonable basis</w:t>
      </w:r>
    </w:p>
    <w:p w:rsidR="00646B82" w:rsidRPr="00AB30F3" w:rsidRDefault="00646B82" w:rsidP="00646B82">
      <w:pPr>
        <w:pStyle w:val="AERbulletlistfirststyle"/>
      </w:pPr>
      <w:r w:rsidRPr="00AB30F3">
        <w:t>represent the best forecast or estimate possible in the circumstances.</w:t>
      </w:r>
    </w:p>
    <w:p w:rsidR="00646B82" w:rsidRPr="0003496D" w:rsidRDefault="00646B82" w:rsidP="00646B82">
      <w:r w:rsidRPr="00AB30F3">
        <w:t>We consider that there are two important considerations in assessing whether demand forecasts are</w:t>
      </w:r>
      <w:r w:rsidRPr="0003496D">
        <w:t xml:space="preserve"> arrived at on a reasonable basis and whether they represent the best forecasts possible in the circumstances.</w:t>
      </w:r>
      <w:r w:rsidRPr="0003496D">
        <w:rPr>
          <w:rStyle w:val="FootnoteReference"/>
        </w:rPr>
        <w:footnoteReference w:id="7"/>
      </w:r>
      <w:r w:rsidRPr="0003496D">
        <w:t xml:space="preserve"> These are:</w:t>
      </w:r>
    </w:p>
    <w:p w:rsidR="00646B82" w:rsidRPr="0003496D" w:rsidRDefault="00646B82" w:rsidP="00646B82">
      <w:pPr>
        <w:pStyle w:val="AERbulletlistfirststyle"/>
      </w:pPr>
      <w:r w:rsidRPr="00AB30F3">
        <w:t>the</w:t>
      </w:r>
      <w:r w:rsidRPr="0003496D">
        <w:t xml:space="preserve"> appropriateness of the forecast methodology – this involves consideration of how the demand forecast has been developed and whether or not relevant factors have been taken into account.</w:t>
      </w:r>
    </w:p>
    <w:p w:rsidR="00646B82" w:rsidRPr="00AB30F3" w:rsidRDefault="00646B82" w:rsidP="00646B82">
      <w:pPr>
        <w:pStyle w:val="AERbulletlistfirststyle"/>
      </w:pPr>
      <w:r w:rsidRPr="00AB30F3">
        <w:rPr>
          <w:rFonts w:cstheme="minorBidi"/>
        </w:rPr>
        <w:t>the application of the forecasting methodology – this involves consideration of the accuracy of</w:t>
      </w:r>
      <w:r w:rsidRPr="0003496D">
        <w:t xml:space="preserve"> data and assumptions on each of the input parameters.</w:t>
      </w:r>
    </w:p>
    <w:p w:rsidR="009430FC" w:rsidRPr="0003496D" w:rsidRDefault="009430FC" w:rsidP="009430FC">
      <w:bookmarkStart w:id="184" w:name="_Toc403144140"/>
      <w:bookmarkStart w:id="185" w:name="_Toc420069979"/>
      <w:bookmarkEnd w:id="183"/>
      <w:r w:rsidRPr="00AB30F3">
        <w:t xml:space="preserve">To determine whether </w:t>
      </w:r>
      <w:r>
        <w:t xml:space="preserve">ActewAGL’s </w:t>
      </w:r>
      <w:r w:rsidRPr="00AB30F3">
        <w:t>proposed demand forecasts are arrived at on a reasonable basis and</w:t>
      </w:r>
      <w:r w:rsidRPr="0003496D">
        <w:t xml:space="preserve"> are the best possible forecasts in the circumstances, we reviewed the data used </w:t>
      </w:r>
      <w:r>
        <w:t xml:space="preserve">by Core Energy </w:t>
      </w:r>
      <w:r w:rsidRPr="0003496D">
        <w:t>to implement the forecasting methodology.</w:t>
      </w:r>
      <w:r>
        <w:t xml:space="preserve"> We also reviewed:</w:t>
      </w:r>
      <w:r w:rsidRPr="0003496D">
        <w:t xml:space="preserve"> </w:t>
      </w:r>
    </w:p>
    <w:p w:rsidR="009430FC" w:rsidRPr="0003496D" w:rsidRDefault="009430FC" w:rsidP="009430FC">
      <w:pPr>
        <w:pStyle w:val="AERbulletlistfirststyle"/>
      </w:pPr>
      <w:r w:rsidRPr="00AB30F3">
        <w:t xml:space="preserve">information provided by </w:t>
      </w:r>
      <w:r>
        <w:t>ActewAGL</w:t>
      </w:r>
      <w:r w:rsidRPr="00AB30F3">
        <w:t xml:space="preserve"> as part of its proposed access arrangement; specifically, </w:t>
      </w:r>
      <w:r>
        <w:t>its consultants’ report</w:t>
      </w:r>
      <w:r w:rsidRPr="0003496D">
        <w:t xml:space="preserve"> on demand forecasts, demand forecast spreadsheets, access arrangement information and responses to the regulatory information notice (RIN)</w:t>
      </w:r>
    </w:p>
    <w:p w:rsidR="009430FC" w:rsidRPr="0003496D" w:rsidRDefault="009430FC" w:rsidP="009430FC">
      <w:pPr>
        <w:pStyle w:val="AERbulletlistfirststyle"/>
      </w:pPr>
      <w:r w:rsidRPr="00AB30F3">
        <w:t>additio</w:t>
      </w:r>
      <w:r>
        <w:t xml:space="preserve">nal information provided by ActewAGL </w:t>
      </w:r>
      <w:r w:rsidRPr="00AB30F3">
        <w:t>in response to our information requests</w:t>
      </w:r>
      <w:r>
        <w:t>.</w:t>
      </w:r>
    </w:p>
    <w:p w:rsidR="009430FC" w:rsidRPr="00AF1F9E" w:rsidRDefault="009430FC" w:rsidP="009430FC">
      <w:pPr>
        <w:pStyle w:val="Heading3"/>
      </w:pPr>
      <w:bookmarkStart w:id="186" w:name="_Toc420069978"/>
      <w:bookmarkStart w:id="187" w:name="_Toc435700353"/>
      <w:r w:rsidRPr="00AF1F9E">
        <w:t>Interrelationships</w:t>
      </w:r>
      <w:bookmarkEnd w:id="186"/>
      <w:bookmarkEnd w:id="187"/>
    </w:p>
    <w:p w:rsidR="009430FC" w:rsidRDefault="009430FC" w:rsidP="009430FC">
      <w:r>
        <w:t>We have considered the relevant interrelationships between different components of ActewAGL’s access arrangement as part of our analysis.</w:t>
      </w:r>
    </w:p>
    <w:p w:rsidR="009430FC" w:rsidRPr="005B3FD2" w:rsidRDefault="009430FC" w:rsidP="009430FC">
      <w:r>
        <w:t xml:space="preserve">Several interrelationships exist. This includes the effect of forecast demand on </w:t>
      </w:r>
      <w:r w:rsidRPr="002920DF">
        <w:t xml:space="preserve">the efficient </w:t>
      </w:r>
      <w:r>
        <w:t>amount</w:t>
      </w:r>
      <w:r w:rsidRPr="002920DF">
        <w:t xml:space="preserve"> of capex and opex </w:t>
      </w:r>
      <w:r>
        <w:t xml:space="preserve">and tariffs </w:t>
      </w:r>
      <w:r w:rsidRPr="002920DF">
        <w:t xml:space="preserve">in the </w:t>
      </w:r>
      <w:r>
        <w:t>2016–21 access arrangement</w:t>
      </w:r>
      <w:r w:rsidRPr="002920DF">
        <w:t xml:space="preserve"> </w:t>
      </w:r>
      <w:r>
        <w:t>period. In particular, the demand forecasts impact</w:t>
      </w:r>
      <w:r w:rsidRPr="005B3FD2">
        <w:t>:</w:t>
      </w:r>
    </w:p>
    <w:p w:rsidR="009430FC" w:rsidRPr="005B3FD2" w:rsidRDefault="009430FC" w:rsidP="009430FC">
      <w:pPr>
        <w:pStyle w:val="AERbulletlistfirststyle"/>
      </w:pPr>
      <w:r w:rsidRPr="005B3FD2">
        <w:t>approved connections capex</w:t>
      </w:r>
      <w:r>
        <w:t xml:space="preserve">, given the </w:t>
      </w:r>
      <w:r w:rsidRPr="005B3FD2">
        <w:t>number of new connections affect</w:t>
      </w:r>
      <w:r>
        <w:t>s</w:t>
      </w:r>
      <w:r w:rsidRPr="005B3FD2">
        <w:t xml:space="preserve"> the </w:t>
      </w:r>
      <w:r>
        <w:t xml:space="preserve">amount of </w:t>
      </w:r>
      <w:r w:rsidRPr="005B3FD2">
        <w:t>approved connections capex</w:t>
      </w:r>
    </w:p>
    <w:p w:rsidR="009430FC" w:rsidRPr="005B3FD2" w:rsidRDefault="009430FC" w:rsidP="009430FC">
      <w:pPr>
        <w:pStyle w:val="AERbulletlistfirststyle"/>
      </w:pPr>
      <w:r>
        <w:t xml:space="preserve">the following </w:t>
      </w:r>
      <w:r w:rsidRPr="005B3FD2">
        <w:t>opex items:</w:t>
      </w:r>
    </w:p>
    <w:p w:rsidR="009430FC" w:rsidRPr="005B3FD2" w:rsidRDefault="009430FC" w:rsidP="009430FC">
      <w:pPr>
        <w:pStyle w:val="AERbulletlistfirststyle"/>
        <w:numPr>
          <w:ilvl w:val="1"/>
          <w:numId w:val="2"/>
        </w:numPr>
      </w:pPr>
      <w:r>
        <w:t>u</w:t>
      </w:r>
      <w:r w:rsidRPr="005B3FD2">
        <w:t>naccounted Gas (UAG) expenditure</w:t>
      </w:r>
      <w:r>
        <w:t>,</w:t>
      </w:r>
      <w:r w:rsidRPr="005B3FD2">
        <w:t xml:space="preserve"> which is forecast as a fixed proportion of the forecast of total throughput</w:t>
      </w:r>
      <w:r w:rsidRPr="005B3FD2">
        <w:rPr>
          <w:rStyle w:val="FootnoteReference"/>
        </w:rPr>
        <w:footnoteReference w:id="8"/>
      </w:r>
    </w:p>
    <w:p w:rsidR="009430FC" w:rsidRPr="005B3FD2" w:rsidRDefault="009430FC" w:rsidP="009430FC">
      <w:pPr>
        <w:pStyle w:val="AERbulletlistfirststyle"/>
        <w:numPr>
          <w:ilvl w:val="1"/>
          <w:numId w:val="2"/>
        </w:numPr>
      </w:pPr>
      <w:r w:rsidRPr="005B3FD2">
        <w:lastRenderedPageBreak/>
        <w:t>Utilities Network Facilities Tax (UNFT) is charged on ‘total service length’</w:t>
      </w:r>
      <w:r>
        <w:t>, given</w:t>
      </w:r>
      <w:r w:rsidRPr="005B3FD2">
        <w:t xml:space="preserve"> ActewAGL</w:t>
      </w:r>
      <w:r>
        <w:t xml:space="preserve">’s </w:t>
      </w:r>
      <w:r w:rsidRPr="005B3FD2">
        <w:t xml:space="preserve">forecast of total services length </w:t>
      </w:r>
      <w:r>
        <w:t>is based on</w:t>
      </w:r>
      <w:r w:rsidRPr="005B3FD2">
        <w:t xml:space="preserve"> the forecast growth in customer numbers</w:t>
      </w:r>
      <w:r w:rsidRPr="005B3FD2">
        <w:rPr>
          <w:rStyle w:val="FootnoteReference"/>
        </w:rPr>
        <w:footnoteReference w:id="9"/>
      </w:r>
      <w:r w:rsidRPr="005B3FD2">
        <w:t xml:space="preserve"> </w:t>
      </w:r>
    </w:p>
    <w:p w:rsidR="009430FC" w:rsidRPr="005B3FD2" w:rsidRDefault="009430FC" w:rsidP="009430FC">
      <w:pPr>
        <w:pStyle w:val="AERbulletlistfirststyle"/>
        <w:numPr>
          <w:ilvl w:val="1"/>
          <w:numId w:val="2"/>
        </w:numPr>
      </w:pPr>
      <w:r w:rsidRPr="005B3FD2">
        <w:t>Energy Industry Levy (EIL)</w:t>
      </w:r>
      <w:r>
        <w:t>, which</w:t>
      </w:r>
      <w:r w:rsidRPr="005B3FD2">
        <w:t xml:space="preserve"> is based partly on forecast consumption</w:t>
      </w:r>
      <w:r w:rsidRPr="005B3FD2">
        <w:rPr>
          <w:rStyle w:val="FootnoteReference"/>
        </w:rPr>
        <w:footnoteReference w:id="10"/>
      </w:r>
    </w:p>
    <w:p w:rsidR="009430FC" w:rsidRPr="005B3FD2" w:rsidRDefault="009430FC" w:rsidP="009430FC">
      <w:pPr>
        <w:pStyle w:val="AERbulletlistfirststyle"/>
        <w:numPr>
          <w:ilvl w:val="1"/>
          <w:numId w:val="2"/>
        </w:numPr>
      </w:pPr>
      <w:r>
        <w:t>o</w:t>
      </w:r>
      <w:r w:rsidRPr="005B3FD2">
        <w:t>utput growth rate</w:t>
      </w:r>
      <w:r>
        <w:t xml:space="preserve">, given </w:t>
      </w:r>
      <w:r w:rsidRPr="005B3FD2">
        <w:t xml:space="preserve">the </w:t>
      </w:r>
      <w:r>
        <w:t xml:space="preserve">variables that constitute the </w:t>
      </w:r>
      <w:r w:rsidRPr="005B3FD2">
        <w:t>opex rate of change</w:t>
      </w:r>
      <w:r>
        <w:t xml:space="preserve">, namely the </w:t>
      </w:r>
      <w:r w:rsidRPr="005B3FD2">
        <w:t>number of total connections and the gas demand (consumption)</w:t>
      </w:r>
      <w:r>
        <w:t>, is</w:t>
      </w:r>
      <w:r w:rsidRPr="005B3FD2">
        <w:t xml:space="preserve"> used to determine the change in outputs. This is an element of the rate of change which is applied to the base opex</w:t>
      </w:r>
    </w:p>
    <w:p w:rsidR="009430FC" w:rsidRPr="005B3FD2" w:rsidRDefault="009430FC" w:rsidP="009430FC">
      <w:pPr>
        <w:pStyle w:val="AERbulletlistfirststyle"/>
      </w:pPr>
      <w:r>
        <w:t>t</w:t>
      </w:r>
      <w:r w:rsidRPr="005B3FD2">
        <w:t>ariff prices</w:t>
      </w:r>
      <w:r>
        <w:t xml:space="preserve">, given they </w:t>
      </w:r>
      <w:r w:rsidRPr="005B3FD2">
        <w:t>depend on forecast demand (consumption) per connection. Changes in these forecasts will change tariff prices. In simple terms, tariff prices are determined by cost divided by quantity (where quantity is measured by demand per connection). This means that an increase in forecast quantity has the effect of reducing the tariff price.</w:t>
      </w:r>
    </w:p>
    <w:p w:rsidR="009430FC" w:rsidRDefault="009430FC" w:rsidP="009430FC">
      <w:pPr>
        <w:pStyle w:val="Heading3"/>
      </w:pPr>
      <w:bookmarkStart w:id="188" w:name="_Toc420069980"/>
      <w:bookmarkStart w:id="189" w:name="_Toc435700354"/>
      <w:r>
        <w:t>Minimum, maximum and average demand</w:t>
      </w:r>
      <w:bookmarkEnd w:id="188"/>
      <w:bookmarkEnd w:id="189"/>
    </w:p>
    <w:p w:rsidR="009430FC" w:rsidRDefault="009430FC" w:rsidP="009430FC">
      <w:r>
        <w:t>The NGR require that ActewAGL’s</w:t>
      </w:r>
      <w:r w:rsidRPr="008116EA">
        <w:t xml:space="preserve"> access arrangement information </w:t>
      </w:r>
      <w:r>
        <w:t xml:space="preserve">(AAI) </w:t>
      </w:r>
      <w:r w:rsidRPr="008116EA">
        <w:t>must include minimum, maximum and</w:t>
      </w:r>
      <w:r w:rsidRPr="007633B4">
        <w:t xml:space="preserve"> average demand for the earlier access arrangement</w:t>
      </w:r>
      <w:r>
        <w:t xml:space="preserve"> period</w:t>
      </w:r>
      <w:r w:rsidRPr="007633B4">
        <w:t>.</w:t>
      </w:r>
      <w:r w:rsidRPr="007633B4">
        <w:rPr>
          <w:rStyle w:val="FootnoteReference"/>
        </w:rPr>
        <w:footnoteReference w:id="11"/>
      </w:r>
      <w:r w:rsidRPr="007633B4">
        <w:t xml:space="preserve"> We consider that </w:t>
      </w:r>
      <w:r>
        <w:t>ActewAGL’s AAI</w:t>
      </w:r>
      <w:r w:rsidRPr="007633B4">
        <w:t xml:space="preserve"> satisfies </w:t>
      </w:r>
      <w:r>
        <w:t>the requirements of the NGR, including the breakdown of its total customer numbers by tariff class.</w:t>
      </w:r>
      <w:r>
        <w:rPr>
          <w:rStyle w:val="FootnoteReference"/>
        </w:rPr>
        <w:footnoteReference w:id="12"/>
      </w:r>
      <w:r>
        <w:t xml:space="preserve"> </w:t>
      </w:r>
    </w:p>
    <w:p w:rsidR="009430FC" w:rsidRDefault="009430FC" w:rsidP="009430FC">
      <w:pPr>
        <w:pStyle w:val="Heading3"/>
      </w:pPr>
      <w:bookmarkStart w:id="190" w:name="_Toc420069981"/>
      <w:bookmarkStart w:id="191" w:name="_Toc435700355"/>
      <w:r>
        <w:t>Forecast pipeline capacity and utilisation</w:t>
      </w:r>
      <w:bookmarkEnd w:id="190"/>
      <w:bookmarkEnd w:id="191"/>
    </w:p>
    <w:p w:rsidR="009430FC" w:rsidRPr="00C85EC6" w:rsidRDefault="009430FC" w:rsidP="009430FC">
      <w:r>
        <w:t>T</w:t>
      </w:r>
      <w:r w:rsidRPr="00C85EC6">
        <w:t xml:space="preserve">he NGR require that to the extent practicable, </w:t>
      </w:r>
      <w:r w:rsidRPr="00213AF7">
        <w:t xml:space="preserve">the </w:t>
      </w:r>
      <w:r>
        <w:t>AAI</w:t>
      </w:r>
      <w:r w:rsidRPr="00213AF7">
        <w:t xml:space="preserve"> should include forecast pipeline capacity and utilisation of pipeline capacity over </w:t>
      </w:r>
      <w:r>
        <w:t>the access arrangement period.</w:t>
      </w:r>
      <w:r>
        <w:rPr>
          <w:rStyle w:val="FootnoteReference"/>
        </w:rPr>
        <w:footnoteReference w:id="13"/>
      </w:r>
      <w:r>
        <w:t xml:space="preserve"> ActewAGL</w:t>
      </w:r>
      <w:r w:rsidRPr="00213AF7">
        <w:t xml:space="preserve"> did not provide </w:t>
      </w:r>
      <w:r>
        <w:t xml:space="preserve">this </w:t>
      </w:r>
      <w:r w:rsidRPr="00213AF7">
        <w:t>information</w:t>
      </w:r>
      <w:r>
        <w:t xml:space="preserve"> and</w:t>
      </w:r>
      <w:r w:rsidRPr="00213AF7">
        <w:t xml:space="preserve"> submitted that:</w:t>
      </w:r>
      <w:r w:rsidRPr="00213AF7">
        <w:rPr>
          <w:rStyle w:val="FootnoteReference"/>
        </w:rPr>
        <w:footnoteReference w:id="14"/>
      </w:r>
    </w:p>
    <w:p w:rsidR="009430FC" w:rsidRPr="0033049D" w:rsidRDefault="009430FC" w:rsidP="009430FC">
      <w:pPr>
        <w:pStyle w:val="AERquote"/>
        <w:rPr>
          <w:szCs w:val="20"/>
        </w:rPr>
      </w:pPr>
      <w:r w:rsidRPr="0033049D">
        <w:rPr>
          <w:szCs w:val="20"/>
        </w:rPr>
        <w:t>This part of Rule 72 is difficult to interpret in the context of a distribution network because a distribution network is made up of a meshed network of interconnected pipes. Due to a number of practical considerations, the calculation of utilisation is not straightforward and it is thus not practicable to provide forecasts of capacity and utilisation in this case.</w:t>
      </w:r>
    </w:p>
    <w:p w:rsidR="009430FC" w:rsidRDefault="009430FC" w:rsidP="009430FC">
      <w:r w:rsidRPr="00C85EC6">
        <w:t xml:space="preserve">We </w:t>
      </w:r>
      <w:r>
        <w:t>recognise</w:t>
      </w:r>
      <w:r w:rsidRPr="00C85EC6">
        <w:t xml:space="preserve"> </w:t>
      </w:r>
      <w:r>
        <w:t>the</w:t>
      </w:r>
      <w:r w:rsidRPr="00C85EC6">
        <w:t xml:space="preserve"> practical considerations </w:t>
      </w:r>
      <w:r>
        <w:t>which mean that calculating capacity is not straightforward</w:t>
      </w:r>
      <w:r w:rsidRPr="00213AF7">
        <w:t>.</w:t>
      </w:r>
    </w:p>
    <w:p w:rsidR="006273D5" w:rsidRDefault="006273D5" w:rsidP="006E19D2">
      <w:pPr>
        <w:pStyle w:val="Heading2"/>
        <w:keepNext/>
        <w:ind w:left="578" w:hanging="578"/>
      </w:pPr>
      <w:bookmarkStart w:id="192" w:name="_Toc435700356"/>
      <w:r w:rsidRPr="00AF1F9E">
        <w:lastRenderedPageBreak/>
        <w:t xml:space="preserve">Reasons for </w:t>
      </w:r>
      <w:r>
        <w:t>draft</w:t>
      </w:r>
      <w:r w:rsidRPr="00AF1F9E">
        <w:t xml:space="preserve"> decision</w:t>
      </w:r>
      <w:bookmarkEnd w:id="184"/>
      <w:bookmarkEnd w:id="185"/>
      <w:bookmarkEnd w:id="192"/>
      <w:r w:rsidRPr="00AF1F9E">
        <w:t xml:space="preserve"> </w:t>
      </w:r>
    </w:p>
    <w:p w:rsidR="009430FC" w:rsidRDefault="009430FC" w:rsidP="009430FC">
      <w:r>
        <w:t>Our position in this draft decision is to not approve ActewAGL’s proposed Tariff V demand forecasts. We do not consider they comply with the NGR.</w:t>
      </w:r>
      <w:r>
        <w:rPr>
          <w:rStyle w:val="FootnoteReference"/>
        </w:rPr>
        <w:footnoteReference w:id="15"/>
      </w:r>
      <w:r>
        <w:t xml:space="preserve"> In particular, we do not consider that ActewAGL’s proposed Tariff V demand forecasts</w:t>
      </w:r>
      <w:r w:rsidRPr="00F22F02">
        <w:t xml:space="preserve"> </w:t>
      </w:r>
      <w:r>
        <w:t xml:space="preserve">have been arrived at on a reasonable basis or that they are the </w:t>
      </w:r>
      <w:r w:rsidRPr="00F22F02">
        <w:t>best estimate</w:t>
      </w:r>
      <w:r>
        <w:t>s</w:t>
      </w:r>
      <w:r w:rsidRPr="00F22F02">
        <w:t xml:space="preserve"> in the circumstances. </w:t>
      </w:r>
      <w:r>
        <w:t>This arises from our concerns about ActewAGL’s:</w:t>
      </w:r>
    </w:p>
    <w:p w:rsidR="009430FC" w:rsidRPr="0053523E" w:rsidRDefault="009430FC" w:rsidP="009430FC">
      <w:pPr>
        <w:pStyle w:val="AERbulletlistfirststyle"/>
      </w:pPr>
      <w:r>
        <w:t>methodology and the assumptions it has made to forecast number of n</w:t>
      </w:r>
      <w:r w:rsidRPr="0053523E">
        <w:t xml:space="preserve">ew connections in new </w:t>
      </w:r>
      <w:r>
        <w:t xml:space="preserve">dwellings (new </w:t>
      </w:r>
      <w:r w:rsidRPr="0053523E">
        <w:t>estates</w:t>
      </w:r>
      <w:r>
        <w:t xml:space="preserve"> and new medium density/high rise); and</w:t>
      </w:r>
    </w:p>
    <w:p w:rsidR="009430FC" w:rsidRPr="0053523E" w:rsidRDefault="009430FC" w:rsidP="009430FC">
      <w:pPr>
        <w:pStyle w:val="AERbulletlistfirststyle"/>
      </w:pPr>
      <w:r>
        <w:t>methodology to forecast c</w:t>
      </w:r>
      <w:r w:rsidRPr="0053523E">
        <w:t>onsumption per connection for res</w:t>
      </w:r>
      <w:r>
        <w:t>idential and business customers.</w:t>
      </w:r>
    </w:p>
    <w:p w:rsidR="006273D5" w:rsidRDefault="006273D5" w:rsidP="009430FC">
      <w:pPr>
        <w:pStyle w:val="Heading3"/>
      </w:pPr>
      <w:bookmarkStart w:id="193" w:name="_Toc435700357"/>
      <w:r>
        <w:t xml:space="preserve">Forecast tariff V </w:t>
      </w:r>
      <w:r w:rsidR="00F23919">
        <w:t xml:space="preserve">residential new </w:t>
      </w:r>
      <w:r>
        <w:t>connections</w:t>
      </w:r>
      <w:bookmarkEnd w:id="193"/>
    </w:p>
    <w:p w:rsidR="009430FC" w:rsidRPr="0053523E" w:rsidRDefault="009430FC" w:rsidP="009430FC">
      <w:r w:rsidRPr="0053523E">
        <w:t xml:space="preserve">Residential connections </w:t>
      </w:r>
      <w:r>
        <w:t>are</w:t>
      </w:r>
      <w:r w:rsidRPr="0053523E">
        <w:t xml:space="preserve"> separated into three connection types: </w:t>
      </w:r>
    </w:p>
    <w:p w:rsidR="009430FC" w:rsidRPr="0053523E" w:rsidRDefault="009430FC" w:rsidP="009430FC">
      <w:pPr>
        <w:pStyle w:val="AERbulletlistfirststyle"/>
      </w:pPr>
      <w:r>
        <w:t>e</w:t>
      </w:r>
      <w:r w:rsidRPr="0053523E">
        <w:t>xisting customers</w:t>
      </w:r>
    </w:p>
    <w:p w:rsidR="009430FC" w:rsidRPr="0053523E" w:rsidRDefault="009430FC" w:rsidP="009430FC">
      <w:pPr>
        <w:pStyle w:val="AERbulletlistfirststyle"/>
      </w:pPr>
      <w:r w:rsidRPr="0053523E">
        <w:t>‘E to G’ customers</w:t>
      </w:r>
      <w:r>
        <w:t xml:space="preserve">, which are </w:t>
      </w:r>
      <w:r w:rsidRPr="0053523E">
        <w:t xml:space="preserve">customers </w:t>
      </w:r>
      <w:r>
        <w:t>that switch</w:t>
      </w:r>
      <w:r w:rsidRPr="0053523E">
        <w:t xml:space="preserve"> from a pure electricity household to one which is also connected to gas </w:t>
      </w:r>
    </w:p>
    <w:p w:rsidR="009430FC" w:rsidRPr="0053523E" w:rsidRDefault="009430FC" w:rsidP="009430FC">
      <w:pPr>
        <w:pStyle w:val="AERbulletlistfirststyle"/>
      </w:pPr>
      <w:r>
        <w:t>n</w:t>
      </w:r>
      <w:r w:rsidRPr="0053523E">
        <w:t>ew dwellings (connections)</w:t>
      </w:r>
      <w:r>
        <w:t>, which comprises</w:t>
      </w:r>
      <w:r w:rsidRPr="0053523E">
        <w:t xml:space="preserve"> new estates and medium</w:t>
      </w:r>
      <w:r>
        <w:t xml:space="preserve"> density/high rise</w:t>
      </w:r>
      <w:r w:rsidRPr="0053523E">
        <w:t xml:space="preserve"> </w:t>
      </w:r>
      <w:r>
        <w:t>buildings.</w:t>
      </w:r>
    </w:p>
    <w:p w:rsidR="009430FC" w:rsidRPr="0053523E" w:rsidRDefault="009430FC" w:rsidP="009430FC">
      <w:r w:rsidRPr="00001EF4">
        <w:t xml:space="preserve">Core Energy’s Tariff V residential connections </w:t>
      </w:r>
      <w:r>
        <w:t xml:space="preserve">forecasts </w:t>
      </w:r>
      <w:r w:rsidRPr="00001EF4">
        <w:t xml:space="preserve">are </w:t>
      </w:r>
      <w:r>
        <w:t>based on</w:t>
      </w:r>
      <w:r w:rsidRPr="00001EF4">
        <w:t xml:space="preserve"> base year </w:t>
      </w:r>
      <w:r>
        <w:t>2015</w:t>
      </w:r>
      <w:r w:rsidRPr="00001EF4">
        <w:t xml:space="preserve"> customer numbers and </w:t>
      </w:r>
      <w:r w:rsidR="00100EBF">
        <w:t>add</w:t>
      </w:r>
      <w:r w:rsidRPr="00001EF4">
        <w:t xml:space="preserve"> new connections and </w:t>
      </w:r>
      <w:r w:rsidR="00100EBF">
        <w:t>remove</w:t>
      </w:r>
      <w:r w:rsidRPr="00001EF4">
        <w:t xml:space="preserve"> disconnections.</w:t>
      </w:r>
      <w:r>
        <w:t xml:space="preserve"> </w:t>
      </w:r>
      <w:r w:rsidRPr="0053523E">
        <w:t xml:space="preserve">Core Energy has </w:t>
      </w:r>
      <w:r>
        <w:t xml:space="preserve">also </w:t>
      </w:r>
      <w:r w:rsidRPr="0053523E">
        <w:t xml:space="preserve">applied different forecast methods to estimate connection numbers for each connection type. Our </w:t>
      </w:r>
      <w:r>
        <w:t xml:space="preserve">main </w:t>
      </w:r>
      <w:r w:rsidRPr="0053523E">
        <w:t xml:space="preserve">concern is with Core Energy’s methodology and </w:t>
      </w:r>
      <w:r>
        <w:t>the</w:t>
      </w:r>
      <w:r w:rsidRPr="0053523E">
        <w:t xml:space="preserve"> assumptions </w:t>
      </w:r>
      <w:r>
        <w:t xml:space="preserve">it has made </w:t>
      </w:r>
      <w:r w:rsidRPr="0053523E">
        <w:t>to derive new dwellings (</w:t>
      </w:r>
      <w:r>
        <w:t xml:space="preserve">new residential </w:t>
      </w:r>
      <w:r w:rsidRPr="0053523E">
        <w:t>connections)</w:t>
      </w:r>
      <w:r>
        <w:t>.</w:t>
      </w:r>
      <w:r w:rsidRPr="0053523E">
        <w:t xml:space="preserve"> </w:t>
      </w:r>
      <w:r>
        <w:t>A</w:t>
      </w:r>
      <w:r w:rsidRPr="0053523E">
        <w:t xml:space="preserve">s noted </w:t>
      </w:r>
      <w:r>
        <w:t>above</w:t>
      </w:r>
      <w:r w:rsidRPr="0053523E">
        <w:t xml:space="preserve">, forecast new connection numbers </w:t>
      </w:r>
      <w:r>
        <w:t>are</w:t>
      </w:r>
      <w:r w:rsidRPr="0053523E">
        <w:t xml:space="preserve"> a key driver </w:t>
      </w:r>
      <w:r>
        <w:t>of</w:t>
      </w:r>
      <w:r w:rsidRPr="0053523E">
        <w:t xml:space="preserve"> connections capex.</w:t>
      </w:r>
    </w:p>
    <w:p w:rsidR="00F23919" w:rsidRDefault="00F23919" w:rsidP="009430FC">
      <w:pPr>
        <w:pStyle w:val="HeadingBoldItalic"/>
      </w:pPr>
      <w:r>
        <w:t>Methodology to forecast</w:t>
      </w:r>
      <w:r w:rsidRPr="00F23919">
        <w:rPr>
          <w:rFonts w:eastAsiaTheme="minorHAnsi"/>
        </w:rPr>
        <w:t xml:space="preserve"> new residential connections </w:t>
      </w:r>
    </w:p>
    <w:p w:rsidR="009430FC" w:rsidRPr="00F23919" w:rsidRDefault="009430FC" w:rsidP="009430FC">
      <w:r>
        <w:t>Core Energy estimates new residential connection</w:t>
      </w:r>
      <w:r w:rsidRPr="00F23919">
        <w:t xml:space="preserve">s </w:t>
      </w:r>
      <w:r>
        <w:t>as follows</w:t>
      </w:r>
      <w:r w:rsidRPr="00F23919">
        <w:t>:</w:t>
      </w:r>
    </w:p>
    <w:p w:rsidR="009430FC" w:rsidRDefault="009430FC" w:rsidP="009430FC">
      <w:pPr>
        <w:pStyle w:val="ListNumber"/>
        <w:tabs>
          <w:tab w:val="clear" w:pos="340"/>
          <w:tab w:val="num" w:pos="360"/>
        </w:tabs>
      </w:pPr>
      <w:r>
        <w:t>T</w:t>
      </w:r>
      <w:r w:rsidRPr="00EC5E3E">
        <w:t xml:space="preserve">o reflect additional new dwellings </w:t>
      </w:r>
      <w:r>
        <w:t>forecast</w:t>
      </w:r>
      <w:r w:rsidRPr="00EC5E3E">
        <w:t xml:space="preserve"> in Queanbeyan and Paleran</w:t>
      </w:r>
      <w:r>
        <w:t xml:space="preserve">g which is serviced by ActewAGL, the </w:t>
      </w:r>
      <w:r w:rsidRPr="00EC5E3E">
        <w:t>Housing Indus</w:t>
      </w:r>
      <w:r>
        <w:t xml:space="preserve">try Association (HIA) housing starts </w:t>
      </w:r>
      <w:r w:rsidRPr="00EC5E3E">
        <w:t>for the ACT</w:t>
      </w:r>
      <w:r>
        <w:t xml:space="preserve"> were obtained and scaled by 15.8 per cent</w:t>
      </w:r>
      <w:r w:rsidRPr="00EC5E3E">
        <w:t>.</w:t>
      </w:r>
      <w:r>
        <w:rPr>
          <w:rStyle w:val="FootnoteReference"/>
        </w:rPr>
        <w:footnoteReference w:id="16"/>
      </w:r>
    </w:p>
    <w:p w:rsidR="009430FC" w:rsidRDefault="009430FC" w:rsidP="009430FC">
      <w:pPr>
        <w:pStyle w:val="ListNumber"/>
        <w:tabs>
          <w:tab w:val="clear" w:pos="340"/>
          <w:tab w:val="num" w:pos="360"/>
        </w:tabs>
      </w:pPr>
      <w:r>
        <w:t>To forecast</w:t>
      </w:r>
      <w:r w:rsidRPr="00F23919">
        <w:t xml:space="preserve"> new dwellings within the ActewAGL network region</w:t>
      </w:r>
      <w:r>
        <w:t>,</w:t>
      </w:r>
      <w:r w:rsidRPr="00F23919">
        <w:t xml:space="preserve"> ActewAGL assumed that its network reaches 100 per cent of the population</w:t>
      </w:r>
      <w:r>
        <w:t>,</w:t>
      </w:r>
      <w:r w:rsidRPr="00F23919">
        <w:t xml:space="preserve"> i</w:t>
      </w:r>
      <w:r>
        <w:t>.</w:t>
      </w:r>
      <w:r w:rsidRPr="00F23919">
        <w:t>e. that ActewAGL network will pass all new dwellings</w:t>
      </w:r>
      <w:r>
        <w:t>.</w:t>
      </w:r>
    </w:p>
    <w:p w:rsidR="009430FC" w:rsidRDefault="009430FC" w:rsidP="009430FC">
      <w:pPr>
        <w:pStyle w:val="ListNumber"/>
        <w:tabs>
          <w:tab w:val="clear" w:pos="340"/>
          <w:tab w:val="num" w:pos="360"/>
        </w:tabs>
      </w:pPr>
      <w:r>
        <w:lastRenderedPageBreak/>
        <w:t xml:space="preserve">ActewAGL applied a gas connection rate of </w:t>
      </w:r>
      <w:r w:rsidRPr="00F23919">
        <w:t>90 per cent</w:t>
      </w:r>
      <w:r>
        <w:t xml:space="preserve"> to forecast future new gas connections. </w:t>
      </w:r>
    </w:p>
    <w:p w:rsidR="009430FC" w:rsidRPr="00C43408" w:rsidRDefault="009430FC" w:rsidP="009430FC">
      <w:pPr>
        <w:pStyle w:val="ListNumber"/>
      </w:pPr>
      <w:r w:rsidRPr="00F23919">
        <w:t xml:space="preserve">Additional new dwellings connections </w:t>
      </w:r>
      <w:r>
        <w:t xml:space="preserve">are </w:t>
      </w:r>
      <w:r w:rsidRPr="00F23919">
        <w:t>reapplied to the new dwellings connections forecast during 2018 to 2020 to account for new homes built as part of the Mr Fluffy buy-back scheme. The scheme involves the buyback and demolition of around 1021 houses contaminated with loose fill asbestos. ActewAGL submit</w:t>
      </w:r>
      <w:r>
        <w:t>ted</w:t>
      </w:r>
      <w:r w:rsidRPr="00F23919">
        <w:t xml:space="preserve"> that it is expected that the phased demolishment of the 1021 homes will occur over </w:t>
      </w:r>
      <w:r>
        <w:t>three</w:t>
      </w:r>
      <w:r w:rsidRPr="00F23919">
        <w:t xml:space="preserve"> years </w:t>
      </w:r>
      <w:r>
        <w:t>from</w:t>
      </w:r>
      <w:r w:rsidRPr="00F23919">
        <w:t xml:space="preserve"> 2017.</w:t>
      </w:r>
    </w:p>
    <w:p w:rsidR="00932CC1" w:rsidRDefault="009430FC" w:rsidP="009430FC">
      <w:r>
        <w:t>Our assessment is that</w:t>
      </w:r>
      <w:r w:rsidR="00FC5348">
        <w:t xml:space="preserve"> ActewAGL’s assumption of a</w:t>
      </w:r>
      <w:r>
        <w:t xml:space="preserve"> 90 per cent gas connection rate is not the best estimate of future new gas connections</w:t>
      </w:r>
      <w:r w:rsidR="00100EBF">
        <w:t>. We arrived at this position by comparing ActewAGL’s forecast new connections</w:t>
      </w:r>
      <w:r w:rsidR="00FC5348">
        <w:t xml:space="preserve">, and assumed gas connection rate </w:t>
      </w:r>
      <w:r w:rsidR="00100EBF">
        <w:t>over the 2016</w:t>
      </w:r>
      <w:r w:rsidR="000B5FBD">
        <w:t>–</w:t>
      </w:r>
      <w:r w:rsidR="00100EBF">
        <w:t xml:space="preserve">21 </w:t>
      </w:r>
      <w:r w:rsidR="00932CC1">
        <w:t xml:space="preserve">access arrangement </w:t>
      </w:r>
      <w:r w:rsidR="00100EBF">
        <w:t xml:space="preserve">period against </w:t>
      </w:r>
      <w:r w:rsidR="00FC5348">
        <w:t>a number of alterative data sources.</w:t>
      </w:r>
    </w:p>
    <w:p w:rsidR="00FC5348" w:rsidRDefault="00932CC1" w:rsidP="009430FC">
      <w:r>
        <w:t>We also consider that ActewAGL’s</w:t>
      </w:r>
      <w:r w:rsidR="009430FC">
        <w:t xml:space="preserve"> assumed number of new connections to be reconnected as part of the Mr Fluffy buyback scheme is overstated. </w:t>
      </w:r>
    </w:p>
    <w:p w:rsidR="009430FC" w:rsidRDefault="009430FC" w:rsidP="009430FC">
      <w:r>
        <w:t>We discuss our reasons below.</w:t>
      </w:r>
    </w:p>
    <w:p w:rsidR="001632C3" w:rsidRDefault="00160864" w:rsidP="00844703">
      <w:pPr>
        <w:pStyle w:val="HeadingBoldItalic"/>
      </w:pPr>
      <w:r>
        <w:t>G</w:t>
      </w:r>
      <w:r w:rsidR="00844703">
        <w:t xml:space="preserve">as </w:t>
      </w:r>
      <w:r w:rsidR="007C5DFE">
        <w:t xml:space="preserve">connection </w:t>
      </w:r>
      <w:r w:rsidR="00844703">
        <w:t>rate</w:t>
      </w:r>
    </w:p>
    <w:p w:rsidR="009430FC" w:rsidRPr="005C3C41" w:rsidRDefault="009430FC" w:rsidP="009430FC">
      <w:r>
        <w:t>A</w:t>
      </w:r>
      <w:r w:rsidRPr="005C3C41">
        <w:t xml:space="preserve"> number of submissions </w:t>
      </w:r>
      <w:r>
        <w:t>raised</w:t>
      </w:r>
      <w:r w:rsidRPr="005C3C41">
        <w:t xml:space="preserve"> concern</w:t>
      </w:r>
      <w:r>
        <w:t>s</w:t>
      </w:r>
      <w:r w:rsidRPr="005C3C41">
        <w:t xml:space="preserve"> about </w:t>
      </w:r>
      <w:r>
        <w:t xml:space="preserve">ActewAGL’s proposed </w:t>
      </w:r>
      <w:r w:rsidRPr="005C3C41">
        <w:t xml:space="preserve">90 per cent </w:t>
      </w:r>
      <w:r>
        <w:t>gas connection</w:t>
      </w:r>
      <w:r w:rsidRPr="005C3C41">
        <w:t xml:space="preserve"> rate. The Alternative Technologies Association submitted that </w:t>
      </w:r>
      <w:r>
        <w:t>this rate is unsubstantiated</w:t>
      </w:r>
      <w:r w:rsidRPr="005C3C41">
        <w:t>.</w:t>
      </w:r>
      <w:r w:rsidRPr="005C3C41">
        <w:rPr>
          <w:vertAlign w:val="superscript"/>
        </w:rPr>
        <w:footnoteReference w:id="17"/>
      </w:r>
      <w:r w:rsidRPr="005C3C41">
        <w:t xml:space="preserve"> The CCP </w:t>
      </w:r>
      <w:r>
        <w:t>made</w:t>
      </w:r>
      <w:r w:rsidRPr="005C3C41">
        <w:t xml:space="preserve"> a similar </w:t>
      </w:r>
      <w:r>
        <w:t>submission</w:t>
      </w:r>
      <w:r w:rsidRPr="005C3C41">
        <w:t xml:space="preserve">, and </w:t>
      </w:r>
      <w:r>
        <w:t xml:space="preserve">also </w:t>
      </w:r>
      <w:r w:rsidRPr="005C3C41">
        <w:t>note</w:t>
      </w:r>
      <w:r>
        <w:t>d</w:t>
      </w:r>
      <w:r w:rsidRPr="005C3C41">
        <w:t xml:space="preserve"> that this high penetration rate is at odds with evidence that gas is a fuel of choice and fewer households are choosing to connect to gas. </w:t>
      </w:r>
      <w:r>
        <w:t>The CCP</w:t>
      </w:r>
      <w:r w:rsidRPr="005C3C41">
        <w:t xml:space="preserve"> recommend</w:t>
      </w:r>
      <w:r>
        <w:t>ed that</w:t>
      </w:r>
      <w:r w:rsidRPr="005C3C41">
        <w:t xml:space="preserve"> </w:t>
      </w:r>
      <w:r>
        <w:t>we</w:t>
      </w:r>
      <w:r w:rsidRPr="005C3C41">
        <w:t xml:space="preserve"> review this take-up rate.</w:t>
      </w:r>
      <w:r w:rsidRPr="005C3C41">
        <w:rPr>
          <w:vertAlign w:val="superscript"/>
        </w:rPr>
        <w:footnoteReference w:id="18"/>
      </w:r>
    </w:p>
    <w:p w:rsidR="009430FC" w:rsidRDefault="009430FC" w:rsidP="009430FC">
      <w:r>
        <w:t>We note that t</w:t>
      </w:r>
      <w:r w:rsidRPr="00844703">
        <w:t xml:space="preserve">he 90 per cent </w:t>
      </w:r>
      <w:r>
        <w:t>gas connection</w:t>
      </w:r>
      <w:r w:rsidRPr="00844703">
        <w:t xml:space="preserve"> rate is not based on actual historical connections</w:t>
      </w:r>
      <w:r>
        <w:t>. Instead, it is</w:t>
      </w:r>
      <w:r w:rsidRPr="00844703">
        <w:t xml:space="preserve"> measured as the total number of houses with gas divided by the total number of blocks within the ACT as at 5 September 2014.</w:t>
      </w:r>
      <w:r w:rsidRPr="001B6F34">
        <w:rPr>
          <w:vertAlign w:val="superscript"/>
        </w:rPr>
        <w:footnoteReference w:id="19"/>
      </w:r>
      <w:r w:rsidRPr="00844703">
        <w:t xml:space="preserve"> We consider that this method </w:t>
      </w:r>
      <w:r>
        <w:t xml:space="preserve">overestimates </w:t>
      </w:r>
      <w:r w:rsidRPr="00844703">
        <w:t xml:space="preserve">the penetration rate </w:t>
      </w:r>
      <w:r>
        <w:t>given</w:t>
      </w:r>
      <w:r w:rsidRPr="00844703">
        <w:t xml:space="preserve"> there can be several houses as well as medium density/high rise properties</w:t>
      </w:r>
      <w:r>
        <w:t xml:space="preserve"> on a block of land.</w:t>
      </w:r>
    </w:p>
    <w:p w:rsidR="009430FC" w:rsidRDefault="009430FC" w:rsidP="009430FC">
      <w:r>
        <w:t>We compared Core Energy’s 90 per cent assumed gas connection rate for future gas connections to three data series. Each comparison demonstrated that a 90 per cent penetration rate is an overestimate. Specifically:</w:t>
      </w:r>
    </w:p>
    <w:p w:rsidR="009430FC" w:rsidRDefault="009430FC" w:rsidP="009430FC">
      <w:pPr>
        <w:pStyle w:val="AERbulletlistfirststyle"/>
      </w:pPr>
      <w:r>
        <w:t>u</w:t>
      </w:r>
      <w:r w:rsidRPr="00844703">
        <w:rPr>
          <w:rFonts w:cstheme="minorBidi"/>
        </w:rPr>
        <w:t xml:space="preserve">sing historical connections data from Core </w:t>
      </w:r>
      <w:r>
        <w:t xml:space="preserve">Energy’s </w:t>
      </w:r>
      <w:r w:rsidRPr="00844703">
        <w:rPr>
          <w:rFonts w:cstheme="minorBidi"/>
        </w:rPr>
        <w:t xml:space="preserve">demand model, </w:t>
      </w:r>
      <w:r>
        <w:t xml:space="preserve">new </w:t>
      </w:r>
      <w:r w:rsidR="00626723">
        <w:t xml:space="preserve">dwelling </w:t>
      </w:r>
      <w:r>
        <w:t xml:space="preserve">gas connections </w:t>
      </w:r>
      <w:r w:rsidRPr="00844703">
        <w:rPr>
          <w:rFonts w:cstheme="minorBidi"/>
        </w:rPr>
        <w:t>a</w:t>
      </w:r>
      <w:r>
        <w:t>s</w:t>
      </w:r>
      <w:r w:rsidRPr="00844703">
        <w:rPr>
          <w:rFonts w:cstheme="minorBidi"/>
        </w:rPr>
        <w:t xml:space="preserve"> </w:t>
      </w:r>
      <w:r>
        <w:rPr>
          <w:rFonts w:cstheme="minorBidi"/>
        </w:rPr>
        <w:t xml:space="preserve">a </w:t>
      </w:r>
      <w:r w:rsidRPr="00844703">
        <w:rPr>
          <w:rFonts w:cstheme="minorBidi"/>
        </w:rPr>
        <w:t xml:space="preserve">proportion of HIA new dwellings ranges between </w:t>
      </w:r>
      <w:r>
        <w:t xml:space="preserve">49 to 71 per cent </w:t>
      </w:r>
      <w:r w:rsidRPr="00844703">
        <w:rPr>
          <w:rFonts w:cstheme="minorBidi"/>
        </w:rPr>
        <w:t>over 2010</w:t>
      </w:r>
      <w:r w:rsidR="000B5FBD">
        <w:rPr>
          <w:rFonts w:cstheme="minorBidi"/>
        </w:rPr>
        <w:t>–</w:t>
      </w:r>
      <w:r w:rsidRPr="00844703">
        <w:rPr>
          <w:rFonts w:cstheme="minorBidi"/>
        </w:rPr>
        <w:t>11 to 2013</w:t>
      </w:r>
      <w:r w:rsidR="000B5FBD">
        <w:rPr>
          <w:rFonts w:cstheme="minorBidi"/>
        </w:rPr>
        <w:t>–</w:t>
      </w:r>
      <w:r w:rsidRPr="00844703">
        <w:rPr>
          <w:rFonts w:cstheme="minorBidi"/>
        </w:rPr>
        <w:t>14</w:t>
      </w:r>
      <w:r w:rsidR="00932CC1">
        <w:t>;</w:t>
      </w:r>
    </w:p>
    <w:p w:rsidR="009430FC" w:rsidRPr="00172957" w:rsidRDefault="009430FC" w:rsidP="009430FC">
      <w:pPr>
        <w:pStyle w:val="AERbulletlistfirststyle"/>
      </w:pPr>
      <w:r>
        <w:rPr>
          <w:rFonts w:cstheme="minorBidi"/>
        </w:rPr>
        <w:lastRenderedPageBreak/>
        <w:t>u</w:t>
      </w:r>
      <w:r w:rsidRPr="00844703">
        <w:rPr>
          <w:rFonts w:cstheme="minorBidi"/>
        </w:rPr>
        <w:t xml:space="preserve">sing the historical data from </w:t>
      </w:r>
      <w:r w:rsidR="00932CC1">
        <w:rPr>
          <w:rFonts w:cstheme="minorBidi"/>
        </w:rPr>
        <w:t xml:space="preserve">the </w:t>
      </w:r>
      <w:r w:rsidRPr="00844703">
        <w:rPr>
          <w:rFonts w:cstheme="minorBidi"/>
        </w:rPr>
        <w:t xml:space="preserve">capex unit rate model, new </w:t>
      </w:r>
      <w:r w:rsidR="00626723">
        <w:rPr>
          <w:rFonts w:cstheme="minorBidi"/>
        </w:rPr>
        <w:t xml:space="preserve">dwelling </w:t>
      </w:r>
      <w:r w:rsidRPr="00844703">
        <w:rPr>
          <w:rFonts w:cstheme="minorBidi"/>
        </w:rPr>
        <w:t>connections as a proportion of HIA new dwellings ranges between 50 to 69 per cent over 2010</w:t>
      </w:r>
      <w:r w:rsidR="000B5FBD">
        <w:rPr>
          <w:rFonts w:cstheme="minorBidi"/>
        </w:rPr>
        <w:t>–</w:t>
      </w:r>
      <w:r w:rsidRPr="00844703">
        <w:rPr>
          <w:rFonts w:cstheme="minorBidi"/>
        </w:rPr>
        <w:t>11 to 2013</w:t>
      </w:r>
      <w:r w:rsidR="000B5FBD">
        <w:rPr>
          <w:rFonts w:cstheme="minorBidi"/>
        </w:rPr>
        <w:t>–</w:t>
      </w:r>
      <w:r w:rsidRPr="00844703">
        <w:rPr>
          <w:rFonts w:cstheme="minorBidi"/>
        </w:rPr>
        <w:t>14</w:t>
      </w:r>
      <w:r w:rsidR="00932CC1">
        <w:rPr>
          <w:rFonts w:cstheme="minorBidi"/>
        </w:rPr>
        <w:t>;</w:t>
      </w:r>
      <w:r>
        <w:rPr>
          <w:rStyle w:val="FootnoteReference"/>
        </w:rPr>
        <w:footnoteReference w:id="20"/>
      </w:r>
      <w:r w:rsidR="00932CC1">
        <w:rPr>
          <w:rFonts w:cstheme="minorBidi"/>
        </w:rPr>
        <w:t xml:space="preserve"> and</w:t>
      </w:r>
    </w:p>
    <w:p w:rsidR="009430FC" w:rsidRPr="00172957" w:rsidRDefault="009430FC" w:rsidP="009430FC">
      <w:pPr>
        <w:pStyle w:val="AERbulletlistfirststyle"/>
      </w:pPr>
      <w:r>
        <w:rPr>
          <w:rFonts w:cstheme="minorBidi"/>
        </w:rPr>
        <w:t>t</w:t>
      </w:r>
      <w:r w:rsidRPr="00844703">
        <w:rPr>
          <w:rFonts w:cstheme="minorBidi"/>
        </w:rPr>
        <w:t>he latest ABS statistics indicate that 67.9 per cent of all households in the ACT were connected with gas in 2014, down from 74.6 per cent from 2011.</w:t>
      </w:r>
      <w:r w:rsidR="00E8280E">
        <w:rPr>
          <w:rStyle w:val="FootnoteReference"/>
          <w:rFonts w:cstheme="minorBidi"/>
        </w:rPr>
        <w:footnoteReference w:id="21"/>
      </w:r>
    </w:p>
    <w:p w:rsidR="005A7BB1" w:rsidRDefault="005A7BB1" w:rsidP="009430FC">
      <w:r w:rsidRPr="00844703">
        <w:t xml:space="preserve">We alerted ActewAGL about our concerns </w:t>
      </w:r>
      <w:r>
        <w:t>and the</w:t>
      </w:r>
      <w:r w:rsidR="00932CC1">
        <w:t xml:space="preserve"> alternat</w:t>
      </w:r>
      <w:r w:rsidR="00FC5348">
        <w:t>ive</w:t>
      </w:r>
      <w:r w:rsidR="00932CC1">
        <w:t xml:space="preserve"> estimates. </w:t>
      </w:r>
      <w:r w:rsidR="00F871CA">
        <w:t>ActewAGL</w:t>
      </w:r>
      <w:r w:rsidR="00F871CA" w:rsidRPr="00844703">
        <w:t xml:space="preserve"> </w:t>
      </w:r>
      <w:r w:rsidRPr="00844703">
        <w:t>indicated that their ‘revised proposal will take into account the AER’s draft decision regarding the use of actual historical data to develop penetration rates for both new estate and medium density/rise (</w:t>
      </w:r>
      <w:r w:rsidR="000B5FBD">
        <w:t xml:space="preserve">sic) forecast new connections. </w:t>
      </w:r>
      <w:r w:rsidRPr="00844703">
        <w:t>This will be explored through the update of Core Energy’s demand forecast model.’</w:t>
      </w:r>
      <w:r w:rsidR="00923D4B">
        <w:rPr>
          <w:rStyle w:val="FootnoteReference"/>
        </w:rPr>
        <w:footnoteReference w:id="22"/>
      </w:r>
    </w:p>
    <w:p w:rsidR="005A7BB1" w:rsidRPr="001A0BA0" w:rsidRDefault="005A7BB1" w:rsidP="005A7BB1">
      <w:pPr>
        <w:pStyle w:val="AERbulletlistfirststyle"/>
        <w:numPr>
          <w:ilvl w:val="0"/>
          <w:numId w:val="0"/>
        </w:numPr>
      </w:pPr>
      <w:r>
        <w:t>As we consider that forecast new connections</w:t>
      </w:r>
      <w:r w:rsidR="0009704B">
        <w:t xml:space="preserve"> for new estate and medium density/high rise dwellings</w:t>
      </w:r>
      <w:r>
        <w:t xml:space="preserve"> based on Core Energy’s methodology and assumptions are not the best estimate</w:t>
      </w:r>
      <w:r w:rsidR="0009704B">
        <w:t>s</w:t>
      </w:r>
      <w:r>
        <w:t xml:space="preserve"> in the circumstanc</w:t>
      </w:r>
      <w:r w:rsidR="00932CC1">
        <w:t>es, we have derived alternative</w:t>
      </w:r>
      <w:r>
        <w:t xml:space="preserve"> estimate</w:t>
      </w:r>
      <w:r w:rsidR="0009704B">
        <w:t>s</w:t>
      </w:r>
      <w:r>
        <w:t>.</w:t>
      </w:r>
    </w:p>
    <w:p w:rsidR="00AC3AAC" w:rsidRDefault="00A83186" w:rsidP="00A83186">
      <w:pPr>
        <w:pStyle w:val="HeadingBoldItalic"/>
      </w:pPr>
      <w:r>
        <w:t>Alternat</w:t>
      </w:r>
      <w:r w:rsidR="00E42B41">
        <w:t>ive</w:t>
      </w:r>
      <w:r>
        <w:t xml:space="preserve"> estimate</w:t>
      </w:r>
      <w:r w:rsidR="0009704B">
        <w:t>s</w:t>
      </w:r>
      <w:r>
        <w:t xml:space="preserve"> </w:t>
      </w:r>
    </w:p>
    <w:p w:rsidR="009430FC" w:rsidRDefault="009430FC" w:rsidP="009430FC">
      <w:r>
        <w:t>We have derived our alternative estimate</w:t>
      </w:r>
      <w:r w:rsidR="00626723">
        <w:t>s</w:t>
      </w:r>
      <w:r>
        <w:t xml:space="preserve"> for new connections </w:t>
      </w:r>
      <w:r w:rsidR="00FC5348">
        <w:t xml:space="preserve">in </w:t>
      </w:r>
      <w:r>
        <w:t>new estates and MD/HR over the 2016–21 access arrangement period by applying:</w:t>
      </w:r>
    </w:p>
    <w:p w:rsidR="009430FC" w:rsidRDefault="009430FC" w:rsidP="009430FC">
      <w:pPr>
        <w:pStyle w:val="AERbulletlistfirststyle"/>
      </w:pPr>
      <w:r>
        <w:t>the difference in the HIA forecast growth rate for each year from its four year historical average (201</w:t>
      </w:r>
      <w:r w:rsidR="00626723">
        <w:t>0</w:t>
      </w:r>
      <w:r w:rsidR="000B5FBD">
        <w:t>–</w:t>
      </w:r>
      <w:r w:rsidR="00626723">
        <w:t>1</w:t>
      </w:r>
      <w:r>
        <w:t>1 to 201</w:t>
      </w:r>
      <w:r w:rsidR="00626723">
        <w:t>3</w:t>
      </w:r>
      <w:r w:rsidR="000B5FBD">
        <w:t>–</w:t>
      </w:r>
      <w:r w:rsidR="00626723">
        <w:t>1</w:t>
      </w:r>
      <w:r>
        <w:t>4) to</w:t>
      </w:r>
    </w:p>
    <w:p w:rsidR="009430FC" w:rsidRDefault="009430FC" w:rsidP="009430FC">
      <w:pPr>
        <w:pStyle w:val="AERbulletlistfirststyle"/>
      </w:pPr>
      <w:r>
        <w:t>the four year average (201</w:t>
      </w:r>
      <w:r w:rsidR="00626723">
        <w:t>0</w:t>
      </w:r>
      <w:r w:rsidR="000B5FBD">
        <w:t>–</w:t>
      </w:r>
      <w:r w:rsidR="00626723">
        <w:t>1</w:t>
      </w:r>
      <w:r>
        <w:t>1 to 201</w:t>
      </w:r>
      <w:r w:rsidR="00626723">
        <w:t>3</w:t>
      </w:r>
      <w:r w:rsidR="000B5FBD">
        <w:t>–</w:t>
      </w:r>
      <w:r w:rsidR="00626723">
        <w:t>1</w:t>
      </w:r>
      <w:r>
        <w:t xml:space="preserve">4) of historical new </w:t>
      </w:r>
      <w:r w:rsidR="00553F3F">
        <w:t xml:space="preserve">dwelling </w:t>
      </w:r>
      <w:r>
        <w:t xml:space="preserve">connections.  </w:t>
      </w:r>
    </w:p>
    <w:p w:rsidR="009430FC" w:rsidRDefault="009430FC" w:rsidP="009430FC">
      <w:r>
        <w:t>Table 13.3 sets out the HIA data that we used. In all of the forecast years, there is a significant decline in the number of new dwellings forecast relative to the four year average. The average decline is 26.2 per cent. This is driven by a decline in multi-units, with an average decline of 43.2 per cent.</w:t>
      </w:r>
    </w:p>
    <w:p w:rsidR="000870F0" w:rsidRDefault="000870F0" w:rsidP="006E19D2">
      <w:pPr>
        <w:pStyle w:val="Tabletitle"/>
        <w:keepNext/>
      </w:pPr>
      <w:r>
        <w:lastRenderedPageBreak/>
        <w:t>Table 13.3 HIA actual and forecast data for the ACT</w:t>
      </w:r>
    </w:p>
    <w:tbl>
      <w:tblPr>
        <w:tblStyle w:val="AERtable-numbers"/>
        <w:tblW w:w="8897" w:type="dxa"/>
        <w:tblLayout w:type="fixed"/>
        <w:tblLook w:val="04A0" w:firstRow="1" w:lastRow="0" w:firstColumn="1" w:lastColumn="0" w:noHBand="0" w:noVBand="1"/>
      </w:tblPr>
      <w:tblGrid>
        <w:gridCol w:w="2376"/>
        <w:gridCol w:w="1418"/>
        <w:gridCol w:w="1020"/>
        <w:gridCol w:w="1021"/>
        <w:gridCol w:w="1020"/>
        <w:gridCol w:w="1021"/>
        <w:gridCol w:w="1021"/>
      </w:tblGrid>
      <w:tr w:rsidR="001F7700" w:rsidRPr="0018218B" w:rsidTr="006E19D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rsidR="001F7700" w:rsidRPr="008F0CF0" w:rsidRDefault="001F7700" w:rsidP="006E19D2">
            <w:pPr>
              <w:keepNext/>
            </w:pPr>
            <w:r>
              <w:t>HIA actual and forecast data</w:t>
            </w:r>
          </w:p>
        </w:tc>
        <w:tc>
          <w:tcPr>
            <w:tcW w:w="1418" w:type="dxa"/>
            <w:noWrap/>
            <w:hideMark/>
          </w:tcPr>
          <w:p w:rsidR="001F7700" w:rsidRPr="002A09B6" w:rsidRDefault="001F7700" w:rsidP="006E19D2">
            <w:pPr>
              <w:keepNext/>
              <w:cnfStyle w:val="100000000000" w:firstRow="1" w:lastRow="0" w:firstColumn="0" w:lastColumn="0" w:oddVBand="0" w:evenVBand="0" w:oddHBand="0" w:evenHBand="0" w:firstRowFirstColumn="0" w:firstRowLastColumn="0" w:lastRowFirstColumn="0" w:lastRowLastColumn="0"/>
            </w:pPr>
            <w:r>
              <w:t>2010-11-2013-14  average (actual)</w:t>
            </w:r>
          </w:p>
        </w:tc>
        <w:tc>
          <w:tcPr>
            <w:tcW w:w="1020" w:type="dxa"/>
            <w:noWrap/>
            <w:hideMark/>
          </w:tcPr>
          <w:p w:rsidR="001F7700" w:rsidRPr="002A09B6" w:rsidRDefault="001F7700" w:rsidP="006E19D2">
            <w:pPr>
              <w:keepNext/>
              <w:cnfStyle w:val="100000000000" w:firstRow="1" w:lastRow="0" w:firstColumn="0" w:lastColumn="0" w:oddVBand="0" w:evenVBand="0" w:oddHBand="0" w:evenHBand="0" w:firstRowFirstColumn="0" w:firstRowLastColumn="0" w:lastRowFirstColumn="0" w:lastRowLastColumn="0"/>
            </w:pPr>
            <w:r>
              <w:t>2014-15</w:t>
            </w:r>
          </w:p>
        </w:tc>
        <w:tc>
          <w:tcPr>
            <w:tcW w:w="1021" w:type="dxa"/>
            <w:noWrap/>
            <w:hideMark/>
          </w:tcPr>
          <w:p w:rsidR="001F7700" w:rsidRPr="002A09B6" w:rsidRDefault="001F7700" w:rsidP="006E19D2">
            <w:pPr>
              <w:keepNext/>
              <w:cnfStyle w:val="100000000000" w:firstRow="1" w:lastRow="0" w:firstColumn="0" w:lastColumn="0" w:oddVBand="0" w:evenVBand="0" w:oddHBand="0" w:evenHBand="0" w:firstRowFirstColumn="0" w:firstRowLastColumn="0" w:lastRowFirstColumn="0" w:lastRowLastColumn="0"/>
            </w:pPr>
            <w:r>
              <w:t>2015-16</w:t>
            </w:r>
          </w:p>
        </w:tc>
        <w:tc>
          <w:tcPr>
            <w:tcW w:w="1020" w:type="dxa"/>
            <w:noWrap/>
            <w:hideMark/>
          </w:tcPr>
          <w:p w:rsidR="001F7700" w:rsidRPr="002A09B6" w:rsidRDefault="001F7700" w:rsidP="006E19D2">
            <w:pPr>
              <w:keepNext/>
              <w:cnfStyle w:val="100000000000" w:firstRow="1" w:lastRow="0" w:firstColumn="0" w:lastColumn="0" w:oddVBand="0" w:evenVBand="0" w:oddHBand="0" w:evenHBand="0" w:firstRowFirstColumn="0" w:firstRowLastColumn="0" w:lastRowFirstColumn="0" w:lastRowLastColumn="0"/>
            </w:pPr>
            <w:r>
              <w:t>2016-17</w:t>
            </w:r>
          </w:p>
        </w:tc>
        <w:tc>
          <w:tcPr>
            <w:tcW w:w="1021" w:type="dxa"/>
            <w:noWrap/>
            <w:hideMark/>
          </w:tcPr>
          <w:p w:rsidR="001F7700" w:rsidRPr="002A09B6" w:rsidRDefault="001F7700" w:rsidP="006E19D2">
            <w:pPr>
              <w:keepNext/>
              <w:cnfStyle w:val="100000000000" w:firstRow="1" w:lastRow="0" w:firstColumn="0" w:lastColumn="0" w:oddVBand="0" w:evenVBand="0" w:oddHBand="0" w:evenHBand="0" w:firstRowFirstColumn="0" w:firstRowLastColumn="0" w:lastRowFirstColumn="0" w:lastRowLastColumn="0"/>
            </w:pPr>
            <w:r>
              <w:t>2017-18</w:t>
            </w:r>
          </w:p>
        </w:tc>
        <w:tc>
          <w:tcPr>
            <w:tcW w:w="1021" w:type="dxa"/>
          </w:tcPr>
          <w:p w:rsidR="001F7700" w:rsidRDefault="001F7700" w:rsidP="006E19D2">
            <w:pPr>
              <w:keepNext/>
              <w:cnfStyle w:val="100000000000" w:firstRow="1" w:lastRow="0" w:firstColumn="0" w:lastColumn="0" w:oddVBand="0" w:evenVBand="0" w:oddHBand="0" w:evenHBand="0" w:firstRowFirstColumn="0" w:firstRowLastColumn="0" w:lastRowFirstColumn="0" w:lastRowLastColumn="0"/>
            </w:pPr>
            <w:r>
              <w:t>2018-19</w:t>
            </w:r>
          </w:p>
        </w:tc>
      </w:tr>
      <w:tr w:rsidR="001F7700" w:rsidRPr="0018218B" w:rsidTr="006E19D2">
        <w:trPr>
          <w:trHeight w:val="300"/>
        </w:trPr>
        <w:tc>
          <w:tcPr>
            <w:cnfStyle w:val="001000000000" w:firstRow="0" w:lastRow="0" w:firstColumn="1" w:lastColumn="0" w:oddVBand="0" w:evenVBand="0" w:oddHBand="0" w:evenHBand="0" w:firstRowFirstColumn="0" w:firstRowLastColumn="0" w:lastRowFirstColumn="0" w:lastRowLastColumn="0"/>
            <w:tcW w:w="2376" w:type="dxa"/>
            <w:noWrap/>
          </w:tcPr>
          <w:p w:rsidR="001F7700" w:rsidRPr="004121ED" w:rsidRDefault="002E5DD1" w:rsidP="006E19D2">
            <w:pPr>
              <w:pStyle w:val="HeadingOrange"/>
              <w:keepNext/>
            </w:pPr>
            <w:r>
              <w:t xml:space="preserve">Number of dwellings </w:t>
            </w:r>
          </w:p>
        </w:tc>
        <w:tc>
          <w:tcPr>
            <w:tcW w:w="1418" w:type="dxa"/>
            <w:noWrap/>
          </w:tcPr>
          <w:p w:rsidR="001F7700" w:rsidRPr="008F0CF0" w:rsidRDefault="001F7700" w:rsidP="006E19D2">
            <w:pPr>
              <w:keepNext/>
              <w:cnfStyle w:val="000000000000" w:firstRow="0" w:lastRow="0" w:firstColumn="0" w:lastColumn="0" w:oddVBand="0" w:evenVBand="0" w:oddHBand="0" w:evenHBand="0" w:firstRowFirstColumn="0" w:firstRowLastColumn="0" w:lastRowFirstColumn="0" w:lastRowLastColumn="0"/>
            </w:pPr>
          </w:p>
        </w:tc>
        <w:tc>
          <w:tcPr>
            <w:tcW w:w="1020" w:type="dxa"/>
            <w:noWrap/>
          </w:tcPr>
          <w:p w:rsidR="001F7700" w:rsidRPr="008F0CF0" w:rsidRDefault="001F7700" w:rsidP="006E19D2">
            <w:pPr>
              <w:keepNext/>
              <w:cnfStyle w:val="000000000000" w:firstRow="0" w:lastRow="0" w:firstColumn="0" w:lastColumn="0" w:oddVBand="0" w:evenVBand="0" w:oddHBand="0" w:evenHBand="0" w:firstRowFirstColumn="0" w:firstRowLastColumn="0" w:lastRowFirstColumn="0" w:lastRowLastColumn="0"/>
            </w:pPr>
          </w:p>
        </w:tc>
        <w:tc>
          <w:tcPr>
            <w:tcW w:w="1021" w:type="dxa"/>
            <w:noWrap/>
          </w:tcPr>
          <w:p w:rsidR="001F7700" w:rsidRPr="008F0CF0" w:rsidRDefault="001F7700" w:rsidP="006E19D2">
            <w:pPr>
              <w:keepNext/>
              <w:cnfStyle w:val="000000000000" w:firstRow="0" w:lastRow="0" w:firstColumn="0" w:lastColumn="0" w:oddVBand="0" w:evenVBand="0" w:oddHBand="0" w:evenHBand="0" w:firstRowFirstColumn="0" w:firstRowLastColumn="0" w:lastRowFirstColumn="0" w:lastRowLastColumn="0"/>
            </w:pPr>
          </w:p>
        </w:tc>
        <w:tc>
          <w:tcPr>
            <w:tcW w:w="1020" w:type="dxa"/>
            <w:noWrap/>
          </w:tcPr>
          <w:p w:rsidR="001F7700" w:rsidRPr="008F0CF0" w:rsidRDefault="001F7700" w:rsidP="006E19D2">
            <w:pPr>
              <w:keepNext/>
              <w:cnfStyle w:val="000000000000" w:firstRow="0" w:lastRow="0" w:firstColumn="0" w:lastColumn="0" w:oddVBand="0" w:evenVBand="0" w:oddHBand="0" w:evenHBand="0" w:firstRowFirstColumn="0" w:firstRowLastColumn="0" w:lastRowFirstColumn="0" w:lastRowLastColumn="0"/>
            </w:pPr>
          </w:p>
        </w:tc>
        <w:tc>
          <w:tcPr>
            <w:tcW w:w="1021" w:type="dxa"/>
            <w:noWrap/>
          </w:tcPr>
          <w:p w:rsidR="001F7700" w:rsidRPr="008F0CF0" w:rsidRDefault="001F7700" w:rsidP="006E19D2">
            <w:pPr>
              <w:keepNext/>
              <w:cnfStyle w:val="000000000000" w:firstRow="0" w:lastRow="0" w:firstColumn="0" w:lastColumn="0" w:oddVBand="0" w:evenVBand="0" w:oddHBand="0" w:evenHBand="0" w:firstRowFirstColumn="0" w:firstRowLastColumn="0" w:lastRowFirstColumn="0" w:lastRowLastColumn="0"/>
            </w:pPr>
          </w:p>
        </w:tc>
        <w:tc>
          <w:tcPr>
            <w:tcW w:w="1021" w:type="dxa"/>
          </w:tcPr>
          <w:p w:rsidR="001F7700" w:rsidRPr="008F0CF0" w:rsidRDefault="001F7700" w:rsidP="006E19D2">
            <w:pPr>
              <w:keepNext/>
              <w:cnfStyle w:val="000000000000" w:firstRow="0" w:lastRow="0" w:firstColumn="0" w:lastColumn="0" w:oddVBand="0" w:evenVBand="0" w:oddHBand="0" w:evenHBand="0" w:firstRowFirstColumn="0" w:firstRowLastColumn="0" w:lastRowFirstColumn="0" w:lastRowLastColumn="0"/>
            </w:pPr>
          </w:p>
        </w:tc>
      </w:tr>
      <w:tr w:rsidR="001F7700" w:rsidRPr="0018218B" w:rsidTr="006E19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tcPr>
          <w:p w:rsidR="001F7700" w:rsidRPr="00AB5730" w:rsidRDefault="001F7700" w:rsidP="006E19D2">
            <w:pPr>
              <w:pStyle w:val="HeadingOrange"/>
              <w:keepNext/>
              <w:rPr>
                <w:rFonts w:asciiTheme="minorHAnsi" w:hAnsiTheme="minorHAnsi" w:cstheme="minorHAnsi"/>
                <w:b w:val="0"/>
                <w:szCs w:val="16"/>
              </w:rPr>
            </w:pPr>
            <w:r w:rsidRPr="00AB5730">
              <w:rPr>
                <w:rFonts w:asciiTheme="minorHAnsi" w:hAnsiTheme="minorHAnsi" w:cstheme="minorHAnsi"/>
                <w:b w:val="0"/>
                <w:szCs w:val="16"/>
              </w:rPr>
              <w:t>Houses (‘000)</w:t>
            </w:r>
          </w:p>
        </w:tc>
        <w:tc>
          <w:tcPr>
            <w:tcW w:w="1418" w:type="dxa"/>
            <w:noWrap/>
            <w:vAlign w:val="bottom"/>
          </w:tcPr>
          <w:p w:rsidR="001F7700" w:rsidRPr="001F7700" w:rsidRDefault="001F7700" w:rsidP="006E19D2">
            <w:pPr>
              <w:keepNext/>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16"/>
              </w:rPr>
            </w:pPr>
            <w:r w:rsidRPr="001F7700">
              <w:rPr>
                <w:rFonts w:asciiTheme="minorHAnsi" w:eastAsia="Times New Roman" w:hAnsiTheme="minorHAnsi" w:cstheme="minorHAnsi"/>
                <w:color w:val="000000"/>
                <w:szCs w:val="16"/>
              </w:rPr>
              <w:t>1.76</w:t>
            </w:r>
          </w:p>
        </w:tc>
        <w:tc>
          <w:tcPr>
            <w:tcW w:w="1020" w:type="dxa"/>
            <w:noWrap/>
            <w:vAlign w:val="bottom"/>
          </w:tcPr>
          <w:p w:rsidR="001F7700" w:rsidRPr="001F7700" w:rsidRDefault="001F7700" w:rsidP="006E19D2">
            <w:pPr>
              <w:keepNext/>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16"/>
              </w:rPr>
            </w:pPr>
            <w:r w:rsidRPr="001F7700">
              <w:rPr>
                <w:rFonts w:asciiTheme="minorHAnsi" w:eastAsia="Times New Roman" w:hAnsiTheme="minorHAnsi" w:cstheme="minorHAnsi"/>
                <w:color w:val="000000"/>
                <w:szCs w:val="16"/>
              </w:rPr>
              <w:t>1.57</w:t>
            </w:r>
          </w:p>
        </w:tc>
        <w:tc>
          <w:tcPr>
            <w:tcW w:w="1021" w:type="dxa"/>
            <w:noWrap/>
            <w:vAlign w:val="bottom"/>
          </w:tcPr>
          <w:p w:rsidR="001F7700" w:rsidRPr="001F7700" w:rsidRDefault="001F7700" w:rsidP="006E19D2">
            <w:pPr>
              <w:keepNext/>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16"/>
              </w:rPr>
            </w:pPr>
            <w:r w:rsidRPr="001F7700">
              <w:rPr>
                <w:rFonts w:asciiTheme="minorHAnsi" w:eastAsia="Times New Roman" w:hAnsiTheme="minorHAnsi" w:cstheme="minorHAnsi"/>
                <w:color w:val="000000"/>
                <w:szCs w:val="16"/>
              </w:rPr>
              <w:t>1.78</w:t>
            </w:r>
          </w:p>
        </w:tc>
        <w:tc>
          <w:tcPr>
            <w:tcW w:w="1020" w:type="dxa"/>
            <w:noWrap/>
            <w:vAlign w:val="bottom"/>
          </w:tcPr>
          <w:p w:rsidR="001F7700" w:rsidRPr="001F7700" w:rsidRDefault="001F7700" w:rsidP="006E19D2">
            <w:pPr>
              <w:keepNext/>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16"/>
              </w:rPr>
            </w:pPr>
            <w:r w:rsidRPr="001F7700">
              <w:rPr>
                <w:rFonts w:asciiTheme="minorHAnsi" w:eastAsia="Times New Roman" w:hAnsiTheme="minorHAnsi" w:cstheme="minorHAnsi"/>
                <w:color w:val="000000"/>
                <w:szCs w:val="16"/>
              </w:rPr>
              <w:t>2.02</w:t>
            </w:r>
          </w:p>
        </w:tc>
        <w:tc>
          <w:tcPr>
            <w:tcW w:w="1021" w:type="dxa"/>
            <w:noWrap/>
            <w:vAlign w:val="bottom"/>
          </w:tcPr>
          <w:p w:rsidR="001F7700" w:rsidRPr="001F7700" w:rsidRDefault="001F7700" w:rsidP="006E19D2">
            <w:pPr>
              <w:keepNext/>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16"/>
              </w:rPr>
            </w:pPr>
            <w:r w:rsidRPr="001F7700">
              <w:rPr>
                <w:rFonts w:asciiTheme="minorHAnsi" w:eastAsia="Times New Roman" w:hAnsiTheme="minorHAnsi" w:cstheme="minorHAnsi"/>
                <w:color w:val="000000"/>
                <w:szCs w:val="16"/>
              </w:rPr>
              <w:t>1.80</w:t>
            </w:r>
          </w:p>
        </w:tc>
        <w:tc>
          <w:tcPr>
            <w:tcW w:w="1021" w:type="dxa"/>
          </w:tcPr>
          <w:p w:rsidR="001F7700" w:rsidRPr="001F7700" w:rsidRDefault="001F7700" w:rsidP="006E19D2">
            <w:pPr>
              <w:keepNext/>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16"/>
              </w:rPr>
            </w:pPr>
            <w:r w:rsidRPr="001F7700">
              <w:rPr>
                <w:rFonts w:asciiTheme="minorHAnsi" w:eastAsia="Times New Roman" w:hAnsiTheme="minorHAnsi" w:cstheme="minorHAnsi"/>
                <w:color w:val="000000"/>
                <w:szCs w:val="16"/>
              </w:rPr>
              <w:t>1.75</w:t>
            </w:r>
          </w:p>
        </w:tc>
      </w:tr>
      <w:tr w:rsidR="001F7700" w:rsidRPr="0018218B" w:rsidTr="006E19D2">
        <w:trPr>
          <w:trHeight w:val="300"/>
        </w:trPr>
        <w:tc>
          <w:tcPr>
            <w:cnfStyle w:val="001000000000" w:firstRow="0" w:lastRow="0" w:firstColumn="1" w:lastColumn="0" w:oddVBand="0" w:evenVBand="0" w:oddHBand="0" w:evenHBand="0" w:firstRowFirstColumn="0" w:firstRowLastColumn="0" w:lastRowFirstColumn="0" w:lastRowLastColumn="0"/>
            <w:tcW w:w="2376" w:type="dxa"/>
            <w:noWrap/>
          </w:tcPr>
          <w:p w:rsidR="001F7700" w:rsidRPr="00AB5730" w:rsidRDefault="001F7700" w:rsidP="006E19D2">
            <w:pPr>
              <w:pStyle w:val="HeadingOrange"/>
              <w:keepNext/>
              <w:rPr>
                <w:rFonts w:asciiTheme="minorHAnsi" w:hAnsiTheme="minorHAnsi" w:cstheme="minorHAnsi"/>
                <w:b w:val="0"/>
                <w:szCs w:val="16"/>
              </w:rPr>
            </w:pPr>
            <w:r w:rsidRPr="00AB5730">
              <w:rPr>
                <w:rFonts w:asciiTheme="minorHAnsi" w:hAnsiTheme="minorHAnsi" w:cstheme="minorHAnsi"/>
                <w:b w:val="0"/>
                <w:szCs w:val="16"/>
              </w:rPr>
              <w:t>Multi-units (‘000)</w:t>
            </w:r>
          </w:p>
        </w:tc>
        <w:tc>
          <w:tcPr>
            <w:tcW w:w="1418" w:type="dxa"/>
            <w:noWrap/>
            <w:vAlign w:val="bottom"/>
          </w:tcPr>
          <w:p w:rsidR="001F7700" w:rsidRPr="001F7700" w:rsidRDefault="001F7700" w:rsidP="006E19D2">
            <w:pPr>
              <w:keepNext/>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rPr>
            </w:pPr>
            <w:r w:rsidRPr="001F7700">
              <w:rPr>
                <w:rFonts w:asciiTheme="minorHAnsi" w:eastAsia="Times New Roman" w:hAnsiTheme="minorHAnsi" w:cstheme="minorHAnsi"/>
                <w:color w:val="000000"/>
                <w:szCs w:val="16"/>
              </w:rPr>
              <w:t>2.85</w:t>
            </w:r>
          </w:p>
        </w:tc>
        <w:tc>
          <w:tcPr>
            <w:tcW w:w="1020" w:type="dxa"/>
            <w:noWrap/>
            <w:vAlign w:val="bottom"/>
          </w:tcPr>
          <w:p w:rsidR="001F7700" w:rsidRPr="001F7700" w:rsidRDefault="001F7700" w:rsidP="006E19D2">
            <w:pPr>
              <w:keepNext/>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rPr>
            </w:pPr>
            <w:r w:rsidRPr="001F7700">
              <w:rPr>
                <w:rFonts w:asciiTheme="minorHAnsi" w:eastAsia="Times New Roman" w:hAnsiTheme="minorHAnsi" w:cstheme="minorHAnsi"/>
                <w:color w:val="000000"/>
                <w:szCs w:val="16"/>
              </w:rPr>
              <w:t>1.74</w:t>
            </w:r>
          </w:p>
        </w:tc>
        <w:tc>
          <w:tcPr>
            <w:tcW w:w="1021" w:type="dxa"/>
            <w:noWrap/>
            <w:vAlign w:val="bottom"/>
          </w:tcPr>
          <w:p w:rsidR="001F7700" w:rsidRPr="001F7700" w:rsidRDefault="001F7700" w:rsidP="006E19D2">
            <w:pPr>
              <w:keepNext/>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rPr>
            </w:pPr>
            <w:r w:rsidRPr="001F7700">
              <w:rPr>
                <w:rFonts w:asciiTheme="minorHAnsi" w:eastAsia="Times New Roman" w:hAnsiTheme="minorHAnsi" w:cstheme="minorHAnsi"/>
                <w:color w:val="000000"/>
                <w:szCs w:val="16"/>
              </w:rPr>
              <w:t>1.45</w:t>
            </w:r>
          </w:p>
        </w:tc>
        <w:tc>
          <w:tcPr>
            <w:tcW w:w="1020" w:type="dxa"/>
            <w:noWrap/>
            <w:vAlign w:val="bottom"/>
          </w:tcPr>
          <w:p w:rsidR="001F7700" w:rsidRPr="001F7700" w:rsidRDefault="001F7700" w:rsidP="006E19D2">
            <w:pPr>
              <w:keepNext/>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rPr>
            </w:pPr>
            <w:r w:rsidRPr="001F7700">
              <w:rPr>
                <w:rFonts w:asciiTheme="minorHAnsi" w:eastAsia="Times New Roman" w:hAnsiTheme="minorHAnsi" w:cstheme="minorHAnsi"/>
                <w:color w:val="000000"/>
                <w:szCs w:val="16"/>
              </w:rPr>
              <w:t>1.48</w:t>
            </w:r>
          </w:p>
        </w:tc>
        <w:tc>
          <w:tcPr>
            <w:tcW w:w="1021" w:type="dxa"/>
            <w:noWrap/>
            <w:vAlign w:val="bottom"/>
          </w:tcPr>
          <w:p w:rsidR="001F7700" w:rsidRPr="001F7700" w:rsidRDefault="001F7700" w:rsidP="006E19D2">
            <w:pPr>
              <w:keepNext/>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rPr>
            </w:pPr>
            <w:r w:rsidRPr="001F7700">
              <w:rPr>
                <w:rFonts w:asciiTheme="minorHAnsi" w:eastAsia="Times New Roman" w:hAnsiTheme="minorHAnsi" w:cstheme="minorHAnsi"/>
                <w:color w:val="000000"/>
                <w:szCs w:val="16"/>
              </w:rPr>
              <w:t>1.68</w:t>
            </w:r>
          </w:p>
        </w:tc>
        <w:tc>
          <w:tcPr>
            <w:tcW w:w="1021" w:type="dxa"/>
          </w:tcPr>
          <w:p w:rsidR="001F7700" w:rsidRPr="001F7700" w:rsidRDefault="001F7700" w:rsidP="006E19D2">
            <w:pPr>
              <w:keepNext/>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rPr>
            </w:pPr>
            <w:r w:rsidRPr="001F7700">
              <w:rPr>
                <w:rFonts w:asciiTheme="minorHAnsi" w:eastAsia="Times New Roman" w:hAnsiTheme="minorHAnsi" w:cstheme="minorHAnsi"/>
                <w:color w:val="000000"/>
                <w:szCs w:val="16"/>
              </w:rPr>
              <w:t>1.75</w:t>
            </w:r>
          </w:p>
        </w:tc>
      </w:tr>
      <w:tr w:rsidR="001F7700" w:rsidRPr="0018218B" w:rsidTr="006E19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tcPr>
          <w:p w:rsidR="001F7700" w:rsidRPr="00AB5730" w:rsidRDefault="001F7700" w:rsidP="006E19D2">
            <w:pPr>
              <w:pStyle w:val="HeadingOrange"/>
              <w:keepNext/>
              <w:rPr>
                <w:rFonts w:asciiTheme="minorHAnsi" w:hAnsiTheme="minorHAnsi" w:cstheme="minorHAnsi"/>
                <w:b w:val="0"/>
                <w:szCs w:val="16"/>
              </w:rPr>
            </w:pPr>
            <w:r w:rsidRPr="00AB5730">
              <w:rPr>
                <w:rFonts w:asciiTheme="minorHAnsi" w:hAnsiTheme="minorHAnsi" w:cstheme="minorHAnsi"/>
                <w:b w:val="0"/>
                <w:szCs w:val="16"/>
              </w:rPr>
              <w:t>Total</w:t>
            </w:r>
          </w:p>
        </w:tc>
        <w:tc>
          <w:tcPr>
            <w:tcW w:w="1418" w:type="dxa"/>
            <w:noWrap/>
            <w:vAlign w:val="bottom"/>
          </w:tcPr>
          <w:p w:rsidR="001F7700" w:rsidRPr="001F7700" w:rsidRDefault="001F7700" w:rsidP="006E19D2">
            <w:pPr>
              <w:keepNext/>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16"/>
              </w:rPr>
            </w:pPr>
            <w:r w:rsidRPr="001F7700">
              <w:rPr>
                <w:rFonts w:asciiTheme="minorHAnsi" w:eastAsia="Times New Roman" w:hAnsiTheme="minorHAnsi" w:cstheme="minorHAnsi"/>
                <w:color w:val="000000"/>
                <w:szCs w:val="16"/>
              </w:rPr>
              <w:t>4.61</w:t>
            </w:r>
          </w:p>
        </w:tc>
        <w:tc>
          <w:tcPr>
            <w:tcW w:w="1020" w:type="dxa"/>
            <w:noWrap/>
            <w:vAlign w:val="bottom"/>
          </w:tcPr>
          <w:p w:rsidR="001F7700" w:rsidRPr="001F7700" w:rsidRDefault="001F7700" w:rsidP="006E19D2">
            <w:pPr>
              <w:keepNext/>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16"/>
              </w:rPr>
            </w:pPr>
            <w:r w:rsidRPr="001F7700">
              <w:rPr>
                <w:rFonts w:asciiTheme="minorHAnsi" w:hAnsiTheme="minorHAnsi" w:cstheme="minorHAnsi"/>
                <w:color w:val="000000"/>
                <w:szCs w:val="16"/>
              </w:rPr>
              <w:t>3.31</w:t>
            </w:r>
          </w:p>
        </w:tc>
        <w:tc>
          <w:tcPr>
            <w:tcW w:w="1021" w:type="dxa"/>
            <w:noWrap/>
            <w:vAlign w:val="bottom"/>
          </w:tcPr>
          <w:p w:rsidR="001F7700" w:rsidRPr="001F7700" w:rsidRDefault="001F7700" w:rsidP="006E19D2">
            <w:pPr>
              <w:keepNext/>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16"/>
              </w:rPr>
            </w:pPr>
            <w:r w:rsidRPr="001F7700">
              <w:rPr>
                <w:rFonts w:asciiTheme="minorHAnsi" w:hAnsiTheme="minorHAnsi" w:cstheme="minorHAnsi"/>
                <w:color w:val="000000"/>
                <w:szCs w:val="16"/>
              </w:rPr>
              <w:t>3.23</w:t>
            </w:r>
          </w:p>
        </w:tc>
        <w:tc>
          <w:tcPr>
            <w:tcW w:w="1020" w:type="dxa"/>
            <w:noWrap/>
            <w:vAlign w:val="bottom"/>
          </w:tcPr>
          <w:p w:rsidR="001F7700" w:rsidRPr="001F7700" w:rsidRDefault="001F7700" w:rsidP="006E19D2">
            <w:pPr>
              <w:keepNext/>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16"/>
              </w:rPr>
            </w:pPr>
            <w:r w:rsidRPr="001F7700">
              <w:rPr>
                <w:rFonts w:asciiTheme="minorHAnsi" w:hAnsiTheme="minorHAnsi" w:cstheme="minorHAnsi"/>
                <w:color w:val="000000"/>
                <w:szCs w:val="16"/>
              </w:rPr>
              <w:t>3.50</w:t>
            </w:r>
          </w:p>
        </w:tc>
        <w:tc>
          <w:tcPr>
            <w:tcW w:w="1021" w:type="dxa"/>
            <w:noWrap/>
            <w:vAlign w:val="bottom"/>
          </w:tcPr>
          <w:p w:rsidR="001F7700" w:rsidRPr="001F7700" w:rsidRDefault="001F7700" w:rsidP="006E19D2">
            <w:pPr>
              <w:keepNext/>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16"/>
              </w:rPr>
            </w:pPr>
            <w:r w:rsidRPr="001F7700">
              <w:rPr>
                <w:rFonts w:asciiTheme="minorHAnsi" w:hAnsiTheme="minorHAnsi" w:cstheme="minorHAnsi"/>
                <w:color w:val="000000"/>
                <w:szCs w:val="16"/>
              </w:rPr>
              <w:t>3.48</w:t>
            </w:r>
          </w:p>
        </w:tc>
        <w:tc>
          <w:tcPr>
            <w:tcW w:w="1021" w:type="dxa"/>
          </w:tcPr>
          <w:p w:rsidR="001F7700" w:rsidRPr="001F7700" w:rsidRDefault="001F7700" w:rsidP="006E19D2">
            <w:pPr>
              <w:keepNext/>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16"/>
              </w:rPr>
            </w:pPr>
            <w:r w:rsidRPr="001F7700">
              <w:rPr>
                <w:rFonts w:asciiTheme="minorHAnsi" w:hAnsiTheme="minorHAnsi" w:cstheme="minorHAnsi"/>
                <w:color w:val="000000"/>
                <w:szCs w:val="16"/>
              </w:rPr>
              <w:t>3.50</w:t>
            </w:r>
          </w:p>
        </w:tc>
      </w:tr>
      <w:tr w:rsidR="002E5DD1" w:rsidRPr="0018218B" w:rsidTr="006E19D2">
        <w:trPr>
          <w:trHeight w:val="300"/>
        </w:trPr>
        <w:tc>
          <w:tcPr>
            <w:cnfStyle w:val="001000000000" w:firstRow="0" w:lastRow="0" w:firstColumn="1" w:lastColumn="0" w:oddVBand="0" w:evenVBand="0" w:oddHBand="0" w:evenHBand="0" w:firstRowFirstColumn="0" w:firstRowLastColumn="0" w:lastRowFirstColumn="0" w:lastRowLastColumn="0"/>
            <w:tcW w:w="8897" w:type="dxa"/>
            <w:gridSpan w:val="7"/>
            <w:noWrap/>
          </w:tcPr>
          <w:p w:rsidR="002E5DD1" w:rsidRPr="00AB5730" w:rsidRDefault="002E5DD1" w:rsidP="006E19D2">
            <w:pPr>
              <w:keepNext/>
              <w:spacing w:before="0" w:line="240" w:lineRule="auto"/>
              <w:rPr>
                <w:rFonts w:asciiTheme="minorHAnsi" w:hAnsiTheme="minorHAnsi" w:cstheme="minorHAnsi"/>
                <w:b/>
                <w:color w:val="000000"/>
                <w:szCs w:val="16"/>
              </w:rPr>
            </w:pPr>
            <w:r w:rsidRPr="00AB5730">
              <w:rPr>
                <w:rFonts w:asciiTheme="minorHAnsi" w:hAnsiTheme="minorHAnsi" w:cstheme="minorHAnsi"/>
                <w:b/>
                <w:szCs w:val="16"/>
              </w:rPr>
              <w:t>Per</w:t>
            </w:r>
            <w:r w:rsidR="000B5FBD">
              <w:rPr>
                <w:rFonts w:asciiTheme="minorHAnsi" w:hAnsiTheme="minorHAnsi" w:cstheme="minorHAnsi"/>
                <w:b/>
                <w:szCs w:val="16"/>
              </w:rPr>
              <w:t xml:space="preserve">centage change of HIA forecast </w:t>
            </w:r>
            <w:r w:rsidRPr="00AB5730">
              <w:rPr>
                <w:rFonts w:asciiTheme="minorHAnsi" w:hAnsiTheme="minorHAnsi" w:cstheme="minorHAnsi"/>
                <w:b/>
                <w:szCs w:val="16"/>
              </w:rPr>
              <w:t>from 2010-11 to 2013-14 average</w:t>
            </w:r>
          </w:p>
        </w:tc>
      </w:tr>
      <w:tr w:rsidR="001F7700" w:rsidRPr="0018218B" w:rsidTr="006E19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tcPr>
          <w:p w:rsidR="001F7700" w:rsidRPr="00AB5730" w:rsidRDefault="001F7700" w:rsidP="00AB5730">
            <w:pPr>
              <w:pStyle w:val="HeadingOrange"/>
              <w:rPr>
                <w:rFonts w:asciiTheme="minorHAnsi" w:hAnsiTheme="minorHAnsi" w:cstheme="minorHAnsi"/>
                <w:b w:val="0"/>
                <w:szCs w:val="16"/>
              </w:rPr>
            </w:pPr>
            <w:r w:rsidRPr="00AB5730">
              <w:rPr>
                <w:rFonts w:asciiTheme="minorHAnsi" w:hAnsiTheme="minorHAnsi" w:cstheme="minorHAnsi"/>
                <w:b w:val="0"/>
                <w:szCs w:val="16"/>
              </w:rPr>
              <w:t>Houses (% change)</w:t>
            </w:r>
          </w:p>
        </w:tc>
        <w:tc>
          <w:tcPr>
            <w:tcW w:w="1418" w:type="dxa"/>
            <w:noWrap/>
            <w:vAlign w:val="bottom"/>
          </w:tcPr>
          <w:p w:rsidR="001F7700" w:rsidRPr="001F7700" w:rsidRDefault="001F7700" w:rsidP="000870F0">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16"/>
              </w:rPr>
            </w:pPr>
          </w:p>
        </w:tc>
        <w:tc>
          <w:tcPr>
            <w:tcW w:w="1020" w:type="dxa"/>
            <w:noWrap/>
            <w:vAlign w:val="bottom"/>
          </w:tcPr>
          <w:p w:rsidR="001F7700" w:rsidRPr="001F7700" w:rsidRDefault="001F7700" w:rsidP="000870F0">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16"/>
              </w:rPr>
            </w:pPr>
            <w:r w:rsidRPr="001F7700">
              <w:rPr>
                <w:rFonts w:asciiTheme="minorHAnsi" w:hAnsiTheme="minorHAnsi" w:cstheme="minorHAnsi"/>
                <w:color w:val="000000"/>
                <w:szCs w:val="16"/>
              </w:rPr>
              <w:t>-11%</w:t>
            </w:r>
          </w:p>
        </w:tc>
        <w:tc>
          <w:tcPr>
            <w:tcW w:w="1021" w:type="dxa"/>
            <w:noWrap/>
            <w:vAlign w:val="bottom"/>
          </w:tcPr>
          <w:p w:rsidR="001F7700" w:rsidRPr="001F7700" w:rsidRDefault="001F7700" w:rsidP="000870F0">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16"/>
              </w:rPr>
            </w:pPr>
            <w:r w:rsidRPr="001F7700">
              <w:rPr>
                <w:rFonts w:asciiTheme="minorHAnsi" w:hAnsiTheme="minorHAnsi" w:cstheme="minorHAnsi"/>
                <w:color w:val="000000"/>
                <w:szCs w:val="16"/>
              </w:rPr>
              <w:t>1%</w:t>
            </w:r>
          </w:p>
        </w:tc>
        <w:tc>
          <w:tcPr>
            <w:tcW w:w="1020" w:type="dxa"/>
            <w:noWrap/>
            <w:vAlign w:val="bottom"/>
          </w:tcPr>
          <w:p w:rsidR="001F7700" w:rsidRPr="001F7700" w:rsidRDefault="001F7700" w:rsidP="000870F0">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16"/>
              </w:rPr>
            </w:pPr>
            <w:r w:rsidRPr="001F7700">
              <w:rPr>
                <w:rFonts w:asciiTheme="minorHAnsi" w:hAnsiTheme="minorHAnsi" w:cstheme="minorHAnsi"/>
                <w:color w:val="000000"/>
                <w:szCs w:val="16"/>
              </w:rPr>
              <w:t>15%</w:t>
            </w:r>
          </w:p>
        </w:tc>
        <w:tc>
          <w:tcPr>
            <w:tcW w:w="1021" w:type="dxa"/>
            <w:noWrap/>
            <w:vAlign w:val="bottom"/>
          </w:tcPr>
          <w:p w:rsidR="001F7700" w:rsidRPr="001F7700" w:rsidRDefault="001F7700" w:rsidP="000870F0">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16"/>
              </w:rPr>
            </w:pPr>
            <w:r w:rsidRPr="001F7700">
              <w:rPr>
                <w:rFonts w:asciiTheme="minorHAnsi" w:hAnsiTheme="minorHAnsi" w:cstheme="minorHAnsi"/>
                <w:color w:val="000000"/>
                <w:szCs w:val="16"/>
              </w:rPr>
              <w:t>2%</w:t>
            </w:r>
          </w:p>
        </w:tc>
        <w:tc>
          <w:tcPr>
            <w:tcW w:w="1021" w:type="dxa"/>
            <w:vAlign w:val="bottom"/>
          </w:tcPr>
          <w:p w:rsidR="001F7700" w:rsidRPr="001F7700" w:rsidRDefault="001F7700" w:rsidP="000870F0">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16"/>
              </w:rPr>
            </w:pPr>
            <w:r w:rsidRPr="001F7700">
              <w:rPr>
                <w:rFonts w:asciiTheme="minorHAnsi" w:hAnsiTheme="minorHAnsi" w:cstheme="minorHAnsi"/>
                <w:color w:val="000000"/>
                <w:szCs w:val="16"/>
              </w:rPr>
              <w:t>-1%</w:t>
            </w:r>
          </w:p>
        </w:tc>
      </w:tr>
      <w:tr w:rsidR="001F7700" w:rsidRPr="00DA24FF" w:rsidTr="006E19D2">
        <w:trPr>
          <w:trHeight w:val="300"/>
        </w:trPr>
        <w:tc>
          <w:tcPr>
            <w:cnfStyle w:val="001000000000" w:firstRow="0" w:lastRow="0" w:firstColumn="1" w:lastColumn="0" w:oddVBand="0" w:evenVBand="0" w:oddHBand="0" w:evenHBand="0" w:firstRowFirstColumn="0" w:firstRowLastColumn="0" w:lastRowFirstColumn="0" w:lastRowLastColumn="0"/>
            <w:tcW w:w="2376" w:type="dxa"/>
            <w:noWrap/>
          </w:tcPr>
          <w:p w:rsidR="001F7700" w:rsidRPr="00AB5730" w:rsidRDefault="001F7700" w:rsidP="00AB5730">
            <w:pPr>
              <w:rPr>
                <w:rFonts w:asciiTheme="minorHAnsi" w:hAnsiTheme="minorHAnsi" w:cstheme="minorHAnsi"/>
                <w:szCs w:val="16"/>
              </w:rPr>
            </w:pPr>
            <w:r w:rsidRPr="00AB5730">
              <w:rPr>
                <w:rFonts w:asciiTheme="minorHAnsi" w:hAnsiTheme="minorHAnsi" w:cstheme="minorHAnsi"/>
                <w:szCs w:val="16"/>
              </w:rPr>
              <w:t>Multi-units (% change )</w:t>
            </w:r>
          </w:p>
        </w:tc>
        <w:tc>
          <w:tcPr>
            <w:tcW w:w="1418" w:type="dxa"/>
            <w:noWrap/>
            <w:vAlign w:val="bottom"/>
          </w:tcPr>
          <w:p w:rsidR="001F7700" w:rsidRPr="001F7700" w:rsidRDefault="001F7700" w:rsidP="000870F0">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rPr>
            </w:pPr>
          </w:p>
        </w:tc>
        <w:tc>
          <w:tcPr>
            <w:tcW w:w="1020" w:type="dxa"/>
            <w:noWrap/>
            <w:vAlign w:val="bottom"/>
          </w:tcPr>
          <w:p w:rsidR="001F7700" w:rsidRPr="001F7700" w:rsidRDefault="001F7700" w:rsidP="000870F0">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rPr>
            </w:pPr>
            <w:r w:rsidRPr="001F7700">
              <w:rPr>
                <w:rFonts w:asciiTheme="minorHAnsi" w:hAnsiTheme="minorHAnsi" w:cstheme="minorHAnsi"/>
                <w:color w:val="000000"/>
                <w:szCs w:val="16"/>
              </w:rPr>
              <w:t>-39%</w:t>
            </w:r>
          </w:p>
        </w:tc>
        <w:tc>
          <w:tcPr>
            <w:tcW w:w="1021" w:type="dxa"/>
            <w:noWrap/>
            <w:vAlign w:val="bottom"/>
          </w:tcPr>
          <w:p w:rsidR="001F7700" w:rsidRPr="001F7700" w:rsidRDefault="001F7700" w:rsidP="000870F0">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rPr>
            </w:pPr>
            <w:r w:rsidRPr="001F7700">
              <w:rPr>
                <w:rFonts w:asciiTheme="minorHAnsi" w:hAnsiTheme="minorHAnsi" w:cstheme="minorHAnsi"/>
                <w:color w:val="000000"/>
                <w:szCs w:val="16"/>
              </w:rPr>
              <w:t>-49%</w:t>
            </w:r>
          </w:p>
        </w:tc>
        <w:tc>
          <w:tcPr>
            <w:tcW w:w="1020" w:type="dxa"/>
            <w:noWrap/>
            <w:vAlign w:val="bottom"/>
          </w:tcPr>
          <w:p w:rsidR="001F7700" w:rsidRPr="001F7700" w:rsidRDefault="001F7700" w:rsidP="000870F0">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rPr>
            </w:pPr>
            <w:r w:rsidRPr="001F7700">
              <w:rPr>
                <w:rFonts w:asciiTheme="minorHAnsi" w:hAnsiTheme="minorHAnsi" w:cstheme="minorHAnsi"/>
                <w:color w:val="000000"/>
                <w:szCs w:val="16"/>
              </w:rPr>
              <w:t>-48%</w:t>
            </w:r>
          </w:p>
        </w:tc>
        <w:tc>
          <w:tcPr>
            <w:tcW w:w="1021" w:type="dxa"/>
            <w:noWrap/>
            <w:vAlign w:val="bottom"/>
          </w:tcPr>
          <w:p w:rsidR="001F7700" w:rsidRPr="001F7700" w:rsidRDefault="001F7700" w:rsidP="000870F0">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rPr>
            </w:pPr>
            <w:r w:rsidRPr="001F7700">
              <w:rPr>
                <w:rFonts w:asciiTheme="minorHAnsi" w:hAnsiTheme="minorHAnsi" w:cstheme="minorHAnsi"/>
                <w:color w:val="000000"/>
                <w:szCs w:val="16"/>
              </w:rPr>
              <w:t>-41%</w:t>
            </w:r>
          </w:p>
        </w:tc>
        <w:tc>
          <w:tcPr>
            <w:tcW w:w="1021" w:type="dxa"/>
            <w:vAlign w:val="bottom"/>
          </w:tcPr>
          <w:p w:rsidR="001F7700" w:rsidRPr="001F7700" w:rsidRDefault="001F7700" w:rsidP="000870F0">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6"/>
              </w:rPr>
            </w:pPr>
            <w:r w:rsidRPr="001F7700">
              <w:rPr>
                <w:rFonts w:asciiTheme="minorHAnsi" w:hAnsiTheme="minorHAnsi" w:cstheme="minorHAnsi"/>
                <w:color w:val="000000"/>
                <w:szCs w:val="16"/>
              </w:rPr>
              <w:t>-39%</w:t>
            </w:r>
          </w:p>
        </w:tc>
      </w:tr>
      <w:tr w:rsidR="001F7700" w:rsidRPr="00DA24FF" w:rsidTr="006E19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tcPr>
          <w:p w:rsidR="001F7700" w:rsidRPr="00AB5730" w:rsidRDefault="001F7700" w:rsidP="00AB5730">
            <w:pPr>
              <w:rPr>
                <w:rFonts w:asciiTheme="minorHAnsi" w:hAnsiTheme="minorHAnsi" w:cstheme="minorHAnsi"/>
                <w:szCs w:val="16"/>
              </w:rPr>
            </w:pPr>
            <w:r w:rsidRPr="00AB5730">
              <w:rPr>
                <w:rFonts w:asciiTheme="minorHAnsi" w:hAnsiTheme="minorHAnsi" w:cstheme="minorHAnsi"/>
                <w:szCs w:val="16"/>
              </w:rPr>
              <w:t>Total (% change)</w:t>
            </w:r>
          </w:p>
        </w:tc>
        <w:tc>
          <w:tcPr>
            <w:tcW w:w="1418" w:type="dxa"/>
            <w:noWrap/>
            <w:vAlign w:val="bottom"/>
          </w:tcPr>
          <w:p w:rsidR="001F7700" w:rsidRPr="001F7700" w:rsidDel="001F7700" w:rsidRDefault="001F7700" w:rsidP="000870F0">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16"/>
              </w:rPr>
            </w:pPr>
          </w:p>
        </w:tc>
        <w:tc>
          <w:tcPr>
            <w:tcW w:w="1020" w:type="dxa"/>
            <w:noWrap/>
            <w:vAlign w:val="bottom"/>
          </w:tcPr>
          <w:p w:rsidR="001F7700" w:rsidRPr="001F7700" w:rsidRDefault="001F7700" w:rsidP="000870F0">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16"/>
              </w:rPr>
            </w:pPr>
            <w:r w:rsidRPr="001F7700">
              <w:rPr>
                <w:rFonts w:asciiTheme="minorHAnsi" w:hAnsiTheme="minorHAnsi" w:cstheme="minorHAnsi"/>
                <w:color w:val="000000"/>
                <w:szCs w:val="16"/>
              </w:rPr>
              <w:t>-28%</w:t>
            </w:r>
          </w:p>
        </w:tc>
        <w:tc>
          <w:tcPr>
            <w:tcW w:w="1021" w:type="dxa"/>
            <w:noWrap/>
            <w:vAlign w:val="bottom"/>
          </w:tcPr>
          <w:p w:rsidR="001F7700" w:rsidRPr="001F7700" w:rsidRDefault="001F7700" w:rsidP="000870F0">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16"/>
              </w:rPr>
            </w:pPr>
            <w:r w:rsidRPr="001F7700">
              <w:rPr>
                <w:rFonts w:asciiTheme="minorHAnsi" w:hAnsiTheme="minorHAnsi" w:cstheme="minorHAnsi"/>
                <w:color w:val="000000"/>
                <w:szCs w:val="16"/>
              </w:rPr>
              <w:t>-30%</w:t>
            </w:r>
          </w:p>
        </w:tc>
        <w:tc>
          <w:tcPr>
            <w:tcW w:w="1020" w:type="dxa"/>
            <w:noWrap/>
            <w:vAlign w:val="bottom"/>
          </w:tcPr>
          <w:p w:rsidR="001F7700" w:rsidRPr="001F7700" w:rsidRDefault="001F7700" w:rsidP="000870F0">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16"/>
              </w:rPr>
            </w:pPr>
            <w:r w:rsidRPr="001F7700">
              <w:rPr>
                <w:rFonts w:asciiTheme="minorHAnsi" w:hAnsiTheme="minorHAnsi" w:cstheme="minorHAnsi"/>
                <w:color w:val="000000"/>
                <w:szCs w:val="16"/>
              </w:rPr>
              <w:t>-24%</w:t>
            </w:r>
          </w:p>
        </w:tc>
        <w:tc>
          <w:tcPr>
            <w:tcW w:w="1021" w:type="dxa"/>
            <w:noWrap/>
            <w:vAlign w:val="bottom"/>
          </w:tcPr>
          <w:p w:rsidR="001F7700" w:rsidRPr="001F7700" w:rsidRDefault="001F7700" w:rsidP="000870F0">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16"/>
              </w:rPr>
            </w:pPr>
            <w:r w:rsidRPr="001F7700">
              <w:rPr>
                <w:rFonts w:asciiTheme="minorHAnsi" w:hAnsiTheme="minorHAnsi" w:cstheme="minorHAnsi"/>
                <w:color w:val="000000"/>
                <w:szCs w:val="16"/>
              </w:rPr>
              <w:t>-25%</w:t>
            </w:r>
          </w:p>
        </w:tc>
        <w:tc>
          <w:tcPr>
            <w:tcW w:w="1021" w:type="dxa"/>
            <w:vAlign w:val="bottom"/>
          </w:tcPr>
          <w:p w:rsidR="001F7700" w:rsidRPr="001F7700" w:rsidRDefault="001F7700" w:rsidP="000870F0">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16"/>
              </w:rPr>
            </w:pPr>
            <w:r w:rsidRPr="001F7700">
              <w:rPr>
                <w:rFonts w:asciiTheme="minorHAnsi" w:hAnsiTheme="minorHAnsi" w:cstheme="minorHAnsi"/>
                <w:color w:val="000000"/>
                <w:szCs w:val="16"/>
              </w:rPr>
              <w:t>-24%</w:t>
            </w:r>
          </w:p>
        </w:tc>
      </w:tr>
    </w:tbl>
    <w:p w:rsidR="000870F0" w:rsidRDefault="00391780" w:rsidP="000870F0">
      <w:pPr>
        <w:pStyle w:val="AERtablesource"/>
      </w:pPr>
      <w:r>
        <w:t xml:space="preserve">Source: </w:t>
      </w:r>
      <w:r>
        <w:tab/>
      </w:r>
      <w:r w:rsidRPr="00EC5E3E">
        <w:t>Housing Indus</w:t>
      </w:r>
      <w:r>
        <w:t xml:space="preserve">try Association, </w:t>
      </w:r>
      <w:r w:rsidRPr="00391780">
        <w:rPr>
          <w:i/>
        </w:rPr>
        <w:t>New Housing Outlook, HIA Housing Forecasts –</w:t>
      </w:r>
      <w:r w:rsidR="00FC5348">
        <w:rPr>
          <w:i/>
        </w:rPr>
        <w:t xml:space="preserve"> May </w:t>
      </w:r>
      <w:r>
        <w:rPr>
          <w:i/>
        </w:rPr>
        <w:t>2015, Dwelling starts: by S</w:t>
      </w:r>
      <w:r w:rsidRPr="00391780">
        <w:rPr>
          <w:i/>
        </w:rPr>
        <w:t>tate and Territory</w:t>
      </w:r>
      <w:r>
        <w:t xml:space="preserve">, </w:t>
      </w:r>
      <w:r w:rsidR="00FC5348">
        <w:t xml:space="preserve">May </w:t>
      </w:r>
      <w:r>
        <w:t>2015.</w:t>
      </w:r>
    </w:p>
    <w:p w:rsidR="009430FC" w:rsidRDefault="009430FC" w:rsidP="009430FC">
      <w:r>
        <w:t>These results are inconsistent with ActewAGL’s proposed forecast that</w:t>
      </w:r>
      <w:r w:rsidRPr="000668C1">
        <w:t xml:space="preserve"> the average annual number of connections </w:t>
      </w:r>
      <w:r>
        <w:t xml:space="preserve">will increase by 27 per cent </w:t>
      </w:r>
      <w:r w:rsidRPr="000668C1">
        <w:t xml:space="preserve">over the </w:t>
      </w:r>
      <w:r>
        <w:t>2016–21 access arrangement</w:t>
      </w:r>
      <w:r w:rsidRPr="000668C1">
        <w:t xml:space="preserve"> period </w:t>
      </w:r>
      <w:r>
        <w:t>due to</w:t>
      </w:r>
      <w:r w:rsidRPr="000668C1">
        <w:t xml:space="preserve"> an increase in</w:t>
      </w:r>
      <w:r>
        <w:t xml:space="preserve"> </w:t>
      </w:r>
      <w:r w:rsidRPr="000668C1">
        <w:t xml:space="preserve">new medium density/high rise connections. </w:t>
      </w:r>
      <w:r>
        <w:t xml:space="preserve">ActewAGL also proposed that the </w:t>
      </w:r>
      <w:r w:rsidRPr="000668C1">
        <w:t>average medium-densit</w:t>
      </w:r>
      <w:r>
        <w:t>y</w:t>
      </w:r>
      <w:r w:rsidR="00553F3F">
        <w:t>/high-rise</w:t>
      </w:r>
      <w:r>
        <w:t xml:space="preserve"> connection number will increase by </w:t>
      </w:r>
      <w:r w:rsidRPr="000668C1">
        <w:t xml:space="preserve">61 per cent </w:t>
      </w:r>
      <w:r>
        <w:t xml:space="preserve">from 1 097 </w:t>
      </w:r>
      <w:r w:rsidRPr="000668C1">
        <w:t>to 1 771</w:t>
      </w:r>
      <w:r>
        <w:t xml:space="preserve"> </w:t>
      </w:r>
      <w:r w:rsidRPr="000668C1">
        <w:t>per year</w:t>
      </w:r>
      <w:r>
        <w:t xml:space="preserve"> (comparing 2010</w:t>
      </w:r>
      <w:r w:rsidR="000B5FBD">
        <w:t>–</w:t>
      </w:r>
      <w:r>
        <w:t>16 to 2016</w:t>
      </w:r>
      <w:r w:rsidR="000B5FBD">
        <w:t>–</w:t>
      </w:r>
      <w:r>
        <w:t>21)</w:t>
      </w:r>
      <w:r w:rsidRPr="000668C1">
        <w:t>.</w:t>
      </w:r>
      <w:r w:rsidRPr="000668C1">
        <w:rPr>
          <w:vertAlign w:val="superscript"/>
        </w:rPr>
        <w:footnoteReference w:id="23"/>
      </w:r>
      <w:r>
        <w:t xml:space="preserve"> Our alternative estimate is instead based on the average medium density connection being </w:t>
      </w:r>
      <w:r w:rsidR="00923D4B">
        <w:t>654</w:t>
      </w:r>
      <w:r>
        <w:t xml:space="preserve"> over the 2016–21 access arrangement</w:t>
      </w:r>
      <w:r w:rsidRPr="000668C1">
        <w:t xml:space="preserve"> period</w:t>
      </w:r>
      <w:r>
        <w:t xml:space="preserve">. </w:t>
      </w:r>
    </w:p>
    <w:p w:rsidR="009430FC" w:rsidRDefault="009430FC" w:rsidP="009430FC">
      <w:r>
        <w:t>Figure 1</w:t>
      </w:r>
      <w:r w:rsidR="00932CC1">
        <w:t>3.1</w:t>
      </w:r>
      <w:r>
        <w:t xml:space="preserve"> compares our alternative estimate and ActewAGL’s proposal for total new </w:t>
      </w:r>
      <w:r w:rsidR="0009704B">
        <w:t>dwellings</w:t>
      </w:r>
      <w:r>
        <w:t>, new medium density and new estates. The most significant difference concerns the forecasts for new connections for medium density/high rise dwellings. In particular, ActewAGL forecasts a major increase in th</w:t>
      </w:r>
      <w:r w:rsidR="00FB355C">
        <w:t>is type of</w:t>
      </w:r>
      <w:r>
        <w:t xml:space="preserve"> new connection</w:t>
      </w:r>
      <w:r w:rsidR="00FB355C">
        <w:t>s</w:t>
      </w:r>
      <w:r>
        <w:t xml:space="preserve">, while we forecast a decline, consistent with the decline in HIA’s forecast relative to its four year </w:t>
      </w:r>
      <w:r w:rsidR="00FB355C">
        <w:t xml:space="preserve">historical </w:t>
      </w:r>
      <w:r>
        <w:t xml:space="preserve">average. </w:t>
      </w:r>
      <w:r w:rsidR="00FB355C">
        <w:t>In effect, we assume</w:t>
      </w:r>
      <w:r>
        <w:t xml:space="preserve"> a</w:t>
      </w:r>
      <w:r w:rsidR="00FB355C">
        <w:t>n average</w:t>
      </w:r>
      <w:r>
        <w:t xml:space="preserve"> gas connection rate of 62 per cent for connections</w:t>
      </w:r>
      <w:r w:rsidR="00FB355C">
        <w:t xml:space="preserve"> with new dwellings</w:t>
      </w:r>
      <w:r>
        <w:t xml:space="preserve">, compared to ActewAGL’s rate of 90 per cent. We consider that our forecast is the best estimate in the circumstances, as it relies on actual historical data and HIA forecasts. </w:t>
      </w:r>
    </w:p>
    <w:p w:rsidR="009430FC" w:rsidRDefault="009430FC" w:rsidP="006E19D2">
      <w:pPr>
        <w:pStyle w:val="Tabletitle"/>
        <w:keepNext/>
      </w:pPr>
      <w:r>
        <w:lastRenderedPageBreak/>
        <w:t>Figure 13.1</w:t>
      </w:r>
      <w:r>
        <w:tab/>
        <w:t xml:space="preserve">ActewAGL’s and our alternative forecast for new </w:t>
      </w:r>
      <w:r w:rsidR="00FB355C">
        <w:t xml:space="preserve">dwelling </w:t>
      </w:r>
      <w:r w:rsidR="0009704B">
        <w:t xml:space="preserve">(new estate and medium density/high rise) </w:t>
      </w:r>
      <w:r>
        <w:t xml:space="preserve">connections </w:t>
      </w:r>
    </w:p>
    <w:p w:rsidR="0009704B" w:rsidRDefault="0009704B" w:rsidP="009430FC">
      <w:pPr>
        <w:pStyle w:val="Tabletitle"/>
      </w:pPr>
      <w:r>
        <w:rPr>
          <w:noProof/>
          <w:lang w:eastAsia="en-AU"/>
        </w:rPr>
        <w:drawing>
          <wp:inline distT="0" distB="0" distL="0" distR="0" wp14:anchorId="6F53E394" wp14:editId="004E940A">
            <wp:extent cx="5724525" cy="438150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55ECD" w:rsidRDefault="00555ECD" w:rsidP="00AB5730">
      <w:pPr>
        <w:pStyle w:val="AERtablesource"/>
      </w:pPr>
      <w:r>
        <w:t xml:space="preserve">Source: </w:t>
      </w:r>
      <w:r w:rsidR="00823DD2">
        <w:tab/>
      </w:r>
      <w:r>
        <w:t>AER analysis</w:t>
      </w:r>
      <w:r w:rsidR="000B189F">
        <w:t xml:space="preserve"> and information request to ActewAGL number 23, 13 August 2015.</w:t>
      </w:r>
    </w:p>
    <w:p w:rsidR="00923D4B" w:rsidRPr="00923D4B" w:rsidRDefault="00923D4B" w:rsidP="00923D4B">
      <w:pPr>
        <w:pStyle w:val="AERtablesource"/>
      </w:pPr>
      <w:r>
        <w:t>Notes:</w:t>
      </w:r>
      <w:r w:rsidR="0009704B">
        <w:t xml:space="preserve"> </w:t>
      </w:r>
      <w:r w:rsidR="00823DD2">
        <w:tab/>
        <w:t>D</w:t>
      </w:r>
      <w:r w:rsidR="0009704B">
        <w:t>oes not include</w:t>
      </w:r>
      <w:r>
        <w:t xml:space="preserve"> forecast connections to account for the ‘Mr Fluffy’ program.</w:t>
      </w:r>
    </w:p>
    <w:p w:rsidR="004D30E6" w:rsidRDefault="004D30E6" w:rsidP="004D30E6">
      <w:pPr>
        <w:pStyle w:val="HeadingBoldItalic"/>
        <w:tabs>
          <w:tab w:val="left" w:pos="3645"/>
        </w:tabs>
      </w:pPr>
      <w:r>
        <w:t>Mr Fluffy buy back scheme</w:t>
      </w:r>
    </w:p>
    <w:p w:rsidR="009430FC" w:rsidRDefault="009430FC" w:rsidP="009430FC">
      <w:r>
        <w:t xml:space="preserve">Core Energy forecasts that </w:t>
      </w:r>
      <w:r w:rsidR="00FB355C">
        <w:t>919</w:t>
      </w:r>
      <w:r>
        <w:t xml:space="preserve"> dwellings will reconnect to ActewAGL’s network</w:t>
      </w:r>
      <w:r w:rsidR="005637A2">
        <w:t xml:space="preserve"> </w:t>
      </w:r>
      <w:r w:rsidR="005637A2" w:rsidRPr="00F23919">
        <w:t>to account for new homes built as part of the Mr F</w:t>
      </w:r>
      <w:r w:rsidR="005637A2">
        <w:t>luffy buy-back scheme</w:t>
      </w:r>
      <w:r>
        <w:t xml:space="preserve">. This forecast assumes a </w:t>
      </w:r>
      <w:r w:rsidR="00AE1B85">
        <w:t xml:space="preserve">gas connection </w:t>
      </w:r>
      <w:r>
        <w:t xml:space="preserve">rate of 90 per cent. For the reasons discussed above, this </w:t>
      </w:r>
      <w:r w:rsidR="00465031">
        <w:t xml:space="preserve">gas connection </w:t>
      </w:r>
      <w:r>
        <w:t>rate is not the best estimate in the circumstances.</w:t>
      </w:r>
    </w:p>
    <w:p w:rsidR="009430FC" w:rsidRDefault="009430FC" w:rsidP="009430FC">
      <w:r>
        <w:t>Our alternative estimate is that 630</w:t>
      </w:r>
      <w:r w:rsidRPr="00CB6E97">
        <w:t xml:space="preserve"> </w:t>
      </w:r>
      <w:r>
        <w:t>dwellings will reconnect to ActewAGL’s network. This is based</w:t>
      </w:r>
      <w:r w:rsidR="00932CC1">
        <w:t xml:space="preserve"> on</w:t>
      </w:r>
      <w:r>
        <w:t xml:space="preserve"> </w:t>
      </w:r>
      <w:r w:rsidR="00AE1B85">
        <w:t>our alternative estimate of the</w:t>
      </w:r>
      <w:r>
        <w:t xml:space="preserve"> </w:t>
      </w:r>
      <w:r w:rsidR="00AE1B85">
        <w:t xml:space="preserve">gas connection </w:t>
      </w:r>
      <w:r>
        <w:t>rate</w:t>
      </w:r>
      <w:r w:rsidR="00AE1B85">
        <w:t xml:space="preserve"> of 62 per cent over the </w:t>
      </w:r>
      <w:r w:rsidR="00932CC1">
        <w:t>2016</w:t>
      </w:r>
      <w:r w:rsidR="000B5FBD">
        <w:t>–</w:t>
      </w:r>
      <w:r w:rsidR="00932CC1">
        <w:t xml:space="preserve">21 access arrangement </w:t>
      </w:r>
      <w:r w:rsidR="00AE1B85">
        <w:t>period.</w:t>
      </w:r>
      <w:r w:rsidR="005637A2">
        <w:t xml:space="preserve"> </w:t>
      </w:r>
      <w:r w:rsidR="00AE1B85">
        <w:t>As noted above</w:t>
      </w:r>
      <w:r w:rsidR="00932CC1">
        <w:t>,</w:t>
      </w:r>
      <w:r w:rsidR="00AE1B85">
        <w:t xml:space="preserve"> our alternative estimate of the gas connection rate relies on actual </w:t>
      </w:r>
      <w:r w:rsidR="00465031">
        <w:t xml:space="preserve">historical data and HIA forecasts which are </w:t>
      </w:r>
      <w:r w:rsidR="00AE1B85">
        <w:t xml:space="preserve">in our view </w:t>
      </w:r>
      <w:r>
        <w:t>the best estimate in the circumstances.</w:t>
      </w:r>
      <w:r w:rsidR="00465031">
        <w:t xml:space="preserve"> </w:t>
      </w:r>
    </w:p>
    <w:p w:rsidR="00A83186" w:rsidRDefault="00A83186" w:rsidP="001A0BA0">
      <w:pPr>
        <w:pStyle w:val="HeadingBoldItalic"/>
      </w:pPr>
      <w:r>
        <w:t xml:space="preserve">Data inconsistencies </w:t>
      </w:r>
    </w:p>
    <w:p w:rsidR="005A7BB1" w:rsidRDefault="009430FC" w:rsidP="009430FC">
      <w:pPr>
        <w:tabs>
          <w:tab w:val="left" w:pos="1410"/>
        </w:tabs>
      </w:pPr>
      <w:bookmarkStart w:id="194" w:name="_Toc433399442"/>
      <w:r>
        <w:t xml:space="preserve">As we noted above, we have used the historical data in Core Energy’s demand model to derive our alternative estimate. </w:t>
      </w:r>
    </w:p>
    <w:p w:rsidR="009430FC" w:rsidRDefault="005A7BB1" w:rsidP="009430FC">
      <w:pPr>
        <w:tabs>
          <w:tab w:val="left" w:pos="1410"/>
        </w:tabs>
      </w:pPr>
      <w:r>
        <w:lastRenderedPageBreak/>
        <w:t xml:space="preserve">We identified a number of data inconsistencies in ActewAGL’s historical data series which we raised with them. However, in response ActewAGL while acknowledging these inconsistencies, did not provide </w:t>
      </w:r>
      <w:r w:rsidR="00FB355C">
        <w:t xml:space="preserve">further </w:t>
      </w:r>
      <w:r>
        <w:t>information</w:t>
      </w:r>
      <w:r w:rsidR="00FB355C">
        <w:t xml:space="preserve"> or supporting data</w:t>
      </w:r>
      <w:r>
        <w:t xml:space="preserve"> to address these inconsistencies.</w:t>
      </w:r>
      <w:r>
        <w:rPr>
          <w:rStyle w:val="FootnoteReference"/>
        </w:rPr>
        <w:footnoteReference w:id="24"/>
      </w:r>
      <w:r>
        <w:t xml:space="preserve"> </w:t>
      </w:r>
    </w:p>
    <w:p w:rsidR="009430FC" w:rsidRDefault="009430FC" w:rsidP="009430FC">
      <w:r>
        <w:t>Despite these inconsistencies, we consider that our alternative estimate is the best</w:t>
      </w:r>
      <w:r w:rsidR="00080FD3">
        <w:t xml:space="preserve"> estimate in the circumstances. W</w:t>
      </w:r>
      <w:r w:rsidR="005A7BB1">
        <w:t xml:space="preserve">e apply the same data series as ActewAGL in deriving our demand forecasts. </w:t>
      </w:r>
      <w:r w:rsidR="00080FD3">
        <w:t xml:space="preserve">We also cross-checked our alternate estimates by applying the same methodology to the capex unit rate connections model, which generated similar results. </w:t>
      </w:r>
      <w:r>
        <w:t xml:space="preserve">Nevertheless, we </w:t>
      </w:r>
      <w:r w:rsidR="00810FBE">
        <w:rPr>
          <w:rStyle w:val="AERbody"/>
        </w:rPr>
        <w:t>invite</w:t>
      </w:r>
      <w:r>
        <w:t xml:space="preserve"> ActewAGL</w:t>
      </w:r>
      <w:r w:rsidR="00810FBE">
        <w:t xml:space="preserve"> to</w:t>
      </w:r>
      <w:r>
        <w:t xml:space="preserve"> address or explain these inconsistencies in its revised access arrangement proposal.</w:t>
      </w:r>
    </w:p>
    <w:p w:rsidR="00061DF9" w:rsidRDefault="00061DF9" w:rsidP="00061DF9">
      <w:pPr>
        <w:pStyle w:val="Heading2"/>
      </w:pPr>
      <w:bookmarkStart w:id="195" w:name="_Toc435700358"/>
      <w:r>
        <w:t>Tariff V consumption per connection</w:t>
      </w:r>
      <w:bookmarkEnd w:id="194"/>
      <w:bookmarkEnd w:id="195"/>
      <w:r>
        <w:t xml:space="preserve"> </w:t>
      </w:r>
    </w:p>
    <w:p w:rsidR="00601A03" w:rsidRDefault="00601A03" w:rsidP="00601A03">
      <w:r>
        <w:t>Core Energy’s approach to forecasting Tariff V consumption is to separately forecast consumption per connection and the number of customer connections. Total forecast demand is calculated as the product of the two.</w:t>
      </w:r>
      <w:r>
        <w:rPr>
          <w:rStyle w:val="FootnoteReference"/>
        </w:rPr>
        <w:footnoteReference w:id="25"/>
      </w:r>
      <w:r>
        <w:t xml:space="preserve"> Appendix A sets out diagrams of the methodology used to derive demand forecasts for Tariff V residential and commercial customers.</w:t>
      </w:r>
    </w:p>
    <w:p w:rsidR="00601A03" w:rsidRDefault="00601A03" w:rsidP="00601A03">
      <w:r>
        <w:t>Core Energy uses the following methodology to forecast Tariff V residential and commercial consumption per connection:</w:t>
      </w:r>
    </w:p>
    <w:p w:rsidR="00601A03" w:rsidRDefault="00601A03" w:rsidP="00601A03">
      <w:pPr>
        <w:pStyle w:val="AERbulletlistfirststyle"/>
      </w:pPr>
      <w:r w:rsidRPr="00BF58D5">
        <w:t xml:space="preserve">Historic demand </w:t>
      </w:r>
      <w:r>
        <w:t>is</w:t>
      </w:r>
      <w:r w:rsidRPr="00BF58D5">
        <w:t xml:space="preserve"> normalised to remove the impact of </w:t>
      </w:r>
      <w:r>
        <w:t xml:space="preserve">abnormal </w:t>
      </w:r>
      <w:r w:rsidRPr="00BF58D5">
        <w:t>weather and to derive a per customer forecast based on historic trends (i.e. where demand is primarily a function of demand in the previous year plus a trend factor).</w:t>
      </w:r>
      <w:r>
        <w:rPr>
          <w:rStyle w:val="FootnoteReference"/>
        </w:rPr>
        <w:footnoteReference w:id="26"/>
      </w:r>
      <w:r w:rsidRPr="00BF58D5">
        <w:t xml:space="preserve"> </w:t>
      </w:r>
    </w:p>
    <w:p w:rsidR="00601A03" w:rsidRDefault="00601A03" w:rsidP="00601A03">
      <w:pPr>
        <w:pStyle w:val="AERbulletlistfirststyle"/>
        <w:numPr>
          <w:ilvl w:val="0"/>
          <w:numId w:val="0"/>
        </w:numPr>
        <w:ind w:left="360"/>
      </w:pPr>
      <w:r>
        <w:t xml:space="preserve">Based on the information before us, we are satisfied with Core Energy’s weather normalisation of the historical data. </w:t>
      </w:r>
    </w:p>
    <w:p w:rsidR="00601A03" w:rsidRPr="00B93DC4" w:rsidRDefault="00601A03" w:rsidP="00601A03">
      <w:pPr>
        <w:pStyle w:val="AERbulletlistfirststyle"/>
        <w:rPr>
          <w:rFonts w:ascii="Times New Roman" w:eastAsia="Times New Roman" w:hAnsi="Times New Roman"/>
          <w:sz w:val="24"/>
          <w:szCs w:val="24"/>
        </w:rPr>
      </w:pPr>
      <w:r>
        <w:t>The historical trend is projected forward for each of the following based on an analysis of the change in consumption per connection from 2011 to 2014:</w:t>
      </w:r>
      <w:r w:rsidRPr="00776CC8">
        <w:t xml:space="preserve"> </w:t>
      </w:r>
    </w:p>
    <w:p w:rsidR="00601A03" w:rsidRPr="00BF58D5" w:rsidRDefault="00601A03" w:rsidP="00601A03">
      <w:pPr>
        <w:pStyle w:val="AERbulletlistfirststyle"/>
        <w:ind w:left="700"/>
      </w:pPr>
      <w:r>
        <w:t>r</w:t>
      </w:r>
      <w:r w:rsidRPr="00BF58D5">
        <w:t>esidential connection</w:t>
      </w:r>
      <w:r>
        <w:t xml:space="preserve"> types:</w:t>
      </w:r>
      <w:r w:rsidRPr="00BF58D5">
        <w:t xml:space="preserve"> </w:t>
      </w:r>
    </w:p>
    <w:p w:rsidR="00601A03" w:rsidRPr="00BF58D5" w:rsidRDefault="00601A03" w:rsidP="00601A03">
      <w:pPr>
        <w:pStyle w:val="AERbulletlistsecondstyle"/>
        <w:ind w:left="1338"/>
      </w:pPr>
      <w:r>
        <w:t>incumbent customers (Core Energy refers to these customers as ‘e</w:t>
      </w:r>
      <w:r w:rsidRPr="00BF58D5">
        <w:t>xisting customers</w:t>
      </w:r>
      <w:r>
        <w:t>’)</w:t>
      </w:r>
    </w:p>
    <w:p w:rsidR="00601A03" w:rsidRDefault="00601A03" w:rsidP="00601A03">
      <w:pPr>
        <w:pStyle w:val="AERbulletlistsecondstyle"/>
        <w:ind w:left="1338"/>
      </w:pPr>
      <w:r>
        <w:t>new dwellings – new estates</w:t>
      </w:r>
    </w:p>
    <w:p w:rsidR="00601A03" w:rsidRDefault="00601A03" w:rsidP="00601A03">
      <w:pPr>
        <w:pStyle w:val="AERbulletlistsecondstyle"/>
        <w:ind w:left="1338"/>
      </w:pPr>
      <w:r>
        <w:t>new dwellings – medium density/high rise (MD/HR)</w:t>
      </w:r>
    </w:p>
    <w:p w:rsidR="00601A03" w:rsidRDefault="00601A03" w:rsidP="00601A03">
      <w:pPr>
        <w:pStyle w:val="AERbulletlistsecondstyle"/>
        <w:ind w:left="1338"/>
      </w:pPr>
      <w:r>
        <w:t xml:space="preserve">new electricity to gas (E to G) connections </w:t>
      </w:r>
    </w:p>
    <w:p w:rsidR="00601A03" w:rsidRDefault="00601A03" w:rsidP="00601A03">
      <w:pPr>
        <w:pStyle w:val="AERbulletlistfirststyle"/>
        <w:ind w:left="700"/>
      </w:pPr>
      <w:r>
        <w:lastRenderedPageBreak/>
        <w:t>commercial connection types:</w:t>
      </w:r>
    </w:p>
    <w:p w:rsidR="00601A03" w:rsidRDefault="00601A03" w:rsidP="00601A03">
      <w:pPr>
        <w:pStyle w:val="AERbulletlistsecondstyle"/>
        <w:ind w:left="1338"/>
      </w:pPr>
      <w:r>
        <w:t>incumbent (Core Energy refers to these customers as ‘e</w:t>
      </w:r>
      <w:r w:rsidRPr="00BF58D5">
        <w:t>xisting customers</w:t>
      </w:r>
      <w:r>
        <w:t>’)</w:t>
      </w:r>
    </w:p>
    <w:p w:rsidR="00601A03" w:rsidRDefault="00601A03" w:rsidP="00601A03">
      <w:pPr>
        <w:pStyle w:val="AERbulletlistsecondstyle"/>
        <w:ind w:left="1338"/>
      </w:pPr>
      <w:r>
        <w:t>new commercial.</w:t>
      </w:r>
    </w:p>
    <w:p w:rsidR="00601A03" w:rsidRDefault="00601A03" w:rsidP="00601A03">
      <w:pPr>
        <w:pStyle w:val="AERbulletlistfirststyle"/>
      </w:pPr>
      <w:r w:rsidRPr="00BF58D5">
        <w:t>Post-model adjustments are then made to this historic trend for the effects of factors predicted to affect the trend differently in the future.</w:t>
      </w:r>
      <w:r>
        <w:t xml:space="preserve"> Two post-model adjustments are specifically made; one to take account of forecast changes in the price of gas</w:t>
      </w:r>
      <w:r>
        <w:rPr>
          <w:rStyle w:val="FootnoteReference"/>
        </w:rPr>
        <w:footnoteReference w:id="27"/>
      </w:r>
      <w:r>
        <w:t xml:space="preserve"> and the other to take account of f</w:t>
      </w:r>
      <w:r w:rsidRPr="00BF58D5">
        <w:t>orecast changes in the price of electricity</w:t>
      </w:r>
      <w:r>
        <w:t xml:space="preserve"> which may differ from historical changes.</w:t>
      </w:r>
      <w:r>
        <w:rPr>
          <w:rStyle w:val="FootnoteReference"/>
        </w:rPr>
        <w:footnoteReference w:id="28"/>
      </w:r>
      <w:r>
        <w:t xml:space="preserve"> </w:t>
      </w:r>
    </w:p>
    <w:p w:rsidR="00601A03" w:rsidRDefault="00601A03" w:rsidP="00601A03">
      <w:pPr>
        <w:pStyle w:val="Heading3"/>
      </w:pPr>
      <w:bookmarkStart w:id="196" w:name="_Toc435700359"/>
      <w:r>
        <w:t>Methodological error with Core Energy’s forecasting approach</w:t>
      </w:r>
      <w:bookmarkEnd w:id="196"/>
    </w:p>
    <w:p w:rsidR="00601A03" w:rsidRDefault="00601A03" w:rsidP="00601A03">
      <w:r>
        <w:t>We do not consider that the forecasts for residential and commercial consumption per connection are the best estimates in the circumstances. In particular, we are not satisfied that average annual growth rate applied to the historical trend for residential and commercial consumption per connection results in forecasts that have been arrived at on a reasonable basis.</w:t>
      </w:r>
    </w:p>
    <w:p w:rsidR="00601A03" w:rsidRDefault="00601A03" w:rsidP="00601A03">
      <w:r>
        <w:t xml:space="preserve">Table 13.4 sets out Core Energy’s proposed average annual change in consumption per connection as well as our alternative estimate over the forecast period. </w:t>
      </w:r>
    </w:p>
    <w:p w:rsidR="00601A03" w:rsidRDefault="00601A03" w:rsidP="006E19D2">
      <w:pPr>
        <w:pStyle w:val="Tabletitle"/>
        <w:keepNext/>
      </w:pPr>
      <w:r>
        <w:lastRenderedPageBreak/>
        <w:t>Table 13.4</w:t>
      </w:r>
      <w:r>
        <w:tab/>
        <w:t xml:space="preserve">Consumption per connection </w:t>
      </w:r>
      <w:r w:rsidR="000B5FBD">
        <w:t>–</w:t>
      </w:r>
      <w:r>
        <w:t xml:space="preserve"> average annual average growth (per cent)</w:t>
      </w:r>
    </w:p>
    <w:tbl>
      <w:tblPr>
        <w:tblStyle w:val="AERtable-numbers"/>
        <w:tblW w:w="4791" w:type="pct"/>
        <w:tblLayout w:type="fixed"/>
        <w:tblLook w:val="04A0" w:firstRow="1" w:lastRow="0" w:firstColumn="1" w:lastColumn="0" w:noHBand="0" w:noVBand="1"/>
      </w:tblPr>
      <w:tblGrid>
        <w:gridCol w:w="3257"/>
        <w:gridCol w:w="2237"/>
        <w:gridCol w:w="2836"/>
      </w:tblGrid>
      <w:tr w:rsidR="00601A03" w:rsidRPr="002A09B6" w:rsidTr="00601A0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55" w:type="pct"/>
            <w:noWrap/>
            <w:hideMark/>
          </w:tcPr>
          <w:p w:rsidR="00601A03" w:rsidRPr="008F0CF0" w:rsidRDefault="00601A03">
            <w:pPr>
              <w:keepNext/>
            </w:pPr>
          </w:p>
        </w:tc>
        <w:tc>
          <w:tcPr>
            <w:tcW w:w="3045" w:type="pct"/>
            <w:gridSpan w:val="2"/>
            <w:noWrap/>
            <w:hideMark/>
          </w:tcPr>
          <w:p w:rsidR="00601A03" w:rsidRPr="002A09B6" w:rsidRDefault="00601A03">
            <w:pPr>
              <w:keepNext/>
              <w:jc w:val="center"/>
              <w:cnfStyle w:val="100000000000" w:firstRow="1" w:lastRow="0" w:firstColumn="0" w:lastColumn="0" w:oddVBand="0" w:evenVBand="0" w:oddHBand="0" w:evenHBand="0" w:firstRowFirstColumn="0" w:firstRowLastColumn="0" w:lastRowFirstColumn="0" w:lastRowLastColumn="0"/>
            </w:pPr>
            <w:r>
              <w:t>Average annual growth (%) 2016-17 to 2020-21</w:t>
            </w:r>
          </w:p>
        </w:tc>
      </w:tr>
      <w:tr w:rsidR="00601A03" w:rsidRPr="002A09B6" w:rsidTr="00601A0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55" w:type="pct"/>
            <w:noWrap/>
          </w:tcPr>
          <w:p w:rsidR="00601A03" w:rsidRPr="008F0CF0" w:rsidRDefault="00601A03">
            <w:pPr>
              <w:keepNext/>
            </w:pPr>
            <w:r>
              <w:t>Consumption per connection</w:t>
            </w:r>
          </w:p>
        </w:tc>
        <w:tc>
          <w:tcPr>
            <w:tcW w:w="1343" w:type="pct"/>
            <w:noWrap/>
          </w:tcPr>
          <w:p w:rsidR="00601A03" w:rsidRDefault="00601A03">
            <w:pPr>
              <w:keepNext/>
              <w:jc w:val="center"/>
              <w:cnfStyle w:val="100000000000" w:firstRow="1" w:lastRow="0" w:firstColumn="0" w:lastColumn="0" w:oddVBand="0" w:evenVBand="0" w:oddHBand="0" w:evenHBand="0" w:firstRowFirstColumn="0" w:firstRowLastColumn="0" w:lastRowFirstColumn="0" w:lastRowLastColumn="0"/>
            </w:pPr>
            <w:r>
              <w:t>Core Energy</w:t>
            </w:r>
          </w:p>
        </w:tc>
        <w:tc>
          <w:tcPr>
            <w:tcW w:w="1702" w:type="pct"/>
            <w:noWrap/>
          </w:tcPr>
          <w:p w:rsidR="00601A03" w:rsidRDefault="00601A03">
            <w:pPr>
              <w:keepNext/>
              <w:jc w:val="center"/>
              <w:cnfStyle w:val="100000000000" w:firstRow="1" w:lastRow="0" w:firstColumn="0" w:lastColumn="0" w:oddVBand="0" w:evenVBand="0" w:oddHBand="0" w:evenHBand="0" w:firstRowFirstColumn="0" w:firstRowLastColumn="0" w:lastRowFirstColumn="0" w:lastRowLastColumn="0"/>
            </w:pPr>
            <w:r>
              <w:t>AER draft decision</w:t>
            </w:r>
          </w:p>
        </w:tc>
      </w:tr>
      <w:tr w:rsidR="00601A03" w:rsidRPr="00960A99" w:rsidTr="00601A03">
        <w:trPr>
          <w:trHeight w:val="300"/>
        </w:trPr>
        <w:tc>
          <w:tcPr>
            <w:cnfStyle w:val="001000000000" w:firstRow="0" w:lastRow="0" w:firstColumn="1" w:lastColumn="0" w:oddVBand="0" w:evenVBand="0" w:oddHBand="0" w:evenHBand="0" w:firstRowFirstColumn="0" w:firstRowLastColumn="0" w:lastRowFirstColumn="0" w:lastRowLastColumn="0"/>
            <w:tcW w:w="1955" w:type="pct"/>
            <w:noWrap/>
          </w:tcPr>
          <w:p w:rsidR="00601A03" w:rsidRPr="00A9318B" w:rsidRDefault="00601A03">
            <w:pPr>
              <w:keepNext/>
              <w:rPr>
                <w:b/>
              </w:rPr>
            </w:pPr>
            <w:r w:rsidRPr="00A9318B">
              <w:rPr>
                <w:b/>
              </w:rPr>
              <w:t>Residential</w:t>
            </w:r>
          </w:p>
        </w:tc>
        <w:tc>
          <w:tcPr>
            <w:tcW w:w="1343" w:type="pct"/>
            <w:noWrap/>
            <w:vAlign w:val="bottom"/>
          </w:tcPr>
          <w:p w:rsidR="00601A03" w:rsidRPr="00960A99" w:rsidRDefault="00601A03">
            <w:pPr>
              <w:keepNext/>
              <w:jc w:val="center"/>
              <w:cnfStyle w:val="000000000000" w:firstRow="0" w:lastRow="0" w:firstColumn="0" w:lastColumn="0" w:oddVBand="0" w:evenVBand="0" w:oddHBand="0" w:evenHBand="0" w:firstRowFirstColumn="0" w:firstRowLastColumn="0" w:lastRowFirstColumn="0" w:lastRowLastColumn="0"/>
            </w:pPr>
          </w:p>
        </w:tc>
        <w:tc>
          <w:tcPr>
            <w:tcW w:w="1702" w:type="pct"/>
            <w:noWrap/>
            <w:vAlign w:val="bottom"/>
          </w:tcPr>
          <w:p w:rsidR="00601A03" w:rsidRPr="00960A99" w:rsidRDefault="00601A03">
            <w:pPr>
              <w:keepNext/>
              <w:jc w:val="center"/>
              <w:cnfStyle w:val="000000000000" w:firstRow="0" w:lastRow="0" w:firstColumn="0" w:lastColumn="0" w:oddVBand="0" w:evenVBand="0" w:oddHBand="0" w:evenHBand="0" w:firstRowFirstColumn="0" w:firstRowLastColumn="0" w:lastRowFirstColumn="0" w:lastRowLastColumn="0"/>
            </w:pPr>
          </w:p>
        </w:tc>
      </w:tr>
      <w:tr w:rsidR="00601A03" w:rsidRPr="00960A99" w:rsidTr="00601A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5" w:type="pct"/>
            <w:noWrap/>
          </w:tcPr>
          <w:p w:rsidR="00601A03" w:rsidRPr="00960A99" w:rsidRDefault="00601A03" w:rsidP="006E19D2">
            <w:pPr>
              <w:keepNext/>
            </w:pPr>
            <w:r>
              <w:t>Existing</w:t>
            </w:r>
          </w:p>
        </w:tc>
        <w:tc>
          <w:tcPr>
            <w:tcW w:w="1343" w:type="pct"/>
            <w:noWrap/>
            <w:vAlign w:val="bottom"/>
          </w:tcPr>
          <w:p w:rsidR="00601A03" w:rsidRPr="00960A99" w:rsidRDefault="00601A03" w:rsidP="006E19D2">
            <w:pPr>
              <w:keepNext/>
              <w:jc w:val="center"/>
              <w:cnfStyle w:val="000000010000" w:firstRow="0" w:lastRow="0" w:firstColumn="0" w:lastColumn="0" w:oddVBand="0" w:evenVBand="0" w:oddHBand="0" w:evenHBand="1" w:firstRowFirstColumn="0" w:firstRowLastColumn="0" w:lastRowFirstColumn="0" w:lastRowLastColumn="0"/>
            </w:pPr>
            <w:r>
              <w:t>-3.57</w:t>
            </w:r>
          </w:p>
        </w:tc>
        <w:tc>
          <w:tcPr>
            <w:tcW w:w="1702" w:type="pct"/>
            <w:noWrap/>
            <w:vAlign w:val="bottom"/>
          </w:tcPr>
          <w:p w:rsidR="00601A03" w:rsidRPr="00960A99" w:rsidRDefault="00601A03" w:rsidP="006E19D2">
            <w:pPr>
              <w:keepNext/>
              <w:jc w:val="center"/>
              <w:cnfStyle w:val="000000010000" w:firstRow="0" w:lastRow="0" w:firstColumn="0" w:lastColumn="0" w:oddVBand="0" w:evenVBand="0" w:oddHBand="0" w:evenHBand="1" w:firstRowFirstColumn="0" w:firstRowLastColumn="0" w:lastRowFirstColumn="0" w:lastRowLastColumn="0"/>
            </w:pPr>
          </w:p>
        </w:tc>
      </w:tr>
      <w:tr w:rsidR="00601A03" w:rsidRPr="00960A99" w:rsidTr="00601A03">
        <w:trPr>
          <w:trHeight w:val="203"/>
        </w:trPr>
        <w:tc>
          <w:tcPr>
            <w:cnfStyle w:val="001000000000" w:firstRow="0" w:lastRow="0" w:firstColumn="1" w:lastColumn="0" w:oddVBand="0" w:evenVBand="0" w:oddHBand="0" w:evenHBand="0" w:firstRowFirstColumn="0" w:firstRowLastColumn="0" w:lastRowFirstColumn="0" w:lastRowLastColumn="0"/>
            <w:tcW w:w="1955" w:type="pct"/>
            <w:noWrap/>
          </w:tcPr>
          <w:p w:rsidR="00601A03" w:rsidRPr="00960A99" w:rsidRDefault="00601A03" w:rsidP="006E19D2">
            <w:pPr>
              <w:keepNext/>
            </w:pPr>
            <w:r>
              <w:t>New estate</w:t>
            </w:r>
          </w:p>
        </w:tc>
        <w:tc>
          <w:tcPr>
            <w:tcW w:w="1343" w:type="pct"/>
            <w:noWrap/>
            <w:vAlign w:val="bottom"/>
          </w:tcPr>
          <w:p w:rsidR="00601A03" w:rsidRPr="00960A99" w:rsidRDefault="00601A03" w:rsidP="006E19D2">
            <w:pPr>
              <w:keepNext/>
              <w:jc w:val="center"/>
              <w:cnfStyle w:val="000000000000" w:firstRow="0" w:lastRow="0" w:firstColumn="0" w:lastColumn="0" w:oddVBand="0" w:evenVBand="0" w:oddHBand="0" w:evenHBand="0" w:firstRowFirstColumn="0" w:firstRowLastColumn="0" w:lastRowFirstColumn="0" w:lastRowLastColumn="0"/>
            </w:pPr>
            <w:r>
              <w:t>-3.57</w:t>
            </w:r>
          </w:p>
        </w:tc>
        <w:tc>
          <w:tcPr>
            <w:tcW w:w="1702" w:type="pct"/>
            <w:noWrap/>
            <w:vAlign w:val="bottom"/>
          </w:tcPr>
          <w:p w:rsidR="00601A03" w:rsidRPr="00960A99" w:rsidRDefault="00601A03" w:rsidP="006E19D2">
            <w:pPr>
              <w:keepNext/>
              <w:jc w:val="center"/>
              <w:cnfStyle w:val="000000000000" w:firstRow="0" w:lastRow="0" w:firstColumn="0" w:lastColumn="0" w:oddVBand="0" w:evenVBand="0" w:oddHBand="0" w:evenHBand="0" w:firstRowFirstColumn="0" w:firstRowLastColumn="0" w:lastRowFirstColumn="0" w:lastRowLastColumn="0"/>
            </w:pPr>
          </w:p>
        </w:tc>
      </w:tr>
      <w:tr w:rsidR="00601A03" w:rsidRPr="00960A99" w:rsidTr="00601A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5" w:type="pct"/>
            <w:noWrap/>
          </w:tcPr>
          <w:p w:rsidR="00601A03" w:rsidRPr="00960A99" w:rsidRDefault="00601A03" w:rsidP="006E19D2">
            <w:pPr>
              <w:keepNext/>
            </w:pPr>
            <w:r>
              <w:t>New medium/high density</w:t>
            </w:r>
          </w:p>
        </w:tc>
        <w:tc>
          <w:tcPr>
            <w:tcW w:w="1343" w:type="pct"/>
            <w:noWrap/>
            <w:vAlign w:val="bottom"/>
          </w:tcPr>
          <w:p w:rsidR="00601A03" w:rsidRPr="00960A99" w:rsidRDefault="00601A03" w:rsidP="006E19D2">
            <w:pPr>
              <w:keepNext/>
              <w:jc w:val="center"/>
              <w:cnfStyle w:val="000000010000" w:firstRow="0" w:lastRow="0" w:firstColumn="0" w:lastColumn="0" w:oddVBand="0" w:evenVBand="0" w:oddHBand="0" w:evenHBand="1" w:firstRowFirstColumn="0" w:firstRowLastColumn="0" w:lastRowFirstColumn="0" w:lastRowLastColumn="0"/>
            </w:pPr>
            <w:r>
              <w:t>-3.57</w:t>
            </w:r>
          </w:p>
        </w:tc>
        <w:tc>
          <w:tcPr>
            <w:tcW w:w="1702" w:type="pct"/>
            <w:noWrap/>
            <w:vAlign w:val="bottom"/>
          </w:tcPr>
          <w:p w:rsidR="00601A03" w:rsidRPr="00960A99" w:rsidRDefault="00601A03" w:rsidP="006E19D2">
            <w:pPr>
              <w:keepNext/>
              <w:jc w:val="center"/>
              <w:cnfStyle w:val="000000010000" w:firstRow="0" w:lastRow="0" w:firstColumn="0" w:lastColumn="0" w:oddVBand="0" w:evenVBand="0" w:oddHBand="0" w:evenHBand="1" w:firstRowFirstColumn="0" w:firstRowLastColumn="0" w:lastRowFirstColumn="0" w:lastRowLastColumn="0"/>
            </w:pPr>
          </w:p>
        </w:tc>
      </w:tr>
      <w:tr w:rsidR="00601A03" w:rsidRPr="00960A99" w:rsidTr="00601A03">
        <w:trPr>
          <w:trHeight w:val="300"/>
        </w:trPr>
        <w:tc>
          <w:tcPr>
            <w:cnfStyle w:val="001000000000" w:firstRow="0" w:lastRow="0" w:firstColumn="1" w:lastColumn="0" w:oddVBand="0" w:evenVBand="0" w:oddHBand="0" w:evenHBand="0" w:firstRowFirstColumn="0" w:firstRowLastColumn="0" w:lastRowFirstColumn="0" w:lastRowLastColumn="0"/>
            <w:tcW w:w="1955" w:type="pct"/>
            <w:noWrap/>
          </w:tcPr>
          <w:p w:rsidR="00601A03" w:rsidRPr="00960A99" w:rsidRDefault="00601A03" w:rsidP="006E19D2">
            <w:pPr>
              <w:keepNext/>
            </w:pPr>
            <w:r>
              <w:t>New E to G</w:t>
            </w:r>
          </w:p>
        </w:tc>
        <w:tc>
          <w:tcPr>
            <w:tcW w:w="1343" w:type="pct"/>
            <w:noWrap/>
            <w:vAlign w:val="bottom"/>
          </w:tcPr>
          <w:p w:rsidR="00601A03" w:rsidRPr="00960A99" w:rsidRDefault="00601A03" w:rsidP="006E19D2">
            <w:pPr>
              <w:keepNext/>
              <w:jc w:val="center"/>
              <w:cnfStyle w:val="000000000000" w:firstRow="0" w:lastRow="0" w:firstColumn="0" w:lastColumn="0" w:oddVBand="0" w:evenVBand="0" w:oddHBand="0" w:evenHBand="0" w:firstRowFirstColumn="0" w:firstRowLastColumn="0" w:lastRowFirstColumn="0" w:lastRowLastColumn="0"/>
            </w:pPr>
            <w:r>
              <w:t>-3.57</w:t>
            </w:r>
          </w:p>
        </w:tc>
        <w:tc>
          <w:tcPr>
            <w:tcW w:w="1702" w:type="pct"/>
            <w:noWrap/>
            <w:vAlign w:val="bottom"/>
          </w:tcPr>
          <w:p w:rsidR="00601A03" w:rsidRPr="00960A99" w:rsidRDefault="00601A03" w:rsidP="006E19D2">
            <w:pPr>
              <w:keepNext/>
              <w:jc w:val="center"/>
              <w:cnfStyle w:val="000000000000" w:firstRow="0" w:lastRow="0" w:firstColumn="0" w:lastColumn="0" w:oddVBand="0" w:evenVBand="0" w:oddHBand="0" w:evenHBand="0" w:firstRowFirstColumn="0" w:firstRowLastColumn="0" w:lastRowFirstColumn="0" w:lastRowLastColumn="0"/>
            </w:pPr>
          </w:p>
        </w:tc>
      </w:tr>
      <w:tr w:rsidR="00601A03" w:rsidRPr="00960A99" w:rsidTr="00601A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5" w:type="pct"/>
            <w:noWrap/>
          </w:tcPr>
          <w:p w:rsidR="00601A03" w:rsidRPr="0050171A" w:rsidRDefault="00601A03" w:rsidP="006E19D2">
            <w:pPr>
              <w:keepNext/>
            </w:pPr>
            <w:r>
              <w:t>Total residential (weighted a</w:t>
            </w:r>
            <w:r w:rsidRPr="0050171A">
              <w:t>verage</w:t>
            </w:r>
            <w:r>
              <w:t>)</w:t>
            </w:r>
          </w:p>
        </w:tc>
        <w:tc>
          <w:tcPr>
            <w:tcW w:w="1343" w:type="pct"/>
            <w:noWrap/>
            <w:vAlign w:val="bottom"/>
          </w:tcPr>
          <w:p w:rsidR="00601A03" w:rsidRPr="00960A99" w:rsidRDefault="00601A03" w:rsidP="006E19D2">
            <w:pPr>
              <w:keepNext/>
              <w:jc w:val="center"/>
              <w:cnfStyle w:val="000000010000" w:firstRow="0" w:lastRow="0" w:firstColumn="0" w:lastColumn="0" w:oddVBand="0" w:evenVBand="0" w:oddHBand="0" w:evenHBand="1" w:firstRowFirstColumn="0" w:firstRowLastColumn="0" w:lastRowFirstColumn="0" w:lastRowLastColumn="0"/>
            </w:pPr>
            <w:r>
              <w:t>-4.52</w:t>
            </w:r>
          </w:p>
        </w:tc>
        <w:tc>
          <w:tcPr>
            <w:tcW w:w="1702" w:type="pct"/>
            <w:noWrap/>
            <w:vAlign w:val="bottom"/>
          </w:tcPr>
          <w:p w:rsidR="00601A03" w:rsidRPr="00080FD3" w:rsidRDefault="00601A03" w:rsidP="006E19D2">
            <w:pPr>
              <w:keepNext/>
              <w:jc w:val="center"/>
              <w:cnfStyle w:val="000000010000" w:firstRow="0" w:lastRow="0" w:firstColumn="0" w:lastColumn="0" w:oddVBand="0" w:evenVBand="0" w:oddHBand="0" w:evenHBand="1" w:firstRowFirstColumn="0" w:firstRowLastColumn="0" w:lastRowFirstColumn="0" w:lastRowLastColumn="0"/>
              <w:rPr>
                <w:vertAlign w:val="superscript"/>
              </w:rPr>
            </w:pPr>
            <w:r>
              <w:t>-3.57</w:t>
            </w:r>
            <w:r>
              <w:rPr>
                <w:vertAlign w:val="superscript"/>
              </w:rPr>
              <w:t>a</w:t>
            </w:r>
          </w:p>
        </w:tc>
      </w:tr>
      <w:tr w:rsidR="00601A03" w:rsidRPr="00960A99" w:rsidTr="00601A03">
        <w:trPr>
          <w:trHeight w:val="300"/>
        </w:trPr>
        <w:tc>
          <w:tcPr>
            <w:cnfStyle w:val="001000000000" w:firstRow="0" w:lastRow="0" w:firstColumn="1" w:lastColumn="0" w:oddVBand="0" w:evenVBand="0" w:oddHBand="0" w:evenHBand="0" w:firstRowFirstColumn="0" w:firstRowLastColumn="0" w:lastRowFirstColumn="0" w:lastRowLastColumn="0"/>
            <w:tcW w:w="1955" w:type="pct"/>
            <w:noWrap/>
          </w:tcPr>
          <w:p w:rsidR="00601A03" w:rsidRPr="00A9318B" w:rsidRDefault="00601A03" w:rsidP="006E19D2">
            <w:pPr>
              <w:keepNext/>
              <w:rPr>
                <w:b/>
              </w:rPr>
            </w:pPr>
            <w:r>
              <w:rPr>
                <w:b/>
              </w:rPr>
              <w:t xml:space="preserve">Commercial </w:t>
            </w:r>
          </w:p>
        </w:tc>
        <w:tc>
          <w:tcPr>
            <w:tcW w:w="1343" w:type="pct"/>
            <w:noWrap/>
            <w:vAlign w:val="bottom"/>
          </w:tcPr>
          <w:p w:rsidR="00601A03" w:rsidRPr="00960A99" w:rsidRDefault="00601A03" w:rsidP="006E19D2">
            <w:pPr>
              <w:keepNext/>
              <w:jc w:val="center"/>
              <w:cnfStyle w:val="000000000000" w:firstRow="0" w:lastRow="0" w:firstColumn="0" w:lastColumn="0" w:oddVBand="0" w:evenVBand="0" w:oddHBand="0" w:evenHBand="0" w:firstRowFirstColumn="0" w:firstRowLastColumn="0" w:lastRowFirstColumn="0" w:lastRowLastColumn="0"/>
            </w:pPr>
          </w:p>
        </w:tc>
        <w:tc>
          <w:tcPr>
            <w:tcW w:w="1702" w:type="pct"/>
            <w:noWrap/>
            <w:vAlign w:val="bottom"/>
          </w:tcPr>
          <w:p w:rsidR="00601A03" w:rsidRPr="00960A99" w:rsidRDefault="00601A03" w:rsidP="006E19D2">
            <w:pPr>
              <w:keepNext/>
              <w:jc w:val="center"/>
              <w:cnfStyle w:val="000000000000" w:firstRow="0" w:lastRow="0" w:firstColumn="0" w:lastColumn="0" w:oddVBand="0" w:evenVBand="0" w:oddHBand="0" w:evenHBand="0" w:firstRowFirstColumn="0" w:firstRowLastColumn="0" w:lastRowFirstColumn="0" w:lastRowLastColumn="0"/>
            </w:pPr>
          </w:p>
        </w:tc>
      </w:tr>
      <w:tr w:rsidR="00601A03" w:rsidRPr="00960A99" w:rsidTr="00601A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5" w:type="pct"/>
            <w:noWrap/>
          </w:tcPr>
          <w:p w:rsidR="00601A03" w:rsidRPr="00960A99" w:rsidRDefault="00601A03" w:rsidP="006E19D2">
            <w:pPr>
              <w:keepNext/>
            </w:pPr>
            <w:r>
              <w:t xml:space="preserve">Existing </w:t>
            </w:r>
          </w:p>
        </w:tc>
        <w:tc>
          <w:tcPr>
            <w:tcW w:w="1343" w:type="pct"/>
            <w:noWrap/>
            <w:vAlign w:val="bottom"/>
          </w:tcPr>
          <w:p w:rsidR="00601A03" w:rsidRPr="00960A99" w:rsidRDefault="00601A03" w:rsidP="006E19D2">
            <w:pPr>
              <w:keepNext/>
              <w:jc w:val="center"/>
              <w:cnfStyle w:val="000000010000" w:firstRow="0" w:lastRow="0" w:firstColumn="0" w:lastColumn="0" w:oddVBand="0" w:evenVBand="0" w:oddHBand="0" w:evenHBand="1" w:firstRowFirstColumn="0" w:firstRowLastColumn="0" w:lastRowFirstColumn="0" w:lastRowLastColumn="0"/>
            </w:pPr>
            <w:r>
              <w:t>-3.62</w:t>
            </w:r>
          </w:p>
        </w:tc>
        <w:tc>
          <w:tcPr>
            <w:tcW w:w="1702" w:type="pct"/>
            <w:noWrap/>
            <w:vAlign w:val="bottom"/>
          </w:tcPr>
          <w:p w:rsidR="00601A03" w:rsidRPr="00960A99" w:rsidRDefault="00601A03" w:rsidP="006E19D2">
            <w:pPr>
              <w:keepNext/>
              <w:jc w:val="center"/>
              <w:cnfStyle w:val="000000010000" w:firstRow="0" w:lastRow="0" w:firstColumn="0" w:lastColumn="0" w:oddVBand="0" w:evenVBand="0" w:oddHBand="0" w:evenHBand="1" w:firstRowFirstColumn="0" w:firstRowLastColumn="0" w:lastRowFirstColumn="0" w:lastRowLastColumn="0"/>
            </w:pPr>
          </w:p>
        </w:tc>
      </w:tr>
      <w:tr w:rsidR="00601A03" w:rsidRPr="00960A99" w:rsidTr="00601A03">
        <w:trPr>
          <w:trHeight w:val="300"/>
        </w:trPr>
        <w:tc>
          <w:tcPr>
            <w:cnfStyle w:val="001000000000" w:firstRow="0" w:lastRow="0" w:firstColumn="1" w:lastColumn="0" w:oddVBand="0" w:evenVBand="0" w:oddHBand="0" w:evenHBand="0" w:firstRowFirstColumn="0" w:firstRowLastColumn="0" w:lastRowFirstColumn="0" w:lastRowLastColumn="0"/>
            <w:tcW w:w="1955" w:type="pct"/>
            <w:noWrap/>
          </w:tcPr>
          <w:p w:rsidR="00601A03" w:rsidRPr="00960A99" w:rsidRDefault="00601A03" w:rsidP="006E19D2">
            <w:pPr>
              <w:keepNext/>
            </w:pPr>
            <w:r>
              <w:t>New commercial</w:t>
            </w:r>
          </w:p>
        </w:tc>
        <w:tc>
          <w:tcPr>
            <w:tcW w:w="1343" w:type="pct"/>
            <w:noWrap/>
            <w:vAlign w:val="bottom"/>
          </w:tcPr>
          <w:p w:rsidR="00601A03" w:rsidRPr="00960A99" w:rsidRDefault="00601A03" w:rsidP="006E19D2">
            <w:pPr>
              <w:keepNext/>
              <w:jc w:val="center"/>
              <w:cnfStyle w:val="000000000000" w:firstRow="0" w:lastRow="0" w:firstColumn="0" w:lastColumn="0" w:oddVBand="0" w:evenVBand="0" w:oddHBand="0" w:evenHBand="0" w:firstRowFirstColumn="0" w:firstRowLastColumn="0" w:lastRowFirstColumn="0" w:lastRowLastColumn="0"/>
            </w:pPr>
            <w:r>
              <w:t>-3.62</w:t>
            </w:r>
          </w:p>
        </w:tc>
        <w:tc>
          <w:tcPr>
            <w:tcW w:w="1702" w:type="pct"/>
            <w:noWrap/>
            <w:vAlign w:val="bottom"/>
          </w:tcPr>
          <w:p w:rsidR="00601A03" w:rsidRPr="00960A99" w:rsidRDefault="00601A03" w:rsidP="006E19D2">
            <w:pPr>
              <w:keepNext/>
              <w:jc w:val="center"/>
              <w:cnfStyle w:val="000000000000" w:firstRow="0" w:lastRow="0" w:firstColumn="0" w:lastColumn="0" w:oddVBand="0" w:evenVBand="0" w:oddHBand="0" w:evenHBand="0" w:firstRowFirstColumn="0" w:firstRowLastColumn="0" w:lastRowFirstColumn="0" w:lastRowLastColumn="0"/>
            </w:pPr>
          </w:p>
        </w:tc>
      </w:tr>
      <w:tr w:rsidR="00601A03" w:rsidRPr="00960A99" w:rsidTr="00601A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5" w:type="pct"/>
            <w:noWrap/>
          </w:tcPr>
          <w:p w:rsidR="00601A03" w:rsidRPr="00960A99" w:rsidRDefault="00601A03" w:rsidP="00601A03">
            <w:r>
              <w:t>Total commercial (weighted average)</w:t>
            </w:r>
          </w:p>
        </w:tc>
        <w:tc>
          <w:tcPr>
            <w:tcW w:w="1343" w:type="pct"/>
            <w:noWrap/>
            <w:vAlign w:val="bottom"/>
          </w:tcPr>
          <w:p w:rsidR="00601A03" w:rsidRPr="00960A99" w:rsidRDefault="00601A03" w:rsidP="00601A03">
            <w:pPr>
              <w:jc w:val="center"/>
              <w:cnfStyle w:val="000000010000" w:firstRow="0" w:lastRow="0" w:firstColumn="0" w:lastColumn="0" w:oddVBand="0" w:evenVBand="0" w:oddHBand="0" w:evenHBand="1" w:firstRowFirstColumn="0" w:firstRowLastColumn="0" w:lastRowFirstColumn="0" w:lastRowLastColumn="0"/>
            </w:pPr>
            <w:r>
              <w:t>-2.83</w:t>
            </w:r>
          </w:p>
        </w:tc>
        <w:tc>
          <w:tcPr>
            <w:tcW w:w="1702" w:type="pct"/>
            <w:noWrap/>
            <w:vAlign w:val="bottom"/>
          </w:tcPr>
          <w:p w:rsidR="00601A03" w:rsidRPr="00960A99" w:rsidRDefault="00601A03" w:rsidP="00601A03">
            <w:pPr>
              <w:jc w:val="center"/>
              <w:cnfStyle w:val="000000010000" w:firstRow="0" w:lastRow="0" w:firstColumn="0" w:lastColumn="0" w:oddVBand="0" w:evenVBand="0" w:oddHBand="0" w:evenHBand="1" w:firstRowFirstColumn="0" w:firstRowLastColumn="0" w:lastRowFirstColumn="0" w:lastRowLastColumn="0"/>
            </w:pPr>
            <w:r>
              <w:t>-3.62</w:t>
            </w:r>
          </w:p>
        </w:tc>
      </w:tr>
    </w:tbl>
    <w:p w:rsidR="00601A03" w:rsidRDefault="00601A03" w:rsidP="00601A03">
      <w:pPr>
        <w:pStyle w:val="AERtablesource"/>
      </w:pPr>
      <w:r>
        <w:t xml:space="preserve">Source: </w:t>
      </w:r>
      <w:r>
        <w:tab/>
        <w:t xml:space="preserve">Core Energy, Gas Demand Forecast, </w:t>
      </w:r>
      <w:r w:rsidRPr="00CF5524">
        <w:rPr>
          <w:i/>
        </w:rPr>
        <w:t>ActewAGL Distribution Access Arrangement 2017 to 2021, June 2015</w:t>
      </w:r>
      <w:r>
        <w:t>, p. 38.</w:t>
      </w:r>
    </w:p>
    <w:p w:rsidR="00601A03" w:rsidRPr="00080FD3" w:rsidRDefault="00601A03" w:rsidP="00601A03">
      <w:pPr>
        <w:pStyle w:val="AERtablesource"/>
        <w:ind w:left="795" w:hanging="795"/>
      </w:pPr>
      <w:r>
        <w:t xml:space="preserve">Notes: </w:t>
      </w:r>
      <w:r>
        <w:tab/>
      </w:r>
      <w:r w:rsidRPr="006E19D2">
        <w:rPr>
          <w:rStyle w:val="AERsuperscript"/>
        </w:rPr>
        <w:t>(a)</w:t>
      </w:r>
      <w:r>
        <w:tab/>
        <w:t xml:space="preserve">In line with Core Energy’s forecast, we also further adjust for the reduced average consumption of –5..58 GJ/a for new customers of medium-density/high-rise dwellings due to the impact of the Gas Service and Installation Rules Code and Gas Network Boundary Code Amendment introduced in 2013. </w:t>
      </w:r>
    </w:p>
    <w:p w:rsidR="00601A03" w:rsidRDefault="00601A03" w:rsidP="00601A03">
      <w:pPr>
        <w:pStyle w:val="HeadingBoldItalic"/>
      </w:pPr>
      <w:r>
        <w:t>Residential consumption per connection</w:t>
      </w:r>
    </w:p>
    <w:p w:rsidR="00601A03" w:rsidRDefault="00601A03" w:rsidP="00601A03">
      <w:r>
        <w:t xml:space="preserve">As table 13.4 shows, ActewAGL applies the average annual growth rate of -3.57 per cent to each of the individual residential customer types. </w:t>
      </w:r>
    </w:p>
    <w:p w:rsidR="00601A03" w:rsidRDefault="001D4B16" w:rsidP="00601A03">
      <w:r>
        <w:t>We consider that applying this</w:t>
      </w:r>
      <w:r w:rsidR="00601A03">
        <w:t xml:space="preserve"> overall declining rate to each individual residential connection type has the effect of double counting the reduction in gas consumption at the total residential customer level. This is because:</w:t>
      </w:r>
    </w:p>
    <w:p w:rsidR="00601A03" w:rsidRDefault="00601A03" w:rsidP="00601A03">
      <w:pPr>
        <w:pStyle w:val="AERbulletlistfirststyle"/>
      </w:pPr>
      <w:r>
        <w:t xml:space="preserve">Our analysis of Core Energy’s model reveals that the calculation of average consumption per consumption for existing customers (at an </w:t>
      </w:r>
      <w:r w:rsidR="00FB355C">
        <w:t xml:space="preserve">average </w:t>
      </w:r>
      <w:r>
        <w:t xml:space="preserve">annual growth rate of -3.57 per cent) is actually a derivation for total (overall) residential customers. </w:t>
      </w:r>
      <w:r w:rsidRPr="002E4779">
        <w:t xml:space="preserve">This is because consumption per connection for </w:t>
      </w:r>
      <w:r>
        <w:t xml:space="preserve">existing customers </w:t>
      </w:r>
      <w:r w:rsidRPr="002E4779">
        <w:t xml:space="preserve">is calculated as total consumption divided by total connections, </w:t>
      </w:r>
      <w:r>
        <w:t>including the new estates, new E to G and new MD/HR connections;</w:t>
      </w:r>
    </w:p>
    <w:p w:rsidR="00601A03" w:rsidRDefault="00601A03" w:rsidP="00601A03">
      <w:pPr>
        <w:pStyle w:val="AERbulletlistfirststyle"/>
      </w:pPr>
      <w:r>
        <w:t xml:space="preserve">the overall declining rate (the rate for total residential customers) includes the effect of ‘dwelling substitution’ </w:t>
      </w:r>
      <w:r w:rsidR="000B5FBD">
        <w:t>–</w:t>
      </w:r>
      <w:r>
        <w:t xml:space="preserve"> where existing customers with relatively higher consumption (e.g. older houses) are disconnected and replaced with new customers with relatively lower con</w:t>
      </w:r>
      <w:r w:rsidR="000B5FBD">
        <w:t xml:space="preserve">sumption (e.g. new dwellings). </w:t>
      </w:r>
      <w:r>
        <w:t xml:space="preserve">As average consumption for new residential connections is lower relative to existing residential connections, the overall declining rate is higher than the rate of decline for existing customers where the latter does not include the substitution effect.  </w:t>
      </w:r>
    </w:p>
    <w:p w:rsidR="00601A03" w:rsidRDefault="00601A03" w:rsidP="00601A03">
      <w:pPr>
        <w:pStyle w:val="AERbulletlistfirststyle"/>
      </w:pPr>
      <w:r>
        <w:lastRenderedPageBreak/>
        <w:t>When applying the overall declining rate that directly accounts for the dwelling substitution effect to each individual connection type, double counting occurs because Core Energy’s forecasting approach accounts for the same dwelling substitution effect via its method of adding new connection types (new MD/HR, new E to G and new estates). As these new customer types have relatively lower consumption, Core Energy’s forecasting approach results in an overstatement of the forecast decline in total residential consumption per connection.</w:t>
      </w:r>
      <w:r>
        <w:rPr>
          <w:rStyle w:val="FootnoteReference"/>
        </w:rPr>
        <w:footnoteReference w:id="29"/>
      </w:r>
      <w:r w:rsidR="000B5FBD">
        <w:t xml:space="preserve"> </w:t>
      </w:r>
      <w:r>
        <w:t>The double counting is evident in Core Energy’s forecast of a greater declining average annual rate of -4.52 per cent compared to the rate of 3.57 per cent applied to each individual connection type.</w:t>
      </w:r>
    </w:p>
    <w:p w:rsidR="00601A03" w:rsidRDefault="00601A03" w:rsidP="00601A03">
      <w:r>
        <w:t xml:space="preserve">To avoid this overstatement, we have applied </w:t>
      </w:r>
      <w:r w:rsidR="001D4B16">
        <w:t xml:space="preserve">the </w:t>
      </w:r>
      <w:r>
        <w:t xml:space="preserve">overall declining rate, on average being -3.57 per cent per annum, to total residential consumption per connection. We consider that forecasts of consumption based on </w:t>
      </w:r>
      <w:r w:rsidR="001D4B16">
        <w:t xml:space="preserve">the </w:t>
      </w:r>
      <w:r>
        <w:t xml:space="preserve">average annual change in consumption of -3.57 per cent for all residential customers results in best estimate in the circumstances. </w:t>
      </w:r>
    </w:p>
    <w:p w:rsidR="00601A03" w:rsidRDefault="00601A03" w:rsidP="00601A03">
      <w:pPr>
        <w:pStyle w:val="HeadingBoldItalic"/>
      </w:pPr>
      <w:r>
        <w:t>Commercial consumption per connection</w:t>
      </w:r>
    </w:p>
    <w:p w:rsidR="00601A03" w:rsidRDefault="00601A03" w:rsidP="00601A03">
      <w:r>
        <w:t>The double counting effect also exists in Core Energy’s forecasts for commercial consumption per connection, but it works in the opposite direction.</w:t>
      </w:r>
    </w:p>
    <w:p w:rsidR="00601A03" w:rsidRDefault="00601A03" w:rsidP="00601A03">
      <w:r>
        <w:t xml:space="preserve">For commercial connections, the overall rate of decline for commercial customers is </w:t>
      </w:r>
      <w:r>
        <w:noBreakHyphen/>
        <w:t xml:space="preserve">3.62 per cent per annum on average. In contrast to the residential group, applying the overall declining rate to both existing and new commercial connection types </w:t>
      </w:r>
      <w:r w:rsidRPr="002E4779">
        <w:rPr>
          <w:i/>
        </w:rPr>
        <w:t>understates</w:t>
      </w:r>
      <w:r>
        <w:t xml:space="preserve"> the rate of decline. This is because in this case, new connections that are added, have a higher average consumption than existing customers.</w:t>
      </w:r>
    </w:p>
    <w:p w:rsidR="00601A03" w:rsidRDefault="00601A03" w:rsidP="00601A03">
      <w:r>
        <w:t xml:space="preserve">To avoid this double counting, we have applied an overall declining rate of -3.62 to total commercial consumption per connection. We consider that forecasts of consumption based on average annual change in consumption of -3.62 per cent for all commercial customers results in best estimate in the circumstances. </w:t>
      </w:r>
    </w:p>
    <w:p w:rsidR="002716EA" w:rsidRDefault="00601A03" w:rsidP="00601A03">
      <w:r>
        <w:t>While we note that it can be conceptually better to use growth rates applicable to individual customer types, due to the lack of reliable historical data available to us, we have not calculated alternative different growth rates for each connection typ</w:t>
      </w:r>
      <w:r w:rsidR="001D4B16">
        <w:t>e</w:t>
      </w:r>
      <w:r>
        <w:t>. To the extent it is relevant in setting reference tariffs, we invite ActewAGL to provide forecasts of consumption per connection at the individual connection level.</w:t>
      </w:r>
      <w:r>
        <w:rPr>
          <w:rStyle w:val="FootnoteReference"/>
        </w:rPr>
        <w:footnoteReference w:id="30"/>
      </w:r>
      <w:r>
        <w:t xml:space="preserve"> </w:t>
      </w:r>
    </w:p>
    <w:p w:rsidR="002716EA" w:rsidRDefault="002716EA" w:rsidP="006E19D2">
      <w:pPr>
        <w:pStyle w:val="Heading2"/>
      </w:pPr>
      <w:bookmarkStart w:id="197" w:name="_Toc435700360"/>
      <w:r>
        <w:lastRenderedPageBreak/>
        <w:t>Revisions</w:t>
      </w:r>
      <w:bookmarkEnd w:id="197"/>
    </w:p>
    <w:p w:rsidR="002716EA" w:rsidRDefault="002716EA" w:rsidP="002716EA">
      <w:r>
        <w:t>We require the following revisions to make the access arrangement proposal acceptable:</w:t>
      </w:r>
    </w:p>
    <w:p w:rsidR="002716EA" w:rsidRPr="002716EA" w:rsidRDefault="002716EA" w:rsidP="002716EA">
      <w:r w:rsidRPr="002716EA">
        <w:t xml:space="preserve">Revision 13.1: </w:t>
      </w:r>
      <w:r>
        <w:t xml:space="preserve">Make all amendments necessary to reflect our draft decision on demand, as set out in </w:t>
      </w:r>
      <w:r>
        <w:fldChar w:fldCharType="begin"/>
      </w:r>
      <w:r>
        <w:instrText xml:space="preserve"> REF _Ref435692992 \h </w:instrText>
      </w:r>
      <w:r>
        <w:fldChar w:fldCharType="separate"/>
      </w:r>
      <w:r>
        <w:t xml:space="preserve">Table </w:t>
      </w:r>
      <w:r>
        <w:rPr>
          <w:noProof/>
        </w:rPr>
        <w:t>13.1</w:t>
      </w:r>
      <w:r>
        <w:fldChar w:fldCharType="end"/>
      </w:r>
      <w:r>
        <w:t xml:space="preserve"> and </w:t>
      </w:r>
      <w:r>
        <w:fldChar w:fldCharType="begin"/>
      </w:r>
      <w:r>
        <w:instrText xml:space="preserve"> REF _Ref420067884 \h </w:instrText>
      </w:r>
      <w:r>
        <w:fldChar w:fldCharType="separate"/>
      </w:r>
      <w:r>
        <w:t xml:space="preserve">Table </w:t>
      </w:r>
      <w:r>
        <w:rPr>
          <w:noProof/>
        </w:rPr>
        <w:t>13</w:t>
      </w:r>
      <w:r>
        <w:t>.</w:t>
      </w:r>
      <w:r>
        <w:rPr>
          <w:noProof/>
        </w:rPr>
        <w:t>2</w:t>
      </w:r>
      <w:r>
        <w:fldChar w:fldCharType="end"/>
      </w:r>
      <w:r>
        <w:t>.</w:t>
      </w:r>
    </w:p>
    <w:p w:rsidR="00474EC7" w:rsidRPr="00474EC7" w:rsidRDefault="00474EC7" w:rsidP="00474EC7"/>
    <w:sectPr w:rsidR="00474EC7" w:rsidRPr="00474EC7" w:rsidSect="00B757A6">
      <w:headerReference w:type="even" r:id="rId13"/>
      <w:footerReference w:type="even" r:id="rId14"/>
      <w:footerReference w:type="default" r:id="rId15"/>
      <w:headerReference w:type="first" r:id="rId16"/>
      <w:pgSz w:w="11906" w:h="16838" w:code="9"/>
      <w:pgMar w:top="1440" w:right="1700" w:bottom="1582" w:left="1729" w:header="720" w:footer="0" w:gutter="0"/>
      <w:pgNumType w:start="0"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5FC" w:rsidRPr="00290C63" w:rsidRDefault="00B575FC" w:rsidP="00290C63">
      <w:r>
        <w:separator/>
      </w:r>
    </w:p>
    <w:p w:rsidR="00B575FC" w:rsidRDefault="00B575FC"/>
  </w:endnote>
  <w:endnote w:type="continuationSeparator" w:id="0">
    <w:p w:rsidR="00B575FC" w:rsidRPr="00290C63" w:rsidRDefault="00B575FC" w:rsidP="00290C63">
      <w:r>
        <w:continuationSeparator/>
      </w:r>
    </w:p>
    <w:p w:rsidR="00B575FC" w:rsidRDefault="00B575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dge Round">
    <w:altName w:val="Calibri"/>
    <w:panose1 w:val="00000000000000000000"/>
    <w:charset w:val="00"/>
    <w:family w:val="modern"/>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5FC" w:rsidRDefault="00B575F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r>
      <w:rPr>
        <w:rStyle w:val="PageNumber"/>
      </w:rPr>
      <w:tab/>
    </w:r>
    <w:r>
      <w:t>ES 1 Customer Connection Information</w:t>
    </w:r>
  </w:p>
  <w:p w:rsidR="00B575FC" w:rsidRDefault="00B575FC">
    <w:pPr>
      <w:pStyle w:val="Footer"/>
    </w:pPr>
  </w:p>
  <w:p w:rsidR="00B575FC" w:rsidRDefault="00B575FC">
    <w:pPr>
      <w:pStyle w:val="Footer"/>
    </w:pPr>
    <w:r>
      <w:fldChar w:fldCharType="begin"/>
    </w:r>
    <w:r>
      <w:instrText xml:space="preserve"> DOCPROPERTY DocumentID \* MERGEFORMAT </w:instrText>
    </w:r>
    <w:r>
      <w:fldChar w:fldCharType="separate"/>
    </w:r>
    <w:r>
      <w:rPr>
        <w:b/>
        <w:bCs/>
        <w:lang w:val="en-US"/>
      </w:rPr>
      <w:t>Error! Unknown document property name.</w:t>
    </w:r>
    <w:r>
      <w:rPr>
        <w:color w:val="191919"/>
        <w:sz w:val="1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776863"/>
      <w:docPartObj>
        <w:docPartGallery w:val="Page Numbers (Bottom of Page)"/>
        <w:docPartUnique/>
      </w:docPartObj>
    </w:sdtPr>
    <w:sdtEndPr/>
    <w:sdtContent>
      <w:p w:rsidR="00B575FC" w:rsidRPr="00CA52A2" w:rsidRDefault="00B575FC" w:rsidP="00CA52A2">
        <w:pPr>
          <w:pStyle w:val="Footer"/>
        </w:pPr>
        <w:r w:rsidRPr="00CA52A2">
          <w:fldChar w:fldCharType="begin"/>
        </w:r>
        <w:r>
          <w:instrText xml:space="preserve"> PAGE   \* MERGEFORMAT </w:instrText>
        </w:r>
        <w:r w:rsidRPr="00CA52A2">
          <w:fldChar w:fldCharType="separate"/>
        </w:r>
        <w:r w:rsidR="00992D82">
          <w:rPr>
            <w:noProof/>
          </w:rPr>
          <w:t>13-20</w:t>
        </w:r>
        <w:r w:rsidRPr="00CA52A2">
          <w:fldChar w:fldCharType="end"/>
        </w:r>
        <w:r w:rsidRPr="00CA52A2">
          <w:t xml:space="preserve">          Attachment </w:t>
        </w:r>
        <w:r>
          <w:t xml:space="preserve">13 </w:t>
        </w:r>
        <w:r w:rsidRPr="00CA52A2">
          <w:t xml:space="preserve">– </w:t>
        </w:r>
        <w:r>
          <w:t xml:space="preserve">Demand </w:t>
        </w:r>
        <w:r w:rsidRPr="00CA52A2">
          <w:t xml:space="preserve">| </w:t>
        </w:r>
        <w:r>
          <w:t>Draft decision: ActewAGL Distribution Access Arrangement 2016</w:t>
        </w:r>
        <w:r w:rsidRPr="00CA52A2">
          <w:t>–</w:t>
        </w:r>
        <w:r>
          <w:t>21</w:t>
        </w:r>
      </w:p>
    </w:sdtContent>
  </w:sdt>
  <w:p w:rsidR="00B575FC" w:rsidRDefault="00B575FC">
    <w:pPr>
      <w:pStyle w:val="Footer"/>
      <w:tabs>
        <w:tab w:val="right" w:pos="9639"/>
      </w:tabs>
      <w:rPr>
        <w:rFonts w:ascii="Cambridge Round" w:hAnsi="Cambridge Round"/>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5FC" w:rsidRPr="00290C63" w:rsidRDefault="00B575FC" w:rsidP="00290C63">
      <w:r>
        <w:separator/>
      </w:r>
    </w:p>
    <w:p w:rsidR="00B575FC" w:rsidRDefault="00B575FC"/>
  </w:footnote>
  <w:footnote w:type="continuationSeparator" w:id="0">
    <w:p w:rsidR="00B575FC" w:rsidRPr="00290C63" w:rsidRDefault="00B575FC" w:rsidP="00290C63">
      <w:r>
        <w:continuationSeparator/>
      </w:r>
    </w:p>
    <w:p w:rsidR="00B575FC" w:rsidRDefault="00B575FC"/>
  </w:footnote>
  <w:footnote w:id="1">
    <w:p w:rsidR="00B575FC" w:rsidRDefault="00B575FC" w:rsidP="009430FC">
      <w:pPr>
        <w:pStyle w:val="FootnoteText"/>
      </w:pPr>
      <w:r>
        <w:rPr>
          <w:rStyle w:val="FootnoteReference"/>
        </w:rPr>
        <w:footnoteRef/>
      </w:r>
      <w:r>
        <w:t xml:space="preserve"> </w:t>
      </w:r>
      <w:r>
        <w:tab/>
        <w:t>Our draft decisions on ActewAGL’s capex and opex are set out in attachments 6 and 7 to this draft decision.</w:t>
      </w:r>
    </w:p>
  </w:footnote>
  <w:footnote w:id="2">
    <w:p w:rsidR="00B575FC" w:rsidRDefault="00B575FC" w:rsidP="009430FC">
      <w:pPr>
        <w:pStyle w:val="FootnoteText"/>
      </w:pPr>
      <w:r>
        <w:rPr>
          <w:rStyle w:val="FootnoteReference"/>
        </w:rPr>
        <w:footnoteRef/>
      </w:r>
      <w:r>
        <w:t xml:space="preserve"> </w:t>
      </w:r>
      <w:r>
        <w:tab/>
        <w:t>NGR, r. 74(2).</w:t>
      </w:r>
    </w:p>
  </w:footnote>
  <w:footnote w:id="3">
    <w:p w:rsidR="00B575FC" w:rsidRDefault="00B575FC" w:rsidP="009430FC">
      <w:pPr>
        <w:pStyle w:val="FootnoteText"/>
      </w:pPr>
      <w:r>
        <w:rPr>
          <w:rStyle w:val="FootnoteReference"/>
        </w:rPr>
        <w:footnoteRef/>
      </w:r>
      <w:r>
        <w:t xml:space="preserve"> </w:t>
      </w:r>
      <w:r>
        <w:tab/>
        <w:t xml:space="preserve">ACT Government, </w:t>
      </w:r>
      <w:r w:rsidRPr="006E19D2">
        <w:rPr>
          <w:rStyle w:val="Emphasis"/>
        </w:rPr>
        <w:t>2015–16 Budget Paper, Chapter 1: Economic Performance, Outlook and Strategy</w:t>
      </w:r>
      <w:r>
        <w:t xml:space="preserve">.  </w:t>
      </w:r>
    </w:p>
  </w:footnote>
  <w:footnote w:id="4">
    <w:p w:rsidR="00B575FC" w:rsidRDefault="00B575FC" w:rsidP="00646B82">
      <w:pPr>
        <w:pStyle w:val="FootnoteText"/>
      </w:pPr>
      <w:r>
        <w:rPr>
          <w:rStyle w:val="FootnoteReference"/>
        </w:rPr>
        <w:footnoteRef/>
      </w:r>
      <w:r>
        <w:t xml:space="preserve"> </w:t>
      </w:r>
      <w:r>
        <w:tab/>
      </w:r>
      <w:r>
        <w:rPr>
          <w:rFonts w:cs="Arial"/>
          <w:szCs w:val="16"/>
        </w:rPr>
        <w:t>NGR, r. 72(1)(a)(iii).</w:t>
      </w:r>
    </w:p>
  </w:footnote>
  <w:footnote w:id="5">
    <w:p w:rsidR="00B575FC" w:rsidRDefault="00B575FC" w:rsidP="00646B82">
      <w:pPr>
        <w:pStyle w:val="FootnoteText"/>
      </w:pPr>
      <w:r>
        <w:rPr>
          <w:rStyle w:val="FootnoteReference"/>
        </w:rPr>
        <w:footnoteRef/>
      </w:r>
      <w:r>
        <w:t xml:space="preserve"> </w:t>
      </w:r>
      <w:r>
        <w:tab/>
      </w:r>
      <w:r>
        <w:rPr>
          <w:rFonts w:cs="Arial"/>
          <w:szCs w:val="16"/>
        </w:rPr>
        <w:t>NGR, r. 72(1)(d).</w:t>
      </w:r>
    </w:p>
  </w:footnote>
  <w:footnote w:id="6">
    <w:p w:rsidR="00B575FC" w:rsidRDefault="00B575FC" w:rsidP="00646B82">
      <w:pPr>
        <w:pStyle w:val="FootnoteText"/>
      </w:pPr>
      <w:r>
        <w:rPr>
          <w:rStyle w:val="FootnoteReference"/>
        </w:rPr>
        <w:footnoteRef/>
      </w:r>
      <w:r>
        <w:t xml:space="preserve"> </w:t>
      </w:r>
      <w:r>
        <w:tab/>
      </w:r>
      <w:r>
        <w:rPr>
          <w:rFonts w:cs="Arial"/>
          <w:szCs w:val="16"/>
        </w:rPr>
        <w:t>NGR, r. 74(2).</w:t>
      </w:r>
    </w:p>
  </w:footnote>
  <w:footnote w:id="7">
    <w:p w:rsidR="00B575FC" w:rsidRDefault="00B575FC" w:rsidP="00646B82">
      <w:pPr>
        <w:pStyle w:val="FootnoteText"/>
      </w:pPr>
      <w:r>
        <w:rPr>
          <w:rStyle w:val="FootnoteReference"/>
        </w:rPr>
        <w:footnoteRef/>
      </w:r>
      <w:r>
        <w:t xml:space="preserve"> </w:t>
      </w:r>
      <w:r>
        <w:tab/>
      </w:r>
      <w:r>
        <w:rPr>
          <w:rFonts w:cs="Arial"/>
          <w:szCs w:val="16"/>
        </w:rPr>
        <w:t>NGR, r. 74(2).</w:t>
      </w:r>
    </w:p>
  </w:footnote>
  <w:footnote w:id="8">
    <w:p w:rsidR="00B575FC" w:rsidRDefault="00B575FC" w:rsidP="009430FC">
      <w:pPr>
        <w:pStyle w:val="FootnoteText"/>
      </w:pPr>
      <w:r>
        <w:rPr>
          <w:rStyle w:val="FootnoteReference"/>
        </w:rPr>
        <w:footnoteRef/>
      </w:r>
      <w:r>
        <w:t xml:space="preserve"> </w:t>
      </w:r>
      <w:r>
        <w:tab/>
        <w:t xml:space="preserve">ActewAGL, </w:t>
      </w:r>
      <w:r w:rsidRPr="002C4404">
        <w:rPr>
          <w:i/>
        </w:rPr>
        <w:t>2016</w:t>
      </w:r>
      <w:r>
        <w:rPr>
          <w:i/>
        </w:rPr>
        <w:t>–</w:t>
      </w:r>
      <w:r w:rsidRPr="002C4404">
        <w:rPr>
          <w:i/>
        </w:rPr>
        <w:t>21 Access Arrangement Information</w:t>
      </w:r>
      <w:r>
        <w:t>, June 2015, p. 24.</w:t>
      </w:r>
    </w:p>
  </w:footnote>
  <w:footnote w:id="9">
    <w:p w:rsidR="00B575FC" w:rsidRDefault="00B575FC" w:rsidP="009430FC">
      <w:pPr>
        <w:pStyle w:val="FootnoteText"/>
      </w:pPr>
      <w:r>
        <w:rPr>
          <w:rStyle w:val="FootnoteReference"/>
        </w:rPr>
        <w:footnoteRef/>
      </w:r>
      <w:r>
        <w:t xml:space="preserve"> </w:t>
      </w:r>
      <w:r>
        <w:tab/>
        <w:t xml:space="preserve">ActewAGL, </w:t>
      </w:r>
      <w:r w:rsidRPr="002C4404">
        <w:rPr>
          <w:i/>
        </w:rPr>
        <w:t>2016</w:t>
      </w:r>
      <w:r>
        <w:rPr>
          <w:i/>
        </w:rPr>
        <w:t>–</w:t>
      </w:r>
      <w:r w:rsidRPr="002C4404">
        <w:rPr>
          <w:i/>
        </w:rPr>
        <w:t>21 Access Arrangement Information</w:t>
      </w:r>
      <w:r>
        <w:t>, June 2015, p. 24.</w:t>
      </w:r>
    </w:p>
  </w:footnote>
  <w:footnote w:id="10">
    <w:p w:rsidR="00B575FC" w:rsidRDefault="00B575FC" w:rsidP="009430FC">
      <w:pPr>
        <w:pStyle w:val="FootnoteText"/>
      </w:pPr>
      <w:r>
        <w:rPr>
          <w:rStyle w:val="FootnoteReference"/>
        </w:rPr>
        <w:footnoteRef/>
      </w:r>
      <w:r>
        <w:t xml:space="preserve"> </w:t>
      </w:r>
      <w:r>
        <w:tab/>
        <w:t xml:space="preserve">ActewAGL, </w:t>
      </w:r>
      <w:r w:rsidRPr="002C4404">
        <w:rPr>
          <w:i/>
        </w:rPr>
        <w:t>2016</w:t>
      </w:r>
      <w:r>
        <w:rPr>
          <w:i/>
        </w:rPr>
        <w:t>–</w:t>
      </w:r>
      <w:r w:rsidRPr="002C4404">
        <w:rPr>
          <w:i/>
        </w:rPr>
        <w:t>21 Access Arrangement Information</w:t>
      </w:r>
      <w:r>
        <w:t>, June 2015, p. 24.</w:t>
      </w:r>
    </w:p>
  </w:footnote>
  <w:footnote w:id="11">
    <w:p w:rsidR="00B575FC" w:rsidRDefault="00B575FC" w:rsidP="009430FC">
      <w:pPr>
        <w:pStyle w:val="FootnoteText"/>
      </w:pPr>
      <w:r>
        <w:rPr>
          <w:rStyle w:val="FootnoteReference"/>
        </w:rPr>
        <w:footnoteRef/>
      </w:r>
      <w:r>
        <w:t xml:space="preserve"> </w:t>
      </w:r>
      <w:r>
        <w:tab/>
      </w:r>
      <w:r>
        <w:rPr>
          <w:rFonts w:cs="Arial"/>
          <w:szCs w:val="16"/>
        </w:rPr>
        <w:t>NGR, r. 72(1)(a)(iii)(A).</w:t>
      </w:r>
    </w:p>
  </w:footnote>
  <w:footnote w:id="12">
    <w:p w:rsidR="00B575FC" w:rsidRDefault="00B575FC" w:rsidP="009430FC">
      <w:pPr>
        <w:pStyle w:val="FootnoteText"/>
      </w:pPr>
      <w:r>
        <w:rPr>
          <w:rStyle w:val="FootnoteReference"/>
        </w:rPr>
        <w:footnoteRef/>
      </w:r>
      <w:r>
        <w:t xml:space="preserve"> </w:t>
      </w:r>
      <w:r>
        <w:tab/>
        <w:t xml:space="preserve">NGR, r. </w:t>
      </w:r>
      <w:r w:rsidRPr="007633B4">
        <w:t>72(1)(a)(iii)</w:t>
      </w:r>
      <w:r>
        <w:t>;</w:t>
      </w:r>
      <w:r>
        <w:rPr>
          <w:rFonts w:cs="Arial"/>
          <w:szCs w:val="16"/>
        </w:rPr>
        <w:t xml:space="preserve"> ActewAGL, </w:t>
      </w:r>
      <w:r w:rsidRPr="00F12A3F">
        <w:rPr>
          <w:rFonts w:cs="Arial"/>
          <w:i/>
          <w:szCs w:val="16"/>
        </w:rPr>
        <w:t>2016</w:t>
      </w:r>
      <w:r>
        <w:rPr>
          <w:rFonts w:cs="Arial"/>
          <w:i/>
          <w:szCs w:val="16"/>
        </w:rPr>
        <w:t>–</w:t>
      </w:r>
      <w:r w:rsidRPr="00F12A3F">
        <w:rPr>
          <w:rFonts w:cs="Arial"/>
          <w:i/>
          <w:szCs w:val="16"/>
        </w:rPr>
        <w:t>21 Access Arrangement Information, Attachment 3</w:t>
      </w:r>
      <w:r>
        <w:rPr>
          <w:rFonts w:cs="Arial"/>
          <w:szCs w:val="16"/>
        </w:rPr>
        <w:t xml:space="preserve">, June 2015, p. </w:t>
      </w:r>
      <w:r>
        <w:rPr>
          <w:rStyle w:val="AERtextsize8"/>
        </w:rPr>
        <w:t>10</w:t>
      </w:r>
      <w:r>
        <w:t>.</w:t>
      </w:r>
      <w:r w:rsidRPr="00312771">
        <w:rPr>
          <w:rFonts w:cs="Arial"/>
          <w:szCs w:val="16"/>
        </w:rPr>
        <w:t xml:space="preserve"> </w:t>
      </w:r>
      <w:r>
        <w:rPr>
          <w:rFonts w:cs="Arial"/>
          <w:szCs w:val="16"/>
        </w:rPr>
        <w:t xml:space="preserve">ActewAGL, </w:t>
      </w:r>
      <w:r w:rsidRPr="00F12A3F">
        <w:rPr>
          <w:rFonts w:cs="Arial"/>
          <w:i/>
          <w:szCs w:val="16"/>
        </w:rPr>
        <w:t>2016</w:t>
      </w:r>
      <w:r>
        <w:rPr>
          <w:rFonts w:cs="Arial"/>
          <w:i/>
          <w:szCs w:val="16"/>
        </w:rPr>
        <w:t>–</w:t>
      </w:r>
      <w:r w:rsidRPr="00F12A3F">
        <w:rPr>
          <w:rFonts w:cs="Arial"/>
          <w:i/>
          <w:szCs w:val="16"/>
        </w:rPr>
        <w:t>21 Access Arrangement Information, Attachment 3</w:t>
      </w:r>
      <w:r>
        <w:rPr>
          <w:rFonts w:cs="Arial"/>
          <w:szCs w:val="16"/>
        </w:rPr>
        <w:t>, June 2015, pp. 10 and 11</w:t>
      </w:r>
      <w:r w:rsidRPr="00A934F8">
        <w:rPr>
          <w:rStyle w:val="AERtextsize8"/>
        </w:rPr>
        <w:t>;</w:t>
      </w:r>
      <w:r>
        <w:rPr>
          <w:rFonts w:cs="Arial"/>
          <w:szCs w:val="16"/>
        </w:rPr>
        <w:t xml:space="preserve"> ActewAGL </w:t>
      </w:r>
      <w:r w:rsidRPr="008F7441">
        <w:rPr>
          <w:rStyle w:val="AERtextsize8"/>
        </w:rPr>
        <w:t>AA RIN (CONFIDENTIAL)XLSM</w:t>
      </w:r>
      <w:r>
        <w:rPr>
          <w:rFonts w:cs="Arial"/>
          <w:szCs w:val="16"/>
        </w:rPr>
        <w:t>.</w:t>
      </w:r>
    </w:p>
  </w:footnote>
  <w:footnote w:id="13">
    <w:p w:rsidR="00B575FC" w:rsidRDefault="00B575FC" w:rsidP="009430FC">
      <w:pPr>
        <w:pStyle w:val="FootnoteText"/>
      </w:pPr>
      <w:r>
        <w:rPr>
          <w:rStyle w:val="FootnoteReference"/>
        </w:rPr>
        <w:footnoteRef/>
      </w:r>
      <w:r>
        <w:t xml:space="preserve"> </w:t>
      </w:r>
      <w:r>
        <w:tab/>
        <w:t xml:space="preserve">NGR, r. </w:t>
      </w:r>
      <w:r w:rsidRPr="00C85EC6">
        <w:t>72(1)(d)</w:t>
      </w:r>
      <w:r>
        <w:t>.</w:t>
      </w:r>
    </w:p>
  </w:footnote>
  <w:footnote w:id="14">
    <w:p w:rsidR="00B575FC" w:rsidRDefault="00B575FC" w:rsidP="009430FC">
      <w:pPr>
        <w:pStyle w:val="FootnoteText"/>
      </w:pPr>
      <w:r>
        <w:rPr>
          <w:rStyle w:val="FootnoteReference"/>
        </w:rPr>
        <w:footnoteRef/>
      </w:r>
      <w:r>
        <w:t xml:space="preserve"> </w:t>
      </w:r>
      <w:r>
        <w:tab/>
      </w:r>
      <w:r>
        <w:rPr>
          <w:rFonts w:cs="Arial"/>
          <w:szCs w:val="16"/>
        </w:rPr>
        <w:t xml:space="preserve">ActewAGL, </w:t>
      </w:r>
      <w:r w:rsidRPr="005B3FD2">
        <w:rPr>
          <w:rFonts w:cs="Arial"/>
          <w:i/>
          <w:szCs w:val="16"/>
        </w:rPr>
        <w:t>2016</w:t>
      </w:r>
      <w:r>
        <w:rPr>
          <w:rFonts w:cs="Arial"/>
          <w:i/>
          <w:szCs w:val="16"/>
        </w:rPr>
        <w:t>–</w:t>
      </w:r>
      <w:r w:rsidRPr="005B3FD2">
        <w:rPr>
          <w:rFonts w:cs="Arial"/>
          <w:i/>
          <w:szCs w:val="16"/>
        </w:rPr>
        <w:t>21 Access Arrangement Information, Attachment 3</w:t>
      </w:r>
      <w:r>
        <w:rPr>
          <w:rFonts w:cs="Arial"/>
          <w:szCs w:val="16"/>
        </w:rPr>
        <w:t xml:space="preserve">, June 2015, pp. 8 and 9. </w:t>
      </w:r>
    </w:p>
  </w:footnote>
  <w:footnote w:id="15">
    <w:p w:rsidR="00B575FC" w:rsidRDefault="00B575FC" w:rsidP="009430FC">
      <w:pPr>
        <w:pStyle w:val="FootnoteText"/>
      </w:pPr>
      <w:r>
        <w:rPr>
          <w:rStyle w:val="FootnoteReference"/>
        </w:rPr>
        <w:footnoteRef/>
      </w:r>
      <w:r>
        <w:t xml:space="preserve"> </w:t>
      </w:r>
      <w:r>
        <w:tab/>
        <w:t>NGR, r. 74(2).</w:t>
      </w:r>
    </w:p>
  </w:footnote>
  <w:footnote w:id="16">
    <w:p w:rsidR="00B575FC" w:rsidRDefault="00B575FC" w:rsidP="009430FC">
      <w:pPr>
        <w:pStyle w:val="FootnoteText"/>
      </w:pPr>
      <w:r>
        <w:rPr>
          <w:rStyle w:val="FootnoteReference"/>
        </w:rPr>
        <w:footnoteRef/>
      </w:r>
      <w:r>
        <w:t xml:space="preserve"> </w:t>
      </w:r>
      <w:r>
        <w:tab/>
        <w:t>The upscale factor is 15.8, calculated as 1/(1-0.137) -1. We note that Core Energy indicates that the upscale factor is 13.7 per cent. It is 13.7 per cent across all three regions, so relative to the ACT region, the share is 15.8 per cent.</w:t>
      </w:r>
    </w:p>
  </w:footnote>
  <w:footnote w:id="17">
    <w:p w:rsidR="00B575FC" w:rsidRDefault="00B575FC" w:rsidP="009430FC">
      <w:pPr>
        <w:pStyle w:val="FootnoteText"/>
      </w:pPr>
      <w:r>
        <w:rPr>
          <w:rStyle w:val="FootnoteReference"/>
        </w:rPr>
        <w:footnoteRef/>
      </w:r>
      <w:r>
        <w:t xml:space="preserve"> </w:t>
      </w:r>
      <w:r>
        <w:tab/>
        <w:t xml:space="preserve">Alternative Technologies Association, </w:t>
      </w:r>
      <w:r w:rsidRPr="00167FCF">
        <w:rPr>
          <w:i/>
        </w:rPr>
        <w:t>Submi</w:t>
      </w:r>
      <w:r>
        <w:rPr>
          <w:i/>
        </w:rPr>
        <w:t xml:space="preserve">ssion to the AER on ActewAGL’s </w:t>
      </w:r>
      <w:r w:rsidRPr="00167FCF">
        <w:rPr>
          <w:i/>
        </w:rPr>
        <w:t>access arrangement proposal</w:t>
      </w:r>
      <w:r>
        <w:t>, 10 August 2015, p. 7.</w:t>
      </w:r>
    </w:p>
  </w:footnote>
  <w:footnote w:id="18">
    <w:p w:rsidR="00B575FC" w:rsidRDefault="00B575FC" w:rsidP="009430FC">
      <w:pPr>
        <w:pStyle w:val="FootnoteText"/>
      </w:pPr>
      <w:r>
        <w:rPr>
          <w:rStyle w:val="FootnoteReference"/>
        </w:rPr>
        <w:footnoteRef/>
      </w:r>
      <w:r>
        <w:t xml:space="preserve"> </w:t>
      </w:r>
      <w:r>
        <w:tab/>
        <w:t xml:space="preserve">Consumer Challenge Panel sub–panel 8, </w:t>
      </w:r>
      <w:r w:rsidRPr="006A4F81">
        <w:rPr>
          <w:i/>
        </w:rPr>
        <w:t>Advice to AER from the Consumer Challenge Panel sub</w:t>
      </w:r>
      <w:r>
        <w:rPr>
          <w:i/>
        </w:rPr>
        <w:t>–</w:t>
      </w:r>
      <w:r w:rsidRPr="006A4F81">
        <w:rPr>
          <w:i/>
        </w:rPr>
        <w:t>panel 8 regarding the ActewAGL Distribution (AAD) Access Arrangement (AA) 2016</w:t>
      </w:r>
      <w:r>
        <w:rPr>
          <w:i/>
        </w:rPr>
        <w:t>–</w:t>
      </w:r>
      <w:r w:rsidRPr="006A4F81">
        <w:rPr>
          <w:i/>
        </w:rPr>
        <w:t>2021 Proposal</w:t>
      </w:r>
      <w:r>
        <w:t>, 26 August, p. 11.</w:t>
      </w:r>
    </w:p>
  </w:footnote>
  <w:footnote w:id="19">
    <w:p w:rsidR="00B575FC" w:rsidRDefault="00B575FC" w:rsidP="009430FC">
      <w:pPr>
        <w:pStyle w:val="FootnoteText"/>
      </w:pPr>
      <w:r>
        <w:rPr>
          <w:rStyle w:val="FootnoteReference"/>
        </w:rPr>
        <w:footnoteRef/>
      </w:r>
      <w:r>
        <w:t xml:space="preserve"> </w:t>
      </w:r>
      <w:r>
        <w:tab/>
        <w:t xml:space="preserve">AER, </w:t>
      </w:r>
      <w:r w:rsidRPr="006E19D2">
        <w:rPr>
          <w:rStyle w:val="Emphasis"/>
        </w:rPr>
        <w:t>Info request to ActewAGL no.16</w:t>
      </w:r>
      <w:r>
        <w:t>, 31 July 2015, p. 1.</w:t>
      </w:r>
    </w:p>
  </w:footnote>
  <w:footnote w:id="20">
    <w:p w:rsidR="00B575FC" w:rsidRDefault="00B575FC" w:rsidP="009430FC">
      <w:pPr>
        <w:pStyle w:val="FootnoteText"/>
      </w:pPr>
      <w:r>
        <w:rPr>
          <w:rStyle w:val="FootnoteReference"/>
        </w:rPr>
        <w:footnoteRef/>
      </w:r>
      <w:r>
        <w:t xml:space="preserve"> </w:t>
      </w:r>
      <w:r>
        <w:tab/>
      </w:r>
      <w:r w:rsidRPr="00477EAD">
        <w:t>This calculation is for all the three regions relative to new housing in the ACT. So it overstates the gas connection rate</w:t>
      </w:r>
      <w:r>
        <w:t>,</w:t>
      </w:r>
      <w:r w:rsidRPr="00477EAD">
        <w:t xml:space="preserve"> which is between 48 percent to 66 per cent for the ACT</w:t>
      </w:r>
      <w:r>
        <w:t>.</w:t>
      </w:r>
    </w:p>
  </w:footnote>
  <w:footnote w:id="21">
    <w:p w:rsidR="00B575FC" w:rsidRDefault="00B575FC">
      <w:pPr>
        <w:pStyle w:val="FootnoteText"/>
      </w:pPr>
      <w:r w:rsidRPr="00414420">
        <w:rPr>
          <w:rStyle w:val="FootnoteReference"/>
        </w:rPr>
        <w:footnoteRef/>
      </w:r>
      <w:r w:rsidRPr="00414420">
        <w:rPr>
          <w:rStyle w:val="FootnoteReference"/>
        </w:rPr>
        <w:t xml:space="preserve"> </w:t>
      </w:r>
      <w:r w:rsidRPr="00414420">
        <w:rPr>
          <w:rStyle w:val="FootnoteReference"/>
        </w:rPr>
        <w:tab/>
      </w:r>
      <w:r w:rsidRPr="00414420">
        <w:t xml:space="preserve">ABS, </w:t>
      </w:r>
      <w:r w:rsidRPr="006E19D2">
        <w:rPr>
          <w:rStyle w:val="Emphasis"/>
        </w:rPr>
        <w:t>Environmental Issues: Energy Use and Conservation</w:t>
      </w:r>
      <w:r w:rsidRPr="00414420">
        <w:t>, Catalog number 4602.0.55.001, March 2014 and March 2011 issues.  </w:t>
      </w:r>
    </w:p>
  </w:footnote>
  <w:footnote w:id="22">
    <w:p w:rsidR="00B575FC" w:rsidRPr="00477EAD" w:rsidRDefault="00B575FC">
      <w:pPr>
        <w:pStyle w:val="FootnoteText"/>
      </w:pPr>
      <w:r w:rsidRPr="006E19D2">
        <w:rPr>
          <w:rStyle w:val="AERsuperscript"/>
        </w:rPr>
        <w:footnoteRef/>
      </w:r>
      <w:r w:rsidRPr="00477EAD">
        <w:t xml:space="preserve"> </w:t>
      </w:r>
      <w:r>
        <w:tab/>
        <w:t xml:space="preserve">AER, </w:t>
      </w:r>
      <w:r w:rsidRPr="006E19D2">
        <w:rPr>
          <w:rStyle w:val="Emphasis"/>
        </w:rPr>
        <w:t>Info request to ActewAGL, no. 33</w:t>
      </w:r>
      <w:r w:rsidRPr="00477EAD">
        <w:t>, 22 September 2015, p. 2.</w:t>
      </w:r>
    </w:p>
  </w:footnote>
  <w:footnote w:id="23">
    <w:p w:rsidR="00B575FC" w:rsidRDefault="00B575FC" w:rsidP="009430FC">
      <w:pPr>
        <w:pStyle w:val="FootnoteText"/>
      </w:pPr>
      <w:r>
        <w:rPr>
          <w:rStyle w:val="FootnoteReference"/>
        </w:rPr>
        <w:footnoteRef/>
      </w:r>
      <w:r>
        <w:t xml:space="preserve"> AER, </w:t>
      </w:r>
      <w:r w:rsidRPr="006E19D2">
        <w:rPr>
          <w:rStyle w:val="Emphasis"/>
        </w:rPr>
        <w:t>Info request to ActewAGL no. 23</w:t>
      </w:r>
      <w:r>
        <w:t xml:space="preserve">, 13 August 2015, p. 2. </w:t>
      </w:r>
    </w:p>
  </w:footnote>
  <w:footnote w:id="24">
    <w:p w:rsidR="00B575FC" w:rsidRDefault="00B575FC" w:rsidP="005A7BB1">
      <w:pPr>
        <w:pStyle w:val="FootnoteText"/>
      </w:pPr>
      <w:r>
        <w:rPr>
          <w:rStyle w:val="FootnoteReference"/>
        </w:rPr>
        <w:footnoteRef/>
      </w:r>
      <w:r>
        <w:t xml:space="preserve">  </w:t>
      </w:r>
      <w:r>
        <w:tab/>
        <w:t>The difference in the number of MD/HR connections for 2014–15 which is 1960 in the Core Energy model but is 923 in ActewAGL’s AA RIN (Info request to ActewAGL no. 28, 31 August 2015) , and a number of connections in the historical series which could not be categorised as a connection type (these are referred to as ‘unbalance/unreconciled items in the Core Energy demand model )(Info request to ActewAGL, no. 13, 28 July 2015)</w:t>
      </w:r>
    </w:p>
  </w:footnote>
  <w:footnote w:id="25">
    <w:p w:rsidR="00B575FC" w:rsidRDefault="00B575FC" w:rsidP="00601A03">
      <w:pPr>
        <w:pStyle w:val="FootnoteText"/>
      </w:pPr>
      <w:r>
        <w:rPr>
          <w:rStyle w:val="FootnoteReference"/>
        </w:rPr>
        <w:footnoteRef/>
      </w:r>
      <w:r>
        <w:t xml:space="preserve"> </w:t>
      </w:r>
      <w:r>
        <w:tab/>
        <w:t xml:space="preserve">Core Energy, </w:t>
      </w:r>
      <w:r w:rsidRPr="00BF58D5">
        <w:rPr>
          <w:i/>
        </w:rPr>
        <w:t>Gas Demand Forecasts, AGN – SA Gas Access Arrangement 2017</w:t>
      </w:r>
      <w:r>
        <w:rPr>
          <w:i/>
        </w:rPr>
        <w:t>–</w:t>
      </w:r>
      <w:r w:rsidRPr="00BF58D5">
        <w:rPr>
          <w:i/>
        </w:rPr>
        <w:t>21</w:t>
      </w:r>
      <w:r>
        <w:t>, June 2015, p. 38.</w:t>
      </w:r>
    </w:p>
  </w:footnote>
  <w:footnote w:id="26">
    <w:p w:rsidR="00B575FC" w:rsidRDefault="00B575FC" w:rsidP="00601A03">
      <w:pPr>
        <w:pStyle w:val="FootnoteText"/>
      </w:pPr>
      <w:r>
        <w:rPr>
          <w:rStyle w:val="FootnoteReference"/>
        </w:rPr>
        <w:footnoteRef/>
      </w:r>
      <w:r>
        <w:t xml:space="preserve"> </w:t>
      </w:r>
      <w:r>
        <w:tab/>
        <w:t>The trend factor is calculated as the historical average annual growth rate.</w:t>
      </w:r>
    </w:p>
  </w:footnote>
  <w:footnote w:id="27">
    <w:p w:rsidR="00B575FC" w:rsidRDefault="00B575FC" w:rsidP="00601A03">
      <w:pPr>
        <w:pStyle w:val="FootnoteText"/>
      </w:pPr>
      <w:r>
        <w:rPr>
          <w:rStyle w:val="FootnoteReference"/>
        </w:rPr>
        <w:footnoteRef/>
      </w:r>
      <w:r>
        <w:t xml:space="preserve"> </w:t>
      </w:r>
      <w:r>
        <w:tab/>
        <w:t>U</w:t>
      </w:r>
      <w:r w:rsidRPr="00BF58D5">
        <w:t>sing an estimate of own-price elasticity of -0.3 for</w:t>
      </w:r>
      <w:r>
        <w:t xml:space="preserve"> </w:t>
      </w:r>
      <w:r w:rsidRPr="00BF58D5">
        <w:t>residential demand per connection and -0.35 for commercial demand per connection</w:t>
      </w:r>
      <w:r>
        <w:t>.</w:t>
      </w:r>
    </w:p>
  </w:footnote>
  <w:footnote w:id="28">
    <w:p w:rsidR="00B575FC" w:rsidRDefault="00B575FC" w:rsidP="00601A03">
      <w:pPr>
        <w:pStyle w:val="FootnoteText"/>
      </w:pPr>
      <w:r>
        <w:rPr>
          <w:rStyle w:val="FootnoteReference"/>
        </w:rPr>
        <w:footnoteRef/>
      </w:r>
      <w:r>
        <w:t xml:space="preserve"> </w:t>
      </w:r>
      <w:r>
        <w:tab/>
        <w:t>U</w:t>
      </w:r>
      <w:r w:rsidRPr="00BF58D5">
        <w:t>sing an estimate of cross-price elasticity of 0.1 for both tariff classes</w:t>
      </w:r>
      <w:r>
        <w:t>.</w:t>
      </w:r>
    </w:p>
  </w:footnote>
  <w:footnote w:id="29">
    <w:p w:rsidR="00B575FC" w:rsidRDefault="00B575FC">
      <w:pPr>
        <w:pStyle w:val="FootnoteText"/>
      </w:pPr>
      <w:r>
        <w:rPr>
          <w:rStyle w:val="FootnoteReference"/>
        </w:rPr>
        <w:footnoteRef/>
      </w:r>
      <w:r>
        <w:t xml:space="preserve"> </w:t>
      </w:r>
      <w:r>
        <w:tab/>
      </w:r>
      <w:r w:rsidRPr="002156F0">
        <w:t>Core Energy applies a cumulative new connections method to forecasting. That is, starting from 2015, ‘existing’ connections continue to fall (as these connections are forecast as existing connections net of disconnections), while new connections accumulate over time. It applies the observed overall growth rate to each individual connection type.</w:t>
      </w:r>
    </w:p>
  </w:footnote>
  <w:footnote w:id="30">
    <w:p w:rsidR="00B575FC" w:rsidRPr="006E19D2" w:rsidRDefault="00B575FC" w:rsidP="006E19D2">
      <w:pPr>
        <w:pStyle w:val="FootnoteText"/>
        <w:rPr>
          <w:rStyle w:val="FootnoteTextChar"/>
        </w:rPr>
      </w:pPr>
      <w:r w:rsidRPr="00885EF1">
        <w:rPr>
          <w:rStyle w:val="FootnoteReference"/>
        </w:rPr>
        <w:footnoteRef/>
      </w:r>
      <w:r w:rsidRPr="00885EF1">
        <w:rPr>
          <w:rStyle w:val="FootnoteReference"/>
        </w:rPr>
        <w:t xml:space="preserve"> </w:t>
      </w:r>
      <w:r>
        <w:tab/>
      </w:r>
      <w:r w:rsidRPr="006E19D2">
        <w:rPr>
          <w:rStyle w:val="FootnoteTextChar"/>
        </w:rPr>
        <w:t>For the purposes of setting reference tariffs in the draft decision, for one new tariff category VRB -Boundary metered with gas heating and cooking tariff), we have assumed the same growth rate across connection types which gives an overall decline rate of -3.57 per cent annum.</w:t>
      </w:r>
    </w:p>
    <w:p w:rsidR="00B575FC" w:rsidRDefault="00B575FC" w:rsidP="00601A03">
      <w:pPr>
        <w:pStyle w:val="FootnoteText"/>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5FC" w:rsidRDefault="00992D82">
    <w:pPr>
      <w:pStyle w:val="Header"/>
      <w:jc w:val="right"/>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4" type="#_x0000_t136" style="position:absolute;left:0;text-align:left;margin-left:0;margin-top:0;width:608.75pt;height:110.65pt;rotation:315;z-index:-251645952;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2" type="#_x0000_t136" style="position:absolute;left:0;text-align:left;margin-left:0;margin-top:0;width:485.65pt;height:194.25pt;rotation:315;z-index:-251648000;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r w:rsidR="00B575FC">
      <w:t>January 2005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5FC" w:rsidRDefault="00992D82">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3" type="#_x0000_t136" style="position:absolute;margin-left:0;margin-top:0;width:608.75pt;height:110.65pt;rotation:315;z-index:-251646976;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1" type="#_x0000_t136" style="position:absolute;margin-left:0;margin-top:0;width:485.65pt;height:194.25pt;rotation:315;z-index:-251649024;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1C062CE"/>
    <w:multiLevelType w:val="hybridMultilevel"/>
    <w:tmpl w:val="8E446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3">
    <w:nsid w:val="15AB00E4"/>
    <w:multiLevelType w:val="hybridMultilevel"/>
    <w:tmpl w:val="F6C22E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5">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7">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8">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AC439B6"/>
    <w:multiLevelType w:val="hybridMultilevel"/>
    <w:tmpl w:val="6D105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CF07D5F"/>
    <w:multiLevelType w:val="hybridMultilevel"/>
    <w:tmpl w:val="D6DC675A"/>
    <w:lvl w:ilvl="0" w:tplc="6C6CF7F2">
      <w:start w:val="1"/>
      <w:numFmt w:val="lowerLetter"/>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2">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5">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55834A2C"/>
    <w:multiLevelType w:val="hybridMultilevel"/>
    <w:tmpl w:val="1186A3C8"/>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7">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8">
    <w:nsid w:val="5ECE4384"/>
    <w:multiLevelType w:val="multilevel"/>
    <w:tmpl w:val="3104E6F2"/>
    <w:lvl w:ilvl="0">
      <w:start w:val="1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30">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77A5C9D"/>
    <w:multiLevelType w:val="hybridMultilevel"/>
    <w:tmpl w:val="83CCADA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E2819EC"/>
    <w:multiLevelType w:val="multilevel"/>
    <w:tmpl w:val="881039C6"/>
    <w:lvl w:ilvl="0">
      <w:start w:val="1"/>
      <w:numFmt w:val="bullet"/>
      <w:pStyle w:val="AERbulletlistfirststyle"/>
      <w:lvlText w:val=""/>
      <w:lvlJc w:val="left"/>
      <w:pPr>
        <w:ind w:left="360" w:hanging="360"/>
      </w:pPr>
      <w:rPr>
        <w:rFonts w:ascii="Symbol" w:hAnsi="Symbol" w:hint="default"/>
      </w:r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32"/>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9"/>
  </w:num>
  <w:num w:numId="13">
    <w:abstractNumId w:val="19"/>
  </w:num>
  <w:num w:numId="14">
    <w:abstractNumId w:val="11"/>
  </w:num>
  <w:num w:numId="15">
    <w:abstractNumId w:val="14"/>
  </w:num>
  <w:num w:numId="16">
    <w:abstractNumId w:val="22"/>
  </w:num>
  <w:num w:numId="17">
    <w:abstractNumId w:val="10"/>
  </w:num>
  <w:num w:numId="18">
    <w:abstractNumId w:val="16"/>
  </w:num>
  <w:num w:numId="19">
    <w:abstractNumId w:val="23"/>
  </w:num>
  <w:num w:numId="20">
    <w:abstractNumId w:val="30"/>
  </w:num>
  <w:num w:numId="21">
    <w:abstractNumId w:val="27"/>
  </w:num>
  <w:num w:numId="22">
    <w:abstractNumId w:val="24"/>
  </w:num>
  <w:num w:numId="23">
    <w:abstractNumId w:val="17"/>
  </w:num>
  <w:num w:numId="24">
    <w:abstractNumId w:val="25"/>
  </w:num>
  <w:num w:numId="25">
    <w:abstractNumId w:val="28"/>
  </w:num>
  <w:num w:numId="26">
    <w:abstractNumId w:val="18"/>
  </w:num>
  <w:num w:numId="27">
    <w:abstractNumId w:val="15"/>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28"/>
  </w:num>
  <w:num w:numId="31">
    <w:abstractNumId w:val="28"/>
  </w:num>
  <w:num w:numId="32">
    <w:abstractNumId w:val="28"/>
  </w:num>
  <w:num w:numId="33">
    <w:abstractNumId w:val="20"/>
  </w:num>
  <w:num w:numId="34">
    <w:abstractNumId w:val="32"/>
  </w:num>
  <w:num w:numId="35">
    <w:abstractNumId w:val="21"/>
  </w:num>
  <w:num w:numId="36">
    <w:abstractNumId w:val="31"/>
  </w:num>
  <w:num w:numId="37">
    <w:abstractNumId w:val="13"/>
  </w:num>
  <w:num w:numId="38">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DisplayPageBoundaries/>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QVQsYNE2t0abTdQSSFd8ZsmE99Zd+WxrU20kVYlJqys=" w:saltValue="jSQTPlsSe75fGsqVDoyPNw==" w:algorithmName="SHA-256"/>
  <w:defaultTabStop w:val="340"/>
  <w:characterSpacingControl w:val="doNotCompress"/>
  <w:hdrShapeDefaults>
    <o:shapedefaults v:ext="edit" spidmax="79885"/>
    <o:shapelayout v:ext="edit">
      <o:idmap v:ext="edit" data="7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alewi\Desktop\Templates\ausnet - prelim decision - attachment 2.docx"/>
  </w:docVars>
  <w:rsids>
    <w:rsidRoot w:val="00961A4A"/>
    <w:rsid w:val="00010286"/>
    <w:rsid w:val="00021202"/>
    <w:rsid w:val="00021C2B"/>
    <w:rsid w:val="0002517F"/>
    <w:rsid w:val="00026495"/>
    <w:rsid w:val="0003578C"/>
    <w:rsid w:val="000401AF"/>
    <w:rsid w:val="00044CE2"/>
    <w:rsid w:val="00053A3F"/>
    <w:rsid w:val="000550AF"/>
    <w:rsid w:val="00061DF9"/>
    <w:rsid w:val="00063247"/>
    <w:rsid w:val="000668C1"/>
    <w:rsid w:val="00070F9F"/>
    <w:rsid w:val="0007137B"/>
    <w:rsid w:val="00080FD3"/>
    <w:rsid w:val="00085663"/>
    <w:rsid w:val="00085EBF"/>
    <w:rsid w:val="000870F0"/>
    <w:rsid w:val="00091B15"/>
    <w:rsid w:val="000923CD"/>
    <w:rsid w:val="0009704B"/>
    <w:rsid w:val="000A3020"/>
    <w:rsid w:val="000A6C7B"/>
    <w:rsid w:val="000B189F"/>
    <w:rsid w:val="000B5FBD"/>
    <w:rsid w:val="000C2B40"/>
    <w:rsid w:val="000D06C1"/>
    <w:rsid w:val="000D122C"/>
    <w:rsid w:val="000D3016"/>
    <w:rsid w:val="000E1819"/>
    <w:rsid w:val="000E4821"/>
    <w:rsid w:val="000E6C72"/>
    <w:rsid w:val="000F0B2B"/>
    <w:rsid w:val="000F3E72"/>
    <w:rsid w:val="000F48B1"/>
    <w:rsid w:val="00100EBF"/>
    <w:rsid w:val="00103A67"/>
    <w:rsid w:val="00115D80"/>
    <w:rsid w:val="00116EB2"/>
    <w:rsid w:val="00124609"/>
    <w:rsid w:val="00126A4C"/>
    <w:rsid w:val="00142AB6"/>
    <w:rsid w:val="0014573B"/>
    <w:rsid w:val="001517BD"/>
    <w:rsid w:val="001573E4"/>
    <w:rsid w:val="00160756"/>
    <w:rsid w:val="00160864"/>
    <w:rsid w:val="001632C3"/>
    <w:rsid w:val="00167FCF"/>
    <w:rsid w:val="0017232E"/>
    <w:rsid w:val="00172957"/>
    <w:rsid w:val="00174102"/>
    <w:rsid w:val="001754EE"/>
    <w:rsid w:val="00180157"/>
    <w:rsid w:val="00185CB9"/>
    <w:rsid w:val="00186F77"/>
    <w:rsid w:val="001926A4"/>
    <w:rsid w:val="00192AD5"/>
    <w:rsid w:val="001A0BA0"/>
    <w:rsid w:val="001B45A0"/>
    <w:rsid w:val="001B6F34"/>
    <w:rsid w:val="001B7D00"/>
    <w:rsid w:val="001D055E"/>
    <w:rsid w:val="001D4B16"/>
    <w:rsid w:val="001F05A4"/>
    <w:rsid w:val="001F492E"/>
    <w:rsid w:val="001F6DA3"/>
    <w:rsid w:val="001F7700"/>
    <w:rsid w:val="002010BC"/>
    <w:rsid w:val="002016E7"/>
    <w:rsid w:val="00201F98"/>
    <w:rsid w:val="00202E03"/>
    <w:rsid w:val="00203EAC"/>
    <w:rsid w:val="0020478D"/>
    <w:rsid w:val="0020492C"/>
    <w:rsid w:val="00205A33"/>
    <w:rsid w:val="002156F0"/>
    <w:rsid w:val="00224DB9"/>
    <w:rsid w:val="00227DCE"/>
    <w:rsid w:val="0023276C"/>
    <w:rsid w:val="00233775"/>
    <w:rsid w:val="00251745"/>
    <w:rsid w:val="00263AC0"/>
    <w:rsid w:val="00264264"/>
    <w:rsid w:val="0026772D"/>
    <w:rsid w:val="002716EA"/>
    <w:rsid w:val="00286874"/>
    <w:rsid w:val="00290C63"/>
    <w:rsid w:val="00292F5E"/>
    <w:rsid w:val="00296B65"/>
    <w:rsid w:val="002A7DEF"/>
    <w:rsid w:val="002B1003"/>
    <w:rsid w:val="002B1A27"/>
    <w:rsid w:val="002B573C"/>
    <w:rsid w:val="002B6DCB"/>
    <w:rsid w:val="002C233C"/>
    <w:rsid w:val="002C4404"/>
    <w:rsid w:val="002D72E8"/>
    <w:rsid w:val="002E5DD1"/>
    <w:rsid w:val="002E7B22"/>
    <w:rsid w:val="002F7986"/>
    <w:rsid w:val="00301B40"/>
    <w:rsid w:val="003029EE"/>
    <w:rsid w:val="0030370B"/>
    <w:rsid w:val="00305CC8"/>
    <w:rsid w:val="00307F6D"/>
    <w:rsid w:val="003177A2"/>
    <w:rsid w:val="003271B5"/>
    <w:rsid w:val="00327A1E"/>
    <w:rsid w:val="0033049D"/>
    <w:rsid w:val="00331264"/>
    <w:rsid w:val="00334C8D"/>
    <w:rsid w:val="00336587"/>
    <w:rsid w:val="00343A18"/>
    <w:rsid w:val="00344473"/>
    <w:rsid w:val="003518B3"/>
    <w:rsid w:val="00374C51"/>
    <w:rsid w:val="003846F1"/>
    <w:rsid w:val="00391780"/>
    <w:rsid w:val="003931A7"/>
    <w:rsid w:val="003A56BD"/>
    <w:rsid w:val="003B484F"/>
    <w:rsid w:val="003B7FBA"/>
    <w:rsid w:val="003F174D"/>
    <w:rsid w:val="003F7442"/>
    <w:rsid w:val="004004A1"/>
    <w:rsid w:val="00414420"/>
    <w:rsid w:val="00415F31"/>
    <w:rsid w:val="00423A77"/>
    <w:rsid w:val="00451838"/>
    <w:rsid w:val="0045777E"/>
    <w:rsid w:val="00463405"/>
    <w:rsid w:val="00465031"/>
    <w:rsid w:val="00473550"/>
    <w:rsid w:val="004748FB"/>
    <w:rsid w:val="00474EC7"/>
    <w:rsid w:val="00477EAD"/>
    <w:rsid w:val="00480B4B"/>
    <w:rsid w:val="00485DC4"/>
    <w:rsid w:val="004A43D1"/>
    <w:rsid w:val="004B334F"/>
    <w:rsid w:val="004B355D"/>
    <w:rsid w:val="004B4412"/>
    <w:rsid w:val="004B534B"/>
    <w:rsid w:val="004C348C"/>
    <w:rsid w:val="004D30E6"/>
    <w:rsid w:val="004D55BA"/>
    <w:rsid w:val="004E22EC"/>
    <w:rsid w:val="004F6A0E"/>
    <w:rsid w:val="0050171A"/>
    <w:rsid w:val="00524E57"/>
    <w:rsid w:val="00530128"/>
    <w:rsid w:val="005312DB"/>
    <w:rsid w:val="00531516"/>
    <w:rsid w:val="00532467"/>
    <w:rsid w:val="0053523E"/>
    <w:rsid w:val="00537FD6"/>
    <w:rsid w:val="00553F3F"/>
    <w:rsid w:val="00555ECD"/>
    <w:rsid w:val="005637A2"/>
    <w:rsid w:val="00564A4D"/>
    <w:rsid w:val="0056588A"/>
    <w:rsid w:val="00567BA5"/>
    <w:rsid w:val="00571B35"/>
    <w:rsid w:val="00571D57"/>
    <w:rsid w:val="00577464"/>
    <w:rsid w:val="00577A09"/>
    <w:rsid w:val="005829C2"/>
    <w:rsid w:val="00584D8F"/>
    <w:rsid w:val="00586819"/>
    <w:rsid w:val="0059704C"/>
    <w:rsid w:val="005A404D"/>
    <w:rsid w:val="005A68D4"/>
    <w:rsid w:val="005A7BB1"/>
    <w:rsid w:val="005B1E3C"/>
    <w:rsid w:val="005B3FB7"/>
    <w:rsid w:val="005B3FD2"/>
    <w:rsid w:val="005B704A"/>
    <w:rsid w:val="005C0A7F"/>
    <w:rsid w:val="005C26CC"/>
    <w:rsid w:val="005C3C41"/>
    <w:rsid w:val="005C3F2A"/>
    <w:rsid w:val="005C4C9C"/>
    <w:rsid w:val="005D0FC2"/>
    <w:rsid w:val="005D2BBF"/>
    <w:rsid w:val="005D6F93"/>
    <w:rsid w:val="005D7BA2"/>
    <w:rsid w:val="005E21C8"/>
    <w:rsid w:val="005E36C2"/>
    <w:rsid w:val="006007DE"/>
    <w:rsid w:val="00601638"/>
    <w:rsid w:val="00601A03"/>
    <w:rsid w:val="00610EF9"/>
    <w:rsid w:val="00612F4F"/>
    <w:rsid w:val="00612F9F"/>
    <w:rsid w:val="00615C6B"/>
    <w:rsid w:val="00621DCE"/>
    <w:rsid w:val="00626723"/>
    <w:rsid w:val="006273D5"/>
    <w:rsid w:val="00632D6D"/>
    <w:rsid w:val="00642C3E"/>
    <w:rsid w:val="00646B82"/>
    <w:rsid w:val="00651C3A"/>
    <w:rsid w:val="00651CB2"/>
    <w:rsid w:val="006560CA"/>
    <w:rsid w:val="0066104A"/>
    <w:rsid w:val="00663DAD"/>
    <w:rsid w:val="00665649"/>
    <w:rsid w:val="006672AA"/>
    <w:rsid w:val="00675E20"/>
    <w:rsid w:val="00676679"/>
    <w:rsid w:val="00683C89"/>
    <w:rsid w:val="00691D9A"/>
    <w:rsid w:val="006A3655"/>
    <w:rsid w:val="006A4B03"/>
    <w:rsid w:val="006A4F81"/>
    <w:rsid w:val="006B1770"/>
    <w:rsid w:val="006B2395"/>
    <w:rsid w:val="006B45A4"/>
    <w:rsid w:val="006B4CF9"/>
    <w:rsid w:val="006B785B"/>
    <w:rsid w:val="006B7AC8"/>
    <w:rsid w:val="006C1736"/>
    <w:rsid w:val="006C4798"/>
    <w:rsid w:val="006D550F"/>
    <w:rsid w:val="006E0574"/>
    <w:rsid w:val="006E19D2"/>
    <w:rsid w:val="006E7F05"/>
    <w:rsid w:val="006F3AD1"/>
    <w:rsid w:val="006F3FC8"/>
    <w:rsid w:val="0070011E"/>
    <w:rsid w:val="00701CAB"/>
    <w:rsid w:val="00707563"/>
    <w:rsid w:val="00707AB9"/>
    <w:rsid w:val="0072348C"/>
    <w:rsid w:val="00724A37"/>
    <w:rsid w:val="007303C3"/>
    <w:rsid w:val="00741C46"/>
    <w:rsid w:val="00741E23"/>
    <w:rsid w:val="007429BE"/>
    <w:rsid w:val="00743223"/>
    <w:rsid w:val="00746E01"/>
    <w:rsid w:val="00747EEA"/>
    <w:rsid w:val="00757364"/>
    <w:rsid w:val="00757BDF"/>
    <w:rsid w:val="007609D0"/>
    <w:rsid w:val="00763E5D"/>
    <w:rsid w:val="00767740"/>
    <w:rsid w:val="00777EE6"/>
    <w:rsid w:val="00782EEA"/>
    <w:rsid w:val="00784543"/>
    <w:rsid w:val="00795676"/>
    <w:rsid w:val="007B186E"/>
    <w:rsid w:val="007B1D31"/>
    <w:rsid w:val="007B2C72"/>
    <w:rsid w:val="007B4915"/>
    <w:rsid w:val="007C1C53"/>
    <w:rsid w:val="007C5DFE"/>
    <w:rsid w:val="007C74BB"/>
    <w:rsid w:val="007D456E"/>
    <w:rsid w:val="007E4904"/>
    <w:rsid w:val="007E4CB5"/>
    <w:rsid w:val="007E7AAE"/>
    <w:rsid w:val="007F066B"/>
    <w:rsid w:val="007F213A"/>
    <w:rsid w:val="007F75C4"/>
    <w:rsid w:val="008033C4"/>
    <w:rsid w:val="00806C88"/>
    <w:rsid w:val="0081034E"/>
    <w:rsid w:val="00810FBE"/>
    <w:rsid w:val="00812C5F"/>
    <w:rsid w:val="008145B9"/>
    <w:rsid w:val="008221F2"/>
    <w:rsid w:val="00823DD2"/>
    <w:rsid w:val="0082444F"/>
    <w:rsid w:val="00825985"/>
    <w:rsid w:val="00831EE1"/>
    <w:rsid w:val="008344F6"/>
    <w:rsid w:val="0083510F"/>
    <w:rsid w:val="0083704E"/>
    <w:rsid w:val="008405E9"/>
    <w:rsid w:val="008408C5"/>
    <w:rsid w:val="00844703"/>
    <w:rsid w:val="00851209"/>
    <w:rsid w:val="0085722A"/>
    <w:rsid w:val="00864B35"/>
    <w:rsid w:val="00866D0A"/>
    <w:rsid w:val="00882481"/>
    <w:rsid w:val="008837AC"/>
    <w:rsid w:val="008A439C"/>
    <w:rsid w:val="008A587D"/>
    <w:rsid w:val="008B35CD"/>
    <w:rsid w:val="008B5FCC"/>
    <w:rsid w:val="008B7544"/>
    <w:rsid w:val="008C3374"/>
    <w:rsid w:val="008C5486"/>
    <w:rsid w:val="008C708B"/>
    <w:rsid w:val="008D1661"/>
    <w:rsid w:val="008D22BE"/>
    <w:rsid w:val="008D6800"/>
    <w:rsid w:val="008E7031"/>
    <w:rsid w:val="008E77DE"/>
    <w:rsid w:val="008F07A3"/>
    <w:rsid w:val="008F34DD"/>
    <w:rsid w:val="008F3B5D"/>
    <w:rsid w:val="009001B6"/>
    <w:rsid w:val="00900E1B"/>
    <w:rsid w:val="00901C3C"/>
    <w:rsid w:val="009233EE"/>
    <w:rsid w:val="00923D4B"/>
    <w:rsid w:val="009272AD"/>
    <w:rsid w:val="009277DC"/>
    <w:rsid w:val="00930028"/>
    <w:rsid w:val="00932CC1"/>
    <w:rsid w:val="00934F2A"/>
    <w:rsid w:val="009430FC"/>
    <w:rsid w:val="009460AA"/>
    <w:rsid w:val="00951978"/>
    <w:rsid w:val="00952136"/>
    <w:rsid w:val="0095635C"/>
    <w:rsid w:val="00961A4A"/>
    <w:rsid w:val="009661DE"/>
    <w:rsid w:val="00983800"/>
    <w:rsid w:val="00983C25"/>
    <w:rsid w:val="009847CB"/>
    <w:rsid w:val="009856B7"/>
    <w:rsid w:val="00985C86"/>
    <w:rsid w:val="00987821"/>
    <w:rsid w:val="00992D82"/>
    <w:rsid w:val="009A5113"/>
    <w:rsid w:val="009A5FC3"/>
    <w:rsid w:val="009B6F84"/>
    <w:rsid w:val="009B74B0"/>
    <w:rsid w:val="009D013F"/>
    <w:rsid w:val="009D3906"/>
    <w:rsid w:val="009D6B46"/>
    <w:rsid w:val="009F4940"/>
    <w:rsid w:val="009F4DF2"/>
    <w:rsid w:val="009F5BA1"/>
    <w:rsid w:val="00A02A88"/>
    <w:rsid w:val="00A0562E"/>
    <w:rsid w:val="00A06085"/>
    <w:rsid w:val="00A0726D"/>
    <w:rsid w:val="00A21370"/>
    <w:rsid w:val="00A2697E"/>
    <w:rsid w:val="00A27E31"/>
    <w:rsid w:val="00A32FBB"/>
    <w:rsid w:val="00A428EE"/>
    <w:rsid w:val="00A4478A"/>
    <w:rsid w:val="00A44852"/>
    <w:rsid w:val="00A4650A"/>
    <w:rsid w:val="00A50502"/>
    <w:rsid w:val="00A57D04"/>
    <w:rsid w:val="00A60A26"/>
    <w:rsid w:val="00A61598"/>
    <w:rsid w:val="00A8299C"/>
    <w:rsid w:val="00A83186"/>
    <w:rsid w:val="00A84A99"/>
    <w:rsid w:val="00A84F46"/>
    <w:rsid w:val="00A871F4"/>
    <w:rsid w:val="00A9318B"/>
    <w:rsid w:val="00AA0E52"/>
    <w:rsid w:val="00AB5730"/>
    <w:rsid w:val="00AC1B2C"/>
    <w:rsid w:val="00AC3264"/>
    <w:rsid w:val="00AC3AAC"/>
    <w:rsid w:val="00AD3CA6"/>
    <w:rsid w:val="00AE1B85"/>
    <w:rsid w:val="00AE1BF1"/>
    <w:rsid w:val="00AF0DD2"/>
    <w:rsid w:val="00B0209D"/>
    <w:rsid w:val="00B07CEA"/>
    <w:rsid w:val="00B13048"/>
    <w:rsid w:val="00B1716D"/>
    <w:rsid w:val="00B17A1D"/>
    <w:rsid w:val="00B207A0"/>
    <w:rsid w:val="00B31A5A"/>
    <w:rsid w:val="00B514DD"/>
    <w:rsid w:val="00B517D7"/>
    <w:rsid w:val="00B51EA1"/>
    <w:rsid w:val="00B51F3F"/>
    <w:rsid w:val="00B52AF0"/>
    <w:rsid w:val="00B543E1"/>
    <w:rsid w:val="00B561BD"/>
    <w:rsid w:val="00B56E03"/>
    <w:rsid w:val="00B575FC"/>
    <w:rsid w:val="00B61EDF"/>
    <w:rsid w:val="00B622CB"/>
    <w:rsid w:val="00B74FCA"/>
    <w:rsid w:val="00B757A6"/>
    <w:rsid w:val="00B75CEF"/>
    <w:rsid w:val="00B8080B"/>
    <w:rsid w:val="00B82223"/>
    <w:rsid w:val="00B87BA5"/>
    <w:rsid w:val="00B87C39"/>
    <w:rsid w:val="00B9562D"/>
    <w:rsid w:val="00BA4665"/>
    <w:rsid w:val="00BA4E96"/>
    <w:rsid w:val="00BB2FB2"/>
    <w:rsid w:val="00BB3304"/>
    <w:rsid w:val="00BB3FD7"/>
    <w:rsid w:val="00BB7528"/>
    <w:rsid w:val="00BC3879"/>
    <w:rsid w:val="00BD310B"/>
    <w:rsid w:val="00BD3446"/>
    <w:rsid w:val="00BE1F1B"/>
    <w:rsid w:val="00BE47B5"/>
    <w:rsid w:val="00C04223"/>
    <w:rsid w:val="00C23FB0"/>
    <w:rsid w:val="00C25FA6"/>
    <w:rsid w:val="00C42ACA"/>
    <w:rsid w:val="00C43177"/>
    <w:rsid w:val="00C538A9"/>
    <w:rsid w:val="00C53B5A"/>
    <w:rsid w:val="00C54F5A"/>
    <w:rsid w:val="00C569B4"/>
    <w:rsid w:val="00C56A3E"/>
    <w:rsid w:val="00C67A92"/>
    <w:rsid w:val="00C7497E"/>
    <w:rsid w:val="00C84560"/>
    <w:rsid w:val="00C84F52"/>
    <w:rsid w:val="00C85327"/>
    <w:rsid w:val="00C86679"/>
    <w:rsid w:val="00C908B3"/>
    <w:rsid w:val="00C932F5"/>
    <w:rsid w:val="00C9473E"/>
    <w:rsid w:val="00CA489E"/>
    <w:rsid w:val="00CA52A2"/>
    <w:rsid w:val="00CA5C7D"/>
    <w:rsid w:val="00CB0279"/>
    <w:rsid w:val="00CB666B"/>
    <w:rsid w:val="00CC7F1D"/>
    <w:rsid w:val="00CE484B"/>
    <w:rsid w:val="00CF0DEE"/>
    <w:rsid w:val="00CF2C05"/>
    <w:rsid w:val="00CF3A06"/>
    <w:rsid w:val="00CF5524"/>
    <w:rsid w:val="00CF6EDE"/>
    <w:rsid w:val="00D006AE"/>
    <w:rsid w:val="00D01CF0"/>
    <w:rsid w:val="00D01EFD"/>
    <w:rsid w:val="00D0442A"/>
    <w:rsid w:val="00D17683"/>
    <w:rsid w:val="00D17EEC"/>
    <w:rsid w:val="00D37B24"/>
    <w:rsid w:val="00D45694"/>
    <w:rsid w:val="00D55EA8"/>
    <w:rsid w:val="00D61388"/>
    <w:rsid w:val="00D61A54"/>
    <w:rsid w:val="00D64DEA"/>
    <w:rsid w:val="00D7168E"/>
    <w:rsid w:val="00D71E57"/>
    <w:rsid w:val="00D75AA2"/>
    <w:rsid w:val="00D80893"/>
    <w:rsid w:val="00D84854"/>
    <w:rsid w:val="00D848B4"/>
    <w:rsid w:val="00D8596F"/>
    <w:rsid w:val="00D92CF1"/>
    <w:rsid w:val="00D92D38"/>
    <w:rsid w:val="00D950F5"/>
    <w:rsid w:val="00DA4752"/>
    <w:rsid w:val="00DA61F3"/>
    <w:rsid w:val="00DA6B93"/>
    <w:rsid w:val="00DB0F93"/>
    <w:rsid w:val="00DB1A67"/>
    <w:rsid w:val="00DB5074"/>
    <w:rsid w:val="00DB5B21"/>
    <w:rsid w:val="00DC7981"/>
    <w:rsid w:val="00DE1093"/>
    <w:rsid w:val="00DE4EFA"/>
    <w:rsid w:val="00DE5520"/>
    <w:rsid w:val="00DE563D"/>
    <w:rsid w:val="00DE5E2E"/>
    <w:rsid w:val="00DE772C"/>
    <w:rsid w:val="00DF312A"/>
    <w:rsid w:val="00E04818"/>
    <w:rsid w:val="00E06442"/>
    <w:rsid w:val="00E06BCF"/>
    <w:rsid w:val="00E1001C"/>
    <w:rsid w:val="00E23993"/>
    <w:rsid w:val="00E257D6"/>
    <w:rsid w:val="00E25B8C"/>
    <w:rsid w:val="00E42B41"/>
    <w:rsid w:val="00E50476"/>
    <w:rsid w:val="00E51D65"/>
    <w:rsid w:val="00E6200B"/>
    <w:rsid w:val="00E65C85"/>
    <w:rsid w:val="00E66199"/>
    <w:rsid w:val="00E711C7"/>
    <w:rsid w:val="00E755EC"/>
    <w:rsid w:val="00E7624D"/>
    <w:rsid w:val="00E8280E"/>
    <w:rsid w:val="00E9266E"/>
    <w:rsid w:val="00EA3815"/>
    <w:rsid w:val="00EA3D42"/>
    <w:rsid w:val="00EA6B1B"/>
    <w:rsid w:val="00EB5BC8"/>
    <w:rsid w:val="00EB606C"/>
    <w:rsid w:val="00EC04F1"/>
    <w:rsid w:val="00ED0EC2"/>
    <w:rsid w:val="00ED7323"/>
    <w:rsid w:val="00EE28F3"/>
    <w:rsid w:val="00EE50D1"/>
    <w:rsid w:val="00EE77FA"/>
    <w:rsid w:val="00EE7B95"/>
    <w:rsid w:val="00EF5110"/>
    <w:rsid w:val="00F0334E"/>
    <w:rsid w:val="00F10411"/>
    <w:rsid w:val="00F12A3F"/>
    <w:rsid w:val="00F1309F"/>
    <w:rsid w:val="00F15882"/>
    <w:rsid w:val="00F171E0"/>
    <w:rsid w:val="00F20BD3"/>
    <w:rsid w:val="00F23919"/>
    <w:rsid w:val="00F2526A"/>
    <w:rsid w:val="00F373A5"/>
    <w:rsid w:val="00F47559"/>
    <w:rsid w:val="00F61176"/>
    <w:rsid w:val="00F64C7B"/>
    <w:rsid w:val="00F65B25"/>
    <w:rsid w:val="00F676DD"/>
    <w:rsid w:val="00F71667"/>
    <w:rsid w:val="00F75A26"/>
    <w:rsid w:val="00F76706"/>
    <w:rsid w:val="00F768C8"/>
    <w:rsid w:val="00F81B8D"/>
    <w:rsid w:val="00F83FAD"/>
    <w:rsid w:val="00F8653A"/>
    <w:rsid w:val="00F871CA"/>
    <w:rsid w:val="00F92349"/>
    <w:rsid w:val="00F952A0"/>
    <w:rsid w:val="00F974C1"/>
    <w:rsid w:val="00FA3C7F"/>
    <w:rsid w:val="00FA6C2E"/>
    <w:rsid w:val="00FB355C"/>
    <w:rsid w:val="00FB4402"/>
    <w:rsid w:val="00FB60FE"/>
    <w:rsid w:val="00FB74E2"/>
    <w:rsid w:val="00FC5348"/>
    <w:rsid w:val="00FC71DC"/>
    <w:rsid w:val="00FD2ED2"/>
    <w:rsid w:val="00FD5614"/>
    <w:rsid w:val="00FD5E78"/>
    <w:rsid w:val="00FD6ADD"/>
    <w:rsid w:val="00FD789D"/>
    <w:rsid w:val="00FE0BE1"/>
    <w:rsid w:val="00FE1DE9"/>
    <w:rsid w:val="00FE36AF"/>
    <w:rsid w:val="00FE39C2"/>
    <w:rsid w:val="00FE3C32"/>
    <w:rsid w:val="00FE64AE"/>
    <w:rsid w:val="00FF3C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98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uiPriority="2" w:qFormat="1"/>
    <w:lsdException w:name="header" w:uiPriority="0" w:qFormat="1"/>
    <w:lsdException w:name="footer" w:qFormat="1"/>
    <w:lsdException w:name="caption" w:uiPriority="0" w:qFormat="1"/>
    <w:lsdException w:name="page number" w:uiPriority="0"/>
    <w:lsdException w:name="List" w:uiPriority="0" w:qFormat="1"/>
    <w:lsdException w:name="List Bullet" w:uiPriority="0"/>
    <w:lsdException w:name="List Number" w:uiPriority="0" w:qFormat="1"/>
    <w:lsdException w:name="List Bullet 2"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qFormat/>
    <w:rsid w:val="00CB0279"/>
    <w:pPr>
      <w:numPr>
        <w:numId w:val="27"/>
      </w:numPr>
      <w:tabs>
        <w:tab w:val="clear" w:pos="680"/>
        <w:tab w:val="left" w:pos="1021"/>
      </w:tabs>
      <w:outlineLvl w:val="7"/>
    </w:pPr>
  </w:style>
  <w:style w:type="paragraph" w:styleId="Heading9">
    <w:name w:val="heading 9"/>
    <w:basedOn w:val="Heading3"/>
    <w:next w:val="Normal"/>
    <w:link w:val="Heading9Char"/>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link w:val="ListParagraphChar"/>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2"/>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 w:type="character" w:customStyle="1" w:styleId="ListParagraphChar">
    <w:name w:val="List Paragraph Char"/>
    <w:link w:val="ListParagraph"/>
    <w:uiPriority w:val="34"/>
    <w:rsid w:val="006E7F05"/>
    <w:rPr>
      <w:rFonts w:ascii="Arial" w:hAnsi="Arial"/>
    </w:rPr>
  </w:style>
  <w:style w:type="paragraph" w:customStyle="1" w:styleId="Bulletpoint">
    <w:name w:val="Bullet point"/>
    <w:basedOn w:val="ListBullet"/>
    <w:qFormat/>
    <w:rsid w:val="0053523E"/>
    <w:pPr>
      <w:numPr>
        <w:numId w:val="0"/>
      </w:numPr>
      <w:spacing w:line="240" w:lineRule="auto"/>
      <w:ind w:left="360" w:hanging="360"/>
    </w:pPr>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uiPriority="2" w:qFormat="1"/>
    <w:lsdException w:name="header" w:uiPriority="0" w:qFormat="1"/>
    <w:lsdException w:name="footer" w:qFormat="1"/>
    <w:lsdException w:name="caption" w:uiPriority="0" w:qFormat="1"/>
    <w:lsdException w:name="page number" w:uiPriority="0"/>
    <w:lsdException w:name="List" w:uiPriority="0" w:qFormat="1"/>
    <w:lsdException w:name="List Bullet" w:uiPriority="0"/>
    <w:lsdException w:name="List Number" w:uiPriority="0" w:qFormat="1"/>
    <w:lsdException w:name="List Bullet 2"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qFormat/>
    <w:rsid w:val="00CB0279"/>
    <w:pPr>
      <w:numPr>
        <w:numId w:val="27"/>
      </w:numPr>
      <w:tabs>
        <w:tab w:val="clear" w:pos="680"/>
        <w:tab w:val="left" w:pos="1021"/>
      </w:tabs>
      <w:outlineLvl w:val="7"/>
    </w:pPr>
  </w:style>
  <w:style w:type="paragraph" w:styleId="Heading9">
    <w:name w:val="heading 9"/>
    <w:basedOn w:val="Heading3"/>
    <w:next w:val="Normal"/>
    <w:link w:val="Heading9Char"/>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link w:val="ListParagraphChar"/>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2"/>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 w:type="character" w:customStyle="1" w:styleId="ListParagraphChar">
    <w:name w:val="List Paragraph Char"/>
    <w:link w:val="ListParagraph"/>
    <w:uiPriority w:val="34"/>
    <w:rsid w:val="006E7F05"/>
    <w:rPr>
      <w:rFonts w:ascii="Arial" w:hAnsi="Arial"/>
    </w:rPr>
  </w:style>
  <w:style w:type="paragraph" w:customStyle="1" w:styleId="Bulletpoint">
    <w:name w:val="Bullet point"/>
    <w:basedOn w:val="ListBullet"/>
    <w:qFormat/>
    <w:rsid w:val="0053523E"/>
    <w:pPr>
      <w:numPr>
        <w:numId w:val="0"/>
      </w:numPr>
      <w:spacing w:line="240" w:lineRule="auto"/>
      <w:ind w:left="360" w:hanging="360"/>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721515850">
      <w:bodyDiv w:val="1"/>
      <w:marLeft w:val="0"/>
      <w:marRight w:val="0"/>
      <w:marTop w:val="0"/>
      <w:marBottom w:val="0"/>
      <w:divBdr>
        <w:top w:val="none" w:sz="0" w:space="0" w:color="auto"/>
        <w:left w:val="none" w:sz="0" w:space="0" w:color="auto"/>
        <w:bottom w:val="none" w:sz="0" w:space="0" w:color="auto"/>
        <w:right w:val="none" w:sz="0" w:space="0" w:color="auto"/>
      </w:divBdr>
    </w:div>
    <w:div w:id="745301683">
      <w:bodyDiv w:val="1"/>
      <w:marLeft w:val="0"/>
      <w:marRight w:val="0"/>
      <w:marTop w:val="0"/>
      <w:marBottom w:val="0"/>
      <w:divBdr>
        <w:top w:val="none" w:sz="0" w:space="0" w:color="auto"/>
        <w:left w:val="none" w:sz="0" w:space="0" w:color="auto"/>
        <w:bottom w:val="none" w:sz="0" w:space="0" w:color="auto"/>
        <w:right w:val="none" w:sz="0" w:space="0" w:color="auto"/>
      </w:divBdr>
    </w:div>
    <w:div w:id="799342679">
      <w:bodyDiv w:val="1"/>
      <w:marLeft w:val="0"/>
      <w:marRight w:val="0"/>
      <w:marTop w:val="0"/>
      <w:marBottom w:val="0"/>
      <w:divBdr>
        <w:top w:val="none" w:sz="0" w:space="0" w:color="auto"/>
        <w:left w:val="none" w:sz="0" w:space="0" w:color="auto"/>
        <w:bottom w:val="none" w:sz="0" w:space="0" w:color="auto"/>
        <w:right w:val="none" w:sz="0" w:space="0" w:color="auto"/>
      </w:divBdr>
    </w:div>
    <w:div w:id="817111214">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315404533">
      <w:bodyDiv w:val="1"/>
      <w:marLeft w:val="0"/>
      <w:marRight w:val="0"/>
      <w:marTop w:val="0"/>
      <w:marBottom w:val="0"/>
      <w:divBdr>
        <w:top w:val="none" w:sz="0" w:space="0" w:color="auto"/>
        <w:left w:val="none" w:sz="0" w:space="0" w:color="auto"/>
        <w:bottom w:val="none" w:sz="0" w:space="0" w:color="auto"/>
        <w:right w:val="none" w:sz="0" w:space="0" w:color="auto"/>
      </w:divBdr>
    </w:div>
    <w:div w:id="1449083915">
      <w:bodyDiv w:val="1"/>
      <w:marLeft w:val="0"/>
      <w:marRight w:val="0"/>
      <w:marTop w:val="0"/>
      <w:marBottom w:val="0"/>
      <w:divBdr>
        <w:top w:val="none" w:sz="0" w:space="0" w:color="auto"/>
        <w:left w:val="none" w:sz="0" w:space="0" w:color="auto"/>
        <w:bottom w:val="none" w:sz="0" w:space="0" w:color="auto"/>
        <w:right w:val="none" w:sz="0" w:space="0" w:color="auto"/>
      </w:divBdr>
    </w:div>
    <w:div w:id="1724450078">
      <w:bodyDiv w:val="1"/>
      <w:marLeft w:val="0"/>
      <w:marRight w:val="0"/>
      <w:marTop w:val="0"/>
      <w:marBottom w:val="0"/>
      <w:divBdr>
        <w:top w:val="none" w:sz="0" w:space="0" w:color="auto"/>
        <w:left w:val="none" w:sz="0" w:space="0" w:color="auto"/>
        <w:bottom w:val="none" w:sz="0" w:space="0" w:color="auto"/>
        <w:right w:val="none" w:sz="0" w:space="0" w:color="auto"/>
      </w:divBdr>
    </w:div>
    <w:div w:id="1913196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5" Type="http://schemas.microsoft.com/office/2007/relationships/stylesWithEffects" Target="stylesWithEffect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061089575497028E-2"/>
          <c:y val="2.2323771740679503E-2"/>
          <c:w val="0.87815018242871334"/>
          <c:h val="0.78502483186976124"/>
        </c:manualLayout>
      </c:layout>
      <c:lineChart>
        <c:grouping val="standard"/>
        <c:varyColors val="0"/>
        <c:ser>
          <c:idx val="1"/>
          <c:order val="0"/>
          <c:tx>
            <c:strRef>
              <c:f>'data for graph'!$C$6</c:f>
              <c:strCache>
                <c:ptCount val="1"/>
                <c:pt idx="0">
                  <c:v>New Estates – AER</c:v>
                </c:pt>
              </c:strCache>
            </c:strRef>
          </c:tx>
          <c:spPr>
            <a:ln>
              <a:solidFill>
                <a:schemeClr val="accent1"/>
              </a:solidFill>
              <a:prstDash val="sysDot"/>
            </a:ln>
          </c:spPr>
          <c:marker>
            <c:spPr>
              <a:solidFill>
                <a:schemeClr val="accent1"/>
              </a:solidFill>
              <a:ln>
                <a:solidFill>
                  <a:schemeClr val="accent1"/>
                </a:solidFill>
              </a:ln>
            </c:spPr>
          </c:marker>
          <c:cat>
            <c:numRef>
              <c:f>'data for graph'!$D$5:$N$5</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'data for graph'!$D$6:$N$6</c:f>
              <c:numCache>
                <c:formatCode>_-* #,##0_-;\-* #,##0_-;_-* "-"??_-;_-@_-</c:formatCode>
                <c:ptCount val="11"/>
                <c:pt idx="0">
                  <c:v>1972</c:v>
                </c:pt>
                <c:pt idx="1">
                  <c:v>1691</c:v>
                </c:pt>
                <c:pt idx="2">
                  <c:v>1931</c:v>
                </c:pt>
                <c:pt idx="3">
                  <c:v>1642</c:v>
                </c:pt>
                <c:pt idx="4">
                  <c:v>1611.4212765957445</c:v>
                </c:pt>
                <c:pt idx="5">
                  <c:v>1826.9617021276595</c:v>
                </c:pt>
                <c:pt idx="6">
                  <c:v>2073.2936170212765</c:v>
                </c:pt>
                <c:pt idx="7">
                  <c:v>1847.4893617021276</c:v>
                </c:pt>
                <c:pt idx="8">
                  <c:v>1796.1702127659573</c:v>
                </c:pt>
                <c:pt idx="9">
                  <c:v>1796.1702127659573</c:v>
                </c:pt>
                <c:pt idx="10">
                  <c:v>1796.1702127659573</c:v>
                </c:pt>
              </c:numCache>
            </c:numRef>
          </c:val>
          <c:smooth val="0"/>
        </c:ser>
        <c:ser>
          <c:idx val="2"/>
          <c:order val="1"/>
          <c:tx>
            <c:strRef>
              <c:f>'data for graph'!$C$7</c:f>
              <c:strCache>
                <c:ptCount val="1"/>
                <c:pt idx="0">
                  <c:v>New MD/HR dwellings – AER</c:v>
                </c:pt>
              </c:strCache>
            </c:strRef>
          </c:tx>
          <c:spPr>
            <a:ln>
              <a:solidFill>
                <a:schemeClr val="accent1"/>
              </a:solidFill>
              <a:prstDash val="sysDot"/>
            </a:ln>
          </c:spPr>
          <c:marker>
            <c:spPr>
              <a:solidFill>
                <a:schemeClr val="accent1"/>
              </a:solidFill>
            </c:spPr>
          </c:marker>
          <c:cat>
            <c:numRef>
              <c:f>'data for graph'!$D$5:$N$5</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'data for graph'!$D$7:$N$7</c:f>
              <c:numCache>
                <c:formatCode>_-* #,##0_-;\-* #,##0_-;_-* "-"??_-;_-@_-</c:formatCode>
                <c:ptCount val="11"/>
                <c:pt idx="0">
                  <c:v>1340</c:v>
                </c:pt>
                <c:pt idx="1">
                  <c:v>553</c:v>
                </c:pt>
                <c:pt idx="2">
                  <c:v>892</c:v>
                </c:pt>
                <c:pt idx="3">
                  <c:v>1360</c:v>
                </c:pt>
                <c:pt idx="4">
                  <c:v>633.21334503950834</c:v>
                </c:pt>
                <c:pt idx="5">
                  <c:v>527.67778753292362</c:v>
                </c:pt>
                <c:pt idx="6">
                  <c:v>538.59525899912205</c:v>
                </c:pt>
                <c:pt idx="7">
                  <c:v>611.37840210711158</c:v>
                </c:pt>
                <c:pt idx="8">
                  <c:v>636.85250219490786</c:v>
                </c:pt>
                <c:pt idx="9">
                  <c:v>636.85250219490786</c:v>
                </c:pt>
                <c:pt idx="10">
                  <c:v>636.85250219490786</c:v>
                </c:pt>
              </c:numCache>
            </c:numRef>
          </c:val>
          <c:smooth val="0"/>
        </c:ser>
        <c:ser>
          <c:idx val="3"/>
          <c:order val="2"/>
          <c:tx>
            <c:strRef>
              <c:f>'data for graph'!$C$8</c:f>
              <c:strCache>
                <c:ptCount val="1"/>
                <c:pt idx="0">
                  <c:v>Total new dwellings – AER</c:v>
                </c:pt>
              </c:strCache>
            </c:strRef>
          </c:tx>
          <c:spPr>
            <a:ln>
              <a:solidFill>
                <a:schemeClr val="accent1"/>
              </a:solidFill>
              <a:prstDash val="sysDot"/>
            </a:ln>
          </c:spPr>
          <c:marker>
            <c:symbol val="circle"/>
            <c:size val="7"/>
            <c:spPr>
              <a:solidFill>
                <a:schemeClr val="accent1"/>
              </a:solidFill>
            </c:spPr>
          </c:marker>
          <c:cat>
            <c:numRef>
              <c:f>'data for graph'!$D$5:$N$5</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'data for graph'!$D$8:$N$8</c:f>
              <c:numCache>
                <c:formatCode>_-* #,##0_-;\-* #,##0_-;_-* "-"??_-;_-@_-</c:formatCode>
                <c:ptCount val="11"/>
                <c:pt idx="0">
                  <c:v>3312</c:v>
                </c:pt>
                <c:pt idx="1">
                  <c:v>2244</c:v>
                </c:pt>
                <c:pt idx="2">
                  <c:v>2823</c:v>
                </c:pt>
                <c:pt idx="3">
                  <c:v>3002</c:v>
                </c:pt>
                <c:pt idx="4">
                  <c:v>2244.6346216352531</c:v>
                </c:pt>
                <c:pt idx="5">
                  <c:v>2354.639489660583</c:v>
                </c:pt>
                <c:pt idx="6">
                  <c:v>2611.8888760203986</c:v>
                </c:pt>
                <c:pt idx="7">
                  <c:v>2458.867763809239</c:v>
                </c:pt>
                <c:pt idx="8">
                  <c:v>2433.0227149608654</c:v>
                </c:pt>
                <c:pt idx="9">
                  <c:v>2433.0227149608654</c:v>
                </c:pt>
                <c:pt idx="10">
                  <c:v>2433.0227149608654</c:v>
                </c:pt>
              </c:numCache>
            </c:numRef>
          </c:val>
          <c:smooth val="0"/>
        </c:ser>
        <c:ser>
          <c:idx val="5"/>
          <c:order val="3"/>
          <c:tx>
            <c:strRef>
              <c:f>'data for graph'!$C$10</c:f>
              <c:strCache>
                <c:ptCount val="1"/>
                <c:pt idx="0">
                  <c:v>New Estates – ActewAGL</c:v>
                </c:pt>
              </c:strCache>
            </c:strRef>
          </c:tx>
          <c:spPr>
            <a:ln>
              <a:solidFill>
                <a:schemeClr val="accent2"/>
              </a:solidFill>
            </a:ln>
          </c:spPr>
          <c:marker>
            <c:symbol val="square"/>
            <c:size val="7"/>
            <c:spPr>
              <a:solidFill>
                <a:schemeClr val="accent2"/>
              </a:solidFill>
            </c:spPr>
          </c:marker>
          <c:cat>
            <c:numRef>
              <c:f>'data for graph'!$D$5:$N$5</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'data for graph'!$D$10:$N$10</c:f>
              <c:numCache>
                <c:formatCode>General</c:formatCode>
                <c:ptCount val="11"/>
                <c:pt idx="3" formatCode="_-* #,##0_-;\-* #,##0_-;_-* &quot;-&quot;??_-;_-@_-">
                  <c:v>1642</c:v>
                </c:pt>
                <c:pt idx="4" formatCode="_-* #,##0_-;\-* #,##0_-;_-* &quot;-&quot;??_-;_-@_-">
                  <c:v>1730.4231630144234</c:v>
                </c:pt>
                <c:pt idx="5" formatCode="_-* #,##0_-;\-* #,##0_-;_-* &quot;-&quot;??_-;_-@_-">
                  <c:v>1855.5139940757069</c:v>
                </c:pt>
                <c:pt idx="6" formatCode="_-* #,##0_-;\-* #,##0_-;_-* &quot;-&quot;??_-;_-@_-">
                  <c:v>2105.6956561982743</c:v>
                </c:pt>
                <c:pt idx="7" formatCode="_-* #,##0_-;\-* #,##0_-;_-* &quot;-&quot;??_-;_-@_-">
                  <c:v>1876.3624659192544</c:v>
                </c:pt>
                <c:pt idx="8" formatCode="_-* #,##0_-;\-* #,##0_-;_-* &quot;-&quot;??_-;_-@_-">
                  <c:v>1876.3624659192544</c:v>
                </c:pt>
                <c:pt idx="9" formatCode="_-* #,##0_-;\-* #,##0_-;_-* &quot;-&quot;??_-;_-@_-">
                  <c:v>1876.3624659192544</c:v>
                </c:pt>
                <c:pt idx="10" formatCode="_-* #,##0_-;\-* #,##0_-;_-* &quot;-&quot;??_-;_-@_-">
                  <c:v>1876.3624659192544</c:v>
                </c:pt>
              </c:numCache>
            </c:numRef>
          </c:val>
          <c:smooth val="0"/>
        </c:ser>
        <c:ser>
          <c:idx val="6"/>
          <c:order val="4"/>
          <c:tx>
            <c:strRef>
              <c:f>'data for graph'!$C$11</c:f>
              <c:strCache>
                <c:ptCount val="1"/>
                <c:pt idx="0">
                  <c:v>New MD/HR dwellings – ActewAGL</c:v>
                </c:pt>
              </c:strCache>
            </c:strRef>
          </c:tx>
          <c:spPr>
            <a:ln>
              <a:solidFill>
                <a:schemeClr val="accent2"/>
              </a:solidFill>
            </a:ln>
          </c:spPr>
          <c:marker>
            <c:symbol val="triangle"/>
            <c:size val="7"/>
            <c:spPr>
              <a:solidFill>
                <a:schemeClr val="accent2"/>
              </a:solidFill>
            </c:spPr>
          </c:marker>
          <c:cat>
            <c:numRef>
              <c:f>'data for graph'!$D$5:$N$5</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'data for graph'!$D$11:$N$11</c:f>
              <c:numCache>
                <c:formatCode>General</c:formatCode>
                <c:ptCount val="11"/>
                <c:pt idx="3" formatCode="_-* #,##0_-;\-* #,##0_-;_-* &quot;-&quot;??_-;_-@_-">
                  <c:v>1360</c:v>
                </c:pt>
                <c:pt idx="4" formatCode="_-* #,##0_-;\-* #,##0_-;_-* &quot;-&quot;??_-;_-@_-">
                  <c:v>1959.7563532934432</c:v>
                </c:pt>
                <c:pt idx="5" formatCode="_-* #,##0_-;\-* #,##0_-;_-* &quot;-&quot;??_-;_-@_-">
                  <c:v>1511.5142086571771</c:v>
                </c:pt>
                <c:pt idx="6" formatCode="_-* #,##0_-;\-* #,##0_-;_-* &quot;-&quot;??_-;_-@_-">
                  <c:v>1542.7869164224978</c:v>
                </c:pt>
                <c:pt idx="7" formatCode="_-* #,##0_-;\-* #,##0_-;_-* &quot;-&quot;??_-;_-@_-">
                  <c:v>1751.2716348579709</c:v>
                </c:pt>
                <c:pt idx="8" formatCode="_-* #,##0_-;\-* #,##0_-;_-* &quot;-&quot;??_-;_-@_-">
                  <c:v>1751.2716348579709</c:v>
                </c:pt>
                <c:pt idx="9" formatCode="_-* #,##0_-;\-* #,##0_-;_-* &quot;-&quot;??_-;_-@_-">
                  <c:v>1751.2716348579709</c:v>
                </c:pt>
                <c:pt idx="10" formatCode="_-* #,##0_-;\-* #,##0_-;_-* &quot;-&quot;??_-;_-@_-">
                  <c:v>1751.2716348579709</c:v>
                </c:pt>
              </c:numCache>
            </c:numRef>
          </c:val>
          <c:smooth val="0"/>
        </c:ser>
        <c:ser>
          <c:idx val="7"/>
          <c:order val="5"/>
          <c:tx>
            <c:strRef>
              <c:f>'data for graph'!$C$12</c:f>
              <c:strCache>
                <c:ptCount val="1"/>
                <c:pt idx="0">
                  <c:v>Total new dwellings – ActewAGL</c:v>
                </c:pt>
              </c:strCache>
            </c:strRef>
          </c:tx>
          <c:spPr>
            <a:ln>
              <a:solidFill>
                <a:schemeClr val="accent2"/>
              </a:solidFill>
            </a:ln>
          </c:spPr>
          <c:marker>
            <c:symbol val="circle"/>
            <c:size val="7"/>
            <c:spPr>
              <a:solidFill>
                <a:schemeClr val="accent2"/>
              </a:solidFill>
              <a:ln w="9525"/>
            </c:spPr>
          </c:marker>
          <c:cat>
            <c:numRef>
              <c:f>'data for graph'!$D$5:$N$5</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'data for graph'!$D$12:$N$12</c:f>
              <c:numCache>
                <c:formatCode>General</c:formatCode>
                <c:ptCount val="11"/>
                <c:pt idx="3" formatCode="_-* #,##0_-;\-* #,##0_-;_-* &quot;-&quot;??_-;_-@_-">
                  <c:v>3002</c:v>
                </c:pt>
                <c:pt idx="4" formatCode="_-* #,##0_-;\-* #,##0_-;_-* &quot;-&quot;??_-;_-@_-">
                  <c:v>3690.1795163078668</c:v>
                </c:pt>
                <c:pt idx="5" formatCode="_-* #,##0_-;\-* #,##0_-;_-* &quot;-&quot;??_-;_-@_-">
                  <c:v>3367.028202732884</c:v>
                </c:pt>
                <c:pt idx="6" formatCode="_-* #,##0_-;\-* #,##0_-;_-* &quot;-&quot;??_-;_-@_-">
                  <c:v>3648.4825726207719</c:v>
                </c:pt>
                <c:pt idx="7" formatCode="_-* #,##0_-;\-* #,##0_-;_-* &quot;-&quot;??_-;_-@_-">
                  <c:v>3627.6341007772253</c:v>
                </c:pt>
                <c:pt idx="8" formatCode="_-* #,##0_-;\-* #,##0_-;_-* &quot;-&quot;??_-;_-@_-">
                  <c:v>3627.6341007772253</c:v>
                </c:pt>
                <c:pt idx="9" formatCode="_-* #,##0_-;\-* #,##0_-;_-* &quot;-&quot;??_-;_-@_-">
                  <c:v>3627.6341007772253</c:v>
                </c:pt>
                <c:pt idx="10" formatCode="_-* #,##0_-;\-* #,##0_-;_-* &quot;-&quot;??_-;_-@_-">
                  <c:v>3627.6341007772253</c:v>
                </c:pt>
              </c:numCache>
            </c:numRef>
          </c:val>
          <c:smooth val="0"/>
        </c:ser>
        <c:dLbls>
          <c:showLegendKey val="0"/>
          <c:showVal val="0"/>
          <c:showCatName val="0"/>
          <c:showSerName val="0"/>
          <c:showPercent val="0"/>
          <c:showBubbleSize val="0"/>
        </c:dLbls>
        <c:marker val="1"/>
        <c:smooth val="0"/>
        <c:axId val="173200128"/>
        <c:axId val="173202432"/>
      </c:lineChart>
      <c:catAx>
        <c:axId val="173200128"/>
        <c:scaling>
          <c:orientation val="minMax"/>
        </c:scaling>
        <c:delete val="0"/>
        <c:axPos val="b"/>
        <c:title>
          <c:tx>
            <c:rich>
              <a:bodyPr/>
              <a:lstStyle/>
              <a:p>
                <a:pPr>
                  <a:defRPr/>
                </a:pPr>
                <a:r>
                  <a:rPr lang="en-US"/>
                  <a:t>Year</a:t>
                </a:r>
              </a:p>
            </c:rich>
          </c:tx>
          <c:layout/>
          <c:overlay val="0"/>
        </c:title>
        <c:numFmt formatCode="General" sourceLinked="1"/>
        <c:majorTickMark val="out"/>
        <c:minorTickMark val="none"/>
        <c:tickLblPos val="nextTo"/>
        <c:crossAx val="173202432"/>
        <c:crosses val="autoZero"/>
        <c:auto val="1"/>
        <c:lblAlgn val="ctr"/>
        <c:lblOffset val="100"/>
        <c:noMultiLvlLbl val="0"/>
      </c:catAx>
      <c:valAx>
        <c:axId val="173202432"/>
        <c:scaling>
          <c:orientation val="minMax"/>
        </c:scaling>
        <c:delete val="0"/>
        <c:axPos val="l"/>
        <c:majorGridlines/>
        <c:title>
          <c:tx>
            <c:rich>
              <a:bodyPr rot="-5400000" vert="horz"/>
              <a:lstStyle/>
              <a:p>
                <a:pPr>
                  <a:defRPr/>
                </a:pPr>
                <a:r>
                  <a:rPr lang="en-US"/>
                  <a:t>connection numbers </a:t>
                </a:r>
              </a:p>
            </c:rich>
          </c:tx>
          <c:layout/>
          <c:overlay val="0"/>
        </c:title>
        <c:numFmt formatCode="_-* #,##0_-;\-* #,##0_-;_-* &quot;-&quot;??_-;_-@_-" sourceLinked="1"/>
        <c:majorTickMark val="out"/>
        <c:minorTickMark val="none"/>
        <c:tickLblPos val="nextTo"/>
        <c:crossAx val="173200128"/>
        <c:crosses val="autoZero"/>
        <c:crossBetween val="between"/>
      </c:valAx>
    </c:plotArea>
    <c:legend>
      <c:legendPos val="b"/>
      <c:layout>
        <c:manualLayout>
          <c:xMode val="edge"/>
          <c:yMode val="edge"/>
          <c:x val="1.9169405429544768E-2"/>
          <c:y val="0.89458296857485631"/>
          <c:w val="0.94926283861249372"/>
          <c:h val="0.10269145102891956"/>
        </c:manualLayout>
      </c:layout>
      <c:overlay val="0"/>
      <c:txPr>
        <a:bodyPr/>
        <a:lstStyle/>
        <a:p>
          <a:pPr>
            <a:defRPr sz="800"/>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CFA28F-078E-4185-856D-34014AA34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A62F4E3B</Template>
  <TotalTime>0</TotalTime>
  <Pages>21</Pages>
  <Words>4569</Words>
  <Characters>26044</Characters>
  <Application>Microsoft Office Word</Application>
  <DocSecurity>0</DocSecurity>
  <Lines>217</Lines>
  <Paragraphs>61</Paragraphs>
  <ScaleCrop>false</ScaleCrop>
  <Company/>
  <LinksUpToDate>false</LinksUpToDate>
  <CharactersWithSpaces>30552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2015-11-23T02:07:00Z</dcterms:created>
  <dcterms:modified xsi:type="dcterms:W3CDTF">2015-11-23T02:07:00Z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URI">
    <vt:lpwstr>8430101</vt:lpwstr>
  </property>
</Properties>
</file>