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F843F4B" wp14:editId="1F7CF5BE">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8616EC">
            <w:t>DRAFT</w:t>
          </w:r>
          <w:r w:rsidR="00DA4752">
            <w:t xml:space="preserve"> DECISION</w:t>
          </w:r>
        </w:p>
        <w:p w:rsidR="008616EC" w:rsidRDefault="00A06085" w:rsidP="008F07A3">
          <w:pPr>
            <w:pStyle w:val="ReportSubtitle"/>
          </w:pPr>
          <w:r>
            <w:t xml:space="preserve">ActewAGL </w:t>
          </w:r>
          <w:r w:rsidR="008616EC">
            <w:t>D</w:t>
          </w:r>
          <w:r w:rsidR="0070011E">
            <w:t>istribution</w:t>
          </w:r>
          <w:r w:rsidR="008616EC">
            <w:t xml:space="preserve"> </w:t>
          </w:r>
        </w:p>
        <w:p w:rsidR="00415F31" w:rsidRDefault="008616EC" w:rsidP="008F07A3">
          <w:pPr>
            <w:pStyle w:val="ReportSubtitle"/>
          </w:pPr>
          <w:r>
            <w:t>Access Arrang</w:t>
          </w:r>
          <w:r w:rsidR="00E834E1">
            <w:t>e</w:t>
          </w:r>
          <w:r>
            <w:t>ment</w:t>
          </w:r>
        </w:p>
        <w:p w:rsidR="000A6C7B" w:rsidRDefault="005C0A7F" w:rsidP="008F07A3">
          <w:pPr>
            <w:pStyle w:val="ReportSubtitle"/>
          </w:pPr>
          <w:r>
            <w:t xml:space="preserve"> 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2636BF">
            <w:t>6</w:t>
          </w:r>
          <w:r w:rsidR="00DA4752">
            <w:t xml:space="preserve"> </w:t>
          </w:r>
          <w:r w:rsidR="00415F31">
            <w:rPr>
              <w:rFonts w:cs="Arial"/>
            </w:rPr>
            <w:t>–</w:t>
          </w:r>
          <w:r w:rsidR="00DA4752">
            <w:t xml:space="preserve"> </w:t>
          </w:r>
          <w:r w:rsidR="002636BF">
            <w:t>Capital</w:t>
          </w:r>
          <w:r w:rsidR="00B015D3">
            <w:t xml:space="preserve"> expenditure</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5692200"/>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8616EC">
        <w:t>draft</w:t>
      </w:r>
      <w:r w:rsidR="00415F31">
        <w:t xml:space="preserve"> decision on </w:t>
      </w:r>
      <w:r w:rsidR="005B140A">
        <w:t>ActewAGL</w:t>
      </w:r>
      <w:r w:rsidR="00410E66">
        <w:t xml:space="preserve"> Distribution</w:t>
      </w:r>
      <w:r w:rsidR="005C0A7F">
        <w:t>'s</w:t>
      </w:r>
      <w:r w:rsidR="00415F31">
        <w:t xml:space="preserve"> </w:t>
      </w:r>
      <w:r w:rsidR="008616EC">
        <w:t>access arrangement for</w:t>
      </w:r>
      <w:r w:rsidR="00415F31">
        <w:t xml:space="preserve"> 201</w:t>
      </w:r>
      <w:r w:rsidR="005C0A7F">
        <w:t>6</w:t>
      </w:r>
      <w:r w:rsidR="00415F31" w:rsidRPr="00D904FA">
        <w:t>–</w:t>
      </w:r>
      <w:r w:rsidR="005B140A">
        <w:t>21</w:t>
      </w:r>
      <w:r w:rsidR="00F12ED7">
        <w:t xml:space="preserve"> access arrangement period</w:t>
      </w:r>
      <w:r w:rsidR="005B140A">
        <w:t>.</w:t>
      </w:r>
      <w:r w:rsidR="00415F31">
        <w:t xml:space="preserve"> It should be read with </w:t>
      </w:r>
      <w:r w:rsidR="005C0A7F">
        <w:t xml:space="preserve">all </w:t>
      </w:r>
      <w:r w:rsidR="00415F31">
        <w:t xml:space="preserve">other parts of the </w:t>
      </w:r>
      <w:r w:rsidR="008616EC">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8616EC">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35692201"/>
      <w:r>
        <w:lastRenderedPageBreak/>
        <w:t>Contents</w:t>
      </w:r>
      <w:bookmarkEnd w:id="5"/>
      <w:bookmarkEnd w:id="6"/>
    </w:p>
    <w:sdt>
      <w:sdtPr>
        <w:rPr>
          <w:b w:val="0"/>
          <w:noProof w:val="0"/>
          <w:color w:val="auto"/>
          <w:sz w:val="22"/>
          <w:lang w:val="en-AU" w:eastAsia="en-US"/>
        </w:rPr>
        <w:id w:val="-1854491927"/>
        <w:docPartObj>
          <w:docPartGallery w:val="Table of Contents"/>
          <w:docPartUnique/>
        </w:docPartObj>
      </w:sdtPr>
      <w:sdtEndPr>
        <w:rPr>
          <w:b/>
          <w:noProof/>
          <w:color w:val="70635A" w:themeColor="text2"/>
          <w:sz w:val="24"/>
          <w:lang w:val="en-US" w:eastAsia="ja-JP"/>
        </w:rPr>
      </w:sdtEndPr>
      <w:sdtContent>
        <w:p w:rsidR="005D64A3" w:rsidRDefault="00217E66">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35692200" w:history="1">
            <w:r w:rsidR="005D64A3" w:rsidRPr="0056734D">
              <w:rPr>
                <w:rStyle w:val="Hyperlink"/>
              </w:rPr>
              <w:t>Note</w:t>
            </w:r>
            <w:r w:rsidR="005D64A3">
              <w:rPr>
                <w:webHidden/>
              </w:rPr>
              <w:tab/>
            </w:r>
            <w:r w:rsidR="005D64A3">
              <w:rPr>
                <w:webHidden/>
              </w:rPr>
              <w:fldChar w:fldCharType="begin"/>
            </w:r>
            <w:r w:rsidR="005D64A3">
              <w:rPr>
                <w:webHidden/>
              </w:rPr>
              <w:instrText xml:space="preserve"> PAGEREF _Toc435692200 \h </w:instrText>
            </w:r>
            <w:r w:rsidR="005D64A3">
              <w:rPr>
                <w:webHidden/>
              </w:rPr>
            </w:r>
            <w:r w:rsidR="005D64A3">
              <w:rPr>
                <w:webHidden/>
              </w:rPr>
              <w:fldChar w:fldCharType="separate"/>
            </w:r>
            <w:r w:rsidR="00E834E1">
              <w:rPr>
                <w:webHidden/>
              </w:rPr>
              <w:t>6-2</w:t>
            </w:r>
            <w:r w:rsidR="005D64A3">
              <w:rPr>
                <w:webHidden/>
              </w:rPr>
              <w:fldChar w:fldCharType="end"/>
            </w:r>
          </w:hyperlink>
        </w:p>
        <w:p w:rsidR="005D64A3" w:rsidRDefault="00B537F9">
          <w:pPr>
            <w:pStyle w:val="TOC1"/>
            <w:rPr>
              <w:rFonts w:asciiTheme="minorHAnsi" w:eastAsiaTheme="minorEastAsia" w:hAnsiTheme="minorHAnsi"/>
              <w:b w:val="0"/>
              <w:color w:val="auto"/>
              <w:sz w:val="22"/>
              <w:lang w:val="en-AU" w:eastAsia="en-AU"/>
            </w:rPr>
          </w:pPr>
          <w:hyperlink w:anchor="_Toc435692201" w:history="1">
            <w:r w:rsidR="005D64A3" w:rsidRPr="0056734D">
              <w:rPr>
                <w:rStyle w:val="Hyperlink"/>
              </w:rPr>
              <w:t>Contents</w:t>
            </w:r>
            <w:r w:rsidR="005D64A3">
              <w:rPr>
                <w:webHidden/>
              </w:rPr>
              <w:tab/>
            </w:r>
            <w:r w:rsidR="005D64A3">
              <w:rPr>
                <w:webHidden/>
              </w:rPr>
              <w:fldChar w:fldCharType="begin"/>
            </w:r>
            <w:r w:rsidR="005D64A3">
              <w:rPr>
                <w:webHidden/>
              </w:rPr>
              <w:instrText xml:space="preserve"> PAGEREF _Toc435692201 \h </w:instrText>
            </w:r>
            <w:r w:rsidR="005D64A3">
              <w:rPr>
                <w:webHidden/>
              </w:rPr>
            </w:r>
            <w:r w:rsidR="005D64A3">
              <w:rPr>
                <w:webHidden/>
              </w:rPr>
              <w:fldChar w:fldCharType="separate"/>
            </w:r>
            <w:r w:rsidR="00E834E1">
              <w:rPr>
                <w:webHidden/>
              </w:rPr>
              <w:t>6-3</w:t>
            </w:r>
            <w:r w:rsidR="005D64A3">
              <w:rPr>
                <w:webHidden/>
              </w:rPr>
              <w:fldChar w:fldCharType="end"/>
            </w:r>
          </w:hyperlink>
        </w:p>
        <w:p w:rsidR="005D64A3" w:rsidRDefault="00B537F9">
          <w:pPr>
            <w:pStyle w:val="TOC1"/>
            <w:rPr>
              <w:rFonts w:asciiTheme="minorHAnsi" w:eastAsiaTheme="minorEastAsia" w:hAnsiTheme="minorHAnsi"/>
              <w:b w:val="0"/>
              <w:color w:val="auto"/>
              <w:sz w:val="22"/>
              <w:lang w:val="en-AU" w:eastAsia="en-AU"/>
            </w:rPr>
          </w:pPr>
          <w:hyperlink w:anchor="_Toc435692202" w:history="1">
            <w:r w:rsidR="005D64A3" w:rsidRPr="0056734D">
              <w:rPr>
                <w:rStyle w:val="Hyperlink"/>
              </w:rPr>
              <w:t>Shortened forms</w:t>
            </w:r>
            <w:r w:rsidR="005D64A3">
              <w:rPr>
                <w:webHidden/>
              </w:rPr>
              <w:tab/>
            </w:r>
            <w:r w:rsidR="005D64A3">
              <w:rPr>
                <w:webHidden/>
              </w:rPr>
              <w:fldChar w:fldCharType="begin"/>
            </w:r>
            <w:r w:rsidR="005D64A3">
              <w:rPr>
                <w:webHidden/>
              </w:rPr>
              <w:instrText xml:space="preserve"> PAGEREF _Toc435692202 \h </w:instrText>
            </w:r>
            <w:r w:rsidR="005D64A3">
              <w:rPr>
                <w:webHidden/>
              </w:rPr>
            </w:r>
            <w:r w:rsidR="005D64A3">
              <w:rPr>
                <w:webHidden/>
              </w:rPr>
              <w:fldChar w:fldCharType="separate"/>
            </w:r>
            <w:r w:rsidR="00E834E1">
              <w:rPr>
                <w:webHidden/>
              </w:rPr>
              <w:t>6-5</w:t>
            </w:r>
            <w:r w:rsidR="005D64A3">
              <w:rPr>
                <w:webHidden/>
              </w:rPr>
              <w:fldChar w:fldCharType="end"/>
            </w:r>
          </w:hyperlink>
        </w:p>
        <w:p w:rsidR="005D64A3" w:rsidRDefault="00B537F9">
          <w:pPr>
            <w:pStyle w:val="TOC1"/>
            <w:rPr>
              <w:rFonts w:asciiTheme="minorHAnsi" w:eastAsiaTheme="minorEastAsia" w:hAnsiTheme="minorHAnsi"/>
              <w:b w:val="0"/>
              <w:color w:val="auto"/>
              <w:sz w:val="22"/>
              <w:lang w:val="en-AU" w:eastAsia="en-AU"/>
            </w:rPr>
          </w:pPr>
          <w:hyperlink w:anchor="_Toc435692203" w:history="1">
            <w:r w:rsidR="005D64A3" w:rsidRPr="0056734D">
              <w:rPr>
                <w:rStyle w:val="Hyperlink"/>
              </w:rPr>
              <w:t>6</w:t>
            </w:r>
            <w:r w:rsidR="005D64A3">
              <w:rPr>
                <w:rFonts w:asciiTheme="minorHAnsi" w:eastAsiaTheme="minorEastAsia" w:hAnsiTheme="minorHAnsi"/>
                <w:b w:val="0"/>
                <w:color w:val="auto"/>
                <w:sz w:val="22"/>
                <w:lang w:val="en-AU" w:eastAsia="en-AU"/>
              </w:rPr>
              <w:tab/>
            </w:r>
            <w:r w:rsidR="005D64A3" w:rsidRPr="0056734D">
              <w:rPr>
                <w:rStyle w:val="Hyperlink"/>
              </w:rPr>
              <w:t>Capital expenditure</w:t>
            </w:r>
            <w:r w:rsidR="005D64A3">
              <w:rPr>
                <w:webHidden/>
              </w:rPr>
              <w:tab/>
            </w:r>
            <w:r w:rsidR="005D64A3">
              <w:rPr>
                <w:webHidden/>
              </w:rPr>
              <w:fldChar w:fldCharType="begin"/>
            </w:r>
            <w:r w:rsidR="005D64A3">
              <w:rPr>
                <w:webHidden/>
              </w:rPr>
              <w:instrText xml:space="preserve"> PAGEREF _Toc435692203 \h </w:instrText>
            </w:r>
            <w:r w:rsidR="005D64A3">
              <w:rPr>
                <w:webHidden/>
              </w:rPr>
            </w:r>
            <w:r w:rsidR="005D64A3">
              <w:rPr>
                <w:webHidden/>
              </w:rPr>
              <w:fldChar w:fldCharType="separate"/>
            </w:r>
            <w:r w:rsidR="00E834E1">
              <w:rPr>
                <w:webHidden/>
              </w:rPr>
              <w:t>6-7</w:t>
            </w:r>
            <w:r w:rsidR="005D64A3">
              <w:rPr>
                <w:webHidden/>
              </w:rPr>
              <w:fldChar w:fldCharType="end"/>
            </w:r>
          </w:hyperlink>
        </w:p>
        <w:p w:rsidR="005D64A3" w:rsidRDefault="00B537F9">
          <w:pPr>
            <w:pStyle w:val="TOC2"/>
            <w:rPr>
              <w:rFonts w:asciiTheme="minorHAnsi" w:eastAsiaTheme="minorEastAsia" w:hAnsiTheme="minorHAnsi"/>
              <w:b w:val="0"/>
              <w:color w:val="auto"/>
              <w:sz w:val="22"/>
              <w:lang w:eastAsia="en-AU"/>
            </w:rPr>
          </w:pPr>
          <w:hyperlink w:anchor="_Toc435692204" w:history="1">
            <w:r w:rsidR="005D64A3" w:rsidRPr="0056734D">
              <w:rPr>
                <w:rStyle w:val="Hyperlink"/>
              </w:rPr>
              <w:t>6.1</w:t>
            </w:r>
            <w:r w:rsidR="005D64A3">
              <w:rPr>
                <w:rFonts w:asciiTheme="minorHAnsi" w:eastAsiaTheme="minorEastAsia" w:hAnsiTheme="minorHAnsi"/>
                <w:b w:val="0"/>
                <w:color w:val="auto"/>
                <w:sz w:val="22"/>
                <w:lang w:eastAsia="en-AU"/>
              </w:rPr>
              <w:tab/>
            </w:r>
            <w:r w:rsidR="005D64A3" w:rsidRPr="0056734D">
              <w:rPr>
                <w:rStyle w:val="Hyperlink"/>
              </w:rPr>
              <w:t>Draft decision</w:t>
            </w:r>
            <w:r w:rsidR="005D64A3">
              <w:rPr>
                <w:webHidden/>
              </w:rPr>
              <w:tab/>
            </w:r>
            <w:r w:rsidR="005D64A3">
              <w:rPr>
                <w:webHidden/>
              </w:rPr>
              <w:fldChar w:fldCharType="begin"/>
            </w:r>
            <w:r w:rsidR="005D64A3">
              <w:rPr>
                <w:webHidden/>
              </w:rPr>
              <w:instrText xml:space="preserve"> PAGEREF _Toc435692204 \h </w:instrText>
            </w:r>
            <w:r w:rsidR="005D64A3">
              <w:rPr>
                <w:webHidden/>
              </w:rPr>
            </w:r>
            <w:r w:rsidR="005D64A3">
              <w:rPr>
                <w:webHidden/>
              </w:rPr>
              <w:fldChar w:fldCharType="separate"/>
            </w:r>
            <w:r w:rsidR="00E834E1">
              <w:rPr>
                <w:webHidden/>
              </w:rPr>
              <w:t>6-7</w:t>
            </w:r>
            <w:r w:rsidR="005D64A3">
              <w:rPr>
                <w:webHidden/>
              </w:rPr>
              <w:fldChar w:fldCharType="end"/>
            </w:r>
          </w:hyperlink>
        </w:p>
        <w:p w:rsidR="005D64A3" w:rsidRDefault="00B537F9">
          <w:pPr>
            <w:pStyle w:val="TOC2"/>
            <w:rPr>
              <w:rFonts w:asciiTheme="minorHAnsi" w:eastAsiaTheme="minorEastAsia" w:hAnsiTheme="minorHAnsi"/>
              <w:b w:val="0"/>
              <w:color w:val="auto"/>
              <w:sz w:val="22"/>
              <w:lang w:eastAsia="en-AU"/>
            </w:rPr>
          </w:pPr>
          <w:hyperlink w:anchor="_Toc435692205" w:history="1">
            <w:r w:rsidR="005D64A3" w:rsidRPr="0056734D">
              <w:rPr>
                <w:rStyle w:val="Hyperlink"/>
              </w:rPr>
              <w:t>6.2</w:t>
            </w:r>
            <w:r w:rsidR="005D64A3">
              <w:rPr>
                <w:rFonts w:asciiTheme="minorHAnsi" w:eastAsiaTheme="minorEastAsia" w:hAnsiTheme="minorHAnsi"/>
                <w:b w:val="0"/>
                <w:color w:val="auto"/>
                <w:sz w:val="22"/>
                <w:lang w:eastAsia="en-AU"/>
              </w:rPr>
              <w:tab/>
            </w:r>
            <w:r w:rsidR="005D64A3" w:rsidRPr="0056734D">
              <w:rPr>
                <w:rStyle w:val="Hyperlink"/>
              </w:rPr>
              <w:t>ActewAGL's proposal</w:t>
            </w:r>
            <w:r w:rsidR="005D64A3">
              <w:rPr>
                <w:webHidden/>
              </w:rPr>
              <w:tab/>
            </w:r>
            <w:r w:rsidR="005D64A3">
              <w:rPr>
                <w:webHidden/>
              </w:rPr>
              <w:fldChar w:fldCharType="begin"/>
            </w:r>
            <w:r w:rsidR="005D64A3">
              <w:rPr>
                <w:webHidden/>
              </w:rPr>
              <w:instrText xml:space="preserve"> PAGEREF _Toc435692205 \h </w:instrText>
            </w:r>
            <w:r w:rsidR="005D64A3">
              <w:rPr>
                <w:webHidden/>
              </w:rPr>
            </w:r>
            <w:r w:rsidR="005D64A3">
              <w:rPr>
                <w:webHidden/>
              </w:rPr>
              <w:fldChar w:fldCharType="separate"/>
            </w:r>
            <w:r w:rsidR="00E834E1">
              <w:rPr>
                <w:webHidden/>
              </w:rPr>
              <w:t>6-10</w:t>
            </w:r>
            <w:r w:rsidR="005D64A3">
              <w:rPr>
                <w:webHidden/>
              </w:rPr>
              <w:fldChar w:fldCharType="end"/>
            </w:r>
          </w:hyperlink>
        </w:p>
        <w:p w:rsidR="005D64A3" w:rsidRDefault="00B537F9">
          <w:pPr>
            <w:pStyle w:val="TOC2"/>
            <w:rPr>
              <w:rFonts w:asciiTheme="minorHAnsi" w:eastAsiaTheme="minorEastAsia" w:hAnsiTheme="minorHAnsi"/>
              <w:b w:val="0"/>
              <w:color w:val="auto"/>
              <w:sz w:val="22"/>
              <w:lang w:eastAsia="en-AU"/>
            </w:rPr>
          </w:pPr>
          <w:hyperlink w:anchor="_Toc435692206" w:history="1">
            <w:r w:rsidR="005D64A3" w:rsidRPr="0056734D">
              <w:rPr>
                <w:rStyle w:val="Hyperlink"/>
              </w:rPr>
              <w:t>6.3</w:t>
            </w:r>
            <w:r w:rsidR="005D64A3">
              <w:rPr>
                <w:rFonts w:asciiTheme="minorHAnsi" w:eastAsiaTheme="minorEastAsia" w:hAnsiTheme="minorHAnsi"/>
                <w:b w:val="0"/>
                <w:color w:val="auto"/>
                <w:sz w:val="22"/>
                <w:lang w:eastAsia="en-AU"/>
              </w:rPr>
              <w:tab/>
            </w:r>
            <w:r w:rsidR="005D64A3" w:rsidRPr="0056734D">
              <w:rPr>
                <w:rStyle w:val="Hyperlink"/>
              </w:rPr>
              <w:t>AER’s assessment approach</w:t>
            </w:r>
            <w:r w:rsidR="005D64A3">
              <w:rPr>
                <w:webHidden/>
              </w:rPr>
              <w:tab/>
            </w:r>
            <w:r w:rsidR="005D64A3">
              <w:rPr>
                <w:webHidden/>
              </w:rPr>
              <w:fldChar w:fldCharType="begin"/>
            </w:r>
            <w:r w:rsidR="005D64A3">
              <w:rPr>
                <w:webHidden/>
              </w:rPr>
              <w:instrText xml:space="preserve"> PAGEREF _Toc435692206 \h </w:instrText>
            </w:r>
            <w:r w:rsidR="005D64A3">
              <w:rPr>
                <w:webHidden/>
              </w:rPr>
            </w:r>
            <w:r w:rsidR="005D64A3">
              <w:rPr>
                <w:webHidden/>
              </w:rPr>
              <w:fldChar w:fldCharType="separate"/>
            </w:r>
            <w:r w:rsidR="00E834E1">
              <w:rPr>
                <w:webHidden/>
              </w:rPr>
              <w:t>6-12</w:t>
            </w:r>
            <w:r w:rsidR="005D64A3">
              <w:rPr>
                <w:webHidden/>
              </w:rPr>
              <w:fldChar w:fldCharType="end"/>
            </w:r>
          </w:hyperlink>
        </w:p>
        <w:p w:rsidR="005D64A3" w:rsidRDefault="00B537F9">
          <w:pPr>
            <w:pStyle w:val="TOC3"/>
            <w:rPr>
              <w:rFonts w:asciiTheme="minorHAnsi" w:eastAsiaTheme="minorEastAsia" w:hAnsiTheme="minorHAnsi"/>
              <w:lang w:eastAsia="en-AU"/>
            </w:rPr>
          </w:pPr>
          <w:hyperlink w:anchor="_Toc435692207" w:history="1">
            <w:r w:rsidR="005D64A3" w:rsidRPr="0056734D">
              <w:rPr>
                <w:rStyle w:val="Hyperlink"/>
              </w:rPr>
              <w:t>6.3.1</w:t>
            </w:r>
            <w:r w:rsidR="005D64A3">
              <w:rPr>
                <w:rFonts w:asciiTheme="minorHAnsi" w:eastAsiaTheme="minorEastAsia" w:hAnsiTheme="minorHAnsi"/>
                <w:lang w:eastAsia="en-AU"/>
              </w:rPr>
              <w:tab/>
            </w:r>
            <w:r w:rsidR="005D64A3" w:rsidRPr="0056734D">
              <w:rPr>
                <w:rStyle w:val="Hyperlink"/>
              </w:rPr>
              <w:t>NGR requirements for conforming capital expenditure</w:t>
            </w:r>
            <w:r w:rsidR="005D64A3">
              <w:rPr>
                <w:webHidden/>
              </w:rPr>
              <w:tab/>
            </w:r>
            <w:r w:rsidR="005D64A3">
              <w:rPr>
                <w:webHidden/>
              </w:rPr>
              <w:fldChar w:fldCharType="begin"/>
            </w:r>
            <w:r w:rsidR="005D64A3">
              <w:rPr>
                <w:webHidden/>
              </w:rPr>
              <w:instrText xml:space="preserve"> PAGEREF _Toc435692207 \h </w:instrText>
            </w:r>
            <w:r w:rsidR="005D64A3">
              <w:rPr>
                <w:webHidden/>
              </w:rPr>
            </w:r>
            <w:r w:rsidR="005D64A3">
              <w:rPr>
                <w:webHidden/>
              </w:rPr>
              <w:fldChar w:fldCharType="separate"/>
            </w:r>
            <w:r w:rsidR="00E834E1">
              <w:rPr>
                <w:webHidden/>
              </w:rPr>
              <w:t>6-13</w:t>
            </w:r>
            <w:r w:rsidR="005D64A3">
              <w:rPr>
                <w:webHidden/>
              </w:rPr>
              <w:fldChar w:fldCharType="end"/>
            </w:r>
          </w:hyperlink>
        </w:p>
        <w:p w:rsidR="005D64A3" w:rsidRDefault="00B537F9">
          <w:pPr>
            <w:pStyle w:val="TOC3"/>
            <w:rPr>
              <w:rFonts w:asciiTheme="minorHAnsi" w:eastAsiaTheme="minorEastAsia" w:hAnsiTheme="minorHAnsi"/>
              <w:lang w:eastAsia="en-AU"/>
            </w:rPr>
          </w:pPr>
          <w:hyperlink w:anchor="_Toc435692208" w:history="1">
            <w:r w:rsidR="005D64A3" w:rsidRPr="0056734D">
              <w:rPr>
                <w:rStyle w:val="Hyperlink"/>
              </w:rPr>
              <w:t>6.3.2</w:t>
            </w:r>
            <w:r w:rsidR="005D64A3">
              <w:rPr>
                <w:rFonts w:asciiTheme="minorHAnsi" w:eastAsiaTheme="minorEastAsia" w:hAnsiTheme="minorHAnsi"/>
                <w:lang w:eastAsia="en-AU"/>
              </w:rPr>
              <w:tab/>
            </w:r>
            <w:r w:rsidR="005D64A3" w:rsidRPr="0056734D">
              <w:rPr>
                <w:rStyle w:val="Hyperlink"/>
              </w:rPr>
              <w:t>Assessment of conforming capital expenditure in the previous period</w:t>
            </w:r>
            <w:r w:rsidR="005D64A3">
              <w:rPr>
                <w:webHidden/>
              </w:rPr>
              <w:tab/>
            </w:r>
            <w:r w:rsidR="005D64A3">
              <w:rPr>
                <w:webHidden/>
              </w:rPr>
              <w:fldChar w:fldCharType="begin"/>
            </w:r>
            <w:r w:rsidR="005D64A3">
              <w:rPr>
                <w:webHidden/>
              </w:rPr>
              <w:instrText xml:space="preserve"> PAGEREF _Toc435692208 \h </w:instrText>
            </w:r>
            <w:r w:rsidR="005D64A3">
              <w:rPr>
                <w:webHidden/>
              </w:rPr>
            </w:r>
            <w:r w:rsidR="005D64A3">
              <w:rPr>
                <w:webHidden/>
              </w:rPr>
              <w:fldChar w:fldCharType="separate"/>
            </w:r>
            <w:r w:rsidR="00E834E1">
              <w:rPr>
                <w:webHidden/>
              </w:rPr>
              <w:t>6-14</w:t>
            </w:r>
            <w:r w:rsidR="005D64A3">
              <w:rPr>
                <w:webHidden/>
              </w:rPr>
              <w:fldChar w:fldCharType="end"/>
            </w:r>
          </w:hyperlink>
        </w:p>
        <w:p w:rsidR="005D64A3" w:rsidRDefault="00B537F9">
          <w:pPr>
            <w:pStyle w:val="TOC3"/>
            <w:rPr>
              <w:rFonts w:asciiTheme="minorHAnsi" w:eastAsiaTheme="minorEastAsia" w:hAnsiTheme="minorHAnsi"/>
              <w:lang w:eastAsia="en-AU"/>
            </w:rPr>
          </w:pPr>
          <w:hyperlink w:anchor="_Toc435692209" w:history="1">
            <w:r w:rsidR="005D64A3" w:rsidRPr="0056734D">
              <w:rPr>
                <w:rStyle w:val="Hyperlink"/>
              </w:rPr>
              <w:t>6.3.3</w:t>
            </w:r>
            <w:r w:rsidR="005D64A3">
              <w:rPr>
                <w:rFonts w:asciiTheme="minorHAnsi" w:eastAsiaTheme="minorEastAsia" w:hAnsiTheme="minorHAnsi"/>
                <w:lang w:eastAsia="en-AU"/>
              </w:rPr>
              <w:tab/>
            </w:r>
            <w:r w:rsidR="005D64A3" w:rsidRPr="0056734D">
              <w:rPr>
                <w:rStyle w:val="Hyperlink"/>
              </w:rPr>
              <w:t>Assessing forecast capex for the 2016–21 access arrangement period</w:t>
            </w:r>
            <w:r w:rsidR="005D64A3">
              <w:rPr>
                <w:webHidden/>
              </w:rPr>
              <w:tab/>
            </w:r>
            <w:r w:rsidR="005D64A3">
              <w:rPr>
                <w:webHidden/>
              </w:rPr>
              <w:fldChar w:fldCharType="begin"/>
            </w:r>
            <w:r w:rsidR="005D64A3">
              <w:rPr>
                <w:webHidden/>
              </w:rPr>
              <w:instrText xml:space="preserve"> PAGEREF _Toc435692209 \h </w:instrText>
            </w:r>
            <w:r w:rsidR="005D64A3">
              <w:rPr>
                <w:webHidden/>
              </w:rPr>
            </w:r>
            <w:r w:rsidR="005D64A3">
              <w:rPr>
                <w:webHidden/>
              </w:rPr>
              <w:fldChar w:fldCharType="separate"/>
            </w:r>
            <w:r w:rsidR="00E834E1">
              <w:rPr>
                <w:webHidden/>
              </w:rPr>
              <w:t>6-15</w:t>
            </w:r>
            <w:r w:rsidR="005D64A3">
              <w:rPr>
                <w:webHidden/>
              </w:rPr>
              <w:fldChar w:fldCharType="end"/>
            </w:r>
          </w:hyperlink>
        </w:p>
        <w:p w:rsidR="005D64A3" w:rsidRDefault="00B537F9">
          <w:pPr>
            <w:pStyle w:val="TOC3"/>
            <w:rPr>
              <w:rFonts w:asciiTheme="minorHAnsi" w:eastAsiaTheme="minorEastAsia" w:hAnsiTheme="minorHAnsi"/>
              <w:lang w:eastAsia="en-AU"/>
            </w:rPr>
          </w:pPr>
          <w:hyperlink w:anchor="_Toc435692210" w:history="1">
            <w:r w:rsidR="005D64A3" w:rsidRPr="0056734D">
              <w:rPr>
                <w:rStyle w:val="Hyperlink"/>
              </w:rPr>
              <w:t>6.3.4</w:t>
            </w:r>
            <w:r w:rsidR="005D64A3">
              <w:rPr>
                <w:rFonts w:asciiTheme="minorHAnsi" w:eastAsiaTheme="minorEastAsia" w:hAnsiTheme="minorHAnsi"/>
                <w:lang w:eastAsia="en-AU"/>
              </w:rPr>
              <w:tab/>
            </w:r>
            <w:r w:rsidR="005D64A3" w:rsidRPr="0056734D">
              <w:rPr>
                <w:rStyle w:val="Hyperlink"/>
              </w:rPr>
              <w:t>Interrelationships</w:t>
            </w:r>
            <w:r w:rsidR="005D64A3">
              <w:rPr>
                <w:webHidden/>
              </w:rPr>
              <w:tab/>
            </w:r>
            <w:r w:rsidR="005D64A3">
              <w:rPr>
                <w:webHidden/>
              </w:rPr>
              <w:fldChar w:fldCharType="begin"/>
            </w:r>
            <w:r w:rsidR="005D64A3">
              <w:rPr>
                <w:webHidden/>
              </w:rPr>
              <w:instrText xml:space="preserve"> PAGEREF _Toc435692210 \h </w:instrText>
            </w:r>
            <w:r w:rsidR="005D64A3">
              <w:rPr>
                <w:webHidden/>
              </w:rPr>
            </w:r>
            <w:r w:rsidR="005D64A3">
              <w:rPr>
                <w:webHidden/>
              </w:rPr>
              <w:fldChar w:fldCharType="separate"/>
            </w:r>
            <w:r w:rsidR="00E834E1">
              <w:rPr>
                <w:webHidden/>
              </w:rPr>
              <w:t>6-19</w:t>
            </w:r>
            <w:r w:rsidR="005D64A3">
              <w:rPr>
                <w:webHidden/>
              </w:rPr>
              <w:fldChar w:fldCharType="end"/>
            </w:r>
          </w:hyperlink>
        </w:p>
        <w:p w:rsidR="005D64A3" w:rsidRDefault="00B537F9">
          <w:pPr>
            <w:pStyle w:val="TOC2"/>
            <w:rPr>
              <w:rFonts w:asciiTheme="minorHAnsi" w:eastAsiaTheme="minorEastAsia" w:hAnsiTheme="minorHAnsi"/>
              <w:b w:val="0"/>
              <w:color w:val="auto"/>
              <w:sz w:val="22"/>
              <w:lang w:eastAsia="en-AU"/>
            </w:rPr>
          </w:pPr>
          <w:hyperlink w:anchor="_Toc435692211" w:history="1">
            <w:r w:rsidR="005D64A3" w:rsidRPr="0056734D">
              <w:rPr>
                <w:rStyle w:val="Hyperlink"/>
              </w:rPr>
              <w:t>6.4</w:t>
            </w:r>
            <w:r w:rsidR="005D64A3">
              <w:rPr>
                <w:rFonts w:asciiTheme="minorHAnsi" w:eastAsiaTheme="minorEastAsia" w:hAnsiTheme="minorHAnsi"/>
                <w:b w:val="0"/>
                <w:color w:val="auto"/>
                <w:sz w:val="22"/>
                <w:lang w:eastAsia="en-AU"/>
              </w:rPr>
              <w:tab/>
            </w:r>
            <w:r w:rsidR="005D64A3" w:rsidRPr="0056734D">
              <w:rPr>
                <w:rStyle w:val="Hyperlink"/>
              </w:rPr>
              <w:t>Reasons for draft decision</w:t>
            </w:r>
            <w:r w:rsidR="005D64A3">
              <w:rPr>
                <w:webHidden/>
              </w:rPr>
              <w:tab/>
            </w:r>
            <w:r w:rsidR="005D64A3">
              <w:rPr>
                <w:webHidden/>
              </w:rPr>
              <w:fldChar w:fldCharType="begin"/>
            </w:r>
            <w:r w:rsidR="005D64A3">
              <w:rPr>
                <w:webHidden/>
              </w:rPr>
              <w:instrText xml:space="preserve"> PAGEREF _Toc435692211 \h </w:instrText>
            </w:r>
            <w:r w:rsidR="005D64A3">
              <w:rPr>
                <w:webHidden/>
              </w:rPr>
            </w:r>
            <w:r w:rsidR="005D64A3">
              <w:rPr>
                <w:webHidden/>
              </w:rPr>
              <w:fldChar w:fldCharType="separate"/>
            </w:r>
            <w:r w:rsidR="00E834E1">
              <w:rPr>
                <w:webHidden/>
              </w:rPr>
              <w:t>6-19</w:t>
            </w:r>
            <w:r w:rsidR="005D64A3">
              <w:rPr>
                <w:webHidden/>
              </w:rPr>
              <w:fldChar w:fldCharType="end"/>
            </w:r>
          </w:hyperlink>
        </w:p>
        <w:p w:rsidR="005D64A3" w:rsidRDefault="00B537F9">
          <w:pPr>
            <w:pStyle w:val="TOC3"/>
            <w:rPr>
              <w:rFonts w:asciiTheme="minorHAnsi" w:eastAsiaTheme="minorEastAsia" w:hAnsiTheme="minorHAnsi"/>
              <w:lang w:eastAsia="en-AU"/>
            </w:rPr>
          </w:pPr>
          <w:hyperlink w:anchor="_Toc435692212" w:history="1">
            <w:r w:rsidR="005D64A3" w:rsidRPr="0056734D">
              <w:rPr>
                <w:rStyle w:val="Hyperlink"/>
              </w:rPr>
              <w:t>6.4.1</w:t>
            </w:r>
            <w:r w:rsidR="005D64A3">
              <w:rPr>
                <w:rFonts w:asciiTheme="minorHAnsi" w:eastAsiaTheme="minorEastAsia" w:hAnsiTheme="minorHAnsi"/>
                <w:lang w:eastAsia="en-AU"/>
              </w:rPr>
              <w:tab/>
            </w:r>
            <w:r w:rsidR="005D64A3" w:rsidRPr="0056734D">
              <w:rPr>
                <w:rStyle w:val="Hyperlink"/>
              </w:rPr>
              <w:t>Conforming capital expenditure for 2009–16</w:t>
            </w:r>
            <w:r w:rsidR="005D64A3">
              <w:rPr>
                <w:webHidden/>
              </w:rPr>
              <w:tab/>
            </w:r>
            <w:r w:rsidR="005D64A3">
              <w:rPr>
                <w:webHidden/>
              </w:rPr>
              <w:fldChar w:fldCharType="begin"/>
            </w:r>
            <w:r w:rsidR="005D64A3">
              <w:rPr>
                <w:webHidden/>
              </w:rPr>
              <w:instrText xml:space="preserve"> PAGEREF _Toc435692212 \h </w:instrText>
            </w:r>
            <w:r w:rsidR="005D64A3">
              <w:rPr>
                <w:webHidden/>
              </w:rPr>
            </w:r>
            <w:r w:rsidR="005D64A3">
              <w:rPr>
                <w:webHidden/>
              </w:rPr>
              <w:fldChar w:fldCharType="separate"/>
            </w:r>
            <w:r w:rsidR="00E834E1">
              <w:rPr>
                <w:webHidden/>
              </w:rPr>
              <w:t>6-19</w:t>
            </w:r>
            <w:r w:rsidR="005D64A3">
              <w:rPr>
                <w:webHidden/>
              </w:rPr>
              <w:fldChar w:fldCharType="end"/>
            </w:r>
          </w:hyperlink>
        </w:p>
        <w:p w:rsidR="005D64A3" w:rsidRDefault="00B537F9">
          <w:pPr>
            <w:pStyle w:val="TOC3"/>
            <w:rPr>
              <w:rFonts w:asciiTheme="minorHAnsi" w:eastAsiaTheme="minorEastAsia" w:hAnsiTheme="minorHAnsi"/>
              <w:lang w:eastAsia="en-AU"/>
            </w:rPr>
          </w:pPr>
          <w:hyperlink w:anchor="_Toc435692213" w:history="1">
            <w:r w:rsidR="005D64A3" w:rsidRPr="0056734D">
              <w:rPr>
                <w:rStyle w:val="Hyperlink"/>
              </w:rPr>
              <w:t>6.4.2</w:t>
            </w:r>
            <w:r w:rsidR="005D64A3">
              <w:rPr>
                <w:rFonts w:asciiTheme="minorHAnsi" w:eastAsiaTheme="minorEastAsia" w:hAnsiTheme="minorHAnsi"/>
                <w:lang w:eastAsia="en-AU"/>
              </w:rPr>
              <w:tab/>
            </w:r>
            <w:r w:rsidR="005D64A3" w:rsidRPr="0056734D">
              <w:rPr>
                <w:rStyle w:val="Hyperlink"/>
              </w:rPr>
              <w:t>Conforming capital expenditure for the 2016–21 access arrangement period</w:t>
            </w:r>
            <w:r w:rsidR="005D64A3">
              <w:rPr>
                <w:webHidden/>
              </w:rPr>
              <w:tab/>
            </w:r>
            <w:r w:rsidR="005D64A3">
              <w:rPr>
                <w:webHidden/>
              </w:rPr>
              <w:fldChar w:fldCharType="begin"/>
            </w:r>
            <w:r w:rsidR="005D64A3">
              <w:rPr>
                <w:webHidden/>
              </w:rPr>
              <w:instrText xml:space="preserve"> PAGEREF _Toc435692213 \h </w:instrText>
            </w:r>
            <w:r w:rsidR="005D64A3">
              <w:rPr>
                <w:webHidden/>
              </w:rPr>
            </w:r>
            <w:r w:rsidR="005D64A3">
              <w:rPr>
                <w:webHidden/>
              </w:rPr>
              <w:fldChar w:fldCharType="separate"/>
            </w:r>
            <w:r w:rsidR="00E834E1">
              <w:rPr>
                <w:webHidden/>
              </w:rPr>
              <w:t>6-21</w:t>
            </w:r>
            <w:r w:rsidR="005D64A3">
              <w:rPr>
                <w:webHidden/>
              </w:rPr>
              <w:fldChar w:fldCharType="end"/>
            </w:r>
          </w:hyperlink>
        </w:p>
        <w:p w:rsidR="005D64A3" w:rsidRDefault="00B537F9">
          <w:pPr>
            <w:pStyle w:val="TOC3"/>
            <w:rPr>
              <w:rFonts w:asciiTheme="minorHAnsi" w:eastAsiaTheme="minorEastAsia" w:hAnsiTheme="minorHAnsi"/>
              <w:lang w:eastAsia="en-AU"/>
            </w:rPr>
          </w:pPr>
          <w:hyperlink w:anchor="_Toc435692214" w:history="1">
            <w:r w:rsidR="005D64A3" w:rsidRPr="0056734D">
              <w:rPr>
                <w:rStyle w:val="Hyperlink"/>
              </w:rPr>
              <w:t>6.4.3</w:t>
            </w:r>
            <w:r w:rsidR="005D64A3">
              <w:rPr>
                <w:rFonts w:asciiTheme="minorHAnsi" w:eastAsiaTheme="minorEastAsia" w:hAnsiTheme="minorHAnsi"/>
                <w:lang w:eastAsia="en-AU"/>
              </w:rPr>
              <w:tab/>
            </w:r>
            <w:r w:rsidR="005D64A3" w:rsidRPr="0056734D">
              <w:rPr>
                <w:rStyle w:val="Hyperlink"/>
              </w:rPr>
              <w:t>Growth Assets (Connections)</w:t>
            </w:r>
            <w:r w:rsidR="005D64A3">
              <w:rPr>
                <w:webHidden/>
              </w:rPr>
              <w:tab/>
            </w:r>
            <w:r w:rsidR="005D64A3">
              <w:rPr>
                <w:webHidden/>
              </w:rPr>
              <w:fldChar w:fldCharType="begin"/>
            </w:r>
            <w:r w:rsidR="005D64A3">
              <w:rPr>
                <w:webHidden/>
              </w:rPr>
              <w:instrText xml:space="preserve"> PAGEREF _Toc435692214 \h </w:instrText>
            </w:r>
            <w:r w:rsidR="005D64A3">
              <w:rPr>
                <w:webHidden/>
              </w:rPr>
            </w:r>
            <w:r w:rsidR="005D64A3">
              <w:rPr>
                <w:webHidden/>
              </w:rPr>
              <w:fldChar w:fldCharType="separate"/>
            </w:r>
            <w:r w:rsidR="00E834E1">
              <w:rPr>
                <w:webHidden/>
              </w:rPr>
              <w:t>6-21</w:t>
            </w:r>
            <w:r w:rsidR="005D64A3">
              <w:rPr>
                <w:webHidden/>
              </w:rPr>
              <w:fldChar w:fldCharType="end"/>
            </w:r>
          </w:hyperlink>
        </w:p>
        <w:p w:rsidR="005D64A3" w:rsidRDefault="00B537F9">
          <w:pPr>
            <w:pStyle w:val="TOC3"/>
            <w:rPr>
              <w:rFonts w:asciiTheme="minorHAnsi" w:eastAsiaTheme="minorEastAsia" w:hAnsiTheme="minorHAnsi"/>
              <w:lang w:eastAsia="en-AU"/>
            </w:rPr>
          </w:pPr>
          <w:hyperlink w:anchor="_Toc435692215" w:history="1">
            <w:r w:rsidR="005D64A3" w:rsidRPr="0056734D">
              <w:rPr>
                <w:rStyle w:val="Hyperlink"/>
              </w:rPr>
              <w:t>6.4.4</w:t>
            </w:r>
            <w:r w:rsidR="005D64A3">
              <w:rPr>
                <w:rFonts w:asciiTheme="minorHAnsi" w:eastAsiaTheme="minorEastAsia" w:hAnsiTheme="minorHAnsi"/>
                <w:lang w:eastAsia="en-AU"/>
              </w:rPr>
              <w:tab/>
            </w:r>
            <w:r w:rsidR="005D64A3" w:rsidRPr="0056734D">
              <w:rPr>
                <w:rStyle w:val="Hyperlink"/>
              </w:rPr>
              <w:t>Capital contributions</w:t>
            </w:r>
            <w:r w:rsidR="005D64A3">
              <w:rPr>
                <w:webHidden/>
              </w:rPr>
              <w:tab/>
            </w:r>
            <w:r w:rsidR="005D64A3">
              <w:rPr>
                <w:webHidden/>
              </w:rPr>
              <w:fldChar w:fldCharType="begin"/>
            </w:r>
            <w:r w:rsidR="005D64A3">
              <w:rPr>
                <w:webHidden/>
              </w:rPr>
              <w:instrText xml:space="preserve"> PAGEREF _Toc435692215 \h </w:instrText>
            </w:r>
            <w:r w:rsidR="005D64A3">
              <w:rPr>
                <w:webHidden/>
              </w:rPr>
            </w:r>
            <w:r w:rsidR="005D64A3">
              <w:rPr>
                <w:webHidden/>
              </w:rPr>
              <w:fldChar w:fldCharType="separate"/>
            </w:r>
            <w:r w:rsidR="00E834E1">
              <w:rPr>
                <w:webHidden/>
              </w:rPr>
              <w:t>6-29</w:t>
            </w:r>
            <w:r w:rsidR="005D64A3">
              <w:rPr>
                <w:webHidden/>
              </w:rPr>
              <w:fldChar w:fldCharType="end"/>
            </w:r>
          </w:hyperlink>
        </w:p>
        <w:p w:rsidR="005D64A3" w:rsidRDefault="00B537F9">
          <w:pPr>
            <w:pStyle w:val="TOC3"/>
            <w:rPr>
              <w:rFonts w:asciiTheme="minorHAnsi" w:eastAsiaTheme="minorEastAsia" w:hAnsiTheme="minorHAnsi"/>
              <w:lang w:eastAsia="en-AU"/>
            </w:rPr>
          </w:pPr>
          <w:hyperlink w:anchor="_Toc435692216" w:history="1">
            <w:r w:rsidR="005D64A3" w:rsidRPr="0056734D">
              <w:rPr>
                <w:rStyle w:val="Hyperlink"/>
              </w:rPr>
              <w:t>6.4.5</w:t>
            </w:r>
            <w:r w:rsidR="005D64A3">
              <w:rPr>
                <w:rFonts w:asciiTheme="minorHAnsi" w:eastAsiaTheme="minorEastAsia" w:hAnsiTheme="minorHAnsi"/>
                <w:lang w:eastAsia="en-AU"/>
              </w:rPr>
              <w:tab/>
            </w:r>
            <w:r w:rsidR="005D64A3" w:rsidRPr="0056734D">
              <w:rPr>
                <w:rStyle w:val="Hyperlink"/>
              </w:rPr>
              <w:t>Construction management fee</w:t>
            </w:r>
            <w:r w:rsidR="005D64A3">
              <w:rPr>
                <w:webHidden/>
              </w:rPr>
              <w:tab/>
            </w:r>
            <w:r w:rsidR="005D64A3">
              <w:rPr>
                <w:webHidden/>
              </w:rPr>
              <w:fldChar w:fldCharType="begin"/>
            </w:r>
            <w:r w:rsidR="005D64A3">
              <w:rPr>
                <w:webHidden/>
              </w:rPr>
              <w:instrText xml:space="preserve"> PAGEREF _Toc435692216 \h </w:instrText>
            </w:r>
            <w:r w:rsidR="005D64A3">
              <w:rPr>
                <w:webHidden/>
              </w:rPr>
            </w:r>
            <w:r w:rsidR="005D64A3">
              <w:rPr>
                <w:webHidden/>
              </w:rPr>
              <w:fldChar w:fldCharType="separate"/>
            </w:r>
            <w:r w:rsidR="00E834E1">
              <w:rPr>
                <w:webHidden/>
              </w:rPr>
              <w:t>6-29</w:t>
            </w:r>
            <w:r w:rsidR="005D64A3">
              <w:rPr>
                <w:webHidden/>
              </w:rPr>
              <w:fldChar w:fldCharType="end"/>
            </w:r>
          </w:hyperlink>
        </w:p>
        <w:p w:rsidR="005D64A3" w:rsidRDefault="00B537F9">
          <w:pPr>
            <w:pStyle w:val="TOC3"/>
            <w:rPr>
              <w:rFonts w:asciiTheme="minorHAnsi" w:eastAsiaTheme="minorEastAsia" w:hAnsiTheme="minorHAnsi"/>
              <w:lang w:eastAsia="en-AU"/>
            </w:rPr>
          </w:pPr>
          <w:hyperlink w:anchor="_Toc435692217" w:history="1">
            <w:r w:rsidR="005D64A3" w:rsidRPr="0056734D">
              <w:rPr>
                <w:rStyle w:val="Hyperlink"/>
              </w:rPr>
              <w:t>6.4.6</w:t>
            </w:r>
            <w:r w:rsidR="005D64A3">
              <w:rPr>
                <w:rFonts w:asciiTheme="minorHAnsi" w:eastAsiaTheme="minorEastAsia" w:hAnsiTheme="minorHAnsi"/>
                <w:lang w:eastAsia="en-AU"/>
              </w:rPr>
              <w:tab/>
            </w:r>
            <w:r w:rsidR="005D64A3" w:rsidRPr="0056734D">
              <w:rPr>
                <w:rStyle w:val="Hyperlink"/>
              </w:rPr>
              <w:t>Capacity development/augmentation</w:t>
            </w:r>
            <w:r w:rsidR="005D64A3">
              <w:rPr>
                <w:webHidden/>
              </w:rPr>
              <w:tab/>
            </w:r>
            <w:r w:rsidR="005D64A3">
              <w:rPr>
                <w:webHidden/>
              </w:rPr>
              <w:fldChar w:fldCharType="begin"/>
            </w:r>
            <w:r w:rsidR="005D64A3">
              <w:rPr>
                <w:webHidden/>
              </w:rPr>
              <w:instrText xml:space="preserve"> PAGEREF _Toc435692217 \h </w:instrText>
            </w:r>
            <w:r w:rsidR="005D64A3">
              <w:rPr>
                <w:webHidden/>
              </w:rPr>
            </w:r>
            <w:r w:rsidR="005D64A3">
              <w:rPr>
                <w:webHidden/>
              </w:rPr>
              <w:fldChar w:fldCharType="separate"/>
            </w:r>
            <w:r w:rsidR="00E834E1">
              <w:rPr>
                <w:webHidden/>
              </w:rPr>
              <w:t>6-31</w:t>
            </w:r>
            <w:r w:rsidR="005D64A3">
              <w:rPr>
                <w:webHidden/>
              </w:rPr>
              <w:fldChar w:fldCharType="end"/>
            </w:r>
          </w:hyperlink>
        </w:p>
        <w:p w:rsidR="005D64A3" w:rsidRDefault="00B537F9">
          <w:pPr>
            <w:pStyle w:val="TOC3"/>
            <w:rPr>
              <w:rFonts w:asciiTheme="minorHAnsi" w:eastAsiaTheme="minorEastAsia" w:hAnsiTheme="minorHAnsi"/>
              <w:lang w:eastAsia="en-AU"/>
            </w:rPr>
          </w:pPr>
          <w:hyperlink w:anchor="_Toc435692218" w:history="1">
            <w:r w:rsidR="005D64A3" w:rsidRPr="0056734D">
              <w:rPr>
                <w:rStyle w:val="Hyperlink"/>
              </w:rPr>
              <w:t>6.4.7</w:t>
            </w:r>
            <w:r w:rsidR="005D64A3">
              <w:rPr>
                <w:rFonts w:asciiTheme="minorHAnsi" w:eastAsiaTheme="minorEastAsia" w:hAnsiTheme="minorHAnsi"/>
                <w:lang w:eastAsia="en-AU"/>
              </w:rPr>
              <w:tab/>
            </w:r>
            <w:r w:rsidR="005D64A3" w:rsidRPr="0056734D">
              <w:rPr>
                <w:rStyle w:val="Hyperlink"/>
              </w:rPr>
              <w:t>Network renewal and upgrade</w:t>
            </w:r>
            <w:r w:rsidR="005D64A3">
              <w:rPr>
                <w:webHidden/>
              </w:rPr>
              <w:tab/>
            </w:r>
            <w:r w:rsidR="005D64A3">
              <w:rPr>
                <w:webHidden/>
              </w:rPr>
              <w:fldChar w:fldCharType="begin"/>
            </w:r>
            <w:r w:rsidR="005D64A3">
              <w:rPr>
                <w:webHidden/>
              </w:rPr>
              <w:instrText xml:space="preserve"> PAGEREF _Toc435692218 \h </w:instrText>
            </w:r>
            <w:r w:rsidR="005D64A3">
              <w:rPr>
                <w:webHidden/>
              </w:rPr>
            </w:r>
            <w:r w:rsidR="005D64A3">
              <w:rPr>
                <w:webHidden/>
              </w:rPr>
              <w:fldChar w:fldCharType="separate"/>
            </w:r>
            <w:r w:rsidR="00E834E1">
              <w:rPr>
                <w:webHidden/>
              </w:rPr>
              <w:t>6-35</w:t>
            </w:r>
            <w:r w:rsidR="005D64A3">
              <w:rPr>
                <w:webHidden/>
              </w:rPr>
              <w:fldChar w:fldCharType="end"/>
            </w:r>
          </w:hyperlink>
        </w:p>
        <w:p w:rsidR="005D64A3" w:rsidRDefault="00B537F9">
          <w:pPr>
            <w:pStyle w:val="TOC3"/>
            <w:rPr>
              <w:rFonts w:asciiTheme="minorHAnsi" w:eastAsiaTheme="minorEastAsia" w:hAnsiTheme="minorHAnsi"/>
              <w:lang w:eastAsia="en-AU"/>
            </w:rPr>
          </w:pPr>
          <w:hyperlink w:anchor="_Toc435692219" w:history="1">
            <w:r w:rsidR="005D64A3" w:rsidRPr="0056734D">
              <w:rPr>
                <w:rStyle w:val="Hyperlink"/>
              </w:rPr>
              <w:t>6.4.8</w:t>
            </w:r>
            <w:r w:rsidR="005D64A3">
              <w:rPr>
                <w:rFonts w:asciiTheme="minorHAnsi" w:eastAsiaTheme="minorEastAsia" w:hAnsiTheme="minorHAnsi"/>
                <w:lang w:eastAsia="en-AU"/>
              </w:rPr>
              <w:tab/>
            </w:r>
            <w:r w:rsidR="005D64A3" w:rsidRPr="0056734D">
              <w:rPr>
                <w:rStyle w:val="Hyperlink"/>
              </w:rPr>
              <w:t>Meter renewal and upgrade</w:t>
            </w:r>
            <w:r w:rsidR="005D64A3">
              <w:rPr>
                <w:webHidden/>
              </w:rPr>
              <w:tab/>
            </w:r>
            <w:r w:rsidR="005D64A3">
              <w:rPr>
                <w:webHidden/>
              </w:rPr>
              <w:fldChar w:fldCharType="begin"/>
            </w:r>
            <w:r w:rsidR="005D64A3">
              <w:rPr>
                <w:webHidden/>
              </w:rPr>
              <w:instrText xml:space="preserve"> PAGEREF _Toc435692219 \h </w:instrText>
            </w:r>
            <w:r w:rsidR="005D64A3">
              <w:rPr>
                <w:webHidden/>
              </w:rPr>
            </w:r>
            <w:r w:rsidR="005D64A3">
              <w:rPr>
                <w:webHidden/>
              </w:rPr>
              <w:fldChar w:fldCharType="separate"/>
            </w:r>
            <w:r w:rsidR="00E834E1">
              <w:rPr>
                <w:webHidden/>
              </w:rPr>
              <w:t>6-37</w:t>
            </w:r>
            <w:r w:rsidR="005D64A3">
              <w:rPr>
                <w:webHidden/>
              </w:rPr>
              <w:fldChar w:fldCharType="end"/>
            </w:r>
          </w:hyperlink>
        </w:p>
        <w:p w:rsidR="005D64A3" w:rsidRDefault="00B537F9">
          <w:pPr>
            <w:pStyle w:val="TOC3"/>
            <w:rPr>
              <w:rFonts w:asciiTheme="minorHAnsi" w:eastAsiaTheme="minorEastAsia" w:hAnsiTheme="minorHAnsi"/>
              <w:lang w:eastAsia="en-AU"/>
            </w:rPr>
          </w:pPr>
          <w:hyperlink w:anchor="_Toc435692220" w:history="1">
            <w:r w:rsidR="005D64A3" w:rsidRPr="0056734D">
              <w:rPr>
                <w:rStyle w:val="Hyperlink"/>
              </w:rPr>
              <w:t>6.4.9</w:t>
            </w:r>
            <w:r w:rsidR="005D64A3">
              <w:rPr>
                <w:rFonts w:asciiTheme="minorHAnsi" w:eastAsiaTheme="minorEastAsia" w:hAnsiTheme="minorHAnsi"/>
                <w:lang w:eastAsia="en-AU"/>
              </w:rPr>
              <w:tab/>
            </w:r>
            <w:r w:rsidR="005D64A3" w:rsidRPr="0056734D">
              <w:rPr>
                <w:rStyle w:val="Hyperlink"/>
              </w:rPr>
              <w:t>Non–system capex</w:t>
            </w:r>
            <w:r w:rsidR="005D64A3">
              <w:rPr>
                <w:webHidden/>
              </w:rPr>
              <w:tab/>
            </w:r>
            <w:r w:rsidR="005D64A3">
              <w:rPr>
                <w:webHidden/>
              </w:rPr>
              <w:fldChar w:fldCharType="begin"/>
            </w:r>
            <w:r w:rsidR="005D64A3">
              <w:rPr>
                <w:webHidden/>
              </w:rPr>
              <w:instrText xml:space="preserve"> PAGEREF _Toc435692220 \h </w:instrText>
            </w:r>
            <w:r w:rsidR="005D64A3">
              <w:rPr>
                <w:webHidden/>
              </w:rPr>
            </w:r>
            <w:r w:rsidR="005D64A3">
              <w:rPr>
                <w:webHidden/>
              </w:rPr>
              <w:fldChar w:fldCharType="separate"/>
            </w:r>
            <w:r w:rsidR="00E834E1">
              <w:rPr>
                <w:webHidden/>
              </w:rPr>
              <w:t>6-38</w:t>
            </w:r>
            <w:r w:rsidR="005D64A3">
              <w:rPr>
                <w:webHidden/>
              </w:rPr>
              <w:fldChar w:fldCharType="end"/>
            </w:r>
          </w:hyperlink>
        </w:p>
        <w:p w:rsidR="005D64A3" w:rsidRDefault="00B537F9">
          <w:pPr>
            <w:pStyle w:val="TOC3"/>
            <w:rPr>
              <w:rFonts w:asciiTheme="minorHAnsi" w:eastAsiaTheme="minorEastAsia" w:hAnsiTheme="minorHAnsi"/>
              <w:lang w:eastAsia="en-AU"/>
            </w:rPr>
          </w:pPr>
          <w:hyperlink w:anchor="_Toc435692221" w:history="1">
            <w:r w:rsidR="005D64A3" w:rsidRPr="0056734D">
              <w:rPr>
                <w:rStyle w:val="Hyperlink"/>
              </w:rPr>
              <w:t>6.4.10</w:t>
            </w:r>
            <w:r w:rsidR="005D64A3">
              <w:rPr>
                <w:rFonts w:asciiTheme="minorHAnsi" w:eastAsiaTheme="minorEastAsia" w:hAnsiTheme="minorHAnsi"/>
                <w:lang w:eastAsia="en-AU"/>
              </w:rPr>
              <w:tab/>
            </w:r>
            <w:r w:rsidR="005D64A3" w:rsidRPr="0056734D">
              <w:rPr>
                <w:rStyle w:val="Hyperlink"/>
              </w:rPr>
              <w:t>Corporate overheads</w:t>
            </w:r>
            <w:r w:rsidR="005D64A3">
              <w:rPr>
                <w:webHidden/>
              </w:rPr>
              <w:tab/>
            </w:r>
            <w:r w:rsidR="005D64A3">
              <w:rPr>
                <w:webHidden/>
              </w:rPr>
              <w:fldChar w:fldCharType="begin"/>
            </w:r>
            <w:r w:rsidR="005D64A3">
              <w:rPr>
                <w:webHidden/>
              </w:rPr>
              <w:instrText xml:space="preserve"> PAGEREF _Toc435692221 \h </w:instrText>
            </w:r>
            <w:r w:rsidR="005D64A3">
              <w:rPr>
                <w:webHidden/>
              </w:rPr>
            </w:r>
            <w:r w:rsidR="005D64A3">
              <w:rPr>
                <w:webHidden/>
              </w:rPr>
              <w:fldChar w:fldCharType="separate"/>
            </w:r>
            <w:r w:rsidR="00E834E1">
              <w:rPr>
                <w:webHidden/>
              </w:rPr>
              <w:t>6-38</w:t>
            </w:r>
            <w:r w:rsidR="005D64A3">
              <w:rPr>
                <w:webHidden/>
              </w:rPr>
              <w:fldChar w:fldCharType="end"/>
            </w:r>
          </w:hyperlink>
        </w:p>
        <w:p w:rsidR="005D64A3" w:rsidRDefault="00B537F9">
          <w:pPr>
            <w:pStyle w:val="TOC3"/>
            <w:rPr>
              <w:rFonts w:asciiTheme="minorHAnsi" w:eastAsiaTheme="minorEastAsia" w:hAnsiTheme="minorHAnsi"/>
              <w:lang w:eastAsia="en-AU"/>
            </w:rPr>
          </w:pPr>
          <w:hyperlink w:anchor="_Toc435692222" w:history="1">
            <w:r w:rsidR="005D64A3" w:rsidRPr="0056734D">
              <w:rPr>
                <w:rStyle w:val="Hyperlink"/>
              </w:rPr>
              <w:t>6.4.11</w:t>
            </w:r>
            <w:r w:rsidR="005D64A3">
              <w:rPr>
                <w:rFonts w:asciiTheme="minorHAnsi" w:eastAsiaTheme="minorEastAsia" w:hAnsiTheme="minorHAnsi"/>
                <w:lang w:eastAsia="en-AU"/>
              </w:rPr>
              <w:tab/>
            </w:r>
            <w:r w:rsidR="005D64A3" w:rsidRPr="0056734D">
              <w:rPr>
                <w:rStyle w:val="Hyperlink"/>
              </w:rPr>
              <w:t>Labour and material cost escalation</w:t>
            </w:r>
            <w:r w:rsidR="005D64A3">
              <w:rPr>
                <w:webHidden/>
              </w:rPr>
              <w:tab/>
            </w:r>
            <w:r w:rsidR="005D64A3">
              <w:rPr>
                <w:webHidden/>
              </w:rPr>
              <w:fldChar w:fldCharType="begin"/>
            </w:r>
            <w:r w:rsidR="005D64A3">
              <w:rPr>
                <w:webHidden/>
              </w:rPr>
              <w:instrText xml:space="preserve"> PAGEREF _Toc435692222 \h </w:instrText>
            </w:r>
            <w:r w:rsidR="005D64A3">
              <w:rPr>
                <w:webHidden/>
              </w:rPr>
            </w:r>
            <w:r w:rsidR="005D64A3">
              <w:rPr>
                <w:webHidden/>
              </w:rPr>
              <w:fldChar w:fldCharType="separate"/>
            </w:r>
            <w:r w:rsidR="00E834E1">
              <w:rPr>
                <w:webHidden/>
              </w:rPr>
              <w:t>6-39</w:t>
            </w:r>
            <w:r w:rsidR="005D64A3">
              <w:rPr>
                <w:webHidden/>
              </w:rPr>
              <w:fldChar w:fldCharType="end"/>
            </w:r>
          </w:hyperlink>
        </w:p>
        <w:p w:rsidR="005D64A3" w:rsidRDefault="00B537F9">
          <w:pPr>
            <w:pStyle w:val="TOC2"/>
            <w:rPr>
              <w:rFonts w:asciiTheme="minorHAnsi" w:eastAsiaTheme="minorEastAsia" w:hAnsiTheme="minorHAnsi"/>
              <w:b w:val="0"/>
              <w:color w:val="auto"/>
              <w:sz w:val="22"/>
              <w:lang w:eastAsia="en-AU"/>
            </w:rPr>
          </w:pPr>
          <w:hyperlink w:anchor="_Toc435692223" w:history="1">
            <w:r w:rsidR="005D64A3" w:rsidRPr="0056734D">
              <w:rPr>
                <w:rStyle w:val="Hyperlink"/>
              </w:rPr>
              <w:t>6.5</w:t>
            </w:r>
            <w:r w:rsidR="005D64A3">
              <w:rPr>
                <w:rFonts w:asciiTheme="minorHAnsi" w:eastAsiaTheme="minorEastAsia" w:hAnsiTheme="minorHAnsi"/>
                <w:b w:val="0"/>
                <w:color w:val="auto"/>
                <w:sz w:val="22"/>
                <w:lang w:eastAsia="en-AU"/>
              </w:rPr>
              <w:tab/>
            </w:r>
            <w:r w:rsidR="005D64A3" w:rsidRPr="0056734D">
              <w:rPr>
                <w:rStyle w:val="Hyperlink"/>
              </w:rPr>
              <w:t>Revisions</w:t>
            </w:r>
            <w:r w:rsidR="005D64A3">
              <w:rPr>
                <w:webHidden/>
              </w:rPr>
              <w:tab/>
            </w:r>
            <w:r w:rsidR="005D64A3">
              <w:rPr>
                <w:webHidden/>
              </w:rPr>
              <w:fldChar w:fldCharType="begin"/>
            </w:r>
            <w:r w:rsidR="005D64A3">
              <w:rPr>
                <w:webHidden/>
              </w:rPr>
              <w:instrText xml:space="preserve"> PAGEREF _Toc435692223 \h </w:instrText>
            </w:r>
            <w:r w:rsidR="005D64A3">
              <w:rPr>
                <w:webHidden/>
              </w:rPr>
            </w:r>
            <w:r w:rsidR="005D64A3">
              <w:rPr>
                <w:webHidden/>
              </w:rPr>
              <w:fldChar w:fldCharType="separate"/>
            </w:r>
            <w:r w:rsidR="00E834E1">
              <w:rPr>
                <w:webHidden/>
              </w:rPr>
              <w:t>6-39</w:t>
            </w:r>
            <w:r w:rsidR="005D64A3">
              <w:rPr>
                <w:webHidden/>
              </w:rPr>
              <w:fldChar w:fldCharType="end"/>
            </w:r>
          </w:hyperlink>
        </w:p>
        <w:p w:rsidR="005D64A3" w:rsidRDefault="00B537F9">
          <w:pPr>
            <w:pStyle w:val="TOC1"/>
            <w:rPr>
              <w:rFonts w:asciiTheme="minorHAnsi" w:eastAsiaTheme="minorEastAsia" w:hAnsiTheme="minorHAnsi"/>
              <w:b w:val="0"/>
              <w:color w:val="auto"/>
              <w:sz w:val="22"/>
              <w:lang w:val="en-AU" w:eastAsia="en-AU"/>
            </w:rPr>
          </w:pPr>
          <w:hyperlink w:anchor="_Toc435692224" w:history="1">
            <w:r w:rsidR="005D64A3" w:rsidRPr="0056734D">
              <w:rPr>
                <w:rStyle w:val="Hyperlink"/>
              </w:rPr>
              <w:t>A</w:t>
            </w:r>
            <w:r w:rsidR="005D64A3">
              <w:rPr>
                <w:rFonts w:asciiTheme="minorHAnsi" w:eastAsiaTheme="minorEastAsia" w:hAnsiTheme="minorHAnsi"/>
                <w:b w:val="0"/>
                <w:color w:val="auto"/>
                <w:sz w:val="22"/>
                <w:lang w:val="en-AU" w:eastAsia="en-AU"/>
              </w:rPr>
              <w:tab/>
            </w:r>
            <w:r w:rsidR="005D64A3" w:rsidRPr="0056734D">
              <w:rPr>
                <w:rStyle w:val="Hyperlink"/>
              </w:rPr>
              <w:t>Real material cost escalation</w:t>
            </w:r>
            <w:r w:rsidR="005D64A3">
              <w:rPr>
                <w:webHidden/>
              </w:rPr>
              <w:tab/>
            </w:r>
            <w:r w:rsidR="005D64A3">
              <w:rPr>
                <w:webHidden/>
              </w:rPr>
              <w:fldChar w:fldCharType="begin"/>
            </w:r>
            <w:r w:rsidR="005D64A3">
              <w:rPr>
                <w:webHidden/>
              </w:rPr>
              <w:instrText xml:space="preserve"> PAGEREF _Toc435692224 \h </w:instrText>
            </w:r>
            <w:r w:rsidR="005D64A3">
              <w:rPr>
                <w:webHidden/>
              </w:rPr>
            </w:r>
            <w:r w:rsidR="005D64A3">
              <w:rPr>
                <w:webHidden/>
              </w:rPr>
              <w:fldChar w:fldCharType="separate"/>
            </w:r>
            <w:r w:rsidR="00E834E1">
              <w:rPr>
                <w:webHidden/>
              </w:rPr>
              <w:t>6-40</w:t>
            </w:r>
            <w:r w:rsidR="005D64A3">
              <w:rPr>
                <w:webHidden/>
              </w:rPr>
              <w:fldChar w:fldCharType="end"/>
            </w:r>
          </w:hyperlink>
        </w:p>
        <w:p w:rsidR="005D64A3" w:rsidRDefault="00B537F9">
          <w:pPr>
            <w:pStyle w:val="TOC2"/>
            <w:rPr>
              <w:rFonts w:asciiTheme="minorHAnsi" w:eastAsiaTheme="minorEastAsia" w:hAnsiTheme="minorHAnsi"/>
              <w:b w:val="0"/>
              <w:color w:val="auto"/>
              <w:sz w:val="22"/>
              <w:lang w:eastAsia="en-AU"/>
            </w:rPr>
          </w:pPr>
          <w:hyperlink w:anchor="_Toc435692225" w:history="1">
            <w:r w:rsidR="005D64A3" w:rsidRPr="0056734D">
              <w:rPr>
                <w:rStyle w:val="Hyperlink"/>
              </w:rPr>
              <w:t>A.1</w:t>
            </w:r>
            <w:r w:rsidR="005D64A3">
              <w:rPr>
                <w:rFonts w:asciiTheme="minorHAnsi" w:eastAsiaTheme="minorEastAsia" w:hAnsiTheme="minorHAnsi"/>
                <w:b w:val="0"/>
                <w:color w:val="auto"/>
                <w:sz w:val="22"/>
                <w:lang w:eastAsia="en-AU"/>
              </w:rPr>
              <w:tab/>
            </w:r>
            <w:r w:rsidR="005D64A3" w:rsidRPr="0056734D">
              <w:rPr>
                <w:rStyle w:val="Hyperlink"/>
              </w:rPr>
              <w:t>Position</w:t>
            </w:r>
            <w:r w:rsidR="005D64A3">
              <w:rPr>
                <w:webHidden/>
              </w:rPr>
              <w:tab/>
            </w:r>
            <w:r w:rsidR="005D64A3">
              <w:rPr>
                <w:webHidden/>
              </w:rPr>
              <w:fldChar w:fldCharType="begin"/>
            </w:r>
            <w:r w:rsidR="005D64A3">
              <w:rPr>
                <w:webHidden/>
              </w:rPr>
              <w:instrText xml:space="preserve"> PAGEREF _Toc435692225 \h </w:instrText>
            </w:r>
            <w:r w:rsidR="005D64A3">
              <w:rPr>
                <w:webHidden/>
              </w:rPr>
            </w:r>
            <w:r w:rsidR="005D64A3">
              <w:rPr>
                <w:webHidden/>
              </w:rPr>
              <w:fldChar w:fldCharType="separate"/>
            </w:r>
            <w:r w:rsidR="00E834E1">
              <w:rPr>
                <w:webHidden/>
              </w:rPr>
              <w:t>6-40</w:t>
            </w:r>
            <w:r w:rsidR="005D64A3">
              <w:rPr>
                <w:webHidden/>
              </w:rPr>
              <w:fldChar w:fldCharType="end"/>
            </w:r>
          </w:hyperlink>
        </w:p>
        <w:p w:rsidR="005D64A3" w:rsidRDefault="00B537F9">
          <w:pPr>
            <w:pStyle w:val="TOC2"/>
            <w:rPr>
              <w:rFonts w:asciiTheme="minorHAnsi" w:eastAsiaTheme="minorEastAsia" w:hAnsiTheme="minorHAnsi"/>
              <w:b w:val="0"/>
              <w:color w:val="auto"/>
              <w:sz w:val="22"/>
              <w:lang w:eastAsia="en-AU"/>
            </w:rPr>
          </w:pPr>
          <w:hyperlink w:anchor="_Toc435692226" w:history="1">
            <w:r w:rsidR="005D64A3" w:rsidRPr="0056734D">
              <w:rPr>
                <w:rStyle w:val="Hyperlink"/>
              </w:rPr>
              <w:t>A.2</w:t>
            </w:r>
            <w:r w:rsidR="005D64A3">
              <w:rPr>
                <w:rFonts w:asciiTheme="minorHAnsi" w:eastAsiaTheme="minorEastAsia" w:hAnsiTheme="minorHAnsi"/>
                <w:b w:val="0"/>
                <w:color w:val="auto"/>
                <w:sz w:val="22"/>
                <w:lang w:eastAsia="en-AU"/>
              </w:rPr>
              <w:tab/>
            </w:r>
            <w:r w:rsidR="005D64A3" w:rsidRPr="0056734D">
              <w:rPr>
                <w:rStyle w:val="Hyperlink"/>
              </w:rPr>
              <w:t>ActewAGL’s proposal</w:t>
            </w:r>
            <w:r w:rsidR="005D64A3">
              <w:rPr>
                <w:webHidden/>
              </w:rPr>
              <w:tab/>
            </w:r>
            <w:r w:rsidR="005D64A3">
              <w:rPr>
                <w:webHidden/>
              </w:rPr>
              <w:fldChar w:fldCharType="begin"/>
            </w:r>
            <w:r w:rsidR="005D64A3">
              <w:rPr>
                <w:webHidden/>
              </w:rPr>
              <w:instrText xml:space="preserve"> PAGEREF _Toc435692226 \h </w:instrText>
            </w:r>
            <w:r w:rsidR="005D64A3">
              <w:rPr>
                <w:webHidden/>
              </w:rPr>
            </w:r>
            <w:r w:rsidR="005D64A3">
              <w:rPr>
                <w:webHidden/>
              </w:rPr>
              <w:fldChar w:fldCharType="separate"/>
            </w:r>
            <w:r w:rsidR="00E834E1">
              <w:rPr>
                <w:webHidden/>
              </w:rPr>
              <w:t>6-41</w:t>
            </w:r>
            <w:r w:rsidR="005D64A3">
              <w:rPr>
                <w:webHidden/>
              </w:rPr>
              <w:fldChar w:fldCharType="end"/>
            </w:r>
          </w:hyperlink>
        </w:p>
        <w:p w:rsidR="005D64A3" w:rsidRDefault="00B537F9">
          <w:pPr>
            <w:pStyle w:val="TOC2"/>
            <w:rPr>
              <w:rFonts w:asciiTheme="minorHAnsi" w:eastAsiaTheme="minorEastAsia" w:hAnsiTheme="minorHAnsi"/>
              <w:b w:val="0"/>
              <w:color w:val="auto"/>
              <w:sz w:val="22"/>
              <w:lang w:eastAsia="en-AU"/>
            </w:rPr>
          </w:pPr>
          <w:hyperlink w:anchor="_Toc435692227" w:history="1">
            <w:r w:rsidR="005D64A3" w:rsidRPr="0056734D">
              <w:rPr>
                <w:rStyle w:val="Hyperlink"/>
              </w:rPr>
              <w:t>A.3</w:t>
            </w:r>
            <w:r w:rsidR="005D64A3">
              <w:rPr>
                <w:rFonts w:asciiTheme="minorHAnsi" w:eastAsiaTheme="minorEastAsia" w:hAnsiTheme="minorHAnsi"/>
                <w:b w:val="0"/>
                <w:color w:val="auto"/>
                <w:sz w:val="22"/>
                <w:lang w:eastAsia="en-AU"/>
              </w:rPr>
              <w:tab/>
            </w:r>
            <w:r w:rsidR="005D64A3" w:rsidRPr="0056734D">
              <w:rPr>
                <w:rStyle w:val="Hyperlink"/>
              </w:rPr>
              <w:t>Assessment approach</w:t>
            </w:r>
            <w:r w:rsidR="005D64A3">
              <w:rPr>
                <w:webHidden/>
              </w:rPr>
              <w:tab/>
            </w:r>
            <w:r w:rsidR="005D64A3">
              <w:rPr>
                <w:webHidden/>
              </w:rPr>
              <w:fldChar w:fldCharType="begin"/>
            </w:r>
            <w:r w:rsidR="005D64A3">
              <w:rPr>
                <w:webHidden/>
              </w:rPr>
              <w:instrText xml:space="preserve"> PAGEREF _Toc435692227 \h </w:instrText>
            </w:r>
            <w:r w:rsidR="005D64A3">
              <w:rPr>
                <w:webHidden/>
              </w:rPr>
            </w:r>
            <w:r w:rsidR="005D64A3">
              <w:rPr>
                <w:webHidden/>
              </w:rPr>
              <w:fldChar w:fldCharType="separate"/>
            </w:r>
            <w:r w:rsidR="00E834E1">
              <w:rPr>
                <w:webHidden/>
              </w:rPr>
              <w:t>6-42</w:t>
            </w:r>
            <w:r w:rsidR="005D64A3">
              <w:rPr>
                <w:webHidden/>
              </w:rPr>
              <w:fldChar w:fldCharType="end"/>
            </w:r>
          </w:hyperlink>
        </w:p>
        <w:p w:rsidR="005D64A3" w:rsidRDefault="00B537F9">
          <w:pPr>
            <w:pStyle w:val="TOC2"/>
            <w:rPr>
              <w:rFonts w:asciiTheme="minorHAnsi" w:eastAsiaTheme="minorEastAsia" w:hAnsiTheme="minorHAnsi"/>
              <w:b w:val="0"/>
              <w:color w:val="auto"/>
              <w:sz w:val="22"/>
              <w:lang w:eastAsia="en-AU"/>
            </w:rPr>
          </w:pPr>
          <w:hyperlink w:anchor="_Toc435692228" w:history="1">
            <w:r w:rsidR="005D64A3" w:rsidRPr="0056734D">
              <w:rPr>
                <w:rStyle w:val="Hyperlink"/>
              </w:rPr>
              <w:t>A.4</w:t>
            </w:r>
            <w:r w:rsidR="005D64A3">
              <w:rPr>
                <w:rFonts w:asciiTheme="minorHAnsi" w:eastAsiaTheme="minorEastAsia" w:hAnsiTheme="minorHAnsi"/>
                <w:b w:val="0"/>
                <w:color w:val="auto"/>
                <w:sz w:val="22"/>
                <w:lang w:eastAsia="en-AU"/>
              </w:rPr>
              <w:tab/>
            </w:r>
            <w:r w:rsidR="005D64A3" w:rsidRPr="0056734D">
              <w:rPr>
                <w:rStyle w:val="Hyperlink"/>
              </w:rPr>
              <w:t>Reasons</w:t>
            </w:r>
            <w:r w:rsidR="005D64A3">
              <w:rPr>
                <w:webHidden/>
              </w:rPr>
              <w:tab/>
            </w:r>
            <w:r w:rsidR="005D64A3">
              <w:rPr>
                <w:webHidden/>
              </w:rPr>
              <w:fldChar w:fldCharType="begin"/>
            </w:r>
            <w:r w:rsidR="005D64A3">
              <w:rPr>
                <w:webHidden/>
              </w:rPr>
              <w:instrText xml:space="preserve"> PAGEREF _Toc435692228 \h </w:instrText>
            </w:r>
            <w:r w:rsidR="005D64A3">
              <w:rPr>
                <w:webHidden/>
              </w:rPr>
            </w:r>
            <w:r w:rsidR="005D64A3">
              <w:rPr>
                <w:webHidden/>
              </w:rPr>
              <w:fldChar w:fldCharType="separate"/>
            </w:r>
            <w:r w:rsidR="00E834E1">
              <w:rPr>
                <w:webHidden/>
              </w:rPr>
              <w:t>6-43</w:t>
            </w:r>
            <w:r w:rsidR="005D64A3">
              <w:rPr>
                <w:webHidden/>
              </w:rPr>
              <w:fldChar w:fldCharType="end"/>
            </w:r>
          </w:hyperlink>
        </w:p>
        <w:p w:rsidR="005D64A3" w:rsidRDefault="00B537F9">
          <w:pPr>
            <w:pStyle w:val="TOC2"/>
            <w:rPr>
              <w:rFonts w:asciiTheme="minorHAnsi" w:eastAsiaTheme="minorEastAsia" w:hAnsiTheme="minorHAnsi"/>
              <w:b w:val="0"/>
              <w:color w:val="auto"/>
              <w:sz w:val="22"/>
              <w:lang w:eastAsia="en-AU"/>
            </w:rPr>
          </w:pPr>
          <w:hyperlink w:anchor="_Toc435692229" w:history="1">
            <w:r w:rsidR="005D64A3" w:rsidRPr="0056734D">
              <w:rPr>
                <w:rStyle w:val="Hyperlink"/>
              </w:rPr>
              <w:t>A.5</w:t>
            </w:r>
            <w:r w:rsidR="005D64A3">
              <w:rPr>
                <w:rFonts w:asciiTheme="minorHAnsi" w:eastAsiaTheme="minorEastAsia" w:hAnsiTheme="minorHAnsi"/>
                <w:b w:val="0"/>
                <w:color w:val="auto"/>
                <w:sz w:val="22"/>
                <w:lang w:eastAsia="en-AU"/>
              </w:rPr>
              <w:tab/>
            </w:r>
            <w:r w:rsidR="005D64A3" w:rsidRPr="0056734D">
              <w:rPr>
                <w:rStyle w:val="Hyperlink"/>
              </w:rPr>
              <w:t>Review of independent expert's reports</w:t>
            </w:r>
            <w:r w:rsidR="005D64A3">
              <w:rPr>
                <w:webHidden/>
              </w:rPr>
              <w:tab/>
            </w:r>
            <w:r w:rsidR="005D64A3">
              <w:rPr>
                <w:webHidden/>
              </w:rPr>
              <w:fldChar w:fldCharType="begin"/>
            </w:r>
            <w:r w:rsidR="005D64A3">
              <w:rPr>
                <w:webHidden/>
              </w:rPr>
              <w:instrText xml:space="preserve"> PAGEREF _Toc435692229 \h </w:instrText>
            </w:r>
            <w:r w:rsidR="005D64A3">
              <w:rPr>
                <w:webHidden/>
              </w:rPr>
            </w:r>
            <w:r w:rsidR="005D64A3">
              <w:rPr>
                <w:webHidden/>
              </w:rPr>
              <w:fldChar w:fldCharType="separate"/>
            </w:r>
            <w:r w:rsidR="00E834E1">
              <w:rPr>
                <w:webHidden/>
              </w:rPr>
              <w:t>6-47</w:t>
            </w:r>
            <w:r w:rsidR="005D64A3">
              <w:rPr>
                <w:webHidden/>
              </w:rPr>
              <w:fldChar w:fldCharType="end"/>
            </w:r>
          </w:hyperlink>
        </w:p>
        <w:p w:rsidR="005D64A3" w:rsidRDefault="00B537F9">
          <w:pPr>
            <w:pStyle w:val="TOC2"/>
            <w:rPr>
              <w:rFonts w:asciiTheme="minorHAnsi" w:eastAsiaTheme="minorEastAsia" w:hAnsiTheme="minorHAnsi"/>
              <w:b w:val="0"/>
              <w:color w:val="auto"/>
              <w:sz w:val="22"/>
              <w:lang w:eastAsia="en-AU"/>
            </w:rPr>
          </w:pPr>
          <w:hyperlink w:anchor="_Toc435692230" w:history="1">
            <w:r w:rsidR="005D64A3" w:rsidRPr="0056734D">
              <w:rPr>
                <w:rStyle w:val="Hyperlink"/>
              </w:rPr>
              <w:t>A.6</w:t>
            </w:r>
            <w:r w:rsidR="005D64A3">
              <w:rPr>
                <w:rFonts w:asciiTheme="minorHAnsi" w:eastAsiaTheme="minorEastAsia" w:hAnsiTheme="minorHAnsi"/>
                <w:b w:val="0"/>
                <w:color w:val="auto"/>
                <w:sz w:val="22"/>
                <w:lang w:eastAsia="en-AU"/>
              </w:rPr>
              <w:tab/>
            </w:r>
            <w:r w:rsidR="005D64A3" w:rsidRPr="0056734D">
              <w:rPr>
                <w:rStyle w:val="Hyperlink"/>
              </w:rPr>
              <w:t>Conclusions on materials cost escalation</w:t>
            </w:r>
            <w:r w:rsidR="005D64A3">
              <w:rPr>
                <w:webHidden/>
              </w:rPr>
              <w:tab/>
            </w:r>
            <w:r w:rsidR="005D64A3">
              <w:rPr>
                <w:webHidden/>
              </w:rPr>
              <w:fldChar w:fldCharType="begin"/>
            </w:r>
            <w:r w:rsidR="005D64A3">
              <w:rPr>
                <w:webHidden/>
              </w:rPr>
              <w:instrText xml:space="preserve"> PAGEREF _Toc435692230 \h </w:instrText>
            </w:r>
            <w:r w:rsidR="005D64A3">
              <w:rPr>
                <w:webHidden/>
              </w:rPr>
            </w:r>
            <w:r w:rsidR="005D64A3">
              <w:rPr>
                <w:webHidden/>
              </w:rPr>
              <w:fldChar w:fldCharType="separate"/>
            </w:r>
            <w:r w:rsidR="00E834E1">
              <w:rPr>
                <w:webHidden/>
              </w:rPr>
              <w:t>6-53</w:t>
            </w:r>
            <w:r w:rsidR="005D64A3">
              <w:rPr>
                <w:webHidden/>
              </w:rPr>
              <w:fldChar w:fldCharType="end"/>
            </w:r>
          </w:hyperlink>
        </w:p>
        <w:p w:rsidR="005D64A3" w:rsidRDefault="00B537F9">
          <w:pPr>
            <w:pStyle w:val="TOC2"/>
            <w:rPr>
              <w:rFonts w:asciiTheme="minorHAnsi" w:eastAsiaTheme="minorEastAsia" w:hAnsiTheme="minorHAnsi"/>
              <w:b w:val="0"/>
              <w:color w:val="auto"/>
              <w:sz w:val="22"/>
              <w:lang w:eastAsia="en-AU"/>
            </w:rPr>
          </w:pPr>
          <w:hyperlink w:anchor="_Toc435692231" w:history="1">
            <w:r w:rsidR="005D64A3" w:rsidRPr="0056734D">
              <w:rPr>
                <w:rStyle w:val="Hyperlink"/>
              </w:rPr>
              <w:t>A.7</w:t>
            </w:r>
            <w:r w:rsidR="005D64A3">
              <w:rPr>
                <w:rFonts w:asciiTheme="minorHAnsi" w:eastAsiaTheme="minorEastAsia" w:hAnsiTheme="minorHAnsi"/>
                <w:b w:val="0"/>
                <w:color w:val="auto"/>
                <w:sz w:val="22"/>
                <w:lang w:eastAsia="en-AU"/>
              </w:rPr>
              <w:tab/>
            </w:r>
            <w:r w:rsidR="005D64A3" w:rsidRPr="0056734D">
              <w:rPr>
                <w:rStyle w:val="Hyperlink"/>
              </w:rPr>
              <w:t>Labour escalators</w:t>
            </w:r>
            <w:r w:rsidR="005D64A3">
              <w:rPr>
                <w:webHidden/>
              </w:rPr>
              <w:tab/>
            </w:r>
            <w:r w:rsidR="005D64A3">
              <w:rPr>
                <w:webHidden/>
              </w:rPr>
              <w:fldChar w:fldCharType="begin"/>
            </w:r>
            <w:r w:rsidR="005D64A3">
              <w:rPr>
                <w:webHidden/>
              </w:rPr>
              <w:instrText xml:space="preserve"> PAGEREF _Toc435692231 \h </w:instrText>
            </w:r>
            <w:r w:rsidR="005D64A3">
              <w:rPr>
                <w:webHidden/>
              </w:rPr>
            </w:r>
            <w:r w:rsidR="005D64A3">
              <w:rPr>
                <w:webHidden/>
              </w:rPr>
              <w:fldChar w:fldCharType="separate"/>
            </w:r>
            <w:r w:rsidR="00E834E1">
              <w:rPr>
                <w:webHidden/>
              </w:rPr>
              <w:t>6-54</w:t>
            </w:r>
            <w:r w:rsidR="005D64A3">
              <w:rPr>
                <w:webHidden/>
              </w:rPr>
              <w:fldChar w:fldCharType="end"/>
            </w:r>
          </w:hyperlink>
        </w:p>
        <w:p w:rsidR="005D64A3" w:rsidRDefault="00B537F9">
          <w:pPr>
            <w:pStyle w:val="TOC1"/>
            <w:rPr>
              <w:rFonts w:asciiTheme="minorHAnsi" w:eastAsiaTheme="minorEastAsia" w:hAnsiTheme="minorHAnsi"/>
              <w:b w:val="0"/>
              <w:color w:val="auto"/>
              <w:sz w:val="22"/>
              <w:lang w:val="en-AU" w:eastAsia="en-AU"/>
            </w:rPr>
          </w:pPr>
          <w:hyperlink w:anchor="_Toc435692232" w:history="1">
            <w:r w:rsidR="005D64A3" w:rsidRPr="0056734D">
              <w:rPr>
                <w:rStyle w:val="Hyperlink"/>
              </w:rPr>
              <w:t>B</w:t>
            </w:r>
            <w:r w:rsidR="005D64A3">
              <w:rPr>
                <w:rFonts w:asciiTheme="minorHAnsi" w:eastAsiaTheme="minorEastAsia" w:hAnsiTheme="minorHAnsi"/>
                <w:b w:val="0"/>
                <w:color w:val="auto"/>
                <w:sz w:val="22"/>
                <w:lang w:val="en-AU" w:eastAsia="en-AU"/>
              </w:rPr>
              <w:tab/>
            </w:r>
            <w:r w:rsidR="005D64A3" w:rsidRPr="0056734D">
              <w:rPr>
                <w:rStyle w:val="Hyperlink"/>
              </w:rPr>
              <w:t>Unit rate model - data reporting and reconciliation issues with the access arrangement RIN</w:t>
            </w:r>
            <w:r w:rsidR="005D64A3">
              <w:rPr>
                <w:webHidden/>
              </w:rPr>
              <w:tab/>
            </w:r>
            <w:r w:rsidR="005D64A3">
              <w:rPr>
                <w:webHidden/>
              </w:rPr>
              <w:fldChar w:fldCharType="begin"/>
            </w:r>
            <w:r w:rsidR="005D64A3">
              <w:rPr>
                <w:webHidden/>
              </w:rPr>
              <w:instrText xml:space="preserve"> PAGEREF _Toc435692232 \h </w:instrText>
            </w:r>
            <w:r w:rsidR="005D64A3">
              <w:rPr>
                <w:webHidden/>
              </w:rPr>
            </w:r>
            <w:r w:rsidR="005D64A3">
              <w:rPr>
                <w:webHidden/>
              </w:rPr>
              <w:fldChar w:fldCharType="separate"/>
            </w:r>
            <w:r w:rsidR="00E834E1">
              <w:rPr>
                <w:webHidden/>
              </w:rPr>
              <w:t>6-55</w:t>
            </w:r>
            <w:r w:rsidR="005D64A3">
              <w:rPr>
                <w:webHidden/>
              </w:rPr>
              <w:fldChar w:fldCharType="end"/>
            </w:r>
          </w:hyperlink>
        </w:p>
        <w:p w:rsidR="005D64A3" w:rsidRDefault="00B537F9">
          <w:pPr>
            <w:pStyle w:val="TOC1"/>
            <w:rPr>
              <w:rFonts w:asciiTheme="minorHAnsi" w:eastAsiaTheme="minorEastAsia" w:hAnsiTheme="minorHAnsi"/>
              <w:b w:val="0"/>
              <w:color w:val="auto"/>
              <w:sz w:val="22"/>
              <w:lang w:val="en-AU" w:eastAsia="en-AU"/>
            </w:rPr>
          </w:pPr>
          <w:hyperlink w:anchor="_Toc435692233" w:history="1">
            <w:r w:rsidR="005D64A3" w:rsidRPr="0056734D">
              <w:rPr>
                <w:rStyle w:val="Hyperlink"/>
              </w:rPr>
              <w:t>C</w:t>
            </w:r>
            <w:r w:rsidR="005D64A3">
              <w:rPr>
                <w:rFonts w:asciiTheme="minorHAnsi" w:eastAsiaTheme="minorEastAsia" w:hAnsiTheme="minorHAnsi"/>
                <w:b w:val="0"/>
                <w:color w:val="auto"/>
                <w:sz w:val="22"/>
                <w:lang w:val="en-AU" w:eastAsia="en-AU"/>
              </w:rPr>
              <w:tab/>
            </w:r>
            <w:r w:rsidR="005D64A3" w:rsidRPr="0056734D">
              <w:rPr>
                <w:rStyle w:val="Hyperlink"/>
              </w:rPr>
              <w:t>Confidential appendix</w:t>
            </w:r>
            <w:r w:rsidR="005D64A3">
              <w:rPr>
                <w:webHidden/>
              </w:rPr>
              <w:tab/>
            </w:r>
            <w:r w:rsidR="005D64A3">
              <w:rPr>
                <w:webHidden/>
              </w:rPr>
              <w:fldChar w:fldCharType="begin"/>
            </w:r>
            <w:r w:rsidR="005D64A3">
              <w:rPr>
                <w:webHidden/>
              </w:rPr>
              <w:instrText xml:space="preserve"> PAGEREF _Toc435692233 \h </w:instrText>
            </w:r>
            <w:r w:rsidR="005D64A3">
              <w:rPr>
                <w:webHidden/>
              </w:rPr>
            </w:r>
            <w:r w:rsidR="005D64A3">
              <w:rPr>
                <w:webHidden/>
              </w:rPr>
              <w:fldChar w:fldCharType="separate"/>
            </w:r>
            <w:r w:rsidR="00E834E1">
              <w:rPr>
                <w:webHidden/>
              </w:rPr>
              <w:t>6-59</w:t>
            </w:r>
            <w:r w:rsidR="005D64A3">
              <w:rPr>
                <w:webHidden/>
              </w:rPr>
              <w:fldChar w:fldCharType="end"/>
            </w:r>
          </w:hyperlink>
        </w:p>
        <w:p w:rsidR="0061777C" w:rsidRDefault="00217E66" w:rsidP="00496223">
          <w:pPr>
            <w:pStyle w:val="TOC1"/>
            <w:numPr>
              <w:ilvl w:val="0"/>
              <w:numId w:val="23"/>
            </w:numPr>
          </w:pPr>
          <w:r>
            <w:rPr>
              <w:color w:val="auto"/>
              <w:sz w:val="22"/>
            </w:rPr>
            <w:fldChar w:fldCharType="end"/>
          </w:r>
        </w:p>
      </w:sdtContent>
    </w:sdt>
    <w:p w:rsidR="00EE77FA" w:rsidRDefault="00DE563D" w:rsidP="00E834E1">
      <w:pPr>
        <w:pStyle w:val="UnnumberedHeading"/>
      </w:pPr>
      <w:bookmarkStart w:id="7" w:name="_Toc404700925"/>
      <w:bookmarkStart w:id="8" w:name="_Toc435692202"/>
      <w:r>
        <w:t>Shortened forms</w:t>
      </w:r>
      <w:bookmarkEnd w:id="7"/>
      <w:bookmarkEnd w:id="8"/>
    </w:p>
    <w:tbl>
      <w:tblPr>
        <w:tblStyle w:val="AERtable-numbers"/>
        <w:tblW w:w="0" w:type="auto"/>
        <w:tblLook w:val="04A0" w:firstRow="1" w:lastRow="0" w:firstColumn="1" w:lastColumn="0" w:noHBand="0" w:noVBand="1"/>
      </w:tblPr>
      <w:tblGrid>
        <w:gridCol w:w="3652"/>
        <w:gridCol w:w="5041"/>
      </w:tblGrid>
      <w:tr w:rsidR="00F60A1A" w:rsidTr="00AF5B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Shortened form</w:t>
            </w:r>
          </w:p>
        </w:tc>
        <w:tc>
          <w:tcPr>
            <w:tcW w:w="5041" w:type="dxa"/>
          </w:tcPr>
          <w:p w:rsidR="00F60A1A" w:rsidRDefault="00F60A1A" w:rsidP="00F60A1A">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F60A1A" w:rsidTr="00AF5BD6">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AA</w:t>
            </w:r>
          </w:p>
        </w:tc>
        <w:tc>
          <w:tcPr>
            <w:tcW w:w="5041" w:type="dxa"/>
          </w:tcPr>
          <w:p w:rsidR="00F60A1A" w:rsidRPr="00F60A1A" w:rsidRDefault="00F60A1A" w:rsidP="00F60A1A">
            <w:pPr>
              <w:cnfStyle w:val="000000000000" w:firstRow="0" w:lastRow="0" w:firstColumn="0" w:lastColumn="0" w:oddVBand="0" w:evenVBand="0" w:oddHBand="0" w:evenHBand="0" w:firstRowFirstColumn="0" w:firstRowLastColumn="0" w:lastRowFirstColumn="0" w:lastRowLastColumn="0"/>
            </w:pPr>
            <w:r>
              <w:t>Access Arrangement</w:t>
            </w:r>
          </w:p>
        </w:tc>
      </w:tr>
      <w:tr w:rsidR="00F60A1A" w:rsidTr="00AF5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AAI</w:t>
            </w:r>
          </w:p>
        </w:tc>
        <w:tc>
          <w:tcPr>
            <w:tcW w:w="5041" w:type="dxa"/>
          </w:tcPr>
          <w:p w:rsidR="00F60A1A" w:rsidRPr="00F60A1A" w:rsidRDefault="00F60A1A" w:rsidP="00F60A1A">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F60A1A" w:rsidTr="00AF5BD6">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AER</w:t>
            </w:r>
          </w:p>
        </w:tc>
        <w:tc>
          <w:tcPr>
            <w:tcW w:w="5041" w:type="dxa"/>
          </w:tcPr>
          <w:p w:rsidR="00F60A1A" w:rsidRDefault="00F60A1A" w:rsidP="00F60A1A">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F60A1A" w:rsidTr="00AF5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ASA</w:t>
            </w:r>
          </w:p>
        </w:tc>
        <w:tc>
          <w:tcPr>
            <w:tcW w:w="5041" w:type="dxa"/>
          </w:tcPr>
          <w:p w:rsidR="00F60A1A" w:rsidRPr="00F60A1A" w:rsidRDefault="00F60A1A" w:rsidP="00F60A1A">
            <w:pPr>
              <w:cnfStyle w:val="000000010000" w:firstRow="0" w:lastRow="0" w:firstColumn="0" w:lastColumn="0" w:oddVBand="0" w:evenVBand="0" w:oddHBand="0" w:evenHBand="1" w:firstRowFirstColumn="0" w:firstRowLastColumn="0" w:lastRowFirstColumn="0" w:lastRowLastColumn="0"/>
            </w:pPr>
            <w:r>
              <w:t>Asset Services Agreement</w:t>
            </w:r>
          </w:p>
        </w:tc>
      </w:tr>
      <w:tr w:rsidR="00F60A1A" w:rsidTr="00AF5BD6">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ATO</w:t>
            </w:r>
          </w:p>
        </w:tc>
        <w:tc>
          <w:tcPr>
            <w:tcW w:w="5041" w:type="dxa"/>
          </w:tcPr>
          <w:p w:rsidR="00F60A1A" w:rsidRPr="00F60A1A" w:rsidRDefault="00F60A1A" w:rsidP="00F60A1A">
            <w:pPr>
              <w:cnfStyle w:val="000000000000" w:firstRow="0" w:lastRow="0" w:firstColumn="0" w:lastColumn="0" w:oddVBand="0" w:evenVBand="0" w:oddHBand="0" w:evenHBand="0" w:firstRowFirstColumn="0" w:firstRowLastColumn="0" w:lastRowFirstColumn="0" w:lastRowLastColumn="0"/>
            </w:pPr>
            <w:r>
              <w:t>Australian Tax Office</w:t>
            </w:r>
          </w:p>
        </w:tc>
      </w:tr>
      <w:tr w:rsidR="00F60A1A" w:rsidTr="00AF5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capex</w:t>
            </w:r>
          </w:p>
        </w:tc>
        <w:tc>
          <w:tcPr>
            <w:tcW w:w="5041" w:type="dxa"/>
          </w:tcPr>
          <w:p w:rsidR="00F60A1A" w:rsidRDefault="00F60A1A" w:rsidP="00F60A1A">
            <w:pPr>
              <w:numPr>
                <w:ilvl w:val="0"/>
                <w:numId w:val="24"/>
              </w:numPr>
              <w:cnfStyle w:val="000000010000" w:firstRow="0" w:lastRow="0" w:firstColumn="0" w:lastColumn="0" w:oddVBand="0" w:evenVBand="0" w:oddHBand="0" w:evenHBand="1" w:firstRowFirstColumn="0" w:firstRowLastColumn="0" w:lastRowFirstColumn="0" w:lastRowLastColumn="0"/>
            </w:pPr>
            <w:r>
              <w:t>capital expenditure</w:t>
            </w:r>
          </w:p>
        </w:tc>
      </w:tr>
      <w:tr w:rsidR="00F60A1A" w:rsidTr="00AF5BD6">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CAPM</w:t>
            </w:r>
          </w:p>
        </w:tc>
        <w:tc>
          <w:tcPr>
            <w:tcW w:w="5041" w:type="dxa"/>
          </w:tcPr>
          <w:p w:rsidR="00F60A1A" w:rsidRDefault="00F60A1A" w:rsidP="00F60A1A">
            <w:pPr>
              <w:numPr>
                <w:ilvl w:val="0"/>
                <w:numId w:val="24"/>
              </w:numPr>
              <w:cnfStyle w:val="000000000000" w:firstRow="0" w:lastRow="0" w:firstColumn="0" w:lastColumn="0" w:oddVBand="0" w:evenVBand="0" w:oddHBand="0" w:evenHBand="0" w:firstRowFirstColumn="0" w:firstRowLastColumn="0" w:lastRowFirstColumn="0" w:lastRowLastColumn="0"/>
            </w:pPr>
            <w:r>
              <w:t>capital asset pricing model</w:t>
            </w:r>
          </w:p>
        </w:tc>
      </w:tr>
      <w:tr w:rsidR="00F60A1A" w:rsidTr="00AF5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CCP</w:t>
            </w:r>
          </w:p>
        </w:tc>
        <w:tc>
          <w:tcPr>
            <w:tcW w:w="5041" w:type="dxa"/>
          </w:tcPr>
          <w:p w:rsidR="00F60A1A" w:rsidRDefault="00F60A1A" w:rsidP="00F60A1A">
            <w:pPr>
              <w:numPr>
                <w:ilvl w:val="0"/>
                <w:numId w:val="24"/>
              </w:numPr>
              <w:cnfStyle w:val="000000010000" w:firstRow="0" w:lastRow="0" w:firstColumn="0" w:lastColumn="0" w:oddVBand="0" w:evenVBand="0" w:oddHBand="0" w:evenHBand="1" w:firstRowFirstColumn="0" w:firstRowLastColumn="0" w:lastRowFirstColumn="0" w:lastRowLastColumn="0"/>
            </w:pPr>
            <w:r>
              <w:t>Consumer Challenge Panel</w:t>
            </w:r>
          </w:p>
        </w:tc>
      </w:tr>
      <w:tr w:rsidR="00F60A1A" w:rsidTr="00AF5BD6">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CESS</w:t>
            </w:r>
          </w:p>
        </w:tc>
        <w:tc>
          <w:tcPr>
            <w:tcW w:w="5041" w:type="dxa"/>
          </w:tcPr>
          <w:p w:rsidR="00F60A1A" w:rsidRDefault="00F60A1A" w:rsidP="00F60A1A">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F60A1A" w:rsidTr="00AF5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CMF</w:t>
            </w:r>
          </w:p>
        </w:tc>
        <w:tc>
          <w:tcPr>
            <w:tcW w:w="5041" w:type="dxa"/>
          </w:tcPr>
          <w:p w:rsidR="00F60A1A" w:rsidRPr="00F60A1A" w:rsidRDefault="00F60A1A" w:rsidP="00F60A1A">
            <w:pPr>
              <w:cnfStyle w:val="000000010000" w:firstRow="0" w:lastRow="0" w:firstColumn="0" w:lastColumn="0" w:oddVBand="0" w:evenVBand="0" w:oddHBand="0" w:evenHBand="1" w:firstRowFirstColumn="0" w:firstRowLastColumn="0" w:lastRowFirstColumn="0" w:lastRowLastColumn="0"/>
            </w:pPr>
            <w:r>
              <w:t>construction management fee</w:t>
            </w:r>
          </w:p>
        </w:tc>
      </w:tr>
      <w:tr w:rsidR="00F60A1A" w:rsidTr="00AF5BD6">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CPI</w:t>
            </w:r>
          </w:p>
        </w:tc>
        <w:tc>
          <w:tcPr>
            <w:tcW w:w="5041" w:type="dxa"/>
          </w:tcPr>
          <w:p w:rsidR="00F60A1A" w:rsidRDefault="00F60A1A" w:rsidP="00F60A1A">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F60A1A" w:rsidTr="00AF5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DAMS</w:t>
            </w:r>
          </w:p>
        </w:tc>
        <w:tc>
          <w:tcPr>
            <w:tcW w:w="5041" w:type="dxa"/>
          </w:tcPr>
          <w:p w:rsidR="00F60A1A" w:rsidRPr="00F60A1A" w:rsidRDefault="00F60A1A" w:rsidP="00F60A1A">
            <w:pPr>
              <w:cnfStyle w:val="000000010000" w:firstRow="0" w:lastRow="0" w:firstColumn="0" w:lastColumn="0" w:oddVBand="0" w:evenVBand="0" w:oddHBand="0" w:evenHBand="1" w:firstRowFirstColumn="0" w:firstRowLastColumn="0" w:lastRowFirstColumn="0" w:lastRowLastColumn="0"/>
            </w:pPr>
            <w:r>
              <w:t>Distribution Asset Management Services</w:t>
            </w:r>
          </w:p>
        </w:tc>
      </w:tr>
      <w:tr w:rsidR="00F60A1A" w:rsidTr="00AF5BD6">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DRP</w:t>
            </w:r>
          </w:p>
        </w:tc>
        <w:tc>
          <w:tcPr>
            <w:tcW w:w="5041" w:type="dxa"/>
          </w:tcPr>
          <w:p w:rsidR="00F60A1A" w:rsidRDefault="00F60A1A" w:rsidP="00F60A1A">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F60A1A" w:rsidTr="00AF5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EBSS</w:t>
            </w:r>
          </w:p>
        </w:tc>
        <w:tc>
          <w:tcPr>
            <w:tcW w:w="5041" w:type="dxa"/>
          </w:tcPr>
          <w:p w:rsidR="00F60A1A" w:rsidRPr="00F60A1A" w:rsidRDefault="00F60A1A" w:rsidP="00F60A1A">
            <w:pPr>
              <w:cnfStyle w:val="000000010000" w:firstRow="0" w:lastRow="0" w:firstColumn="0" w:lastColumn="0" w:oddVBand="0" w:evenVBand="0" w:oddHBand="0" w:evenHBand="1" w:firstRowFirstColumn="0" w:firstRowLastColumn="0" w:lastRowFirstColumn="0" w:lastRowLastColumn="0"/>
            </w:pPr>
            <w:r>
              <w:t>Efficiency Benefit Sharing Scheme</w:t>
            </w:r>
          </w:p>
        </w:tc>
      </w:tr>
      <w:tr w:rsidR="00F60A1A" w:rsidTr="00AF5BD6">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EIL</w:t>
            </w:r>
          </w:p>
        </w:tc>
        <w:tc>
          <w:tcPr>
            <w:tcW w:w="5041" w:type="dxa"/>
          </w:tcPr>
          <w:p w:rsidR="00F60A1A" w:rsidRPr="00F60A1A" w:rsidRDefault="00F60A1A" w:rsidP="00F60A1A">
            <w:pPr>
              <w:cnfStyle w:val="000000000000" w:firstRow="0" w:lastRow="0" w:firstColumn="0" w:lastColumn="0" w:oddVBand="0" w:evenVBand="0" w:oddHBand="0" w:evenHBand="0" w:firstRowFirstColumn="0" w:firstRowLastColumn="0" w:lastRowFirstColumn="0" w:lastRowLastColumn="0"/>
            </w:pPr>
            <w:r>
              <w:t xml:space="preserve">Energy Industry </w:t>
            </w:r>
            <w:r w:rsidRPr="00F60A1A">
              <w:t>Levy</w:t>
            </w:r>
          </w:p>
        </w:tc>
      </w:tr>
      <w:tr w:rsidR="00F60A1A" w:rsidTr="00AF5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ERP</w:t>
            </w:r>
          </w:p>
        </w:tc>
        <w:tc>
          <w:tcPr>
            <w:tcW w:w="5041" w:type="dxa"/>
          </w:tcPr>
          <w:p w:rsidR="00F60A1A" w:rsidRDefault="00F60A1A" w:rsidP="00F60A1A">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F60A1A" w:rsidTr="00AF5BD6">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Expenditure Guideline</w:t>
            </w:r>
          </w:p>
        </w:tc>
        <w:tc>
          <w:tcPr>
            <w:tcW w:w="5041" w:type="dxa"/>
          </w:tcPr>
          <w:p w:rsidR="00F60A1A" w:rsidRPr="00F60A1A" w:rsidRDefault="00F60A1A" w:rsidP="00F60A1A">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F60A1A" w:rsidTr="00AF5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gamma</w:t>
            </w:r>
          </w:p>
        </w:tc>
        <w:tc>
          <w:tcPr>
            <w:tcW w:w="5041" w:type="dxa"/>
          </w:tcPr>
          <w:p w:rsidR="00F60A1A" w:rsidRPr="00F60A1A" w:rsidRDefault="00F60A1A" w:rsidP="00F60A1A">
            <w:pPr>
              <w:cnfStyle w:val="000000010000" w:firstRow="0" w:lastRow="0" w:firstColumn="0" w:lastColumn="0" w:oddVBand="0" w:evenVBand="0" w:oddHBand="0" w:evenHBand="1" w:firstRowFirstColumn="0" w:firstRowLastColumn="0" w:lastRowFirstColumn="0" w:lastRowLastColumn="0"/>
            </w:pPr>
            <w:r>
              <w:t>Value of Imputation Credits</w:t>
            </w:r>
          </w:p>
        </w:tc>
      </w:tr>
      <w:tr w:rsidR="00F60A1A" w:rsidTr="00AF5BD6">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GSL</w:t>
            </w:r>
          </w:p>
        </w:tc>
        <w:tc>
          <w:tcPr>
            <w:tcW w:w="5041" w:type="dxa"/>
          </w:tcPr>
          <w:p w:rsidR="00F60A1A" w:rsidRPr="00F60A1A" w:rsidRDefault="00F60A1A" w:rsidP="00F60A1A">
            <w:pPr>
              <w:cnfStyle w:val="000000000000" w:firstRow="0" w:lastRow="0" w:firstColumn="0" w:lastColumn="0" w:oddVBand="0" w:evenVBand="0" w:oddHBand="0" w:evenHBand="0" w:firstRowFirstColumn="0" w:firstRowLastColumn="0" w:lastRowFirstColumn="0" w:lastRowLastColumn="0"/>
            </w:pPr>
            <w:r>
              <w:t>Guaranteed Service Level</w:t>
            </w:r>
          </w:p>
        </w:tc>
      </w:tr>
      <w:tr w:rsidR="00F60A1A" w:rsidTr="00AF5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GTA</w:t>
            </w:r>
          </w:p>
        </w:tc>
        <w:tc>
          <w:tcPr>
            <w:tcW w:w="5041" w:type="dxa"/>
          </w:tcPr>
          <w:p w:rsidR="00F60A1A" w:rsidRPr="00F60A1A" w:rsidRDefault="00F60A1A" w:rsidP="00F60A1A">
            <w:pPr>
              <w:cnfStyle w:val="000000010000" w:firstRow="0" w:lastRow="0" w:firstColumn="0" w:lastColumn="0" w:oddVBand="0" w:evenVBand="0" w:oddHBand="0" w:evenHBand="1" w:firstRowFirstColumn="0" w:firstRowLastColumn="0" w:lastRowFirstColumn="0" w:lastRowLastColumn="0"/>
            </w:pPr>
            <w:r>
              <w:t>gas transport services agreement</w:t>
            </w:r>
          </w:p>
        </w:tc>
      </w:tr>
      <w:tr w:rsidR="00F60A1A" w:rsidTr="00AF5BD6">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ICRC</w:t>
            </w:r>
          </w:p>
        </w:tc>
        <w:tc>
          <w:tcPr>
            <w:tcW w:w="5041" w:type="dxa"/>
          </w:tcPr>
          <w:p w:rsidR="00F60A1A" w:rsidRPr="00F60A1A" w:rsidRDefault="00F60A1A" w:rsidP="00F60A1A">
            <w:pPr>
              <w:cnfStyle w:val="000000000000" w:firstRow="0" w:lastRow="0" w:firstColumn="0" w:lastColumn="0" w:oddVBand="0" w:evenVBand="0" w:oddHBand="0" w:evenHBand="0" w:firstRowFirstColumn="0" w:firstRowLastColumn="0" w:lastRowFirstColumn="0" w:lastRowLastColumn="0"/>
            </w:pPr>
            <w:r>
              <w:t>Independent Competition and Regulatory Commission</w:t>
            </w:r>
          </w:p>
        </w:tc>
      </w:tr>
      <w:tr w:rsidR="00F60A1A" w:rsidTr="00AF5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MRP</w:t>
            </w:r>
          </w:p>
        </w:tc>
        <w:tc>
          <w:tcPr>
            <w:tcW w:w="5041" w:type="dxa"/>
          </w:tcPr>
          <w:p w:rsidR="00F60A1A" w:rsidRDefault="00F60A1A" w:rsidP="00F60A1A">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F60A1A" w:rsidTr="00AF5BD6">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NECF</w:t>
            </w:r>
          </w:p>
        </w:tc>
        <w:tc>
          <w:tcPr>
            <w:tcW w:w="5041" w:type="dxa"/>
          </w:tcPr>
          <w:p w:rsidR="00F60A1A" w:rsidRPr="00F60A1A" w:rsidRDefault="00F60A1A" w:rsidP="00F60A1A">
            <w:pPr>
              <w:cnfStyle w:val="000000000000" w:firstRow="0" w:lastRow="0" w:firstColumn="0" w:lastColumn="0" w:oddVBand="0" w:evenVBand="0" w:oddHBand="0" w:evenHBand="0" w:firstRowFirstColumn="0" w:firstRowLastColumn="0" w:lastRowFirstColumn="0" w:lastRowLastColumn="0"/>
            </w:pPr>
            <w:r>
              <w:t>National Energy Customer Framework</w:t>
            </w:r>
          </w:p>
        </w:tc>
      </w:tr>
      <w:tr w:rsidR="00F60A1A" w:rsidTr="00AF5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NERL</w:t>
            </w:r>
          </w:p>
        </w:tc>
        <w:tc>
          <w:tcPr>
            <w:tcW w:w="5041" w:type="dxa"/>
          </w:tcPr>
          <w:p w:rsidR="00F60A1A" w:rsidRPr="00F60A1A" w:rsidRDefault="00F60A1A" w:rsidP="00F60A1A">
            <w:pPr>
              <w:cnfStyle w:val="000000010000" w:firstRow="0" w:lastRow="0" w:firstColumn="0" w:lastColumn="0" w:oddVBand="0" w:evenVBand="0" w:oddHBand="0" w:evenHBand="1" w:firstRowFirstColumn="0" w:firstRowLastColumn="0" w:lastRowFirstColumn="0" w:lastRowLastColumn="0"/>
            </w:pPr>
            <w:r>
              <w:t>National Energy Retail Law</w:t>
            </w:r>
          </w:p>
        </w:tc>
      </w:tr>
      <w:tr w:rsidR="00F60A1A" w:rsidTr="00AF5BD6">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NERR</w:t>
            </w:r>
          </w:p>
        </w:tc>
        <w:tc>
          <w:tcPr>
            <w:tcW w:w="5041" w:type="dxa"/>
          </w:tcPr>
          <w:p w:rsidR="00F60A1A" w:rsidRDefault="00F60A1A" w:rsidP="00F60A1A">
            <w:pPr>
              <w:numPr>
                <w:ilvl w:val="0"/>
                <w:numId w:val="24"/>
              </w:numPr>
              <w:cnfStyle w:val="000000000000" w:firstRow="0" w:lastRow="0" w:firstColumn="0" w:lastColumn="0" w:oddVBand="0" w:evenVBand="0" w:oddHBand="0" w:evenHBand="0" w:firstRowFirstColumn="0" w:firstRowLastColumn="0" w:lastRowFirstColumn="0" w:lastRowLastColumn="0"/>
            </w:pPr>
            <w:r>
              <w:t>National Energy Retail Rules</w:t>
            </w:r>
          </w:p>
        </w:tc>
      </w:tr>
      <w:tr w:rsidR="00F60A1A" w:rsidTr="00AF5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NGL</w:t>
            </w:r>
          </w:p>
        </w:tc>
        <w:tc>
          <w:tcPr>
            <w:tcW w:w="5041" w:type="dxa"/>
          </w:tcPr>
          <w:p w:rsidR="00F60A1A" w:rsidRDefault="00F60A1A" w:rsidP="00F60A1A">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F60A1A" w:rsidTr="00AF5BD6">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NGO</w:t>
            </w:r>
          </w:p>
        </w:tc>
        <w:tc>
          <w:tcPr>
            <w:tcW w:w="5041" w:type="dxa"/>
          </w:tcPr>
          <w:p w:rsidR="00F60A1A" w:rsidRDefault="00F60A1A" w:rsidP="00F60A1A">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F60A1A" w:rsidTr="00AF5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NGR</w:t>
            </w:r>
          </w:p>
        </w:tc>
        <w:tc>
          <w:tcPr>
            <w:tcW w:w="5041" w:type="dxa"/>
          </w:tcPr>
          <w:p w:rsidR="00F60A1A" w:rsidRDefault="00F60A1A" w:rsidP="00F60A1A">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F60A1A" w:rsidTr="00AF5BD6">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NPV</w:t>
            </w:r>
          </w:p>
        </w:tc>
        <w:tc>
          <w:tcPr>
            <w:tcW w:w="5041" w:type="dxa"/>
          </w:tcPr>
          <w:p w:rsidR="00F60A1A" w:rsidRPr="00F60A1A" w:rsidRDefault="00F60A1A" w:rsidP="00F60A1A">
            <w:pPr>
              <w:cnfStyle w:val="000000000000" w:firstRow="0" w:lastRow="0" w:firstColumn="0" w:lastColumn="0" w:oddVBand="0" w:evenVBand="0" w:oddHBand="0" w:evenHBand="0" w:firstRowFirstColumn="0" w:firstRowLastColumn="0" w:lastRowFirstColumn="0" w:lastRowLastColumn="0"/>
            </w:pPr>
            <w:r>
              <w:t>net present value</w:t>
            </w:r>
          </w:p>
        </w:tc>
      </w:tr>
      <w:tr w:rsidR="00F60A1A" w:rsidTr="00AF5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opex</w:t>
            </w:r>
          </w:p>
        </w:tc>
        <w:tc>
          <w:tcPr>
            <w:tcW w:w="5041" w:type="dxa"/>
          </w:tcPr>
          <w:p w:rsidR="00F60A1A" w:rsidRDefault="00F60A1A" w:rsidP="00F60A1A">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F60A1A" w:rsidTr="00AF5BD6">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PFP</w:t>
            </w:r>
          </w:p>
        </w:tc>
        <w:tc>
          <w:tcPr>
            <w:tcW w:w="5041" w:type="dxa"/>
          </w:tcPr>
          <w:p w:rsidR="00F60A1A" w:rsidRPr="00F60A1A" w:rsidRDefault="00F60A1A" w:rsidP="00F60A1A">
            <w:pPr>
              <w:cnfStyle w:val="000000000000" w:firstRow="0" w:lastRow="0" w:firstColumn="0" w:lastColumn="0" w:oddVBand="0" w:evenVBand="0" w:oddHBand="0" w:evenHBand="0" w:firstRowFirstColumn="0" w:firstRowLastColumn="0" w:lastRowFirstColumn="0" w:lastRowLastColumn="0"/>
            </w:pPr>
            <w:r>
              <w:t>partial factor productivity</w:t>
            </w:r>
          </w:p>
        </w:tc>
      </w:tr>
      <w:tr w:rsidR="00F60A1A" w:rsidTr="00AF5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PPI</w:t>
            </w:r>
          </w:p>
        </w:tc>
        <w:tc>
          <w:tcPr>
            <w:tcW w:w="5041" w:type="dxa"/>
          </w:tcPr>
          <w:p w:rsidR="00F60A1A" w:rsidRDefault="00F60A1A" w:rsidP="00F60A1A">
            <w:pPr>
              <w:numPr>
                <w:ilvl w:val="0"/>
                <w:numId w:val="24"/>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F60A1A" w:rsidTr="00AF5BD6">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PTRM</w:t>
            </w:r>
          </w:p>
        </w:tc>
        <w:tc>
          <w:tcPr>
            <w:tcW w:w="5041" w:type="dxa"/>
          </w:tcPr>
          <w:p w:rsidR="00F60A1A" w:rsidRDefault="00F60A1A" w:rsidP="00F60A1A">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F60A1A" w:rsidTr="00AF5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RBA</w:t>
            </w:r>
          </w:p>
        </w:tc>
        <w:tc>
          <w:tcPr>
            <w:tcW w:w="5041" w:type="dxa"/>
          </w:tcPr>
          <w:p w:rsidR="00F60A1A" w:rsidRDefault="00F60A1A" w:rsidP="00F60A1A">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F60A1A" w:rsidTr="00AF5BD6">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RFM</w:t>
            </w:r>
          </w:p>
        </w:tc>
        <w:tc>
          <w:tcPr>
            <w:tcW w:w="5041" w:type="dxa"/>
          </w:tcPr>
          <w:p w:rsidR="00F60A1A" w:rsidRDefault="00F60A1A" w:rsidP="00F60A1A">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F60A1A" w:rsidTr="00AF5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RIN</w:t>
            </w:r>
          </w:p>
        </w:tc>
        <w:tc>
          <w:tcPr>
            <w:tcW w:w="5041" w:type="dxa"/>
          </w:tcPr>
          <w:p w:rsidR="00F60A1A" w:rsidRDefault="00F60A1A" w:rsidP="00F60A1A">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F60A1A" w:rsidTr="00AF5BD6">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proofErr w:type="spellStart"/>
            <w:r>
              <w:t>RoLR</w:t>
            </w:r>
            <w:proofErr w:type="spellEnd"/>
          </w:p>
        </w:tc>
        <w:tc>
          <w:tcPr>
            <w:tcW w:w="5041" w:type="dxa"/>
          </w:tcPr>
          <w:p w:rsidR="00F60A1A" w:rsidRPr="00F60A1A" w:rsidRDefault="00F60A1A" w:rsidP="00F60A1A">
            <w:pPr>
              <w:cnfStyle w:val="000000000000" w:firstRow="0" w:lastRow="0" w:firstColumn="0" w:lastColumn="0" w:oddVBand="0" w:evenVBand="0" w:oddHBand="0" w:evenHBand="0" w:firstRowFirstColumn="0" w:firstRowLastColumn="0" w:lastRowFirstColumn="0" w:lastRowLastColumn="0"/>
            </w:pPr>
            <w:r>
              <w:t>retailer of last resort</w:t>
            </w:r>
          </w:p>
        </w:tc>
      </w:tr>
      <w:tr w:rsidR="00F60A1A" w:rsidTr="00AF5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RSA</w:t>
            </w:r>
          </w:p>
        </w:tc>
        <w:tc>
          <w:tcPr>
            <w:tcW w:w="5041" w:type="dxa"/>
          </w:tcPr>
          <w:p w:rsidR="00F60A1A" w:rsidRPr="00F60A1A" w:rsidRDefault="00F60A1A" w:rsidP="00F60A1A">
            <w:pPr>
              <w:cnfStyle w:val="000000010000" w:firstRow="0" w:lastRow="0" w:firstColumn="0" w:lastColumn="0" w:oddVBand="0" w:evenVBand="0" w:oddHBand="0" w:evenHBand="1" w:firstRowFirstColumn="0" w:firstRowLastColumn="0" w:lastRowFirstColumn="0" w:lastRowLastColumn="0"/>
            </w:pPr>
            <w:r>
              <w:t xml:space="preserve">Reference Service </w:t>
            </w:r>
            <w:r w:rsidRPr="00F60A1A">
              <w:t>Agreement</w:t>
            </w:r>
          </w:p>
        </w:tc>
      </w:tr>
      <w:tr w:rsidR="00F60A1A" w:rsidTr="00AF5BD6">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RPP</w:t>
            </w:r>
          </w:p>
        </w:tc>
        <w:tc>
          <w:tcPr>
            <w:tcW w:w="5041" w:type="dxa"/>
          </w:tcPr>
          <w:p w:rsidR="00F60A1A" w:rsidRDefault="00F60A1A" w:rsidP="00F60A1A">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F60A1A" w:rsidTr="00AF5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SLCAPM</w:t>
            </w:r>
          </w:p>
        </w:tc>
        <w:tc>
          <w:tcPr>
            <w:tcW w:w="5041" w:type="dxa"/>
          </w:tcPr>
          <w:p w:rsidR="00F60A1A" w:rsidRDefault="00F60A1A" w:rsidP="00F60A1A">
            <w:pPr>
              <w:numPr>
                <w:ilvl w:val="0"/>
                <w:numId w:val="24"/>
              </w:numPr>
              <w:cnfStyle w:val="000000010000" w:firstRow="0" w:lastRow="0" w:firstColumn="0" w:lastColumn="0" w:oddVBand="0" w:evenVBand="0" w:oddHBand="0" w:evenHBand="1" w:firstRowFirstColumn="0" w:firstRowLastColumn="0" w:lastRowFirstColumn="0" w:lastRowLastColumn="0"/>
            </w:pPr>
            <w:r>
              <w:t>Sharpe-</w:t>
            </w:r>
            <w:proofErr w:type="spellStart"/>
            <w:r>
              <w:t>Lintner</w:t>
            </w:r>
            <w:proofErr w:type="spellEnd"/>
            <w:r>
              <w:t xml:space="preserve"> capital asset pricing model</w:t>
            </w:r>
          </w:p>
        </w:tc>
      </w:tr>
      <w:tr w:rsidR="00F60A1A" w:rsidTr="00AF5BD6">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STTM</w:t>
            </w:r>
          </w:p>
        </w:tc>
        <w:tc>
          <w:tcPr>
            <w:tcW w:w="5041" w:type="dxa"/>
          </w:tcPr>
          <w:p w:rsidR="00F60A1A" w:rsidRPr="00F60A1A" w:rsidRDefault="00F60A1A" w:rsidP="00F60A1A">
            <w:pPr>
              <w:cnfStyle w:val="000000000000" w:firstRow="0" w:lastRow="0" w:firstColumn="0" w:lastColumn="0" w:oddVBand="0" w:evenVBand="0" w:oddHBand="0" w:evenHBand="0" w:firstRowFirstColumn="0" w:firstRowLastColumn="0" w:lastRowFirstColumn="0" w:lastRowLastColumn="0"/>
            </w:pPr>
            <w:r>
              <w:t>Short Term Trading Market</w:t>
            </w:r>
          </w:p>
        </w:tc>
      </w:tr>
      <w:tr w:rsidR="00F60A1A" w:rsidTr="00AF5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TAB</w:t>
            </w:r>
          </w:p>
        </w:tc>
        <w:tc>
          <w:tcPr>
            <w:tcW w:w="5041" w:type="dxa"/>
          </w:tcPr>
          <w:p w:rsidR="00F60A1A" w:rsidRPr="00F60A1A" w:rsidRDefault="00F60A1A" w:rsidP="00F60A1A">
            <w:pPr>
              <w:cnfStyle w:val="000000010000" w:firstRow="0" w:lastRow="0" w:firstColumn="0" w:lastColumn="0" w:oddVBand="0" w:evenVBand="0" w:oddHBand="0" w:evenHBand="1" w:firstRowFirstColumn="0" w:firstRowLastColumn="0" w:lastRowFirstColumn="0" w:lastRowLastColumn="0"/>
            </w:pPr>
            <w:r>
              <w:t>Tax asset base</w:t>
            </w:r>
          </w:p>
        </w:tc>
      </w:tr>
      <w:tr w:rsidR="00F60A1A" w:rsidTr="00AF5BD6">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UAFG</w:t>
            </w:r>
          </w:p>
        </w:tc>
        <w:tc>
          <w:tcPr>
            <w:tcW w:w="5041" w:type="dxa"/>
          </w:tcPr>
          <w:p w:rsidR="00F60A1A" w:rsidRPr="00F60A1A" w:rsidRDefault="00F60A1A" w:rsidP="00F60A1A">
            <w:pPr>
              <w:cnfStyle w:val="000000000000" w:firstRow="0" w:lastRow="0" w:firstColumn="0" w:lastColumn="0" w:oddVBand="0" w:evenVBand="0" w:oddHBand="0" w:evenHBand="0" w:firstRowFirstColumn="0" w:firstRowLastColumn="0" w:lastRowFirstColumn="0" w:lastRowLastColumn="0"/>
            </w:pPr>
            <w:r>
              <w:t>Unaccounted for gas</w:t>
            </w:r>
          </w:p>
        </w:tc>
      </w:tr>
      <w:tr w:rsidR="00F60A1A" w:rsidTr="00AF5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UNFT</w:t>
            </w:r>
          </w:p>
        </w:tc>
        <w:tc>
          <w:tcPr>
            <w:tcW w:w="5041" w:type="dxa"/>
          </w:tcPr>
          <w:p w:rsidR="00F60A1A" w:rsidRPr="00F60A1A" w:rsidRDefault="00F60A1A" w:rsidP="00F60A1A">
            <w:pPr>
              <w:cnfStyle w:val="000000010000" w:firstRow="0" w:lastRow="0" w:firstColumn="0" w:lastColumn="0" w:oddVBand="0" w:evenVBand="0" w:oddHBand="0" w:evenHBand="1" w:firstRowFirstColumn="0" w:firstRowLastColumn="0" w:lastRowFirstColumn="0" w:lastRowLastColumn="0"/>
            </w:pPr>
            <w:r>
              <w:t xml:space="preserve">Utilities Network </w:t>
            </w:r>
            <w:r w:rsidRPr="00F60A1A">
              <w:t>Facilities Tax</w:t>
            </w:r>
          </w:p>
        </w:tc>
      </w:tr>
      <w:tr w:rsidR="00F60A1A" w:rsidTr="00AF5BD6">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WACC</w:t>
            </w:r>
          </w:p>
        </w:tc>
        <w:tc>
          <w:tcPr>
            <w:tcW w:w="5041" w:type="dxa"/>
          </w:tcPr>
          <w:p w:rsidR="00F60A1A" w:rsidRDefault="00F60A1A" w:rsidP="00F60A1A">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F60A1A" w:rsidTr="00AF5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60A1A" w:rsidRDefault="00F60A1A" w:rsidP="00F60A1A">
            <w:pPr>
              <w:numPr>
                <w:ilvl w:val="0"/>
                <w:numId w:val="24"/>
              </w:numPr>
            </w:pPr>
            <w:r>
              <w:t>WPI</w:t>
            </w:r>
          </w:p>
        </w:tc>
        <w:tc>
          <w:tcPr>
            <w:tcW w:w="5041" w:type="dxa"/>
          </w:tcPr>
          <w:p w:rsidR="00F60A1A" w:rsidRPr="00F60A1A" w:rsidRDefault="00F60A1A" w:rsidP="00F60A1A">
            <w:pPr>
              <w:cnfStyle w:val="000000010000" w:firstRow="0" w:lastRow="0" w:firstColumn="0" w:lastColumn="0" w:oddVBand="0" w:evenVBand="0" w:oddHBand="0" w:evenHBand="1" w:firstRowFirstColumn="0" w:firstRowLastColumn="0" w:lastRowFirstColumn="0" w:lastRowLastColumn="0"/>
            </w:pPr>
            <w:r>
              <w:t>Wage Price Index</w:t>
            </w:r>
          </w:p>
        </w:tc>
      </w:tr>
    </w:tbl>
    <w:p w:rsidR="00F60A1A" w:rsidRPr="00D24C8D" w:rsidRDefault="00F60A1A" w:rsidP="00E834E1"/>
    <w:p w:rsidR="00DE563D" w:rsidRDefault="002636BF" w:rsidP="002636BF">
      <w:pPr>
        <w:pStyle w:val="Heading1"/>
      </w:pPr>
      <w:bookmarkStart w:id="9" w:name="_Toc435692203"/>
      <w:r>
        <w:t>Capital</w:t>
      </w:r>
      <w:r w:rsidR="00B015D3">
        <w:t xml:space="preserve"> expenditure</w:t>
      </w:r>
      <w:bookmarkEnd w:id="9"/>
    </w:p>
    <w:p w:rsidR="00751A80" w:rsidRDefault="00751A80" w:rsidP="00751A80">
      <w:r w:rsidRPr="00EE386B">
        <w:t xml:space="preserve">This attachment outlines </w:t>
      </w:r>
      <w:r>
        <w:t>our</w:t>
      </w:r>
      <w:r w:rsidRPr="00EE386B">
        <w:t xml:space="preserve"> assessment of </w:t>
      </w:r>
      <w:proofErr w:type="spellStart"/>
      <w:r>
        <w:t>ActewAGL‘s</w:t>
      </w:r>
      <w:proofErr w:type="spellEnd"/>
      <w:r>
        <w:t xml:space="preserve"> </w:t>
      </w:r>
      <w:r w:rsidRPr="00EE386B">
        <w:t xml:space="preserve">proposed </w:t>
      </w:r>
      <w:r>
        <w:t xml:space="preserve">conforming </w:t>
      </w:r>
      <w:r w:rsidRPr="00EE386B">
        <w:t xml:space="preserve">capital expenditure (capex) for </w:t>
      </w:r>
      <w:r w:rsidR="00177DD7">
        <w:t>2009</w:t>
      </w:r>
      <w:r w:rsidRPr="00EE386B">
        <w:t>–</w:t>
      </w:r>
      <w:r>
        <w:t xml:space="preserve">16 </w:t>
      </w:r>
      <w:r w:rsidRPr="00EE386B">
        <w:t>and forecast capex for the 20</w:t>
      </w:r>
      <w:r>
        <w:t>16</w:t>
      </w:r>
      <w:r w:rsidRPr="00EE386B">
        <w:t>–</w:t>
      </w:r>
      <w:r>
        <w:t>21</w:t>
      </w:r>
      <w:r w:rsidRPr="00EE386B">
        <w:t xml:space="preserve"> access arrangement period.</w:t>
      </w:r>
    </w:p>
    <w:p w:rsidR="009B082A" w:rsidRPr="00751A80" w:rsidRDefault="009B082A" w:rsidP="009B082A">
      <w:pPr>
        <w:pStyle w:val="Heading2"/>
      </w:pPr>
      <w:bookmarkStart w:id="10" w:name="_Ref434593806"/>
      <w:bookmarkStart w:id="11" w:name="_Ref434838039"/>
      <w:bookmarkStart w:id="12" w:name="_Toc435692204"/>
      <w:r>
        <w:t>Draft decision</w:t>
      </w:r>
      <w:bookmarkEnd w:id="10"/>
      <w:bookmarkEnd w:id="11"/>
      <w:bookmarkEnd w:id="12"/>
    </w:p>
    <w:p w:rsidR="009B082A" w:rsidRDefault="009B082A" w:rsidP="009B082A">
      <w:pPr>
        <w:pStyle w:val="HeadingBoldBlue"/>
      </w:pPr>
      <w:r>
        <w:t>Conforming capital expenditure for the 2011–16 access arrangement period</w:t>
      </w:r>
    </w:p>
    <w:p w:rsidR="00F50062" w:rsidRDefault="00F50062" w:rsidP="00F50062">
      <w:r>
        <w:t>We</w:t>
      </w:r>
      <w:r w:rsidRPr="00EE386B">
        <w:t xml:space="preserve"> approve $</w:t>
      </w:r>
      <w:r w:rsidR="00F13B74">
        <w:t>102.6</w:t>
      </w:r>
      <w:r w:rsidR="00140E64">
        <w:t xml:space="preserve"> </w:t>
      </w:r>
      <w:r w:rsidRPr="00EE386B">
        <w:t>million ($</w:t>
      </w:r>
      <w:r>
        <w:t>2015–16</w:t>
      </w:r>
      <w:r w:rsidRPr="00EE386B">
        <w:t>)</w:t>
      </w:r>
      <w:r w:rsidR="00F12ED7">
        <w:t xml:space="preserve"> of</w:t>
      </w:r>
      <w:r w:rsidRPr="00EE386B">
        <w:t xml:space="preserve"> total net capex for </w:t>
      </w:r>
      <w:r w:rsidR="00F12ED7">
        <w:t xml:space="preserve">ActewAGL </w:t>
      </w:r>
      <w:r w:rsidR="00D24C8D">
        <w:t>for the period</w:t>
      </w:r>
      <w:r w:rsidR="00F12ED7">
        <w:t xml:space="preserve"> </w:t>
      </w:r>
      <w:r w:rsidRPr="00EE386B">
        <w:t>20</w:t>
      </w:r>
      <w:r>
        <w:t>09</w:t>
      </w:r>
      <w:r w:rsidRPr="00EE386B">
        <w:t>–1</w:t>
      </w:r>
      <w:r>
        <w:t>5</w:t>
      </w:r>
      <w:r w:rsidRPr="00EE386B">
        <w:t xml:space="preserve"> as conforming capex </w:t>
      </w:r>
      <w:r w:rsidR="001C1C39">
        <w:t>that complies</w:t>
      </w:r>
      <w:r w:rsidR="00F12ED7">
        <w:t xml:space="preserve"> with</w:t>
      </w:r>
      <w:r w:rsidR="00F12ED7" w:rsidRPr="00EE386B">
        <w:t xml:space="preserve"> </w:t>
      </w:r>
      <w:r w:rsidRPr="00EE386B">
        <w:t>r</w:t>
      </w:r>
      <w:r w:rsidR="00965044">
        <w:t>ule</w:t>
      </w:r>
      <w:r w:rsidRPr="00EE386B">
        <w:t xml:space="preserve"> 79(1) of the NGR.</w:t>
      </w:r>
    </w:p>
    <w:p w:rsidR="00F50062" w:rsidRDefault="00F50062" w:rsidP="00F50062">
      <w:pPr>
        <w:pStyle w:val="Caption"/>
      </w:pPr>
      <w:proofErr w:type="gramStart"/>
      <w:r>
        <w:t xml:space="preserve">Table </w:t>
      </w:r>
      <w:proofErr w:type="gramEnd"/>
      <w:r w:rsidR="004C5F88">
        <w:fldChar w:fldCharType="begin"/>
      </w:r>
      <w:r w:rsidR="004C5F88">
        <w:instrText xml:space="preserve"> STYLEREF 1 \s </w:instrText>
      </w:r>
      <w:r w:rsidR="004C5F88">
        <w:fldChar w:fldCharType="separate"/>
      </w:r>
      <w:r w:rsidR="00EE4EAF">
        <w:rPr>
          <w:noProof/>
        </w:rPr>
        <w:t>6</w:t>
      </w:r>
      <w:r w:rsidR="004C5F88">
        <w:rPr>
          <w:noProof/>
        </w:rPr>
        <w:fldChar w:fldCharType="end"/>
      </w:r>
      <w:proofErr w:type="gramStart"/>
      <w:r w:rsidR="00EE4EAF">
        <w:t>.</w:t>
      </w:r>
      <w:proofErr w:type="gramEnd"/>
      <w:r w:rsidR="004C5F88">
        <w:fldChar w:fldCharType="begin"/>
      </w:r>
      <w:r w:rsidR="004C5F88">
        <w:instrText xml:space="preserve"> SEQ Table \* ARABIC \s 1 </w:instrText>
      </w:r>
      <w:r w:rsidR="004C5F88">
        <w:fldChar w:fldCharType="separate"/>
      </w:r>
      <w:r w:rsidR="00EE4EAF">
        <w:rPr>
          <w:noProof/>
        </w:rPr>
        <w:t>1</w:t>
      </w:r>
      <w:r w:rsidR="004C5F88">
        <w:rPr>
          <w:noProof/>
        </w:rPr>
        <w:fldChar w:fldCharType="end"/>
      </w:r>
      <w:r>
        <w:tab/>
      </w:r>
      <w:r w:rsidRPr="00EE71BA">
        <w:t xml:space="preserve">AER approved capital expenditure by category over </w:t>
      </w:r>
      <w:r w:rsidR="00D24C8D" w:rsidRPr="00EE71BA">
        <w:t>20</w:t>
      </w:r>
      <w:r w:rsidR="00D24C8D">
        <w:t>09</w:t>
      </w:r>
      <w:r w:rsidRPr="00EE71BA">
        <w:t>–1</w:t>
      </w:r>
      <w:r>
        <w:t>5</w:t>
      </w:r>
      <w:r w:rsidRPr="00EE71BA">
        <w:t xml:space="preserve"> ($million, 20</w:t>
      </w:r>
      <w:r>
        <w:t>15–</w:t>
      </w:r>
      <w:r w:rsidRPr="00EE71BA">
        <w:t>1</w:t>
      </w:r>
      <w:r>
        <w:t>6</w:t>
      </w:r>
      <w:proofErr w:type="gramStart"/>
      <w:r w:rsidR="00F13B74">
        <w:t>)</w:t>
      </w:r>
      <w:r w:rsidR="00F13B74" w:rsidRPr="00C724FD">
        <w:rPr>
          <w:vertAlign w:val="superscript"/>
        </w:rPr>
        <w:t>a</w:t>
      </w:r>
      <w:proofErr w:type="gramEnd"/>
    </w:p>
    <w:tbl>
      <w:tblPr>
        <w:tblW w:w="5000" w:type="pct"/>
        <w:tblLook w:val="04A0" w:firstRow="1" w:lastRow="0" w:firstColumn="1" w:lastColumn="0" w:noHBand="0" w:noVBand="1"/>
      </w:tblPr>
      <w:tblGrid>
        <w:gridCol w:w="2110"/>
        <w:gridCol w:w="940"/>
        <w:gridCol w:w="940"/>
        <w:gridCol w:w="941"/>
        <w:gridCol w:w="941"/>
        <w:gridCol w:w="941"/>
        <w:gridCol w:w="941"/>
        <w:gridCol w:w="939"/>
      </w:tblGrid>
      <w:tr w:rsidR="00640669" w:rsidRPr="00640669" w:rsidTr="00625F53">
        <w:trPr>
          <w:trHeight w:val="465"/>
        </w:trPr>
        <w:tc>
          <w:tcPr>
            <w:tcW w:w="1214" w:type="pct"/>
            <w:tcBorders>
              <w:top w:val="nil"/>
              <w:left w:val="nil"/>
              <w:bottom w:val="nil"/>
              <w:right w:val="nil"/>
            </w:tcBorders>
            <w:shd w:val="clear" w:color="000000" w:fill="365F91"/>
            <w:vAlign w:val="center"/>
            <w:hideMark/>
          </w:tcPr>
          <w:p w:rsidR="00640669" w:rsidRPr="00640669" w:rsidRDefault="00640669" w:rsidP="00640669">
            <w:pPr>
              <w:spacing w:before="0" w:line="240" w:lineRule="auto"/>
              <w:rPr>
                <w:rFonts w:eastAsia="Times New Roman" w:cs="Arial"/>
                <w:b/>
                <w:bCs/>
                <w:color w:val="FFFFFF"/>
                <w:sz w:val="16"/>
                <w:szCs w:val="16"/>
                <w:lang w:eastAsia="en-AU"/>
              </w:rPr>
            </w:pPr>
            <w:r w:rsidRPr="00640669">
              <w:rPr>
                <w:rFonts w:eastAsia="Times New Roman" w:cs="Arial"/>
                <w:b/>
                <w:bCs/>
                <w:color w:val="FFFFFF"/>
                <w:sz w:val="16"/>
                <w:szCs w:val="16"/>
                <w:lang w:eastAsia="en-AU"/>
              </w:rPr>
              <w:t> Category</w:t>
            </w:r>
          </w:p>
        </w:tc>
        <w:tc>
          <w:tcPr>
            <w:tcW w:w="541" w:type="pct"/>
            <w:tcBorders>
              <w:top w:val="nil"/>
              <w:left w:val="nil"/>
              <w:bottom w:val="nil"/>
              <w:right w:val="nil"/>
            </w:tcBorders>
            <w:shd w:val="clear" w:color="000000" w:fill="365F91"/>
            <w:vAlign w:val="center"/>
            <w:hideMark/>
          </w:tcPr>
          <w:p w:rsidR="00640669" w:rsidRPr="00640669" w:rsidRDefault="00640669" w:rsidP="002F6680">
            <w:pPr>
              <w:spacing w:before="0" w:line="240" w:lineRule="auto"/>
              <w:rPr>
                <w:rFonts w:eastAsia="Times New Roman" w:cs="Arial"/>
                <w:b/>
                <w:bCs/>
                <w:color w:val="FFFFFF"/>
                <w:sz w:val="16"/>
                <w:szCs w:val="16"/>
                <w:lang w:eastAsia="en-AU"/>
              </w:rPr>
            </w:pPr>
            <w:r w:rsidRPr="00640669">
              <w:rPr>
                <w:rFonts w:eastAsia="Times New Roman" w:cs="Arial"/>
                <w:b/>
                <w:bCs/>
                <w:color w:val="FFFFFF"/>
                <w:sz w:val="16"/>
                <w:szCs w:val="16"/>
                <w:lang w:eastAsia="en-AU"/>
              </w:rPr>
              <w:t>2009–10</w:t>
            </w:r>
          </w:p>
        </w:tc>
        <w:tc>
          <w:tcPr>
            <w:tcW w:w="541" w:type="pct"/>
            <w:tcBorders>
              <w:top w:val="nil"/>
              <w:left w:val="nil"/>
              <w:bottom w:val="nil"/>
              <w:right w:val="nil"/>
            </w:tcBorders>
            <w:shd w:val="clear" w:color="000000" w:fill="365F91"/>
            <w:vAlign w:val="center"/>
            <w:hideMark/>
          </w:tcPr>
          <w:p w:rsidR="00640669" w:rsidRPr="00640669" w:rsidRDefault="00640669" w:rsidP="002F6680">
            <w:pPr>
              <w:spacing w:before="0" w:line="240" w:lineRule="auto"/>
              <w:rPr>
                <w:rFonts w:eastAsia="Times New Roman" w:cs="Arial"/>
                <w:b/>
                <w:bCs/>
                <w:color w:val="FFFFFF"/>
                <w:sz w:val="16"/>
                <w:szCs w:val="16"/>
                <w:lang w:eastAsia="en-AU"/>
              </w:rPr>
            </w:pPr>
            <w:r w:rsidRPr="00640669">
              <w:rPr>
                <w:rFonts w:eastAsia="Times New Roman" w:cs="Arial"/>
                <w:b/>
                <w:bCs/>
                <w:color w:val="FFFFFF"/>
                <w:sz w:val="16"/>
                <w:szCs w:val="16"/>
                <w:lang w:eastAsia="en-AU"/>
              </w:rPr>
              <w:t>2010–11</w:t>
            </w:r>
          </w:p>
        </w:tc>
        <w:tc>
          <w:tcPr>
            <w:tcW w:w="541" w:type="pct"/>
            <w:tcBorders>
              <w:top w:val="nil"/>
              <w:left w:val="nil"/>
              <w:bottom w:val="nil"/>
              <w:right w:val="nil"/>
            </w:tcBorders>
            <w:shd w:val="clear" w:color="000000" w:fill="365F91"/>
            <w:vAlign w:val="center"/>
            <w:hideMark/>
          </w:tcPr>
          <w:p w:rsidR="00640669" w:rsidRPr="00640669" w:rsidRDefault="00640669" w:rsidP="002F6680">
            <w:pPr>
              <w:spacing w:before="0" w:line="240" w:lineRule="auto"/>
              <w:rPr>
                <w:rFonts w:eastAsia="Times New Roman" w:cs="Arial"/>
                <w:b/>
                <w:bCs/>
                <w:color w:val="FFFFFF"/>
                <w:sz w:val="16"/>
                <w:szCs w:val="16"/>
                <w:lang w:eastAsia="en-AU"/>
              </w:rPr>
            </w:pPr>
            <w:r w:rsidRPr="00640669">
              <w:rPr>
                <w:rFonts w:eastAsia="Times New Roman" w:cs="Arial"/>
                <w:b/>
                <w:bCs/>
                <w:color w:val="FFFFFF"/>
                <w:sz w:val="16"/>
                <w:szCs w:val="16"/>
                <w:lang w:eastAsia="en-AU"/>
              </w:rPr>
              <w:t>2011–12</w:t>
            </w:r>
          </w:p>
        </w:tc>
        <w:tc>
          <w:tcPr>
            <w:tcW w:w="541" w:type="pct"/>
            <w:tcBorders>
              <w:top w:val="nil"/>
              <w:left w:val="nil"/>
              <w:bottom w:val="nil"/>
              <w:right w:val="nil"/>
            </w:tcBorders>
            <w:shd w:val="clear" w:color="000000" w:fill="365F91"/>
            <w:vAlign w:val="center"/>
            <w:hideMark/>
          </w:tcPr>
          <w:p w:rsidR="00640669" w:rsidRPr="00640669" w:rsidRDefault="00640669" w:rsidP="002F6680">
            <w:pPr>
              <w:spacing w:before="0" w:line="240" w:lineRule="auto"/>
              <w:rPr>
                <w:rFonts w:eastAsia="Times New Roman" w:cs="Arial"/>
                <w:b/>
                <w:bCs/>
                <w:color w:val="FFFFFF"/>
                <w:sz w:val="16"/>
                <w:szCs w:val="16"/>
                <w:lang w:eastAsia="en-AU"/>
              </w:rPr>
            </w:pPr>
            <w:r w:rsidRPr="00640669">
              <w:rPr>
                <w:rFonts w:eastAsia="Times New Roman" w:cs="Arial"/>
                <w:b/>
                <w:bCs/>
                <w:color w:val="FFFFFF"/>
                <w:sz w:val="16"/>
                <w:szCs w:val="16"/>
                <w:lang w:eastAsia="en-AU"/>
              </w:rPr>
              <w:t>2012–13</w:t>
            </w:r>
          </w:p>
        </w:tc>
        <w:tc>
          <w:tcPr>
            <w:tcW w:w="541" w:type="pct"/>
            <w:tcBorders>
              <w:top w:val="nil"/>
              <w:left w:val="nil"/>
              <w:bottom w:val="nil"/>
              <w:right w:val="nil"/>
            </w:tcBorders>
            <w:shd w:val="clear" w:color="000000" w:fill="365F91"/>
            <w:vAlign w:val="center"/>
            <w:hideMark/>
          </w:tcPr>
          <w:p w:rsidR="00640669" w:rsidRPr="00640669" w:rsidRDefault="00640669" w:rsidP="002F6680">
            <w:pPr>
              <w:spacing w:before="0" w:line="240" w:lineRule="auto"/>
              <w:rPr>
                <w:rFonts w:eastAsia="Times New Roman" w:cs="Arial"/>
                <w:b/>
                <w:bCs/>
                <w:color w:val="FFFFFF"/>
                <w:sz w:val="16"/>
                <w:szCs w:val="16"/>
                <w:lang w:eastAsia="en-AU"/>
              </w:rPr>
            </w:pPr>
            <w:r w:rsidRPr="00640669">
              <w:rPr>
                <w:rFonts w:eastAsia="Times New Roman" w:cs="Arial"/>
                <w:b/>
                <w:bCs/>
                <w:color w:val="FFFFFF"/>
                <w:sz w:val="16"/>
                <w:szCs w:val="16"/>
                <w:lang w:eastAsia="en-AU"/>
              </w:rPr>
              <w:t>2013–14</w:t>
            </w:r>
          </w:p>
        </w:tc>
        <w:tc>
          <w:tcPr>
            <w:tcW w:w="541" w:type="pct"/>
            <w:tcBorders>
              <w:top w:val="nil"/>
              <w:left w:val="nil"/>
              <w:bottom w:val="nil"/>
              <w:right w:val="nil"/>
            </w:tcBorders>
            <w:shd w:val="clear" w:color="000000" w:fill="365F91"/>
            <w:vAlign w:val="center"/>
            <w:hideMark/>
          </w:tcPr>
          <w:p w:rsidR="00640669" w:rsidRPr="00640669" w:rsidRDefault="00640669" w:rsidP="002F6680">
            <w:pPr>
              <w:spacing w:before="0" w:line="240" w:lineRule="auto"/>
              <w:rPr>
                <w:rFonts w:eastAsia="Times New Roman" w:cs="Arial"/>
                <w:b/>
                <w:bCs/>
                <w:color w:val="FFFFFF"/>
                <w:sz w:val="16"/>
                <w:szCs w:val="16"/>
                <w:lang w:eastAsia="en-AU"/>
              </w:rPr>
            </w:pPr>
            <w:r w:rsidRPr="00640669">
              <w:rPr>
                <w:rFonts w:eastAsia="Times New Roman" w:cs="Arial"/>
                <w:b/>
                <w:bCs/>
                <w:color w:val="FFFFFF"/>
                <w:sz w:val="16"/>
                <w:szCs w:val="16"/>
                <w:lang w:eastAsia="en-AU"/>
              </w:rPr>
              <w:t>2014–15</w:t>
            </w:r>
            <w:r w:rsidRPr="00640669">
              <w:rPr>
                <w:rFonts w:eastAsia="Times New Roman" w:cs="Arial"/>
                <w:b/>
                <w:bCs/>
                <w:color w:val="FFFFFF"/>
                <w:sz w:val="16"/>
                <w:szCs w:val="16"/>
                <w:vertAlign w:val="superscript"/>
                <w:lang w:eastAsia="en-AU"/>
              </w:rPr>
              <w:t>(</w:t>
            </w:r>
            <w:r w:rsidR="00F13B74">
              <w:rPr>
                <w:rFonts w:eastAsia="Times New Roman" w:cs="Arial"/>
                <w:b/>
                <w:bCs/>
                <w:color w:val="FFFFFF"/>
                <w:sz w:val="16"/>
                <w:szCs w:val="16"/>
                <w:vertAlign w:val="superscript"/>
                <w:lang w:eastAsia="en-AU"/>
              </w:rPr>
              <w:t>b</w:t>
            </w:r>
            <w:r w:rsidRPr="00640669">
              <w:rPr>
                <w:rFonts w:eastAsia="Times New Roman" w:cs="Arial"/>
                <w:b/>
                <w:bCs/>
                <w:color w:val="FFFFFF"/>
                <w:sz w:val="16"/>
                <w:szCs w:val="16"/>
                <w:vertAlign w:val="superscript"/>
                <w:lang w:eastAsia="en-AU"/>
              </w:rPr>
              <w:t>)</w:t>
            </w:r>
          </w:p>
        </w:tc>
        <w:tc>
          <w:tcPr>
            <w:tcW w:w="540" w:type="pct"/>
            <w:tcBorders>
              <w:top w:val="nil"/>
              <w:left w:val="nil"/>
              <w:bottom w:val="nil"/>
              <w:right w:val="nil"/>
            </w:tcBorders>
            <w:shd w:val="clear" w:color="000000" w:fill="365F91"/>
            <w:vAlign w:val="center"/>
            <w:hideMark/>
          </w:tcPr>
          <w:p w:rsidR="00640669" w:rsidRPr="00640669" w:rsidRDefault="00640669" w:rsidP="002F6680">
            <w:pPr>
              <w:spacing w:before="0" w:line="240" w:lineRule="auto"/>
              <w:rPr>
                <w:rFonts w:eastAsia="Times New Roman" w:cs="Arial"/>
                <w:b/>
                <w:bCs/>
                <w:color w:val="FFFFFF"/>
                <w:sz w:val="16"/>
                <w:szCs w:val="16"/>
                <w:lang w:eastAsia="en-AU"/>
              </w:rPr>
            </w:pPr>
            <w:r w:rsidRPr="00640669">
              <w:rPr>
                <w:rFonts w:eastAsia="Times New Roman" w:cs="Arial"/>
                <w:b/>
                <w:bCs/>
                <w:color w:val="FFFFFF"/>
                <w:sz w:val="16"/>
                <w:szCs w:val="16"/>
                <w:lang w:eastAsia="en-AU"/>
              </w:rPr>
              <w:t>2015</w:t>
            </w:r>
            <w:r w:rsidR="002F6680">
              <w:rPr>
                <w:rFonts w:eastAsia="Times New Roman" w:cs="Arial"/>
                <w:b/>
                <w:bCs/>
                <w:color w:val="FFFFFF"/>
                <w:sz w:val="16"/>
                <w:szCs w:val="16"/>
                <w:lang w:eastAsia="en-AU"/>
              </w:rPr>
              <w:t>–</w:t>
            </w:r>
            <w:r w:rsidRPr="00640669">
              <w:rPr>
                <w:rFonts w:eastAsia="Times New Roman" w:cs="Arial"/>
                <w:b/>
                <w:bCs/>
                <w:color w:val="FFFFFF"/>
                <w:sz w:val="16"/>
                <w:szCs w:val="16"/>
                <w:lang w:eastAsia="en-AU"/>
              </w:rPr>
              <w:t>16</w:t>
            </w:r>
            <w:r w:rsidRPr="00640669">
              <w:rPr>
                <w:rFonts w:eastAsia="Times New Roman" w:cs="Arial"/>
                <w:b/>
                <w:bCs/>
                <w:color w:val="FFFFFF"/>
                <w:sz w:val="16"/>
                <w:szCs w:val="16"/>
                <w:vertAlign w:val="superscript"/>
                <w:lang w:eastAsia="en-AU"/>
              </w:rPr>
              <w:t>(</w:t>
            </w:r>
            <w:r w:rsidR="00F13B74">
              <w:rPr>
                <w:rFonts w:eastAsia="Times New Roman" w:cs="Arial"/>
                <w:b/>
                <w:bCs/>
                <w:color w:val="FFFFFF"/>
                <w:sz w:val="16"/>
                <w:szCs w:val="16"/>
                <w:vertAlign w:val="superscript"/>
                <w:lang w:eastAsia="en-AU"/>
              </w:rPr>
              <w:t>c</w:t>
            </w:r>
            <w:r w:rsidRPr="00640669">
              <w:rPr>
                <w:rFonts w:eastAsia="Times New Roman" w:cs="Arial"/>
                <w:b/>
                <w:bCs/>
                <w:color w:val="FFFFFF"/>
                <w:sz w:val="16"/>
                <w:szCs w:val="16"/>
                <w:vertAlign w:val="superscript"/>
                <w:lang w:eastAsia="en-AU"/>
              </w:rPr>
              <w:t>)</w:t>
            </w:r>
          </w:p>
        </w:tc>
      </w:tr>
      <w:tr w:rsidR="002F6680" w:rsidRPr="00640669" w:rsidTr="00F13B74">
        <w:trPr>
          <w:trHeight w:val="465"/>
        </w:trPr>
        <w:tc>
          <w:tcPr>
            <w:tcW w:w="1214" w:type="pct"/>
            <w:tcBorders>
              <w:top w:val="nil"/>
              <w:left w:val="nil"/>
              <w:bottom w:val="nil"/>
              <w:right w:val="nil"/>
            </w:tcBorders>
            <w:shd w:val="clear" w:color="auto" w:fill="auto"/>
            <w:vAlign w:val="center"/>
            <w:hideMark/>
          </w:tcPr>
          <w:p w:rsidR="002F6680" w:rsidRPr="00640669" w:rsidRDefault="002F6680" w:rsidP="00C937D6">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Market expansion (Connections)</w:t>
            </w: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7.5</w:t>
            </w: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8.6</w:t>
            </w: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8.9</w:t>
            </w: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9.5</w:t>
            </w: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8.0</w:t>
            </w: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8.3</w:t>
            </w:r>
          </w:p>
        </w:tc>
        <w:tc>
          <w:tcPr>
            <w:tcW w:w="540"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10.4</w:t>
            </w:r>
          </w:p>
        </w:tc>
      </w:tr>
      <w:tr w:rsidR="002F6680" w:rsidRPr="00640669" w:rsidTr="00F13B74">
        <w:trPr>
          <w:trHeight w:val="465"/>
        </w:trPr>
        <w:tc>
          <w:tcPr>
            <w:tcW w:w="1214" w:type="pct"/>
            <w:tcBorders>
              <w:top w:val="nil"/>
              <w:left w:val="nil"/>
              <w:bottom w:val="nil"/>
              <w:right w:val="nil"/>
            </w:tcBorders>
            <w:shd w:val="clear" w:color="000000" w:fill="DBE5F1"/>
            <w:vAlign w:val="center"/>
            <w:hideMark/>
          </w:tcPr>
          <w:p w:rsidR="002F6680" w:rsidRPr="00640669" w:rsidRDefault="002F6680" w:rsidP="00C937D6">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Capacity development (Augmentation)</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3.0</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4.0</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2.8</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2.1</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8.0</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10.7</w:t>
            </w:r>
          </w:p>
        </w:tc>
        <w:tc>
          <w:tcPr>
            <w:tcW w:w="540"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11.6</w:t>
            </w:r>
          </w:p>
        </w:tc>
      </w:tr>
      <w:tr w:rsidR="002F6680" w:rsidRPr="00640669" w:rsidTr="00F13B74">
        <w:trPr>
          <w:trHeight w:val="465"/>
        </w:trPr>
        <w:tc>
          <w:tcPr>
            <w:tcW w:w="1214" w:type="pct"/>
            <w:tcBorders>
              <w:top w:val="nil"/>
              <w:left w:val="nil"/>
              <w:bottom w:val="nil"/>
              <w:right w:val="nil"/>
            </w:tcBorders>
            <w:shd w:val="clear" w:color="auto" w:fill="auto"/>
            <w:vAlign w:val="center"/>
            <w:hideMark/>
          </w:tcPr>
          <w:p w:rsidR="002F6680" w:rsidRPr="00640669" w:rsidRDefault="002F6680" w:rsidP="00C937D6">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Stay in business</w:t>
            </w: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p>
        </w:tc>
        <w:tc>
          <w:tcPr>
            <w:tcW w:w="540"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p>
        </w:tc>
      </w:tr>
      <w:tr w:rsidR="002F6680" w:rsidRPr="00640669" w:rsidTr="00F13B74">
        <w:trPr>
          <w:trHeight w:val="465"/>
        </w:trPr>
        <w:tc>
          <w:tcPr>
            <w:tcW w:w="1214" w:type="pct"/>
            <w:tcBorders>
              <w:top w:val="nil"/>
              <w:left w:val="nil"/>
              <w:bottom w:val="nil"/>
              <w:right w:val="nil"/>
            </w:tcBorders>
            <w:shd w:val="clear" w:color="000000" w:fill="DBE5F1"/>
            <w:vAlign w:val="center"/>
            <w:hideMark/>
          </w:tcPr>
          <w:p w:rsidR="002F6680" w:rsidRPr="00640669" w:rsidRDefault="002F6680" w:rsidP="00C937D6">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 Network renewal and upgrade</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0.0</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0.1</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2.6</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7.4</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1.0</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3.0</w:t>
            </w:r>
          </w:p>
        </w:tc>
        <w:tc>
          <w:tcPr>
            <w:tcW w:w="540"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7.5</w:t>
            </w:r>
          </w:p>
        </w:tc>
      </w:tr>
      <w:tr w:rsidR="002F6680" w:rsidRPr="00640669" w:rsidTr="00F13B74">
        <w:trPr>
          <w:trHeight w:val="465"/>
        </w:trPr>
        <w:tc>
          <w:tcPr>
            <w:tcW w:w="1214" w:type="pct"/>
            <w:tcBorders>
              <w:top w:val="nil"/>
              <w:left w:val="nil"/>
              <w:bottom w:val="nil"/>
              <w:right w:val="nil"/>
            </w:tcBorders>
            <w:shd w:val="clear" w:color="auto" w:fill="auto"/>
            <w:vAlign w:val="center"/>
            <w:hideMark/>
          </w:tcPr>
          <w:p w:rsidR="002F6680" w:rsidRPr="00640669" w:rsidRDefault="002F6680" w:rsidP="00C937D6">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 Meter renewal</w:t>
            </w: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0.5</w:t>
            </w: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1.2</w:t>
            </w: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1.2</w:t>
            </w: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1.7</w:t>
            </w: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2.0</w:t>
            </w: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2.3</w:t>
            </w:r>
          </w:p>
        </w:tc>
        <w:tc>
          <w:tcPr>
            <w:tcW w:w="540"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2.7</w:t>
            </w:r>
          </w:p>
        </w:tc>
      </w:tr>
      <w:tr w:rsidR="002F6680" w:rsidRPr="00640669" w:rsidTr="00F13B74">
        <w:trPr>
          <w:trHeight w:val="465"/>
        </w:trPr>
        <w:tc>
          <w:tcPr>
            <w:tcW w:w="1214" w:type="pct"/>
            <w:tcBorders>
              <w:top w:val="nil"/>
              <w:left w:val="nil"/>
              <w:bottom w:val="nil"/>
              <w:right w:val="nil"/>
            </w:tcBorders>
            <w:shd w:val="clear" w:color="000000" w:fill="DBE5F1"/>
            <w:vAlign w:val="center"/>
            <w:hideMark/>
          </w:tcPr>
          <w:p w:rsidR="002F6680" w:rsidRPr="00640669" w:rsidRDefault="002F6680" w:rsidP="00C937D6">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Capitalised regulatory expenditure</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0.8</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0.0</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0.0</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0.0</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0.0</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0.0</w:t>
            </w:r>
          </w:p>
        </w:tc>
        <w:tc>
          <w:tcPr>
            <w:tcW w:w="540"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0.0</w:t>
            </w:r>
          </w:p>
        </w:tc>
      </w:tr>
      <w:tr w:rsidR="002F6680" w:rsidRPr="00640669" w:rsidTr="00F13B74">
        <w:trPr>
          <w:trHeight w:val="465"/>
        </w:trPr>
        <w:tc>
          <w:tcPr>
            <w:tcW w:w="1214" w:type="pct"/>
            <w:tcBorders>
              <w:top w:val="nil"/>
              <w:left w:val="nil"/>
              <w:bottom w:val="nil"/>
              <w:right w:val="nil"/>
            </w:tcBorders>
            <w:shd w:val="clear" w:color="auto" w:fill="auto"/>
            <w:vAlign w:val="center"/>
            <w:hideMark/>
          </w:tcPr>
          <w:p w:rsidR="002F6680" w:rsidRPr="00640669" w:rsidRDefault="002F6680" w:rsidP="00C937D6">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Non-system</w:t>
            </w: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0.3</w:t>
            </w: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0.4</w:t>
            </w: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0.3</w:t>
            </w: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0.2</w:t>
            </w: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-0.3</w:t>
            </w: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0.0</w:t>
            </w:r>
          </w:p>
        </w:tc>
        <w:tc>
          <w:tcPr>
            <w:tcW w:w="540"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0.0</w:t>
            </w:r>
          </w:p>
        </w:tc>
      </w:tr>
      <w:tr w:rsidR="002F6680" w:rsidRPr="00640669" w:rsidTr="00F13B74">
        <w:trPr>
          <w:trHeight w:val="465"/>
        </w:trPr>
        <w:tc>
          <w:tcPr>
            <w:tcW w:w="1214" w:type="pct"/>
            <w:tcBorders>
              <w:top w:val="nil"/>
              <w:left w:val="nil"/>
              <w:bottom w:val="nil"/>
              <w:right w:val="nil"/>
            </w:tcBorders>
            <w:shd w:val="clear" w:color="000000" w:fill="DBE5F1"/>
            <w:vAlign w:val="center"/>
            <w:hideMark/>
          </w:tcPr>
          <w:p w:rsidR="002F6680" w:rsidRPr="00640669" w:rsidRDefault="002F6680" w:rsidP="00C937D6">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Overheads</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0.0</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0.0</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0.0</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0.0</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0.0</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0.0</w:t>
            </w:r>
          </w:p>
        </w:tc>
        <w:tc>
          <w:tcPr>
            <w:tcW w:w="540" w:type="pct"/>
            <w:tcBorders>
              <w:top w:val="nil"/>
              <w:left w:val="nil"/>
              <w:bottom w:val="nil"/>
              <w:right w:val="nil"/>
            </w:tcBorders>
            <w:shd w:val="clear" w:color="000000" w:fill="DBE5F1"/>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1.9</w:t>
            </w:r>
          </w:p>
        </w:tc>
      </w:tr>
      <w:tr w:rsidR="002F6680" w:rsidRPr="00640669" w:rsidTr="00F13B74">
        <w:trPr>
          <w:trHeight w:val="465"/>
        </w:trPr>
        <w:tc>
          <w:tcPr>
            <w:tcW w:w="1214" w:type="pct"/>
            <w:tcBorders>
              <w:top w:val="nil"/>
              <w:left w:val="nil"/>
              <w:bottom w:val="nil"/>
              <w:right w:val="nil"/>
            </w:tcBorders>
            <w:shd w:val="clear" w:color="000000" w:fill="DBE5F1"/>
            <w:vAlign w:val="center"/>
            <w:hideMark/>
          </w:tcPr>
          <w:p w:rsidR="002F6680" w:rsidRPr="00640669" w:rsidRDefault="002F6680" w:rsidP="00C937D6">
            <w:pPr>
              <w:spacing w:before="0" w:line="240" w:lineRule="auto"/>
              <w:rPr>
                <w:rFonts w:eastAsia="Times New Roman" w:cs="Arial"/>
                <w:b/>
                <w:bCs/>
                <w:color w:val="000000"/>
                <w:sz w:val="16"/>
                <w:szCs w:val="16"/>
                <w:lang w:eastAsia="en-AU"/>
              </w:rPr>
            </w:pPr>
            <w:r w:rsidRPr="00640669">
              <w:rPr>
                <w:rFonts w:eastAsia="Times New Roman" w:cs="Arial"/>
                <w:b/>
                <w:bCs/>
                <w:color w:val="000000"/>
                <w:sz w:val="16"/>
                <w:szCs w:val="16"/>
                <w:lang w:eastAsia="en-AU"/>
              </w:rPr>
              <w:t>GROSS TOTAL CAPITAL EXPENDITURE</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1"/>
              <w:rPr>
                <w:rFonts w:cs="Arial"/>
                <w:b/>
                <w:bCs/>
                <w:sz w:val="16"/>
                <w:szCs w:val="24"/>
              </w:rPr>
            </w:pPr>
            <w:r w:rsidRPr="002F6680">
              <w:rPr>
                <w:rFonts w:cs="Arial"/>
                <w:b/>
                <w:bCs/>
                <w:sz w:val="16"/>
              </w:rPr>
              <w:t>12.1</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1"/>
              <w:rPr>
                <w:rFonts w:cs="Arial"/>
                <w:b/>
                <w:bCs/>
                <w:sz w:val="16"/>
                <w:szCs w:val="24"/>
              </w:rPr>
            </w:pPr>
            <w:r w:rsidRPr="002F6680">
              <w:rPr>
                <w:rFonts w:cs="Arial"/>
                <w:b/>
                <w:bCs/>
                <w:sz w:val="16"/>
              </w:rPr>
              <w:t>14.5</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1"/>
              <w:rPr>
                <w:rFonts w:cs="Arial"/>
                <w:b/>
                <w:bCs/>
                <w:sz w:val="16"/>
                <w:szCs w:val="24"/>
              </w:rPr>
            </w:pPr>
            <w:r w:rsidRPr="002F6680">
              <w:rPr>
                <w:rFonts w:cs="Arial"/>
                <w:b/>
                <w:bCs/>
                <w:sz w:val="16"/>
              </w:rPr>
              <w:t>15.7</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1"/>
              <w:rPr>
                <w:rFonts w:cs="Arial"/>
                <w:b/>
                <w:bCs/>
                <w:sz w:val="16"/>
                <w:szCs w:val="24"/>
              </w:rPr>
            </w:pPr>
            <w:r w:rsidRPr="002F6680">
              <w:rPr>
                <w:rFonts w:cs="Arial"/>
                <w:b/>
                <w:bCs/>
                <w:sz w:val="16"/>
              </w:rPr>
              <w:t>20.9</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1"/>
              <w:rPr>
                <w:rFonts w:cs="Arial"/>
                <w:b/>
                <w:bCs/>
                <w:sz w:val="16"/>
                <w:szCs w:val="24"/>
              </w:rPr>
            </w:pPr>
            <w:r w:rsidRPr="002F6680">
              <w:rPr>
                <w:rFonts w:cs="Arial"/>
                <w:b/>
                <w:bCs/>
                <w:sz w:val="16"/>
              </w:rPr>
              <w:t>18.7</w:t>
            </w:r>
          </w:p>
        </w:tc>
        <w:tc>
          <w:tcPr>
            <w:tcW w:w="541" w:type="pct"/>
            <w:tcBorders>
              <w:top w:val="nil"/>
              <w:left w:val="nil"/>
              <w:bottom w:val="nil"/>
              <w:right w:val="nil"/>
            </w:tcBorders>
            <w:shd w:val="clear" w:color="000000" w:fill="DBE5F1"/>
            <w:vAlign w:val="center"/>
          </w:tcPr>
          <w:p w:rsidR="002F6680" w:rsidRPr="002F6680" w:rsidRDefault="002F6680" w:rsidP="002F6680">
            <w:pPr>
              <w:ind w:firstLineChars="100" w:firstLine="161"/>
              <w:rPr>
                <w:rFonts w:cs="Arial"/>
                <w:b/>
                <w:bCs/>
                <w:sz w:val="16"/>
                <w:szCs w:val="24"/>
              </w:rPr>
            </w:pPr>
            <w:r w:rsidRPr="002F6680">
              <w:rPr>
                <w:rFonts w:cs="Arial"/>
                <w:b/>
                <w:bCs/>
                <w:sz w:val="16"/>
              </w:rPr>
              <w:t>24.3</w:t>
            </w:r>
          </w:p>
        </w:tc>
        <w:tc>
          <w:tcPr>
            <w:tcW w:w="540" w:type="pct"/>
            <w:tcBorders>
              <w:top w:val="nil"/>
              <w:left w:val="nil"/>
              <w:bottom w:val="nil"/>
              <w:right w:val="nil"/>
            </w:tcBorders>
            <w:shd w:val="clear" w:color="000000" w:fill="DBE5F1"/>
            <w:vAlign w:val="center"/>
          </w:tcPr>
          <w:p w:rsidR="002F6680" w:rsidRPr="002F6680" w:rsidRDefault="002F6680" w:rsidP="002F6680">
            <w:pPr>
              <w:ind w:firstLineChars="100" w:firstLine="161"/>
              <w:rPr>
                <w:rFonts w:cs="Arial"/>
                <w:b/>
                <w:bCs/>
                <w:sz w:val="16"/>
                <w:szCs w:val="24"/>
              </w:rPr>
            </w:pPr>
            <w:r w:rsidRPr="002F6680">
              <w:rPr>
                <w:rFonts w:cs="Arial"/>
                <w:b/>
                <w:bCs/>
                <w:sz w:val="16"/>
              </w:rPr>
              <w:t>34.1</w:t>
            </w:r>
          </w:p>
        </w:tc>
      </w:tr>
      <w:tr w:rsidR="002F6680" w:rsidRPr="00640669" w:rsidTr="00F13B74">
        <w:trPr>
          <w:trHeight w:val="465"/>
        </w:trPr>
        <w:tc>
          <w:tcPr>
            <w:tcW w:w="1214" w:type="pct"/>
            <w:tcBorders>
              <w:top w:val="nil"/>
              <w:left w:val="nil"/>
              <w:bottom w:val="nil"/>
              <w:right w:val="nil"/>
            </w:tcBorders>
            <w:shd w:val="clear" w:color="auto" w:fill="auto"/>
            <w:vAlign w:val="center"/>
            <w:hideMark/>
          </w:tcPr>
          <w:p w:rsidR="002F6680" w:rsidRPr="00640669" w:rsidRDefault="002F6680" w:rsidP="00C937D6">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Contributions</w:t>
            </w: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0.3</w:t>
            </w: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1.5</w:t>
            </w: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0.1</w:t>
            </w: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1.6</w:t>
            </w: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0.1</w:t>
            </w:r>
          </w:p>
        </w:tc>
        <w:tc>
          <w:tcPr>
            <w:tcW w:w="541"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0.1</w:t>
            </w:r>
          </w:p>
        </w:tc>
        <w:tc>
          <w:tcPr>
            <w:tcW w:w="540" w:type="pct"/>
            <w:tcBorders>
              <w:top w:val="nil"/>
              <w:left w:val="nil"/>
              <w:bottom w:val="nil"/>
              <w:right w:val="nil"/>
            </w:tcBorders>
            <w:shd w:val="clear" w:color="auto" w:fill="auto"/>
            <w:vAlign w:val="center"/>
          </w:tcPr>
          <w:p w:rsidR="002F6680" w:rsidRPr="002F6680" w:rsidRDefault="002F6680" w:rsidP="002F6680">
            <w:pPr>
              <w:ind w:firstLineChars="100" w:firstLine="160"/>
              <w:rPr>
                <w:rFonts w:cs="Arial"/>
                <w:color w:val="000000"/>
                <w:sz w:val="16"/>
                <w:szCs w:val="24"/>
              </w:rPr>
            </w:pPr>
            <w:r w:rsidRPr="002F6680">
              <w:rPr>
                <w:rFonts w:cs="Arial"/>
                <w:color w:val="000000"/>
                <w:sz w:val="16"/>
              </w:rPr>
              <w:t>0.1</w:t>
            </w:r>
          </w:p>
        </w:tc>
      </w:tr>
      <w:tr w:rsidR="002F6680" w:rsidRPr="00640669" w:rsidTr="00F13B74">
        <w:trPr>
          <w:trHeight w:val="465"/>
        </w:trPr>
        <w:tc>
          <w:tcPr>
            <w:tcW w:w="1214" w:type="pct"/>
            <w:tcBorders>
              <w:top w:val="nil"/>
              <w:left w:val="nil"/>
              <w:bottom w:val="single" w:sz="8" w:space="0" w:color="365F91"/>
              <w:right w:val="nil"/>
            </w:tcBorders>
            <w:shd w:val="clear" w:color="000000" w:fill="DBE5F1"/>
            <w:vAlign w:val="center"/>
            <w:hideMark/>
          </w:tcPr>
          <w:p w:rsidR="002F6680" w:rsidRPr="00640669" w:rsidRDefault="002F6680" w:rsidP="00C937D6">
            <w:pPr>
              <w:spacing w:before="0" w:line="240" w:lineRule="auto"/>
              <w:rPr>
                <w:rFonts w:eastAsia="Times New Roman" w:cs="Arial"/>
                <w:b/>
                <w:bCs/>
                <w:color w:val="000000"/>
                <w:sz w:val="16"/>
                <w:szCs w:val="16"/>
                <w:lang w:eastAsia="en-AU"/>
              </w:rPr>
            </w:pPr>
            <w:r w:rsidRPr="00640669">
              <w:rPr>
                <w:rFonts w:eastAsia="Times New Roman" w:cs="Arial"/>
                <w:b/>
                <w:bCs/>
                <w:color w:val="000000"/>
                <w:sz w:val="16"/>
                <w:szCs w:val="16"/>
                <w:lang w:eastAsia="en-AU"/>
              </w:rPr>
              <w:t>NET TOTAL CAPITAL EXPENDITURE</w:t>
            </w:r>
          </w:p>
        </w:tc>
        <w:tc>
          <w:tcPr>
            <w:tcW w:w="541" w:type="pct"/>
            <w:tcBorders>
              <w:top w:val="nil"/>
              <w:left w:val="nil"/>
              <w:bottom w:val="single" w:sz="8" w:space="0" w:color="365F91"/>
              <w:right w:val="nil"/>
            </w:tcBorders>
            <w:shd w:val="clear" w:color="000000" w:fill="DBE5F1"/>
            <w:vAlign w:val="center"/>
          </w:tcPr>
          <w:p w:rsidR="002F6680" w:rsidRPr="002F6680" w:rsidRDefault="002F6680" w:rsidP="002F6680">
            <w:pPr>
              <w:ind w:firstLineChars="100" w:firstLine="161"/>
              <w:rPr>
                <w:rFonts w:cs="Arial"/>
                <w:b/>
                <w:bCs/>
                <w:sz w:val="16"/>
                <w:szCs w:val="24"/>
              </w:rPr>
            </w:pPr>
            <w:r w:rsidRPr="002F6680">
              <w:rPr>
                <w:rFonts w:cs="Arial"/>
                <w:b/>
                <w:bCs/>
                <w:sz w:val="16"/>
              </w:rPr>
              <w:t>11.8</w:t>
            </w:r>
          </w:p>
        </w:tc>
        <w:tc>
          <w:tcPr>
            <w:tcW w:w="541" w:type="pct"/>
            <w:tcBorders>
              <w:top w:val="nil"/>
              <w:left w:val="nil"/>
              <w:bottom w:val="single" w:sz="8" w:space="0" w:color="365F91"/>
              <w:right w:val="nil"/>
            </w:tcBorders>
            <w:shd w:val="clear" w:color="000000" w:fill="DBE5F1"/>
            <w:vAlign w:val="center"/>
          </w:tcPr>
          <w:p w:rsidR="002F6680" w:rsidRPr="002F6680" w:rsidRDefault="002F6680" w:rsidP="002F6680">
            <w:pPr>
              <w:ind w:firstLineChars="100" w:firstLine="161"/>
              <w:rPr>
                <w:rFonts w:cs="Arial"/>
                <w:b/>
                <w:bCs/>
                <w:sz w:val="16"/>
                <w:szCs w:val="24"/>
              </w:rPr>
            </w:pPr>
            <w:r w:rsidRPr="002F6680">
              <w:rPr>
                <w:rFonts w:cs="Arial"/>
                <w:b/>
                <w:bCs/>
                <w:sz w:val="16"/>
              </w:rPr>
              <w:t>13.0</w:t>
            </w:r>
          </w:p>
        </w:tc>
        <w:tc>
          <w:tcPr>
            <w:tcW w:w="541" w:type="pct"/>
            <w:tcBorders>
              <w:top w:val="nil"/>
              <w:left w:val="nil"/>
              <w:bottom w:val="single" w:sz="8" w:space="0" w:color="365F91"/>
              <w:right w:val="nil"/>
            </w:tcBorders>
            <w:shd w:val="clear" w:color="000000" w:fill="DBE5F1"/>
            <w:vAlign w:val="center"/>
          </w:tcPr>
          <w:p w:rsidR="002F6680" w:rsidRPr="002F6680" w:rsidRDefault="002F6680" w:rsidP="002F6680">
            <w:pPr>
              <w:ind w:firstLineChars="100" w:firstLine="161"/>
              <w:rPr>
                <w:rFonts w:cs="Arial"/>
                <w:b/>
                <w:bCs/>
                <w:sz w:val="16"/>
                <w:szCs w:val="24"/>
              </w:rPr>
            </w:pPr>
            <w:r w:rsidRPr="002F6680">
              <w:rPr>
                <w:rFonts w:cs="Arial"/>
                <w:b/>
                <w:bCs/>
                <w:sz w:val="16"/>
              </w:rPr>
              <w:t>15.6</w:t>
            </w:r>
          </w:p>
        </w:tc>
        <w:tc>
          <w:tcPr>
            <w:tcW w:w="541" w:type="pct"/>
            <w:tcBorders>
              <w:top w:val="nil"/>
              <w:left w:val="nil"/>
              <w:bottom w:val="single" w:sz="8" w:space="0" w:color="365F91"/>
              <w:right w:val="nil"/>
            </w:tcBorders>
            <w:shd w:val="clear" w:color="000000" w:fill="DBE5F1"/>
            <w:vAlign w:val="center"/>
          </w:tcPr>
          <w:p w:rsidR="002F6680" w:rsidRPr="002F6680" w:rsidRDefault="002F6680" w:rsidP="002F6680">
            <w:pPr>
              <w:ind w:firstLineChars="100" w:firstLine="161"/>
              <w:rPr>
                <w:rFonts w:cs="Arial"/>
                <w:b/>
                <w:bCs/>
                <w:sz w:val="16"/>
                <w:szCs w:val="24"/>
              </w:rPr>
            </w:pPr>
            <w:r w:rsidRPr="002F6680">
              <w:rPr>
                <w:rFonts w:cs="Arial"/>
                <w:b/>
                <w:bCs/>
                <w:sz w:val="16"/>
              </w:rPr>
              <w:t>19.3</w:t>
            </w:r>
          </w:p>
        </w:tc>
        <w:tc>
          <w:tcPr>
            <w:tcW w:w="541" w:type="pct"/>
            <w:tcBorders>
              <w:top w:val="nil"/>
              <w:left w:val="nil"/>
              <w:bottom w:val="single" w:sz="8" w:space="0" w:color="365F91"/>
              <w:right w:val="nil"/>
            </w:tcBorders>
            <w:shd w:val="clear" w:color="000000" w:fill="DBE5F1"/>
            <w:vAlign w:val="center"/>
          </w:tcPr>
          <w:p w:rsidR="002F6680" w:rsidRPr="002F6680" w:rsidRDefault="002F6680" w:rsidP="002F6680">
            <w:pPr>
              <w:ind w:firstLineChars="100" w:firstLine="161"/>
              <w:rPr>
                <w:rFonts w:cs="Arial"/>
                <w:b/>
                <w:bCs/>
                <w:sz w:val="16"/>
                <w:szCs w:val="24"/>
              </w:rPr>
            </w:pPr>
            <w:r w:rsidRPr="002F6680">
              <w:rPr>
                <w:rFonts w:cs="Arial"/>
                <w:b/>
                <w:bCs/>
                <w:sz w:val="16"/>
              </w:rPr>
              <w:t>18.7</w:t>
            </w:r>
          </w:p>
        </w:tc>
        <w:tc>
          <w:tcPr>
            <w:tcW w:w="541" w:type="pct"/>
            <w:tcBorders>
              <w:top w:val="nil"/>
              <w:left w:val="nil"/>
              <w:bottom w:val="single" w:sz="8" w:space="0" w:color="365F91"/>
              <w:right w:val="nil"/>
            </w:tcBorders>
            <w:shd w:val="clear" w:color="000000" w:fill="DBE5F1"/>
            <w:vAlign w:val="center"/>
          </w:tcPr>
          <w:p w:rsidR="002F6680" w:rsidRPr="002F6680" w:rsidRDefault="002F6680" w:rsidP="002F6680">
            <w:pPr>
              <w:ind w:firstLineChars="100" w:firstLine="161"/>
              <w:rPr>
                <w:rFonts w:cs="Arial"/>
                <w:b/>
                <w:bCs/>
                <w:sz w:val="16"/>
                <w:szCs w:val="24"/>
              </w:rPr>
            </w:pPr>
            <w:r w:rsidRPr="002F6680">
              <w:rPr>
                <w:rFonts w:cs="Arial"/>
                <w:b/>
                <w:bCs/>
                <w:sz w:val="16"/>
              </w:rPr>
              <w:t>24.3</w:t>
            </w:r>
          </w:p>
        </w:tc>
        <w:tc>
          <w:tcPr>
            <w:tcW w:w="540" w:type="pct"/>
            <w:tcBorders>
              <w:top w:val="nil"/>
              <w:left w:val="nil"/>
              <w:bottom w:val="single" w:sz="8" w:space="0" w:color="365F91"/>
              <w:right w:val="nil"/>
            </w:tcBorders>
            <w:shd w:val="clear" w:color="000000" w:fill="DBE5F1"/>
            <w:vAlign w:val="center"/>
          </w:tcPr>
          <w:p w:rsidR="002F6680" w:rsidRPr="002F6680" w:rsidRDefault="002F6680" w:rsidP="002F6680">
            <w:pPr>
              <w:ind w:firstLineChars="100" w:firstLine="161"/>
              <w:rPr>
                <w:rFonts w:cs="Arial"/>
                <w:b/>
                <w:bCs/>
                <w:sz w:val="16"/>
                <w:szCs w:val="24"/>
              </w:rPr>
            </w:pPr>
            <w:r w:rsidRPr="002F6680">
              <w:rPr>
                <w:rFonts w:cs="Arial"/>
                <w:b/>
                <w:bCs/>
                <w:sz w:val="16"/>
              </w:rPr>
              <w:t>34.0</w:t>
            </w:r>
          </w:p>
        </w:tc>
      </w:tr>
    </w:tbl>
    <w:p w:rsidR="00F50062" w:rsidRDefault="00F50062" w:rsidP="00F50062">
      <w:pPr>
        <w:pStyle w:val="AERtablesource"/>
      </w:pPr>
      <w:r w:rsidRPr="00F61681">
        <w:t>Source:</w:t>
      </w:r>
      <w:r w:rsidRPr="00F61681">
        <w:tab/>
        <w:t>AER analysis.</w:t>
      </w:r>
    </w:p>
    <w:p w:rsidR="00F13B74" w:rsidRDefault="00F50062" w:rsidP="00F50062">
      <w:pPr>
        <w:pStyle w:val="AERtablesource"/>
      </w:pPr>
      <w:r>
        <w:t>Note</w:t>
      </w:r>
      <w:r w:rsidRPr="005A3660">
        <w:t>:</w:t>
      </w:r>
      <w:r w:rsidRPr="005A3660">
        <w:tab/>
      </w:r>
      <w:r w:rsidR="00F13B74">
        <w:t>(a) Some categories include related party margins. A confidential version of this table showing direct costs (excluding related party margins) is available in confidential appendix</w:t>
      </w:r>
      <w:r w:rsidR="00170693">
        <w:t xml:space="preserve"> C</w:t>
      </w:r>
      <w:r w:rsidR="00F13B74">
        <w:t>.</w:t>
      </w:r>
    </w:p>
    <w:p w:rsidR="00F50062" w:rsidRDefault="00F13B74" w:rsidP="00F50062">
      <w:pPr>
        <w:pStyle w:val="AERtablesource"/>
      </w:pPr>
      <w:r>
        <w:tab/>
      </w:r>
      <w:r w:rsidR="00F50062">
        <w:t>(</w:t>
      </w:r>
      <w:r>
        <w:t>b</w:t>
      </w:r>
      <w:r w:rsidR="00F50062">
        <w:t>) As ActewAGL provided estimated capex for 2014–15, the ‘approved’ capex in this draft decision for 2014–15 are placeholder amounts. We expect ActewAGL will provide actual capex for 2014</w:t>
      </w:r>
      <w:r w:rsidR="00740F26">
        <w:t>–</w:t>
      </w:r>
      <w:r w:rsidR="00F50062">
        <w:t>15 in its revised proposal. We will assess whether this capex is conforming capex in our final decision.</w:t>
      </w:r>
    </w:p>
    <w:p w:rsidR="00F50062" w:rsidRDefault="00F50062" w:rsidP="00F50062">
      <w:pPr>
        <w:pStyle w:val="AERtablesource"/>
      </w:pPr>
      <w:r>
        <w:tab/>
      </w:r>
      <w:r w:rsidRPr="005A3660">
        <w:t>(</w:t>
      </w:r>
      <w:r w:rsidR="00F13B74">
        <w:t>c</w:t>
      </w:r>
      <w:r w:rsidRPr="005A3660">
        <w:t xml:space="preserve">) </w:t>
      </w:r>
      <w:r w:rsidRPr="00406985">
        <w:t>As s</w:t>
      </w:r>
      <w:r>
        <w:t>et out in Attachment 2 the 2015–</w:t>
      </w:r>
      <w:r w:rsidRPr="00406985">
        <w:t>16 amounts have not been assessed by the AER as approved capex under this decision. This is because these values are estimates. The AER will undertake the assessment of whether the 2015</w:t>
      </w:r>
      <w:r w:rsidR="00740F26">
        <w:t>–</w:t>
      </w:r>
      <w:r w:rsidRPr="00406985">
        <w:t>16 amounts are conforming capex as part of the next a</w:t>
      </w:r>
      <w:r>
        <w:t>ccess arrangement determination</w:t>
      </w:r>
      <w:r w:rsidRPr="005A3660">
        <w:t>.</w:t>
      </w:r>
    </w:p>
    <w:p w:rsidR="00F50062" w:rsidRPr="00CA3F60" w:rsidRDefault="00F50062" w:rsidP="00F50062">
      <w:pPr>
        <w:pStyle w:val="AERtablesource"/>
      </w:pPr>
      <w:r>
        <w:tab/>
        <w:t>(</w:t>
      </w:r>
      <w:r w:rsidR="00F13B74">
        <w:t>d</w:t>
      </w:r>
      <w:r>
        <w:t>) Numbers may not add due to rounding</w:t>
      </w:r>
    </w:p>
    <w:p w:rsidR="00751A80" w:rsidRDefault="00195E18" w:rsidP="00195E18">
      <w:pPr>
        <w:pStyle w:val="HeadingBoldBlue"/>
      </w:pPr>
      <w:r>
        <w:t>Conforming capital expenditure for the 2016–21 access arrangement period</w:t>
      </w:r>
    </w:p>
    <w:p w:rsidR="00C724FD" w:rsidRDefault="00C724FD" w:rsidP="00C724FD">
      <w:r>
        <w:t>We</w:t>
      </w:r>
      <w:r w:rsidRPr="00CA131C">
        <w:t xml:space="preserve"> approve $</w:t>
      </w:r>
      <w:r>
        <w:t xml:space="preserve">76.8 </w:t>
      </w:r>
      <w:r w:rsidRPr="00CA131C">
        <w:t>million (</w:t>
      </w:r>
      <w:r>
        <w:t>$2015–16</w:t>
      </w:r>
      <w:r w:rsidRPr="00CA131C">
        <w:t xml:space="preserve">) of </w:t>
      </w:r>
      <w:proofErr w:type="spellStart"/>
      <w:r>
        <w:t>ActewAGL’s</w:t>
      </w:r>
      <w:proofErr w:type="spellEnd"/>
      <w:r>
        <w:t xml:space="preserve"> </w:t>
      </w:r>
      <w:r w:rsidRPr="00CA131C">
        <w:t>proposed $</w:t>
      </w:r>
      <w:r>
        <w:t>115.6</w:t>
      </w:r>
      <w:r w:rsidRPr="00CA131C">
        <w:t xml:space="preserve"> million (</w:t>
      </w:r>
      <w:r>
        <w:t>$2015–16</w:t>
      </w:r>
      <w:r w:rsidRPr="00CA131C">
        <w:t xml:space="preserve">) </w:t>
      </w:r>
      <w:r>
        <w:t xml:space="preserve">of total net </w:t>
      </w:r>
      <w:r w:rsidRPr="00CA131C">
        <w:t xml:space="preserve">capex </w:t>
      </w:r>
      <w:r>
        <w:t xml:space="preserve">for the </w:t>
      </w:r>
      <w:r w:rsidRPr="00CA131C">
        <w:t>201</w:t>
      </w:r>
      <w:r>
        <w:t>6</w:t>
      </w:r>
      <w:r w:rsidRPr="00CA131C">
        <w:t>–</w:t>
      </w:r>
      <w:r>
        <w:t>21</w:t>
      </w:r>
      <w:r w:rsidRPr="00CA131C">
        <w:t xml:space="preserve"> </w:t>
      </w:r>
      <w:r>
        <w:t xml:space="preserve">access arrangement period </w:t>
      </w:r>
      <w:r w:rsidRPr="00CA131C">
        <w:t>as conforming capex under r</w:t>
      </w:r>
      <w:r w:rsidR="00965044">
        <w:t>ule</w:t>
      </w:r>
      <w:r w:rsidRPr="00CA131C">
        <w:t xml:space="preserve"> 79(1) of the NGR.</w:t>
      </w:r>
      <w:r>
        <w:t xml:space="preserve"> This is 34 per cent less than </w:t>
      </w:r>
      <w:proofErr w:type="spellStart"/>
      <w:r>
        <w:t>ActewAGL’s</w:t>
      </w:r>
      <w:proofErr w:type="spellEnd"/>
      <w:r>
        <w:t xml:space="preserve"> proposed capex.</w:t>
      </w:r>
      <w:r w:rsidRPr="00502B70">
        <w:t xml:space="preserve"> </w:t>
      </w:r>
      <w:r>
        <w:t>Much of this reduction is because we did not have sufficient information to find the proposed expenditures to be prudent or efficient. We have identified where further information needs to be provided by ActewAGL in order for us to be satisfied that the proposed expenditures meet the NGR.</w:t>
      </w:r>
    </w:p>
    <w:p w:rsidR="00F50062" w:rsidRDefault="00F50062" w:rsidP="00F50062">
      <w:r>
        <w:fldChar w:fldCharType="begin"/>
      </w:r>
      <w:r>
        <w:instrText xml:space="preserve"> REF _Ref424748132 \h </w:instrText>
      </w:r>
      <w:r>
        <w:fldChar w:fldCharType="separate"/>
      </w:r>
      <w:r w:rsidR="00EE4EAF">
        <w:t xml:space="preserve">Table </w:t>
      </w:r>
      <w:r w:rsidR="00EE4EAF">
        <w:rPr>
          <w:noProof/>
        </w:rPr>
        <w:t>6</w:t>
      </w:r>
      <w:r w:rsidR="00EE4EAF">
        <w:t>.</w:t>
      </w:r>
      <w:r w:rsidR="00EE4EAF">
        <w:rPr>
          <w:noProof/>
        </w:rPr>
        <w:t>2</w:t>
      </w:r>
      <w:r>
        <w:fldChar w:fldCharType="end"/>
      </w:r>
      <w:r>
        <w:t xml:space="preserve"> </w:t>
      </w:r>
      <w:r w:rsidRPr="00CA131C">
        <w:t>shows approved capex for the 201</w:t>
      </w:r>
      <w:r>
        <w:t>6–21</w:t>
      </w:r>
      <w:r w:rsidRPr="00CA131C">
        <w:t xml:space="preserve"> access arrangement </w:t>
      </w:r>
      <w:proofErr w:type="gramStart"/>
      <w:r w:rsidRPr="00CA131C">
        <w:t>period</w:t>
      </w:r>
      <w:proofErr w:type="gramEnd"/>
      <w:r w:rsidRPr="00CA131C">
        <w:t xml:space="preserve"> by category.</w:t>
      </w:r>
    </w:p>
    <w:p w:rsidR="00F50062" w:rsidRDefault="00F50062" w:rsidP="00F50062">
      <w:pPr>
        <w:pStyle w:val="Caption"/>
      </w:pPr>
      <w:bookmarkStart w:id="13" w:name="_Ref435692135"/>
      <w:bookmarkStart w:id="14" w:name="_Ref424748132"/>
      <w:proofErr w:type="gramStart"/>
      <w:r>
        <w:t xml:space="preserve">Table </w:t>
      </w:r>
      <w:proofErr w:type="gramEnd"/>
      <w:r w:rsidR="004C5F88">
        <w:fldChar w:fldCharType="begin"/>
      </w:r>
      <w:r w:rsidR="004C5F88">
        <w:instrText xml:space="preserve"> STYLEREF 1 \s </w:instrText>
      </w:r>
      <w:r w:rsidR="004C5F88">
        <w:fldChar w:fldCharType="separate"/>
      </w:r>
      <w:r w:rsidR="00EE4EAF">
        <w:rPr>
          <w:noProof/>
        </w:rPr>
        <w:t>6</w:t>
      </w:r>
      <w:r w:rsidR="004C5F88">
        <w:rPr>
          <w:noProof/>
        </w:rPr>
        <w:fldChar w:fldCharType="end"/>
      </w:r>
      <w:proofErr w:type="gramStart"/>
      <w:r w:rsidR="00EE4EAF">
        <w:t>.</w:t>
      </w:r>
      <w:proofErr w:type="gramEnd"/>
      <w:r w:rsidR="004C5F88">
        <w:fldChar w:fldCharType="begin"/>
      </w:r>
      <w:r w:rsidR="004C5F88">
        <w:instrText xml:space="preserve"> SEQ Table \* ARABIC \s 1 </w:instrText>
      </w:r>
      <w:r w:rsidR="004C5F88">
        <w:fldChar w:fldCharType="separate"/>
      </w:r>
      <w:r w:rsidR="00EE4EAF">
        <w:rPr>
          <w:noProof/>
        </w:rPr>
        <w:t>2</w:t>
      </w:r>
      <w:r w:rsidR="004C5F88">
        <w:rPr>
          <w:noProof/>
        </w:rPr>
        <w:fldChar w:fldCharType="end"/>
      </w:r>
      <w:bookmarkEnd w:id="13"/>
      <w:bookmarkEnd w:id="14"/>
      <w:r>
        <w:tab/>
      </w:r>
      <w:r w:rsidRPr="00EB0E3D">
        <w:t>AER approved capital expenditure by category over the 201</w:t>
      </w:r>
      <w:r>
        <w:t>6</w:t>
      </w:r>
      <w:r w:rsidRPr="00EB0E3D">
        <w:t>–</w:t>
      </w:r>
      <w:r>
        <w:t>21</w:t>
      </w:r>
      <w:r w:rsidRPr="00EB0E3D">
        <w:t xml:space="preserve"> access a</w:t>
      </w:r>
      <w:r>
        <w:t>rrangement period</w:t>
      </w:r>
      <w:r w:rsidRPr="00EE71BA">
        <w:t xml:space="preserve"> ($million, </w:t>
      </w:r>
      <w:r>
        <w:t>2015–16</w:t>
      </w:r>
      <w:proofErr w:type="gramStart"/>
      <w:r w:rsidR="00F13B74">
        <w:t>)</w:t>
      </w:r>
      <w:r w:rsidR="00F13B74" w:rsidRPr="00C724FD">
        <w:rPr>
          <w:vertAlign w:val="superscript"/>
        </w:rPr>
        <w:t>a</w:t>
      </w:r>
      <w:proofErr w:type="gramEnd"/>
    </w:p>
    <w:tbl>
      <w:tblPr>
        <w:tblW w:w="5000" w:type="pct"/>
        <w:tblLook w:val="04A0" w:firstRow="1" w:lastRow="0" w:firstColumn="1" w:lastColumn="0" w:noHBand="0" w:noVBand="1"/>
      </w:tblPr>
      <w:tblGrid>
        <w:gridCol w:w="2369"/>
        <w:gridCol w:w="1054"/>
        <w:gridCol w:w="1054"/>
        <w:gridCol w:w="1054"/>
        <w:gridCol w:w="1054"/>
        <w:gridCol w:w="1054"/>
        <w:gridCol w:w="1054"/>
      </w:tblGrid>
      <w:tr w:rsidR="00640669" w:rsidRPr="00640669" w:rsidTr="00625F53">
        <w:trPr>
          <w:trHeight w:val="480"/>
        </w:trPr>
        <w:tc>
          <w:tcPr>
            <w:tcW w:w="1363" w:type="pct"/>
            <w:tcBorders>
              <w:top w:val="nil"/>
              <w:left w:val="nil"/>
              <w:bottom w:val="nil"/>
              <w:right w:val="nil"/>
            </w:tcBorders>
            <w:shd w:val="clear" w:color="000000" w:fill="365F91"/>
            <w:vAlign w:val="center"/>
            <w:hideMark/>
          </w:tcPr>
          <w:p w:rsidR="00640669" w:rsidRPr="00640669" w:rsidRDefault="00640669" w:rsidP="00640669">
            <w:pPr>
              <w:spacing w:before="0" w:line="240" w:lineRule="auto"/>
              <w:rPr>
                <w:rFonts w:eastAsia="Times New Roman" w:cs="Arial"/>
                <w:b/>
                <w:bCs/>
                <w:color w:val="FFFFFF"/>
                <w:sz w:val="16"/>
                <w:szCs w:val="16"/>
                <w:lang w:eastAsia="en-AU"/>
              </w:rPr>
            </w:pPr>
            <w:r w:rsidRPr="00640669">
              <w:rPr>
                <w:rFonts w:eastAsia="Times New Roman" w:cs="Arial"/>
                <w:b/>
                <w:bCs/>
                <w:color w:val="FFFFFF"/>
                <w:sz w:val="16"/>
                <w:szCs w:val="16"/>
                <w:lang w:eastAsia="en-AU"/>
              </w:rPr>
              <w:t> Category</w:t>
            </w:r>
          </w:p>
        </w:tc>
        <w:tc>
          <w:tcPr>
            <w:tcW w:w="606" w:type="pct"/>
            <w:tcBorders>
              <w:top w:val="nil"/>
              <w:left w:val="nil"/>
              <w:bottom w:val="nil"/>
              <w:right w:val="nil"/>
            </w:tcBorders>
            <w:shd w:val="clear" w:color="000000" w:fill="365F91"/>
            <w:vAlign w:val="center"/>
            <w:hideMark/>
          </w:tcPr>
          <w:p w:rsidR="00640669" w:rsidRPr="00640669" w:rsidRDefault="00640669" w:rsidP="00640669">
            <w:pPr>
              <w:spacing w:before="0" w:line="240" w:lineRule="auto"/>
              <w:ind w:firstLineChars="100" w:firstLine="161"/>
              <w:rPr>
                <w:rFonts w:eastAsia="Times New Roman" w:cs="Arial"/>
                <w:b/>
                <w:bCs/>
                <w:color w:val="FFFFFF"/>
                <w:sz w:val="16"/>
                <w:szCs w:val="16"/>
                <w:lang w:eastAsia="en-AU"/>
              </w:rPr>
            </w:pPr>
            <w:r w:rsidRPr="00640669">
              <w:rPr>
                <w:rFonts w:eastAsia="Times New Roman" w:cs="Arial"/>
                <w:b/>
                <w:bCs/>
                <w:color w:val="FFFFFF"/>
                <w:sz w:val="16"/>
                <w:szCs w:val="16"/>
                <w:lang w:eastAsia="en-AU"/>
              </w:rPr>
              <w:t>2016–17</w:t>
            </w:r>
          </w:p>
        </w:tc>
        <w:tc>
          <w:tcPr>
            <w:tcW w:w="606" w:type="pct"/>
            <w:tcBorders>
              <w:top w:val="nil"/>
              <w:left w:val="nil"/>
              <w:bottom w:val="nil"/>
              <w:right w:val="nil"/>
            </w:tcBorders>
            <w:shd w:val="clear" w:color="000000" w:fill="365F91"/>
            <w:vAlign w:val="center"/>
            <w:hideMark/>
          </w:tcPr>
          <w:p w:rsidR="00640669" w:rsidRPr="00640669" w:rsidRDefault="00640669" w:rsidP="00640669">
            <w:pPr>
              <w:spacing w:before="0" w:line="240" w:lineRule="auto"/>
              <w:ind w:firstLineChars="100" w:firstLine="161"/>
              <w:rPr>
                <w:rFonts w:eastAsia="Times New Roman" w:cs="Arial"/>
                <w:b/>
                <w:bCs/>
                <w:color w:val="FFFFFF"/>
                <w:sz w:val="16"/>
                <w:szCs w:val="16"/>
                <w:lang w:eastAsia="en-AU"/>
              </w:rPr>
            </w:pPr>
            <w:r w:rsidRPr="00640669">
              <w:rPr>
                <w:rFonts w:eastAsia="Times New Roman" w:cs="Arial"/>
                <w:b/>
                <w:bCs/>
                <w:color w:val="FFFFFF"/>
                <w:sz w:val="16"/>
                <w:szCs w:val="16"/>
                <w:lang w:eastAsia="en-AU"/>
              </w:rPr>
              <w:t>2017–18</w:t>
            </w:r>
          </w:p>
        </w:tc>
        <w:tc>
          <w:tcPr>
            <w:tcW w:w="606" w:type="pct"/>
            <w:tcBorders>
              <w:top w:val="nil"/>
              <w:left w:val="nil"/>
              <w:bottom w:val="nil"/>
              <w:right w:val="nil"/>
            </w:tcBorders>
            <w:shd w:val="clear" w:color="000000" w:fill="365F91"/>
            <w:vAlign w:val="center"/>
            <w:hideMark/>
          </w:tcPr>
          <w:p w:rsidR="00640669" w:rsidRPr="00640669" w:rsidRDefault="00640669" w:rsidP="00640669">
            <w:pPr>
              <w:spacing w:before="0" w:line="240" w:lineRule="auto"/>
              <w:ind w:firstLineChars="100" w:firstLine="161"/>
              <w:rPr>
                <w:rFonts w:eastAsia="Times New Roman" w:cs="Arial"/>
                <w:b/>
                <w:bCs/>
                <w:color w:val="FFFFFF"/>
                <w:sz w:val="16"/>
                <w:szCs w:val="16"/>
                <w:lang w:eastAsia="en-AU"/>
              </w:rPr>
            </w:pPr>
            <w:r w:rsidRPr="00640669">
              <w:rPr>
                <w:rFonts w:eastAsia="Times New Roman" w:cs="Arial"/>
                <w:b/>
                <w:bCs/>
                <w:color w:val="FFFFFF"/>
                <w:sz w:val="16"/>
                <w:szCs w:val="16"/>
                <w:lang w:eastAsia="en-AU"/>
              </w:rPr>
              <w:t>2018–19</w:t>
            </w:r>
          </w:p>
        </w:tc>
        <w:tc>
          <w:tcPr>
            <w:tcW w:w="606" w:type="pct"/>
            <w:tcBorders>
              <w:top w:val="nil"/>
              <w:left w:val="nil"/>
              <w:bottom w:val="nil"/>
              <w:right w:val="nil"/>
            </w:tcBorders>
            <w:shd w:val="clear" w:color="000000" w:fill="365F91"/>
            <w:vAlign w:val="center"/>
            <w:hideMark/>
          </w:tcPr>
          <w:p w:rsidR="00640669" w:rsidRPr="00640669" w:rsidRDefault="00640669" w:rsidP="00640669">
            <w:pPr>
              <w:spacing w:before="0" w:line="240" w:lineRule="auto"/>
              <w:ind w:firstLineChars="100" w:firstLine="161"/>
              <w:rPr>
                <w:rFonts w:eastAsia="Times New Roman" w:cs="Arial"/>
                <w:b/>
                <w:bCs/>
                <w:color w:val="FFFFFF"/>
                <w:sz w:val="16"/>
                <w:szCs w:val="16"/>
                <w:lang w:eastAsia="en-AU"/>
              </w:rPr>
            </w:pPr>
            <w:r w:rsidRPr="00640669">
              <w:rPr>
                <w:rFonts w:eastAsia="Times New Roman" w:cs="Arial"/>
                <w:b/>
                <w:bCs/>
                <w:color w:val="FFFFFF"/>
                <w:sz w:val="16"/>
                <w:szCs w:val="16"/>
                <w:lang w:eastAsia="en-AU"/>
              </w:rPr>
              <w:t>2019–20</w:t>
            </w:r>
          </w:p>
        </w:tc>
        <w:tc>
          <w:tcPr>
            <w:tcW w:w="606" w:type="pct"/>
            <w:tcBorders>
              <w:top w:val="nil"/>
              <w:left w:val="nil"/>
              <w:bottom w:val="nil"/>
              <w:right w:val="nil"/>
            </w:tcBorders>
            <w:shd w:val="clear" w:color="000000" w:fill="365F91"/>
            <w:vAlign w:val="center"/>
            <w:hideMark/>
          </w:tcPr>
          <w:p w:rsidR="00640669" w:rsidRPr="00640669" w:rsidRDefault="00640669" w:rsidP="00640669">
            <w:pPr>
              <w:spacing w:before="0" w:line="240" w:lineRule="auto"/>
              <w:ind w:firstLineChars="100" w:firstLine="161"/>
              <w:rPr>
                <w:rFonts w:eastAsia="Times New Roman" w:cs="Arial"/>
                <w:b/>
                <w:bCs/>
                <w:color w:val="FFFFFF"/>
                <w:sz w:val="16"/>
                <w:szCs w:val="16"/>
                <w:lang w:eastAsia="en-AU"/>
              </w:rPr>
            </w:pPr>
            <w:r w:rsidRPr="00640669">
              <w:rPr>
                <w:rFonts w:eastAsia="Times New Roman" w:cs="Arial"/>
                <w:b/>
                <w:bCs/>
                <w:color w:val="FFFFFF"/>
                <w:sz w:val="16"/>
                <w:szCs w:val="16"/>
                <w:lang w:eastAsia="en-AU"/>
              </w:rPr>
              <w:t>2020–21</w:t>
            </w:r>
          </w:p>
        </w:tc>
        <w:tc>
          <w:tcPr>
            <w:tcW w:w="606" w:type="pct"/>
            <w:tcBorders>
              <w:top w:val="nil"/>
              <w:left w:val="nil"/>
              <w:bottom w:val="nil"/>
              <w:right w:val="nil"/>
            </w:tcBorders>
            <w:shd w:val="clear" w:color="000000" w:fill="365F91"/>
            <w:vAlign w:val="center"/>
            <w:hideMark/>
          </w:tcPr>
          <w:p w:rsidR="00640669" w:rsidRPr="00640669" w:rsidRDefault="00640669" w:rsidP="00640669">
            <w:pPr>
              <w:spacing w:before="0" w:line="240" w:lineRule="auto"/>
              <w:ind w:firstLineChars="100" w:firstLine="161"/>
              <w:rPr>
                <w:rFonts w:eastAsia="Times New Roman" w:cs="Arial"/>
                <w:b/>
                <w:bCs/>
                <w:color w:val="FFFFFF"/>
                <w:sz w:val="16"/>
                <w:szCs w:val="16"/>
                <w:lang w:eastAsia="en-AU"/>
              </w:rPr>
            </w:pPr>
            <w:r w:rsidRPr="00640669">
              <w:rPr>
                <w:rFonts w:eastAsia="Times New Roman" w:cs="Arial"/>
                <w:b/>
                <w:bCs/>
                <w:color w:val="FFFFFF"/>
                <w:sz w:val="16"/>
                <w:szCs w:val="16"/>
                <w:lang w:eastAsia="en-AU"/>
              </w:rPr>
              <w:t>Total</w:t>
            </w:r>
          </w:p>
        </w:tc>
      </w:tr>
      <w:tr w:rsidR="003317B4" w:rsidRPr="00640669" w:rsidTr="00C724FD">
        <w:trPr>
          <w:trHeight w:val="480"/>
        </w:trPr>
        <w:tc>
          <w:tcPr>
            <w:tcW w:w="1363" w:type="pct"/>
            <w:tcBorders>
              <w:top w:val="nil"/>
              <w:left w:val="nil"/>
              <w:bottom w:val="nil"/>
              <w:right w:val="nil"/>
            </w:tcBorders>
            <w:shd w:val="clear" w:color="auto" w:fill="auto"/>
            <w:vAlign w:val="center"/>
            <w:hideMark/>
          </w:tcPr>
          <w:p w:rsidR="003317B4" w:rsidRPr="00640669" w:rsidRDefault="003317B4" w:rsidP="00262A1E">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Market expansion (Connections)</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7.9</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8.3</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8.2</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8.2</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8.0</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40.6</w:t>
            </w:r>
          </w:p>
        </w:tc>
      </w:tr>
      <w:tr w:rsidR="003317B4" w:rsidRPr="00640669" w:rsidTr="00C724FD">
        <w:trPr>
          <w:trHeight w:val="480"/>
        </w:trPr>
        <w:tc>
          <w:tcPr>
            <w:tcW w:w="1363" w:type="pct"/>
            <w:tcBorders>
              <w:top w:val="nil"/>
              <w:left w:val="nil"/>
              <w:bottom w:val="nil"/>
              <w:right w:val="nil"/>
            </w:tcBorders>
            <w:shd w:val="clear" w:color="000000" w:fill="DBE5F1"/>
            <w:vAlign w:val="center"/>
            <w:hideMark/>
          </w:tcPr>
          <w:p w:rsidR="003317B4" w:rsidRPr="00640669" w:rsidRDefault="003317B4" w:rsidP="00262A1E">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Capacity development (Augmentation)</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color w:val="000000"/>
                <w:sz w:val="16"/>
                <w:szCs w:val="24"/>
              </w:rPr>
            </w:pPr>
            <w:r w:rsidRPr="003317B4">
              <w:rPr>
                <w:rFonts w:cs="Arial"/>
                <w:color w:val="000000"/>
                <w:sz w:val="16"/>
              </w:rPr>
              <w:t>2.8</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color w:val="000000"/>
                <w:sz w:val="16"/>
                <w:szCs w:val="24"/>
              </w:rPr>
            </w:pPr>
            <w:r w:rsidRPr="003317B4">
              <w:rPr>
                <w:rFonts w:cs="Arial"/>
                <w:color w:val="000000"/>
                <w:sz w:val="16"/>
              </w:rPr>
              <w:t>1.2</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color w:val="000000"/>
                <w:sz w:val="16"/>
                <w:szCs w:val="24"/>
              </w:rPr>
            </w:pPr>
            <w:r w:rsidRPr="003317B4">
              <w:rPr>
                <w:rFonts w:cs="Arial"/>
                <w:color w:val="000000"/>
                <w:sz w:val="16"/>
              </w:rPr>
              <w:t>0.7</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color w:val="000000"/>
                <w:sz w:val="16"/>
                <w:szCs w:val="24"/>
              </w:rPr>
            </w:pPr>
            <w:r w:rsidRPr="003317B4">
              <w:rPr>
                <w:rFonts w:cs="Arial"/>
                <w:color w:val="000000"/>
                <w:sz w:val="16"/>
              </w:rPr>
              <w:t>0.3</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color w:val="000000"/>
                <w:sz w:val="16"/>
                <w:szCs w:val="24"/>
              </w:rPr>
            </w:pPr>
            <w:r w:rsidRPr="003317B4">
              <w:rPr>
                <w:rFonts w:cs="Arial"/>
                <w:color w:val="000000"/>
                <w:sz w:val="16"/>
              </w:rPr>
              <w:t>1.1</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color w:val="000000"/>
                <w:sz w:val="16"/>
                <w:szCs w:val="24"/>
              </w:rPr>
            </w:pPr>
            <w:r w:rsidRPr="003317B4">
              <w:rPr>
                <w:rFonts w:cs="Arial"/>
                <w:color w:val="000000"/>
                <w:sz w:val="16"/>
              </w:rPr>
              <w:t>6.0</w:t>
            </w:r>
          </w:p>
        </w:tc>
      </w:tr>
      <w:tr w:rsidR="003317B4" w:rsidRPr="00640669" w:rsidTr="00C724FD">
        <w:trPr>
          <w:trHeight w:val="480"/>
        </w:trPr>
        <w:tc>
          <w:tcPr>
            <w:tcW w:w="1363" w:type="pct"/>
            <w:tcBorders>
              <w:top w:val="nil"/>
              <w:left w:val="nil"/>
              <w:bottom w:val="nil"/>
              <w:right w:val="nil"/>
            </w:tcBorders>
            <w:shd w:val="clear" w:color="auto" w:fill="auto"/>
            <w:vAlign w:val="center"/>
            <w:hideMark/>
          </w:tcPr>
          <w:p w:rsidR="003317B4" w:rsidRPr="00640669" w:rsidRDefault="003317B4" w:rsidP="00262A1E">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Stay in business</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p>
        </w:tc>
      </w:tr>
      <w:tr w:rsidR="003317B4" w:rsidRPr="00640669" w:rsidTr="00C724FD">
        <w:trPr>
          <w:trHeight w:val="480"/>
        </w:trPr>
        <w:tc>
          <w:tcPr>
            <w:tcW w:w="1363" w:type="pct"/>
            <w:tcBorders>
              <w:top w:val="nil"/>
              <w:left w:val="nil"/>
              <w:bottom w:val="nil"/>
              <w:right w:val="nil"/>
            </w:tcBorders>
            <w:shd w:val="clear" w:color="000000" w:fill="DBE5F1"/>
            <w:vAlign w:val="center"/>
            <w:hideMark/>
          </w:tcPr>
          <w:p w:rsidR="003317B4" w:rsidRPr="00640669" w:rsidRDefault="003317B4" w:rsidP="00262A1E">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 Network renewal and upgrade</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color w:val="000000"/>
                <w:sz w:val="16"/>
                <w:szCs w:val="24"/>
              </w:rPr>
            </w:pPr>
            <w:r w:rsidRPr="003317B4">
              <w:rPr>
                <w:rFonts w:cs="Arial"/>
                <w:color w:val="000000"/>
                <w:sz w:val="16"/>
              </w:rPr>
              <w:t>3.4</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color w:val="000000"/>
                <w:sz w:val="16"/>
                <w:szCs w:val="24"/>
              </w:rPr>
            </w:pPr>
            <w:r w:rsidRPr="003317B4">
              <w:rPr>
                <w:rFonts w:cs="Arial"/>
                <w:color w:val="000000"/>
                <w:sz w:val="16"/>
              </w:rPr>
              <w:t>4.4</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color w:val="000000"/>
                <w:sz w:val="16"/>
                <w:szCs w:val="24"/>
              </w:rPr>
            </w:pPr>
            <w:r w:rsidRPr="003317B4">
              <w:rPr>
                <w:rFonts w:cs="Arial"/>
                <w:color w:val="000000"/>
                <w:sz w:val="16"/>
              </w:rPr>
              <w:t>3.7</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color w:val="000000"/>
                <w:sz w:val="16"/>
                <w:szCs w:val="24"/>
              </w:rPr>
            </w:pPr>
            <w:r w:rsidRPr="003317B4">
              <w:rPr>
                <w:rFonts w:cs="Arial"/>
                <w:color w:val="000000"/>
                <w:sz w:val="16"/>
              </w:rPr>
              <w:t>1.0</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color w:val="000000"/>
                <w:sz w:val="16"/>
                <w:szCs w:val="24"/>
              </w:rPr>
            </w:pPr>
            <w:r w:rsidRPr="003317B4">
              <w:rPr>
                <w:rFonts w:cs="Arial"/>
                <w:color w:val="000000"/>
                <w:sz w:val="16"/>
              </w:rPr>
              <w:t>1.5</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color w:val="000000"/>
                <w:sz w:val="16"/>
                <w:szCs w:val="24"/>
              </w:rPr>
            </w:pPr>
            <w:r w:rsidRPr="003317B4">
              <w:rPr>
                <w:rFonts w:cs="Arial"/>
                <w:color w:val="000000"/>
                <w:sz w:val="16"/>
              </w:rPr>
              <w:t>14.0</w:t>
            </w:r>
          </w:p>
        </w:tc>
      </w:tr>
      <w:tr w:rsidR="003317B4" w:rsidRPr="00640669" w:rsidTr="00C724FD">
        <w:trPr>
          <w:trHeight w:val="480"/>
        </w:trPr>
        <w:tc>
          <w:tcPr>
            <w:tcW w:w="1363" w:type="pct"/>
            <w:tcBorders>
              <w:top w:val="nil"/>
              <w:left w:val="nil"/>
              <w:bottom w:val="nil"/>
              <w:right w:val="nil"/>
            </w:tcBorders>
            <w:shd w:val="clear" w:color="auto" w:fill="auto"/>
            <w:vAlign w:val="center"/>
            <w:hideMark/>
          </w:tcPr>
          <w:p w:rsidR="003317B4" w:rsidRPr="00640669" w:rsidRDefault="003317B4" w:rsidP="00262A1E">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 Meter renewal</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2.5</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2.3</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2.7</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2.8</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2.6</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12.9</w:t>
            </w:r>
            <w:r w:rsidR="00624226">
              <w:rPr>
                <w:rStyle w:val="AERsuperscript"/>
              </w:rPr>
              <w:t>(b)</w:t>
            </w:r>
          </w:p>
        </w:tc>
      </w:tr>
      <w:tr w:rsidR="003317B4" w:rsidRPr="00640669" w:rsidTr="00C724FD">
        <w:trPr>
          <w:trHeight w:val="480"/>
        </w:trPr>
        <w:tc>
          <w:tcPr>
            <w:tcW w:w="1363" w:type="pct"/>
            <w:tcBorders>
              <w:top w:val="nil"/>
              <w:left w:val="nil"/>
              <w:bottom w:val="nil"/>
              <w:right w:val="nil"/>
            </w:tcBorders>
            <w:shd w:val="clear" w:color="000000" w:fill="DBE5F1"/>
            <w:vAlign w:val="center"/>
            <w:hideMark/>
          </w:tcPr>
          <w:p w:rsidR="003317B4" w:rsidRPr="00640669" w:rsidRDefault="003317B4" w:rsidP="00262A1E">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Non-system</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color w:val="000000"/>
                <w:sz w:val="16"/>
                <w:szCs w:val="24"/>
              </w:rPr>
            </w:pPr>
            <w:r w:rsidRPr="003317B4">
              <w:rPr>
                <w:rFonts w:cs="Arial"/>
                <w:color w:val="000000"/>
                <w:sz w:val="16"/>
              </w:rPr>
              <w:t>0.2</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color w:val="000000"/>
                <w:sz w:val="16"/>
                <w:szCs w:val="24"/>
              </w:rPr>
            </w:pPr>
            <w:r w:rsidRPr="003317B4">
              <w:rPr>
                <w:rFonts w:cs="Arial"/>
                <w:color w:val="000000"/>
                <w:sz w:val="16"/>
              </w:rPr>
              <w:t>0.1</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color w:val="000000"/>
                <w:sz w:val="16"/>
                <w:szCs w:val="24"/>
              </w:rPr>
            </w:pPr>
            <w:r w:rsidRPr="003317B4">
              <w:rPr>
                <w:rFonts w:cs="Arial"/>
                <w:color w:val="000000"/>
                <w:sz w:val="16"/>
              </w:rPr>
              <w:t>0.2</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color w:val="000000"/>
                <w:sz w:val="16"/>
                <w:szCs w:val="24"/>
              </w:rPr>
            </w:pPr>
            <w:r w:rsidRPr="003317B4">
              <w:rPr>
                <w:rFonts w:cs="Arial"/>
                <w:color w:val="000000"/>
                <w:sz w:val="16"/>
              </w:rPr>
              <w:t>0.0</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color w:val="000000"/>
                <w:sz w:val="16"/>
                <w:szCs w:val="24"/>
              </w:rPr>
            </w:pPr>
            <w:r w:rsidRPr="003317B4">
              <w:rPr>
                <w:rFonts w:cs="Arial"/>
                <w:color w:val="000000"/>
                <w:sz w:val="16"/>
              </w:rPr>
              <w:t>0.0</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color w:val="000000"/>
                <w:sz w:val="16"/>
                <w:szCs w:val="24"/>
              </w:rPr>
            </w:pPr>
            <w:r w:rsidRPr="003317B4">
              <w:rPr>
                <w:rFonts w:cs="Arial"/>
                <w:color w:val="000000"/>
                <w:sz w:val="16"/>
              </w:rPr>
              <w:t>0.5</w:t>
            </w:r>
          </w:p>
        </w:tc>
      </w:tr>
      <w:tr w:rsidR="003317B4" w:rsidRPr="00640669" w:rsidTr="00C724FD">
        <w:trPr>
          <w:trHeight w:val="480"/>
        </w:trPr>
        <w:tc>
          <w:tcPr>
            <w:tcW w:w="1363" w:type="pct"/>
            <w:tcBorders>
              <w:top w:val="nil"/>
              <w:left w:val="nil"/>
              <w:bottom w:val="nil"/>
              <w:right w:val="nil"/>
            </w:tcBorders>
            <w:shd w:val="clear" w:color="auto" w:fill="auto"/>
            <w:vAlign w:val="center"/>
            <w:hideMark/>
          </w:tcPr>
          <w:p w:rsidR="003317B4" w:rsidRPr="00640669" w:rsidRDefault="003317B4" w:rsidP="00262A1E">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Escalation</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0.5</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0.5</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0.5</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0.4</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0.5</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2.3</w:t>
            </w:r>
          </w:p>
        </w:tc>
      </w:tr>
      <w:tr w:rsidR="003317B4" w:rsidRPr="00640669" w:rsidTr="00C724FD">
        <w:trPr>
          <w:trHeight w:val="480"/>
        </w:trPr>
        <w:tc>
          <w:tcPr>
            <w:tcW w:w="1363" w:type="pct"/>
            <w:tcBorders>
              <w:top w:val="nil"/>
              <w:left w:val="nil"/>
              <w:bottom w:val="nil"/>
              <w:right w:val="nil"/>
            </w:tcBorders>
            <w:shd w:val="clear" w:color="auto" w:fill="auto"/>
            <w:vAlign w:val="center"/>
            <w:hideMark/>
          </w:tcPr>
          <w:p w:rsidR="003317B4" w:rsidRPr="001C1C39" w:rsidRDefault="003317B4" w:rsidP="00262A1E">
            <w:pPr>
              <w:spacing w:before="0" w:line="240" w:lineRule="auto"/>
              <w:rPr>
                <w:rStyle w:val="AERsuperscript"/>
              </w:rPr>
            </w:pPr>
            <w:r w:rsidRPr="00640669">
              <w:rPr>
                <w:rFonts w:eastAsia="Times New Roman" w:cs="Arial"/>
                <w:color w:val="000000"/>
                <w:sz w:val="16"/>
                <w:szCs w:val="16"/>
                <w:lang w:eastAsia="en-AU"/>
              </w:rPr>
              <w:t>Overheads</w:t>
            </w:r>
            <w:r>
              <w:rPr>
                <w:rStyle w:val="AERsuperscript"/>
              </w:rPr>
              <w:t>(</w:t>
            </w:r>
            <w:r w:rsidR="00624226">
              <w:rPr>
                <w:rStyle w:val="AERsuperscript"/>
              </w:rPr>
              <w:t>c</w:t>
            </w:r>
            <w:r>
              <w:rPr>
                <w:rStyle w:val="AERsuperscript"/>
              </w:rPr>
              <w:t>)</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1.0</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1.0</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1.0</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0.8</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0.8</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4.6</w:t>
            </w:r>
          </w:p>
        </w:tc>
      </w:tr>
      <w:tr w:rsidR="003317B4" w:rsidRPr="00640669" w:rsidTr="00C724FD">
        <w:trPr>
          <w:trHeight w:val="480"/>
        </w:trPr>
        <w:tc>
          <w:tcPr>
            <w:tcW w:w="1363" w:type="pct"/>
            <w:tcBorders>
              <w:top w:val="nil"/>
              <w:left w:val="nil"/>
              <w:bottom w:val="nil"/>
              <w:right w:val="nil"/>
            </w:tcBorders>
            <w:shd w:val="clear" w:color="000000" w:fill="DBE5F1"/>
            <w:vAlign w:val="center"/>
            <w:hideMark/>
          </w:tcPr>
          <w:p w:rsidR="003317B4" w:rsidRPr="00640669" w:rsidRDefault="003317B4" w:rsidP="00262A1E">
            <w:pPr>
              <w:spacing w:before="0" w:line="240" w:lineRule="auto"/>
              <w:rPr>
                <w:rFonts w:eastAsia="Times New Roman" w:cs="Arial"/>
                <w:b/>
                <w:bCs/>
                <w:color w:val="000000"/>
                <w:sz w:val="16"/>
                <w:szCs w:val="16"/>
                <w:lang w:eastAsia="en-AU"/>
              </w:rPr>
            </w:pPr>
            <w:r w:rsidRPr="00640669">
              <w:rPr>
                <w:rFonts w:eastAsia="Times New Roman" w:cs="Arial"/>
                <w:b/>
                <w:bCs/>
                <w:color w:val="000000"/>
                <w:sz w:val="16"/>
                <w:szCs w:val="16"/>
                <w:lang w:eastAsia="en-AU"/>
              </w:rPr>
              <w:t>GROSS TOTAL CAPITAL EXPENDITURE</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b/>
                <w:bCs/>
                <w:color w:val="000000"/>
                <w:sz w:val="16"/>
                <w:szCs w:val="24"/>
              </w:rPr>
            </w:pPr>
            <w:r w:rsidRPr="003317B4">
              <w:rPr>
                <w:rFonts w:cs="Arial"/>
                <w:b/>
                <w:bCs/>
                <w:color w:val="000000"/>
                <w:sz w:val="16"/>
              </w:rPr>
              <w:t>18.3</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b/>
                <w:bCs/>
                <w:color w:val="000000"/>
                <w:sz w:val="16"/>
                <w:szCs w:val="24"/>
              </w:rPr>
            </w:pPr>
            <w:r w:rsidRPr="003317B4">
              <w:rPr>
                <w:rFonts w:cs="Arial"/>
                <w:b/>
                <w:bCs/>
                <w:color w:val="000000"/>
                <w:sz w:val="16"/>
              </w:rPr>
              <w:t>17.8</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b/>
                <w:bCs/>
                <w:color w:val="000000"/>
                <w:sz w:val="16"/>
                <w:szCs w:val="24"/>
              </w:rPr>
            </w:pPr>
            <w:r w:rsidRPr="003317B4">
              <w:rPr>
                <w:rFonts w:cs="Arial"/>
                <w:b/>
                <w:bCs/>
                <w:color w:val="000000"/>
                <w:sz w:val="16"/>
              </w:rPr>
              <w:t>17.0</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b/>
                <w:bCs/>
                <w:color w:val="000000"/>
                <w:sz w:val="16"/>
                <w:szCs w:val="24"/>
              </w:rPr>
            </w:pPr>
            <w:r w:rsidRPr="003317B4">
              <w:rPr>
                <w:rFonts w:cs="Arial"/>
                <w:b/>
                <w:bCs/>
                <w:color w:val="000000"/>
                <w:sz w:val="16"/>
              </w:rPr>
              <w:t>13.4</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b/>
                <w:bCs/>
                <w:color w:val="000000"/>
                <w:sz w:val="16"/>
                <w:szCs w:val="24"/>
              </w:rPr>
            </w:pPr>
            <w:r w:rsidRPr="003317B4">
              <w:rPr>
                <w:rFonts w:cs="Arial"/>
                <w:b/>
                <w:bCs/>
                <w:color w:val="000000"/>
                <w:sz w:val="16"/>
              </w:rPr>
              <w:t>14.5</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b/>
                <w:bCs/>
                <w:color w:val="000000"/>
                <w:sz w:val="16"/>
                <w:szCs w:val="24"/>
              </w:rPr>
            </w:pPr>
            <w:r w:rsidRPr="003317B4">
              <w:rPr>
                <w:rFonts w:cs="Arial"/>
                <w:b/>
                <w:bCs/>
                <w:color w:val="000000"/>
                <w:sz w:val="16"/>
              </w:rPr>
              <w:t>80.9</w:t>
            </w:r>
          </w:p>
        </w:tc>
      </w:tr>
      <w:tr w:rsidR="003317B4" w:rsidRPr="00640669" w:rsidTr="00C724FD">
        <w:trPr>
          <w:trHeight w:val="480"/>
        </w:trPr>
        <w:tc>
          <w:tcPr>
            <w:tcW w:w="1363" w:type="pct"/>
            <w:tcBorders>
              <w:top w:val="nil"/>
              <w:left w:val="nil"/>
              <w:bottom w:val="nil"/>
              <w:right w:val="nil"/>
            </w:tcBorders>
            <w:shd w:val="clear" w:color="auto" w:fill="auto"/>
            <w:vAlign w:val="center"/>
            <w:hideMark/>
          </w:tcPr>
          <w:p w:rsidR="003317B4" w:rsidRPr="00640669" w:rsidRDefault="003317B4" w:rsidP="00262A1E">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Contributions</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0.7</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0.8</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0.8</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0.8</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0.8</w:t>
            </w:r>
          </w:p>
        </w:tc>
        <w:tc>
          <w:tcPr>
            <w:tcW w:w="606" w:type="pct"/>
            <w:tcBorders>
              <w:top w:val="nil"/>
              <w:left w:val="nil"/>
              <w:bottom w:val="nil"/>
              <w:right w:val="nil"/>
            </w:tcBorders>
            <w:shd w:val="clear" w:color="auto" w:fill="auto"/>
            <w:vAlign w:val="center"/>
          </w:tcPr>
          <w:p w:rsidR="003317B4" w:rsidRPr="003317B4" w:rsidRDefault="003317B4" w:rsidP="003317B4">
            <w:pPr>
              <w:ind w:firstLine="161"/>
              <w:rPr>
                <w:rFonts w:cs="Arial"/>
                <w:color w:val="000000"/>
                <w:sz w:val="16"/>
                <w:szCs w:val="24"/>
              </w:rPr>
            </w:pPr>
            <w:r w:rsidRPr="003317B4">
              <w:rPr>
                <w:rFonts w:cs="Arial"/>
                <w:color w:val="000000"/>
                <w:sz w:val="16"/>
              </w:rPr>
              <w:t>4.1</w:t>
            </w:r>
          </w:p>
        </w:tc>
      </w:tr>
      <w:tr w:rsidR="003317B4" w:rsidRPr="00640669" w:rsidTr="00C724FD">
        <w:trPr>
          <w:trHeight w:val="480"/>
        </w:trPr>
        <w:tc>
          <w:tcPr>
            <w:tcW w:w="1363" w:type="pct"/>
            <w:tcBorders>
              <w:top w:val="nil"/>
              <w:left w:val="nil"/>
              <w:bottom w:val="nil"/>
              <w:right w:val="nil"/>
            </w:tcBorders>
            <w:shd w:val="clear" w:color="000000" w:fill="DBE5F1"/>
            <w:vAlign w:val="center"/>
            <w:hideMark/>
          </w:tcPr>
          <w:p w:rsidR="003317B4" w:rsidRPr="00640669" w:rsidRDefault="003317B4" w:rsidP="00262A1E">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Asset disposals</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color w:val="000000"/>
                <w:sz w:val="16"/>
                <w:szCs w:val="24"/>
              </w:rPr>
            </w:pPr>
            <w:r w:rsidRPr="003317B4">
              <w:rPr>
                <w:rFonts w:cs="Arial"/>
                <w:color w:val="000000"/>
                <w:sz w:val="16"/>
              </w:rPr>
              <w:t>0.0</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color w:val="000000"/>
                <w:sz w:val="16"/>
                <w:szCs w:val="24"/>
              </w:rPr>
            </w:pPr>
            <w:r w:rsidRPr="003317B4">
              <w:rPr>
                <w:rFonts w:cs="Arial"/>
                <w:color w:val="000000"/>
                <w:sz w:val="16"/>
              </w:rPr>
              <w:t>0.0</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color w:val="000000"/>
                <w:sz w:val="16"/>
                <w:szCs w:val="24"/>
              </w:rPr>
            </w:pPr>
            <w:r w:rsidRPr="003317B4">
              <w:rPr>
                <w:rFonts w:cs="Arial"/>
                <w:color w:val="000000"/>
                <w:sz w:val="16"/>
              </w:rPr>
              <w:t>0.0</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color w:val="000000"/>
                <w:sz w:val="16"/>
                <w:szCs w:val="24"/>
              </w:rPr>
            </w:pPr>
            <w:r w:rsidRPr="003317B4">
              <w:rPr>
                <w:rFonts w:cs="Arial"/>
                <w:color w:val="000000"/>
                <w:sz w:val="16"/>
              </w:rPr>
              <w:t>0.0</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color w:val="000000"/>
                <w:sz w:val="16"/>
                <w:szCs w:val="24"/>
              </w:rPr>
            </w:pPr>
            <w:r w:rsidRPr="003317B4">
              <w:rPr>
                <w:rFonts w:cs="Arial"/>
                <w:color w:val="000000"/>
                <w:sz w:val="16"/>
              </w:rPr>
              <w:t>0.0</w:t>
            </w:r>
          </w:p>
        </w:tc>
        <w:tc>
          <w:tcPr>
            <w:tcW w:w="606" w:type="pct"/>
            <w:tcBorders>
              <w:top w:val="nil"/>
              <w:left w:val="nil"/>
              <w:bottom w:val="nil"/>
              <w:right w:val="nil"/>
            </w:tcBorders>
            <w:shd w:val="clear" w:color="000000" w:fill="DBE5F1"/>
            <w:vAlign w:val="center"/>
          </w:tcPr>
          <w:p w:rsidR="003317B4" w:rsidRPr="003317B4" w:rsidRDefault="003317B4" w:rsidP="003317B4">
            <w:pPr>
              <w:ind w:firstLine="161"/>
              <w:rPr>
                <w:rFonts w:cs="Arial"/>
                <w:color w:val="000000"/>
                <w:sz w:val="16"/>
                <w:szCs w:val="24"/>
              </w:rPr>
            </w:pPr>
            <w:r w:rsidRPr="003317B4">
              <w:rPr>
                <w:rFonts w:cs="Arial"/>
                <w:color w:val="000000"/>
                <w:sz w:val="16"/>
              </w:rPr>
              <w:t>0.0</w:t>
            </w:r>
          </w:p>
        </w:tc>
      </w:tr>
      <w:tr w:rsidR="003317B4" w:rsidRPr="00640669" w:rsidTr="00C724FD">
        <w:trPr>
          <w:trHeight w:val="480"/>
        </w:trPr>
        <w:tc>
          <w:tcPr>
            <w:tcW w:w="1363" w:type="pct"/>
            <w:tcBorders>
              <w:top w:val="nil"/>
              <w:left w:val="nil"/>
              <w:bottom w:val="single" w:sz="8" w:space="0" w:color="1F497D"/>
              <w:right w:val="nil"/>
            </w:tcBorders>
            <w:shd w:val="clear" w:color="auto" w:fill="auto"/>
            <w:vAlign w:val="center"/>
            <w:hideMark/>
          </w:tcPr>
          <w:p w:rsidR="003317B4" w:rsidRPr="00640669" w:rsidRDefault="003317B4" w:rsidP="00262A1E">
            <w:pPr>
              <w:spacing w:before="0" w:line="240" w:lineRule="auto"/>
              <w:rPr>
                <w:rFonts w:eastAsia="Times New Roman" w:cs="Arial"/>
                <w:b/>
                <w:bCs/>
                <w:color w:val="000000"/>
                <w:sz w:val="16"/>
                <w:szCs w:val="16"/>
                <w:lang w:eastAsia="en-AU"/>
              </w:rPr>
            </w:pPr>
            <w:r w:rsidRPr="00640669">
              <w:rPr>
                <w:rFonts w:eastAsia="Times New Roman" w:cs="Arial"/>
                <w:b/>
                <w:bCs/>
                <w:color w:val="000000"/>
                <w:sz w:val="16"/>
                <w:szCs w:val="16"/>
                <w:lang w:eastAsia="en-AU"/>
              </w:rPr>
              <w:t>NET TOTAL CAPITAL EXPENDITURE</w:t>
            </w:r>
          </w:p>
        </w:tc>
        <w:tc>
          <w:tcPr>
            <w:tcW w:w="606" w:type="pct"/>
            <w:tcBorders>
              <w:top w:val="nil"/>
              <w:left w:val="nil"/>
              <w:bottom w:val="single" w:sz="8" w:space="0" w:color="1F497D"/>
              <w:right w:val="nil"/>
            </w:tcBorders>
            <w:shd w:val="clear" w:color="auto" w:fill="auto"/>
            <w:vAlign w:val="center"/>
          </w:tcPr>
          <w:p w:rsidR="003317B4" w:rsidRPr="003317B4" w:rsidRDefault="003317B4" w:rsidP="003317B4">
            <w:pPr>
              <w:ind w:firstLine="161"/>
              <w:rPr>
                <w:rFonts w:cs="Arial"/>
                <w:b/>
                <w:bCs/>
                <w:color w:val="000000"/>
                <w:sz w:val="16"/>
                <w:szCs w:val="24"/>
              </w:rPr>
            </w:pPr>
            <w:r w:rsidRPr="003317B4">
              <w:rPr>
                <w:rFonts w:cs="Arial"/>
                <w:b/>
                <w:bCs/>
                <w:color w:val="000000"/>
                <w:sz w:val="16"/>
              </w:rPr>
              <w:t>17.6</w:t>
            </w:r>
          </w:p>
        </w:tc>
        <w:tc>
          <w:tcPr>
            <w:tcW w:w="606" w:type="pct"/>
            <w:tcBorders>
              <w:top w:val="nil"/>
              <w:left w:val="nil"/>
              <w:bottom w:val="single" w:sz="8" w:space="0" w:color="1F497D"/>
              <w:right w:val="nil"/>
            </w:tcBorders>
            <w:shd w:val="clear" w:color="auto" w:fill="auto"/>
            <w:vAlign w:val="center"/>
          </w:tcPr>
          <w:p w:rsidR="003317B4" w:rsidRPr="003317B4" w:rsidRDefault="003317B4" w:rsidP="003317B4">
            <w:pPr>
              <w:ind w:firstLine="161"/>
              <w:rPr>
                <w:rFonts w:cs="Arial"/>
                <w:b/>
                <w:bCs/>
                <w:color w:val="000000"/>
                <w:sz w:val="16"/>
                <w:szCs w:val="24"/>
              </w:rPr>
            </w:pPr>
            <w:r w:rsidRPr="003317B4">
              <w:rPr>
                <w:rFonts w:cs="Arial"/>
                <w:b/>
                <w:bCs/>
                <w:color w:val="000000"/>
                <w:sz w:val="16"/>
              </w:rPr>
              <w:t>17.0</w:t>
            </w:r>
          </w:p>
        </w:tc>
        <w:tc>
          <w:tcPr>
            <w:tcW w:w="606" w:type="pct"/>
            <w:tcBorders>
              <w:top w:val="nil"/>
              <w:left w:val="nil"/>
              <w:bottom w:val="single" w:sz="8" w:space="0" w:color="1F497D"/>
              <w:right w:val="nil"/>
            </w:tcBorders>
            <w:shd w:val="clear" w:color="auto" w:fill="auto"/>
            <w:vAlign w:val="center"/>
          </w:tcPr>
          <w:p w:rsidR="003317B4" w:rsidRPr="003317B4" w:rsidRDefault="003317B4" w:rsidP="003317B4">
            <w:pPr>
              <w:ind w:firstLine="161"/>
              <w:rPr>
                <w:rFonts w:cs="Arial"/>
                <w:b/>
                <w:bCs/>
                <w:color w:val="000000"/>
                <w:sz w:val="16"/>
                <w:szCs w:val="24"/>
              </w:rPr>
            </w:pPr>
            <w:r w:rsidRPr="003317B4">
              <w:rPr>
                <w:rFonts w:cs="Arial"/>
                <w:b/>
                <w:bCs/>
                <w:color w:val="000000"/>
                <w:sz w:val="16"/>
              </w:rPr>
              <w:t>16.2</w:t>
            </w:r>
          </w:p>
        </w:tc>
        <w:tc>
          <w:tcPr>
            <w:tcW w:w="606" w:type="pct"/>
            <w:tcBorders>
              <w:top w:val="nil"/>
              <w:left w:val="nil"/>
              <w:bottom w:val="single" w:sz="8" w:space="0" w:color="1F497D"/>
              <w:right w:val="nil"/>
            </w:tcBorders>
            <w:shd w:val="clear" w:color="auto" w:fill="auto"/>
            <w:vAlign w:val="center"/>
          </w:tcPr>
          <w:p w:rsidR="003317B4" w:rsidRPr="003317B4" w:rsidRDefault="003317B4" w:rsidP="003317B4">
            <w:pPr>
              <w:ind w:firstLine="161"/>
              <w:rPr>
                <w:rFonts w:cs="Arial"/>
                <w:b/>
                <w:bCs/>
                <w:color w:val="000000"/>
                <w:sz w:val="16"/>
                <w:szCs w:val="24"/>
              </w:rPr>
            </w:pPr>
            <w:r w:rsidRPr="003317B4">
              <w:rPr>
                <w:rFonts w:cs="Arial"/>
                <w:b/>
                <w:bCs/>
                <w:color w:val="000000"/>
                <w:sz w:val="16"/>
              </w:rPr>
              <w:t>12.6</w:t>
            </w:r>
          </w:p>
        </w:tc>
        <w:tc>
          <w:tcPr>
            <w:tcW w:w="606" w:type="pct"/>
            <w:tcBorders>
              <w:top w:val="nil"/>
              <w:left w:val="nil"/>
              <w:bottom w:val="single" w:sz="8" w:space="0" w:color="1F497D"/>
              <w:right w:val="nil"/>
            </w:tcBorders>
            <w:shd w:val="clear" w:color="auto" w:fill="auto"/>
            <w:vAlign w:val="center"/>
          </w:tcPr>
          <w:p w:rsidR="003317B4" w:rsidRPr="003317B4" w:rsidRDefault="003317B4" w:rsidP="003317B4">
            <w:pPr>
              <w:ind w:firstLine="161"/>
              <w:rPr>
                <w:rFonts w:cs="Arial"/>
                <w:b/>
                <w:bCs/>
                <w:color w:val="000000"/>
                <w:sz w:val="16"/>
                <w:szCs w:val="24"/>
              </w:rPr>
            </w:pPr>
            <w:r w:rsidRPr="003317B4">
              <w:rPr>
                <w:rFonts w:cs="Arial"/>
                <w:b/>
                <w:bCs/>
                <w:color w:val="000000"/>
                <w:sz w:val="16"/>
              </w:rPr>
              <w:t>13.7</w:t>
            </w:r>
          </w:p>
        </w:tc>
        <w:tc>
          <w:tcPr>
            <w:tcW w:w="606" w:type="pct"/>
            <w:tcBorders>
              <w:top w:val="nil"/>
              <w:left w:val="nil"/>
              <w:bottom w:val="single" w:sz="8" w:space="0" w:color="1F497D"/>
              <w:right w:val="nil"/>
            </w:tcBorders>
            <w:shd w:val="clear" w:color="auto" w:fill="auto"/>
            <w:vAlign w:val="center"/>
          </w:tcPr>
          <w:p w:rsidR="003317B4" w:rsidRPr="003317B4" w:rsidRDefault="003317B4" w:rsidP="003317B4">
            <w:pPr>
              <w:ind w:firstLine="161"/>
              <w:rPr>
                <w:rFonts w:cs="Arial"/>
                <w:b/>
                <w:bCs/>
                <w:color w:val="000000"/>
                <w:sz w:val="16"/>
                <w:szCs w:val="24"/>
              </w:rPr>
            </w:pPr>
            <w:r w:rsidRPr="003317B4">
              <w:rPr>
                <w:rFonts w:cs="Arial"/>
                <w:b/>
                <w:bCs/>
                <w:color w:val="000000"/>
                <w:sz w:val="16"/>
              </w:rPr>
              <w:t>76.8</w:t>
            </w:r>
          </w:p>
        </w:tc>
      </w:tr>
    </w:tbl>
    <w:p w:rsidR="00F50062" w:rsidRDefault="00F50062" w:rsidP="00F50062">
      <w:pPr>
        <w:pStyle w:val="AERtablesource"/>
        <w:numPr>
          <w:ilvl w:val="0"/>
          <w:numId w:val="24"/>
        </w:numPr>
      </w:pPr>
      <w:r w:rsidRPr="00F61681">
        <w:t>Source:</w:t>
      </w:r>
      <w:r w:rsidRPr="00F61681">
        <w:tab/>
        <w:t>AER analysis.</w:t>
      </w:r>
      <w:r w:rsidRPr="00104FA4">
        <w:t xml:space="preserve"> </w:t>
      </w:r>
    </w:p>
    <w:p w:rsidR="00624226" w:rsidRPr="00624226" w:rsidRDefault="00F50062" w:rsidP="00C724FD">
      <w:pPr>
        <w:pStyle w:val="AERtablesource"/>
      </w:pPr>
      <w:r w:rsidRPr="00A91109">
        <w:t>Notes:</w:t>
      </w:r>
      <w:r w:rsidRPr="00A91109">
        <w:tab/>
      </w:r>
      <w:r w:rsidR="00F13B74">
        <w:t>(a) Some categories include a construction management fee (CMF) paid by ActewAGL. A confidential version of this table showing direct costs (excluding the CMF) is set out in confidential appendix</w:t>
      </w:r>
      <w:r w:rsidR="00170693">
        <w:t xml:space="preserve"> C</w:t>
      </w:r>
      <w:r w:rsidR="00F13B74">
        <w:t xml:space="preserve">. </w:t>
      </w:r>
    </w:p>
    <w:p w:rsidR="00624226" w:rsidRDefault="00624226" w:rsidP="00C724FD">
      <w:pPr>
        <w:pStyle w:val="AERtablesource"/>
        <w:ind w:firstLine="0"/>
      </w:pPr>
      <w:r>
        <w:t xml:space="preserve">(b) These </w:t>
      </w:r>
      <w:r w:rsidR="006470D3">
        <w:t xml:space="preserve">expenditure numbers for meter renewal </w:t>
      </w:r>
      <w:r>
        <w:t>are not the modelled numbers we derived once we take into account the CMF from note (a).</w:t>
      </w:r>
      <w:r w:rsidRPr="00624226">
        <w:t xml:space="preserve"> </w:t>
      </w:r>
      <w:r>
        <w:t xml:space="preserve">We included these numbers </w:t>
      </w:r>
      <w:r w:rsidR="006470D3">
        <w:t xml:space="preserve">for presentational purposes as they </w:t>
      </w:r>
      <w:r>
        <w:t xml:space="preserve">reflect our adjustments to </w:t>
      </w:r>
      <w:proofErr w:type="spellStart"/>
      <w:r>
        <w:t>ActewAGL’s</w:t>
      </w:r>
      <w:proofErr w:type="spellEnd"/>
      <w:r>
        <w:t xml:space="preserve"> meter renewal capex (see </w:t>
      </w:r>
      <w:r>
        <w:fldChar w:fldCharType="begin"/>
      </w:r>
      <w:r>
        <w:instrText xml:space="preserve"> REF _Ref434836283 \h </w:instrText>
      </w:r>
      <w:r>
        <w:fldChar w:fldCharType="separate"/>
      </w:r>
      <w:r>
        <w:t xml:space="preserve">Table </w:t>
      </w:r>
      <w:r>
        <w:rPr>
          <w:noProof/>
        </w:rPr>
        <w:t>6</w:t>
      </w:r>
      <w:r>
        <w:t>.</w:t>
      </w:r>
      <w:r>
        <w:rPr>
          <w:noProof/>
        </w:rPr>
        <w:t>5</w:t>
      </w:r>
      <w:r>
        <w:fldChar w:fldCharType="end"/>
      </w:r>
      <w:r w:rsidR="006470D3">
        <w:t xml:space="preserve"> and section </w:t>
      </w:r>
      <w:r w:rsidR="006470D3">
        <w:fldChar w:fldCharType="begin"/>
      </w:r>
      <w:r w:rsidR="006470D3">
        <w:instrText xml:space="preserve"> REF _Ref434836618 \n \h </w:instrText>
      </w:r>
      <w:r w:rsidR="006470D3">
        <w:fldChar w:fldCharType="separate"/>
      </w:r>
      <w:r w:rsidR="006470D3">
        <w:t>6.4.8</w:t>
      </w:r>
      <w:r w:rsidR="006470D3">
        <w:fldChar w:fldCharType="end"/>
      </w:r>
      <w:r>
        <w:t>).</w:t>
      </w:r>
    </w:p>
    <w:p w:rsidR="001A4977" w:rsidRPr="001A4977" w:rsidRDefault="001A4977" w:rsidP="00C724FD">
      <w:pPr>
        <w:pStyle w:val="AERtablesource"/>
        <w:ind w:firstLine="0"/>
      </w:pPr>
      <w:r>
        <w:t>(</w:t>
      </w:r>
      <w:r w:rsidR="00624226">
        <w:t>c</w:t>
      </w:r>
      <w:r>
        <w:t>)</w:t>
      </w:r>
      <w:r w:rsidR="00624226">
        <w:t xml:space="preserve"> </w:t>
      </w:r>
      <w:r>
        <w:t xml:space="preserve">The AER’s approved capitalised overhead amount is based on </w:t>
      </w:r>
      <w:proofErr w:type="spellStart"/>
      <w:r>
        <w:t>ActewAGL’s</w:t>
      </w:r>
      <w:proofErr w:type="spellEnd"/>
      <w:r>
        <w:t xml:space="preserve"> proposed overhead rate of 6 per cent</w:t>
      </w:r>
    </w:p>
    <w:p w:rsidR="00CC7BAC" w:rsidRDefault="00195E18" w:rsidP="00CC7BAC">
      <w:pPr>
        <w:numPr>
          <w:ilvl w:val="0"/>
          <w:numId w:val="24"/>
        </w:numPr>
      </w:pPr>
      <w:r>
        <w:fldChar w:fldCharType="begin"/>
      </w:r>
      <w:r>
        <w:instrText xml:space="preserve"> REF _Ref424748713 \h </w:instrText>
      </w:r>
      <w:r>
        <w:fldChar w:fldCharType="separate"/>
      </w:r>
      <w:r w:rsidR="00EE4EAF">
        <w:t xml:space="preserve">Table </w:t>
      </w:r>
      <w:r w:rsidR="00EE4EAF">
        <w:rPr>
          <w:noProof/>
        </w:rPr>
        <w:t>6</w:t>
      </w:r>
      <w:r w:rsidR="00EE4EAF">
        <w:t>.</w:t>
      </w:r>
      <w:r w:rsidR="00EE4EAF">
        <w:rPr>
          <w:noProof/>
        </w:rPr>
        <w:t>3</w:t>
      </w:r>
      <w:r>
        <w:fldChar w:fldCharType="end"/>
      </w:r>
      <w:r>
        <w:t xml:space="preserve"> </w:t>
      </w:r>
      <w:r w:rsidRPr="00333A31">
        <w:t xml:space="preserve">shows </w:t>
      </w:r>
      <w:proofErr w:type="spellStart"/>
      <w:r w:rsidR="00666935">
        <w:t>ActewAGL</w:t>
      </w:r>
      <w:r w:rsidRPr="00333A31">
        <w:t>'s</w:t>
      </w:r>
      <w:proofErr w:type="spellEnd"/>
      <w:r w:rsidRPr="00333A31">
        <w:t xml:space="preserve"> proposed capex compared with the AER's approved </w:t>
      </w:r>
      <w:r w:rsidR="00814F78">
        <w:t>capex</w:t>
      </w:r>
      <w:r w:rsidRPr="00333A31">
        <w:t xml:space="preserve"> for each category.</w:t>
      </w:r>
      <w:r w:rsidR="00CC7BAC">
        <w:t xml:space="preserve"> In coming to our position, we assessed </w:t>
      </w:r>
      <w:proofErr w:type="spellStart"/>
      <w:r w:rsidR="00CC7BAC">
        <w:t>ActewAGL’s</w:t>
      </w:r>
      <w:proofErr w:type="spellEnd"/>
      <w:r w:rsidR="00CC7BAC">
        <w:t xml:space="preserve"> </w:t>
      </w:r>
      <w:r w:rsidR="00CC7BAC" w:rsidRPr="00B04258">
        <w:t xml:space="preserve">forecast capex taking into account the available evidence. </w:t>
      </w:r>
    </w:p>
    <w:p w:rsidR="00CC7BAC" w:rsidRDefault="00890504" w:rsidP="00CC7BAC">
      <w:pPr>
        <w:numPr>
          <w:ilvl w:val="0"/>
          <w:numId w:val="24"/>
        </w:numPr>
      </w:pPr>
      <w:r>
        <w:t>O</w:t>
      </w:r>
      <w:r w:rsidR="00CC7BAC">
        <w:t>ur assessment</w:t>
      </w:r>
      <w:r w:rsidR="00CC7BAC" w:rsidRPr="00B04258">
        <w:t xml:space="preserve"> </w:t>
      </w:r>
      <w:r>
        <w:t xml:space="preserve">has </w:t>
      </w:r>
      <w:r w:rsidR="00CC7BAC" w:rsidRPr="00B04258">
        <w:t xml:space="preserve">revealed that some aspects of </w:t>
      </w:r>
      <w:proofErr w:type="spellStart"/>
      <w:r w:rsidR="00CC7BAC">
        <w:t>ActewAGL’s</w:t>
      </w:r>
      <w:proofErr w:type="spellEnd"/>
      <w:r w:rsidR="00CC7BAC" w:rsidRPr="00B04258">
        <w:t xml:space="preserve"> proposal</w:t>
      </w:r>
      <w:r w:rsidR="00CC7BAC">
        <w:t xml:space="preserve"> such as capex for non-system capex </w:t>
      </w:r>
      <w:r w:rsidR="00C724FD">
        <w:t xml:space="preserve">is </w:t>
      </w:r>
      <w:r w:rsidR="00CC7BAC" w:rsidRPr="00B04258">
        <w:t>consistent with the N</w:t>
      </w:r>
      <w:r w:rsidR="00CC7BAC">
        <w:t>G</w:t>
      </w:r>
      <w:r w:rsidR="00CC7BAC" w:rsidRPr="00B04258">
        <w:t xml:space="preserve">R requirements in that </w:t>
      </w:r>
      <w:r w:rsidR="00CC7BAC">
        <w:t>the proposed expenditures are justified and would be incurred by a prudent service provider acting efficiently, in accordance with accepted good industry practice, to achieve the lowest sustainable cost of providing services</w:t>
      </w:r>
      <w:r w:rsidR="00CC7BAC" w:rsidRPr="00B04258">
        <w:t>. </w:t>
      </w:r>
    </w:p>
    <w:p w:rsidR="00195E18" w:rsidRPr="00A4447D" w:rsidRDefault="00CC7BAC" w:rsidP="00CC7BAC">
      <w:r w:rsidRPr="00B04258">
        <w:t xml:space="preserve">We found that other aspects of </w:t>
      </w:r>
      <w:proofErr w:type="spellStart"/>
      <w:r>
        <w:t>ActewAGL’s</w:t>
      </w:r>
      <w:proofErr w:type="spellEnd"/>
      <w:r>
        <w:t xml:space="preserve"> </w:t>
      </w:r>
      <w:r w:rsidRPr="00B04258">
        <w:t>proposal</w:t>
      </w:r>
      <w:r>
        <w:t>, in particular, its proposed capex for connections, and augmentation, did not meet the</w:t>
      </w:r>
      <w:r w:rsidRPr="00B04258">
        <w:t xml:space="preserve"> N</w:t>
      </w:r>
      <w:r>
        <w:t>G</w:t>
      </w:r>
      <w:r w:rsidRPr="00B04258">
        <w:t>R</w:t>
      </w:r>
      <w:r>
        <w:t xml:space="preserve"> requirements</w:t>
      </w:r>
      <w:r w:rsidR="00890504">
        <w:t>.</w:t>
      </w:r>
    </w:p>
    <w:p w:rsidR="00F50062" w:rsidRPr="00333A31" w:rsidRDefault="00F50062" w:rsidP="00F50062">
      <w:pPr>
        <w:pStyle w:val="Caption"/>
        <w:numPr>
          <w:ilvl w:val="0"/>
          <w:numId w:val="24"/>
        </w:numPr>
      </w:pPr>
      <w:bookmarkStart w:id="15" w:name="_Ref435521346"/>
      <w:bookmarkStart w:id="16" w:name="_Ref424748713"/>
      <w:r>
        <w:t xml:space="preserve">Table </w:t>
      </w:r>
      <w:fldSimple w:instr=" STYLEREF 1 \s ">
        <w:r w:rsidR="00EE4EAF">
          <w:rPr>
            <w:noProof/>
          </w:rPr>
          <w:t>6</w:t>
        </w:r>
      </w:fldSimple>
      <w:r w:rsidR="00EE4EAF">
        <w:t>.</w:t>
      </w:r>
      <w:fldSimple w:instr=" SEQ Table \* ARABIC \s 1 ">
        <w:r w:rsidR="00EE4EAF">
          <w:rPr>
            <w:noProof/>
          </w:rPr>
          <w:t>3</w:t>
        </w:r>
      </w:fldSimple>
      <w:bookmarkEnd w:id="15"/>
      <w:bookmarkEnd w:id="16"/>
      <w:r>
        <w:tab/>
      </w:r>
      <w:r w:rsidRPr="00A4447D">
        <w:t xml:space="preserve">Comparison of AER approved and </w:t>
      </w:r>
      <w:proofErr w:type="spellStart"/>
      <w:r>
        <w:t>ActewAGL</w:t>
      </w:r>
      <w:r w:rsidRPr="00A4447D">
        <w:t>'s</w:t>
      </w:r>
      <w:proofErr w:type="spellEnd"/>
      <w:r w:rsidRPr="00A4447D">
        <w:t xml:space="preserve"> proposed capital expenditure over the 201</w:t>
      </w:r>
      <w:r>
        <w:t>6–21</w:t>
      </w:r>
      <w:r w:rsidRPr="00A4447D">
        <w:t xml:space="preserve"> access arrangement period ($million,</w:t>
      </w:r>
      <w:r>
        <w:t xml:space="preserve"> 2015–16</w:t>
      </w:r>
      <w:r w:rsidR="001B0C8E">
        <w:t>)</w:t>
      </w:r>
      <w:r w:rsidR="001B0C8E" w:rsidRPr="005C070E">
        <w:rPr>
          <w:vertAlign w:val="superscript"/>
        </w:rPr>
        <w:t>a</w:t>
      </w:r>
    </w:p>
    <w:tbl>
      <w:tblPr>
        <w:tblW w:w="4628" w:type="pct"/>
        <w:tblLook w:val="04A0" w:firstRow="1" w:lastRow="0" w:firstColumn="1" w:lastColumn="0" w:noHBand="0" w:noVBand="1"/>
      </w:tblPr>
      <w:tblGrid>
        <w:gridCol w:w="3047"/>
        <w:gridCol w:w="1284"/>
        <w:gridCol w:w="1731"/>
        <w:gridCol w:w="1984"/>
      </w:tblGrid>
      <w:tr w:rsidR="00C724FD" w:rsidRPr="00640669" w:rsidTr="00C724FD">
        <w:trPr>
          <w:trHeight w:val="705"/>
        </w:trPr>
        <w:tc>
          <w:tcPr>
            <w:tcW w:w="1893" w:type="pct"/>
            <w:tcBorders>
              <w:top w:val="nil"/>
              <w:left w:val="nil"/>
              <w:bottom w:val="nil"/>
              <w:right w:val="nil"/>
            </w:tcBorders>
            <w:shd w:val="clear" w:color="000000" w:fill="365F91"/>
            <w:vAlign w:val="center"/>
            <w:hideMark/>
          </w:tcPr>
          <w:p w:rsidR="00C724FD" w:rsidRPr="00640669" w:rsidRDefault="00C724FD" w:rsidP="00640669">
            <w:pPr>
              <w:spacing w:before="0" w:line="240" w:lineRule="auto"/>
              <w:rPr>
                <w:rFonts w:eastAsia="Times New Roman" w:cs="Arial"/>
                <w:b/>
                <w:bCs/>
                <w:color w:val="FFFFFF"/>
                <w:sz w:val="16"/>
                <w:szCs w:val="16"/>
                <w:lang w:eastAsia="en-AU"/>
              </w:rPr>
            </w:pPr>
            <w:r w:rsidRPr="00640669">
              <w:rPr>
                <w:rFonts w:eastAsia="Times New Roman" w:cs="Arial"/>
                <w:b/>
                <w:bCs/>
                <w:color w:val="FFFFFF"/>
                <w:sz w:val="16"/>
                <w:szCs w:val="16"/>
                <w:lang w:eastAsia="en-AU"/>
              </w:rPr>
              <w:t> Category</w:t>
            </w:r>
          </w:p>
        </w:tc>
        <w:tc>
          <w:tcPr>
            <w:tcW w:w="797" w:type="pct"/>
            <w:tcBorders>
              <w:top w:val="nil"/>
              <w:left w:val="nil"/>
              <w:bottom w:val="nil"/>
              <w:right w:val="nil"/>
            </w:tcBorders>
            <w:shd w:val="clear" w:color="000000" w:fill="365F91"/>
            <w:vAlign w:val="center"/>
            <w:hideMark/>
          </w:tcPr>
          <w:p w:rsidR="00C724FD" w:rsidRPr="00640669" w:rsidRDefault="00C724FD" w:rsidP="00640669">
            <w:pPr>
              <w:spacing w:before="0" w:line="240" w:lineRule="auto"/>
              <w:ind w:firstLineChars="100" w:firstLine="161"/>
              <w:rPr>
                <w:rFonts w:eastAsia="Times New Roman" w:cs="Arial"/>
                <w:b/>
                <w:bCs/>
                <w:color w:val="FFFFFF"/>
                <w:sz w:val="16"/>
                <w:szCs w:val="16"/>
                <w:lang w:eastAsia="en-AU"/>
              </w:rPr>
            </w:pPr>
            <w:r w:rsidRPr="00640669">
              <w:rPr>
                <w:rFonts w:eastAsia="Times New Roman" w:cs="Arial"/>
                <w:b/>
                <w:bCs/>
                <w:color w:val="FFFFFF"/>
                <w:sz w:val="16"/>
                <w:szCs w:val="16"/>
                <w:lang w:eastAsia="en-AU"/>
              </w:rPr>
              <w:t>Proposed</w:t>
            </w:r>
            <w:r w:rsidRPr="00640669">
              <w:rPr>
                <w:rFonts w:eastAsia="Times New Roman" w:cs="Arial"/>
                <w:color w:val="000000"/>
                <w:sz w:val="16"/>
                <w:szCs w:val="16"/>
                <w:lang w:eastAsia="en-AU"/>
              </w:rPr>
              <w:t> </w:t>
            </w:r>
          </w:p>
        </w:tc>
        <w:tc>
          <w:tcPr>
            <w:tcW w:w="1076" w:type="pct"/>
            <w:tcBorders>
              <w:top w:val="nil"/>
              <w:left w:val="nil"/>
              <w:bottom w:val="nil"/>
              <w:right w:val="nil"/>
            </w:tcBorders>
            <w:shd w:val="clear" w:color="000000" w:fill="365F91"/>
            <w:vAlign w:val="center"/>
            <w:hideMark/>
          </w:tcPr>
          <w:p w:rsidR="00C724FD" w:rsidRPr="00640669" w:rsidRDefault="00C724FD" w:rsidP="00DA0670">
            <w:pPr>
              <w:spacing w:before="0" w:line="240" w:lineRule="auto"/>
              <w:ind w:firstLineChars="100" w:firstLine="161"/>
              <w:rPr>
                <w:rFonts w:eastAsia="Times New Roman" w:cs="Arial"/>
                <w:b/>
                <w:bCs/>
                <w:color w:val="FFFFFF"/>
                <w:sz w:val="16"/>
                <w:szCs w:val="16"/>
                <w:lang w:eastAsia="en-AU"/>
              </w:rPr>
            </w:pPr>
            <w:r w:rsidRPr="00640669">
              <w:rPr>
                <w:rFonts w:eastAsia="Times New Roman" w:cs="Arial"/>
                <w:b/>
                <w:bCs/>
                <w:color w:val="FFFFFF"/>
                <w:sz w:val="16"/>
                <w:szCs w:val="16"/>
                <w:lang w:eastAsia="en-AU"/>
              </w:rPr>
              <w:t>Approved</w:t>
            </w:r>
          </w:p>
        </w:tc>
        <w:tc>
          <w:tcPr>
            <w:tcW w:w="1233" w:type="pct"/>
            <w:tcBorders>
              <w:top w:val="nil"/>
              <w:left w:val="nil"/>
              <w:bottom w:val="nil"/>
              <w:right w:val="nil"/>
            </w:tcBorders>
            <w:shd w:val="clear" w:color="000000" w:fill="365F91"/>
            <w:vAlign w:val="center"/>
            <w:hideMark/>
          </w:tcPr>
          <w:p w:rsidR="00C724FD" w:rsidRPr="00640669" w:rsidRDefault="00C724FD" w:rsidP="00640669">
            <w:pPr>
              <w:spacing w:before="0" w:line="240" w:lineRule="auto"/>
              <w:ind w:firstLineChars="100" w:firstLine="161"/>
              <w:rPr>
                <w:rFonts w:eastAsia="Times New Roman" w:cs="Arial"/>
                <w:b/>
                <w:bCs/>
                <w:color w:val="FFFFFF"/>
                <w:sz w:val="16"/>
                <w:szCs w:val="16"/>
                <w:lang w:eastAsia="en-AU"/>
              </w:rPr>
            </w:pPr>
            <w:r w:rsidRPr="00640669">
              <w:rPr>
                <w:rFonts w:eastAsia="Times New Roman" w:cs="Arial"/>
                <w:b/>
                <w:bCs/>
                <w:color w:val="FFFFFF"/>
                <w:sz w:val="16"/>
                <w:szCs w:val="16"/>
                <w:lang w:eastAsia="en-AU"/>
              </w:rPr>
              <w:t>Difference ($millions)</w:t>
            </w:r>
          </w:p>
        </w:tc>
      </w:tr>
      <w:tr w:rsidR="00C724FD" w:rsidRPr="00640669" w:rsidTr="00C724FD">
        <w:trPr>
          <w:trHeight w:val="465"/>
        </w:trPr>
        <w:tc>
          <w:tcPr>
            <w:tcW w:w="1893" w:type="pct"/>
            <w:tcBorders>
              <w:top w:val="nil"/>
              <w:left w:val="nil"/>
              <w:bottom w:val="nil"/>
              <w:right w:val="nil"/>
            </w:tcBorders>
            <w:shd w:val="clear" w:color="auto" w:fill="auto"/>
            <w:vAlign w:val="center"/>
            <w:hideMark/>
          </w:tcPr>
          <w:p w:rsidR="00C724FD" w:rsidRPr="00640669" w:rsidRDefault="00C724FD" w:rsidP="005A2569">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Market expansion (Connections)</w:t>
            </w:r>
          </w:p>
        </w:tc>
        <w:tc>
          <w:tcPr>
            <w:tcW w:w="797" w:type="pct"/>
            <w:tcBorders>
              <w:top w:val="nil"/>
              <w:left w:val="nil"/>
              <w:bottom w:val="nil"/>
              <w:right w:val="nil"/>
            </w:tcBorders>
            <w:shd w:val="clear" w:color="auto" w:fill="auto"/>
            <w:vAlign w:val="center"/>
          </w:tcPr>
          <w:p w:rsidR="00C724FD" w:rsidRPr="005C070E" w:rsidRDefault="00C724FD" w:rsidP="005C070E">
            <w:pPr>
              <w:ind w:firstLine="161"/>
              <w:rPr>
                <w:rFonts w:cs="Arial"/>
                <w:color w:val="000000"/>
                <w:sz w:val="16"/>
                <w:szCs w:val="24"/>
              </w:rPr>
            </w:pPr>
            <w:r w:rsidRPr="005C070E">
              <w:rPr>
                <w:rFonts w:cs="Arial"/>
                <w:color w:val="000000"/>
                <w:sz w:val="16"/>
              </w:rPr>
              <w:t>55.5</w:t>
            </w:r>
          </w:p>
        </w:tc>
        <w:tc>
          <w:tcPr>
            <w:tcW w:w="1076" w:type="pct"/>
            <w:tcBorders>
              <w:top w:val="nil"/>
              <w:left w:val="nil"/>
              <w:bottom w:val="nil"/>
              <w:right w:val="nil"/>
            </w:tcBorders>
            <w:shd w:val="clear" w:color="auto" w:fill="auto"/>
            <w:vAlign w:val="center"/>
          </w:tcPr>
          <w:p w:rsidR="00C724FD" w:rsidRPr="005C070E" w:rsidRDefault="00C724FD" w:rsidP="005C070E">
            <w:pPr>
              <w:ind w:firstLine="161"/>
              <w:rPr>
                <w:rFonts w:cs="Arial"/>
                <w:color w:val="000000"/>
                <w:sz w:val="16"/>
                <w:szCs w:val="24"/>
              </w:rPr>
            </w:pPr>
            <w:r w:rsidRPr="005C070E">
              <w:rPr>
                <w:rFonts w:cs="Arial"/>
                <w:color w:val="000000"/>
                <w:sz w:val="16"/>
              </w:rPr>
              <w:t>40.6</w:t>
            </w:r>
          </w:p>
        </w:tc>
        <w:tc>
          <w:tcPr>
            <w:tcW w:w="1233" w:type="pct"/>
            <w:tcBorders>
              <w:top w:val="nil"/>
              <w:left w:val="nil"/>
              <w:bottom w:val="nil"/>
              <w:right w:val="nil"/>
            </w:tcBorders>
            <w:shd w:val="clear" w:color="auto" w:fill="auto"/>
            <w:vAlign w:val="center"/>
          </w:tcPr>
          <w:p w:rsidR="00C724FD" w:rsidRPr="005C070E" w:rsidRDefault="00C724FD" w:rsidP="005C070E">
            <w:pPr>
              <w:ind w:firstLine="161"/>
              <w:rPr>
                <w:rFonts w:cs="Arial"/>
                <w:color w:val="000000"/>
                <w:sz w:val="16"/>
                <w:szCs w:val="24"/>
              </w:rPr>
            </w:pPr>
            <w:r w:rsidRPr="005C070E">
              <w:rPr>
                <w:rFonts w:cs="Arial"/>
                <w:color w:val="000000"/>
                <w:sz w:val="16"/>
              </w:rPr>
              <w:t>-14.9</w:t>
            </w:r>
          </w:p>
        </w:tc>
      </w:tr>
      <w:tr w:rsidR="00C724FD" w:rsidRPr="00640669" w:rsidTr="00C724FD">
        <w:trPr>
          <w:trHeight w:val="465"/>
        </w:trPr>
        <w:tc>
          <w:tcPr>
            <w:tcW w:w="1893" w:type="pct"/>
            <w:tcBorders>
              <w:top w:val="nil"/>
              <w:left w:val="nil"/>
              <w:bottom w:val="nil"/>
              <w:right w:val="nil"/>
            </w:tcBorders>
            <w:shd w:val="clear" w:color="000000" w:fill="DBE5F1"/>
            <w:vAlign w:val="center"/>
            <w:hideMark/>
          </w:tcPr>
          <w:p w:rsidR="00C724FD" w:rsidRPr="00640669" w:rsidRDefault="00C724FD" w:rsidP="005A2569">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Capacity development (Augmentation)</w:t>
            </w:r>
          </w:p>
        </w:tc>
        <w:tc>
          <w:tcPr>
            <w:tcW w:w="797" w:type="pct"/>
            <w:tcBorders>
              <w:top w:val="nil"/>
              <w:left w:val="nil"/>
              <w:bottom w:val="nil"/>
              <w:right w:val="nil"/>
            </w:tcBorders>
            <w:shd w:val="clear" w:color="000000" w:fill="DBE5F1"/>
            <w:vAlign w:val="center"/>
          </w:tcPr>
          <w:p w:rsidR="00C724FD" w:rsidRPr="005C070E" w:rsidRDefault="00C724FD" w:rsidP="005C070E">
            <w:pPr>
              <w:ind w:firstLine="161"/>
              <w:rPr>
                <w:rFonts w:cs="Arial"/>
                <w:color w:val="000000"/>
                <w:sz w:val="16"/>
                <w:szCs w:val="24"/>
              </w:rPr>
            </w:pPr>
            <w:r w:rsidRPr="005C070E">
              <w:rPr>
                <w:rFonts w:cs="Arial"/>
                <w:color w:val="000000"/>
                <w:sz w:val="16"/>
              </w:rPr>
              <w:t>17.7</w:t>
            </w:r>
          </w:p>
        </w:tc>
        <w:tc>
          <w:tcPr>
            <w:tcW w:w="1076" w:type="pct"/>
            <w:tcBorders>
              <w:top w:val="nil"/>
              <w:left w:val="nil"/>
              <w:bottom w:val="nil"/>
              <w:right w:val="nil"/>
            </w:tcBorders>
            <w:shd w:val="clear" w:color="000000" w:fill="DBE5F1"/>
            <w:vAlign w:val="center"/>
          </w:tcPr>
          <w:p w:rsidR="00C724FD" w:rsidRPr="005C070E" w:rsidRDefault="00C724FD" w:rsidP="005C070E">
            <w:pPr>
              <w:ind w:firstLine="161"/>
              <w:rPr>
                <w:rFonts w:cs="Arial"/>
                <w:color w:val="000000"/>
                <w:sz w:val="16"/>
                <w:szCs w:val="24"/>
              </w:rPr>
            </w:pPr>
            <w:r w:rsidRPr="005C070E">
              <w:rPr>
                <w:rFonts w:cs="Arial"/>
                <w:color w:val="000000"/>
                <w:sz w:val="16"/>
              </w:rPr>
              <w:t>6.0</w:t>
            </w:r>
          </w:p>
        </w:tc>
        <w:tc>
          <w:tcPr>
            <w:tcW w:w="1233" w:type="pct"/>
            <w:tcBorders>
              <w:top w:val="nil"/>
              <w:left w:val="nil"/>
              <w:bottom w:val="nil"/>
              <w:right w:val="nil"/>
            </w:tcBorders>
            <w:shd w:val="clear" w:color="000000" w:fill="DBE5F1"/>
            <w:vAlign w:val="center"/>
          </w:tcPr>
          <w:p w:rsidR="00C724FD" w:rsidRPr="005C070E" w:rsidRDefault="00C724FD" w:rsidP="005C070E">
            <w:pPr>
              <w:ind w:firstLine="161"/>
              <w:rPr>
                <w:rFonts w:cs="Arial"/>
                <w:color w:val="000000"/>
                <w:sz w:val="16"/>
                <w:szCs w:val="24"/>
              </w:rPr>
            </w:pPr>
            <w:r w:rsidRPr="005C070E">
              <w:rPr>
                <w:rFonts w:cs="Arial"/>
                <w:color w:val="000000"/>
                <w:sz w:val="16"/>
              </w:rPr>
              <w:t>-11.8</w:t>
            </w:r>
          </w:p>
        </w:tc>
      </w:tr>
      <w:tr w:rsidR="00C724FD" w:rsidRPr="00640669" w:rsidTr="00C724FD">
        <w:trPr>
          <w:trHeight w:val="465"/>
        </w:trPr>
        <w:tc>
          <w:tcPr>
            <w:tcW w:w="1893" w:type="pct"/>
            <w:tcBorders>
              <w:top w:val="nil"/>
              <w:left w:val="nil"/>
              <w:bottom w:val="nil"/>
              <w:right w:val="nil"/>
            </w:tcBorders>
            <w:shd w:val="clear" w:color="auto" w:fill="auto"/>
            <w:vAlign w:val="center"/>
            <w:hideMark/>
          </w:tcPr>
          <w:p w:rsidR="00C724FD" w:rsidRPr="00640669" w:rsidRDefault="00C724FD" w:rsidP="005A2569">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Stay in business</w:t>
            </w:r>
          </w:p>
        </w:tc>
        <w:tc>
          <w:tcPr>
            <w:tcW w:w="797" w:type="pct"/>
            <w:tcBorders>
              <w:top w:val="nil"/>
              <w:left w:val="nil"/>
              <w:bottom w:val="nil"/>
              <w:right w:val="nil"/>
            </w:tcBorders>
            <w:shd w:val="clear" w:color="auto" w:fill="auto"/>
            <w:vAlign w:val="center"/>
          </w:tcPr>
          <w:p w:rsidR="00C724FD" w:rsidRPr="005C070E" w:rsidRDefault="00C724FD" w:rsidP="005C070E">
            <w:pPr>
              <w:ind w:firstLine="161"/>
              <w:rPr>
                <w:rFonts w:cs="Arial"/>
                <w:color w:val="000000"/>
                <w:sz w:val="16"/>
                <w:szCs w:val="24"/>
              </w:rPr>
            </w:pPr>
          </w:p>
        </w:tc>
        <w:tc>
          <w:tcPr>
            <w:tcW w:w="1076" w:type="pct"/>
            <w:tcBorders>
              <w:top w:val="nil"/>
              <w:left w:val="nil"/>
              <w:bottom w:val="nil"/>
              <w:right w:val="nil"/>
            </w:tcBorders>
            <w:shd w:val="clear" w:color="auto" w:fill="auto"/>
            <w:vAlign w:val="center"/>
          </w:tcPr>
          <w:p w:rsidR="00C724FD" w:rsidRPr="005C070E" w:rsidRDefault="00C724FD" w:rsidP="005C070E">
            <w:pPr>
              <w:ind w:firstLine="161"/>
              <w:rPr>
                <w:rFonts w:cs="Arial"/>
                <w:color w:val="000000"/>
                <w:sz w:val="16"/>
                <w:szCs w:val="24"/>
              </w:rPr>
            </w:pPr>
          </w:p>
        </w:tc>
        <w:tc>
          <w:tcPr>
            <w:tcW w:w="1233" w:type="pct"/>
            <w:tcBorders>
              <w:top w:val="nil"/>
              <w:left w:val="nil"/>
              <w:bottom w:val="nil"/>
              <w:right w:val="nil"/>
            </w:tcBorders>
            <w:shd w:val="clear" w:color="auto" w:fill="auto"/>
            <w:vAlign w:val="center"/>
          </w:tcPr>
          <w:p w:rsidR="00C724FD" w:rsidRPr="005C070E" w:rsidRDefault="00C724FD" w:rsidP="005C070E">
            <w:pPr>
              <w:ind w:firstLine="161"/>
              <w:rPr>
                <w:rFonts w:cs="Arial"/>
                <w:color w:val="000000"/>
                <w:sz w:val="16"/>
                <w:szCs w:val="24"/>
              </w:rPr>
            </w:pPr>
          </w:p>
        </w:tc>
      </w:tr>
      <w:tr w:rsidR="00C724FD" w:rsidRPr="00640669" w:rsidTr="00C724FD">
        <w:trPr>
          <w:trHeight w:val="465"/>
        </w:trPr>
        <w:tc>
          <w:tcPr>
            <w:tcW w:w="1893" w:type="pct"/>
            <w:tcBorders>
              <w:top w:val="nil"/>
              <w:left w:val="nil"/>
              <w:bottom w:val="nil"/>
              <w:right w:val="nil"/>
            </w:tcBorders>
            <w:shd w:val="clear" w:color="000000" w:fill="DBE5F1"/>
            <w:vAlign w:val="center"/>
            <w:hideMark/>
          </w:tcPr>
          <w:p w:rsidR="00C724FD" w:rsidRPr="00640669" w:rsidRDefault="00C724FD" w:rsidP="005A2569">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 Network renewal and upgrade</w:t>
            </w:r>
          </w:p>
        </w:tc>
        <w:tc>
          <w:tcPr>
            <w:tcW w:w="797" w:type="pct"/>
            <w:tcBorders>
              <w:top w:val="nil"/>
              <w:left w:val="nil"/>
              <w:bottom w:val="nil"/>
              <w:right w:val="nil"/>
            </w:tcBorders>
            <w:shd w:val="clear" w:color="000000" w:fill="DBE5F1"/>
            <w:vAlign w:val="center"/>
          </w:tcPr>
          <w:p w:rsidR="00C724FD" w:rsidRPr="005C070E" w:rsidRDefault="00C724FD" w:rsidP="005C070E">
            <w:pPr>
              <w:ind w:firstLine="161"/>
              <w:rPr>
                <w:rFonts w:cs="Arial"/>
                <w:color w:val="000000"/>
                <w:sz w:val="16"/>
                <w:szCs w:val="24"/>
              </w:rPr>
            </w:pPr>
            <w:r w:rsidRPr="005C070E">
              <w:rPr>
                <w:rFonts w:cs="Arial"/>
                <w:color w:val="000000"/>
                <w:sz w:val="16"/>
              </w:rPr>
              <w:t>15.4</w:t>
            </w:r>
          </w:p>
        </w:tc>
        <w:tc>
          <w:tcPr>
            <w:tcW w:w="1076" w:type="pct"/>
            <w:tcBorders>
              <w:top w:val="nil"/>
              <w:left w:val="nil"/>
              <w:bottom w:val="nil"/>
              <w:right w:val="nil"/>
            </w:tcBorders>
            <w:shd w:val="clear" w:color="000000" w:fill="DBE5F1"/>
            <w:vAlign w:val="center"/>
          </w:tcPr>
          <w:p w:rsidR="00C724FD" w:rsidRPr="005C070E" w:rsidRDefault="00C724FD" w:rsidP="005C070E">
            <w:pPr>
              <w:ind w:firstLine="161"/>
              <w:rPr>
                <w:rFonts w:cs="Arial"/>
                <w:color w:val="000000"/>
                <w:sz w:val="16"/>
                <w:szCs w:val="24"/>
              </w:rPr>
            </w:pPr>
            <w:r w:rsidRPr="005C070E">
              <w:rPr>
                <w:rFonts w:cs="Arial"/>
                <w:color w:val="000000"/>
                <w:sz w:val="16"/>
              </w:rPr>
              <w:t>14.0</w:t>
            </w:r>
          </w:p>
        </w:tc>
        <w:tc>
          <w:tcPr>
            <w:tcW w:w="1233" w:type="pct"/>
            <w:tcBorders>
              <w:top w:val="nil"/>
              <w:left w:val="nil"/>
              <w:bottom w:val="nil"/>
              <w:right w:val="nil"/>
            </w:tcBorders>
            <w:shd w:val="clear" w:color="000000" w:fill="DBE5F1"/>
            <w:vAlign w:val="center"/>
          </w:tcPr>
          <w:p w:rsidR="00C724FD" w:rsidRPr="005C070E" w:rsidRDefault="00C724FD" w:rsidP="005C070E">
            <w:pPr>
              <w:ind w:firstLine="161"/>
              <w:rPr>
                <w:rFonts w:cs="Arial"/>
                <w:color w:val="000000"/>
                <w:sz w:val="16"/>
                <w:szCs w:val="24"/>
              </w:rPr>
            </w:pPr>
            <w:r w:rsidRPr="005C070E">
              <w:rPr>
                <w:rFonts w:cs="Arial"/>
                <w:color w:val="000000"/>
                <w:sz w:val="16"/>
              </w:rPr>
              <w:t>-1.4</w:t>
            </w:r>
          </w:p>
        </w:tc>
      </w:tr>
      <w:tr w:rsidR="00C724FD" w:rsidRPr="00640669" w:rsidTr="00C724FD">
        <w:trPr>
          <w:trHeight w:val="465"/>
        </w:trPr>
        <w:tc>
          <w:tcPr>
            <w:tcW w:w="1893" w:type="pct"/>
            <w:tcBorders>
              <w:top w:val="nil"/>
              <w:left w:val="nil"/>
              <w:bottom w:val="nil"/>
              <w:right w:val="nil"/>
            </w:tcBorders>
            <w:shd w:val="clear" w:color="auto" w:fill="auto"/>
            <w:vAlign w:val="center"/>
            <w:hideMark/>
          </w:tcPr>
          <w:p w:rsidR="00C724FD" w:rsidRPr="00640669" w:rsidRDefault="00C724FD" w:rsidP="005A2569">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 Meter renewal</w:t>
            </w:r>
          </w:p>
        </w:tc>
        <w:tc>
          <w:tcPr>
            <w:tcW w:w="797" w:type="pct"/>
            <w:tcBorders>
              <w:top w:val="nil"/>
              <w:left w:val="nil"/>
              <w:bottom w:val="nil"/>
              <w:right w:val="nil"/>
            </w:tcBorders>
            <w:shd w:val="clear" w:color="auto" w:fill="auto"/>
            <w:vAlign w:val="center"/>
          </w:tcPr>
          <w:p w:rsidR="00C724FD" w:rsidRPr="005C070E" w:rsidRDefault="00C724FD" w:rsidP="005C070E">
            <w:pPr>
              <w:ind w:firstLine="161"/>
              <w:rPr>
                <w:rFonts w:cs="Arial"/>
                <w:color w:val="000000"/>
                <w:sz w:val="16"/>
                <w:szCs w:val="24"/>
              </w:rPr>
            </w:pPr>
            <w:r w:rsidRPr="005C070E">
              <w:rPr>
                <w:rFonts w:cs="Arial"/>
                <w:color w:val="000000"/>
                <w:sz w:val="16"/>
              </w:rPr>
              <w:t>13.3</w:t>
            </w:r>
          </w:p>
        </w:tc>
        <w:tc>
          <w:tcPr>
            <w:tcW w:w="1076" w:type="pct"/>
            <w:tcBorders>
              <w:top w:val="nil"/>
              <w:left w:val="nil"/>
              <w:bottom w:val="nil"/>
              <w:right w:val="nil"/>
            </w:tcBorders>
            <w:shd w:val="clear" w:color="auto" w:fill="auto"/>
            <w:vAlign w:val="center"/>
          </w:tcPr>
          <w:p w:rsidR="00C724FD" w:rsidRPr="005C070E" w:rsidRDefault="00C724FD" w:rsidP="005C070E">
            <w:pPr>
              <w:ind w:firstLine="161"/>
              <w:rPr>
                <w:rFonts w:cs="Arial"/>
                <w:color w:val="000000"/>
                <w:sz w:val="16"/>
                <w:szCs w:val="24"/>
              </w:rPr>
            </w:pPr>
            <w:r w:rsidRPr="005C070E">
              <w:rPr>
                <w:rFonts w:cs="Arial"/>
                <w:color w:val="000000"/>
                <w:sz w:val="16"/>
              </w:rPr>
              <w:t>12.9</w:t>
            </w:r>
          </w:p>
        </w:tc>
        <w:tc>
          <w:tcPr>
            <w:tcW w:w="1233" w:type="pct"/>
            <w:tcBorders>
              <w:top w:val="nil"/>
              <w:left w:val="nil"/>
              <w:bottom w:val="nil"/>
              <w:right w:val="nil"/>
            </w:tcBorders>
            <w:shd w:val="clear" w:color="auto" w:fill="auto"/>
            <w:vAlign w:val="center"/>
          </w:tcPr>
          <w:p w:rsidR="00C724FD" w:rsidRPr="005C070E" w:rsidRDefault="00C724FD" w:rsidP="005C070E">
            <w:pPr>
              <w:ind w:firstLine="161"/>
              <w:rPr>
                <w:rFonts w:cs="Arial"/>
                <w:color w:val="000000"/>
                <w:sz w:val="16"/>
                <w:szCs w:val="24"/>
              </w:rPr>
            </w:pPr>
            <w:r w:rsidRPr="005C070E">
              <w:rPr>
                <w:rFonts w:cs="Arial"/>
                <w:color w:val="000000"/>
                <w:sz w:val="16"/>
              </w:rPr>
              <w:t>-0.4</w:t>
            </w:r>
          </w:p>
        </w:tc>
      </w:tr>
      <w:tr w:rsidR="00C724FD" w:rsidRPr="00640669" w:rsidTr="00C724FD">
        <w:trPr>
          <w:trHeight w:val="465"/>
        </w:trPr>
        <w:tc>
          <w:tcPr>
            <w:tcW w:w="1893" w:type="pct"/>
            <w:tcBorders>
              <w:top w:val="nil"/>
              <w:left w:val="nil"/>
              <w:bottom w:val="nil"/>
              <w:right w:val="nil"/>
            </w:tcBorders>
            <w:shd w:val="clear" w:color="000000" w:fill="DBE5F1"/>
            <w:vAlign w:val="center"/>
            <w:hideMark/>
          </w:tcPr>
          <w:p w:rsidR="00C724FD" w:rsidRPr="00640669" w:rsidRDefault="00C724FD" w:rsidP="005A2569">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Non-system</w:t>
            </w:r>
          </w:p>
        </w:tc>
        <w:tc>
          <w:tcPr>
            <w:tcW w:w="797" w:type="pct"/>
            <w:tcBorders>
              <w:top w:val="nil"/>
              <w:left w:val="nil"/>
              <w:bottom w:val="nil"/>
              <w:right w:val="nil"/>
            </w:tcBorders>
            <w:shd w:val="clear" w:color="000000" w:fill="DBE5F1"/>
            <w:vAlign w:val="center"/>
          </w:tcPr>
          <w:p w:rsidR="00C724FD" w:rsidRPr="005C070E" w:rsidRDefault="00C724FD" w:rsidP="005C070E">
            <w:pPr>
              <w:ind w:firstLine="161"/>
              <w:rPr>
                <w:rFonts w:cs="Arial"/>
                <w:color w:val="000000"/>
                <w:sz w:val="16"/>
                <w:szCs w:val="24"/>
              </w:rPr>
            </w:pPr>
            <w:r w:rsidRPr="005C070E">
              <w:rPr>
                <w:rFonts w:cs="Arial"/>
                <w:color w:val="000000"/>
                <w:sz w:val="16"/>
              </w:rPr>
              <w:t>0.5</w:t>
            </w:r>
          </w:p>
        </w:tc>
        <w:tc>
          <w:tcPr>
            <w:tcW w:w="1076" w:type="pct"/>
            <w:tcBorders>
              <w:top w:val="nil"/>
              <w:left w:val="nil"/>
              <w:bottom w:val="nil"/>
              <w:right w:val="nil"/>
            </w:tcBorders>
            <w:shd w:val="clear" w:color="000000" w:fill="DBE5F1"/>
            <w:vAlign w:val="center"/>
          </w:tcPr>
          <w:p w:rsidR="00C724FD" w:rsidRPr="005C070E" w:rsidRDefault="00C724FD" w:rsidP="005C070E">
            <w:pPr>
              <w:ind w:firstLine="161"/>
              <w:rPr>
                <w:rFonts w:cs="Arial"/>
                <w:color w:val="000000"/>
                <w:sz w:val="16"/>
                <w:szCs w:val="24"/>
              </w:rPr>
            </w:pPr>
            <w:r w:rsidRPr="005C070E">
              <w:rPr>
                <w:rFonts w:cs="Arial"/>
                <w:color w:val="000000"/>
                <w:sz w:val="16"/>
              </w:rPr>
              <w:t>0.5</w:t>
            </w:r>
          </w:p>
        </w:tc>
        <w:tc>
          <w:tcPr>
            <w:tcW w:w="1233" w:type="pct"/>
            <w:tcBorders>
              <w:top w:val="nil"/>
              <w:left w:val="nil"/>
              <w:bottom w:val="nil"/>
              <w:right w:val="nil"/>
            </w:tcBorders>
            <w:shd w:val="clear" w:color="000000" w:fill="DBE5F1"/>
            <w:vAlign w:val="center"/>
          </w:tcPr>
          <w:p w:rsidR="00C724FD" w:rsidRPr="005C070E" w:rsidRDefault="00C724FD" w:rsidP="005C070E">
            <w:pPr>
              <w:ind w:firstLine="161"/>
              <w:rPr>
                <w:rFonts w:cs="Arial"/>
                <w:color w:val="000000"/>
                <w:sz w:val="16"/>
                <w:szCs w:val="24"/>
              </w:rPr>
            </w:pPr>
            <w:r w:rsidRPr="005C070E">
              <w:rPr>
                <w:rFonts w:cs="Arial"/>
                <w:color w:val="000000"/>
                <w:sz w:val="16"/>
              </w:rPr>
              <w:t>0.0</w:t>
            </w:r>
          </w:p>
        </w:tc>
      </w:tr>
      <w:tr w:rsidR="00C724FD" w:rsidRPr="00640669" w:rsidTr="00C724FD">
        <w:trPr>
          <w:trHeight w:val="465"/>
        </w:trPr>
        <w:tc>
          <w:tcPr>
            <w:tcW w:w="1893" w:type="pct"/>
            <w:tcBorders>
              <w:top w:val="nil"/>
              <w:left w:val="nil"/>
              <w:bottom w:val="nil"/>
              <w:right w:val="nil"/>
            </w:tcBorders>
            <w:shd w:val="clear" w:color="auto" w:fill="auto"/>
            <w:vAlign w:val="center"/>
            <w:hideMark/>
          </w:tcPr>
          <w:p w:rsidR="00C724FD" w:rsidRPr="00640669" w:rsidRDefault="00C724FD" w:rsidP="005A2569">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Escalation</w:t>
            </w:r>
          </w:p>
        </w:tc>
        <w:tc>
          <w:tcPr>
            <w:tcW w:w="797" w:type="pct"/>
            <w:tcBorders>
              <w:top w:val="nil"/>
              <w:left w:val="nil"/>
              <w:bottom w:val="nil"/>
              <w:right w:val="nil"/>
            </w:tcBorders>
            <w:shd w:val="clear" w:color="auto" w:fill="auto"/>
            <w:vAlign w:val="center"/>
          </w:tcPr>
          <w:p w:rsidR="00C724FD" w:rsidRPr="005C070E" w:rsidRDefault="00C724FD" w:rsidP="005C070E">
            <w:pPr>
              <w:ind w:firstLine="161"/>
              <w:rPr>
                <w:rFonts w:cs="Arial"/>
                <w:color w:val="000000"/>
                <w:sz w:val="16"/>
                <w:szCs w:val="24"/>
              </w:rPr>
            </w:pPr>
            <w:r w:rsidRPr="005C070E">
              <w:rPr>
                <w:rFonts w:cs="Arial"/>
                <w:color w:val="000000"/>
                <w:sz w:val="16"/>
              </w:rPr>
              <w:t>7.2</w:t>
            </w:r>
          </w:p>
        </w:tc>
        <w:tc>
          <w:tcPr>
            <w:tcW w:w="1076" w:type="pct"/>
            <w:tcBorders>
              <w:top w:val="nil"/>
              <w:left w:val="nil"/>
              <w:bottom w:val="nil"/>
              <w:right w:val="nil"/>
            </w:tcBorders>
            <w:shd w:val="clear" w:color="auto" w:fill="auto"/>
            <w:vAlign w:val="center"/>
          </w:tcPr>
          <w:p w:rsidR="00C724FD" w:rsidRPr="005C070E" w:rsidRDefault="00C724FD" w:rsidP="005C070E">
            <w:pPr>
              <w:ind w:firstLine="161"/>
              <w:rPr>
                <w:rFonts w:cs="Arial"/>
                <w:color w:val="000000"/>
                <w:sz w:val="16"/>
                <w:szCs w:val="24"/>
              </w:rPr>
            </w:pPr>
            <w:r w:rsidRPr="005C070E">
              <w:rPr>
                <w:rFonts w:cs="Arial"/>
                <w:color w:val="000000"/>
                <w:sz w:val="16"/>
              </w:rPr>
              <w:t>2.3</w:t>
            </w:r>
          </w:p>
        </w:tc>
        <w:tc>
          <w:tcPr>
            <w:tcW w:w="1233" w:type="pct"/>
            <w:tcBorders>
              <w:top w:val="nil"/>
              <w:left w:val="nil"/>
              <w:bottom w:val="nil"/>
              <w:right w:val="nil"/>
            </w:tcBorders>
            <w:shd w:val="clear" w:color="auto" w:fill="auto"/>
            <w:vAlign w:val="center"/>
          </w:tcPr>
          <w:p w:rsidR="00C724FD" w:rsidRPr="005C070E" w:rsidRDefault="00C724FD" w:rsidP="005C070E">
            <w:pPr>
              <w:ind w:firstLine="161"/>
              <w:rPr>
                <w:rFonts w:cs="Arial"/>
                <w:color w:val="000000"/>
                <w:sz w:val="16"/>
                <w:szCs w:val="24"/>
              </w:rPr>
            </w:pPr>
            <w:r w:rsidRPr="005C070E">
              <w:rPr>
                <w:rFonts w:cs="Arial"/>
                <w:color w:val="000000"/>
                <w:sz w:val="16"/>
              </w:rPr>
              <w:t>-4.9</w:t>
            </w:r>
          </w:p>
        </w:tc>
      </w:tr>
      <w:tr w:rsidR="00C724FD" w:rsidRPr="00640669" w:rsidTr="00C724FD">
        <w:trPr>
          <w:trHeight w:val="465"/>
        </w:trPr>
        <w:tc>
          <w:tcPr>
            <w:tcW w:w="1893" w:type="pct"/>
            <w:tcBorders>
              <w:top w:val="nil"/>
              <w:left w:val="nil"/>
              <w:bottom w:val="nil"/>
              <w:right w:val="nil"/>
            </w:tcBorders>
            <w:shd w:val="clear" w:color="auto" w:fill="auto"/>
            <w:vAlign w:val="center"/>
            <w:hideMark/>
          </w:tcPr>
          <w:p w:rsidR="00C724FD" w:rsidRPr="00640669" w:rsidRDefault="00C724FD" w:rsidP="005A2569">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Overheads</w:t>
            </w:r>
          </w:p>
        </w:tc>
        <w:tc>
          <w:tcPr>
            <w:tcW w:w="797" w:type="pct"/>
            <w:tcBorders>
              <w:top w:val="nil"/>
              <w:left w:val="nil"/>
              <w:bottom w:val="nil"/>
              <w:right w:val="nil"/>
            </w:tcBorders>
            <w:shd w:val="clear" w:color="auto" w:fill="auto"/>
            <w:vAlign w:val="center"/>
          </w:tcPr>
          <w:p w:rsidR="00C724FD" w:rsidRPr="005C070E" w:rsidRDefault="00C724FD" w:rsidP="005C070E">
            <w:pPr>
              <w:ind w:firstLine="161"/>
              <w:rPr>
                <w:rFonts w:cs="Arial"/>
                <w:color w:val="000000"/>
                <w:sz w:val="16"/>
                <w:szCs w:val="24"/>
              </w:rPr>
            </w:pPr>
            <w:r w:rsidRPr="005C070E">
              <w:rPr>
                <w:rFonts w:cs="Arial"/>
                <w:color w:val="000000"/>
                <w:sz w:val="16"/>
              </w:rPr>
              <w:t>6.6</w:t>
            </w:r>
          </w:p>
        </w:tc>
        <w:tc>
          <w:tcPr>
            <w:tcW w:w="1076" w:type="pct"/>
            <w:tcBorders>
              <w:top w:val="nil"/>
              <w:left w:val="nil"/>
              <w:bottom w:val="nil"/>
              <w:right w:val="nil"/>
            </w:tcBorders>
            <w:shd w:val="clear" w:color="auto" w:fill="auto"/>
            <w:vAlign w:val="center"/>
          </w:tcPr>
          <w:p w:rsidR="00C724FD" w:rsidRPr="005C070E" w:rsidRDefault="00C724FD" w:rsidP="005C070E">
            <w:pPr>
              <w:ind w:firstLine="161"/>
              <w:rPr>
                <w:rFonts w:cs="Arial"/>
                <w:color w:val="000000"/>
                <w:sz w:val="16"/>
                <w:szCs w:val="24"/>
              </w:rPr>
            </w:pPr>
            <w:r w:rsidRPr="005C070E">
              <w:rPr>
                <w:rFonts w:cs="Arial"/>
                <w:color w:val="000000"/>
                <w:sz w:val="16"/>
              </w:rPr>
              <w:t>4.6</w:t>
            </w:r>
          </w:p>
        </w:tc>
        <w:tc>
          <w:tcPr>
            <w:tcW w:w="1233" w:type="pct"/>
            <w:tcBorders>
              <w:top w:val="nil"/>
              <w:left w:val="nil"/>
              <w:bottom w:val="nil"/>
              <w:right w:val="nil"/>
            </w:tcBorders>
            <w:shd w:val="clear" w:color="auto" w:fill="auto"/>
            <w:vAlign w:val="center"/>
          </w:tcPr>
          <w:p w:rsidR="00C724FD" w:rsidRPr="005C070E" w:rsidRDefault="00C724FD" w:rsidP="005C070E">
            <w:pPr>
              <w:ind w:firstLine="161"/>
              <w:rPr>
                <w:rFonts w:cs="Arial"/>
                <w:color w:val="000000"/>
                <w:sz w:val="16"/>
                <w:szCs w:val="24"/>
              </w:rPr>
            </w:pPr>
            <w:r w:rsidRPr="005C070E">
              <w:rPr>
                <w:rFonts w:cs="Arial"/>
                <w:color w:val="000000"/>
                <w:sz w:val="16"/>
              </w:rPr>
              <w:t>-2.0</w:t>
            </w:r>
          </w:p>
        </w:tc>
      </w:tr>
      <w:tr w:rsidR="00C724FD" w:rsidRPr="00640669" w:rsidTr="00C724FD">
        <w:trPr>
          <w:trHeight w:val="465"/>
        </w:trPr>
        <w:tc>
          <w:tcPr>
            <w:tcW w:w="1893" w:type="pct"/>
            <w:tcBorders>
              <w:top w:val="nil"/>
              <w:left w:val="nil"/>
              <w:bottom w:val="nil"/>
              <w:right w:val="nil"/>
            </w:tcBorders>
            <w:shd w:val="clear" w:color="000000" w:fill="DBE5F1"/>
            <w:vAlign w:val="center"/>
            <w:hideMark/>
          </w:tcPr>
          <w:p w:rsidR="00C724FD" w:rsidRPr="00640669" w:rsidRDefault="00C724FD" w:rsidP="005A2569">
            <w:pPr>
              <w:spacing w:before="0" w:line="240" w:lineRule="auto"/>
              <w:rPr>
                <w:rFonts w:eastAsia="Times New Roman" w:cs="Arial"/>
                <w:b/>
                <w:bCs/>
                <w:color w:val="000000"/>
                <w:sz w:val="16"/>
                <w:szCs w:val="16"/>
                <w:lang w:eastAsia="en-AU"/>
              </w:rPr>
            </w:pPr>
            <w:r w:rsidRPr="00640669">
              <w:rPr>
                <w:rFonts w:eastAsia="Times New Roman" w:cs="Arial"/>
                <w:b/>
                <w:bCs/>
                <w:color w:val="000000"/>
                <w:sz w:val="16"/>
                <w:szCs w:val="16"/>
                <w:lang w:eastAsia="en-AU"/>
              </w:rPr>
              <w:t>GROSS TOTAL CAPITAL EXPENDITURE</w:t>
            </w:r>
          </w:p>
        </w:tc>
        <w:tc>
          <w:tcPr>
            <w:tcW w:w="797" w:type="pct"/>
            <w:tcBorders>
              <w:top w:val="nil"/>
              <w:left w:val="nil"/>
              <w:bottom w:val="nil"/>
              <w:right w:val="nil"/>
            </w:tcBorders>
            <w:shd w:val="clear" w:color="000000" w:fill="DBE5F1"/>
            <w:vAlign w:val="center"/>
          </w:tcPr>
          <w:p w:rsidR="00C724FD" w:rsidRPr="005C070E" w:rsidRDefault="00C724FD" w:rsidP="005C070E">
            <w:pPr>
              <w:ind w:firstLine="161"/>
              <w:rPr>
                <w:rFonts w:cs="Arial"/>
                <w:b/>
                <w:bCs/>
                <w:color w:val="000000"/>
                <w:sz w:val="16"/>
                <w:szCs w:val="24"/>
              </w:rPr>
            </w:pPr>
            <w:r w:rsidRPr="005C070E">
              <w:rPr>
                <w:rFonts w:cs="Arial"/>
                <w:b/>
                <w:bCs/>
                <w:color w:val="000000"/>
                <w:sz w:val="16"/>
              </w:rPr>
              <w:t>116.2</w:t>
            </w:r>
          </w:p>
        </w:tc>
        <w:tc>
          <w:tcPr>
            <w:tcW w:w="1076" w:type="pct"/>
            <w:tcBorders>
              <w:top w:val="nil"/>
              <w:left w:val="nil"/>
              <w:bottom w:val="nil"/>
              <w:right w:val="nil"/>
            </w:tcBorders>
            <w:shd w:val="clear" w:color="000000" w:fill="DBE5F1"/>
            <w:vAlign w:val="center"/>
          </w:tcPr>
          <w:p w:rsidR="00C724FD" w:rsidRPr="005C070E" w:rsidRDefault="00C724FD" w:rsidP="005C070E">
            <w:pPr>
              <w:ind w:firstLine="161"/>
              <w:rPr>
                <w:rFonts w:cs="Arial"/>
                <w:b/>
                <w:bCs/>
                <w:color w:val="000000"/>
                <w:sz w:val="16"/>
                <w:szCs w:val="24"/>
              </w:rPr>
            </w:pPr>
            <w:r w:rsidRPr="005C070E">
              <w:rPr>
                <w:rFonts w:cs="Arial"/>
                <w:b/>
                <w:bCs/>
                <w:color w:val="000000"/>
                <w:sz w:val="16"/>
              </w:rPr>
              <w:t>80.9</w:t>
            </w:r>
          </w:p>
        </w:tc>
        <w:tc>
          <w:tcPr>
            <w:tcW w:w="1233" w:type="pct"/>
            <w:tcBorders>
              <w:top w:val="nil"/>
              <w:left w:val="nil"/>
              <w:bottom w:val="nil"/>
              <w:right w:val="nil"/>
            </w:tcBorders>
            <w:shd w:val="clear" w:color="000000" w:fill="DBE5F1"/>
            <w:vAlign w:val="center"/>
          </w:tcPr>
          <w:p w:rsidR="00C724FD" w:rsidRPr="005C070E" w:rsidRDefault="00C724FD" w:rsidP="005C070E">
            <w:pPr>
              <w:ind w:firstLine="161"/>
              <w:rPr>
                <w:rFonts w:cs="Arial"/>
                <w:b/>
                <w:bCs/>
                <w:color w:val="000000"/>
                <w:sz w:val="16"/>
                <w:szCs w:val="24"/>
              </w:rPr>
            </w:pPr>
            <w:r w:rsidRPr="005C070E">
              <w:rPr>
                <w:rFonts w:cs="Arial"/>
                <w:b/>
                <w:bCs/>
                <w:color w:val="000000"/>
                <w:sz w:val="16"/>
              </w:rPr>
              <w:t>-35.2</w:t>
            </w:r>
          </w:p>
        </w:tc>
      </w:tr>
      <w:tr w:rsidR="00C724FD" w:rsidRPr="00640669" w:rsidTr="00C724FD">
        <w:trPr>
          <w:trHeight w:val="465"/>
        </w:trPr>
        <w:tc>
          <w:tcPr>
            <w:tcW w:w="1893" w:type="pct"/>
            <w:tcBorders>
              <w:top w:val="nil"/>
              <w:left w:val="nil"/>
              <w:bottom w:val="nil"/>
              <w:right w:val="nil"/>
            </w:tcBorders>
            <w:shd w:val="clear" w:color="auto" w:fill="auto"/>
            <w:vAlign w:val="center"/>
            <w:hideMark/>
          </w:tcPr>
          <w:p w:rsidR="00C724FD" w:rsidRPr="00640669" w:rsidRDefault="00C724FD" w:rsidP="005A2569">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Contributions</w:t>
            </w:r>
          </w:p>
        </w:tc>
        <w:tc>
          <w:tcPr>
            <w:tcW w:w="797" w:type="pct"/>
            <w:tcBorders>
              <w:top w:val="nil"/>
              <w:left w:val="nil"/>
              <w:bottom w:val="nil"/>
              <w:right w:val="nil"/>
            </w:tcBorders>
            <w:shd w:val="clear" w:color="auto" w:fill="auto"/>
            <w:vAlign w:val="center"/>
          </w:tcPr>
          <w:p w:rsidR="00C724FD" w:rsidRPr="005C070E" w:rsidRDefault="00C724FD" w:rsidP="005C070E">
            <w:pPr>
              <w:ind w:firstLine="161"/>
              <w:rPr>
                <w:rFonts w:cs="Arial"/>
                <w:color w:val="000000"/>
                <w:sz w:val="16"/>
                <w:szCs w:val="24"/>
              </w:rPr>
            </w:pPr>
            <w:r w:rsidRPr="005C070E">
              <w:rPr>
                <w:rFonts w:cs="Arial"/>
                <w:color w:val="000000"/>
                <w:sz w:val="16"/>
              </w:rPr>
              <w:t>0.5</w:t>
            </w:r>
          </w:p>
        </w:tc>
        <w:tc>
          <w:tcPr>
            <w:tcW w:w="1076" w:type="pct"/>
            <w:tcBorders>
              <w:top w:val="nil"/>
              <w:left w:val="nil"/>
              <w:bottom w:val="nil"/>
              <w:right w:val="nil"/>
            </w:tcBorders>
            <w:shd w:val="clear" w:color="auto" w:fill="auto"/>
            <w:vAlign w:val="center"/>
          </w:tcPr>
          <w:p w:rsidR="00C724FD" w:rsidRPr="005C070E" w:rsidRDefault="00C724FD" w:rsidP="005C070E">
            <w:pPr>
              <w:ind w:firstLine="161"/>
              <w:rPr>
                <w:rFonts w:cs="Arial"/>
                <w:color w:val="000000"/>
                <w:sz w:val="16"/>
                <w:szCs w:val="24"/>
              </w:rPr>
            </w:pPr>
            <w:r w:rsidRPr="005C070E">
              <w:rPr>
                <w:rFonts w:cs="Arial"/>
                <w:color w:val="000000"/>
                <w:sz w:val="16"/>
              </w:rPr>
              <w:t>4.1</w:t>
            </w:r>
          </w:p>
        </w:tc>
        <w:tc>
          <w:tcPr>
            <w:tcW w:w="1233" w:type="pct"/>
            <w:tcBorders>
              <w:top w:val="nil"/>
              <w:left w:val="nil"/>
              <w:bottom w:val="nil"/>
              <w:right w:val="nil"/>
            </w:tcBorders>
            <w:shd w:val="clear" w:color="auto" w:fill="auto"/>
            <w:vAlign w:val="center"/>
          </w:tcPr>
          <w:p w:rsidR="00C724FD" w:rsidRPr="005C070E" w:rsidRDefault="00C724FD" w:rsidP="005C070E">
            <w:pPr>
              <w:ind w:firstLine="161"/>
              <w:rPr>
                <w:rFonts w:cs="Arial"/>
                <w:color w:val="000000"/>
                <w:sz w:val="16"/>
                <w:szCs w:val="24"/>
              </w:rPr>
            </w:pPr>
            <w:r w:rsidRPr="005C070E">
              <w:rPr>
                <w:rFonts w:cs="Arial"/>
                <w:color w:val="000000"/>
                <w:sz w:val="16"/>
              </w:rPr>
              <w:t>3.6</w:t>
            </w:r>
          </w:p>
        </w:tc>
      </w:tr>
      <w:tr w:rsidR="00C724FD" w:rsidRPr="00640669" w:rsidTr="00C724FD">
        <w:trPr>
          <w:trHeight w:val="465"/>
        </w:trPr>
        <w:tc>
          <w:tcPr>
            <w:tcW w:w="1893" w:type="pct"/>
            <w:tcBorders>
              <w:top w:val="nil"/>
              <w:left w:val="nil"/>
              <w:bottom w:val="nil"/>
              <w:right w:val="nil"/>
            </w:tcBorders>
            <w:shd w:val="clear" w:color="000000" w:fill="DBE5F1"/>
            <w:vAlign w:val="center"/>
            <w:hideMark/>
          </w:tcPr>
          <w:p w:rsidR="00C724FD" w:rsidRPr="00640669" w:rsidRDefault="00C724FD" w:rsidP="005A2569">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Asset disposals</w:t>
            </w:r>
          </w:p>
        </w:tc>
        <w:tc>
          <w:tcPr>
            <w:tcW w:w="797" w:type="pct"/>
            <w:tcBorders>
              <w:top w:val="nil"/>
              <w:left w:val="nil"/>
              <w:bottom w:val="nil"/>
              <w:right w:val="nil"/>
            </w:tcBorders>
            <w:shd w:val="clear" w:color="000000" w:fill="DBE5F1"/>
            <w:vAlign w:val="center"/>
          </w:tcPr>
          <w:p w:rsidR="00C724FD" w:rsidRPr="005C070E" w:rsidRDefault="00C724FD" w:rsidP="005C070E">
            <w:pPr>
              <w:ind w:firstLine="161"/>
              <w:rPr>
                <w:rFonts w:cs="Arial"/>
                <w:color w:val="000000"/>
                <w:sz w:val="16"/>
                <w:szCs w:val="24"/>
              </w:rPr>
            </w:pPr>
            <w:r w:rsidRPr="005C070E">
              <w:rPr>
                <w:rFonts w:cs="Arial"/>
                <w:color w:val="000000"/>
                <w:sz w:val="16"/>
              </w:rPr>
              <w:t>0.0</w:t>
            </w:r>
          </w:p>
        </w:tc>
        <w:tc>
          <w:tcPr>
            <w:tcW w:w="1076" w:type="pct"/>
            <w:tcBorders>
              <w:top w:val="nil"/>
              <w:left w:val="nil"/>
              <w:bottom w:val="nil"/>
              <w:right w:val="nil"/>
            </w:tcBorders>
            <w:shd w:val="clear" w:color="000000" w:fill="DBE5F1"/>
            <w:vAlign w:val="center"/>
          </w:tcPr>
          <w:p w:rsidR="00C724FD" w:rsidRPr="005C070E" w:rsidRDefault="00C724FD" w:rsidP="005C070E">
            <w:pPr>
              <w:ind w:firstLine="161"/>
              <w:rPr>
                <w:rFonts w:cs="Arial"/>
                <w:color w:val="000000"/>
                <w:sz w:val="16"/>
                <w:szCs w:val="24"/>
              </w:rPr>
            </w:pPr>
            <w:r w:rsidRPr="005C070E">
              <w:rPr>
                <w:rFonts w:cs="Arial"/>
                <w:color w:val="000000"/>
                <w:sz w:val="16"/>
              </w:rPr>
              <w:t>0.0</w:t>
            </w:r>
          </w:p>
        </w:tc>
        <w:tc>
          <w:tcPr>
            <w:tcW w:w="1233" w:type="pct"/>
            <w:tcBorders>
              <w:top w:val="nil"/>
              <w:left w:val="nil"/>
              <w:bottom w:val="nil"/>
              <w:right w:val="nil"/>
            </w:tcBorders>
            <w:shd w:val="clear" w:color="000000" w:fill="DBE5F1"/>
            <w:vAlign w:val="center"/>
          </w:tcPr>
          <w:p w:rsidR="00C724FD" w:rsidRPr="005C070E" w:rsidRDefault="00C724FD" w:rsidP="005C070E">
            <w:pPr>
              <w:ind w:firstLine="161"/>
              <w:rPr>
                <w:rFonts w:cs="Arial"/>
                <w:color w:val="000000"/>
                <w:sz w:val="16"/>
                <w:szCs w:val="24"/>
              </w:rPr>
            </w:pPr>
            <w:r w:rsidRPr="005C070E">
              <w:rPr>
                <w:rFonts w:cs="Arial"/>
                <w:color w:val="000000"/>
                <w:sz w:val="16"/>
              </w:rPr>
              <w:t>0.0</w:t>
            </w:r>
          </w:p>
        </w:tc>
      </w:tr>
      <w:tr w:rsidR="00C724FD" w:rsidRPr="00640669" w:rsidTr="00C724FD">
        <w:trPr>
          <w:trHeight w:val="465"/>
        </w:trPr>
        <w:tc>
          <w:tcPr>
            <w:tcW w:w="1893" w:type="pct"/>
            <w:tcBorders>
              <w:top w:val="nil"/>
              <w:left w:val="nil"/>
              <w:bottom w:val="single" w:sz="8" w:space="0" w:color="1F497D"/>
              <w:right w:val="nil"/>
            </w:tcBorders>
            <w:shd w:val="clear" w:color="auto" w:fill="auto"/>
            <w:vAlign w:val="center"/>
            <w:hideMark/>
          </w:tcPr>
          <w:p w:rsidR="00C724FD" w:rsidRPr="00640669" w:rsidRDefault="00C724FD" w:rsidP="005A2569">
            <w:pPr>
              <w:spacing w:before="0" w:line="240" w:lineRule="auto"/>
              <w:rPr>
                <w:rFonts w:eastAsia="Times New Roman" w:cs="Arial"/>
                <w:b/>
                <w:bCs/>
                <w:color w:val="000000"/>
                <w:sz w:val="16"/>
                <w:szCs w:val="16"/>
                <w:lang w:eastAsia="en-AU"/>
              </w:rPr>
            </w:pPr>
            <w:r w:rsidRPr="00640669">
              <w:rPr>
                <w:rFonts w:eastAsia="Times New Roman" w:cs="Arial"/>
                <w:b/>
                <w:bCs/>
                <w:color w:val="000000"/>
                <w:sz w:val="16"/>
                <w:szCs w:val="16"/>
                <w:lang w:eastAsia="en-AU"/>
              </w:rPr>
              <w:t>NET TOTAL CAPITAL EXPENDITURE</w:t>
            </w:r>
          </w:p>
        </w:tc>
        <w:tc>
          <w:tcPr>
            <w:tcW w:w="797" w:type="pct"/>
            <w:tcBorders>
              <w:top w:val="nil"/>
              <w:left w:val="nil"/>
              <w:bottom w:val="single" w:sz="8" w:space="0" w:color="1F497D"/>
              <w:right w:val="nil"/>
            </w:tcBorders>
            <w:shd w:val="clear" w:color="auto" w:fill="auto"/>
            <w:vAlign w:val="center"/>
          </w:tcPr>
          <w:p w:rsidR="00C724FD" w:rsidRPr="005C070E" w:rsidRDefault="00C724FD" w:rsidP="005C070E">
            <w:pPr>
              <w:ind w:firstLine="161"/>
              <w:rPr>
                <w:rFonts w:cs="Arial"/>
                <w:b/>
                <w:bCs/>
                <w:color w:val="000000"/>
                <w:sz w:val="16"/>
                <w:szCs w:val="24"/>
              </w:rPr>
            </w:pPr>
            <w:r w:rsidRPr="005C070E">
              <w:rPr>
                <w:rFonts w:cs="Arial"/>
                <w:b/>
                <w:bCs/>
                <w:color w:val="000000"/>
                <w:sz w:val="16"/>
              </w:rPr>
              <w:t>115.6</w:t>
            </w:r>
          </w:p>
        </w:tc>
        <w:tc>
          <w:tcPr>
            <w:tcW w:w="1076" w:type="pct"/>
            <w:tcBorders>
              <w:top w:val="nil"/>
              <w:left w:val="nil"/>
              <w:bottom w:val="single" w:sz="8" w:space="0" w:color="1F497D"/>
              <w:right w:val="nil"/>
            </w:tcBorders>
            <w:shd w:val="clear" w:color="auto" w:fill="auto"/>
            <w:vAlign w:val="center"/>
          </w:tcPr>
          <w:p w:rsidR="00C724FD" w:rsidRPr="005C070E" w:rsidRDefault="00C724FD" w:rsidP="005C070E">
            <w:pPr>
              <w:ind w:firstLine="161"/>
              <w:rPr>
                <w:rFonts w:cs="Arial"/>
                <w:b/>
                <w:bCs/>
                <w:color w:val="000000"/>
                <w:sz w:val="16"/>
                <w:szCs w:val="24"/>
              </w:rPr>
            </w:pPr>
            <w:r w:rsidRPr="005C070E">
              <w:rPr>
                <w:rFonts w:cs="Arial"/>
                <w:b/>
                <w:bCs/>
                <w:color w:val="000000"/>
                <w:sz w:val="16"/>
              </w:rPr>
              <w:t>76.8</w:t>
            </w:r>
          </w:p>
        </w:tc>
        <w:tc>
          <w:tcPr>
            <w:tcW w:w="1233" w:type="pct"/>
            <w:tcBorders>
              <w:top w:val="nil"/>
              <w:left w:val="nil"/>
              <w:bottom w:val="single" w:sz="8" w:space="0" w:color="1F497D"/>
              <w:right w:val="nil"/>
            </w:tcBorders>
            <w:shd w:val="clear" w:color="auto" w:fill="auto"/>
            <w:vAlign w:val="center"/>
          </w:tcPr>
          <w:p w:rsidR="00C724FD" w:rsidRPr="005C070E" w:rsidRDefault="00C724FD" w:rsidP="005C070E">
            <w:pPr>
              <w:ind w:firstLine="161"/>
              <w:rPr>
                <w:rFonts w:cs="Arial"/>
                <w:b/>
                <w:bCs/>
                <w:color w:val="000000"/>
                <w:sz w:val="16"/>
                <w:szCs w:val="24"/>
              </w:rPr>
            </w:pPr>
            <w:r w:rsidRPr="005C070E">
              <w:rPr>
                <w:rFonts w:cs="Arial"/>
                <w:b/>
                <w:bCs/>
                <w:color w:val="000000"/>
                <w:sz w:val="16"/>
              </w:rPr>
              <w:t>-38.8</w:t>
            </w:r>
          </w:p>
        </w:tc>
      </w:tr>
    </w:tbl>
    <w:p w:rsidR="00F50062" w:rsidRPr="00496223" w:rsidRDefault="00F50062" w:rsidP="00E834E1">
      <w:pPr>
        <w:pStyle w:val="AERtablesource"/>
      </w:pPr>
      <w:r w:rsidRPr="00496223">
        <w:t>Source:</w:t>
      </w:r>
      <w:r w:rsidRPr="00496223">
        <w:tab/>
        <w:t>AER analysis.</w:t>
      </w:r>
    </w:p>
    <w:p w:rsidR="001B0C8E" w:rsidRPr="00496223" w:rsidRDefault="001B0C8E" w:rsidP="00E834E1">
      <w:pPr>
        <w:pStyle w:val="AERtablesource"/>
      </w:pPr>
      <w:r w:rsidRPr="00496223">
        <w:t>Notes:</w:t>
      </w:r>
      <w:r w:rsidRPr="00496223">
        <w:tab/>
        <w:t>(a) Some categories include a construction management fee (CMF) paid by ActewAGL. A confidential version of this table showing direct costs (excluding the CMF) is set out in confidential appendix</w:t>
      </w:r>
      <w:r w:rsidR="00170693" w:rsidRPr="00496223">
        <w:t xml:space="preserve"> C</w:t>
      </w:r>
      <w:r w:rsidRPr="00496223">
        <w:t xml:space="preserve">. </w:t>
      </w:r>
    </w:p>
    <w:p w:rsidR="00CC7BAC" w:rsidRDefault="001C1C39" w:rsidP="00CC7BAC">
      <w:pPr>
        <w:numPr>
          <w:ilvl w:val="0"/>
          <w:numId w:val="24"/>
        </w:numPr>
      </w:pPr>
      <w:r>
        <w:t xml:space="preserve">As </w:t>
      </w:r>
      <w:r w:rsidR="00EE4EAF">
        <w:fldChar w:fldCharType="begin"/>
      </w:r>
      <w:r w:rsidR="00EE4EAF">
        <w:instrText xml:space="preserve"> REF _Ref435521346 \h </w:instrText>
      </w:r>
      <w:r w:rsidR="00EE4EAF">
        <w:fldChar w:fldCharType="separate"/>
      </w:r>
      <w:r w:rsidR="00EE4EAF">
        <w:t xml:space="preserve">Table </w:t>
      </w:r>
      <w:r w:rsidR="00EE4EAF">
        <w:rPr>
          <w:noProof/>
        </w:rPr>
        <w:t>6</w:t>
      </w:r>
      <w:r w:rsidR="00EE4EAF">
        <w:t>.</w:t>
      </w:r>
      <w:r w:rsidR="00EE4EAF">
        <w:rPr>
          <w:noProof/>
        </w:rPr>
        <w:t>3</w:t>
      </w:r>
      <w:r w:rsidR="00EE4EAF">
        <w:fldChar w:fldCharType="end"/>
      </w:r>
      <w:r>
        <w:t xml:space="preserve"> shows, the</w:t>
      </w:r>
      <w:r w:rsidR="00CC7BAC">
        <w:t xml:space="preserve"> main </w:t>
      </w:r>
      <w:r w:rsidR="00F12ED7">
        <w:t xml:space="preserve">differences between our alternative capex estimate and </w:t>
      </w:r>
      <w:proofErr w:type="spellStart"/>
      <w:r w:rsidR="00CC7BAC">
        <w:t>ActewAGL’s</w:t>
      </w:r>
      <w:proofErr w:type="spellEnd"/>
      <w:r w:rsidR="00CC7BAC">
        <w:t xml:space="preserve"> </w:t>
      </w:r>
      <w:r w:rsidR="00F12ED7">
        <w:t xml:space="preserve">proposal relate to the following </w:t>
      </w:r>
      <w:r w:rsidR="00CC7BAC">
        <w:t>two capex categories:</w:t>
      </w:r>
    </w:p>
    <w:p w:rsidR="00CC7BAC" w:rsidRDefault="00CC7BAC" w:rsidP="00CC7BAC">
      <w:pPr>
        <w:pStyle w:val="Bulletpoint"/>
        <w:numPr>
          <w:ilvl w:val="0"/>
          <w:numId w:val="2"/>
        </w:numPr>
        <w:ind w:left="340" w:hanging="340"/>
      </w:pPr>
      <w:r>
        <w:t>Connections</w:t>
      </w:r>
    </w:p>
    <w:p w:rsidR="00CC7BAC" w:rsidRDefault="00CC7BAC" w:rsidP="00CC7BAC">
      <w:pPr>
        <w:pStyle w:val="Bulletpoint"/>
        <w:ind w:left="0" w:firstLine="0"/>
      </w:pPr>
      <w:r>
        <w:t>We have included $</w:t>
      </w:r>
      <w:r w:rsidR="005C070E">
        <w:t>40.6</w:t>
      </w:r>
      <w:r>
        <w:t xml:space="preserve"> million ($20</w:t>
      </w:r>
      <w:r w:rsidR="001A4977">
        <w:t>15–</w:t>
      </w:r>
      <w:r>
        <w:t>16</w:t>
      </w:r>
      <w:r w:rsidR="007566E0">
        <w:t xml:space="preserve">, </w:t>
      </w:r>
      <w:proofErr w:type="spellStart"/>
      <w:r w:rsidR="007566E0">
        <w:t>unescalated</w:t>
      </w:r>
      <w:proofErr w:type="spellEnd"/>
      <w:r>
        <w:t>) of connections</w:t>
      </w:r>
      <w:r w:rsidRPr="00F75FD3">
        <w:t xml:space="preserve"> </w:t>
      </w:r>
      <w:r>
        <w:t xml:space="preserve">capex in our alternative capex estimate. This is </w:t>
      </w:r>
      <w:r w:rsidR="001B0C8E">
        <w:t>2</w:t>
      </w:r>
      <w:r w:rsidR="005C070E">
        <w:t>7</w:t>
      </w:r>
      <w:r w:rsidR="001B0C8E">
        <w:t xml:space="preserve"> </w:t>
      </w:r>
      <w:r>
        <w:t xml:space="preserve">per cent </w:t>
      </w:r>
      <w:r w:rsidR="00F12ED7">
        <w:t xml:space="preserve">less than </w:t>
      </w:r>
      <w:proofErr w:type="spellStart"/>
      <w:r>
        <w:t>ActewAGL's</w:t>
      </w:r>
      <w:proofErr w:type="spellEnd"/>
      <w:r>
        <w:t xml:space="preserve"> forecast expenditure of </w:t>
      </w:r>
      <w:r w:rsidRPr="006A3F2D">
        <w:t>$</w:t>
      </w:r>
      <w:r w:rsidR="001B0C8E">
        <w:t>55.5</w:t>
      </w:r>
      <w:r w:rsidRPr="006A3F2D">
        <w:t xml:space="preserve"> million ($20</w:t>
      </w:r>
      <w:r w:rsidR="001A4977">
        <w:t>15–</w:t>
      </w:r>
      <w:r w:rsidRPr="006A3F2D">
        <w:t>1</w:t>
      </w:r>
      <w:r>
        <w:t>6</w:t>
      </w:r>
      <w:r w:rsidR="007566E0">
        <w:t xml:space="preserve">, </w:t>
      </w:r>
      <w:proofErr w:type="spellStart"/>
      <w:r w:rsidR="007566E0">
        <w:t>unescalated</w:t>
      </w:r>
      <w:proofErr w:type="spellEnd"/>
      <w:r w:rsidRPr="006A3F2D">
        <w:t>)</w:t>
      </w:r>
      <w:r>
        <w:t>.</w:t>
      </w:r>
      <w:r w:rsidRPr="006A3F2D">
        <w:rPr>
          <w:rStyle w:val="FootnoteReference"/>
        </w:rPr>
        <w:footnoteReference w:id="1"/>
      </w:r>
      <w:r>
        <w:t xml:space="preserve"> Our reduction is driven by lower new connection forecasts for medium density type connections.</w:t>
      </w:r>
    </w:p>
    <w:p w:rsidR="00CC7BAC" w:rsidRDefault="00CC7BAC" w:rsidP="00CC7BAC">
      <w:pPr>
        <w:pStyle w:val="Bulletpoint"/>
        <w:numPr>
          <w:ilvl w:val="0"/>
          <w:numId w:val="2"/>
        </w:numPr>
        <w:ind w:left="340" w:hanging="340"/>
      </w:pPr>
      <w:r>
        <w:t>Augmentation</w:t>
      </w:r>
    </w:p>
    <w:p w:rsidR="00CC7BAC" w:rsidRDefault="00CC7BAC" w:rsidP="00CC7BAC">
      <w:pPr>
        <w:pStyle w:val="Bulletpoint"/>
        <w:ind w:left="0" w:firstLine="0"/>
      </w:pPr>
      <w:r>
        <w:t>We have included $</w:t>
      </w:r>
      <w:r w:rsidR="001B0C8E">
        <w:t>6.0</w:t>
      </w:r>
      <w:r>
        <w:t xml:space="preserve"> million ($2015–16</w:t>
      </w:r>
      <w:r w:rsidR="007566E0">
        <w:t xml:space="preserve">, </w:t>
      </w:r>
      <w:proofErr w:type="spellStart"/>
      <w:r w:rsidR="007566E0">
        <w:t>unescalated</w:t>
      </w:r>
      <w:proofErr w:type="spellEnd"/>
      <w:r>
        <w:t xml:space="preserve">) of augmentation capex in our alternative capex estimate. This is </w:t>
      </w:r>
      <w:r w:rsidR="001B0C8E">
        <w:t xml:space="preserve">66 </w:t>
      </w:r>
      <w:r>
        <w:t xml:space="preserve">per cent </w:t>
      </w:r>
      <w:r w:rsidR="00F12ED7">
        <w:t xml:space="preserve">less than </w:t>
      </w:r>
      <w:proofErr w:type="spellStart"/>
      <w:r>
        <w:t>ActewAGL’s</w:t>
      </w:r>
      <w:proofErr w:type="spellEnd"/>
      <w:r>
        <w:t xml:space="preserve"> forecast expenditure of $</w:t>
      </w:r>
      <w:r w:rsidR="001B0C8E">
        <w:t>17.7</w:t>
      </w:r>
      <w:r>
        <w:t xml:space="preserve"> million ($2015–16</w:t>
      </w:r>
      <w:r w:rsidR="007566E0">
        <w:t xml:space="preserve">, </w:t>
      </w:r>
      <w:proofErr w:type="spellStart"/>
      <w:r w:rsidR="007566E0">
        <w:t>unescalated</w:t>
      </w:r>
      <w:proofErr w:type="spellEnd"/>
      <w:r>
        <w:t xml:space="preserve">). This reduction is driven by our assessment that </w:t>
      </w:r>
      <w:r w:rsidR="000D1984">
        <w:t xml:space="preserve">the capex associated with </w:t>
      </w:r>
      <w:r>
        <w:t xml:space="preserve">two projects over the </w:t>
      </w:r>
      <w:r w:rsidR="00F12ED7">
        <w:t xml:space="preserve">2016–21 access arrangement </w:t>
      </w:r>
      <w:proofErr w:type="gramStart"/>
      <w:r w:rsidR="00F12ED7">
        <w:t>period</w:t>
      </w:r>
      <w:proofErr w:type="gramEnd"/>
      <w:r w:rsidR="000D1984">
        <w:t xml:space="preserve"> is not prudent and efficient</w:t>
      </w:r>
      <w:r>
        <w:t>.</w:t>
      </w:r>
    </w:p>
    <w:p w:rsidR="009A5113" w:rsidRDefault="005B140A" w:rsidP="009A5113">
      <w:pPr>
        <w:pStyle w:val="Heading2"/>
      </w:pPr>
      <w:bookmarkStart w:id="17" w:name="_Toc435692205"/>
      <w:proofErr w:type="spellStart"/>
      <w:r>
        <w:t>ActewAGL</w:t>
      </w:r>
      <w:r w:rsidR="005C0A7F">
        <w:t>'s</w:t>
      </w:r>
      <w:proofErr w:type="spellEnd"/>
      <w:r w:rsidR="005C0A7F">
        <w:t xml:space="preserve"> proposal</w:t>
      </w:r>
      <w:bookmarkEnd w:id="17"/>
    </w:p>
    <w:p w:rsidR="00195E18" w:rsidRDefault="00F02492" w:rsidP="001047A3">
      <w:pPr>
        <w:pStyle w:val="HeadingBoldBlue"/>
      </w:pPr>
      <w:r>
        <w:t>20</w:t>
      </w:r>
      <w:r w:rsidR="001047A3">
        <w:t>0</w:t>
      </w:r>
      <w:r>
        <w:t>9</w:t>
      </w:r>
      <w:r w:rsidR="001047A3">
        <w:t xml:space="preserve">–16 </w:t>
      </w:r>
      <w:proofErr w:type="gramStart"/>
      <w:r w:rsidR="001047A3">
        <w:t>period</w:t>
      </w:r>
      <w:proofErr w:type="gramEnd"/>
    </w:p>
    <w:p w:rsidR="001047A3" w:rsidRDefault="001047A3" w:rsidP="00195E18">
      <w:r>
        <w:t>While the current access arrangement period cover</w:t>
      </w:r>
      <w:r w:rsidR="000B7E64">
        <w:t>s</w:t>
      </w:r>
      <w:r w:rsidR="00F02492">
        <w:t xml:space="preserve"> the 2009–16</w:t>
      </w:r>
      <w:r>
        <w:t xml:space="preserve"> period (due to the </w:t>
      </w:r>
      <w:r w:rsidR="00F075E1">
        <w:t>interval of delay</w:t>
      </w:r>
      <w:r>
        <w:t>), the AER only app</w:t>
      </w:r>
      <w:r w:rsidR="00F02492">
        <w:t>roved capex amounts for the 2009</w:t>
      </w:r>
      <w:r>
        <w:t xml:space="preserve">–15 </w:t>
      </w:r>
      <w:r w:rsidR="00F12ED7">
        <w:t xml:space="preserve">access arrangement </w:t>
      </w:r>
      <w:r>
        <w:t xml:space="preserve">period. </w:t>
      </w:r>
    </w:p>
    <w:p w:rsidR="002268EC" w:rsidRDefault="002268EC" w:rsidP="002268EC">
      <w:r>
        <w:t xml:space="preserve">ActewAGL proposed total net capex over the 2009–16 </w:t>
      </w:r>
      <w:proofErr w:type="gramStart"/>
      <w:r>
        <w:t>period</w:t>
      </w:r>
      <w:proofErr w:type="gramEnd"/>
      <w:r>
        <w:t xml:space="preserve"> of $</w:t>
      </w:r>
      <w:r w:rsidR="001B0C8E">
        <w:t>136</w:t>
      </w:r>
      <w:r w:rsidR="00140E64">
        <w:t>.6</w:t>
      </w:r>
      <w:r>
        <w:t xml:space="preserve"> million ($2015–16)</w:t>
      </w:r>
      <w:r w:rsidR="007F47B9">
        <w:t>, where capex in 2015–16 is an estimate</w:t>
      </w:r>
      <w:r>
        <w:t>.</w:t>
      </w:r>
      <w:r w:rsidR="007F47B9">
        <w:t xml:space="preserve"> Without the estimate of capex for 2015–16</w:t>
      </w:r>
      <w:r w:rsidR="00D967EA">
        <w:t>, ActewAGL proposed $102.6 million ($2015–16) as conforming capex. We accept $102.6 million ($2015–16) as conforming capex for 2009–15, and will assess whether the capex incurred in 2015–16 is conforming in the next review.</w:t>
      </w:r>
      <w:r w:rsidR="00D967EA">
        <w:rPr>
          <w:rStyle w:val="FootnoteReference"/>
        </w:rPr>
        <w:footnoteReference w:id="2"/>
      </w:r>
      <w:r>
        <w:t xml:space="preserve"> This is shown in </w:t>
      </w:r>
      <w:r w:rsidR="00EE4EAF">
        <w:fldChar w:fldCharType="begin"/>
      </w:r>
      <w:r w:rsidR="00EE4EAF">
        <w:instrText xml:space="preserve"> REF _Ref435521357 \h </w:instrText>
      </w:r>
      <w:r w:rsidR="00EE4EAF">
        <w:fldChar w:fldCharType="separate"/>
      </w:r>
      <w:r w:rsidR="00EE4EAF">
        <w:t xml:space="preserve">Table </w:t>
      </w:r>
      <w:r w:rsidR="00EE4EAF">
        <w:rPr>
          <w:noProof/>
        </w:rPr>
        <w:t>6</w:t>
      </w:r>
      <w:r w:rsidR="00EE4EAF">
        <w:t>.</w:t>
      </w:r>
      <w:r w:rsidR="00EE4EAF">
        <w:rPr>
          <w:noProof/>
        </w:rPr>
        <w:t>4</w:t>
      </w:r>
      <w:r w:rsidR="00EE4EAF">
        <w:fldChar w:fldCharType="end"/>
      </w:r>
      <w:r w:rsidR="00140E64">
        <w:t>.</w:t>
      </w:r>
      <w:r>
        <w:t xml:space="preserve"> </w:t>
      </w:r>
    </w:p>
    <w:p w:rsidR="002268EC" w:rsidRPr="00333A31" w:rsidRDefault="002268EC" w:rsidP="0061777C">
      <w:pPr>
        <w:pStyle w:val="Caption"/>
      </w:pPr>
      <w:bookmarkStart w:id="18" w:name="_Ref435521357"/>
      <w:proofErr w:type="gramStart"/>
      <w:r>
        <w:t xml:space="preserve">Table </w:t>
      </w:r>
      <w:proofErr w:type="gramEnd"/>
      <w:r w:rsidR="004C5F88">
        <w:fldChar w:fldCharType="begin"/>
      </w:r>
      <w:r w:rsidR="004C5F88">
        <w:instrText xml:space="preserve"> STYLEREF 1 \s </w:instrText>
      </w:r>
      <w:r w:rsidR="004C5F88">
        <w:fldChar w:fldCharType="separate"/>
      </w:r>
      <w:r w:rsidR="00EE4EAF">
        <w:rPr>
          <w:noProof/>
        </w:rPr>
        <w:t>6</w:t>
      </w:r>
      <w:r w:rsidR="004C5F88">
        <w:rPr>
          <w:noProof/>
        </w:rPr>
        <w:fldChar w:fldCharType="end"/>
      </w:r>
      <w:proofErr w:type="gramStart"/>
      <w:r w:rsidR="00EE4EAF">
        <w:t>.</w:t>
      </w:r>
      <w:proofErr w:type="gramEnd"/>
      <w:r w:rsidR="004C5F88">
        <w:fldChar w:fldCharType="begin"/>
      </w:r>
      <w:r w:rsidR="004C5F88">
        <w:instrText xml:space="preserve"> SEQ Table \* ARABIC \s 1 </w:instrText>
      </w:r>
      <w:r w:rsidR="004C5F88">
        <w:fldChar w:fldCharType="separate"/>
      </w:r>
      <w:r w:rsidR="00EE4EAF">
        <w:rPr>
          <w:noProof/>
        </w:rPr>
        <w:t>4</w:t>
      </w:r>
      <w:r w:rsidR="004C5F88">
        <w:rPr>
          <w:noProof/>
        </w:rPr>
        <w:fldChar w:fldCharType="end"/>
      </w:r>
      <w:bookmarkEnd w:id="18"/>
      <w:r>
        <w:tab/>
        <w:t>ActewAGL propose</w:t>
      </w:r>
      <w:r w:rsidR="00F02492">
        <w:t>d capex by category over the 20</w:t>
      </w:r>
      <w:r>
        <w:t>0</w:t>
      </w:r>
      <w:r w:rsidR="00F02492">
        <w:t>9</w:t>
      </w:r>
      <w:r>
        <w:t>–16 access arrangement period</w:t>
      </w:r>
      <w:r w:rsidRPr="00A4447D">
        <w:t xml:space="preserve"> ($million,</w:t>
      </w:r>
      <w:r>
        <w:t xml:space="preserve"> 2015–16</w:t>
      </w:r>
      <w:proofErr w:type="gramStart"/>
      <w:r w:rsidRPr="00A4447D">
        <w:t>)</w:t>
      </w:r>
      <w:r w:rsidR="001B0C8E" w:rsidRPr="004E695C">
        <w:rPr>
          <w:vertAlign w:val="superscript"/>
        </w:rPr>
        <w:t>a</w:t>
      </w:r>
      <w:proofErr w:type="gramEnd"/>
    </w:p>
    <w:tbl>
      <w:tblPr>
        <w:tblW w:w="0" w:type="auto"/>
        <w:tblInd w:w="108" w:type="dxa"/>
        <w:tblLook w:val="04A0" w:firstRow="1" w:lastRow="0" w:firstColumn="1" w:lastColumn="0" w:noHBand="0" w:noVBand="1"/>
      </w:tblPr>
      <w:tblGrid>
        <w:gridCol w:w="2938"/>
        <w:gridCol w:w="806"/>
        <w:gridCol w:w="806"/>
        <w:gridCol w:w="807"/>
        <w:gridCol w:w="807"/>
        <w:gridCol w:w="807"/>
        <w:gridCol w:w="807"/>
        <w:gridCol w:w="807"/>
      </w:tblGrid>
      <w:tr w:rsidR="00640669" w:rsidRPr="00640669" w:rsidTr="00640669">
        <w:trPr>
          <w:trHeight w:val="465"/>
        </w:trPr>
        <w:tc>
          <w:tcPr>
            <w:tcW w:w="0" w:type="auto"/>
            <w:tcBorders>
              <w:top w:val="nil"/>
              <w:left w:val="nil"/>
              <w:bottom w:val="nil"/>
              <w:right w:val="nil"/>
            </w:tcBorders>
            <w:shd w:val="clear" w:color="000000" w:fill="365F91"/>
            <w:vAlign w:val="center"/>
            <w:hideMark/>
          </w:tcPr>
          <w:p w:rsidR="00640669" w:rsidRPr="00640669" w:rsidRDefault="00640669" w:rsidP="00E834E1">
            <w:pPr>
              <w:keepNext/>
              <w:spacing w:before="0" w:line="240" w:lineRule="auto"/>
              <w:rPr>
                <w:rFonts w:eastAsia="Times New Roman" w:cs="Arial"/>
                <w:b/>
                <w:bCs/>
                <w:color w:val="FFFFFF"/>
                <w:sz w:val="16"/>
                <w:szCs w:val="16"/>
                <w:lang w:eastAsia="en-AU"/>
              </w:rPr>
            </w:pPr>
            <w:r w:rsidRPr="00640669">
              <w:rPr>
                <w:rFonts w:eastAsia="Times New Roman" w:cs="Arial"/>
                <w:b/>
                <w:bCs/>
                <w:color w:val="FFFFFF"/>
                <w:sz w:val="16"/>
                <w:szCs w:val="16"/>
                <w:lang w:eastAsia="en-AU"/>
              </w:rPr>
              <w:t> Category</w:t>
            </w:r>
          </w:p>
        </w:tc>
        <w:tc>
          <w:tcPr>
            <w:tcW w:w="0" w:type="auto"/>
            <w:tcBorders>
              <w:top w:val="nil"/>
              <w:left w:val="nil"/>
              <w:bottom w:val="nil"/>
              <w:right w:val="nil"/>
            </w:tcBorders>
            <w:shd w:val="clear" w:color="000000" w:fill="365F91"/>
            <w:vAlign w:val="center"/>
            <w:hideMark/>
          </w:tcPr>
          <w:p w:rsidR="00640669" w:rsidRPr="00640669" w:rsidRDefault="00640669" w:rsidP="00E834E1">
            <w:pPr>
              <w:keepNext/>
              <w:spacing w:before="0" w:line="240" w:lineRule="auto"/>
              <w:rPr>
                <w:rFonts w:eastAsia="Times New Roman" w:cs="Arial"/>
                <w:b/>
                <w:bCs/>
                <w:color w:val="FFFFFF"/>
                <w:sz w:val="16"/>
                <w:szCs w:val="16"/>
                <w:lang w:eastAsia="en-AU"/>
              </w:rPr>
            </w:pPr>
            <w:r w:rsidRPr="00640669">
              <w:rPr>
                <w:rFonts w:eastAsia="Times New Roman" w:cs="Arial"/>
                <w:b/>
                <w:bCs/>
                <w:color w:val="FFFFFF"/>
                <w:sz w:val="16"/>
                <w:szCs w:val="16"/>
                <w:lang w:eastAsia="en-AU"/>
              </w:rPr>
              <w:t>2009–10</w:t>
            </w:r>
          </w:p>
        </w:tc>
        <w:tc>
          <w:tcPr>
            <w:tcW w:w="0" w:type="auto"/>
            <w:tcBorders>
              <w:top w:val="nil"/>
              <w:left w:val="nil"/>
              <w:bottom w:val="nil"/>
              <w:right w:val="nil"/>
            </w:tcBorders>
            <w:shd w:val="clear" w:color="000000" w:fill="365F91"/>
            <w:vAlign w:val="center"/>
            <w:hideMark/>
          </w:tcPr>
          <w:p w:rsidR="00640669" w:rsidRPr="00640669" w:rsidRDefault="00640669" w:rsidP="00E834E1">
            <w:pPr>
              <w:keepNext/>
              <w:spacing w:before="0" w:line="240" w:lineRule="auto"/>
              <w:rPr>
                <w:rFonts w:eastAsia="Times New Roman" w:cs="Arial"/>
                <w:b/>
                <w:bCs/>
                <w:color w:val="FFFFFF"/>
                <w:sz w:val="16"/>
                <w:szCs w:val="16"/>
                <w:lang w:eastAsia="en-AU"/>
              </w:rPr>
            </w:pPr>
            <w:r w:rsidRPr="00640669">
              <w:rPr>
                <w:rFonts w:eastAsia="Times New Roman" w:cs="Arial"/>
                <w:b/>
                <w:bCs/>
                <w:color w:val="FFFFFF"/>
                <w:sz w:val="16"/>
                <w:szCs w:val="16"/>
                <w:lang w:eastAsia="en-AU"/>
              </w:rPr>
              <w:t>2010–11</w:t>
            </w:r>
          </w:p>
        </w:tc>
        <w:tc>
          <w:tcPr>
            <w:tcW w:w="0" w:type="auto"/>
            <w:tcBorders>
              <w:top w:val="nil"/>
              <w:left w:val="nil"/>
              <w:bottom w:val="nil"/>
              <w:right w:val="nil"/>
            </w:tcBorders>
            <w:shd w:val="clear" w:color="000000" w:fill="365F91"/>
            <w:vAlign w:val="center"/>
            <w:hideMark/>
          </w:tcPr>
          <w:p w:rsidR="00640669" w:rsidRPr="00640669" w:rsidRDefault="00640669" w:rsidP="00E834E1">
            <w:pPr>
              <w:keepNext/>
              <w:spacing w:before="0" w:line="240" w:lineRule="auto"/>
              <w:rPr>
                <w:rFonts w:eastAsia="Times New Roman" w:cs="Arial"/>
                <w:b/>
                <w:bCs/>
                <w:color w:val="FFFFFF"/>
                <w:sz w:val="16"/>
                <w:szCs w:val="16"/>
                <w:lang w:eastAsia="en-AU"/>
              </w:rPr>
            </w:pPr>
            <w:r w:rsidRPr="00640669">
              <w:rPr>
                <w:rFonts w:eastAsia="Times New Roman" w:cs="Arial"/>
                <w:b/>
                <w:bCs/>
                <w:color w:val="FFFFFF"/>
                <w:sz w:val="16"/>
                <w:szCs w:val="16"/>
                <w:lang w:eastAsia="en-AU"/>
              </w:rPr>
              <w:t>2011–12</w:t>
            </w:r>
          </w:p>
        </w:tc>
        <w:tc>
          <w:tcPr>
            <w:tcW w:w="0" w:type="auto"/>
            <w:tcBorders>
              <w:top w:val="nil"/>
              <w:left w:val="nil"/>
              <w:bottom w:val="nil"/>
              <w:right w:val="nil"/>
            </w:tcBorders>
            <w:shd w:val="clear" w:color="000000" w:fill="365F91"/>
            <w:vAlign w:val="center"/>
            <w:hideMark/>
          </w:tcPr>
          <w:p w:rsidR="00640669" w:rsidRPr="00640669" w:rsidRDefault="00640669" w:rsidP="00E834E1">
            <w:pPr>
              <w:keepNext/>
              <w:spacing w:before="0" w:line="240" w:lineRule="auto"/>
              <w:rPr>
                <w:rFonts w:eastAsia="Times New Roman" w:cs="Arial"/>
                <w:b/>
                <w:bCs/>
                <w:color w:val="FFFFFF"/>
                <w:sz w:val="16"/>
                <w:szCs w:val="16"/>
                <w:lang w:eastAsia="en-AU"/>
              </w:rPr>
            </w:pPr>
            <w:r w:rsidRPr="00640669">
              <w:rPr>
                <w:rFonts w:eastAsia="Times New Roman" w:cs="Arial"/>
                <w:b/>
                <w:bCs/>
                <w:color w:val="FFFFFF"/>
                <w:sz w:val="16"/>
                <w:szCs w:val="16"/>
                <w:lang w:eastAsia="en-AU"/>
              </w:rPr>
              <w:t>2012–13</w:t>
            </w:r>
          </w:p>
        </w:tc>
        <w:tc>
          <w:tcPr>
            <w:tcW w:w="0" w:type="auto"/>
            <w:tcBorders>
              <w:top w:val="nil"/>
              <w:left w:val="nil"/>
              <w:bottom w:val="nil"/>
              <w:right w:val="nil"/>
            </w:tcBorders>
            <w:shd w:val="clear" w:color="000000" w:fill="365F91"/>
            <w:vAlign w:val="center"/>
            <w:hideMark/>
          </w:tcPr>
          <w:p w:rsidR="00640669" w:rsidRPr="00640669" w:rsidRDefault="00640669" w:rsidP="00E834E1">
            <w:pPr>
              <w:keepNext/>
              <w:spacing w:before="0" w:line="240" w:lineRule="auto"/>
              <w:rPr>
                <w:rFonts w:eastAsia="Times New Roman" w:cs="Arial"/>
                <w:b/>
                <w:bCs/>
                <w:color w:val="FFFFFF"/>
                <w:sz w:val="16"/>
                <w:szCs w:val="16"/>
                <w:lang w:eastAsia="en-AU"/>
              </w:rPr>
            </w:pPr>
            <w:r w:rsidRPr="00640669">
              <w:rPr>
                <w:rFonts w:eastAsia="Times New Roman" w:cs="Arial"/>
                <w:b/>
                <w:bCs/>
                <w:color w:val="FFFFFF"/>
                <w:sz w:val="16"/>
                <w:szCs w:val="16"/>
                <w:lang w:eastAsia="en-AU"/>
              </w:rPr>
              <w:t>2013–14</w:t>
            </w:r>
          </w:p>
        </w:tc>
        <w:tc>
          <w:tcPr>
            <w:tcW w:w="0" w:type="auto"/>
            <w:tcBorders>
              <w:top w:val="nil"/>
              <w:left w:val="nil"/>
              <w:bottom w:val="nil"/>
              <w:right w:val="nil"/>
            </w:tcBorders>
            <w:shd w:val="clear" w:color="000000" w:fill="365F91"/>
            <w:vAlign w:val="center"/>
            <w:hideMark/>
          </w:tcPr>
          <w:p w:rsidR="00640669" w:rsidRPr="00640669" w:rsidRDefault="00640669" w:rsidP="00E834E1">
            <w:pPr>
              <w:keepNext/>
              <w:spacing w:before="0" w:line="240" w:lineRule="auto"/>
              <w:rPr>
                <w:rFonts w:eastAsia="Times New Roman" w:cs="Arial"/>
                <w:b/>
                <w:bCs/>
                <w:color w:val="FFFFFF"/>
                <w:sz w:val="16"/>
                <w:szCs w:val="16"/>
                <w:lang w:eastAsia="en-AU"/>
              </w:rPr>
            </w:pPr>
            <w:r w:rsidRPr="00640669">
              <w:rPr>
                <w:rFonts w:eastAsia="Times New Roman" w:cs="Arial"/>
                <w:b/>
                <w:bCs/>
                <w:color w:val="FFFFFF"/>
                <w:sz w:val="16"/>
                <w:szCs w:val="16"/>
                <w:lang w:eastAsia="en-AU"/>
              </w:rPr>
              <w:t>2014–15</w:t>
            </w:r>
          </w:p>
        </w:tc>
        <w:tc>
          <w:tcPr>
            <w:tcW w:w="0" w:type="auto"/>
            <w:tcBorders>
              <w:top w:val="nil"/>
              <w:left w:val="nil"/>
              <w:bottom w:val="nil"/>
              <w:right w:val="nil"/>
            </w:tcBorders>
            <w:shd w:val="clear" w:color="000000" w:fill="365F91"/>
            <w:vAlign w:val="center"/>
            <w:hideMark/>
          </w:tcPr>
          <w:p w:rsidR="00640669" w:rsidRPr="00640669" w:rsidRDefault="00640669" w:rsidP="00E834E1">
            <w:pPr>
              <w:keepNext/>
              <w:spacing w:before="0" w:line="240" w:lineRule="auto"/>
              <w:rPr>
                <w:rFonts w:eastAsia="Times New Roman" w:cs="Arial"/>
                <w:b/>
                <w:bCs/>
                <w:color w:val="FFFFFF"/>
                <w:sz w:val="16"/>
                <w:szCs w:val="16"/>
                <w:lang w:eastAsia="en-AU"/>
              </w:rPr>
            </w:pPr>
            <w:r w:rsidRPr="00640669">
              <w:rPr>
                <w:rFonts w:eastAsia="Times New Roman" w:cs="Arial"/>
                <w:b/>
                <w:bCs/>
                <w:color w:val="FFFFFF"/>
                <w:sz w:val="16"/>
                <w:szCs w:val="16"/>
                <w:lang w:eastAsia="en-AU"/>
              </w:rPr>
              <w:t>2015–16</w:t>
            </w:r>
          </w:p>
        </w:tc>
      </w:tr>
      <w:tr w:rsidR="006C09B3" w:rsidRPr="00640669" w:rsidTr="004E695C">
        <w:trPr>
          <w:trHeight w:val="465"/>
        </w:trPr>
        <w:tc>
          <w:tcPr>
            <w:tcW w:w="0" w:type="auto"/>
            <w:tcBorders>
              <w:top w:val="nil"/>
              <w:left w:val="nil"/>
              <w:bottom w:val="nil"/>
              <w:right w:val="nil"/>
            </w:tcBorders>
            <w:shd w:val="clear" w:color="auto" w:fill="auto"/>
            <w:vAlign w:val="center"/>
            <w:hideMark/>
          </w:tcPr>
          <w:p w:rsidR="006C09B3" w:rsidRPr="00640669" w:rsidRDefault="006C09B3" w:rsidP="00E834E1">
            <w:pPr>
              <w:keepNext/>
              <w:spacing w:before="0" w:line="240" w:lineRule="auto"/>
              <w:ind w:firstLineChars="100" w:firstLine="160"/>
              <w:rPr>
                <w:rFonts w:eastAsia="Times New Roman" w:cs="Arial"/>
                <w:color w:val="000000"/>
                <w:sz w:val="16"/>
                <w:szCs w:val="16"/>
                <w:lang w:eastAsia="en-AU"/>
              </w:rPr>
            </w:pPr>
            <w:r w:rsidRPr="00640669">
              <w:rPr>
                <w:rFonts w:eastAsia="Times New Roman" w:cs="Arial"/>
                <w:color w:val="000000"/>
                <w:sz w:val="16"/>
                <w:szCs w:val="16"/>
                <w:lang w:eastAsia="en-AU"/>
              </w:rPr>
              <w:t>Market expansion (Connections)</w:t>
            </w:r>
          </w:p>
        </w:tc>
        <w:tc>
          <w:tcPr>
            <w:tcW w:w="0" w:type="auto"/>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color w:val="000000"/>
                <w:sz w:val="16"/>
                <w:szCs w:val="24"/>
              </w:rPr>
            </w:pPr>
            <w:r w:rsidRPr="006C09B3">
              <w:rPr>
                <w:rFonts w:cs="Arial"/>
                <w:color w:val="000000"/>
                <w:sz w:val="16"/>
              </w:rPr>
              <w:t>7.5</w:t>
            </w:r>
          </w:p>
        </w:tc>
        <w:tc>
          <w:tcPr>
            <w:tcW w:w="0" w:type="auto"/>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color w:val="000000"/>
                <w:sz w:val="16"/>
                <w:szCs w:val="24"/>
              </w:rPr>
            </w:pPr>
            <w:r w:rsidRPr="006C09B3">
              <w:rPr>
                <w:rFonts w:cs="Arial"/>
                <w:color w:val="000000"/>
                <w:sz w:val="16"/>
              </w:rPr>
              <w:t>8.6</w:t>
            </w:r>
          </w:p>
        </w:tc>
        <w:tc>
          <w:tcPr>
            <w:tcW w:w="0" w:type="auto"/>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color w:val="000000"/>
                <w:sz w:val="16"/>
                <w:szCs w:val="24"/>
              </w:rPr>
            </w:pPr>
            <w:r w:rsidRPr="006C09B3">
              <w:rPr>
                <w:rFonts w:cs="Arial"/>
                <w:color w:val="000000"/>
                <w:sz w:val="16"/>
              </w:rPr>
              <w:t>8.9</w:t>
            </w:r>
          </w:p>
        </w:tc>
        <w:tc>
          <w:tcPr>
            <w:tcW w:w="0" w:type="auto"/>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color w:val="000000"/>
                <w:sz w:val="16"/>
                <w:szCs w:val="24"/>
              </w:rPr>
            </w:pPr>
            <w:r w:rsidRPr="006C09B3">
              <w:rPr>
                <w:rFonts w:cs="Arial"/>
                <w:color w:val="000000"/>
                <w:sz w:val="16"/>
              </w:rPr>
              <w:t>9.5</w:t>
            </w:r>
          </w:p>
        </w:tc>
        <w:tc>
          <w:tcPr>
            <w:tcW w:w="0" w:type="auto"/>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color w:val="000000"/>
                <w:sz w:val="16"/>
                <w:szCs w:val="24"/>
              </w:rPr>
            </w:pPr>
            <w:r w:rsidRPr="006C09B3">
              <w:rPr>
                <w:rFonts w:cs="Arial"/>
                <w:color w:val="000000"/>
                <w:sz w:val="16"/>
              </w:rPr>
              <w:t>8.0</w:t>
            </w:r>
          </w:p>
        </w:tc>
        <w:tc>
          <w:tcPr>
            <w:tcW w:w="0" w:type="auto"/>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color w:val="000000"/>
                <w:sz w:val="16"/>
                <w:szCs w:val="24"/>
              </w:rPr>
            </w:pPr>
            <w:r w:rsidRPr="006C09B3">
              <w:rPr>
                <w:rFonts w:cs="Arial"/>
                <w:color w:val="000000"/>
                <w:sz w:val="16"/>
              </w:rPr>
              <w:t>8.3</w:t>
            </w:r>
          </w:p>
        </w:tc>
        <w:tc>
          <w:tcPr>
            <w:tcW w:w="0" w:type="auto"/>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color w:val="000000"/>
                <w:sz w:val="16"/>
                <w:szCs w:val="24"/>
              </w:rPr>
            </w:pPr>
            <w:r w:rsidRPr="006C09B3">
              <w:rPr>
                <w:rFonts w:cs="Arial"/>
                <w:color w:val="000000"/>
                <w:sz w:val="16"/>
              </w:rPr>
              <w:t>10.4</w:t>
            </w:r>
          </w:p>
        </w:tc>
      </w:tr>
      <w:tr w:rsidR="006C09B3" w:rsidRPr="00640669" w:rsidTr="004E695C">
        <w:trPr>
          <w:trHeight w:val="465"/>
        </w:trPr>
        <w:tc>
          <w:tcPr>
            <w:tcW w:w="0" w:type="auto"/>
            <w:tcBorders>
              <w:top w:val="nil"/>
              <w:left w:val="nil"/>
              <w:bottom w:val="nil"/>
              <w:right w:val="nil"/>
            </w:tcBorders>
            <w:shd w:val="clear" w:color="000000" w:fill="DBE5F1"/>
            <w:vAlign w:val="center"/>
            <w:hideMark/>
          </w:tcPr>
          <w:p w:rsidR="006C09B3" w:rsidRPr="00640669" w:rsidRDefault="006C09B3" w:rsidP="00E834E1">
            <w:pPr>
              <w:keepNext/>
              <w:spacing w:before="0" w:line="240" w:lineRule="auto"/>
              <w:ind w:firstLineChars="100" w:firstLine="160"/>
              <w:rPr>
                <w:rFonts w:eastAsia="Times New Roman" w:cs="Arial"/>
                <w:color w:val="000000"/>
                <w:sz w:val="16"/>
                <w:szCs w:val="16"/>
                <w:lang w:eastAsia="en-AU"/>
              </w:rPr>
            </w:pPr>
            <w:r w:rsidRPr="00640669">
              <w:rPr>
                <w:rFonts w:eastAsia="Times New Roman" w:cs="Arial"/>
                <w:color w:val="000000"/>
                <w:sz w:val="16"/>
                <w:szCs w:val="16"/>
                <w:lang w:eastAsia="en-AU"/>
              </w:rPr>
              <w:t>Capacity development (Augmentation)</w:t>
            </w:r>
          </w:p>
        </w:tc>
        <w:tc>
          <w:tcPr>
            <w:tcW w:w="0" w:type="auto"/>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color w:val="000000"/>
                <w:sz w:val="16"/>
                <w:szCs w:val="24"/>
              </w:rPr>
            </w:pPr>
            <w:r w:rsidRPr="006C09B3">
              <w:rPr>
                <w:rFonts w:cs="Arial"/>
                <w:color w:val="000000"/>
                <w:sz w:val="16"/>
              </w:rPr>
              <w:t>3.0</w:t>
            </w:r>
          </w:p>
        </w:tc>
        <w:tc>
          <w:tcPr>
            <w:tcW w:w="0" w:type="auto"/>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color w:val="000000"/>
                <w:sz w:val="16"/>
                <w:szCs w:val="24"/>
              </w:rPr>
            </w:pPr>
            <w:r w:rsidRPr="006C09B3">
              <w:rPr>
                <w:rFonts w:cs="Arial"/>
                <w:color w:val="000000"/>
                <w:sz w:val="16"/>
              </w:rPr>
              <w:t>4.0</w:t>
            </w:r>
          </w:p>
        </w:tc>
        <w:tc>
          <w:tcPr>
            <w:tcW w:w="0" w:type="auto"/>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color w:val="000000"/>
                <w:sz w:val="16"/>
                <w:szCs w:val="24"/>
              </w:rPr>
            </w:pPr>
            <w:r w:rsidRPr="006C09B3">
              <w:rPr>
                <w:rFonts w:cs="Arial"/>
                <w:color w:val="000000"/>
                <w:sz w:val="16"/>
              </w:rPr>
              <w:t>2.8</w:t>
            </w:r>
          </w:p>
        </w:tc>
        <w:tc>
          <w:tcPr>
            <w:tcW w:w="0" w:type="auto"/>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color w:val="000000"/>
                <w:sz w:val="16"/>
                <w:szCs w:val="24"/>
              </w:rPr>
            </w:pPr>
            <w:r w:rsidRPr="006C09B3">
              <w:rPr>
                <w:rFonts w:cs="Arial"/>
                <w:color w:val="000000"/>
                <w:sz w:val="16"/>
              </w:rPr>
              <w:t>2.1</w:t>
            </w:r>
          </w:p>
        </w:tc>
        <w:tc>
          <w:tcPr>
            <w:tcW w:w="0" w:type="auto"/>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color w:val="000000"/>
                <w:sz w:val="16"/>
                <w:szCs w:val="24"/>
              </w:rPr>
            </w:pPr>
            <w:r w:rsidRPr="006C09B3">
              <w:rPr>
                <w:rFonts w:cs="Arial"/>
                <w:color w:val="000000"/>
                <w:sz w:val="16"/>
              </w:rPr>
              <w:t>8.0</w:t>
            </w:r>
          </w:p>
        </w:tc>
        <w:tc>
          <w:tcPr>
            <w:tcW w:w="0" w:type="auto"/>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color w:val="000000"/>
                <w:sz w:val="16"/>
                <w:szCs w:val="24"/>
              </w:rPr>
            </w:pPr>
            <w:r w:rsidRPr="006C09B3">
              <w:rPr>
                <w:rFonts w:cs="Arial"/>
                <w:color w:val="000000"/>
                <w:sz w:val="16"/>
              </w:rPr>
              <w:t>10.7</w:t>
            </w:r>
          </w:p>
        </w:tc>
        <w:tc>
          <w:tcPr>
            <w:tcW w:w="0" w:type="auto"/>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color w:val="000000"/>
                <w:sz w:val="16"/>
                <w:szCs w:val="24"/>
              </w:rPr>
            </w:pPr>
            <w:r w:rsidRPr="006C09B3">
              <w:rPr>
                <w:rFonts w:cs="Arial"/>
                <w:color w:val="000000"/>
                <w:sz w:val="16"/>
              </w:rPr>
              <w:t>11.6</w:t>
            </w:r>
          </w:p>
        </w:tc>
      </w:tr>
      <w:tr w:rsidR="006C09B3" w:rsidRPr="00640669" w:rsidTr="004E695C">
        <w:trPr>
          <w:trHeight w:val="465"/>
        </w:trPr>
        <w:tc>
          <w:tcPr>
            <w:tcW w:w="0" w:type="auto"/>
            <w:tcBorders>
              <w:top w:val="nil"/>
              <w:left w:val="nil"/>
              <w:bottom w:val="nil"/>
              <w:right w:val="nil"/>
            </w:tcBorders>
            <w:shd w:val="clear" w:color="auto" w:fill="auto"/>
            <w:vAlign w:val="center"/>
            <w:hideMark/>
          </w:tcPr>
          <w:p w:rsidR="006C09B3" w:rsidRPr="00640669" w:rsidRDefault="006C09B3" w:rsidP="00E834E1">
            <w:pPr>
              <w:keepNext/>
              <w:spacing w:before="0" w:line="240" w:lineRule="auto"/>
              <w:ind w:firstLineChars="100" w:firstLine="160"/>
              <w:rPr>
                <w:rFonts w:eastAsia="Times New Roman" w:cs="Arial"/>
                <w:color w:val="000000"/>
                <w:sz w:val="16"/>
                <w:szCs w:val="16"/>
                <w:lang w:eastAsia="en-AU"/>
              </w:rPr>
            </w:pPr>
            <w:r w:rsidRPr="00640669">
              <w:rPr>
                <w:rFonts w:eastAsia="Times New Roman" w:cs="Arial"/>
                <w:color w:val="000000"/>
                <w:sz w:val="16"/>
                <w:szCs w:val="16"/>
                <w:lang w:eastAsia="en-AU"/>
              </w:rPr>
              <w:t>Stay in business</w:t>
            </w:r>
          </w:p>
        </w:tc>
        <w:tc>
          <w:tcPr>
            <w:tcW w:w="0" w:type="auto"/>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color w:val="000000"/>
                <w:sz w:val="16"/>
                <w:szCs w:val="24"/>
              </w:rPr>
            </w:pPr>
          </w:p>
        </w:tc>
        <w:tc>
          <w:tcPr>
            <w:tcW w:w="0" w:type="auto"/>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color w:val="000000"/>
                <w:sz w:val="16"/>
                <w:szCs w:val="24"/>
              </w:rPr>
            </w:pPr>
          </w:p>
        </w:tc>
        <w:tc>
          <w:tcPr>
            <w:tcW w:w="0" w:type="auto"/>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color w:val="000000"/>
                <w:sz w:val="16"/>
                <w:szCs w:val="24"/>
              </w:rPr>
            </w:pPr>
          </w:p>
        </w:tc>
        <w:tc>
          <w:tcPr>
            <w:tcW w:w="0" w:type="auto"/>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color w:val="000000"/>
                <w:sz w:val="16"/>
                <w:szCs w:val="24"/>
              </w:rPr>
            </w:pPr>
          </w:p>
        </w:tc>
        <w:tc>
          <w:tcPr>
            <w:tcW w:w="0" w:type="auto"/>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color w:val="000000"/>
                <w:sz w:val="16"/>
                <w:szCs w:val="24"/>
              </w:rPr>
            </w:pPr>
          </w:p>
        </w:tc>
        <w:tc>
          <w:tcPr>
            <w:tcW w:w="0" w:type="auto"/>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color w:val="000000"/>
                <w:sz w:val="16"/>
                <w:szCs w:val="24"/>
              </w:rPr>
            </w:pPr>
          </w:p>
        </w:tc>
        <w:tc>
          <w:tcPr>
            <w:tcW w:w="0" w:type="auto"/>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color w:val="000000"/>
                <w:sz w:val="16"/>
                <w:szCs w:val="24"/>
              </w:rPr>
            </w:pPr>
          </w:p>
        </w:tc>
      </w:tr>
      <w:tr w:rsidR="006C09B3" w:rsidRPr="00640669" w:rsidTr="004E695C">
        <w:trPr>
          <w:trHeight w:val="465"/>
        </w:trPr>
        <w:tc>
          <w:tcPr>
            <w:tcW w:w="0" w:type="auto"/>
            <w:tcBorders>
              <w:top w:val="nil"/>
              <w:left w:val="nil"/>
              <w:bottom w:val="nil"/>
              <w:right w:val="nil"/>
            </w:tcBorders>
            <w:shd w:val="clear" w:color="000000" w:fill="DBE5F1"/>
            <w:vAlign w:val="center"/>
            <w:hideMark/>
          </w:tcPr>
          <w:p w:rsidR="006C09B3" w:rsidRPr="00640669" w:rsidRDefault="006C09B3" w:rsidP="00E834E1">
            <w:pPr>
              <w:keepNext/>
              <w:spacing w:before="0" w:line="240" w:lineRule="auto"/>
              <w:ind w:firstLineChars="100" w:firstLine="160"/>
              <w:rPr>
                <w:rFonts w:eastAsia="Times New Roman" w:cs="Arial"/>
                <w:color w:val="000000"/>
                <w:sz w:val="16"/>
                <w:szCs w:val="16"/>
                <w:lang w:eastAsia="en-AU"/>
              </w:rPr>
            </w:pPr>
            <w:r w:rsidRPr="00640669">
              <w:rPr>
                <w:rFonts w:eastAsia="Times New Roman" w:cs="Arial"/>
                <w:color w:val="000000"/>
                <w:sz w:val="16"/>
                <w:szCs w:val="16"/>
                <w:lang w:eastAsia="en-AU"/>
              </w:rPr>
              <w:t xml:space="preserve">  - Network renewal and upgrade</w:t>
            </w:r>
          </w:p>
        </w:tc>
        <w:tc>
          <w:tcPr>
            <w:tcW w:w="0" w:type="auto"/>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color w:val="000000"/>
                <w:sz w:val="16"/>
                <w:szCs w:val="24"/>
              </w:rPr>
            </w:pPr>
            <w:r w:rsidRPr="006C09B3">
              <w:rPr>
                <w:rFonts w:cs="Arial"/>
                <w:color w:val="000000"/>
                <w:sz w:val="16"/>
              </w:rPr>
              <w:t>0.0</w:t>
            </w:r>
          </w:p>
        </w:tc>
        <w:tc>
          <w:tcPr>
            <w:tcW w:w="0" w:type="auto"/>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color w:val="000000"/>
                <w:sz w:val="16"/>
                <w:szCs w:val="24"/>
              </w:rPr>
            </w:pPr>
            <w:r w:rsidRPr="006C09B3">
              <w:rPr>
                <w:rFonts w:cs="Arial"/>
                <w:color w:val="000000"/>
                <w:sz w:val="16"/>
              </w:rPr>
              <w:t>0.1</w:t>
            </w:r>
          </w:p>
        </w:tc>
        <w:tc>
          <w:tcPr>
            <w:tcW w:w="0" w:type="auto"/>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color w:val="000000"/>
                <w:sz w:val="16"/>
                <w:szCs w:val="24"/>
              </w:rPr>
            </w:pPr>
            <w:r w:rsidRPr="006C09B3">
              <w:rPr>
                <w:rFonts w:cs="Arial"/>
                <w:color w:val="000000"/>
                <w:sz w:val="16"/>
              </w:rPr>
              <w:t>2.6</w:t>
            </w:r>
          </w:p>
        </w:tc>
        <w:tc>
          <w:tcPr>
            <w:tcW w:w="0" w:type="auto"/>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color w:val="000000"/>
                <w:sz w:val="16"/>
                <w:szCs w:val="24"/>
              </w:rPr>
            </w:pPr>
            <w:r w:rsidRPr="006C09B3">
              <w:rPr>
                <w:rFonts w:cs="Arial"/>
                <w:color w:val="000000"/>
                <w:sz w:val="16"/>
              </w:rPr>
              <w:t>7.4</w:t>
            </w:r>
          </w:p>
        </w:tc>
        <w:tc>
          <w:tcPr>
            <w:tcW w:w="0" w:type="auto"/>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color w:val="000000"/>
                <w:sz w:val="16"/>
                <w:szCs w:val="24"/>
              </w:rPr>
            </w:pPr>
            <w:r w:rsidRPr="006C09B3">
              <w:rPr>
                <w:rFonts w:cs="Arial"/>
                <w:color w:val="000000"/>
                <w:sz w:val="16"/>
              </w:rPr>
              <w:t>1.0</w:t>
            </w:r>
          </w:p>
        </w:tc>
        <w:tc>
          <w:tcPr>
            <w:tcW w:w="0" w:type="auto"/>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color w:val="000000"/>
                <w:sz w:val="16"/>
                <w:szCs w:val="24"/>
              </w:rPr>
            </w:pPr>
            <w:r w:rsidRPr="006C09B3">
              <w:rPr>
                <w:rFonts w:cs="Arial"/>
                <w:color w:val="000000"/>
                <w:sz w:val="16"/>
              </w:rPr>
              <w:t>3.0</w:t>
            </w:r>
          </w:p>
        </w:tc>
        <w:tc>
          <w:tcPr>
            <w:tcW w:w="0" w:type="auto"/>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color w:val="000000"/>
                <w:sz w:val="16"/>
                <w:szCs w:val="24"/>
              </w:rPr>
            </w:pPr>
            <w:r w:rsidRPr="006C09B3">
              <w:rPr>
                <w:rFonts w:cs="Arial"/>
                <w:color w:val="000000"/>
                <w:sz w:val="16"/>
              </w:rPr>
              <w:t>7.5</w:t>
            </w:r>
          </w:p>
        </w:tc>
      </w:tr>
      <w:tr w:rsidR="006C09B3" w:rsidRPr="00640669" w:rsidTr="004E695C">
        <w:trPr>
          <w:trHeight w:val="465"/>
        </w:trPr>
        <w:tc>
          <w:tcPr>
            <w:tcW w:w="0" w:type="auto"/>
            <w:tcBorders>
              <w:top w:val="nil"/>
              <w:left w:val="nil"/>
              <w:bottom w:val="nil"/>
              <w:right w:val="nil"/>
            </w:tcBorders>
            <w:shd w:val="clear" w:color="auto" w:fill="auto"/>
            <w:vAlign w:val="center"/>
            <w:hideMark/>
          </w:tcPr>
          <w:p w:rsidR="006C09B3" w:rsidRPr="00640669" w:rsidRDefault="006C09B3" w:rsidP="00640669">
            <w:pPr>
              <w:spacing w:before="0" w:line="240" w:lineRule="auto"/>
              <w:ind w:firstLineChars="100" w:firstLine="160"/>
              <w:rPr>
                <w:rFonts w:eastAsia="Times New Roman" w:cs="Arial"/>
                <w:color w:val="000000"/>
                <w:sz w:val="16"/>
                <w:szCs w:val="16"/>
                <w:lang w:eastAsia="en-AU"/>
              </w:rPr>
            </w:pPr>
            <w:r w:rsidRPr="00640669">
              <w:rPr>
                <w:rFonts w:eastAsia="Times New Roman" w:cs="Arial"/>
                <w:color w:val="000000"/>
                <w:sz w:val="16"/>
                <w:szCs w:val="16"/>
                <w:lang w:eastAsia="en-AU"/>
              </w:rPr>
              <w:t xml:space="preserve">  - Meter renewal</w:t>
            </w:r>
          </w:p>
        </w:tc>
        <w:tc>
          <w:tcPr>
            <w:tcW w:w="0" w:type="auto"/>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0.5</w:t>
            </w:r>
          </w:p>
        </w:tc>
        <w:tc>
          <w:tcPr>
            <w:tcW w:w="0" w:type="auto"/>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1.2</w:t>
            </w:r>
          </w:p>
        </w:tc>
        <w:tc>
          <w:tcPr>
            <w:tcW w:w="0" w:type="auto"/>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1.2</w:t>
            </w:r>
          </w:p>
        </w:tc>
        <w:tc>
          <w:tcPr>
            <w:tcW w:w="0" w:type="auto"/>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1.7</w:t>
            </w:r>
          </w:p>
        </w:tc>
        <w:tc>
          <w:tcPr>
            <w:tcW w:w="0" w:type="auto"/>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2.0</w:t>
            </w:r>
          </w:p>
        </w:tc>
        <w:tc>
          <w:tcPr>
            <w:tcW w:w="0" w:type="auto"/>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2.3</w:t>
            </w:r>
          </w:p>
        </w:tc>
        <w:tc>
          <w:tcPr>
            <w:tcW w:w="0" w:type="auto"/>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2.7</w:t>
            </w:r>
          </w:p>
        </w:tc>
      </w:tr>
      <w:tr w:rsidR="006C09B3" w:rsidRPr="00640669" w:rsidTr="004E695C">
        <w:trPr>
          <w:trHeight w:val="465"/>
        </w:trPr>
        <w:tc>
          <w:tcPr>
            <w:tcW w:w="0" w:type="auto"/>
            <w:tcBorders>
              <w:top w:val="nil"/>
              <w:left w:val="nil"/>
              <w:bottom w:val="nil"/>
              <w:right w:val="nil"/>
            </w:tcBorders>
            <w:shd w:val="clear" w:color="000000" w:fill="DBE5F1"/>
            <w:vAlign w:val="center"/>
            <w:hideMark/>
          </w:tcPr>
          <w:p w:rsidR="006C09B3" w:rsidRPr="00640669" w:rsidRDefault="006C09B3" w:rsidP="00640669">
            <w:pPr>
              <w:spacing w:before="0" w:line="240" w:lineRule="auto"/>
              <w:ind w:firstLineChars="100" w:firstLine="160"/>
              <w:rPr>
                <w:rFonts w:eastAsia="Times New Roman" w:cs="Arial"/>
                <w:color w:val="000000"/>
                <w:sz w:val="16"/>
                <w:szCs w:val="16"/>
                <w:lang w:eastAsia="en-AU"/>
              </w:rPr>
            </w:pPr>
            <w:r w:rsidRPr="00640669">
              <w:rPr>
                <w:rFonts w:eastAsia="Times New Roman" w:cs="Arial"/>
                <w:color w:val="000000"/>
                <w:sz w:val="16"/>
                <w:szCs w:val="16"/>
                <w:lang w:eastAsia="en-AU"/>
              </w:rPr>
              <w:t>Capitalised regulatory expenditure</w:t>
            </w:r>
          </w:p>
        </w:tc>
        <w:tc>
          <w:tcPr>
            <w:tcW w:w="0" w:type="auto"/>
            <w:tcBorders>
              <w:top w:val="nil"/>
              <w:left w:val="nil"/>
              <w:bottom w:val="nil"/>
              <w:right w:val="nil"/>
            </w:tcBorders>
            <w:shd w:val="clear" w:color="000000" w:fill="DBE5F1"/>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0.8</w:t>
            </w:r>
          </w:p>
        </w:tc>
        <w:tc>
          <w:tcPr>
            <w:tcW w:w="0" w:type="auto"/>
            <w:tcBorders>
              <w:top w:val="nil"/>
              <w:left w:val="nil"/>
              <w:bottom w:val="nil"/>
              <w:right w:val="nil"/>
            </w:tcBorders>
            <w:shd w:val="clear" w:color="000000" w:fill="DBE5F1"/>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0.0</w:t>
            </w:r>
          </w:p>
        </w:tc>
        <w:tc>
          <w:tcPr>
            <w:tcW w:w="0" w:type="auto"/>
            <w:tcBorders>
              <w:top w:val="nil"/>
              <w:left w:val="nil"/>
              <w:bottom w:val="nil"/>
              <w:right w:val="nil"/>
            </w:tcBorders>
            <w:shd w:val="clear" w:color="000000" w:fill="DBE5F1"/>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0.0</w:t>
            </w:r>
          </w:p>
        </w:tc>
        <w:tc>
          <w:tcPr>
            <w:tcW w:w="0" w:type="auto"/>
            <w:tcBorders>
              <w:top w:val="nil"/>
              <w:left w:val="nil"/>
              <w:bottom w:val="nil"/>
              <w:right w:val="nil"/>
            </w:tcBorders>
            <w:shd w:val="clear" w:color="000000" w:fill="DBE5F1"/>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0.0</w:t>
            </w:r>
          </w:p>
        </w:tc>
        <w:tc>
          <w:tcPr>
            <w:tcW w:w="0" w:type="auto"/>
            <w:tcBorders>
              <w:top w:val="nil"/>
              <w:left w:val="nil"/>
              <w:bottom w:val="nil"/>
              <w:right w:val="nil"/>
            </w:tcBorders>
            <w:shd w:val="clear" w:color="000000" w:fill="DBE5F1"/>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0.0</w:t>
            </w:r>
          </w:p>
        </w:tc>
        <w:tc>
          <w:tcPr>
            <w:tcW w:w="0" w:type="auto"/>
            <w:tcBorders>
              <w:top w:val="nil"/>
              <w:left w:val="nil"/>
              <w:bottom w:val="nil"/>
              <w:right w:val="nil"/>
            </w:tcBorders>
            <w:shd w:val="clear" w:color="000000" w:fill="DBE5F1"/>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0.0</w:t>
            </w:r>
          </w:p>
        </w:tc>
        <w:tc>
          <w:tcPr>
            <w:tcW w:w="0" w:type="auto"/>
            <w:tcBorders>
              <w:top w:val="nil"/>
              <w:left w:val="nil"/>
              <w:bottom w:val="nil"/>
              <w:right w:val="nil"/>
            </w:tcBorders>
            <w:shd w:val="clear" w:color="000000" w:fill="DBE5F1"/>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0.0</w:t>
            </w:r>
          </w:p>
        </w:tc>
      </w:tr>
      <w:tr w:rsidR="006C09B3" w:rsidRPr="00640669" w:rsidTr="004E695C">
        <w:trPr>
          <w:trHeight w:val="465"/>
        </w:trPr>
        <w:tc>
          <w:tcPr>
            <w:tcW w:w="0" w:type="auto"/>
            <w:tcBorders>
              <w:top w:val="nil"/>
              <w:left w:val="nil"/>
              <w:bottom w:val="nil"/>
              <w:right w:val="nil"/>
            </w:tcBorders>
            <w:shd w:val="clear" w:color="auto" w:fill="auto"/>
            <w:vAlign w:val="center"/>
            <w:hideMark/>
          </w:tcPr>
          <w:p w:rsidR="006C09B3" w:rsidRPr="00640669" w:rsidRDefault="006C09B3" w:rsidP="00640669">
            <w:pPr>
              <w:spacing w:before="0" w:line="240" w:lineRule="auto"/>
              <w:ind w:firstLineChars="100" w:firstLine="160"/>
              <w:rPr>
                <w:rFonts w:eastAsia="Times New Roman" w:cs="Arial"/>
                <w:color w:val="000000"/>
                <w:sz w:val="16"/>
                <w:szCs w:val="16"/>
                <w:lang w:eastAsia="en-AU"/>
              </w:rPr>
            </w:pPr>
            <w:r w:rsidRPr="00640669">
              <w:rPr>
                <w:rFonts w:eastAsia="Times New Roman" w:cs="Arial"/>
                <w:color w:val="000000"/>
                <w:sz w:val="16"/>
                <w:szCs w:val="16"/>
                <w:lang w:eastAsia="en-AU"/>
              </w:rPr>
              <w:t>Non-system</w:t>
            </w:r>
          </w:p>
        </w:tc>
        <w:tc>
          <w:tcPr>
            <w:tcW w:w="0" w:type="auto"/>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0.3</w:t>
            </w:r>
          </w:p>
        </w:tc>
        <w:tc>
          <w:tcPr>
            <w:tcW w:w="0" w:type="auto"/>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0.4</w:t>
            </w:r>
          </w:p>
        </w:tc>
        <w:tc>
          <w:tcPr>
            <w:tcW w:w="0" w:type="auto"/>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0.3</w:t>
            </w:r>
          </w:p>
        </w:tc>
        <w:tc>
          <w:tcPr>
            <w:tcW w:w="0" w:type="auto"/>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0.2</w:t>
            </w:r>
          </w:p>
        </w:tc>
        <w:tc>
          <w:tcPr>
            <w:tcW w:w="0" w:type="auto"/>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-0.3</w:t>
            </w:r>
          </w:p>
        </w:tc>
        <w:tc>
          <w:tcPr>
            <w:tcW w:w="0" w:type="auto"/>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0.0</w:t>
            </w:r>
          </w:p>
        </w:tc>
        <w:tc>
          <w:tcPr>
            <w:tcW w:w="0" w:type="auto"/>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0.0</w:t>
            </w:r>
          </w:p>
        </w:tc>
      </w:tr>
      <w:tr w:rsidR="006C09B3" w:rsidRPr="00640669" w:rsidTr="004E695C">
        <w:trPr>
          <w:trHeight w:val="465"/>
        </w:trPr>
        <w:tc>
          <w:tcPr>
            <w:tcW w:w="0" w:type="auto"/>
            <w:tcBorders>
              <w:top w:val="nil"/>
              <w:left w:val="nil"/>
              <w:bottom w:val="nil"/>
              <w:right w:val="nil"/>
            </w:tcBorders>
            <w:shd w:val="clear" w:color="000000" w:fill="DBE5F1"/>
            <w:vAlign w:val="center"/>
            <w:hideMark/>
          </w:tcPr>
          <w:p w:rsidR="006C09B3" w:rsidRPr="00640669" w:rsidRDefault="006C09B3" w:rsidP="00640669">
            <w:pPr>
              <w:spacing w:before="0" w:line="240" w:lineRule="auto"/>
              <w:ind w:firstLineChars="100" w:firstLine="160"/>
              <w:rPr>
                <w:rFonts w:eastAsia="Times New Roman" w:cs="Arial"/>
                <w:color w:val="000000"/>
                <w:sz w:val="16"/>
                <w:szCs w:val="16"/>
                <w:lang w:eastAsia="en-AU"/>
              </w:rPr>
            </w:pPr>
            <w:r w:rsidRPr="00640669">
              <w:rPr>
                <w:rFonts w:eastAsia="Times New Roman" w:cs="Arial"/>
                <w:color w:val="000000"/>
                <w:sz w:val="16"/>
                <w:szCs w:val="16"/>
                <w:lang w:eastAsia="en-AU"/>
              </w:rPr>
              <w:t>Overheads</w:t>
            </w:r>
          </w:p>
        </w:tc>
        <w:tc>
          <w:tcPr>
            <w:tcW w:w="0" w:type="auto"/>
            <w:tcBorders>
              <w:top w:val="nil"/>
              <w:left w:val="nil"/>
              <w:bottom w:val="nil"/>
              <w:right w:val="nil"/>
            </w:tcBorders>
            <w:shd w:val="clear" w:color="000000" w:fill="DBE5F1"/>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0.0</w:t>
            </w:r>
          </w:p>
        </w:tc>
        <w:tc>
          <w:tcPr>
            <w:tcW w:w="0" w:type="auto"/>
            <w:tcBorders>
              <w:top w:val="nil"/>
              <w:left w:val="nil"/>
              <w:bottom w:val="nil"/>
              <w:right w:val="nil"/>
            </w:tcBorders>
            <w:shd w:val="clear" w:color="000000" w:fill="DBE5F1"/>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0.0</w:t>
            </w:r>
          </w:p>
        </w:tc>
        <w:tc>
          <w:tcPr>
            <w:tcW w:w="0" w:type="auto"/>
            <w:tcBorders>
              <w:top w:val="nil"/>
              <w:left w:val="nil"/>
              <w:bottom w:val="nil"/>
              <w:right w:val="nil"/>
            </w:tcBorders>
            <w:shd w:val="clear" w:color="000000" w:fill="DBE5F1"/>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0.0</w:t>
            </w:r>
          </w:p>
        </w:tc>
        <w:tc>
          <w:tcPr>
            <w:tcW w:w="0" w:type="auto"/>
            <w:tcBorders>
              <w:top w:val="nil"/>
              <w:left w:val="nil"/>
              <w:bottom w:val="nil"/>
              <w:right w:val="nil"/>
            </w:tcBorders>
            <w:shd w:val="clear" w:color="000000" w:fill="DBE5F1"/>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0.0</w:t>
            </w:r>
          </w:p>
        </w:tc>
        <w:tc>
          <w:tcPr>
            <w:tcW w:w="0" w:type="auto"/>
            <w:tcBorders>
              <w:top w:val="nil"/>
              <w:left w:val="nil"/>
              <w:bottom w:val="nil"/>
              <w:right w:val="nil"/>
            </w:tcBorders>
            <w:shd w:val="clear" w:color="000000" w:fill="DBE5F1"/>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0.0</w:t>
            </w:r>
          </w:p>
        </w:tc>
        <w:tc>
          <w:tcPr>
            <w:tcW w:w="0" w:type="auto"/>
            <w:tcBorders>
              <w:top w:val="nil"/>
              <w:left w:val="nil"/>
              <w:bottom w:val="nil"/>
              <w:right w:val="nil"/>
            </w:tcBorders>
            <w:shd w:val="clear" w:color="000000" w:fill="DBE5F1"/>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0.0</w:t>
            </w:r>
          </w:p>
        </w:tc>
        <w:tc>
          <w:tcPr>
            <w:tcW w:w="0" w:type="auto"/>
            <w:tcBorders>
              <w:top w:val="nil"/>
              <w:left w:val="nil"/>
              <w:bottom w:val="nil"/>
              <w:right w:val="nil"/>
            </w:tcBorders>
            <w:shd w:val="clear" w:color="000000" w:fill="DBE5F1"/>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1.9</w:t>
            </w:r>
          </w:p>
        </w:tc>
      </w:tr>
      <w:tr w:rsidR="006C09B3" w:rsidRPr="00640669" w:rsidTr="004E695C">
        <w:trPr>
          <w:trHeight w:val="465"/>
        </w:trPr>
        <w:tc>
          <w:tcPr>
            <w:tcW w:w="0" w:type="auto"/>
            <w:tcBorders>
              <w:top w:val="nil"/>
              <w:left w:val="nil"/>
              <w:bottom w:val="nil"/>
              <w:right w:val="nil"/>
            </w:tcBorders>
            <w:shd w:val="clear" w:color="000000" w:fill="DBE5F1"/>
            <w:vAlign w:val="center"/>
            <w:hideMark/>
          </w:tcPr>
          <w:p w:rsidR="006C09B3" w:rsidRPr="00640669" w:rsidRDefault="006C09B3" w:rsidP="00640669">
            <w:pPr>
              <w:spacing w:before="0" w:line="240" w:lineRule="auto"/>
              <w:ind w:firstLineChars="100" w:firstLine="161"/>
              <w:rPr>
                <w:rFonts w:eastAsia="Times New Roman" w:cs="Arial"/>
                <w:b/>
                <w:bCs/>
                <w:color w:val="000000"/>
                <w:sz w:val="16"/>
                <w:szCs w:val="16"/>
                <w:lang w:eastAsia="en-AU"/>
              </w:rPr>
            </w:pPr>
            <w:r w:rsidRPr="00640669">
              <w:rPr>
                <w:rFonts w:eastAsia="Times New Roman" w:cs="Arial"/>
                <w:b/>
                <w:bCs/>
                <w:color w:val="000000"/>
                <w:sz w:val="16"/>
                <w:szCs w:val="16"/>
                <w:lang w:eastAsia="en-AU"/>
              </w:rPr>
              <w:t>GROSS TOTAL CAPITAL EXPENDITURE</w:t>
            </w:r>
          </w:p>
        </w:tc>
        <w:tc>
          <w:tcPr>
            <w:tcW w:w="0" w:type="auto"/>
            <w:tcBorders>
              <w:top w:val="nil"/>
              <w:left w:val="nil"/>
              <w:bottom w:val="nil"/>
              <w:right w:val="nil"/>
            </w:tcBorders>
            <w:shd w:val="clear" w:color="000000" w:fill="DBE5F1"/>
            <w:vAlign w:val="center"/>
          </w:tcPr>
          <w:p w:rsidR="006C09B3" w:rsidRPr="006C09B3" w:rsidRDefault="006C09B3" w:rsidP="006C09B3">
            <w:pPr>
              <w:ind w:firstLineChars="100" w:firstLine="161"/>
              <w:rPr>
                <w:rFonts w:cs="Arial"/>
                <w:b/>
                <w:bCs/>
                <w:sz w:val="16"/>
                <w:szCs w:val="24"/>
              </w:rPr>
            </w:pPr>
            <w:r w:rsidRPr="006C09B3">
              <w:rPr>
                <w:rFonts w:cs="Arial"/>
                <w:b/>
                <w:bCs/>
                <w:sz w:val="16"/>
              </w:rPr>
              <w:t>12.1</w:t>
            </w:r>
          </w:p>
        </w:tc>
        <w:tc>
          <w:tcPr>
            <w:tcW w:w="0" w:type="auto"/>
            <w:tcBorders>
              <w:top w:val="nil"/>
              <w:left w:val="nil"/>
              <w:bottom w:val="nil"/>
              <w:right w:val="nil"/>
            </w:tcBorders>
            <w:shd w:val="clear" w:color="000000" w:fill="DBE5F1"/>
            <w:vAlign w:val="center"/>
          </w:tcPr>
          <w:p w:rsidR="006C09B3" w:rsidRPr="006C09B3" w:rsidRDefault="006C09B3" w:rsidP="006C09B3">
            <w:pPr>
              <w:ind w:firstLineChars="100" w:firstLine="161"/>
              <w:rPr>
                <w:rFonts w:cs="Arial"/>
                <w:b/>
                <w:bCs/>
                <w:sz w:val="16"/>
                <w:szCs w:val="24"/>
              </w:rPr>
            </w:pPr>
            <w:r w:rsidRPr="006C09B3">
              <w:rPr>
                <w:rFonts w:cs="Arial"/>
                <w:b/>
                <w:bCs/>
                <w:sz w:val="16"/>
              </w:rPr>
              <w:t>14.5</w:t>
            </w:r>
          </w:p>
        </w:tc>
        <w:tc>
          <w:tcPr>
            <w:tcW w:w="0" w:type="auto"/>
            <w:tcBorders>
              <w:top w:val="nil"/>
              <w:left w:val="nil"/>
              <w:bottom w:val="nil"/>
              <w:right w:val="nil"/>
            </w:tcBorders>
            <w:shd w:val="clear" w:color="000000" w:fill="DBE5F1"/>
            <w:vAlign w:val="center"/>
          </w:tcPr>
          <w:p w:rsidR="006C09B3" w:rsidRPr="006C09B3" w:rsidRDefault="006C09B3" w:rsidP="006C09B3">
            <w:pPr>
              <w:ind w:firstLineChars="100" w:firstLine="161"/>
              <w:rPr>
                <w:rFonts w:cs="Arial"/>
                <w:b/>
                <w:bCs/>
                <w:sz w:val="16"/>
                <w:szCs w:val="24"/>
              </w:rPr>
            </w:pPr>
            <w:r w:rsidRPr="006C09B3">
              <w:rPr>
                <w:rFonts w:cs="Arial"/>
                <w:b/>
                <w:bCs/>
                <w:sz w:val="16"/>
              </w:rPr>
              <w:t>15.7</w:t>
            </w:r>
          </w:p>
        </w:tc>
        <w:tc>
          <w:tcPr>
            <w:tcW w:w="0" w:type="auto"/>
            <w:tcBorders>
              <w:top w:val="nil"/>
              <w:left w:val="nil"/>
              <w:bottom w:val="nil"/>
              <w:right w:val="nil"/>
            </w:tcBorders>
            <w:shd w:val="clear" w:color="000000" w:fill="DBE5F1"/>
            <w:vAlign w:val="center"/>
          </w:tcPr>
          <w:p w:rsidR="006C09B3" w:rsidRPr="006C09B3" w:rsidRDefault="006C09B3" w:rsidP="006C09B3">
            <w:pPr>
              <w:ind w:firstLineChars="100" w:firstLine="161"/>
              <w:rPr>
                <w:rFonts w:cs="Arial"/>
                <w:b/>
                <w:bCs/>
                <w:sz w:val="16"/>
                <w:szCs w:val="24"/>
              </w:rPr>
            </w:pPr>
            <w:r w:rsidRPr="006C09B3">
              <w:rPr>
                <w:rFonts w:cs="Arial"/>
                <w:b/>
                <w:bCs/>
                <w:sz w:val="16"/>
              </w:rPr>
              <w:t>20.9</w:t>
            </w:r>
          </w:p>
        </w:tc>
        <w:tc>
          <w:tcPr>
            <w:tcW w:w="0" w:type="auto"/>
            <w:tcBorders>
              <w:top w:val="nil"/>
              <w:left w:val="nil"/>
              <w:bottom w:val="nil"/>
              <w:right w:val="nil"/>
            </w:tcBorders>
            <w:shd w:val="clear" w:color="000000" w:fill="DBE5F1"/>
            <w:vAlign w:val="center"/>
          </w:tcPr>
          <w:p w:rsidR="006C09B3" w:rsidRPr="006C09B3" w:rsidRDefault="006C09B3" w:rsidP="006C09B3">
            <w:pPr>
              <w:ind w:firstLineChars="100" w:firstLine="161"/>
              <w:rPr>
                <w:rFonts w:cs="Arial"/>
                <w:b/>
                <w:bCs/>
                <w:sz w:val="16"/>
                <w:szCs w:val="24"/>
              </w:rPr>
            </w:pPr>
            <w:r w:rsidRPr="006C09B3">
              <w:rPr>
                <w:rFonts w:cs="Arial"/>
                <w:b/>
                <w:bCs/>
                <w:sz w:val="16"/>
              </w:rPr>
              <w:t>18.7</w:t>
            </w:r>
          </w:p>
        </w:tc>
        <w:tc>
          <w:tcPr>
            <w:tcW w:w="0" w:type="auto"/>
            <w:tcBorders>
              <w:top w:val="nil"/>
              <w:left w:val="nil"/>
              <w:bottom w:val="nil"/>
              <w:right w:val="nil"/>
            </w:tcBorders>
            <w:shd w:val="clear" w:color="000000" w:fill="DBE5F1"/>
            <w:vAlign w:val="center"/>
          </w:tcPr>
          <w:p w:rsidR="006C09B3" w:rsidRPr="006C09B3" w:rsidRDefault="006C09B3" w:rsidP="006C09B3">
            <w:pPr>
              <w:ind w:firstLineChars="100" w:firstLine="161"/>
              <w:rPr>
                <w:rFonts w:cs="Arial"/>
                <w:b/>
                <w:bCs/>
                <w:sz w:val="16"/>
                <w:szCs w:val="24"/>
              </w:rPr>
            </w:pPr>
            <w:r w:rsidRPr="006C09B3">
              <w:rPr>
                <w:rFonts w:cs="Arial"/>
                <w:b/>
                <w:bCs/>
                <w:sz w:val="16"/>
              </w:rPr>
              <w:t>24.3</w:t>
            </w:r>
          </w:p>
        </w:tc>
        <w:tc>
          <w:tcPr>
            <w:tcW w:w="0" w:type="auto"/>
            <w:tcBorders>
              <w:top w:val="nil"/>
              <w:left w:val="nil"/>
              <w:bottom w:val="nil"/>
              <w:right w:val="nil"/>
            </w:tcBorders>
            <w:shd w:val="clear" w:color="000000" w:fill="DBE5F1"/>
            <w:vAlign w:val="center"/>
          </w:tcPr>
          <w:p w:rsidR="006C09B3" w:rsidRPr="006C09B3" w:rsidRDefault="006C09B3" w:rsidP="006C09B3">
            <w:pPr>
              <w:ind w:firstLineChars="100" w:firstLine="161"/>
              <w:rPr>
                <w:rFonts w:cs="Arial"/>
                <w:b/>
                <w:bCs/>
                <w:sz w:val="16"/>
                <w:szCs w:val="24"/>
              </w:rPr>
            </w:pPr>
            <w:r w:rsidRPr="006C09B3">
              <w:rPr>
                <w:rFonts w:cs="Arial"/>
                <w:b/>
                <w:bCs/>
                <w:sz w:val="16"/>
              </w:rPr>
              <w:t>34.1</w:t>
            </w:r>
          </w:p>
        </w:tc>
      </w:tr>
      <w:tr w:rsidR="006C09B3" w:rsidRPr="00640669" w:rsidTr="004E695C">
        <w:trPr>
          <w:trHeight w:val="465"/>
        </w:trPr>
        <w:tc>
          <w:tcPr>
            <w:tcW w:w="0" w:type="auto"/>
            <w:tcBorders>
              <w:top w:val="nil"/>
              <w:left w:val="nil"/>
              <w:bottom w:val="nil"/>
              <w:right w:val="nil"/>
            </w:tcBorders>
            <w:shd w:val="clear" w:color="auto" w:fill="auto"/>
            <w:vAlign w:val="center"/>
            <w:hideMark/>
          </w:tcPr>
          <w:p w:rsidR="006C09B3" w:rsidRPr="00640669" w:rsidRDefault="006C09B3" w:rsidP="00640669">
            <w:pPr>
              <w:spacing w:before="0" w:line="240" w:lineRule="auto"/>
              <w:ind w:firstLineChars="100" w:firstLine="160"/>
              <w:rPr>
                <w:rFonts w:eastAsia="Times New Roman" w:cs="Arial"/>
                <w:color w:val="000000"/>
                <w:sz w:val="16"/>
                <w:szCs w:val="16"/>
                <w:lang w:eastAsia="en-AU"/>
              </w:rPr>
            </w:pPr>
            <w:r w:rsidRPr="00640669">
              <w:rPr>
                <w:rFonts w:eastAsia="Times New Roman" w:cs="Arial"/>
                <w:color w:val="000000"/>
                <w:sz w:val="16"/>
                <w:szCs w:val="16"/>
                <w:lang w:eastAsia="en-AU"/>
              </w:rPr>
              <w:t>Contributions</w:t>
            </w:r>
          </w:p>
        </w:tc>
        <w:tc>
          <w:tcPr>
            <w:tcW w:w="0" w:type="auto"/>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0.3</w:t>
            </w:r>
          </w:p>
        </w:tc>
        <w:tc>
          <w:tcPr>
            <w:tcW w:w="0" w:type="auto"/>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1.5</w:t>
            </w:r>
          </w:p>
        </w:tc>
        <w:tc>
          <w:tcPr>
            <w:tcW w:w="0" w:type="auto"/>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0.1</w:t>
            </w:r>
          </w:p>
        </w:tc>
        <w:tc>
          <w:tcPr>
            <w:tcW w:w="0" w:type="auto"/>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1.6</w:t>
            </w:r>
          </w:p>
        </w:tc>
        <w:tc>
          <w:tcPr>
            <w:tcW w:w="0" w:type="auto"/>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0.1</w:t>
            </w:r>
          </w:p>
        </w:tc>
        <w:tc>
          <w:tcPr>
            <w:tcW w:w="0" w:type="auto"/>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0.1</w:t>
            </w:r>
          </w:p>
        </w:tc>
        <w:tc>
          <w:tcPr>
            <w:tcW w:w="0" w:type="auto"/>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color w:val="000000"/>
                <w:sz w:val="16"/>
                <w:szCs w:val="24"/>
              </w:rPr>
            </w:pPr>
            <w:r w:rsidRPr="006C09B3">
              <w:rPr>
                <w:rFonts w:cs="Arial"/>
                <w:color w:val="000000"/>
                <w:sz w:val="16"/>
              </w:rPr>
              <w:t>0.1</w:t>
            </w:r>
          </w:p>
        </w:tc>
      </w:tr>
      <w:tr w:rsidR="006C09B3" w:rsidRPr="00640669" w:rsidTr="004E695C">
        <w:trPr>
          <w:trHeight w:val="465"/>
        </w:trPr>
        <w:tc>
          <w:tcPr>
            <w:tcW w:w="0" w:type="auto"/>
            <w:tcBorders>
              <w:top w:val="nil"/>
              <w:left w:val="nil"/>
              <w:bottom w:val="single" w:sz="8" w:space="0" w:color="365F91"/>
              <w:right w:val="nil"/>
            </w:tcBorders>
            <w:shd w:val="clear" w:color="000000" w:fill="DBE5F1"/>
            <w:vAlign w:val="center"/>
            <w:hideMark/>
          </w:tcPr>
          <w:p w:rsidR="006C09B3" w:rsidRPr="00640669" w:rsidRDefault="006C09B3" w:rsidP="00640669">
            <w:pPr>
              <w:spacing w:before="0" w:line="240" w:lineRule="auto"/>
              <w:ind w:firstLineChars="100" w:firstLine="161"/>
              <w:rPr>
                <w:rFonts w:eastAsia="Times New Roman" w:cs="Arial"/>
                <w:b/>
                <w:bCs/>
                <w:color w:val="000000"/>
                <w:sz w:val="16"/>
                <w:szCs w:val="16"/>
                <w:lang w:eastAsia="en-AU"/>
              </w:rPr>
            </w:pPr>
            <w:r w:rsidRPr="00640669">
              <w:rPr>
                <w:rFonts w:eastAsia="Times New Roman" w:cs="Arial"/>
                <w:b/>
                <w:bCs/>
                <w:color w:val="000000"/>
                <w:sz w:val="16"/>
                <w:szCs w:val="16"/>
                <w:lang w:eastAsia="en-AU"/>
              </w:rPr>
              <w:t>NET TOTAL CAPITAL EXPENDITURE</w:t>
            </w:r>
          </w:p>
        </w:tc>
        <w:tc>
          <w:tcPr>
            <w:tcW w:w="0" w:type="auto"/>
            <w:tcBorders>
              <w:top w:val="nil"/>
              <w:left w:val="nil"/>
              <w:bottom w:val="single" w:sz="8" w:space="0" w:color="365F91"/>
              <w:right w:val="nil"/>
            </w:tcBorders>
            <w:shd w:val="clear" w:color="000000" w:fill="DBE5F1"/>
            <w:vAlign w:val="center"/>
          </w:tcPr>
          <w:p w:rsidR="006C09B3" w:rsidRPr="006C09B3" w:rsidRDefault="006C09B3" w:rsidP="006C09B3">
            <w:pPr>
              <w:ind w:firstLineChars="100" w:firstLine="161"/>
              <w:rPr>
                <w:rFonts w:cs="Arial"/>
                <w:b/>
                <w:bCs/>
                <w:sz w:val="16"/>
                <w:szCs w:val="24"/>
              </w:rPr>
            </w:pPr>
            <w:r w:rsidRPr="006C09B3">
              <w:rPr>
                <w:rFonts w:cs="Arial"/>
                <w:b/>
                <w:bCs/>
                <w:sz w:val="16"/>
              </w:rPr>
              <w:t>11.8</w:t>
            </w:r>
          </w:p>
        </w:tc>
        <w:tc>
          <w:tcPr>
            <w:tcW w:w="0" w:type="auto"/>
            <w:tcBorders>
              <w:top w:val="nil"/>
              <w:left w:val="nil"/>
              <w:bottom w:val="single" w:sz="8" w:space="0" w:color="365F91"/>
              <w:right w:val="nil"/>
            </w:tcBorders>
            <w:shd w:val="clear" w:color="000000" w:fill="DBE5F1"/>
            <w:vAlign w:val="center"/>
          </w:tcPr>
          <w:p w:rsidR="006C09B3" w:rsidRPr="006C09B3" w:rsidRDefault="006C09B3" w:rsidP="006C09B3">
            <w:pPr>
              <w:ind w:firstLineChars="100" w:firstLine="161"/>
              <w:rPr>
                <w:rFonts w:cs="Arial"/>
                <w:b/>
                <w:bCs/>
                <w:sz w:val="16"/>
                <w:szCs w:val="24"/>
              </w:rPr>
            </w:pPr>
            <w:r w:rsidRPr="006C09B3">
              <w:rPr>
                <w:rFonts w:cs="Arial"/>
                <w:b/>
                <w:bCs/>
                <w:sz w:val="16"/>
              </w:rPr>
              <w:t>13.0</w:t>
            </w:r>
          </w:p>
        </w:tc>
        <w:tc>
          <w:tcPr>
            <w:tcW w:w="0" w:type="auto"/>
            <w:tcBorders>
              <w:top w:val="nil"/>
              <w:left w:val="nil"/>
              <w:bottom w:val="single" w:sz="8" w:space="0" w:color="365F91"/>
              <w:right w:val="nil"/>
            </w:tcBorders>
            <w:shd w:val="clear" w:color="000000" w:fill="DBE5F1"/>
            <w:vAlign w:val="center"/>
          </w:tcPr>
          <w:p w:rsidR="006C09B3" w:rsidRPr="006C09B3" w:rsidRDefault="006C09B3" w:rsidP="006C09B3">
            <w:pPr>
              <w:ind w:firstLineChars="100" w:firstLine="161"/>
              <w:rPr>
                <w:rFonts w:cs="Arial"/>
                <w:b/>
                <w:bCs/>
                <w:sz w:val="16"/>
                <w:szCs w:val="24"/>
              </w:rPr>
            </w:pPr>
            <w:r w:rsidRPr="006C09B3">
              <w:rPr>
                <w:rFonts w:cs="Arial"/>
                <w:b/>
                <w:bCs/>
                <w:sz w:val="16"/>
              </w:rPr>
              <w:t>15.6</w:t>
            </w:r>
          </w:p>
        </w:tc>
        <w:tc>
          <w:tcPr>
            <w:tcW w:w="0" w:type="auto"/>
            <w:tcBorders>
              <w:top w:val="nil"/>
              <w:left w:val="nil"/>
              <w:bottom w:val="single" w:sz="8" w:space="0" w:color="365F91"/>
              <w:right w:val="nil"/>
            </w:tcBorders>
            <w:shd w:val="clear" w:color="000000" w:fill="DBE5F1"/>
            <w:vAlign w:val="center"/>
          </w:tcPr>
          <w:p w:rsidR="006C09B3" w:rsidRPr="006C09B3" w:rsidRDefault="006C09B3" w:rsidP="006C09B3">
            <w:pPr>
              <w:ind w:firstLineChars="100" w:firstLine="161"/>
              <w:rPr>
                <w:rFonts w:cs="Arial"/>
                <w:b/>
                <w:bCs/>
                <w:sz w:val="16"/>
                <w:szCs w:val="24"/>
              </w:rPr>
            </w:pPr>
            <w:r w:rsidRPr="006C09B3">
              <w:rPr>
                <w:rFonts w:cs="Arial"/>
                <w:b/>
                <w:bCs/>
                <w:sz w:val="16"/>
              </w:rPr>
              <w:t>19.3</w:t>
            </w:r>
          </w:p>
        </w:tc>
        <w:tc>
          <w:tcPr>
            <w:tcW w:w="0" w:type="auto"/>
            <w:tcBorders>
              <w:top w:val="nil"/>
              <w:left w:val="nil"/>
              <w:bottom w:val="single" w:sz="8" w:space="0" w:color="365F91"/>
              <w:right w:val="nil"/>
            </w:tcBorders>
            <w:shd w:val="clear" w:color="000000" w:fill="DBE5F1"/>
            <w:vAlign w:val="center"/>
          </w:tcPr>
          <w:p w:rsidR="006C09B3" w:rsidRPr="006C09B3" w:rsidRDefault="006C09B3" w:rsidP="006C09B3">
            <w:pPr>
              <w:ind w:firstLineChars="100" w:firstLine="161"/>
              <w:rPr>
                <w:rFonts w:cs="Arial"/>
                <w:b/>
                <w:bCs/>
                <w:sz w:val="16"/>
                <w:szCs w:val="24"/>
              </w:rPr>
            </w:pPr>
            <w:r w:rsidRPr="006C09B3">
              <w:rPr>
                <w:rFonts w:cs="Arial"/>
                <w:b/>
                <w:bCs/>
                <w:sz w:val="16"/>
              </w:rPr>
              <w:t>18.7</w:t>
            </w:r>
          </w:p>
        </w:tc>
        <w:tc>
          <w:tcPr>
            <w:tcW w:w="0" w:type="auto"/>
            <w:tcBorders>
              <w:top w:val="nil"/>
              <w:left w:val="nil"/>
              <w:bottom w:val="single" w:sz="8" w:space="0" w:color="365F91"/>
              <w:right w:val="nil"/>
            </w:tcBorders>
            <w:shd w:val="clear" w:color="000000" w:fill="DBE5F1"/>
            <w:vAlign w:val="center"/>
          </w:tcPr>
          <w:p w:rsidR="006C09B3" w:rsidRPr="006C09B3" w:rsidRDefault="006C09B3" w:rsidP="006C09B3">
            <w:pPr>
              <w:ind w:firstLineChars="100" w:firstLine="161"/>
              <w:rPr>
                <w:rFonts w:cs="Arial"/>
                <w:b/>
                <w:bCs/>
                <w:sz w:val="16"/>
                <w:szCs w:val="24"/>
              </w:rPr>
            </w:pPr>
            <w:r w:rsidRPr="006C09B3">
              <w:rPr>
                <w:rFonts w:cs="Arial"/>
                <w:b/>
                <w:bCs/>
                <w:sz w:val="16"/>
              </w:rPr>
              <w:t>24.3</w:t>
            </w:r>
          </w:p>
        </w:tc>
        <w:tc>
          <w:tcPr>
            <w:tcW w:w="0" w:type="auto"/>
            <w:tcBorders>
              <w:top w:val="nil"/>
              <w:left w:val="nil"/>
              <w:bottom w:val="single" w:sz="8" w:space="0" w:color="365F91"/>
              <w:right w:val="nil"/>
            </w:tcBorders>
            <w:shd w:val="clear" w:color="000000" w:fill="DBE5F1"/>
            <w:vAlign w:val="center"/>
          </w:tcPr>
          <w:p w:rsidR="006C09B3" w:rsidRPr="006C09B3" w:rsidRDefault="006C09B3" w:rsidP="006C09B3">
            <w:pPr>
              <w:ind w:firstLineChars="100" w:firstLine="161"/>
              <w:rPr>
                <w:rFonts w:cs="Arial"/>
                <w:b/>
                <w:bCs/>
                <w:sz w:val="16"/>
                <w:szCs w:val="24"/>
              </w:rPr>
            </w:pPr>
            <w:r w:rsidRPr="006C09B3">
              <w:rPr>
                <w:rFonts w:cs="Arial"/>
                <w:b/>
                <w:bCs/>
                <w:sz w:val="16"/>
              </w:rPr>
              <w:t>34.0</w:t>
            </w:r>
          </w:p>
        </w:tc>
      </w:tr>
    </w:tbl>
    <w:p w:rsidR="002268EC" w:rsidRDefault="002268EC" w:rsidP="002268EC">
      <w:pPr>
        <w:pStyle w:val="AERtablesource"/>
      </w:pPr>
      <w:r w:rsidRPr="00DE44F6">
        <w:t>Source:</w:t>
      </w:r>
      <w:r w:rsidRPr="00DE44F6">
        <w:tab/>
        <w:t>AER</w:t>
      </w:r>
      <w:r>
        <w:t xml:space="preserve"> analysis</w:t>
      </w:r>
      <w:r w:rsidRPr="00DE44F6">
        <w:t>.</w:t>
      </w:r>
    </w:p>
    <w:p w:rsidR="001B0C8E" w:rsidRDefault="001B0C8E" w:rsidP="001B0C8E">
      <w:pPr>
        <w:pStyle w:val="AERtablesource"/>
      </w:pPr>
      <w:r>
        <w:t>Note</w:t>
      </w:r>
      <w:r w:rsidRPr="005A3660">
        <w:t>:</w:t>
      </w:r>
      <w:r w:rsidRPr="005A3660">
        <w:tab/>
      </w:r>
      <w:r>
        <w:t>(a) Some categories include related party margins. A confidential version of this table showing direct costs (excluding related party margins) is available in confidential appendix</w:t>
      </w:r>
      <w:r w:rsidR="00170693">
        <w:t xml:space="preserve"> C</w:t>
      </w:r>
      <w:r>
        <w:t>.</w:t>
      </w:r>
    </w:p>
    <w:p w:rsidR="001047A3" w:rsidRDefault="00CF19D9" w:rsidP="001047A3">
      <w:pPr>
        <w:pStyle w:val="HeadingBoldBlue"/>
      </w:pPr>
      <w:r>
        <w:t>2016–21 access arrangement period</w:t>
      </w:r>
    </w:p>
    <w:p w:rsidR="002268EC" w:rsidRDefault="002268EC" w:rsidP="002268EC">
      <w:r>
        <w:t>ActewAGL proposed net total capex of $</w:t>
      </w:r>
      <w:r w:rsidR="007566E0">
        <w:t>115.6</w:t>
      </w:r>
      <w:r>
        <w:t xml:space="preserve"> million ($2015–16) for the 2016–21 access arrangement </w:t>
      </w:r>
      <w:proofErr w:type="gramStart"/>
      <w:r>
        <w:t>period</w:t>
      </w:r>
      <w:proofErr w:type="gramEnd"/>
      <w:r>
        <w:t xml:space="preserve">. </w:t>
      </w:r>
      <w:r w:rsidR="00AB7386">
        <w:fldChar w:fldCharType="begin"/>
      </w:r>
      <w:r w:rsidR="00AB7386">
        <w:instrText xml:space="preserve"> REF _Ref434836283 \h </w:instrText>
      </w:r>
      <w:r w:rsidR="00AB7386">
        <w:fldChar w:fldCharType="separate"/>
      </w:r>
      <w:r w:rsidR="00EE4EAF">
        <w:t xml:space="preserve">Table </w:t>
      </w:r>
      <w:r w:rsidR="00EE4EAF">
        <w:rPr>
          <w:noProof/>
        </w:rPr>
        <w:t>6</w:t>
      </w:r>
      <w:r w:rsidR="00EE4EAF">
        <w:t>.</w:t>
      </w:r>
      <w:r w:rsidR="00EE4EAF">
        <w:rPr>
          <w:noProof/>
        </w:rPr>
        <w:t>5</w:t>
      </w:r>
      <w:r w:rsidR="00AB7386">
        <w:fldChar w:fldCharType="end"/>
      </w:r>
      <w:r w:rsidR="00AB7386">
        <w:t xml:space="preserve"> </w:t>
      </w:r>
      <w:r w:rsidR="002B421A">
        <w:t xml:space="preserve">sets out </w:t>
      </w:r>
      <w:proofErr w:type="spellStart"/>
      <w:r w:rsidR="002B421A">
        <w:t>ActewAGL’s</w:t>
      </w:r>
      <w:proofErr w:type="spellEnd"/>
      <w:r w:rsidR="002B421A">
        <w:t xml:space="preserve"> proposed capex by category over each year of the forecast period.</w:t>
      </w:r>
    </w:p>
    <w:p w:rsidR="002268EC" w:rsidRPr="00333A31" w:rsidRDefault="002268EC" w:rsidP="0061777C">
      <w:pPr>
        <w:pStyle w:val="Caption"/>
      </w:pPr>
      <w:bookmarkStart w:id="19" w:name="_Ref434836283"/>
      <w:proofErr w:type="gramStart"/>
      <w:r>
        <w:t xml:space="preserve">Table </w:t>
      </w:r>
      <w:proofErr w:type="gramEnd"/>
      <w:r w:rsidR="004C5F88">
        <w:fldChar w:fldCharType="begin"/>
      </w:r>
      <w:r w:rsidR="004C5F88">
        <w:instrText xml:space="preserve"> STYLEREF 1 \s </w:instrText>
      </w:r>
      <w:r w:rsidR="004C5F88">
        <w:fldChar w:fldCharType="separate"/>
      </w:r>
      <w:r w:rsidR="00EE4EAF">
        <w:rPr>
          <w:noProof/>
        </w:rPr>
        <w:t>6</w:t>
      </w:r>
      <w:r w:rsidR="004C5F88">
        <w:rPr>
          <w:noProof/>
        </w:rPr>
        <w:fldChar w:fldCharType="end"/>
      </w:r>
      <w:proofErr w:type="gramStart"/>
      <w:r w:rsidR="00EE4EAF">
        <w:t>.</w:t>
      </w:r>
      <w:proofErr w:type="gramEnd"/>
      <w:r w:rsidR="004C5F88">
        <w:fldChar w:fldCharType="begin"/>
      </w:r>
      <w:r w:rsidR="004C5F88">
        <w:instrText xml:space="preserve"> SEQ Table \* ARABIC \s 1 </w:instrText>
      </w:r>
      <w:r w:rsidR="004C5F88">
        <w:fldChar w:fldCharType="separate"/>
      </w:r>
      <w:r w:rsidR="00EE4EAF">
        <w:rPr>
          <w:noProof/>
        </w:rPr>
        <w:t>5</w:t>
      </w:r>
      <w:r w:rsidR="004C5F88">
        <w:rPr>
          <w:noProof/>
        </w:rPr>
        <w:fldChar w:fldCharType="end"/>
      </w:r>
      <w:bookmarkEnd w:id="19"/>
      <w:r>
        <w:tab/>
        <w:t>ActewAGL proposed capex by category over the 2016–21 access arrangement period</w:t>
      </w:r>
      <w:r w:rsidRPr="00A4447D">
        <w:t xml:space="preserve"> ($</w:t>
      </w:r>
      <w:r w:rsidRPr="001C52C8">
        <w:t>million, 2015–16</w:t>
      </w:r>
      <w:proofErr w:type="gramStart"/>
      <w:r w:rsidRPr="001C52C8">
        <w:t>)</w:t>
      </w:r>
      <w:r w:rsidR="001B0C8E" w:rsidRPr="004E695C">
        <w:rPr>
          <w:vertAlign w:val="superscript"/>
        </w:rPr>
        <w:t>a</w:t>
      </w:r>
      <w:proofErr w:type="gramEnd"/>
    </w:p>
    <w:tbl>
      <w:tblPr>
        <w:tblW w:w="5000" w:type="pct"/>
        <w:tblLook w:val="04A0" w:firstRow="1" w:lastRow="0" w:firstColumn="1" w:lastColumn="0" w:noHBand="0" w:noVBand="1"/>
      </w:tblPr>
      <w:tblGrid>
        <w:gridCol w:w="2369"/>
        <w:gridCol w:w="1054"/>
        <w:gridCol w:w="1054"/>
        <w:gridCol w:w="1054"/>
        <w:gridCol w:w="1054"/>
        <w:gridCol w:w="1054"/>
        <w:gridCol w:w="1054"/>
      </w:tblGrid>
      <w:tr w:rsidR="00640669" w:rsidRPr="00640669" w:rsidTr="00625F53">
        <w:trPr>
          <w:trHeight w:val="450"/>
        </w:trPr>
        <w:tc>
          <w:tcPr>
            <w:tcW w:w="1363" w:type="pct"/>
            <w:tcBorders>
              <w:top w:val="nil"/>
              <w:left w:val="nil"/>
              <w:bottom w:val="nil"/>
              <w:right w:val="nil"/>
            </w:tcBorders>
            <w:shd w:val="clear" w:color="000000" w:fill="365F91"/>
            <w:vAlign w:val="center"/>
            <w:hideMark/>
          </w:tcPr>
          <w:p w:rsidR="00640669" w:rsidRPr="00640669" w:rsidRDefault="00640669" w:rsidP="00E834E1">
            <w:pPr>
              <w:keepNext/>
              <w:spacing w:before="0" w:line="240" w:lineRule="auto"/>
              <w:rPr>
                <w:rFonts w:eastAsia="Times New Roman" w:cs="Arial"/>
                <w:b/>
                <w:bCs/>
                <w:color w:val="FFFFFF"/>
                <w:sz w:val="16"/>
                <w:szCs w:val="16"/>
                <w:lang w:eastAsia="en-AU"/>
              </w:rPr>
            </w:pPr>
            <w:r w:rsidRPr="00640669">
              <w:rPr>
                <w:rFonts w:eastAsia="Times New Roman" w:cs="Arial"/>
                <w:b/>
                <w:bCs/>
                <w:color w:val="FFFFFF"/>
                <w:sz w:val="16"/>
                <w:szCs w:val="16"/>
                <w:lang w:eastAsia="en-AU"/>
              </w:rPr>
              <w:t> Category</w:t>
            </w:r>
          </w:p>
        </w:tc>
        <w:tc>
          <w:tcPr>
            <w:tcW w:w="606" w:type="pct"/>
            <w:tcBorders>
              <w:top w:val="nil"/>
              <w:left w:val="nil"/>
              <w:bottom w:val="nil"/>
              <w:right w:val="nil"/>
            </w:tcBorders>
            <w:shd w:val="clear" w:color="000000" w:fill="365F91"/>
            <w:vAlign w:val="center"/>
            <w:hideMark/>
          </w:tcPr>
          <w:p w:rsidR="00640669" w:rsidRPr="00640669" w:rsidRDefault="00640669" w:rsidP="00E834E1">
            <w:pPr>
              <w:keepNext/>
              <w:spacing w:before="0" w:line="240" w:lineRule="auto"/>
              <w:ind w:firstLineChars="100" w:firstLine="161"/>
              <w:rPr>
                <w:rFonts w:eastAsia="Times New Roman" w:cs="Arial"/>
                <w:b/>
                <w:bCs/>
                <w:color w:val="FFFFFF"/>
                <w:sz w:val="16"/>
                <w:szCs w:val="16"/>
                <w:lang w:eastAsia="en-AU"/>
              </w:rPr>
            </w:pPr>
            <w:r w:rsidRPr="00640669">
              <w:rPr>
                <w:rFonts w:eastAsia="Times New Roman" w:cs="Arial"/>
                <w:b/>
                <w:bCs/>
                <w:color w:val="FFFFFF"/>
                <w:sz w:val="16"/>
                <w:szCs w:val="16"/>
                <w:lang w:eastAsia="en-AU"/>
              </w:rPr>
              <w:t>2016–17</w:t>
            </w:r>
          </w:p>
        </w:tc>
        <w:tc>
          <w:tcPr>
            <w:tcW w:w="606" w:type="pct"/>
            <w:tcBorders>
              <w:top w:val="nil"/>
              <w:left w:val="nil"/>
              <w:bottom w:val="nil"/>
              <w:right w:val="nil"/>
            </w:tcBorders>
            <w:shd w:val="clear" w:color="000000" w:fill="365F91"/>
            <w:vAlign w:val="center"/>
            <w:hideMark/>
          </w:tcPr>
          <w:p w:rsidR="00640669" w:rsidRPr="00640669" w:rsidRDefault="00640669" w:rsidP="00E834E1">
            <w:pPr>
              <w:keepNext/>
              <w:spacing w:before="0" w:line="240" w:lineRule="auto"/>
              <w:ind w:firstLineChars="100" w:firstLine="161"/>
              <w:rPr>
                <w:rFonts w:eastAsia="Times New Roman" w:cs="Arial"/>
                <w:b/>
                <w:bCs/>
                <w:color w:val="FFFFFF"/>
                <w:sz w:val="16"/>
                <w:szCs w:val="16"/>
                <w:lang w:eastAsia="en-AU"/>
              </w:rPr>
            </w:pPr>
            <w:r w:rsidRPr="00640669">
              <w:rPr>
                <w:rFonts w:eastAsia="Times New Roman" w:cs="Arial"/>
                <w:b/>
                <w:bCs/>
                <w:color w:val="FFFFFF"/>
                <w:sz w:val="16"/>
                <w:szCs w:val="16"/>
                <w:lang w:eastAsia="en-AU"/>
              </w:rPr>
              <w:t>2017–18</w:t>
            </w:r>
          </w:p>
        </w:tc>
        <w:tc>
          <w:tcPr>
            <w:tcW w:w="606" w:type="pct"/>
            <w:tcBorders>
              <w:top w:val="nil"/>
              <w:left w:val="nil"/>
              <w:bottom w:val="nil"/>
              <w:right w:val="nil"/>
            </w:tcBorders>
            <w:shd w:val="clear" w:color="000000" w:fill="365F91"/>
            <w:vAlign w:val="center"/>
            <w:hideMark/>
          </w:tcPr>
          <w:p w:rsidR="00640669" w:rsidRPr="00640669" w:rsidRDefault="00640669" w:rsidP="00E834E1">
            <w:pPr>
              <w:keepNext/>
              <w:spacing w:before="0" w:line="240" w:lineRule="auto"/>
              <w:ind w:firstLineChars="100" w:firstLine="161"/>
              <w:rPr>
                <w:rFonts w:eastAsia="Times New Roman" w:cs="Arial"/>
                <w:b/>
                <w:bCs/>
                <w:color w:val="FFFFFF"/>
                <w:sz w:val="16"/>
                <w:szCs w:val="16"/>
                <w:lang w:eastAsia="en-AU"/>
              </w:rPr>
            </w:pPr>
            <w:r w:rsidRPr="00640669">
              <w:rPr>
                <w:rFonts w:eastAsia="Times New Roman" w:cs="Arial"/>
                <w:b/>
                <w:bCs/>
                <w:color w:val="FFFFFF"/>
                <w:sz w:val="16"/>
                <w:szCs w:val="16"/>
                <w:lang w:eastAsia="en-AU"/>
              </w:rPr>
              <w:t>2018–19</w:t>
            </w:r>
          </w:p>
        </w:tc>
        <w:tc>
          <w:tcPr>
            <w:tcW w:w="606" w:type="pct"/>
            <w:tcBorders>
              <w:top w:val="nil"/>
              <w:left w:val="nil"/>
              <w:bottom w:val="nil"/>
              <w:right w:val="nil"/>
            </w:tcBorders>
            <w:shd w:val="clear" w:color="000000" w:fill="365F91"/>
            <w:vAlign w:val="center"/>
            <w:hideMark/>
          </w:tcPr>
          <w:p w:rsidR="00640669" w:rsidRPr="00640669" w:rsidRDefault="00640669" w:rsidP="00E834E1">
            <w:pPr>
              <w:keepNext/>
              <w:spacing w:before="0" w:line="240" w:lineRule="auto"/>
              <w:ind w:firstLineChars="100" w:firstLine="161"/>
              <w:rPr>
                <w:rFonts w:eastAsia="Times New Roman" w:cs="Arial"/>
                <w:b/>
                <w:bCs/>
                <w:color w:val="FFFFFF"/>
                <w:sz w:val="16"/>
                <w:szCs w:val="16"/>
                <w:lang w:eastAsia="en-AU"/>
              </w:rPr>
            </w:pPr>
            <w:r w:rsidRPr="00640669">
              <w:rPr>
                <w:rFonts w:eastAsia="Times New Roman" w:cs="Arial"/>
                <w:b/>
                <w:bCs/>
                <w:color w:val="FFFFFF"/>
                <w:sz w:val="16"/>
                <w:szCs w:val="16"/>
                <w:lang w:eastAsia="en-AU"/>
              </w:rPr>
              <w:t>2019–20</w:t>
            </w:r>
          </w:p>
        </w:tc>
        <w:tc>
          <w:tcPr>
            <w:tcW w:w="606" w:type="pct"/>
            <w:tcBorders>
              <w:top w:val="nil"/>
              <w:left w:val="nil"/>
              <w:bottom w:val="nil"/>
              <w:right w:val="nil"/>
            </w:tcBorders>
            <w:shd w:val="clear" w:color="000000" w:fill="365F91"/>
            <w:vAlign w:val="center"/>
            <w:hideMark/>
          </w:tcPr>
          <w:p w:rsidR="00640669" w:rsidRPr="00640669" w:rsidRDefault="00640669" w:rsidP="00E834E1">
            <w:pPr>
              <w:keepNext/>
              <w:spacing w:before="0" w:line="240" w:lineRule="auto"/>
              <w:ind w:firstLineChars="100" w:firstLine="161"/>
              <w:rPr>
                <w:rFonts w:eastAsia="Times New Roman" w:cs="Arial"/>
                <w:b/>
                <w:bCs/>
                <w:color w:val="FFFFFF"/>
                <w:sz w:val="16"/>
                <w:szCs w:val="16"/>
                <w:lang w:eastAsia="en-AU"/>
              </w:rPr>
            </w:pPr>
            <w:r w:rsidRPr="00640669">
              <w:rPr>
                <w:rFonts w:eastAsia="Times New Roman" w:cs="Arial"/>
                <w:b/>
                <w:bCs/>
                <w:color w:val="FFFFFF"/>
                <w:sz w:val="16"/>
                <w:szCs w:val="16"/>
                <w:lang w:eastAsia="en-AU"/>
              </w:rPr>
              <w:t>2020–21</w:t>
            </w:r>
          </w:p>
        </w:tc>
        <w:tc>
          <w:tcPr>
            <w:tcW w:w="606" w:type="pct"/>
            <w:tcBorders>
              <w:top w:val="nil"/>
              <w:left w:val="nil"/>
              <w:bottom w:val="nil"/>
              <w:right w:val="nil"/>
            </w:tcBorders>
            <w:shd w:val="clear" w:color="000000" w:fill="365F91"/>
            <w:vAlign w:val="center"/>
            <w:hideMark/>
          </w:tcPr>
          <w:p w:rsidR="00640669" w:rsidRPr="00640669" w:rsidRDefault="00640669" w:rsidP="00E834E1">
            <w:pPr>
              <w:keepNext/>
              <w:spacing w:before="0" w:line="240" w:lineRule="auto"/>
              <w:ind w:firstLineChars="100" w:firstLine="161"/>
              <w:rPr>
                <w:rFonts w:eastAsia="Times New Roman" w:cs="Arial"/>
                <w:b/>
                <w:bCs/>
                <w:color w:val="FFFFFF"/>
                <w:sz w:val="16"/>
                <w:szCs w:val="16"/>
                <w:lang w:eastAsia="en-AU"/>
              </w:rPr>
            </w:pPr>
            <w:r w:rsidRPr="00640669">
              <w:rPr>
                <w:rFonts w:eastAsia="Times New Roman" w:cs="Arial"/>
                <w:b/>
                <w:bCs/>
                <w:color w:val="FFFFFF"/>
                <w:sz w:val="16"/>
                <w:szCs w:val="16"/>
                <w:lang w:eastAsia="en-AU"/>
              </w:rPr>
              <w:t>Total</w:t>
            </w:r>
          </w:p>
        </w:tc>
      </w:tr>
      <w:tr w:rsidR="006C09B3" w:rsidRPr="00640669" w:rsidTr="004E695C">
        <w:trPr>
          <w:trHeight w:val="450"/>
        </w:trPr>
        <w:tc>
          <w:tcPr>
            <w:tcW w:w="1363" w:type="pct"/>
            <w:tcBorders>
              <w:top w:val="nil"/>
              <w:left w:val="nil"/>
              <w:bottom w:val="nil"/>
              <w:right w:val="nil"/>
            </w:tcBorders>
            <w:shd w:val="clear" w:color="auto" w:fill="auto"/>
            <w:vAlign w:val="center"/>
            <w:hideMark/>
          </w:tcPr>
          <w:p w:rsidR="006C09B3" w:rsidRPr="00640669" w:rsidRDefault="006C09B3" w:rsidP="00E834E1">
            <w:pPr>
              <w:keepNext/>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Market expansion (Connections)</w:t>
            </w:r>
          </w:p>
        </w:tc>
        <w:tc>
          <w:tcPr>
            <w:tcW w:w="606" w:type="pct"/>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sz w:val="16"/>
                <w:szCs w:val="24"/>
              </w:rPr>
            </w:pPr>
            <w:r w:rsidRPr="006C09B3">
              <w:rPr>
                <w:rFonts w:cs="Arial"/>
                <w:sz w:val="16"/>
              </w:rPr>
              <w:t>10.7</w:t>
            </w:r>
          </w:p>
        </w:tc>
        <w:tc>
          <w:tcPr>
            <w:tcW w:w="606" w:type="pct"/>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sz w:val="16"/>
                <w:szCs w:val="24"/>
              </w:rPr>
            </w:pPr>
            <w:r w:rsidRPr="006C09B3">
              <w:rPr>
                <w:rFonts w:cs="Arial"/>
                <w:sz w:val="16"/>
              </w:rPr>
              <w:t>11.3</w:t>
            </w:r>
          </w:p>
        </w:tc>
        <w:tc>
          <w:tcPr>
            <w:tcW w:w="606" w:type="pct"/>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sz w:val="16"/>
                <w:szCs w:val="24"/>
              </w:rPr>
            </w:pPr>
            <w:r w:rsidRPr="006C09B3">
              <w:rPr>
                <w:rFonts w:cs="Arial"/>
                <w:sz w:val="16"/>
              </w:rPr>
              <w:t>11.2</w:t>
            </w:r>
          </w:p>
        </w:tc>
        <w:tc>
          <w:tcPr>
            <w:tcW w:w="606" w:type="pct"/>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sz w:val="16"/>
                <w:szCs w:val="24"/>
              </w:rPr>
            </w:pPr>
            <w:r w:rsidRPr="006C09B3">
              <w:rPr>
                <w:rFonts w:cs="Arial"/>
                <w:sz w:val="16"/>
              </w:rPr>
              <w:t>11.3</w:t>
            </w:r>
          </w:p>
        </w:tc>
        <w:tc>
          <w:tcPr>
            <w:tcW w:w="606" w:type="pct"/>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sz w:val="16"/>
                <w:szCs w:val="24"/>
              </w:rPr>
            </w:pPr>
            <w:r w:rsidRPr="006C09B3">
              <w:rPr>
                <w:rFonts w:cs="Arial"/>
                <w:sz w:val="16"/>
              </w:rPr>
              <w:t>10.9</w:t>
            </w:r>
          </w:p>
        </w:tc>
        <w:tc>
          <w:tcPr>
            <w:tcW w:w="606" w:type="pct"/>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sz w:val="16"/>
                <w:szCs w:val="24"/>
              </w:rPr>
            </w:pPr>
            <w:r w:rsidRPr="006C09B3">
              <w:rPr>
                <w:rFonts w:cs="Arial"/>
                <w:sz w:val="16"/>
              </w:rPr>
              <w:t>55.5</w:t>
            </w:r>
          </w:p>
        </w:tc>
      </w:tr>
      <w:tr w:rsidR="006C09B3" w:rsidRPr="00640669" w:rsidTr="004E695C">
        <w:trPr>
          <w:trHeight w:val="450"/>
        </w:trPr>
        <w:tc>
          <w:tcPr>
            <w:tcW w:w="1363" w:type="pct"/>
            <w:tcBorders>
              <w:top w:val="nil"/>
              <w:left w:val="nil"/>
              <w:bottom w:val="nil"/>
              <w:right w:val="nil"/>
            </w:tcBorders>
            <w:shd w:val="clear" w:color="000000" w:fill="DBE5F1"/>
            <w:vAlign w:val="center"/>
            <w:hideMark/>
          </w:tcPr>
          <w:p w:rsidR="006C09B3" w:rsidRPr="00640669" w:rsidRDefault="006C09B3" w:rsidP="00E834E1">
            <w:pPr>
              <w:keepNext/>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Capacity development (Augmentation)</w:t>
            </w:r>
          </w:p>
        </w:tc>
        <w:tc>
          <w:tcPr>
            <w:tcW w:w="606" w:type="pct"/>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sz w:val="16"/>
                <w:szCs w:val="24"/>
              </w:rPr>
            </w:pPr>
            <w:r w:rsidRPr="006C09B3">
              <w:rPr>
                <w:rFonts w:cs="Arial"/>
                <w:sz w:val="16"/>
              </w:rPr>
              <w:t>2.9</w:t>
            </w:r>
          </w:p>
        </w:tc>
        <w:tc>
          <w:tcPr>
            <w:tcW w:w="606" w:type="pct"/>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sz w:val="16"/>
                <w:szCs w:val="24"/>
              </w:rPr>
            </w:pPr>
            <w:r w:rsidRPr="006C09B3">
              <w:rPr>
                <w:rFonts w:cs="Arial"/>
                <w:sz w:val="16"/>
              </w:rPr>
              <w:t>5.0</w:t>
            </w:r>
          </w:p>
        </w:tc>
        <w:tc>
          <w:tcPr>
            <w:tcW w:w="606" w:type="pct"/>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sz w:val="16"/>
                <w:szCs w:val="24"/>
              </w:rPr>
            </w:pPr>
            <w:r w:rsidRPr="006C09B3">
              <w:rPr>
                <w:rFonts w:cs="Arial"/>
                <w:sz w:val="16"/>
              </w:rPr>
              <w:t>2.6</w:t>
            </w:r>
          </w:p>
        </w:tc>
        <w:tc>
          <w:tcPr>
            <w:tcW w:w="606" w:type="pct"/>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sz w:val="16"/>
                <w:szCs w:val="24"/>
              </w:rPr>
            </w:pPr>
            <w:r w:rsidRPr="006C09B3">
              <w:rPr>
                <w:rFonts w:cs="Arial"/>
                <w:sz w:val="16"/>
              </w:rPr>
              <w:t>6.2</w:t>
            </w:r>
          </w:p>
        </w:tc>
        <w:tc>
          <w:tcPr>
            <w:tcW w:w="606" w:type="pct"/>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sz w:val="16"/>
                <w:szCs w:val="24"/>
              </w:rPr>
            </w:pPr>
            <w:r w:rsidRPr="006C09B3">
              <w:rPr>
                <w:rFonts w:cs="Arial"/>
                <w:sz w:val="16"/>
              </w:rPr>
              <w:t>1.1</w:t>
            </w:r>
          </w:p>
        </w:tc>
        <w:tc>
          <w:tcPr>
            <w:tcW w:w="606" w:type="pct"/>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sz w:val="16"/>
                <w:szCs w:val="24"/>
              </w:rPr>
            </w:pPr>
            <w:r w:rsidRPr="006C09B3">
              <w:rPr>
                <w:rFonts w:cs="Arial"/>
                <w:sz w:val="16"/>
              </w:rPr>
              <w:t>17.7</w:t>
            </w:r>
          </w:p>
        </w:tc>
      </w:tr>
      <w:tr w:rsidR="006C09B3" w:rsidRPr="00640669" w:rsidTr="004E695C">
        <w:trPr>
          <w:trHeight w:val="450"/>
        </w:trPr>
        <w:tc>
          <w:tcPr>
            <w:tcW w:w="1363" w:type="pct"/>
            <w:tcBorders>
              <w:top w:val="nil"/>
              <w:left w:val="nil"/>
              <w:bottom w:val="nil"/>
              <w:right w:val="nil"/>
            </w:tcBorders>
            <w:shd w:val="clear" w:color="auto" w:fill="auto"/>
            <w:vAlign w:val="center"/>
            <w:hideMark/>
          </w:tcPr>
          <w:p w:rsidR="006C09B3" w:rsidRPr="00640669" w:rsidRDefault="006C09B3" w:rsidP="00E834E1">
            <w:pPr>
              <w:keepNext/>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Stay in business</w:t>
            </w:r>
          </w:p>
        </w:tc>
        <w:tc>
          <w:tcPr>
            <w:tcW w:w="606" w:type="pct"/>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sz w:val="16"/>
                <w:szCs w:val="24"/>
              </w:rPr>
            </w:pPr>
          </w:p>
        </w:tc>
        <w:tc>
          <w:tcPr>
            <w:tcW w:w="606" w:type="pct"/>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sz w:val="16"/>
                <w:szCs w:val="24"/>
              </w:rPr>
            </w:pPr>
          </w:p>
        </w:tc>
        <w:tc>
          <w:tcPr>
            <w:tcW w:w="606" w:type="pct"/>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sz w:val="16"/>
                <w:szCs w:val="24"/>
              </w:rPr>
            </w:pPr>
          </w:p>
        </w:tc>
        <w:tc>
          <w:tcPr>
            <w:tcW w:w="606" w:type="pct"/>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sz w:val="16"/>
                <w:szCs w:val="24"/>
              </w:rPr>
            </w:pPr>
          </w:p>
        </w:tc>
        <w:tc>
          <w:tcPr>
            <w:tcW w:w="606" w:type="pct"/>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sz w:val="16"/>
                <w:szCs w:val="24"/>
              </w:rPr>
            </w:pPr>
          </w:p>
        </w:tc>
        <w:tc>
          <w:tcPr>
            <w:tcW w:w="606" w:type="pct"/>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sz w:val="16"/>
                <w:szCs w:val="24"/>
              </w:rPr>
            </w:pPr>
          </w:p>
        </w:tc>
      </w:tr>
      <w:tr w:rsidR="006C09B3" w:rsidRPr="00640669" w:rsidTr="004E695C">
        <w:trPr>
          <w:trHeight w:val="450"/>
        </w:trPr>
        <w:tc>
          <w:tcPr>
            <w:tcW w:w="1363" w:type="pct"/>
            <w:tcBorders>
              <w:top w:val="nil"/>
              <w:left w:val="nil"/>
              <w:bottom w:val="nil"/>
              <w:right w:val="nil"/>
            </w:tcBorders>
            <w:shd w:val="clear" w:color="000000" w:fill="DBE5F1"/>
            <w:vAlign w:val="center"/>
            <w:hideMark/>
          </w:tcPr>
          <w:p w:rsidR="006C09B3" w:rsidRPr="00640669" w:rsidRDefault="006C09B3" w:rsidP="00E834E1">
            <w:pPr>
              <w:keepNext/>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 Network renewal and upgrade</w:t>
            </w:r>
          </w:p>
        </w:tc>
        <w:tc>
          <w:tcPr>
            <w:tcW w:w="606" w:type="pct"/>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sz w:val="16"/>
                <w:szCs w:val="24"/>
              </w:rPr>
            </w:pPr>
            <w:r w:rsidRPr="006C09B3">
              <w:rPr>
                <w:rFonts w:cs="Arial"/>
                <w:sz w:val="16"/>
              </w:rPr>
              <w:t>3.7</w:t>
            </w:r>
          </w:p>
        </w:tc>
        <w:tc>
          <w:tcPr>
            <w:tcW w:w="606" w:type="pct"/>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sz w:val="16"/>
                <w:szCs w:val="24"/>
              </w:rPr>
            </w:pPr>
            <w:r w:rsidRPr="006C09B3">
              <w:rPr>
                <w:rFonts w:cs="Arial"/>
                <w:sz w:val="16"/>
              </w:rPr>
              <w:t>4.7</w:t>
            </w:r>
          </w:p>
        </w:tc>
        <w:tc>
          <w:tcPr>
            <w:tcW w:w="606" w:type="pct"/>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sz w:val="16"/>
                <w:szCs w:val="24"/>
              </w:rPr>
            </w:pPr>
            <w:r w:rsidRPr="006C09B3">
              <w:rPr>
                <w:rFonts w:cs="Arial"/>
                <w:sz w:val="16"/>
              </w:rPr>
              <w:t>4.4</w:t>
            </w:r>
          </w:p>
        </w:tc>
        <w:tc>
          <w:tcPr>
            <w:tcW w:w="606" w:type="pct"/>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sz w:val="16"/>
                <w:szCs w:val="24"/>
              </w:rPr>
            </w:pPr>
            <w:r w:rsidRPr="006C09B3">
              <w:rPr>
                <w:rFonts w:cs="Arial"/>
                <w:sz w:val="16"/>
              </w:rPr>
              <w:t>1.0</w:t>
            </w:r>
          </w:p>
        </w:tc>
        <w:tc>
          <w:tcPr>
            <w:tcW w:w="606" w:type="pct"/>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sz w:val="16"/>
                <w:szCs w:val="24"/>
              </w:rPr>
            </w:pPr>
            <w:r w:rsidRPr="006C09B3">
              <w:rPr>
                <w:rFonts w:cs="Arial"/>
                <w:sz w:val="16"/>
              </w:rPr>
              <w:t>1.5</w:t>
            </w:r>
          </w:p>
        </w:tc>
        <w:tc>
          <w:tcPr>
            <w:tcW w:w="606" w:type="pct"/>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sz w:val="16"/>
                <w:szCs w:val="24"/>
              </w:rPr>
            </w:pPr>
            <w:r w:rsidRPr="006C09B3">
              <w:rPr>
                <w:rFonts w:cs="Arial"/>
                <w:sz w:val="16"/>
              </w:rPr>
              <w:t>15.4</w:t>
            </w:r>
          </w:p>
        </w:tc>
      </w:tr>
      <w:tr w:rsidR="006C09B3" w:rsidRPr="00640669" w:rsidTr="004E695C">
        <w:trPr>
          <w:trHeight w:val="450"/>
        </w:trPr>
        <w:tc>
          <w:tcPr>
            <w:tcW w:w="1363" w:type="pct"/>
            <w:tcBorders>
              <w:top w:val="nil"/>
              <w:left w:val="nil"/>
              <w:bottom w:val="nil"/>
              <w:right w:val="nil"/>
            </w:tcBorders>
            <w:shd w:val="clear" w:color="auto" w:fill="auto"/>
            <w:vAlign w:val="center"/>
            <w:hideMark/>
          </w:tcPr>
          <w:p w:rsidR="006C09B3" w:rsidRPr="00640669" w:rsidRDefault="006C09B3" w:rsidP="00E834E1">
            <w:pPr>
              <w:keepNext/>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 Meter renewal</w:t>
            </w:r>
          </w:p>
        </w:tc>
        <w:tc>
          <w:tcPr>
            <w:tcW w:w="606" w:type="pct"/>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sz w:val="16"/>
                <w:szCs w:val="24"/>
              </w:rPr>
            </w:pPr>
            <w:r w:rsidRPr="006C09B3">
              <w:rPr>
                <w:rFonts w:cs="Arial"/>
                <w:sz w:val="16"/>
              </w:rPr>
              <w:t>2.6</w:t>
            </w:r>
          </w:p>
        </w:tc>
        <w:tc>
          <w:tcPr>
            <w:tcW w:w="606" w:type="pct"/>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sz w:val="16"/>
                <w:szCs w:val="24"/>
              </w:rPr>
            </w:pPr>
            <w:r w:rsidRPr="006C09B3">
              <w:rPr>
                <w:rFonts w:cs="Arial"/>
                <w:sz w:val="16"/>
              </w:rPr>
              <w:t>2.3</w:t>
            </w:r>
          </w:p>
        </w:tc>
        <w:tc>
          <w:tcPr>
            <w:tcW w:w="606" w:type="pct"/>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sz w:val="16"/>
                <w:szCs w:val="24"/>
              </w:rPr>
            </w:pPr>
            <w:r w:rsidRPr="006C09B3">
              <w:rPr>
                <w:rFonts w:cs="Arial"/>
                <w:sz w:val="16"/>
              </w:rPr>
              <w:t>2.8</w:t>
            </w:r>
          </w:p>
        </w:tc>
        <w:tc>
          <w:tcPr>
            <w:tcW w:w="606" w:type="pct"/>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sz w:val="16"/>
                <w:szCs w:val="24"/>
              </w:rPr>
            </w:pPr>
            <w:r w:rsidRPr="006C09B3">
              <w:rPr>
                <w:rFonts w:cs="Arial"/>
                <w:sz w:val="16"/>
              </w:rPr>
              <w:t>2.9</w:t>
            </w:r>
          </w:p>
        </w:tc>
        <w:tc>
          <w:tcPr>
            <w:tcW w:w="606" w:type="pct"/>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sz w:val="16"/>
                <w:szCs w:val="24"/>
              </w:rPr>
            </w:pPr>
            <w:r w:rsidRPr="006C09B3">
              <w:rPr>
                <w:rFonts w:cs="Arial"/>
                <w:sz w:val="16"/>
              </w:rPr>
              <w:t>2.7</w:t>
            </w:r>
          </w:p>
        </w:tc>
        <w:tc>
          <w:tcPr>
            <w:tcW w:w="606" w:type="pct"/>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sz w:val="16"/>
                <w:szCs w:val="24"/>
              </w:rPr>
            </w:pPr>
            <w:r w:rsidRPr="006C09B3">
              <w:rPr>
                <w:rFonts w:cs="Arial"/>
                <w:sz w:val="16"/>
              </w:rPr>
              <w:t>13.3</w:t>
            </w:r>
          </w:p>
        </w:tc>
      </w:tr>
      <w:tr w:rsidR="006C09B3" w:rsidRPr="00640669" w:rsidTr="004E695C">
        <w:trPr>
          <w:trHeight w:val="450"/>
        </w:trPr>
        <w:tc>
          <w:tcPr>
            <w:tcW w:w="1363" w:type="pct"/>
            <w:tcBorders>
              <w:top w:val="nil"/>
              <w:left w:val="nil"/>
              <w:bottom w:val="nil"/>
              <w:right w:val="nil"/>
            </w:tcBorders>
            <w:shd w:val="clear" w:color="000000" w:fill="DBE5F1"/>
            <w:vAlign w:val="center"/>
            <w:hideMark/>
          </w:tcPr>
          <w:p w:rsidR="006C09B3" w:rsidRPr="00640669" w:rsidRDefault="006C09B3" w:rsidP="00E834E1">
            <w:pPr>
              <w:keepNext/>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Non-system</w:t>
            </w:r>
          </w:p>
        </w:tc>
        <w:tc>
          <w:tcPr>
            <w:tcW w:w="606" w:type="pct"/>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sz w:val="16"/>
                <w:szCs w:val="24"/>
              </w:rPr>
            </w:pPr>
            <w:r w:rsidRPr="006C09B3">
              <w:rPr>
                <w:rFonts w:cs="Arial"/>
                <w:sz w:val="16"/>
              </w:rPr>
              <w:t>0.2</w:t>
            </w:r>
          </w:p>
        </w:tc>
        <w:tc>
          <w:tcPr>
            <w:tcW w:w="606" w:type="pct"/>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sz w:val="16"/>
                <w:szCs w:val="24"/>
              </w:rPr>
            </w:pPr>
            <w:r w:rsidRPr="006C09B3">
              <w:rPr>
                <w:rFonts w:cs="Arial"/>
                <w:sz w:val="16"/>
              </w:rPr>
              <w:t>0.1</w:t>
            </w:r>
          </w:p>
        </w:tc>
        <w:tc>
          <w:tcPr>
            <w:tcW w:w="606" w:type="pct"/>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sz w:val="16"/>
                <w:szCs w:val="24"/>
              </w:rPr>
            </w:pPr>
            <w:r w:rsidRPr="006C09B3">
              <w:rPr>
                <w:rFonts w:cs="Arial"/>
                <w:sz w:val="16"/>
              </w:rPr>
              <w:t>0.2</w:t>
            </w:r>
          </w:p>
        </w:tc>
        <w:tc>
          <w:tcPr>
            <w:tcW w:w="606" w:type="pct"/>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sz w:val="16"/>
                <w:szCs w:val="24"/>
              </w:rPr>
            </w:pPr>
            <w:r w:rsidRPr="006C09B3">
              <w:rPr>
                <w:rFonts w:cs="Arial"/>
                <w:sz w:val="16"/>
              </w:rPr>
              <w:t>0.0</w:t>
            </w:r>
          </w:p>
        </w:tc>
        <w:tc>
          <w:tcPr>
            <w:tcW w:w="606" w:type="pct"/>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sz w:val="16"/>
                <w:szCs w:val="24"/>
              </w:rPr>
            </w:pPr>
            <w:r w:rsidRPr="006C09B3">
              <w:rPr>
                <w:rFonts w:cs="Arial"/>
                <w:sz w:val="16"/>
              </w:rPr>
              <w:t>0.0</w:t>
            </w:r>
          </w:p>
        </w:tc>
        <w:tc>
          <w:tcPr>
            <w:tcW w:w="606" w:type="pct"/>
            <w:tcBorders>
              <w:top w:val="nil"/>
              <w:left w:val="nil"/>
              <w:bottom w:val="nil"/>
              <w:right w:val="nil"/>
            </w:tcBorders>
            <w:shd w:val="clear" w:color="000000" w:fill="DBE5F1"/>
            <w:vAlign w:val="center"/>
          </w:tcPr>
          <w:p w:rsidR="006C09B3" w:rsidRPr="006C09B3" w:rsidRDefault="006C09B3" w:rsidP="00E834E1">
            <w:pPr>
              <w:keepNext/>
              <w:ind w:firstLineChars="100" w:firstLine="160"/>
              <w:rPr>
                <w:rFonts w:cs="Arial"/>
                <w:sz w:val="16"/>
                <w:szCs w:val="24"/>
              </w:rPr>
            </w:pPr>
            <w:r w:rsidRPr="006C09B3">
              <w:rPr>
                <w:rFonts w:cs="Arial"/>
                <w:sz w:val="16"/>
              </w:rPr>
              <w:t>0.5</w:t>
            </w:r>
          </w:p>
        </w:tc>
      </w:tr>
      <w:tr w:rsidR="006C09B3" w:rsidRPr="00640669" w:rsidTr="004E695C">
        <w:trPr>
          <w:trHeight w:val="450"/>
        </w:trPr>
        <w:tc>
          <w:tcPr>
            <w:tcW w:w="1363" w:type="pct"/>
            <w:tcBorders>
              <w:top w:val="nil"/>
              <w:left w:val="nil"/>
              <w:bottom w:val="nil"/>
              <w:right w:val="nil"/>
            </w:tcBorders>
            <w:shd w:val="clear" w:color="auto" w:fill="auto"/>
            <w:vAlign w:val="center"/>
            <w:hideMark/>
          </w:tcPr>
          <w:p w:rsidR="006C09B3" w:rsidRPr="00640669" w:rsidRDefault="006C09B3" w:rsidP="00E834E1">
            <w:pPr>
              <w:keepNext/>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Escalation</w:t>
            </w:r>
          </w:p>
        </w:tc>
        <w:tc>
          <w:tcPr>
            <w:tcW w:w="606" w:type="pct"/>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sz w:val="16"/>
                <w:szCs w:val="24"/>
              </w:rPr>
            </w:pPr>
            <w:r w:rsidRPr="006C09B3">
              <w:rPr>
                <w:rFonts w:cs="Arial"/>
                <w:sz w:val="16"/>
              </w:rPr>
              <w:t>1.1</w:t>
            </w:r>
          </w:p>
        </w:tc>
        <w:tc>
          <w:tcPr>
            <w:tcW w:w="606" w:type="pct"/>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sz w:val="16"/>
                <w:szCs w:val="24"/>
              </w:rPr>
            </w:pPr>
            <w:r w:rsidRPr="006C09B3">
              <w:rPr>
                <w:rFonts w:cs="Arial"/>
                <w:sz w:val="16"/>
              </w:rPr>
              <w:t>1.7</w:t>
            </w:r>
          </w:p>
        </w:tc>
        <w:tc>
          <w:tcPr>
            <w:tcW w:w="606" w:type="pct"/>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sz w:val="16"/>
                <w:szCs w:val="24"/>
              </w:rPr>
            </w:pPr>
            <w:r w:rsidRPr="006C09B3">
              <w:rPr>
                <w:rFonts w:cs="Arial"/>
                <w:sz w:val="16"/>
              </w:rPr>
              <w:t>2.0</w:t>
            </w:r>
          </w:p>
        </w:tc>
        <w:tc>
          <w:tcPr>
            <w:tcW w:w="606" w:type="pct"/>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sz w:val="16"/>
                <w:szCs w:val="24"/>
              </w:rPr>
            </w:pPr>
            <w:r w:rsidRPr="006C09B3">
              <w:rPr>
                <w:rFonts w:cs="Arial"/>
                <w:sz w:val="16"/>
              </w:rPr>
              <w:t>1.5</w:t>
            </w:r>
          </w:p>
        </w:tc>
        <w:tc>
          <w:tcPr>
            <w:tcW w:w="606" w:type="pct"/>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sz w:val="16"/>
                <w:szCs w:val="24"/>
              </w:rPr>
            </w:pPr>
            <w:r w:rsidRPr="006C09B3">
              <w:rPr>
                <w:rFonts w:cs="Arial"/>
                <w:sz w:val="16"/>
              </w:rPr>
              <w:t>1.0</w:t>
            </w:r>
          </w:p>
        </w:tc>
        <w:tc>
          <w:tcPr>
            <w:tcW w:w="606" w:type="pct"/>
            <w:tcBorders>
              <w:top w:val="nil"/>
              <w:left w:val="nil"/>
              <w:bottom w:val="nil"/>
              <w:right w:val="nil"/>
            </w:tcBorders>
            <w:shd w:val="clear" w:color="auto" w:fill="auto"/>
            <w:vAlign w:val="center"/>
          </w:tcPr>
          <w:p w:rsidR="006C09B3" w:rsidRPr="006C09B3" w:rsidRDefault="006C09B3" w:rsidP="00E834E1">
            <w:pPr>
              <w:keepNext/>
              <w:ind w:firstLineChars="100" w:firstLine="160"/>
              <w:rPr>
                <w:rFonts w:cs="Arial"/>
                <w:sz w:val="16"/>
                <w:szCs w:val="24"/>
              </w:rPr>
            </w:pPr>
            <w:r w:rsidRPr="006C09B3">
              <w:rPr>
                <w:rFonts w:cs="Arial"/>
                <w:sz w:val="16"/>
              </w:rPr>
              <w:t>7.2</w:t>
            </w:r>
          </w:p>
        </w:tc>
      </w:tr>
      <w:tr w:rsidR="006C09B3" w:rsidRPr="00640669" w:rsidTr="004E695C">
        <w:trPr>
          <w:trHeight w:val="450"/>
        </w:trPr>
        <w:tc>
          <w:tcPr>
            <w:tcW w:w="1363" w:type="pct"/>
            <w:tcBorders>
              <w:top w:val="nil"/>
              <w:left w:val="nil"/>
              <w:bottom w:val="nil"/>
              <w:right w:val="nil"/>
            </w:tcBorders>
            <w:shd w:val="clear" w:color="auto" w:fill="auto"/>
            <w:vAlign w:val="center"/>
            <w:hideMark/>
          </w:tcPr>
          <w:p w:rsidR="006C09B3" w:rsidRPr="00640669" w:rsidRDefault="006C09B3" w:rsidP="00471203">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Overheads</w:t>
            </w:r>
          </w:p>
        </w:tc>
        <w:tc>
          <w:tcPr>
            <w:tcW w:w="606" w:type="pct"/>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sz w:val="16"/>
                <w:szCs w:val="24"/>
              </w:rPr>
            </w:pPr>
            <w:r w:rsidRPr="006C09B3">
              <w:rPr>
                <w:rFonts w:cs="Arial"/>
                <w:sz w:val="16"/>
              </w:rPr>
              <w:t>1.3</w:t>
            </w:r>
          </w:p>
        </w:tc>
        <w:tc>
          <w:tcPr>
            <w:tcW w:w="606" w:type="pct"/>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sz w:val="16"/>
                <w:szCs w:val="24"/>
              </w:rPr>
            </w:pPr>
            <w:r w:rsidRPr="006C09B3">
              <w:rPr>
                <w:rFonts w:cs="Arial"/>
                <w:sz w:val="16"/>
              </w:rPr>
              <w:t>1.5</w:t>
            </w:r>
          </w:p>
        </w:tc>
        <w:tc>
          <w:tcPr>
            <w:tcW w:w="606" w:type="pct"/>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sz w:val="16"/>
                <w:szCs w:val="24"/>
              </w:rPr>
            </w:pPr>
            <w:r w:rsidRPr="006C09B3">
              <w:rPr>
                <w:rFonts w:cs="Arial"/>
                <w:sz w:val="16"/>
              </w:rPr>
              <w:t>1.4</w:t>
            </w:r>
          </w:p>
        </w:tc>
        <w:tc>
          <w:tcPr>
            <w:tcW w:w="606" w:type="pct"/>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sz w:val="16"/>
                <w:szCs w:val="24"/>
              </w:rPr>
            </w:pPr>
            <w:r w:rsidRPr="006C09B3">
              <w:rPr>
                <w:rFonts w:cs="Arial"/>
                <w:sz w:val="16"/>
              </w:rPr>
              <w:t>1.4</w:t>
            </w:r>
          </w:p>
        </w:tc>
        <w:tc>
          <w:tcPr>
            <w:tcW w:w="606" w:type="pct"/>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sz w:val="16"/>
                <w:szCs w:val="24"/>
              </w:rPr>
            </w:pPr>
            <w:r w:rsidRPr="006C09B3">
              <w:rPr>
                <w:rFonts w:cs="Arial"/>
                <w:sz w:val="16"/>
              </w:rPr>
              <w:t>1.0</w:t>
            </w:r>
          </w:p>
        </w:tc>
        <w:tc>
          <w:tcPr>
            <w:tcW w:w="606" w:type="pct"/>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sz w:val="16"/>
                <w:szCs w:val="24"/>
              </w:rPr>
            </w:pPr>
            <w:r w:rsidRPr="006C09B3">
              <w:rPr>
                <w:rFonts w:cs="Arial"/>
                <w:sz w:val="16"/>
              </w:rPr>
              <w:t>6.6</w:t>
            </w:r>
          </w:p>
        </w:tc>
      </w:tr>
      <w:tr w:rsidR="006C09B3" w:rsidRPr="00640669" w:rsidTr="004E695C">
        <w:trPr>
          <w:trHeight w:val="450"/>
        </w:trPr>
        <w:tc>
          <w:tcPr>
            <w:tcW w:w="1363" w:type="pct"/>
            <w:tcBorders>
              <w:top w:val="nil"/>
              <w:left w:val="nil"/>
              <w:bottom w:val="nil"/>
              <w:right w:val="nil"/>
            </w:tcBorders>
            <w:shd w:val="clear" w:color="000000" w:fill="DBE5F1"/>
            <w:vAlign w:val="center"/>
            <w:hideMark/>
          </w:tcPr>
          <w:p w:rsidR="006C09B3" w:rsidRPr="00640669" w:rsidRDefault="006C09B3" w:rsidP="00471203">
            <w:pPr>
              <w:spacing w:before="0" w:line="240" w:lineRule="auto"/>
              <w:rPr>
                <w:rFonts w:eastAsia="Times New Roman" w:cs="Arial"/>
                <w:b/>
                <w:bCs/>
                <w:color w:val="000000"/>
                <w:sz w:val="16"/>
                <w:szCs w:val="16"/>
                <w:lang w:eastAsia="en-AU"/>
              </w:rPr>
            </w:pPr>
            <w:r w:rsidRPr="00640669">
              <w:rPr>
                <w:rFonts w:eastAsia="Times New Roman" w:cs="Arial"/>
                <w:b/>
                <w:bCs/>
                <w:color w:val="000000"/>
                <w:sz w:val="16"/>
                <w:szCs w:val="16"/>
                <w:lang w:eastAsia="en-AU"/>
              </w:rPr>
              <w:t>GROSS TOTAL CAPITAL EXPENDITURE</w:t>
            </w:r>
          </w:p>
        </w:tc>
        <w:tc>
          <w:tcPr>
            <w:tcW w:w="606" w:type="pct"/>
            <w:tcBorders>
              <w:top w:val="nil"/>
              <w:left w:val="nil"/>
              <w:bottom w:val="nil"/>
              <w:right w:val="nil"/>
            </w:tcBorders>
            <w:shd w:val="clear" w:color="000000" w:fill="DBE5F1"/>
            <w:vAlign w:val="center"/>
          </w:tcPr>
          <w:p w:rsidR="006C09B3" w:rsidRPr="006C09B3" w:rsidRDefault="006C09B3" w:rsidP="006C09B3">
            <w:pPr>
              <w:ind w:firstLineChars="100" w:firstLine="161"/>
              <w:rPr>
                <w:rFonts w:cs="Arial"/>
                <w:b/>
                <w:bCs/>
                <w:sz w:val="16"/>
                <w:szCs w:val="24"/>
              </w:rPr>
            </w:pPr>
            <w:r w:rsidRPr="006C09B3">
              <w:rPr>
                <w:rFonts w:cs="Arial"/>
                <w:b/>
                <w:bCs/>
                <w:sz w:val="16"/>
              </w:rPr>
              <w:t>22.5</w:t>
            </w:r>
          </w:p>
        </w:tc>
        <w:tc>
          <w:tcPr>
            <w:tcW w:w="606" w:type="pct"/>
            <w:tcBorders>
              <w:top w:val="nil"/>
              <w:left w:val="nil"/>
              <w:bottom w:val="nil"/>
              <w:right w:val="nil"/>
            </w:tcBorders>
            <w:shd w:val="clear" w:color="000000" w:fill="DBE5F1"/>
            <w:vAlign w:val="center"/>
          </w:tcPr>
          <w:p w:rsidR="006C09B3" w:rsidRPr="006C09B3" w:rsidRDefault="006C09B3" w:rsidP="006C09B3">
            <w:pPr>
              <w:ind w:firstLineChars="100" w:firstLine="161"/>
              <w:rPr>
                <w:rFonts w:cs="Arial"/>
                <w:b/>
                <w:bCs/>
                <w:sz w:val="16"/>
                <w:szCs w:val="24"/>
              </w:rPr>
            </w:pPr>
            <w:r w:rsidRPr="006C09B3">
              <w:rPr>
                <w:rFonts w:cs="Arial"/>
                <w:b/>
                <w:bCs/>
                <w:sz w:val="16"/>
              </w:rPr>
              <w:t>26.7</w:t>
            </w:r>
          </w:p>
        </w:tc>
        <w:tc>
          <w:tcPr>
            <w:tcW w:w="606" w:type="pct"/>
            <w:tcBorders>
              <w:top w:val="nil"/>
              <w:left w:val="nil"/>
              <w:bottom w:val="nil"/>
              <w:right w:val="nil"/>
            </w:tcBorders>
            <w:shd w:val="clear" w:color="000000" w:fill="DBE5F1"/>
            <w:vAlign w:val="center"/>
          </w:tcPr>
          <w:p w:rsidR="006C09B3" w:rsidRPr="006C09B3" w:rsidRDefault="006C09B3" w:rsidP="006C09B3">
            <w:pPr>
              <w:ind w:firstLineChars="100" w:firstLine="161"/>
              <w:rPr>
                <w:rFonts w:cs="Arial"/>
                <w:b/>
                <w:bCs/>
                <w:sz w:val="16"/>
                <w:szCs w:val="24"/>
              </w:rPr>
            </w:pPr>
            <w:r w:rsidRPr="006C09B3">
              <w:rPr>
                <w:rFonts w:cs="Arial"/>
                <w:b/>
                <w:bCs/>
                <w:sz w:val="16"/>
              </w:rPr>
              <w:t>24.6</w:t>
            </w:r>
          </w:p>
        </w:tc>
        <w:tc>
          <w:tcPr>
            <w:tcW w:w="606" w:type="pct"/>
            <w:tcBorders>
              <w:top w:val="nil"/>
              <w:left w:val="nil"/>
              <w:bottom w:val="nil"/>
              <w:right w:val="nil"/>
            </w:tcBorders>
            <w:shd w:val="clear" w:color="000000" w:fill="DBE5F1"/>
            <w:vAlign w:val="center"/>
          </w:tcPr>
          <w:p w:rsidR="006C09B3" w:rsidRPr="006C09B3" w:rsidRDefault="006C09B3" w:rsidP="006C09B3">
            <w:pPr>
              <w:ind w:firstLineChars="100" w:firstLine="161"/>
              <w:rPr>
                <w:rFonts w:cs="Arial"/>
                <w:b/>
                <w:bCs/>
                <w:sz w:val="16"/>
                <w:szCs w:val="24"/>
              </w:rPr>
            </w:pPr>
            <w:r w:rsidRPr="006C09B3">
              <w:rPr>
                <w:rFonts w:cs="Arial"/>
                <w:b/>
                <w:bCs/>
                <w:sz w:val="16"/>
              </w:rPr>
              <w:t>24.2</w:t>
            </w:r>
          </w:p>
        </w:tc>
        <w:tc>
          <w:tcPr>
            <w:tcW w:w="606" w:type="pct"/>
            <w:tcBorders>
              <w:top w:val="nil"/>
              <w:left w:val="nil"/>
              <w:bottom w:val="nil"/>
              <w:right w:val="nil"/>
            </w:tcBorders>
            <w:shd w:val="clear" w:color="000000" w:fill="DBE5F1"/>
            <w:vAlign w:val="center"/>
          </w:tcPr>
          <w:p w:rsidR="006C09B3" w:rsidRPr="006C09B3" w:rsidRDefault="006C09B3" w:rsidP="006C09B3">
            <w:pPr>
              <w:ind w:firstLineChars="100" w:firstLine="161"/>
              <w:rPr>
                <w:rFonts w:cs="Arial"/>
                <w:b/>
                <w:bCs/>
                <w:sz w:val="16"/>
                <w:szCs w:val="24"/>
              </w:rPr>
            </w:pPr>
            <w:r w:rsidRPr="006C09B3">
              <w:rPr>
                <w:rFonts w:cs="Arial"/>
                <w:b/>
                <w:bCs/>
                <w:sz w:val="16"/>
              </w:rPr>
              <w:t>18.2</w:t>
            </w:r>
          </w:p>
        </w:tc>
        <w:tc>
          <w:tcPr>
            <w:tcW w:w="606" w:type="pct"/>
            <w:tcBorders>
              <w:top w:val="nil"/>
              <w:left w:val="nil"/>
              <w:bottom w:val="nil"/>
              <w:right w:val="nil"/>
            </w:tcBorders>
            <w:shd w:val="clear" w:color="000000" w:fill="DBE5F1"/>
            <w:vAlign w:val="center"/>
          </w:tcPr>
          <w:p w:rsidR="006C09B3" w:rsidRPr="006C09B3" w:rsidRDefault="006C09B3" w:rsidP="006C09B3">
            <w:pPr>
              <w:ind w:firstLineChars="100" w:firstLine="161"/>
              <w:rPr>
                <w:rFonts w:cs="Arial"/>
                <w:b/>
                <w:bCs/>
                <w:sz w:val="16"/>
                <w:szCs w:val="24"/>
              </w:rPr>
            </w:pPr>
            <w:r w:rsidRPr="006C09B3">
              <w:rPr>
                <w:rFonts w:cs="Arial"/>
                <w:b/>
                <w:bCs/>
                <w:sz w:val="16"/>
              </w:rPr>
              <w:t>116.2</w:t>
            </w:r>
          </w:p>
        </w:tc>
      </w:tr>
      <w:tr w:rsidR="006C09B3" w:rsidRPr="00640669" w:rsidTr="004E695C">
        <w:trPr>
          <w:trHeight w:val="450"/>
        </w:trPr>
        <w:tc>
          <w:tcPr>
            <w:tcW w:w="1363" w:type="pct"/>
            <w:tcBorders>
              <w:top w:val="nil"/>
              <w:left w:val="nil"/>
              <w:bottom w:val="nil"/>
              <w:right w:val="nil"/>
            </w:tcBorders>
            <w:shd w:val="clear" w:color="auto" w:fill="auto"/>
            <w:vAlign w:val="center"/>
            <w:hideMark/>
          </w:tcPr>
          <w:p w:rsidR="006C09B3" w:rsidRPr="00640669" w:rsidRDefault="006C09B3" w:rsidP="00471203">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Contributions</w:t>
            </w:r>
          </w:p>
        </w:tc>
        <w:tc>
          <w:tcPr>
            <w:tcW w:w="606" w:type="pct"/>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sz w:val="16"/>
                <w:szCs w:val="24"/>
              </w:rPr>
            </w:pPr>
            <w:r w:rsidRPr="006C09B3">
              <w:rPr>
                <w:rFonts w:cs="Arial"/>
                <w:sz w:val="16"/>
              </w:rPr>
              <w:t>0.1</w:t>
            </w:r>
          </w:p>
        </w:tc>
        <w:tc>
          <w:tcPr>
            <w:tcW w:w="606" w:type="pct"/>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sz w:val="16"/>
                <w:szCs w:val="24"/>
              </w:rPr>
            </w:pPr>
            <w:r w:rsidRPr="006C09B3">
              <w:rPr>
                <w:rFonts w:cs="Arial"/>
                <w:sz w:val="16"/>
              </w:rPr>
              <w:t>0.1</w:t>
            </w:r>
          </w:p>
        </w:tc>
        <w:tc>
          <w:tcPr>
            <w:tcW w:w="606" w:type="pct"/>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sz w:val="16"/>
                <w:szCs w:val="24"/>
              </w:rPr>
            </w:pPr>
            <w:r w:rsidRPr="006C09B3">
              <w:rPr>
                <w:rFonts w:cs="Arial"/>
                <w:sz w:val="16"/>
              </w:rPr>
              <w:t>0.1</w:t>
            </w:r>
          </w:p>
        </w:tc>
        <w:tc>
          <w:tcPr>
            <w:tcW w:w="606" w:type="pct"/>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sz w:val="16"/>
                <w:szCs w:val="24"/>
              </w:rPr>
            </w:pPr>
            <w:r w:rsidRPr="006C09B3">
              <w:rPr>
                <w:rFonts w:cs="Arial"/>
                <w:sz w:val="16"/>
              </w:rPr>
              <w:t>0.1</w:t>
            </w:r>
          </w:p>
        </w:tc>
        <w:tc>
          <w:tcPr>
            <w:tcW w:w="606" w:type="pct"/>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sz w:val="16"/>
                <w:szCs w:val="24"/>
              </w:rPr>
            </w:pPr>
            <w:r w:rsidRPr="006C09B3">
              <w:rPr>
                <w:rFonts w:cs="Arial"/>
                <w:sz w:val="16"/>
              </w:rPr>
              <w:t>0.1</w:t>
            </w:r>
          </w:p>
        </w:tc>
        <w:tc>
          <w:tcPr>
            <w:tcW w:w="606" w:type="pct"/>
            <w:tcBorders>
              <w:top w:val="nil"/>
              <w:left w:val="nil"/>
              <w:bottom w:val="nil"/>
              <w:right w:val="nil"/>
            </w:tcBorders>
            <w:shd w:val="clear" w:color="auto" w:fill="auto"/>
            <w:vAlign w:val="center"/>
          </w:tcPr>
          <w:p w:rsidR="006C09B3" w:rsidRPr="006C09B3" w:rsidRDefault="006C09B3" w:rsidP="006C09B3">
            <w:pPr>
              <w:ind w:firstLineChars="100" w:firstLine="160"/>
              <w:rPr>
                <w:rFonts w:cs="Arial"/>
                <w:sz w:val="16"/>
                <w:szCs w:val="24"/>
              </w:rPr>
            </w:pPr>
            <w:r w:rsidRPr="006C09B3">
              <w:rPr>
                <w:rFonts w:cs="Arial"/>
                <w:sz w:val="16"/>
              </w:rPr>
              <w:t>0.5</w:t>
            </w:r>
          </w:p>
        </w:tc>
      </w:tr>
      <w:tr w:rsidR="006C09B3" w:rsidRPr="00640669" w:rsidTr="004E695C">
        <w:trPr>
          <w:trHeight w:val="450"/>
        </w:trPr>
        <w:tc>
          <w:tcPr>
            <w:tcW w:w="1363" w:type="pct"/>
            <w:tcBorders>
              <w:top w:val="nil"/>
              <w:left w:val="nil"/>
              <w:bottom w:val="nil"/>
              <w:right w:val="nil"/>
            </w:tcBorders>
            <w:shd w:val="clear" w:color="000000" w:fill="DBE5F1"/>
            <w:vAlign w:val="center"/>
            <w:hideMark/>
          </w:tcPr>
          <w:p w:rsidR="006C09B3" w:rsidRPr="00640669" w:rsidRDefault="006C09B3" w:rsidP="00471203">
            <w:pPr>
              <w:spacing w:before="0" w:line="240" w:lineRule="auto"/>
              <w:rPr>
                <w:rFonts w:eastAsia="Times New Roman" w:cs="Arial"/>
                <w:color w:val="000000"/>
                <w:sz w:val="16"/>
                <w:szCs w:val="16"/>
                <w:lang w:eastAsia="en-AU"/>
              </w:rPr>
            </w:pPr>
            <w:r w:rsidRPr="00640669">
              <w:rPr>
                <w:rFonts w:eastAsia="Times New Roman" w:cs="Arial"/>
                <w:color w:val="000000"/>
                <w:sz w:val="16"/>
                <w:szCs w:val="16"/>
                <w:lang w:eastAsia="en-AU"/>
              </w:rPr>
              <w:t>Asset disposals</w:t>
            </w:r>
          </w:p>
        </w:tc>
        <w:tc>
          <w:tcPr>
            <w:tcW w:w="606" w:type="pct"/>
            <w:tcBorders>
              <w:top w:val="nil"/>
              <w:left w:val="nil"/>
              <w:bottom w:val="nil"/>
              <w:right w:val="nil"/>
            </w:tcBorders>
            <w:shd w:val="clear" w:color="000000" w:fill="DBE5F1"/>
            <w:vAlign w:val="center"/>
          </w:tcPr>
          <w:p w:rsidR="006C09B3" w:rsidRPr="006C09B3" w:rsidRDefault="006C09B3" w:rsidP="006C09B3">
            <w:pPr>
              <w:ind w:firstLineChars="100" w:firstLine="160"/>
              <w:rPr>
                <w:rFonts w:cs="Arial"/>
                <w:sz w:val="16"/>
                <w:szCs w:val="24"/>
              </w:rPr>
            </w:pPr>
            <w:r w:rsidRPr="006C09B3">
              <w:rPr>
                <w:rFonts w:cs="Arial"/>
                <w:sz w:val="16"/>
              </w:rPr>
              <w:t>0.0</w:t>
            </w:r>
          </w:p>
        </w:tc>
        <w:tc>
          <w:tcPr>
            <w:tcW w:w="606" w:type="pct"/>
            <w:tcBorders>
              <w:top w:val="nil"/>
              <w:left w:val="nil"/>
              <w:bottom w:val="nil"/>
              <w:right w:val="nil"/>
            </w:tcBorders>
            <w:shd w:val="clear" w:color="000000" w:fill="DBE5F1"/>
            <w:vAlign w:val="center"/>
          </w:tcPr>
          <w:p w:rsidR="006C09B3" w:rsidRPr="006C09B3" w:rsidRDefault="006C09B3" w:rsidP="006C09B3">
            <w:pPr>
              <w:ind w:firstLineChars="100" w:firstLine="160"/>
              <w:rPr>
                <w:rFonts w:cs="Arial"/>
                <w:sz w:val="16"/>
                <w:szCs w:val="24"/>
              </w:rPr>
            </w:pPr>
            <w:r w:rsidRPr="006C09B3">
              <w:rPr>
                <w:rFonts w:cs="Arial"/>
                <w:sz w:val="16"/>
              </w:rPr>
              <w:t>0.0</w:t>
            </w:r>
          </w:p>
        </w:tc>
        <w:tc>
          <w:tcPr>
            <w:tcW w:w="606" w:type="pct"/>
            <w:tcBorders>
              <w:top w:val="nil"/>
              <w:left w:val="nil"/>
              <w:bottom w:val="nil"/>
              <w:right w:val="nil"/>
            </w:tcBorders>
            <w:shd w:val="clear" w:color="000000" w:fill="DBE5F1"/>
            <w:vAlign w:val="center"/>
          </w:tcPr>
          <w:p w:rsidR="006C09B3" w:rsidRPr="006C09B3" w:rsidRDefault="006C09B3" w:rsidP="006C09B3">
            <w:pPr>
              <w:ind w:firstLineChars="100" w:firstLine="160"/>
              <w:rPr>
                <w:rFonts w:cs="Arial"/>
                <w:sz w:val="16"/>
                <w:szCs w:val="24"/>
              </w:rPr>
            </w:pPr>
            <w:r w:rsidRPr="006C09B3">
              <w:rPr>
                <w:rFonts w:cs="Arial"/>
                <w:sz w:val="16"/>
              </w:rPr>
              <w:t>0.0</w:t>
            </w:r>
          </w:p>
        </w:tc>
        <w:tc>
          <w:tcPr>
            <w:tcW w:w="606" w:type="pct"/>
            <w:tcBorders>
              <w:top w:val="nil"/>
              <w:left w:val="nil"/>
              <w:bottom w:val="nil"/>
              <w:right w:val="nil"/>
            </w:tcBorders>
            <w:shd w:val="clear" w:color="000000" w:fill="DBE5F1"/>
            <w:vAlign w:val="center"/>
          </w:tcPr>
          <w:p w:rsidR="006C09B3" w:rsidRPr="006C09B3" w:rsidRDefault="006C09B3" w:rsidP="006C09B3">
            <w:pPr>
              <w:ind w:firstLineChars="100" w:firstLine="160"/>
              <w:rPr>
                <w:rFonts w:cs="Arial"/>
                <w:sz w:val="16"/>
                <w:szCs w:val="24"/>
              </w:rPr>
            </w:pPr>
            <w:r w:rsidRPr="006C09B3">
              <w:rPr>
                <w:rFonts w:cs="Arial"/>
                <w:sz w:val="16"/>
              </w:rPr>
              <w:t>0.0</w:t>
            </w:r>
          </w:p>
        </w:tc>
        <w:tc>
          <w:tcPr>
            <w:tcW w:w="606" w:type="pct"/>
            <w:tcBorders>
              <w:top w:val="nil"/>
              <w:left w:val="nil"/>
              <w:bottom w:val="nil"/>
              <w:right w:val="nil"/>
            </w:tcBorders>
            <w:shd w:val="clear" w:color="000000" w:fill="DBE5F1"/>
            <w:vAlign w:val="center"/>
          </w:tcPr>
          <w:p w:rsidR="006C09B3" w:rsidRPr="006C09B3" w:rsidRDefault="006C09B3" w:rsidP="006C09B3">
            <w:pPr>
              <w:ind w:firstLineChars="100" w:firstLine="160"/>
              <w:rPr>
                <w:rFonts w:cs="Arial"/>
                <w:sz w:val="16"/>
                <w:szCs w:val="24"/>
              </w:rPr>
            </w:pPr>
            <w:r w:rsidRPr="006C09B3">
              <w:rPr>
                <w:rFonts w:cs="Arial"/>
                <w:sz w:val="16"/>
              </w:rPr>
              <w:t>0.0</w:t>
            </w:r>
          </w:p>
        </w:tc>
        <w:tc>
          <w:tcPr>
            <w:tcW w:w="606" w:type="pct"/>
            <w:tcBorders>
              <w:top w:val="nil"/>
              <w:left w:val="nil"/>
              <w:bottom w:val="nil"/>
              <w:right w:val="nil"/>
            </w:tcBorders>
            <w:shd w:val="clear" w:color="000000" w:fill="DBE5F1"/>
            <w:vAlign w:val="center"/>
          </w:tcPr>
          <w:p w:rsidR="006C09B3" w:rsidRPr="006C09B3" w:rsidRDefault="006C09B3" w:rsidP="006C09B3">
            <w:pPr>
              <w:ind w:firstLineChars="100" w:firstLine="160"/>
              <w:rPr>
                <w:rFonts w:cs="Arial"/>
                <w:sz w:val="16"/>
                <w:szCs w:val="24"/>
              </w:rPr>
            </w:pPr>
            <w:r w:rsidRPr="006C09B3">
              <w:rPr>
                <w:rFonts w:cs="Arial"/>
                <w:sz w:val="16"/>
              </w:rPr>
              <w:t>0.0</w:t>
            </w:r>
          </w:p>
        </w:tc>
      </w:tr>
      <w:tr w:rsidR="006C09B3" w:rsidRPr="00640669" w:rsidTr="004E695C">
        <w:trPr>
          <w:trHeight w:val="450"/>
        </w:trPr>
        <w:tc>
          <w:tcPr>
            <w:tcW w:w="1363" w:type="pct"/>
            <w:tcBorders>
              <w:top w:val="nil"/>
              <w:left w:val="nil"/>
              <w:bottom w:val="single" w:sz="8" w:space="0" w:color="1F497D"/>
              <w:right w:val="nil"/>
            </w:tcBorders>
            <w:shd w:val="clear" w:color="auto" w:fill="auto"/>
            <w:vAlign w:val="center"/>
            <w:hideMark/>
          </w:tcPr>
          <w:p w:rsidR="006C09B3" w:rsidRPr="00640669" w:rsidRDefault="006C09B3" w:rsidP="00471203">
            <w:pPr>
              <w:spacing w:before="0" w:line="240" w:lineRule="auto"/>
              <w:rPr>
                <w:rFonts w:eastAsia="Times New Roman" w:cs="Arial"/>
                <w:b/>
                <w:bCs/>
                <w:color w:val="000000"/>
                <w:sz w:val="16"/>
                <w:szCs w:val="16"/>
                <w:lang w:eastAsia="en-AU"/>
              </w:rPr>
            </w:pPr>
            <w:r w:rsidRPr="00640669">
              <w:rPr>
                <w:rFonts w:eastAsia="Times New Roman" w:cs="Arial"/>
                <w:b/>
                <w:bCs/>
                <w:color w:val="000000"/>
                <w:sz w:val="16"/>
                <w:szCs w:val="16"/>
                <w:lang w:eastAsia="en-AU"/>
              </w:rPr>
              <w:t>NET TOTAL CAPITAL EXPENDITURE</w:t>
            </w:r>
          </w:p>
        </w:tc>
        <w:tc>
          <w:tcPr>
            <w:tcW w:w="606" w:type="pct"/>
            <w:tcBorders>
              <w:top w:val="nil"/>
              <w:left w:val="nil"/>
              <w:bottom w:val="single" w:sz="8" w:space="0" w:color="1F497D"/>
              <w:right w:val="nil"/>
            </w:tcBorders>
            <w:shd w:val="clear" w:color="auto" w:fill="auto"/>
            <w:vAlign w:val="center"/>
          </w:tcPr>
          <w:p w:rsidR="006C09B3" w:rsidRPr="006C09B3" w:rsidRDefault="006C09B3" w:rsidP="006C09B3">
            <w:pPr>
              <w:ind w:firstLineChars="100" w:firstLine="161"/>
              <w:rPr>
                <w:rFonts w:cs="Arial"/>
                <w:b/>
                <w:bCs/>
                <w:sz w:val="16"/>
                <w:szCs w:val="24"/>
              </w:rPr>
            </w:pPr>
            <w:r w:rsidRPr="006C09B3">
              <w:rPr>
                <w:rFonts w:cs="Arial"/>
                <w:b/>
                <w:bCs/>
                <w:sz w:val="16"/>
              </w:rPr>
              <w:t>22.4</w:t>
            </w:r>
          </w:p>
        </w:tc>
        <w:tc>
          <w:tcPr>
            <w:tcW w:w="606" w:type="pct"/>
            <w:tcBorders>
              <w:top w:val="nil"/>
              <w:left w:val="nil"/>
              <w:bottom w:val="single" w:sz="8" w:space="0" w:color="1F497D"/>
              <w:right w:val="nil"/>
            </w:tcBorders>
            <w:shd w:val="clear" w:color="auto" w:fill="auto"/>
            <w:vAlign w:val="center"/>
          </w:tcPr>
          <w:p w:rsidR="006C09B3" w:rsidRPr="006C09B3" w:rsidRDefault="006C09B3" w:rsidP="006C09B3">
            <w:pPr>
              <w:ind w:firstLineChars="100" w:firstLine="161"/>
              <w:rPr>
                <w:rFonts w:cs="Arial"/>
                <w:b/>
                <w:bCs/>
                <w:sz w:val="16"/>
                <w:szCs w:val="24"/>
              </w:rPr>
            </w:pPr>
            <w:r w:rsidRPr="006C09B3">
              <w:rPr>
                <w:rFonts w:cs="Arial"/>
                <w:b/>
                <w:bCs/>
                <w:sz w:val="16"/>
              </w:rPr>
              <w:t>26.6</w:t>
            </w:r>
          </w:p>
        </w:tc>
        <w:tc>
          <w:tcPr>
            <w:tcW w:w="606" w:type="pct"/>
            <w:tcBorders>
              <w:top w:val="nil"/>
              <w:left w:val="nil"/>
              <w:bottom w:val="single" w:sz="8" w:space="0" w:color="1F497D"/>
              <w:right w:val="nil"/>
            </w:tcBorders>
            <w:shd w:val="clear" w:color="auto" w:fill="auto"/>
            <w:vAlign w:val="center"/>
          </w:tcPr>
          <w:p w:rsidR="006C09B3" w:rsidRPr="006C09B3" w:rsidRDefault="006C09B3" w:rsidP="006C09B3">
            <w:pPr>
              <w:ind w:firstLineChars="100" w:firstLine="161"/>
              <w:rPr>
                <w:rFonts w:cs="Arial"/>
                <w:b/>
                <w:bCs/>
                <w:sz w:val="16"/>
                <w:szCs w:val="24"/>
              </w:rPr>
            </w:pPr>
            <w:r w:rsidRPr="006C09B3">
              <w:rPr>
                <w:rFonts w:cs="Arial"/>
                <w:b/>
                <w:bCs/>
                <w:sz w:val="16"/>
              </w:rPr>
              <w:t>24.5</w:t>
            </w:r>
          </w:p>
        </w:tc>
        <w:tc>
          <w:tcPr>
            <w:tcW w:w="606" w:type="pct"/>
            <w:tcBorders>
              <w:top w:val="nil"/>
              <w:left w:val="nil"/>
              <w:bottom w:val="single" w:sz="8" w:space="0" w:color="1F497D"/>
              <w:right w:val="nil"/>
            </w:tcBorders>
            <w:shd w:val="clear" w:color="auto" w:fill="auto"/>
            <w:vAlign w:val="center"/>
          </w:tcPr>
          <w:p w:rsidR="006C09B3" w:rsidRPr="006C09B3" w:rsidRDefault="006C09B3" w:rsidP="006C09B3">
            <w:pPr>
              <w:ind w:firstLineChars="100" w:firstLine="161"/>
              <w:rPr>
                <w:rFonts w:cs="Arial"/>
                <w:b/>
                <w:bCs/>
                <w:sz w:val="16"/>
                <w:szCs w:val="24"/>
              </w:rPr>
            </w:pPr>
            <w:r w:rsidRPr="006C09B3">
              <w:rPr>
                <w:rFonts w:cs="Arial"/>
                <w:b/>
                <w:bCs/>
                <w:sz w:val="16"/>
              </w:rPr>
              <w:t>24.1</w:t>
            </w:r>
          </w:p>
        </w:tc>
        <w:tc>
          <w:tcPr>
            <w:tcW w:w="606" w:type="pct"/>
            <w:tcBorders>
              <w:top w:val="nil"/>
              <w:left w:val="nil"/>
              <w:bottom w:val="single" w:sz="8" w:space="0" w:color="1F497D"/>
              <w:right w:val="nil"/>
            </w:tcBorders>
            <w:shd w:val="clear" w:color="auto" w:fill="auto"/>
            <w:vAlign w:val="center"/>
          </w:tcPr>
          <w:p w:rsidR="006C09B3" w:rsidRPr="006C09B3" w:rsidRDefault="006C09B3" w:rsidP="006C09B3">
            <w:pPr>
              <w:ind w:firstLineChars="100" w:firstLine="161"/>
              <w:rPr>
                <w:rFonts w:cs="Arial"/>
                <w:b/>
                <w:bCs/>
                <w:sz w:val="16"/>
                <w:szCs w:val="24"/>
              </w:rPr>
            </w:pPr>
            <w:r w:rsidRPr="006C09B3">
              <w:rPr>
                <w:rFonts w:cs="Arial"/>
                <w:b/>
                <w:bCs/>
                <w:sz w:val="16"/>
              </w:rPr>
              <w:t>18.1</w:t>
            </w:r>
          </w:p>
        </w:tc>
        <w:tc>
          <w:tcPr>
            <w:tcW w:w="606" w:type="pct"/>
            <w:tcBorders>
              <w:top w:val="nil"/>
              <w:left w:val="nil"/>
              <w:bottom w:val="single" w:sz="8" w:space="0" w:color="1F497D"/>
              <w:right w:val="nil"/>
            </w:tcBorders>
            <w:shd w:val="clear" w:color="auto" w:fill="auto"/>
            <w:vAlign w:val="center"/>
          </w:tcPr>
          <w:p w:rsidR="006C09B3" w:rsidRPr="006C09B3" w:rsidRDefault="006C09B3" w:rsidP="006C09B3">
            <w:pPr>
              <w:ind w:firstLineChars="100" w:firstLine="161"/>
              <w:rPr>
                <w:rFonts w:cs="Arial"/>
                <w:b/>
                <w:bCs/>
                <w:sz w:val="16"/>
                <w:szCs w:val="24"/>
              </w:rPr>
            </w:pPr>
            <w:r w:rsidRPr="006C09B3">
              <w:rPr>
                <w:rFonts w:cs="Arial"/>
                <w:b/>
                <w:bCs/>
                <w:sz w:val="16"/>
              </w:rPr>
              <w:t>115.6</w:t>
            </w:r>
          </w:p>
        </w:tc>
      </w:tr>
    </w:tbl>
    <w:p w:rsidR="002268EC" w:rsidRDefault="002268EC" w:rsidP="002268EC">
      <w:pPr>
        <w:pStyle w:val="AERtablesource"/>
      </w:pPr>
      <w:r w:rsidRPr="00DE44F6">
        <w:t>Source:</w:t>
      </w:r>
      <w:r w:rsidRPr="00DE44F6">
        <w:tab/>
        <w:t>AER</w:t>
      </w:r>
      <w:r>
        <w:t xml:space="preserve"> analysis</w:t>
      </w:r>
      <w:r w:rsidRPr="00DE44F6">
        <w:t>.</w:t>
      </w:r>
    </w:p>
    <w:p w:rsidR="001B0C8E" w:rsidRPr="001B0C8E" w:rsidRDefault="001B0C8E" w:rsidP="001B0C8E">
      <w:pPr>
        <w:pStyle w:val="AERtablesource"/>
      </w:pPr>
      <w:r w:rsidRPr="00A91109">
        <w:t>Note:</w:t>
      </w:r>
      <w:r w:rsidRPr="00A91109">
        <w:tab/>
      </w:r>
      <w:r>
        <w:t>(a) Some categories include a construction management fee (CMF) paid by ActewAGL. A confidential version of this table showing direct costs (excluding the CMF) is set out in confidential appendix</w:t>
      </w:r>
      <w:r w:rsidR="00170693">
        <w:t xml:space="preserve"> C</w:t>
      </w:r>
      <w:r>
        <w:t>.</w:t>
      </w:r>
    </w:p>
    <w:p w:rsidR="00494D5C" w:rsidRPr="00494D5C" w:rsidRDefault="00494D5C" w:rsidP="00195E18">
      <w:pPr>
        <w:rPr>
          <w:highlight w:val="yellow"/>
        </w:rPr>
      </w:pPr>
      <w:r w:rsidRPr="00FA2263">
        <w:t xml:space="preserve">The major components of the forecast gross total expenditure are </w:t>
      </w:r>
      <w:r w:rsidR="003058C3" w:rsidRPr="00FA2263">
        <w:t>connections/market expansion (</w:t>
      </w:r>
      <w:r w:rsidR="001B0C8E">
        <w:t>50.4</w:t>
      </w:r>
      <w:r w:rsidR="003557FC" w:rsidRPr="00FA2263">
        <w:t> </w:t>
      </w:r>
      <w:r w:rsidR="003058C3" w:rsidRPr="00FA2263">
        <w:t>per cent), augmentation/capacity development (</w:t>
      </w:r>
      <w:r w:rsidR="001B0C8E">
        <w:t>16.2</w:t>
      </w:r>
      <w:r w:rsidR="003557FC" w:rsidRPr="00FA2263">
        <w:t> </w:t>
      </w:r>
      <w:r w:rsidR="003058C3" w:rsidRPr="00FA2263">
        <w:t xml:space="preserve">per cent), </w:t>
      </w:r>
      <w:proofErr w:type="gramStart"/>
      <w:r w:rsidR="003058C3" w:rsidRPr="00FA2263">
        <w:t>network</w:t>
      </w:r>
      <w:proofErr w:type="gramEnd"/>
      <w:r w:rsidR="003058C3" w:rsidRPr="00FA2263">
        <w:t xml:space="preserve"> renewal and upgrade (</w:t>
      </w:r>
      <w:r w:rsidR="001B0C8E">
        <w:t>14.1</w:t>
      </w:r>
      <w:r w:rsidR="003557FC" w:rsidRPr="00FA2263">
        <w:t> </w:t>
      </w:r>
      <w:r w:rsidR="003058C3" w:rsidRPr="00FA2263">
        <w:t>per cent)</w:t>
      </w:r>
      <w:r w:rsidR="00CF1AF7" w:rsidRPr="00FA2263">
        <w:t>, and</w:t>
      </w:r>
      <w:r w:rsidR="00CF1AF7">
        <w:t xml:space="preserve"> meter renewal (</w:t>
      </w:r>
      <w:r w:rsidR="001B0C8E">
        <w:t>13.2</w:t>
      </w:r>
      <w:r w:rsidR="003557FC">
        <w:t> </w:t>
      </w:r>
      <w:r w:rsidR="00CF1AF7">
        <w:t>per cent) (see</w:t>
      </w:r>
      <w:r w:rsidR="00C36973">
        <w:t xml:space="preserve"> </w:t>
      </w:r>
      <w:r w:rsidR="00C36973">
        <w:fldChar w:fldCharType="begin"/>
      </w:r>
      <w:r w:rsidR="00C36973">
        <w:instrText xml:space="preserve"> REF _Ref432842942 \h </w:instrText>
      </w:r>
      <w:r w:rsidR="00C36973">
        <w:fldChar w:fldCharType="separate"/>
      </w:r>
      <w:r w:rsidR="00EE4EAF">
        <w:t xml:space="preserve">Figure </w:t>
      </w:r>
      <w:r w:rsidR="00EE4EAF">
        <w:rPr>
          <w:noProof/>
        </w:rPr>
        <w:t>6</w:t>
      </w:r>
      <w:r w:rsidR="00EE4EAF">
        <w:t>.</w:t>
      </w:r>
      <w:r w:rsidR="00EE4EAF">
        <w:rPr>
          <w:noProof/>
        </w:rPr>
        <w:t>1</w:t>
      </w:r>
      <w:r w:rsidR="00C36973">
        <w:fldChar w:fldCharType="end"/>
      </w:r>
      <w:r w:rsidR="00CF1AF7">
        <w:t>).</w:t>
      </w:r>
    </w:p>
    <w:p w:rsidR="00494D5C" w:rsidRDefault="00C36973" w:rsidP="00F36252">
      <w:pPr>
        <w:pStyle w:val="Caption"/>
      </w:pPr>
      <w:bookmarkStart w:id="20" w:name="_Ref432842942"/>
      <w:proofErr w:type="gramStart"/>
      <w:r>
        <w:t xml:space="preserve">Figure </w:t>
      </w:r>
      <w:proofErr w:type="gramEnd"/>
      <w:r w:rsidR="004C5F88">
        <w:fldChar w:fldCharType="begin"/>
      </w:r>
      <w:r w:rsidR="004C5F88">
        <w:instrText xml:space="preserve"> STYLEREF 1 \s </w:instrText>
      </w:r>
      <w:r w:rsidR="004C5F88">
        <w:fldChar w:fldCharType="separate"/>
      </w:r>
      <w:r w:rsidR="00DC4275">
        <w:rPr>
          <w:noProof/>
        </w:rPr>
        <w:t>6</w:t>
      </w:r>
      <w:r w:rsidR="004C5F88">
        <w:rPr>
          <w:noProof/>
        </w:rPr>
        <w:fldChar w:fldCharType="end"/>
      </w:r>
      <w:proofErr w:type="gramStart"/>
      <w:r>
        <w:t>.</w:t>
      </w:r>
      <w:proofErr w:type="gramEnd"/>
      <w:r w:rsidR="004C5F88">
        <w:fldChar w:fldCharType="begin"/>
      </w:r>
      <w:r w:rsidR="004C5F88">
        <w:instrText xml:space="preserve"> SEQ Figure \* ARABIC \s 1 </w:instrText>
      </w:r>
      <w:r w:rsidR="004C5F88">
        <w:fldChar w:fldCharType="separate"/>
      </w:r>
      <w:r w:rsidR="00DC4275">
        <w:rPr>
          <w:noProof/>
        </w:rPr>
        <w:t>1</w:t>
      </w:r>
      <w:r w:rsidR="004C5F88">
        <w:rPr>
          <w:noProof/>
        </w:rPr>
        <w:fldChar w:fldCharType="end"/>
      </w:r>
      <w:bookmarkEnd w:id="20"/>
      <w:r>
        <w:tab/>
      </w:r>
      <w:r w:rsidR="00CF1AF7">
        <w:t xml:space="preserve">Composition of </w:t>
      </w:r>
      <w:proofErr w:type="spellStart"/>
      <w:r w:rsidR="00CF1AF7">
        <w:t>ActewAGL’s</w:t>
      </w:r>
      <w:proofErr w:type="spellEnd"/>
      <w:r w:rsidR="00CF1AF7">
        <w:t xml:space="preserve"> total capex</w:t>
      </w:r>
      <w:r w:rsidR="002B421A">
        <w:t xml:space="preserve"> for 2016–21 ($million, 2015–16</w:t>
      </w:r>
      <w:r w:rsidR="00E15123">
        <w:t xml:space="preserve"> direct costs</w:t>
      </w:r>
      <w:r w:rsidR="002B421A">
        <w:t>)</w:t>
      </w:r>
    </w:p>
    <w:p w:rsidR="00494D5C" w:rsidRDefault="001B0C8E" w:rsidP="00195E18">
      <w:r>
        <w:rPr>
          <w:noProof/>
          <w:lang w:eastAsia="en-AU"/>
        </w:rPr>
        <w:drawing>
          <wp:inline distT="0" distB="0" distL="0" distR="0" wp14:anchorId="7585804C" wp14:editId="1D97DAD3">
            <wp:extent cx="5638800" cy="374887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1425" cy="3750617"/>
                    </a:xfrm>
                    <a:prstGeom prst="rect">
                      <a:avLst/>
                    </a:prstGeom>
                    <a:noFill/>
                  </pic:spPr>
                </pic:pic>
              </a:graphicData>
            </a:graphic>
          </wp:inline>
        </w:drawing>
      </w:r>
    </w:p>
    <w:p w:rsidR="001047A3" w:rsidRPr="00195E18" w:rsidRDefault="00CF1AF7" w:rsidP="00975476">
      <w:pPr>
        <w:pStyle w:val="AERtablesource"/>
      </w:pPr>
      <w:r>
        <w:t xml:space="preserve">Source: </w:t>
      </w:r>
      <w:r w:rsidR="00496223">
        <w:tab/>
      </w:r>
      <w:r>
        <w:t xml:space="preserve">AER analysis. </w:t>
      </w:r>
    </w:p>
    <w:p w:rsidR="009A5113" w:rsidRDefault="009A5113" w:rsidP="009A5113">
      <w:pPr>
        <w:pStyle w:val="Heading2"/>
      </w:pPr>
      <w:bookmarkStart w:id="21" w:name="_Toc408404322"/>
      <w:bookmarkStart w:id="22" w:name="_Toc435692206"/>
      <w:r w:rsidRPr="0074565D">
        <w:t>AER’s assessment approach</w:t>
      </w:r>
      <w:bookmarkEnd w:id="21"/>
      <w:bookmarkEnd w:id="22"/>
    </w:p>
    <w:p w:rsidR="00FE066C" w:rsidRDefault="00952C20" w:rsidP="00FE066C">
      <w:r>
        <w:t>Under the NGR we are required to</w:t>
      </w:r>
      <w:r w:rsidR="00FE066C" w:rsidRPr="00F745EE">
        <w:t xml:space="preserve"> make two decisions regarding </w:t>
      </w:r>
      <w:proofErr w:type="spellStart"/>
      <w:r w:rsidR="00FE066C">
        <w:t>ActewAGL</w:t>
      </w:r>
      <w:r w:rsidR="00FE066C" w:rsidRPr="00F745EE">
        <w:t>'s</w:t>
      </w:r>
      <w:proofErr w:type="spellEnd"/>
      <w:r w:rsidR="00FE066C" w:rsidRPr="00F745EE">
        <w:t xml:space="preserve"> capex. First, we are required to assess past </w:t>
      </w:r>
      <w:r w:rsidR="00F075E1">
        <w:t xml:space="preserve">capital </w:t>
      </w:r>
      <w:r w:rsidR="00FE066C" w:rsidRPr="00F745EE">
        <w:t>expenditure and determine whether it meets</w:t>
      </w:r>
      <w:r w:rsidR="006318CF">
        <w:t xml:space="preserve"> the criteria set out in the NG</w:t>
      </w:r>
      <w:r w:rsidR="00277292">
        <w:t>R</w:t>
      </w:r>
      <w:r w:rsidR="006318CF">
        <w:t>, where approved capex is</w:t>
      </w:r>
      <w:r w:rsidR="00FE066C" w:rsidRPr="00F745EE">
        <w:t xml:space="preserve"> added to the starting capital base.</w:t>
      </w:r>
      <w:r w:rsidR="00FE066C" w:rsidRPr="00F745EE">
        <w:rPr>
          <w:rStyle w:val="FootnoteReference"/>
        </w:rPr>
        <w:footnoteReference w:id="3"/>
      </w:r>
      <w:r w:rsidR="00FE066C" w:rsidRPr="00F745EE">
        <w:t xml:space="preserve"> Where capex meets these criteria, it is referred to as </w:t>
      </w:r>
      <w:r>
        <w:t>‘</w:t>
      </w:r>
      <w:r w:rsidR="00FE066C" w:rsidRPr="00F745EE">
        <w:t>conforming</w:t>
      </w:r>
      <w:r>
        <w:t>’</w:t>
      </w:r>
      <w:r w:rsidR="00FE066C" w:rsidRPr="00F745EE">
        <w:t>.</w:t>
      </w:r>
      <w:r w:rsidR="00FE066C" w:rsidRPr="00F745EE">
        <w:rPr>
          <w:rStyle w:val="FootnoteReference"/>
        </w:rPr>
        <w:footnoteReference w:id="4"/>
      </w:r>
      <w:r w:rsidR="00FE066C" w:rsidRPr="00F745EE">
        <w:t xml:space="preserve"> Second, we are required to assess </w:t>
      </w:r>
      <w:proofErr w:type="spellStart"/>
      <w:r w:rsidR="00666935">
        <w:t>ActewAGL</w:t>
      </w:r>
      <w:r w:rsidR="00FE066C" w:rsidRPr="00F745EE">
        <w:t>'s</w:t>
      </w:r>
      <w:proofErr w:type="spellEnd"/>
      <w:r w:rsidR="00FE066C" w:rsidRPr="00F745EE">
        <w:t xml:space="preserve"> proposed forecast of required capex for the </w:t>
      </w:r>
      <w:r w:rsidR="00890504">
        <w:t xml:space="preserve">2016–21 access arrangement period </w:t>
      </w:r>
      <w:r w:rsidR="00FE066C">
        <w:t>to determine whether it is 'conforming</w:t>
      </w:r>
      <w:r w:rsidR="00FE066C" w:rsidRPr="00F745EE">
        <w:t>.</w:t>
      </w:r>
      <w:r w:rsidR="00FE066C">
        <w:t>'</w:t>
      </w:r>
      <w:r w:rsidR="00FE066C" w:rsidRPr="00F745EE">
        <w:t xml:space="preserve"> The following sections set out our approach and the tools and techniques we employ in forming a view on these</w:t>
      </w:r>
      <w:r w:rsidR="00FE066C">
        <w:t xml:space="preserve"> </w:t>
      </w:r>
      <w:r w:rsidR="00FE066C" w:rsidRPr="00F745EE">
        <w:t xml:space="preserve">two </w:t>
      </w:r>
      <w:r>
        <w:t>decisions</w:t>
      </w:r>
      <w:r w:rsidR="00FE066C" w:rsidRPr="00F745EE">
        <w:t xml:space="preserve">. We also need to take into account timing issues associated with the lag between actual capex data being available </w:t>
      </w:r>
      <w:r w:rsidR="00F075E1">
        <w:t>in the last year of the 2010–1</w:t>
      </w:r>
      <w:r w:rsidR="00277292">
        <w:t>6</w:t>
      </w:r>
      <w:r w:rsidR="00F075E1">
        <w:t xml:space="preserve"> access arrangement </w:t>
      </w:r>
      <w:proofErr w:type="gramStart"/>
      <w:r w:rsidR="00F075E1">
        <w:t>period</w:t>
      </w:r>
      <w:proofErr w:type="gramEnd"/>
      <w:r w:rsidR="00F075E1">
        <w:t xml:space="preserve"> </w:t>
      </w:r>
      <w:r w:rsidR="00FE066C" w:rsidRPr="00F745EE">
        <w:t>and the need to forecast an opening capital base</w:t>
      </w:r>
      <w:r w:rsidR="00F075E1">
        <w:t xml:space="preserve"> for the 2016–21 access arrangement period</w:t>
      </w:r>
      <w:r w:rsidR="00FE066C" w:rsidRPr="00F745EE">
        <w:t>. This is explained in the next section.</w:t>
      </w:r>
    </w:p>
    <w:p w:rsidR="00FE066C" w:rsidRDefault="00FE066C" w:rsidP="00E834E1">
      <w:pPr>
        <w:pStyle w:val="Heading3"/>
        <w:keepNext/>
      </w:pPr>
      <w:bookmarkStart w:id="23" w:name="_Toc435692207"/>
      <w:r>
        <w:t>NGR requirements for conforming capital expenditure</w:t>
      </w:r>
      <w:bookmarkEnd w:id="23"/>
    </w:p>
    <w:p w:rsidR="00F075E1" w:rsidRDefault="00F075E1" w:rsidP="002B421A">
      <w:r>
        <w:t>The definition of capex is set out in r</w:t>
      </w:r>
      <w:r w:rsidR="00965044">
        <w:t>ule</w:t>
      </w:r>
      <w:r>
        <w:t xml:space="preserve"> 69 of the NGR. </w:t>
      </w:r>
      <w:r w:rsidR="00FE066C" w:rsidRPr="00A05144">
        <w:t>Capex is defined as costs and expenditure of a capital nature incurred to provide, or in providing, pipeline services</w:t>
      </w:r>
      <w:r w:rsidR="00882943">
        <w:t>.</w:t>
      </w:r>
      <w:r w:rsidR="00890504">
        <w:rPr>
          <w:rStyle w:val="FootnoteReference"/>
        </w:rPr>
        <w:footnoteReference w:id="5"/>
      </w:r>
      <w:r w:rsidR="00890504">
        <w:t xml:space="preserve"> </w:t>
      </w:r>
    </w:p>
    <w:p w:rsidR="00FE066C" w:rsidRPr="00A05144" w:rsidRDefault="00F075E1" w:rsidP="002B421A">
      <w:r>
        <w:t xml:space="preserve">Capex </w:t>
      </w:r>
      <w:r w:rsidR="00FE066C" w:rsidRPr="00A05144">
        <w:t xml:space="preserve">is based on a forecast or estimate which </w:t>
      </w:r>
      <w:r>
        <w:t>must be</w:t>
      </w:r>
      <w:r w:rsidRPr="00A05144">
        <w:t xml:space="preserve"> </w:t>
      </w:r>
      <w:r w:rsidR="00FE066C" w:rsidRPr="00A05144">
        <w:t>supported by a statement of the basis of the forecast or estimate</w:t>
      </w:r>
      <w:r w:rsidR="005D0EE7">
        <w:t xml:space="preserve"> (under r</w:t>
      </w:r>
      <w:r w:rsidR="00965044">
        <w:t>ule</w:t>
      </w:r>
      <w:r w:rsidR="005D0EE7">
        <w:t> 74(1) of the NGR)</w:t>
      </w:r>
      <w:r w:rsidR="00FE066C" w:rsidRPr="00A05144">
        <w:t xml:space="preserve">. </w:t>
      </w:r>
      <w:r w:rsidR="005D0EE7">
        <w:t>In accordance with r</w:t>
      </w:r>
      <w:r w:rsidR="00965044">
        <w:t>ule</w:t>
      </w:r>
      <w:r w:rsidR="005D0EE7">
        <w:t xml:space="preserve"> 74(2) of the NGR, </w:t>
      </w:r>
      <w:r w:rsidR="00890504">
        <w:t>a</w:t>
      </w:r>
      <w:r w:rsidR="00FE066C" w:rsidRPr="00A05144">
        <w:t>ny forecast or estimate submitted must:</w:t>
      </w:r>
    </w:p>
    <w:p w:rsidR="00FE066C" w:rsidRPr="00A05144" w:rsidRDefault="00FE066C" w:rsidP="002B421A">
      <w:pPr>
        <w:pStyle w:val="AERbulletlistfirststyle"/>
      </w:pPr>
      <w:r w:rsidRPr="00A05144">
        <w:t>be arrived at on a reasonable basis; and</w:t>
      </w:r>
    </w:p>
    <w:p w:rsidR="00FE066C" w:rsidRPr="00A05144" w:rsidRDefault="00FE066C" w:rsidP="002B421A">
      <w:pPr>
        <w:pStyle w:val="AERbulletlistfirststyle"/>
      </w:pPr>
      <w:proofErr w:type="gramStart"/>
      <w:r w:rsidRPr="00A05144">
        <w:t>represent</w:t>
      </w:r>
      <w:proofErr w:type="gramEnd"/>
      <w:r w:rsidRPr="00A05144">
        <w:t xml:space="preserve"> the best forecast or estimate possible in the circumstances.</w:t>
      </w:r>
      <w:r w:rsidRPr="00A05144">
        <w:rPr>
          <w:rStyle w:val="FootnoteReference"/>
        </w:rPr>
        <w:footnoteReference w:id="6"/>
      </w:r>
    </w:p>
    <w:p w:rsidR="00FE066C" w:rsidRPr="00A05144" w:rsidRDefault="00890504" w:rsidP="002B421A">
      <w:pPr>
        <w:pStyle w:val="AERbulletlistfirststyle"/>
        <w:numPr>
          <w:ilvl w:val="0"/>
          <w:numId w:val="0"/>
        </w:numPr>
      </w:pPr>
      <w:r>
        <w:t xml:space="preserve">Capex will be </w:t>
      </w:r>
      <w:r w:rsidR="005D0EE7">
        <w:t>‘</w:t>
      </w:r>
      <w:r>
        <w:t>conforming</w:t>
      </w:r>
      <w:r w:rsidR="005D0EE7">
        <w:t>’</w:t>
      </w:r>
      <w:r>
        <w:t xml:space="preserve"> if it </w:t>
      </w:r>
      <w:r w:rsidR="00FE066C" w:rsidRPr="00A05144">
        <w:t xml:space="preserve">conforms </w:t>
      </w:r>
      <w:proofErr w:type="gramStart"/>
      <w:r w:rsidR="00FE066C" w:rsidRPr="00A05144">
        <w:t>with</w:t>
      </w:r>
      <w:proofErr w:type="gramEnd"/>
      <w:r w:rsidR="00FE066C" w:rsidRPr="00A05144">
        <w:t xml:space="preserve"> the </w:t>
      </w:r>
      <w:r w:rsidR="005D0EE7">
        <w:t xml:space="preserve">new capex </w:t>
      </w:r>
      <w:r w:rsidR="00FE066C" w:rsidRPr="00A05144">
        <w:t>criteria in r</w:t>
      </w:r>
      <w:r w:rsidR="00965044">
        <w:t>ule</w:t>
      </w:r>
      <w:r w:rsidR="00FE066C" w:rsidRPr="00A05144">
        <w:t xml:space="preserve"> 79 of the NGR. There are two essential criteria that must be met under this rule:</w:t>
      </w:r>
    </w:p>
    <w:p w:rsidR="00FE066C" w:rsidRPr="00A05144" w:rsidRDefault="005D0EE7" w:rsidP="002B421A">
      <w:pPr>
        <w:pStyle w:val="AERbulletlistfirststyle"/>
      </w:pPr>
      <w:r>
        <w:t>t</w:t>
      </w:r>
      <w:r w:rsidRPr="00A05144">
        <w:t xml:space="preserve">he </w:t>
      </w:r>
      <w:r w:rsidR="00FE066C" w:rsidRPr="00A05144">
        <w:t xml:space="preserve">expenditure must be such as would be incurred by a prudent service provider acting efficiently, in accordance with good industry practice, to achieve the lowest sustainable cost of providing services; and </w:t>
      </w:r>
    </w:p>
    <w:p w:rsidR="00FE066C" w:rsidRPr="00A05144" w:rsidRDefault="005D0EE7" w:rsidP="002B421A">
      <w:pPr>
        <w:pStyle w:val="AERbulletlistfirststyle"/>
      </w:pPr>
      <w:proofErr w:type="gramStart"/>
      <w:r>
        <w:t>t</w:t>
      </w:r>
      <w:r w:rsidRPr="00A05144">
        <w:t>he</w:t>
      </w:r>
      <w:proofErr w:type="gramEnd"/>
      <w:r w:rsidRPr="00A05144">
        <w:t xml:space="preserve"> </w:t>
      </w:r>
      <w:r w:rsidR="00FE066C" w:rsidRPr="00A05144">
        <w:t>expenditure must be justifiable on one of four grounds set out in r</w:t>
      </w:r>
      <w:r w:rsidR="00965044">
        <w:t>ule</w:t>
      </w:r>
      <w:r w:rsidR="00FE066C" w:rsidRPr="00A05144">
        <w:t xml:space="preserve"> 79(2) of the NGR.</w:t>
      </w:r>
    </w:p>
    <w:p w:rsidR="00FE066C" w:rsidRPr="00F745EE" w:rsidRDefault="00FE066C" w:rsidP="00FE066C">
      <w:r w:rsidRPr="00F745EE">
        <w:t>The four grounds set out in r</w:t>
      </w:r>
      <w:r w:rsidR="00965044">
        <w:t>ule</w:t>
      </w:r>
      <w:r w:rsidRPr="00F745EE">
        <w:t xml:space="preserve"> 79(2) of the NGR can be summarised as follows. The capex must either:</w:t>
      </w:r>
    </w:p>
    <w:p w:rsidR="00FE066C" w:rsidRPr="00A05144" w:rsidRDefault="00FE066C" w:rsidP="00FE066C">
      <w:pPr>
        <w:pStyle w:val="AERbulletlistfirststyle"/>
      </w:pPr>
      <w:r w:rsidRPr="00A05144">
        <w:t>have an overall economic value that is positive</w:t>
      </w:r>
    </w:p>
    <w:p w:rsidR="00FE066C" w:rsidRPr="00A05144" w:rsidRDefault="00FE066C" w:rsidP="00FE066C">
      <w:pPr>
        <w:pStyle w:val="AERbulletlistfirststyle"/>
      </w:pPr>
      <w:r w:rsidRPr="00A05144">
        <w:t xml:space="preserve">demonstrate an expected present value of the incremental revenue that exceeds the </w:t>
      </w:r>
      <w:r w:rsidR="00F12ED7">
        <w:t>present value of the capex</w:t>
      </w:r>
    </w:p>
    <w:p w:rsidR="00FE066C" w:rsidRPr="00A05144" w:rsidRDefault="00FE066C" w:rsidP="00FE066C">
      <w:pPr>
        <w:pStyle w:val="AERbulletlistfirststyle"/>
      </w:pPr>
      <w:r w:rsidRPr="00A05144">
        <w:t>be necessary to maintain and improve the safety of services, or maintain the integrity of services, or comply with a regulatory obligation or requirement, or maintain capacity to meet levels of demand existing at the time the capex is incurred, or</w:t>
      </w:r>
    </w:p>
    <w:p w:rsidR="00FE066C" w:rsidRPr="00F745EE" w:rsidRDefault="00FE066C" w:rsidP="00FE066C">
      <w:pPr>
        <w:pStyle w:val="AERbulletlistfirststyle"/>
      </w:pPr>
      <w:proofErr w:type="gramStart"/>
      <w:r w:rsidRPr="00A05144">
        <w:t>be</w:t>
      </w:r>
      <w:proofErr w:type="gramEnd"/>
      <w:r w:rsidRPr="00A05144">
        <w:t xml:space="preserve"> justifiable as a combination of the preceding two dot points.</w:t>
      </w:r>
    </w:p>
    <w:p w:rsidR="00FE066C" w:rsidRPr="00F745EE" w:rsidRDefault="00FE066C" w:rsidP="004147F5">
      <w:r w:rsidRPr="00F745EE">
        <w:t>Rule 79(3) of the NGR provides:</w:t>
      </w:r>
    </w:p>
    <w:p w:rsidR="00FE066C" w:rsidRPr="00F745EE" w:rsidRDefault="00FE066C" w:rsidP="00FE066C">
      <w:pPr>
        <w:pStyle w:val="AERquoteindent1"/>
        <w:rPr>
          <w:rFonts w:eastAsia="Calibri"/>
        </w:rPr>
      </w:pPr>
      <w:r w:rsidRPr="00F745EE">
        <w:rPr>
          <w:rFonts w:eastAsia="Calibri"/>
        </w:rPr>
        <w:t>In deciding whether the overall economic value of capital expenditure is positive, consideration is to be given only to economic value directly accruing to the service provider, gas providers, users and end users.</w:t>
      </w:r>
    </w:p>
    <w:p w:rsidR="00FE066C" w:rsidRDefault="00FE066C" w:rsidP="00FE066C">
      <w:r>
        <w:rPr>
          <w:rFonts w:eastAsia="Calibri"/>
        </w:rPr>
        <w:t>We have</w:t>
      </w:r>
      <w:r w:rsidRPr="00F745EE">
        <w:rPr>
          <w:rFonts w:eastAsia="Calibri"/>
        </w:rPr>
        <w:t xml:space="preserve"> limited discretion when making decisions under r</w:t>
      </w:r>
      <w:r w:rsidR="00965044">
        <w:rPr>
          <w:rFonts w:eastAsia="Calibri"/>
        </w:rPr>
        <w:t>ule</w:t>
      </w:r>
      <w:r w:rsidRPr="00F745EE">
        <w:rPr>
          <w:rFonts w:eastAsia="Calibri"/>
        </w:rPr>
        <w:t xml:space="preserve"> 79 of the NGR.</w:t>
      </w:r>
      <w:r w:rsidRPr="00F745EE">
        <w:rPr>
          <w:rStyle w:val="FootnoteReference"/>
          <w:rFonts w:eastAsia="Calibri"/>
        </w:rPr>
        <w:footnoteReference w:id="7"/>
      </w:r>
      <w:r w:rsidRPr="00F745EE">
        <w:rPr>
          <w:rFonts w:eastAsia="Calibri"/>
        </w:rPr>
        <w:t xml:space="preserve"> This means </w:t>
      </w:r>
      <w:r>
        <w:rPr>
          <w:rFonts w:eastAsia="Calibri"/>
        </w:rPr>
        <w:t>we</w:t>
      </w:r>
      <w:r w:rsidRPr="00F745EE">
        <w:rPr>
          <w:rFonts w:eastAsia="Calibri"/>
        </w:rPr>
        <w:t xml:space="preserve"> must approve a particular element of the access arrangement proposal if </w:t>
      </w:r>
      <w:r>
        <w:rPr>
          <w:rFonts w:eastAsia="Calibri"/>
        </w:rPr>
        <w:t>we are</w:t>
      </w:r>
      <w:r w:rsidRPr="00F745EE">
        <w:rPr>
          <w:rFonts w:eastAsia="Calibri"/>
        </w:rPr>
        <w:t xml:space="preserve"> satisfied that </w:t>
      </w:r>
      <w:r w:rsidR="00952C20">
        <w:rPr>
          <w:rFonts w:eastAsia="Calibri"/>
        </w:rPr>
        <w:t xml:space="preserve">the </w:t>
      </w:r>
      <w:r w:rsidRPr="00F745EE">
        <w:rPr>
          <w:rFonts w:eastAsia="Calibri"/>
        </w:rPr>
        <w:t>element complies with the applicable requirements of the NGR and NGL and is consistent with any criteria set out in the NGR or NGL.</w:t>
      </w:r>
      <w:r w:rsidRPr="00F745EE">
        <w:rPr>
          <w:rStyle w:val="FootnoteReference"/>
          <w:rFonts w:eastAsia="Calibri"/>
        </w:rPr>
        <w:footnoteReference w:id="8"/>
      </w:r>
    </w:p>
    <w:p w:rsidR="00FE066C" w:rsidRDefault="008A01FA" w:rsidP="008A01FA">
      <w:pPr>
        <w:pStyle w:val="Heading3"/>
      </w:pPr>
      <w:bookmarkStart w:id="24" w:name="_Ref433029666"/>
      <w:bookmarkStart w:id="25" w:name="_Toc435692208"/>
      <w:r>
        <w:t>Assessment of conforming capital expenditure in the previous period</w:t>
      </w:r>
      <w:bookmarkEnd w:id="24"/>
      <w:bookmarkEnd w:id="25"/>
    </w:p>
    <w:p w:rsidR="00424275" w:rsidRPr="00765C97" w:rsidRDefault="00424275" w:rsidP="00765C97">
      <w:r w:rsidRPr="00765C97">
        <w:t xml:space="preserve">In assessing </w:t>
      </w:r>
      <w:proofErr w:type="spellStart"/>
      <w:r w:rsidRPr="00765C97">
        <w:t>ActewAGL’s</w:t>
      </w:r>
      <w:proofErr w:type="spellEnd"/>
      <w:r w:rsidRPr="00765C97">
        <w:t xml:space="preserve"> proposed capex in the earlier access arrangement period, we reviewed </w:t>
      </w:r>
      <w:proofErr w:type="spellStart"/>
      <w:r w:rsidRPr="00765C97">
        <w:t>ActewAGL's</w:t>
      </w:r>
      <w:proofErr w:type="spellEnd"/>
      <w:r w:rsidRPr="00765C97">
        <w:t xml:space="preserve"> supporting material. This included information on </w:t>
      </w:r>
      <w:proofErr w:type="spellStart"/>
      <w:r w:rsidRPr="00765C97">
        <w:t>ActewAGL’s</w:t>
      </w:r>
      <w:proofErr w:type="spellEnd"/>
      <w:r w:rsidRPr="00765C97">
        <w:t xml:space="preserve"> reasoning and, where relevant, business cases, audited regulatory accounts, and other relevant information. This information helped us identify whether capex over the earlier access arrangement period was conforming capex and, in turn, whether that capex should be included in the opening capital base in accordance with r</w:t>
      </w:r>
      <w:r w:rsidR="00965044">
        <w:t>ule</w:t>
      </w:r>
      <w:r w:rsidRPr="00765C97">
        <w:t xml:space="preserve"> 77(2)(b) of the NGR.</w:t>
      </w:r>
    </w:p>
    <w:p w:rsidR="00424275" w:rsidRDefault="00424275" w:rsidP="00765C97">
      <w:r w:rsidRPr="00F745EE">
        <w:t xml:space="preserve">We do not approve certain </w:t>
      </w:r>
      <w:r w:rsidR="00890504">
        <w:t>estimates</w:t>
      </w:r>
      <w:r w:rsidR="00890504" w:rsidRPr="00F745EE">
        <w:t xml:space="preserve"> </w:t>
      </w:r>
      <w:r w:rsidRPr="00F745EE">
        <w:t xml:space="preserve">and forecasts provided by </w:t>
      </w:r>
      <w:r>
        <w:t>ActewAGL</w:t>
      </w:r>
      <w:r w:rsidRPr="00F745EE">
        <w:t xml:space="preserve"> if the information does not meet the requirements set out in the NGR.</w:t>
      </w:r>
      <w:r w:rsidRPr="00F745EE">
        <w:rPr>
          <w:rStyle w:val="FootnoteReference"/>
        </w:rPr>
        <w:footnoteReference w:id="9"/>
      </w:r>
      <w:r w:rsidRPr="00F745EE">
        <w:t xml:space="preserve"> </w:t>
      </w:r>
      <w:r>
        <w:t>We must</w:t>
      </w:r>
      <w:r w:rsidRPr="00F745EE">
        <w:t xml:space="preserve"> exercise </w:t>
      </w:r>
      <w:r>
        <w:t>our</w:t>
      </w:r>
      <w:r w:rsidRPr="00F745EE">
        <w:t xml:space="preserve"> economic regulatory functions in a manner that will or is likely to contribute to the achievement of the NGO.</w:t>
      </w:r>
      <w:r w:rsidRPr="00F745EE">
        <w:rPr>
          <w:rStyle w:val="FootnoteReference"/>
        </w:rPr>
        <w:footnoteReference w:id="10"/>
      </w:r>
      <w:r w:rsidRPr="00F745EE">
        <w:t xml:space="preserve"> For instance, having regard to the NGO, </w:t>
      </w:r>
      <w:r>
        <w:t>we</w:t>
      </w:r>
      <w:r w:rsidRPr="00F745EE">
        <w:t xml:space="preserve"> take the view that a prudent service provider will seek cost efficiencies through continuous improvements, and that customers ultimately share in these benefits. This also provides the service provider with a reasonable opportunity to recover at least its efficient costs in accordance with the revenue and pricing principles. </w:t>
      </w:r>
    </w:p>
    <w:p w:rsidR="00F57FF7" w:rsidRPr="00424275" w:rsidRDefault="005D0EE7" w:rsidP="00765C97">
      <w:pPr>
        <w:rPr>
          <w:rFonts w:eastAsia="Calibri"/>
        </w:rPr>
      </w:pPr>
      <w:r>
        <w:rPr>
          <w:rFonts w:eastAsia="Calibri"/>
        </w:rPr>
        <w:t xml:space="preserve">The revision commencement date in </w:t>
      </w:r>
      <w:proofErr w:type="spellStart"/>
      <w:r w:rsidR="00F57FF7" w:rsidRPr="00F57FF7">
        <w:rPr>
          <w:rFonts w:eastAsia="Calibri"/>
        </w:rPr>
        <w:t>ActewAGL’s</w:t>
      </w:r>
      <w:proofErr w:type="spellEnd"/>
      <w:r w:rsidR="00F57FF7" w:rsidRPr="00F57FF7">
        <w:rPr>
          <w:rFonts w:eastAsia="Calibri"/>
        </w:rPr>
        <w:t xml:space="preserve"> current access arrangement </w:t>
      </w:r>
      <w:r>
        <w:rPr>
          <w:rFonts w:eastAsia="Calibri"/>
        </w:rPr>
        <w:t>was</w:t>
      </w:r>
      <w:r w:rsidR="00F57FF7" w:rsidRPr="00F57FF7">
        <w:rPr>
          <w:rFonts w:eastAsia="Calibri"/>
        </w:rPr>
        <w:t xml:space="preserve"> 30 June 2015. As part of the 2012 rule changes, however, the AEMC extended the submission date for </w:t>
      </w:r>
      <w:r w:rsidR="00F57FF7">
        <w:rPr>
          <w:rFonts w:eastAsia="Calibri"/>
        </w:rPr>
        <w:t>its</w:t>
      </w:r>
      <w:r w:rsidR="00F57FF7" w:rsidRPr="00F57FF7">
        <w:rPr>
          <w:rFonts w:eastAsia="Calibri"/>
        </w:rPr>
        <w:t xml:space="preserve"> next access arrangement to 30 June 2015.</w:t>
      </w:r>
      <w:r w:rsidR="00F57FF7">
        <w:rPr>
          <w:rStyle w:val="FootnoteReference"/>
        </w:rPr>
        <w:footnoteReference w:id="11"/>
      </w:r>
      <w:r w:rsidR="00F57FF7" w:rsidRPr="00F57FF7">
        <w:rPr>
          <w:rFonts w:eastAsia="Calibri"/>
        </w:rPr>
        <w:t xml:space="preserve"> </w:t>
      </w:r>
      <w:r w:rsidR="00F57FF7">
        <w:rPr>
          <w:rFonts w:eastAsia="Calibri"/>
        </w:rPr>
        <w:t xml:space="preserve">This means that </w:t>
      </w:r>
      <w:proofErr w:type="spellStart"/>
      <w:r w:rsidR="00F57FF7">
        <w:rPr>
          <w:rFonts w:eastAsia="Calibri"/>
        </w:rPr>
        <w:t>ActewAGL’s</w:t>
      </w:r>
      <w:proofErr w:type="spellEnd"/>
      <w:r w:rsidR="00F57FF7">
        <w:rPr>
          <w:rFonts w:eastAsia="Calibri"/>
        </w:rPr>
        <w:t xml:space="preserve"> </w:t>
      </w:r>
      <w:r w:rsidR="00F57FF7" w:rsidRPr="00F57FF7">
        <w:rPr>
          <w:rFonts w:eastAsia="Calibri"/>
        </w:rPr>
        <w:t>current access arrangement period is six years in length: the original five years from 2010–11 to 2014–15, plus 2015–16.</w:t>
      </w:r>
      <w:r w:rsidR="00F57FF7">
        <w:rPr>
          <w:rStyle w:val="FootnoteReference"/>
        </w:rPr>
        <w:footnoteReference w:id="12"/>
      </w:r>
      <w:r w:rsidR="00F57FF7" w:rsidRPr="00F57FF7">
        <w:rPr>
          <w:rFonts w:eastAsia="Calibri"/>
        </w:rPr>
        <w:t xml:space="preserve"> We therefore consider capex for six years, including 2015–16, when determining the opening capital base for the 2016–21 </w:t>
      </w:r>
      <w:r w:rsidR="00F12ED7">
        <w:rPr>
          <w:rFonts w:eastAsia="Calibri"/>
        </w:rPr>
        <w:t xml:space="preserve">access arrangement </w:t>
      </w:r>
      <w:proofErr w:type="gramStart"/>
      <w:r w:rsidR="00F57FF7" w:rsidRPr="00F57FF7">
        <w:rPr>
          <w:rFonts w:eastAsia="Calibri"/>
        </w:rPr>
        <w:t>period</w:t>
      </w:r>
      <w:proofErr w:type="gramEnd"/>
      <w:r w:rsidR="00F57FF7" w:rsidRPr="00F57FF7">
        <w:rPr>
          <w:rFonts w:eastAsia="Calibri"/>
        </w:rPr>
        <w:t>.</w:t>
      </w:r>
    </w:p>
    <w:p w:rsidR="00F57FF7" w:rsidRDefault="00424275" w:rsidP="00F57FF7">
      <w:r w:rsidRPr="00B76164">
        <w:t>Although the capital base roll forward relates to the 2010–16 access arrangement period, we are also required to adjust for the difference between actual and forecast capex in the capital base.</w:t>
      </w:r>
      <w:r w:rsidRPr="0032574A">
        <w:rPr>
          <w:rStyle w:val="AERsuperscript"/>
        </w:rPr>
        <w:footnoteReference w:id="13"/>
      </w:r>
      <w:r w:rsidRPr="00B76164">
        <w:t xml:space="preserve"> Generally, the final year of the previous access arrangement period is based on forecast capex (in this case, 20</w:t>
      </w:r>
      <w:r w:rsidR="00CC7B5C" w:rsidRPr="00B76164">
        <w:t>09–</w:t>
      </w:r>
      <w:r w:rsidRPr="00B76164">
        <w:t>10). Therefore, our assessment of conforming capex includes the regulatory years for 20</w:t>
      </w:r>
      <w:r w:rsidR="00CC7B5C" w:rsidRPr="00B76164">
        <w:t>09</w:t>
      </w:r>
      <w:r w:rsidRPr="00B76164">
        <w:t>–1</w:t>
      </w:r>
      <w:r w:rsidR="00CC7B5C" w:rsidRPr="00B76164">
        <w:t>6</w:t>
      </w:r>
      <w:r w:rsidRPr="00B76164">
        <w:t xml:space="preserve">. </w:t>
      </w:r>
      <w:r w:rsidR="00F57FF7">
        <w:t xml:space="preserve">We consider the following when determining the opening capital base for 2016–21: </w:t>
      </w:r>
    </w:p>
    <w:p w:rsidR="00F57FF7" w:rsidRDefault="00F57FF7" w:rsidP="00F36252">
      <w:pPr>
        <w:pStyle w:val="AERbulletlistfirststyle"/>
      </w:pPr>
      <w:r>
        <w:t xml:space="preserve">2009–10 capex—when conducting the previous access arrangement review, we did not yet have actual capex for 2009–10. We therefore included </w:t>
      </w:r>
      <w:proofErr w:type="spellStart"/>
      <w:r>
        <w:t>ActewAGL’s</w:t>
      </w:r>
      <w:proofErr w:type="spellEnd"/>
      <w:r>
        <w:t xml:space="preserve"> 2009–10 capex </w:t>
      </w:r>
      <w:proofErr w:type="gramStart"/>
      <w:r>
        <w:t>estimate</w:t>
      </w:r>
      <w:proofErr w:type="gramEnd"/>
      <w:r>
        <w:t xml:space="preserve"> in the capital base benchmark during that review. The NGR requires adjustment for differences between actual and estimated capex.</w:t>
      </w:r>
      <w:r w:rsidR="004F1557">
        <w:rPr>
          <w:rStyle w:val="FootnoteReference"/>
        </w:rPr>
        <w:footnoteReference w:id="14"/>
      </w:r>
      <w:r w:rsidR="004F1557">
        <w:t xml:space="preserve"> </w:t>
      </w:r>
      <w:r>
        <w:t>Since actual capex for 2009–10 is now available, we assess</w:t>
      </w:r>
      <w:r w:rsidR="00C36973">
        <w:t>ed</w:t>
      </w:r>
      <w:r>
        <w:t xml:space="preserve"> whether this capex is conforming capex under the NGR.</w:t>
      </w:r>
      <w:r w:rsidR="004F1557">
        <w:rPr>
          <w:rStyle w:val="FootnoteReference"/>
        </w:rPr>
        <w:footnoteReference w:id="15"/>
      </w:r>
      <w:r>
        <w:t xml:space="preserve"> Where </w:t>
      </w:r>
      <w:proofErr w:type="spellStart"/>
      <w:r>
        <w:t>ActewAGL’s</w:t>
      </w:r>
      <w:proofErr w:type="spellEnd"/>
      <w:r>
        <w:t xml:space="preserve"> 2009–10 capex </w:t>
      </w:r>
      <w:proofErr w:type="gramStart"/>
      <w:r>
        <w:t>estimate</w:t>
      </w:r>
      <w:proofErr w:type="gramEnd"/>
      <w:r>
        <w:t xml:space="preserve"> differs from our conclusions on conforming capex, we adjust</w:t>
      </w:r>
      <w:r w:rsidR="00C36973">
        <w:t>ed</w:t>
      </w:r>
      <w:r>
        <w:t xml:space="preserve"> the capital base roll forward.</w:t>
      </w:r>
      <w:r w:rsidR="004F1557">
        <w:rPr>
          <w:rStyle w:val="FootnoteReference"/>
        </w:rPr>
        <w:footnoteReference w:id="16"/>
      </w:r>
    </w:p>
    <w:p w:rsidR="00F57FF7" w:rsidRDefault="00F57FF7" w:rsidP="00F36252">
      <w:pPr>
        <w:pStyle w:val="AERbulletlistfirststyle"/>
      </w:pPr>
      <w:r>
        <w:t>2010–11 to 2013–14 capex—since we have actual capex for these years, we assess</w:t>
      </w:r>
      <w:r w:rsidR="00C36973">
        <w:t>ed</w:t>
      </w:r>
      <w:r>
        <w:t xml:space="preserve"> whether they are conforming capex under the NGR.</w:t>
      </w:r>
      <w:r w:rsidR="004F1557">
        <w:rPr>
          <w:rStyle w:val="FootnoteReference"/>
        </w:rPr>
        <w:footnoteReference w:id="17"/>
      </w:r>
      <w:r>
        <w:t xml:space="preserve"> We include</w:t>
      </w:r>
      <w:r w:rsidR="00C36973">
        <w:t>d</w:t>
      </w:r>
      <w:r>
        <w:t xml:space="preserve"> conforming capex in the capital base roll forward.</w:t>
      </w:r>
      <w:r w:rsidR="004F1557">
        <w:rPr>
          <w:rStyle w:val="FootnoteReference"/>
        </w:rPr>
        <w:footnoteReference w:id="18"/>
      </w:r>
    </w:p>
    <w:p w:rsidR="00F57FF7" w:rsidRDefault="00F57FF7" w:rsidP="00F36252">
      <w:pPr>
        <w:pStyle w:val="AERbulletlistfirststyle"/>
      </w:pPr>
      <w:r>
        <w:t xml:space="preserve">ActewAGL included capex estimates for two years (2014–15 and 2015–16) due to the extension for submitting its access arrangement proposal. For the draft decision, we will assess whether these estimates are conforming capex under the NGR. </w:t>
      </w:r>
    </w:p>
    <w:p w:rsidR="00F57FF7" w:rsidRDefault="00C36973" w:rsidP="00F36252">
      <w:pPr>
        <w:pStyle w:val="AERbulletlistfirststyle"/>
      </w:pPr>
      <w:r>
        <w:t xml:space="preserve">In this draft decision, we included </w:t>
      </w:r>
      <w:proofErr w:type="spellStart"/>
      <w:r>
        <w:t>ActewAGL’s</w:t>
      </w:r>
      <w:proofErr w:type="spellEnd"/>
      <w:r>
        <w:t xml:space="preserve"> estimated capex for 2014–15 in the capital base roll forward as a placeholder. </w:t>
      </w:r>
      <w:r w:rsidR="00F57FF7">
        <w:t>We expect ActewAGL to have actual 2014–15 capex when it submits its revised access arrangement proposal. We will therefore assess whether actual capex for 2014–15 is conforming capex in our final decision. We will include conforming capex in the capital base roll forward</w:t>
      </w:r>
      <w:r w:rsidRPr="00C36973">
        <w:t xml:space="preserve"> </w:t>
      </w:r>
      <w:r>
        <w:t>in our final decision</w:t>
      </w:r>
      <w:r w:rsidR="00F57FF7">
        <w:t>.</w:t>
      </w:r>
      <w:r>
        <w:t xml:space="preserve"> </w:t>
      </w:r>
    </w:p>
    <w:p w:rsidR="00F57FF7" w:rsidRDefault="00F57FF7" w:rsidP="00F36252">
      <w:pPr>
        <w:pStyle w:val="AERbulletlistfirststyle"/>
      </w:pPr>
      <w:r>
        <w:t>ActewAGL will not have actual capex for 2015–16 by the time of our final decision. The capital base roll forward therefore include</w:t>
      </w:r>
      <w:r w:rsidR="00EA5222">
        <w:t>s</w:t>
      </w:r>
      <w:r>
        <w:t xml:space="preserve"> the estimate for 2015–16 as an input. We will assess whether </w:t>
      </w:r>
      <w:proofErr w:type="spellStart"/>
      <w:r>
        <w:t>ActewAGL’s</w:t>
      </w:r>
      <w:proofErr w:type="spellEnd"/>
      <w:r>
        <w:t xml:space="preserve"> actual capex for 2015–16 is conforming capex under the NGR in the next access arrangement review. </w:t>
      </w:r>
      <w:r w:rsidR="00EA5222">
        <w:t xml:space="preserve">Because the 2015–16 regulatory year was not subject to an ex ante review, we will conduct a detailed ex post review of capex for that year. </w:t>
      </w:r>
      <w:r>
        <w:t>We will adjust the capital base at that time as required.</w:t>
      </w:r>
    </w:p>
    <w:p w:rsidR="00EE710B" w:rsidRDefault="00EE710B" w:rsidP="00EE710B">
      <w:pPr>
        <w:pStyle w:val="Heading3"/>
      </w:pPr>
      <w:bookmarkStart w:id="26" w:name="_Toc435692209"/>
      <w:r>
        <w:t xml:space="preserve">Assessing forecast capex for the </w:t>
      </w:r>
      <w:r w:rsidR="00CF19D9">
        <w:t>2016–21 access arrangement period</w:t>
      </w:r>
      <w:bookmarkEnd w:id="26"/>
    </w:p>
    <w:p w:rsidR="00424275" w:rsidRPr="00B76164" w:rsidRDefault="00424275" w:rsidP="00B76164">
      <w:r w:rsidRPr="00B76164">
        <w:t xml:space="preserve">We assessed the key drivers for capex to assess whether </w:t>
      </w:r>
      <w:proofErr w:type="spellStart"/>
      <w:r w:rsidRPr="00B76164">
        <w:t>A</w:t>
      </w:r>
      <w:r w:rsidR="000B785A" w:rsidRPr="00B76164">
        <w:t>ctewAGL</w:t>
      </w:r>
      <w:r w:rsidRPr="00B76164">
        <w:t>’s</w:t>
      </w:r>
      <w:proofErr w:type="spellEnd"/>
      <w:r w:rsidRPr="00B76164">
        <w:t xml:space="preserve"> proposed capex in the projected capital base complies with the capex criteria in r</w:t>
      </w:r>
      <w:r w:rsidR="00965044">
        <w:t>ule</w:t>
      </w:r>
      <w:r w:rsidRPr="00B76164">
        <w:t xml:space="preserve"> 79(1) of the NGR. In doing so, we relied on information</w:t>
      </w:r>
      <w:r w:rsidR="005D0EE7">
        <w:t xml:space="preserve"> including</w:t>
      </w:r>
      <w:r w:rsidRPr="00B76164">
        <w:t>:</w:t>
      </w:r>
    </w:p>
    <w:p w:rsidR="00424275" w:rsidRPr="00B765B2" w:rsidRDefault="005D0EE7" w:rsidP="00424275">
      <w:pPr>
        <w:pStyle w:val="AERbulletlistfirststyle"/>
      </w:pPr>
      <w:r>
        <w:t>t</w:t>
      </w:r>
      <w:r w:rsidRPr="00B765B2">
        <w:t xml:space="preserve">he </w:t>
      </w:r>
      <w:r w:rsidR="00424275" w:rsidRPr="00B765B2">
        <w:t>access</w:t>
      </w:r>
      <w:r w:rsidR="00A0662A">
        <w:t xml:space="preserve"> arrangement information (AAI)—</w:t>
      </w:r>
      <w:r w:rsidR="00424275" w:rsidRPr="00B765B2">
        <w:t xml:space="preserve">this document outlines </w:t>
      </w:r>
      <w:proofErr w:type="spellStart"/>
      <w:r w:rsidR="00666935">
        <w:t>ActewAGL</w:t>
      </w:r>
      <w:r w:rsidR="00424275" w:rsidRPr="00B765B2">
        <w:t>'s</w:t>
      </w:r>
      <w:proofErr w:type="spellEnd"/>
      <w:r w:rsidR="00424275" w:rsidRPr="00B765B2">
        <w:t xml:space="preserve"> program of capital expenditure and describes the main drivers of increased capital expenditure</w:t>
      </w:r>
      <w:r w:rsidR="00424275" w:rsidRPr="00B765B2">
        <w:rPr>
          <w:rStyle w:val="FootnoteReference"/>
        </w:rPr>
        <w:footnoteReference w:id="19"/>
      </w:r>
    </w:p>
    <w:p w:rsidR="00424275" w:rsidRPr="00B765B2" w:rsidRDefault="005D0EE7" w:rsidP="00424275">
      <w:pPr>
        <w:pStyle w:val="AERbulletlistfirststyle"/>
      </w:pPr>
      <w:r>
        <w:t>t</w:t>
      </w:r>
      <w:r w:rsidRPr="00B765B2">
        <w:t xml:space="preserve">he </w:t>
      </w:r>
      <w:r w:rsidR="00424275" w:rsidRPr="00B765B2">
        <w:t xml:space="preserve">Asset Management Plan, </w:t>
      </w:r>
      <w:r w:rsidR="001E2F1C">
        <w:t>20 Year Asset Strategy</w:t>
      </w:r>
      <w:r w:rsidR="00424275">
        <w:t xml:space="preserve">, Capacity Management </w:t>
      </w:r>
      <w:r w:rsidR="001E2F1C">
        <w:t xml:space="preserve">Strategy and </w:t>
      </w:r>
      <w:r w:rsidR="00424275">
        <w:t xml:space="preserve">Plan, </w:t>
      </w:r>
      <w:r w:rsidR="001E2F1C">
        <w:t>Delivery Plan</w:t>
      </w:r>
      <w:r w:rsidR="00424275" w:rsidRPr="00B765B2">
        <w:t xml:space="preserve">, and </w:t>
      </w:r>
      <w:r w:rsidR="00424275">
        <w:t xml:space="preserve">other </w:t>
      </w:r>
      <w:r w:rsidR="00424275" w:rsidRPr="00B765B2">
        <w:t>a</w:t>
      </w:r>
      <w:r w:rsidR="00424275">
        <w:t>ttachments</w:t>
      </w:r>
      <w:r w:rsidR="00424275" w:rsidRPr="00B765B2">
        <w:t xml:space="preserve"> which provided specific expenditure detail</w:t>
      </w:r>
      <w:r w:rsidR="00424275" w:rsidRPr="00B765B2">
        <w:rPr>
          <w:rStyle w:val="FootnoteReference"/>
        </w:rPr>
        <w:footnoteReference w:id="20"/>
      </w:r>
    </w:p>
    <w:p w:rsidR="00424275" w:rsidRPr="00B765B2" w:rsidRDefault="003B108B" w:rsidP="00424275">
      <w:pPr>
        <w:pStyle w:val="AERbulletlistfirststyle"/>
      </w:pPr>
      <w:proofErr w:type="spellStart"/>
      <w:r>
        <w:t>ActewAGL</w:t>
      </w:r>
      <w:r w:rsidR="00E15123">
        <w:t>’s</w:t>
      </w:r>
      <w:proofErr w:type="spellEnd"/>
      <w:r w:rsidR="00424275" w:rsidRPr="00B765B2">
        <w:t xml:space="preserve"> RIN template</w:t>
      </w:r>
      <w:r w:rsidR="00424275" w:rsidRPr="00B765B2">
        <w:rPr>
          <w:rStyle w:val="FootnoteReference"/>
        </w:rPr>
        <w:footnoteReference w:id="21"/>
      </w:r>
    </w:p>
    <w:p w:rsidR="00424275" w:rsidRPr="00B765B2" w:rsidRDefault="005D0EE7" w:rsidP="00424275">
      <w:pPr>
        <w:pStyle w:val="AERbulletlistfirststyle"/>
      </w:pPr>
      <w:r>
        <w:t xml:space="preserve">opportunity </w:t>
      </w:r>
      <w:r w:rsidR="00EA5222">
        <w:t xml:space="preserve">briefs </w:t>
      </w:r>
      <w:r w:rsidR="00424275" w:rsidRPr="00B765B2">
        <w:t>which detail expenditure requirements of specific projects</w:t>
      </w:r>
      <w:r w:rsidR="00424275" w:rsidRPr="00B765B2">
        <w:rPr>
          <w:rStyle w:val="FootnoteReference"/>
        </w:rPr>
        <w:footnoteReference w:id="22"/>
      </w:r>
    </w:p>
    <w:p w:rsidR="00424275" w:rsidRPr="00B765B2" w:rsidRDefault="00C25590" w:rsidP="00424275">
      <w:pPr>
        <w:pStyle w:val="AERbulletlistfirststyle"/>
      </w:pPr>
      <w:proofErr w:type="spellStart"/>
      <w:r>
        <w:t>ActewAGL</w:t>
      </w:r>
      <w:r w:rsidR="00F12ED7">
        <w:t>’s</w:t>
      </w:r>
      <w:proofErr w:type="spellEnd"/>
      <w:r w:rsidR="00424275" w:rsidRPr="00B765B2">
        <w:t xml:space="preserve"> tender and contract documentation</w:t>
      </w:r>
      <w:r w:rsidR="00424275" w:rsidRPr="00B765B2">
        <w:rPr>
          <w:rStyle w:val="FootnoteReference"/>
        </w:rPr>
        <w:footnoteReference w:id="23"/>
      </w:r>
    </w:p>
    <w:p w:rsidR="00424275" w:rsidRPr="00B765B2" w:rsidRDefault="00C25590" w:rsidP="00424275">
      <w:pPr>
        <w:pStyle w:val="AERbulletlistfirststyle"/>
      </w:pPr>
      <w:proofErr w:type="spellStart"/>
      <w:r>
        <w:t>ActewAGL</w:t>
      </w:r>
      <w:r w:rsidR="00F12ED7">
        <w:t>’s</w:t>
      </w:r>
      <w:proofErr w:type="spellEnd"/>
      <w:r w:rsidR="00424275">
        <w:t xml:space="preserve"> c</w:t>
      </w:r>
      <w:r w:rsidR="00424275" w:rsidRPr="00B765B2">
        <w:t>apex model.</w:t>
      </w:r>
      <w:r w:rsidR="00424275" w:rsidRPr="00B765B2">
        <w:rPr>
          <w:rStyle w:val="FootnoteReference"/>
        </w:rPr>
        <w:footnoteReference w:id="24"/>
      </w:r>
    </w:p>
    <w:p w:rsidR="00424275" w:rsidRPr="00F745EE" w:rsidRDefault="00424275" w:rsidP="00450A54">
      <w:r w:rsidRPr="00F745EE">
        <w:t>We then assessed the prudency and efficiency of the proposed capex. For analysis purposes the capex was broken into categories depending on whether the expenditure is driven by:</w:t>
      </w:r>
    </w:p>
    <w:p w:rsidR="00424275" w:rsidRPr="00450A54" w:rsidRDefault="00424275" w:rsidP="00450A54">
      <w:pPr>
        <w:pStyle w:val="AERbulletlistfirststyle"/>
      </w:pPr>
      <w:r w:rsidRPr="00450A54">
        <w:t>Growth in demand - extensions, connections, augmentation</w:t>
      </w:r>
    </w:p>
    <w:p w:rsidR="00424275" w:rsidRPr="00450A54" w:rsidRDefault="00424275" w:rsidP="00450A54">
      <w:pPr>
        <w:pStyle w:val="AERbulletlistfirststyle"/>
      </w:pPr>
      <w:r w:rsidRPr="00450A54">
        <w:t>Replacement on the basis of asset life, obsolescence, safety or regulatory obligations - mains, services, meters, regulators, city gates, IT, SCADA, or</w:t>
      </w:r>
    </w:p>
    <w:p w:rsidR="00424275" w:rsidRDefault="00424275" w:rsidP="00450A54">
      <w:pPr>
        <w:pStyle w:val="AERbulletlistfirststyle"/>
      </w:pPr>
      <w:r w:rsidRPr="00450A54">
        <w:t xml:space="preserve">Other - new regulatory or safety obligations, opex or reliability improvements. </w:t>
      </w:r>
    </w:p>
    <w:p w:rsidR="005D0EE7" w:rsidRPr="005D0EE7" w:rsidRDefault="005D0EE7" w:rsidP="004E695C">
      <w:r w:rsidRPr="005D0EE7">
        <w:t xml:space="preserve">We assessed the prudency and efficiency of the proposed capex, to determine whether the capex </w:t>
      </w:r>
      <w:r>
        <w:t>is such as would be incurred by a prudent operator acting efficiently, in accordance with accepted good industry practice, to achieve the lowest sustainable cost of providing services.</w:t>
      </w:r>
      <w:r>
        <w:rPr>
          <w:rStyle w:val="FootnoteReference"/>
        </w:rPr>
        <w:footnoteReference w:id="25"/>
      </w:r>
      <w:r>
        <w:t xml:space="preserve"> We also assessed whether the proposed capex is justified on one of the four grounds under r</w:t>
      </w:r>
      <w:r w:rsidR="00965044">
        <w:t>ule</w:t>
      </w:r>
      <w:r>
        <w:t> 79(2) of the NGR.</w:t>
      </w:r>
    </w:p>
    <w:p w:rsidR="008A01FA" w:rsidRDefault="00424275">
      <w:r w:rsidRPr="004E695C">
        <w:t>For each category of expenditure the scope, timing and cost of the proposed</w:t>
      </w:r>
      <w:r w:rsidRPr="00F745EE">
        <w:rPr>
          <w:rFonts w:eastAsia="Calibri"/>
        </w:rPr>
        <w:t xml:space="preserve"> expenditure was considered in order to form a view on the prudency and efficiency of the expenditure. </w:t>
      </w:r>
      <w:r w:rsidR="005D0EE7">
        <w:t>Our</w:t>
      </w:r>
      <w:r w:rsidR="005D0EE7" w:rsidRPr="00F745EE">
        <w:t xml:space="preserve"> </w:t>
      </w:r>
      <w:r w:rsidRPr="00F745EE">
        <w:t>assessment also considered whether cost forecasts have been arrived at on a reasonable basis and represent the best forecast possible in the circumstances.</w:t>
      </w:r>
    </w:p>
    <w:p w:rsidR="009967F3" w:rsidRPr="00F745EE" w:rsidRDefault="009967F3" w:rsidP="009967F3">
      <w:r w:rsidRPr="00F745EE">
        <w:t xml:space="preserve">The following sections set out our approach to assessing </w:t>
      </w:r>
      <w:proofErr w:type="spellStart"/>
      <w:r w:rsidR="00FC4A16">
        <w:t>ActewAGL</w:t>
      </w:r>
      <w:r w:rsidRPr="00F745EE">
        <w:t>'s</w:t>
      </w:r>
      <w:proofErr w:type="spellEnd"/>
      <w:r w:rsidRPr="00F745EE">
        <w:t xml:space="preserve"> forecast </w:t>
      </w:r>
      <w:r>
        <w:t>of required capex for the 2016</w:t>
      </w:r>
      <w:r w:rsidR="00FC4A16">
        <w:t>–</w:t>
      </w:r>
      <w:r w:rsidRPr="00F745EE">
        <w:t>2</w:t>
      </w:r>
      <w:r>
        <w:t>1</w:t>
      </w:r>
      <w:r w:rsidRPr="00F745EE">
        <w:t xml:space="preserve"> </w:t>
      </w:r>
      <w:r w:rsidR="00F12ED7">
        <w:t xml:space="preserve">access arrangement </w:t>
      </w:r>
      <w:proofErr w:type="gramStart"/>
      <w:r w:rsidRPr="00F745EE">
        <w:t>period</w:t>
      </w:r>
      <w:proofErr w:type="gramEnd"/>
      <w:r w:rsidRPr="00F745EE">
        <w:t>. Our tools and techniques cover:</w:t>
      </w:r>
    </w:p>
    <w:p w:rsidR="009967F3" w:rsidRPr="005137F8" w:rsidRDefault="009967F3" w:rsidP="009967F3">
      <w:pPr>
        <w:pStyle w:val="AERbulletlistfirststyle"/>
      </w:pPr>
      <w:r w:rsidRPr="005137F8">
        <w:t>assessing whether any outsourcing to third-parties reflect genuine arm's length arrangements</w:t>
      </w:r>
    </w:p>
    <w:p w:rsidR="009967F3" w:rsidRPr="005137F8" w:rsidRDefault="009967F3" w:rsidP="009967F3">
      <w:pPr>
        <w:pStyle w:val="AERbulletlistfirststyle"/>
      </w:pPr>
      <w:r w:rsidRPr="005137F8">
        <w:t>assessing historical expenditure under the revealed cost approach</w:t>
      </w:r>
    </w:p>
    <w:p w:rsidR="009967F3" w:rsidRPr="005137F8" w:rsidRDefault="009967F3" w:rsidP="009967F3">
      <w:pPr>
        <w:pStyle w:val="AERbulletlistfirststyle"/>
      </w:pPr>
      <w:r w:rsidRPr="005137F8">
        <w:t>how we compare costs against previous decisions we have made (benchmarking)</w:t>
      </w:r>
    </w:p>
    <w:p w:rsidR="009967F3" w:rsidRPr="005137F8" w:rsidRDefault="009967F3" w:rsidP="009967F3">
      <w:pPr>
        <w:pStyle w:val="AERbulletlistfirststyle"/>
      </w:pPr>
      <w:r w:rsidRPr="005137F8">
        <w:t>consideration of technical engineering advice</w:t>
      </w:r>
    </w:p>
    <w:p w:rsidR="009967F3" w:rsidRPr="00F745EE" w:rsidRDefault="009967F3" w:rsidP="009967F3">
      <w:pPr>
        <w:pStyle w:val="AERbulletlistfirststyle"/>
      </w:pPr>
      <w:proofErr w:type="gramStart"/>
      <w:r w:rsidRPr="005137F8">
        <w:t>determining</w:t>
      </w:r>
      <w:proofErr w:type="gramEnd"/>
      <w:r w:rsidRPr="005137F8">
        <w:t xml:space="preserve"> the appropriate </w:t>
      </w:r>
      <w:r w:rsidR="00563CA0">
        <w:t>estimate</w:t>
      </w:r>
      <w:r w:rsidRPr="005137F8">
        <w:t xml:space="preserve"> for equity raising costs.</w:t>
      </w:r>
      <w:r w:rsidRPr="00F745EE">
        <w:t xml:space="preserve"> </w:t>
      </w:r>
    </w:p>
    <w:p w:rsidR="00424275" w:rsidRDefault="00FC4A16" w:rsidP="0032574A">
      <w:pPr>
        <w:pStyle w:val="Heading4"/>
      </w:pPr>
      <w:r>
        <w:t>Assessing competitive tender processes for outsourced activities</w:t>
      </w:r>
    </w:p>
    <w:p w:rsidR="00FC4A16" w:rsidRPr="00F745EE" w:rsidRDefault="00FC4A16" w:rsidP="00FC4A16">
      <w:r w:rsidRPr="00F745EE">
        <w:t xml:space="preserve">Outsourcing to specialist providers of a particular service is a common means by which businesses in the economy are able to gain access to economies of scale and scope and other efficiencies. </w:t>
      </w:r>
    </w:p>
    <w:p w:rsidR="00FC4A16" w:rsidRPr="00F745EE" w:rsidRDefault="00FC4A16" w:rsidP="00FC4A16">
      <w:r w:rsidRPr="00F745EE">
        <w:t xml:space="preserve">Where </w:t>
      </w:r>
      <w:r>
        <w:t>ActewAGL has</w:t>
      </w:r>
      <w:r w:rsidRPr="00F745EE">
        <w:t xml:space="preserve"> used tendered rates as the basis of proposed unit costs, </w:t>
      </w:r>
      <w:r>
        <w:t>we</w:t>
      </w:r>
      <w:r w:rsidRPr="00F745EE">
        <w:t xml:space="preserve"> relied on </w:t>
      </w:r>
      <w:r>
        <w:t>our</w:t>
      </w:r>
      <w:r w:rsidRPr="00F745EE">
        <w:t xml:space="preserve"> approach to assessing outsourcing arrangements.</w:t>
      </w:r>
      <w:r>
        <w:rPr>
          <w:rStyle w:val="FootnoteReference"/>
        </w:rPr>
        <w:footnoteReference w:id="26"/>
      </w:r>
      <w:r w:rsidRPr="00F745EE">
        <w:t xml:space="preserve"> The first stage of the conceptual framework is a 'presumption threshold' designed to be an initial filter to determine which contracts can be presumed to reflect efficient costs that would be incurred by a prudent operator.</w:t>
      </w:r>
      <w:r>
        <w:rPr>
          <w:rStyle w:val="FootnoteReference"/>
        </w:rPr>
        <w:footnoteReference w:id="27"/>
      </w:r>
      <w:r w:rsidRPr="00F745EE">
        <w:t xml:space="preserve"> </w:t>
      </w:r>
    </w:p>
    <w:p w:rsidR="00FC4A16" w:rsidRPr="00F745EE" w:rsidRDefault="00FC4A16" w:rsidP="00FC4A16">
      <w:r w:rsidRPr="00F745EE">
        <w:t xml:space="preserve">In undertaking this ‘presumption threshold’ assessment, </w:t>
      </w:r>
      <w:r>
        <w:t>we</w:t>
      </w:r>
      <w:r w:rsidRPr="00F745EE">
        <w:t xml:space="preserve"> consider:</w:t>
      </w:r>
    </w:p>
    <w:p w:rsidR="00FC4A16" w:rsidRPr="00FC4A16" w:rsidRDefault="00FC4A16" w:rsidP="00FC4A16">
      <w:pPr>
        <w:pStyle w:val="AERbulletlistfirststyle"/>
      </w:pPr>
      <w:r w:rsidRPr="00FC4A16">
        <w:t>Did the service provider have an incentive to agree to non-arm’s length terms at the time the contract was negotiated (or at its most recent re-negotiation)?</w:t>
      </w:r>
    </w:p>
    <w:p w:rsidR="00FC4A16" w:rsidRPr="00FC4A16" w:rsidRDefault="00FC4A16" w:rsidP="00FC4A16">
      <w:pPr>
        <w:pStyle w:val="AERbulletlistfirststyle"/>
      </w:pPr>
      <w:r w:rsidRPr="00FC4A16">
        <w:t>If yes, was a competitive open tender process conducted in a competitive market?</w:t>
      </w:r>
    </w:p>
    <w:p w:rsidR="00FC4A16" w:rsidRPr="00F745EE" w:rsidRDefault="00FC4A16" w:rsidP="00B76164">
      <w:r w:rsidRPr="00F745EE">
        <w:t xml:space="preserve">In the absence of an incentive to agree to non-arm’s length terms, </w:t>
      </w:r>
      <w:r>
        <w:t>we</w:t>
      </w:r>
      <w:r w:rsidRPr="00F745EE">
        <w:t xml:space="preserve"> consider it reasonable to presume a contract price reflects efficient costs. </w:t>
      </w:r>
      <w:r>
        <w:t>We</w:t>
      </w:r>
      <w:r w:rsidRPr="00F745EE">
        <w:t xml:space="preserve"> also consider this presumption to be reasonable where an incentive to agree to non-arm’s length terms exists but the contract was the outcome of a competitive open tender process in a competitive market.</w:t>
      </w:r>
      <w:r>
        <w:rPr>
          <w:rStyle w:val="FootnoteReference"/>
        </w:rPr>
        <w:footnoteReference w:id="28"/>
      </w:r>
    </w:p>
    <w:p w:rsidR="00FC4A16" w:rsidRPr="00F745EE" w:rsidRDefault="00FC4A16" w:rsidP="00B76164">
      <w:r w:rsidRPr="00F745EE">
        <w:t xml:space="preserve">Where an arrangement 'passes' the presumption threshold, </w:t>
      </w:r>
      <w:r>
        <w:t>we</w:t>
      </w:r>
      <w:r w:rsidRPr="00F745EE">
        <w:t xml:space="preserve"> consider the starting point for setting future expenditure should be the contract price itself, with limited further examination. This further examination involves checking whether the contract wholly relates to the relevant services and whether the contract price already compensates for risks or costs provided for elsewhere in the building blocks.</w:t>
      </w:r>
    </w:p>
    <w:p w:rsidR="00424275" w:rsidRDefault="00FC4A16" w:rsidP="00F36252">
      <w:pPr>
        <w:pStyle w:val="Heading4"/>
      </w:pPr>
      <w:r>
        <w:t>Revealed cost approach</w:t>
      </w:r>
    </w:p>
    <w:p w:rsidR="00FC4A16" w:rsidRPr="00B76164" w:rsidRDefault="00FC4A16" w:rsidP="00B76164">
      <w:r w:rsidRPr="00B76164">
        <w:t>The revealed cost approach considers information revealed by the past performance of a gas business. Under the ex-ante regime, gas businesses are rewarded for spending less capex than allowed by the regulator. This incentive enables us to place some reliance on the historical costs of a gas business when reviewing its forecast capex. We used historical costs and volumes as an indicator of efficient costs and volumes for certain categories of capex</w:t>
      </w:r>
      <w:r w:rsidR="00952C20">
        <w:t xml:space="preserve"> in this draft decision</w:t>
      </w:r>
      <w:r w:rsidRPr="00B76164">
        <w:t xml:space="preserve">. </w:t>
      </w:r>
      <w:r w:rsidR="00A347FA" w:rsidRPr="00B76164">
        <w:t>In particular, we used historical total costs, unit costs and volumes in assessing</w:t>
      </w:r>
      <w:r w:rsidR="00A347FA">
        <w:t xml:space="preserve"> capex related to market expansion</w:t>
      </w:r>
      <w:r w:rsidR="00A347FA" w:rsidRPr="00B76164">
        <w:t xml:space="preserve"> </w:t>
      </w:r>
      <w:r w:rsidR="00A347FA">
        <w:t>(</w:t>
      </w:r>
      <w:r w:rsidR="00A347FA" w:rsidRPr="00B76164">
        <w:t>connections</w:t>
      </w:r>
      <w:r w:rsidR="00A347FA">
        <w:t>)</w:t>
      </w:r>
      <w:r w:rsidR="00A347FA" w:rsidRPr="00B76164">
        <w:t xml:space="preserve">, </w:t>
      </w:r>
      <w:r w:rsidR="00A347FA">
        <w:t>network renewal and upgrade</w:t>
      </w:r>
      <w:r w:rsidR="00A347FA" w:rsidRPr="00B76164">
        <w:t>,</w:t>
      </w:r>
      <w:r w:rsidR="00A347FA">
        <w:t xml:space="preserve"> and</w:t>
      </w:r>
      <w:r w:rsidR="00A347FA" w:rsidRPr="00B76164">
        <w:t xml:space="preserve"> meter </w:t>
      </w:r>
      <w:r w:rsidR="00A347FA">
        <w:t>renewal and upgrade</w:t>
      </w:r>
      <w:r w:rsidR="00A347FA" w:rsidRPr="00B76164">
        <w:t>.</w:t>
      </w:r>
      <w:r w:rsidRPr="00B76164">
        <w:t xml:space="preserve"> </w:t>
      </w:r>
    </w:p>
    <w:p w:rsidR="00FC4A16" w:rsidRPr="00F745EE" w:rsidRDefault="00FC4A16" w:rsidP="00FC4A16">
      <w:r w:rsidRPr="00F745EE">
        <w:t xml:space="preserve">The revealed cost approach is an accepted industry practice. Many </w:t>
      </w:r>
      <w:r w:rsidRPr="00F745EE">
        <w:rPr>
          <w:rStyle w:val="AERbody"/>
        </w:rPr>
        <w:t>gas businesses</w:t>
      </w:r>
      <w:r w:rsidRPr="00F745EE">
        <w:t xml:space="preserve">, including </w:t>
      </w:r>
      <w:r w:rsidR="00540A8B">
        <w:t>ActewAGL</w:t>
      </w:r>
      <w:r w:rsidRPr="00F745EE">
        <w:t xml:space="preserve">, have used this approach as a basis to forecast expenditure proposals. </w:t>
      </w:r>
      <w:r w:rsidR="00A347FA">
        <w:t xml:space="preserve">We </w:t>
      </w:r>
      <w:r w:rsidR="00952C20">
        <w:t xml:space="preserve">have </w:t>
      </w:r>
      <w:r w:rsidR="00A347FA">
        <w:t>also used t</w:t>
      </w:r>
      <w:r w:rsidRPr="00F745EE">
        <w:t xml:space="preserve">his approach previously in our assessment of access arrangement proposals for the Victorian </w:t>
      </w:r>
      <w:r w:rsidR="00A347FA">
        <w:t xml:space="preserve">and NSW </w:t>
      </w:r>
      <w:r w:rsidRPr="00F745EE">
        <w:t>gas businesses.</w:t>
      </w:r>
    </w:p>
    <w:p w:rsidR="00FC4A16" w:rsidRDefault="00540A8B" w:rsidP="00F36252">
      <w:pPr>
        <w:pStyle w:val="Heading4"/>
      </w:pPr>
      <w:r>
        <w:t>Benchmarking against the other businesses’ proposed unit costs and volumes</w:t>
      </w:r>
    </w:p>
    <w:p w:rsidR="00540A8B" w:rsidRPr="00F745EE" w:rsidRDefault="00540A8B" w:rsidP="00CD532F">
      <w:r>
        <w:t>We</w:t>
      </w:r>
      <w:r w:rsidRPr="00F745EE">
        <w:t xml:space="preserve"> also conducted comparative analysis of unit costs </w:t>
      </w:r>
      <w:r>
        <w:t>ActewAGL</w:t>
      </w:r>
      <w:r w:rsidRPr="00F745EE">
        <w:t xml:space="preserve"> used to develop its capex forecast. Comparing the costs incurred by one regulated entity against the costs incurred by other regulated entities in similar circumstances, and using the comparison to assess the efficiency and prudency of those costs, is known as 'benchmarking'. </w:t>
      </w:r>
      <w:r>
        <w:t>We</w:t>
      </w:r>
      <w:r w:rsidRPr="00F745EE">
        <w:t xml:space="preserve"> consider that the use of benchmarking to assess whether capex is conforming is consistent with the requirements of the NGR.</w:t>
      </w:r>
    </w:p>
    <w:p w:rsidR="00540A8B" w:rsidRPr="00B76164" w:rsidRDefault="00540A8B" w:rsidP="00B76164">
      <w:r w:rsidRPr="00B76164">
        <w:t xml:space="preserve">We undertook a high level benchmarking of a selection of </w:t>
      </w:r>
      <w:proofErr w:type="spellStart"/>
      <w:r w:rsidR="00CD532F" w:rsidRPr="00B76164">
        <w:t>ActewAGL</w:t>
      </w:r>
      <w:r w:rsidRPr="00B76164">
        <w:t>‘s</w:t>
      </w:r>
      <w:proofErr w:type="spellEnd"/>
      <w:r w:rsidRPr="00B76164">
        <w:t xml:space="preserve"> unit costs against similar unit costs of the Victorian</w:t>
      </w:r>
      <w:r w:rsidR="00A347FA">
        <w:t>, NSW and South Australian</w:t>
      </w:r>
      <w:r w:rsidRPr="00B76164">
        <w:t xml:space="preserve"> gas businesses. Where required some adjustment for compositional difference was made. </w:t>
      </w:r>
      <w:r w:rsidR="00A347FA">
        <w:t>We used t</w:t>
      </w:r>
      <w:r w:rsidRPr="00B76164">
        <w:t xml:space="preserve">his comparison </w:t>
      </w:r>
      <w:r w:rsidR="00A347FA">
        <w:t xml:space="preserve">to </w:t>
      </w:r>
      <w:r w:rsidRPr="00B76164">
        <w:t>assess connections</w:t>
      </w:r>
      <w:r w:rsidR="00137448">
        <w:t>/market expansion and meter renewal expenditure</w:t>
      </w:r>
      <w:r w:rsidRPr="00B76164">
        <w:t>.</w:t>
      </w:r>
    </w:p>
    <w:p w:rsidR="00540A8B" w:rsidRPr="00F745EE" w:rsidRDefault="00540A8B" w:rsidP="00CD532F">
      <w:r w:rsidRPr="00F745EE">
        <w:t xml:space="preserve">Where this benchmarking indicated that </w:t>
      </w:r>
      <w:proofErr w:type="spellStart"/>
      <w:r w:rsidR="00CD532F">
        <w:t>ActewAGL</w:t>
      </w:r>
      <w:r w:rsidRPr="00F745EE">
        <w:t>'s</w:t>
      </w:r>
      <w:proofErr w:type="spellEnd"/>
      <w:r w:rsidRPr="00F745EE">
        <w:t xml:space="preserve"> capex may not be efficient, </w:t>
      </w:r>
      <w:r>
        <w:t>we</w:t>
      </w:r>
      <w:r w:rsidRPr="00F745EE">
        <w:t xml:space="preserve"> undertook a detailed review of </w:t>
      </w:r>
      <w:proofErr w:type="spellStart"/>
      <w:r w:rsidR="00CD532F">
        <w:t>ActewAGL</w:t>
      </w:r>
      <w:r w:rsidRPr="00F745EE">
        <w:t>‘s</w:t>
      </w:r>
      <w:proofErr w:type="spellEnd"/>
      <w:r w:rsidRPr="00F745EE">
        <w:t xml:space="preserve"> proposal. </w:t>
      </w:r>
      <w:r>
        <w:t>Our</w:t>
      </w:r>
      <w:r w:rsidRPr="00F745EE">
        <w:t xml:space="preserve"> detailed review involved consideration of relevant documentation and the impact of factors expected to differ from the past and/or from the Victorian</w:t>
      </w:r>
      <w:r w:rsidR="00A347FA">
        <w:t>, NSW and South Australian</w:t>
      </w:r>
      <w:r w:rsidRPr="00F745EE">
        <w:t xml:space="preserve"> gas businesses. </w:t>
      </w:r>
    </w:p>
    <w:p w:rsidR="00540A8B" w:rsidRDefault="00540A8B" w:rsidP="00CD532F">
      <w:r>
        <w:t>We</w:t>
      </w:r>
      <w:r w:rsidRPr="00F745EE">
        <w:t xml:space="preserve"> recognise that forecast efficient costs may legitimately depart from those revealed through past performance, and compared with other gas businesses. For example, gas businesses may discover more efficient processes over time. The gas businesses may propose that they can best achieve their safety, reliability or regulatory obligations by incurring expenditure to implement new, more efficient processes, and include such expenditure in their proposed forecast capex. </w:t>
      </w:r>
      <w:r>
        <w:t>We</w:t>
      </w:r>
      <w:r w:rsidRPr="00F745EE">
        <w:t xml:space="preserve"> consider</w:t>
      </w:r>
      <w:r>
        <w:t xml:space="preserve"> </w:t>
      </w:r>
      <w:r w:rsidRPr="00F745EE">
        <w:t xml:space="preserve">it likely that a prudent service provider, acting efficiently, would only change operating processes (from revealed, or otherwise efficient processes) if they are likely to result in efficiency gains (in the absence of any information to suggest other reasons for the change). Where </w:t>
      </w:r>
      <w:r>
        <w:t>we</w:t>
      </w:r>
      <w:r w:rsidRPr="00F745EE">
        <w:t xml:space="preserve"> consider that future cost savings should result from capex investments, </w:t>
      </w:r>
      <w:r>
        <w:t xml:space="preserve">we have taken this </w:t>
      </w:r>
      <w:r w:rsidRPr="00F745EE">
        <w:t>int</w:t>
      </w:r>
      <w:r>
        <w:t xml:space="preserve">o consideration in determining </w:t>
      </w:r>
      <w:proofErr w:type="spellStart"/>
      <w:r>
        <w:t>A</w:t>
      </w:r>
      <w:r w:rsidR="00CD532F">
        <w:t>ctewAGL</w:t>
      </w:r>
      <w:r w:rsidRPr="00F745EE">
        <w:t>‘s</w:t>
      </w:r>
      <w:proofErr w:type="spellEnd"/>
      <w:r w:rsidRPr="00F745EE">
        <w:t xml:space="preserve"> </w:t>
      </w:r>
      <w:r w:rsidR="00563CA0">
        <w:t xml:space="preserve">forecast </w:t>
      </w:r>
      <w:r w:rsidRPr="00F745EE">
        <w:t>opex.</w:t>
      </w:r>
    </w:p>
    <w:p w:rsidR="00EE1F6C" w:rsidRDefault="00EE1F6C" w:rsidP="00E834E1">
      <w:pPr>
        <w:pStyle w:val="Heading4"/>
        <w:keepNext/>
        <w:ind w:left="862" w:hanging="862"/>
      </w:pPr>
      <w:r>
        <w:t>Specialist technical advice</w:t>
      </w:r>
    </w:p>
    <w:p w:rsidR="003F66E1" w:rsidRDefault="003F66E1" w:rsidP="003F66E1">
      <w:r w:rsidRPr="000C4C72">
        <w:t>We drew on engineering and other technical expertise within the AER to assist with</w:t>
      </w:r>
      <w:r>
        <w:t xml:space="preserve"> our review on the prudency and efficiency of </w:t>
      </w:r>
      <w:proofErr w:type="spellStart"/>
      <w:r>
        <w:t>ActewAGL’s</w:t>
      </w:r>
      <w:proofErr w:type="spellEnd"/>
      <w:r>
        <w:t xml:space="preserve"> proposed market expansion capex.</w:t>
      </w:r>
    </w:p>
    <w:p w:rsidR="00EE1F6C" w:rsidRPr="00F745EE" w:rsidRDefault="003F66E1" w:rsidP="003F66E1">
      <w:r>
        <w:t>We</w:t>
      </w:r>
      <w:r w:rsidRPr="00F745EE">
        <w:t xml:space="preserve"> </w:t>
      </w:r>
      <w:r>
        <w:t xml:space="preserve">also </w:t>
      </w:r>
      <w:r w:rsidRPr="00F745EE">
        <w:t xml:space="preserve">engaged an engineering consultant, </w:t>
      </w:r>
      <w:proofErr w:type="spellStart"/>
      <w:r w:rsidRPr="00F745EE">
        <w:t>Sleeman</w:t>
      </w:r>
      <w:proofErr w:type="spellEnd"/>
      <w:r w:rsidRPr="00F745EE">
        <w:t xml:space="preserve"> Consulting, to provide specialist technical advice on the prudency and efficiency of </w:t>
      </w:r>
      <w:proofErr w:type="spellStart"/>
      <w:r>
        <w:t>ActewAGL</w:t>
      </w:r>
      <w:r w:rsidRPr="00F745EE">
        <w:t>'s</w:t>
      </w:r>
      <w:proofErr w:type="spellEnd"/>
      <w:r w:rsidRPr="00F745EE">
        <w:t xml:space="preserve"> proposed</w:t>
      </w:r>
      <w:r>
        <w:t xml:space="preserve"> capex related to</w:t>
      </w:r>
      <w:r w:rsidRPr="00F745EE">
        <w:t xml:space="preserve"> </w:t>
      </w:r>
      <w:r w:rsidR="00FA2263">
        <w:t xml:space="preserve">capacity development </w:t>
      </w:r>
      <w:r>
        <w:t>and</w:t>
      </w:r>
      <w:r w:rsidRPr="00F745EE">
        <w:t xml:space="preserve"> </w:t>
      </w:r>
      <w:r>
        <w:t>network</w:t>
      </w:r>
      <w:r w:rsidRPr="00F745EE">
        <w:t xml:space="preserve"> renewal and upgrade.</w:t>
      </w:r>
      <w:r w:rsidRPr="00F745EE">
        <w:rPr>
          <w:rStyle w:val="FootnoteReference"/>
        </w:rPr>
        <w:footnoteReference w:id="29"/>
      </w:r>
      <w:r w:rsidR="00EE1F6C" w:rsidRPr="00F745EE">
        <w:t xml:space="preserve"> </w:t>
      </w:r>
    </w:p>
    <w:p w:rsidR="00EE1F6C" w:rsidRPr="00F745EE" w:rsidRDefault="00EE1F6C" w:rsidP="003F66E1">
      <w:pPr>
        <w:pStyle w:val="Heading4"/>
      </w:pPr>
      <w:r>
        <w:t>Cash flow analysis</w:t>
      </w:r>
      <w:r w:rsidR="00D16568">
        <w:t xml:space="preserve"> for equity raising costs</w:t>
      </w:r>
    </w:p>
    <w:p w:rsidR="00540A8B" w:rsidRPr="00FE066C" w:rsidRDefault="00D16568" w:rsidP="00FE066C">
      <w:r w:rsidRPr="00D16568">
        <w:t xml:space="preserve">To determine the amount of equity raising costs, we have undertaken an assessment of benchmark cash flows calculated in the PTRM. Under this method, a prudent service provider, acting efficiently, would first exhaust the cheapest sources of funding, such as internal cash flows, before using more expensive external sources of funding, such as equity financing. The cash flow modelling approach used by the AER incorporates this assumption to determine if any external equity financing would be required based on the AER’s capex forecast for </w:t>
      </w:r>
      <w:r w:rsidR="00B76164">
        <w:t>ActewAGL</w:t>
      </w:r>
      <w:r w:rsidRPr="00D16568">
        <w:t>. For further discussion see attachment 3</w:t>
      </w:r>
      <w:r w:rsidR="003F66E1">
        <w:t xml:space="preserve"> of this </w:t>
      </w:r>
      <w:r w:rsidR="00E8604A">
        <w:t>draft</w:t>
      </w:r>
      <w:r w:rsidR="003F66E1">
        <w:t xml:space="preserve"> decision (rate of return)</w:t>
      </w:r>
      <w:r w:rsidRPr="00D16568">
        <w:t>.</w:t>
      </w:r>
    </w:p>
    <w:p w:rsidR="005C0A7F" w:rsidRDefault="005C0A7F" w:rsidP="005C0A7F">
      <w:pPr>
        <w:pStyle w:val="Heading3"/>
      </w:pPr>
      <w:bookmarkStart w:id="27" w:name="_Toc435692210"/>
      <w:r>
        <w:t>Interrelationships</w:t>
      </w:r>
      <w:bookmarkEnd w:id="27"/>
    </w:p>
    <w:p w:rsidR="00765C97" w:rsidRPr="00553F2C" w:rsidRDefault="00765C97" w:rsidP="00765C97">
      <w:r w:rsidRPr="00553F2C">
        <w:t xml:space="preserve">In assessing </w:t>
      </w:r>
      <w:proofErr w:type="spellStart"/>
      <w:r w:rsidR="00B76164">
        <w:t>ActewAGL</w:t>
      </w:r>
      <w:r>
        <w:t>'s</w:t>
      </w:r>
      <w:proofErr w:type="spellEnd"/>
      <w:r w:rsidRPr="00553F2C">
        <w:t xml:space="preserve"> total forecast </w:t>
      </w:r>
      <w:r>
        <w:t>capex</w:t>
      </w:r>
      <w:r w:rsidRPr="00553F2C">
        <w:t xml:space="preserve"> we took into account other components of its proposal, including:</w:t>
      </w:r>
    </w:p>
    <w:p w:rsidR="00765C97" w:rsidRPr="008C3133" w:rsidRDefault="00765C97" w:rsidP="00765C97">
      <w:pPr>
        <w:pStyle w:val="AERbulletlistfirststyle"/>
      </w:pPr>
      <w:proofErr w:type="gramStart"/>
      <w:r w:rsidRPr="008C3133">
        <w:t>the</w:t>
      </w:r>
      <w:proofErr w:type="gramEnd"/>
      <w:r w:rsidRPr="008C3133">
        <w:t xml:space="preserve"> trade-off between potential capex and opex solutions in our assessment of </w:t>
      </w:r>
      <w:proofErr w:type="spellStart"/>
      <w:r w:rsidR="00B76164">
        <w:t>ActewAGL</w:t>
      </w:r>
      <w:r w:rsidRPr="008C3133">
        <w:t>'s</w:t>
      </w:r>
      <w:proofErr w:type="spellEnd"/>
      <w:r w:rsidRPr="008C3133">
        <w:t xml:space="preserve"> proposed capex.</w:t>
      </w:r>
    </w:p>
    <w:p w:rsidR="00765C97" w:rsidRPr="00765C97" w:rsidRDefault="00765C97" w:rsidP="00765C97">
      <w:pPr>
        <w:pStyle w:val="AERbulletlistfirststyle"/>
      </w:pPr>
      <w:proofErr w:type="gramStart"/>
      <w:r>
        <w:t>any</w:t>
      </w:r>
      <w:proofErr w:type="gramEnd"/>
      <w:r>
        <w:t xml:space="preserve"> change in the capitalisation policy applied between the current access arrangement and the 2016–21 access arrangement period. This relates to the change from the expensing of </w:t>
      </w:r>
      <w:r w:rsidR="002850BB">
        <w:t>in</w:t>
      </w:r>
      <w:r w:rsidR="002850BB">
        <w:softHyphen/>
        <w:t>–line inspection (pigging)</w:t>
      </w:r>
      <w:r w:rsidR="00F8065A">
        <w:t xml:space="preserve">, </w:t>
      </w:r>
      <w:r w:rsidR="002850BB">
        <w:t xml:space="preserve">integrity </w:t>
      </w:r>
      <w:proofErr w:type="gramStart"/>
      <w:r w:rsidR="002850BB">
        <w:t>digs</w:t>
      </w:r>
      <w:r w:rsidR="00F8065A">
        <w:t>,</w:t>
      </w:r>
      <w:proofErr w:type="gramEnd"/>
      <w:r w:rsidR="00F8065A">
        <w:t xml:space="preserve"> and corporate overhead</w:t>
      </w:r>
      <w:r>
        <w:t xml:space="preserve"> </w:t>
      </w:r>
      <w:r w:rsidR="00F8065A">
        <w:t xml:space="preserve">expenditure </w:t>
      </w:r>
      <w:r>
        <w:t xml:space="preserve">in the </w:t>
      </w:r>
      <w:r w:rsidRPr="009E112C">
        <w:t>current</w:t>
      </w:r>
      <w:r>
        <w:t xml:space="preserve"> access arrangement period to capitalising in the next access arrangement</w:t>
      </w:r>
      <w:r w:rsidR="002850BB">
        <w:t xml:space="preserve"> period. </w:t>
      </w:r>
    </w:p>
    <w:p w:rsidR="009A5113" w:rsidRDefault="009A5113" w:rsidP="009A5113">
      <w:pPr>
        <w:pStyle w:val="Heading2"/>
      </w:pPr>
      <w:bookmarkStart w:id="28" w:name="_Toc408404324"/>
      <w:bookmarkStart w:id="29" w:name="_Toc435692211"/>
      <w:r w:rsidRPr="0074565D">
        <w:t xml:space="preserve">Reasons for </w:t>
      </w:r>
      <w:r w:rsidR="008616EC">
        <w:t>draft</w:t>
      </w:r>
      <w:r w:rsidR="00651CB2" w:rsidRPr="0074565D">
        <w:t xml:space="preserve"> </w:t>
      </w:r>
      <w:r w:rsidRPr="0074565D">
        <w:t>decision</w:t>
      </w:r>
      <w:bookmarkEnd w:id="28"/>
      <w:bookmarkEnd w:id="29"/>
      <w:r w:rsidRPr="0074565D">
        <w:t xml:space="preserve"> </w:t>
      </w:r>
    </w:p>
    <w:p w:rsidR="00B76164" w:rsidRDefault="00B76164" w:rsidP="00B76164">
      <w:pPr>
        <w:pStyle w:val="Heading3"/>
      </w:pPr>
      <w:bookmarkStart w:id="30" w:name="_Ref432843353"/>
      <w:bookmarkStart w:id="31" w:name="_Toc435692212"/>
      <w:r>
        <w:t>Conforming capital expenditure for 20</w:t>
      </w:r>
      <w:r w:rsidR="00072085">
        <w:t>09</w:t>
      </w:r>
      <w:r>
        <w:t>–1</w:t>
      </w:r>
      <w:bookmarkEnd w:id="30"/>
      <w:r w:rsidR="00F02492">
        <w:t>6</w:t>
      </w:r>
      <w:bookmarkEnd w:id="31"/>
    </w:p>
    <w:p w:rsidR="00C369CC" w:rsidRDefault="00C326BB" w:rsidP="00C369CC">
      <w:r>
        <w:t>W</w:t>
      </w:r>
      <w:r w:rsidRPr="00C326BB">
        <w:t>e consider that the $</w:t>
      </w:r>
      <w:r w:rsidR="001833EF">
        <w:t>102.6</w:t>
      </w:r>
      <w:r w:rsidRPr="00C326BB">
        <w:t xml:space="preserve"> million ($2015</w:t>
      </w:r>
      <w:r w:rsidR="00781CDF">
        <w:t>–16</w:t>
      </w:r>
      <w:r w:rsidRPr="00C326BB">
        <w:t xml:space="preserve">) net capex incurred by </w:t>
      </w:r>
      <w:r w:rsidR="00781CDF">
        <w:t>ActewAGL</w:t>
      </w:r>
      <w:r w:rsidR="00C369CC">
        <w:t xml:space="preserve"> for 2009–15</w:t>
      </w:r>
      <w:r w:rsidRPr="00C326BB">
        <w:t xml:space="preserve"> is conforming capex that complies with r</w:t>
      </w:r>
      <w:r w:rsidR="00965044">
        <w:t>ule</w:t>
      </w:r>
      <w:r w:rsidRPr="00C326BB">
        <w:t xml:space="preserve"> 79(1) of the NGR.</w:t>
      </w:r>
      <w:r w:rsidR="00C369CC">
        <w:rPr>
          <w:rStyle w:val="FootnoteReference"/>
        </w:rPr>
        <w:footnoteReference w:id="30"/>
      </w:r>
    </w:p>
    <w:p w:rsidR="00C369CC" w:rsidRDefault="00C369CC" w:rsidP="00C369CC">
      <w:r w:rsidRPr="00072085">
        <w:t>In reaching this view we have considered the following factors:</w:t>
      </w:r>
    </w:p>
    <w:p w:rsidR="00C369CC" w:rsidRDefault="00C369CC" w:rsidP="00C369CC">
      <w:pPr>
        <w:pStyle w:val="AERbulletlistfirststyle"/>
      </w:pPr>
      <w:proofErr w:type="spellStart"/>
      <w:r>
        <w:t>ActewAGL’s</w:t>
      </w:r>
      <w:proofErr w:type="spellEnd"/>
      <w:r>
        <w:t xml:space="preserve"> actual capex was $</w:t>
      </w:r>
      <w:r w:rsidR="00003722">
        <w:t>2.3</w:t>
      </w:r>
      <w:r>
        <w:t xml:space="preserve"> million (</w:t>
      </w:r>
      <w:r w:rsidR="009A7A02">
        <w:t>24.2</w:t>
      </w:r>
      <w:r>
        <w:t xml:space="preserve"> per cent) over the </w:t>
      </w:r>
      <w:r w:rsidR="00DD4FBF">
        <w:t xml:space="preserve">$9.5 million ($2015–16) </w:t>
      </w:r>
      <w:r>
        <w:t xml:space="preserve">amount </w:t>
      </w:r>
      <w:r w:rsidR="00DD4FBF">
        <w:t xml:space="preserve">the Independent Competition and Regulatory Commission (ICRC) approved </w:t>
      </w:r>
      <w:r>
        <w:t>for 2009–10.</w:t>
      </w:r>
    </w:p>
    <w:p w:rsidR="00C369CC" w:rsidRDefault="009A7A02" w:rsidP="00C369CC">
      <w:pPr>
        <w:pStyle w:val="AERbulletlistfirststyle"/>
      </w:pPr>
      <w:proofErr w:type="spellStart"/>
      <w:r>
        <w:t>ActewAGL's</w:t>
      </w:r>
      <w:proofErr w:type="spellEnd"/>
      <w:r>
        <w:t xml:space="preserve"> actual capex was $7.9</w:t>
      </w:r>
      <w:r w:rsidR="00C369CC">
        <w:t xml:space="preserve"> million (</w:t>
      </w:r>
      <w:r>
        <w:t>eight</w:t>
      </w:r>
      <w:r w:rsidR="00CB7355">
        <w:t xml:space="preserve"> </w:t>
      </w:r>
      <w:r w:rsidR="00C369CC">
        <w:t xml:space="preserve">per cent) under the AER approved amount of $98.7 million ($2015–16) for 2010–15. </w:t>
      </w:r>
    </w:p>
    <w:p w:rsidR="00C369CC" w:rsidRDefault="00C369CC" w:rsidP="00C369CC">
      <w:pPr>
        <w:pStyle w:val="AERbulletlistfirststyle"/>
      </w:pPr>
      <w:proofErr w:type="spellStart"/>
      <w:r>
        <w:t>ActewAGL’s</w:t>
      </w:r>
      <w:proofErr w:type="spellEnd"/>
      <w:r>
        <w:t xml:space="preserve"> actual capex for the market expansion (connections) category was $</w:t>
      </w:r>
      <w:r w:rsidR="009A7A02">
        <w:t>2.4</w:t>
      </w:r>
      <w:r>
        <w:t xml:space="preserve"> million (</w:t>
      </w:r>
      <w:r w:rsidR="009A7A02">
        <w:t>six</w:t>
      </w:r>
      <w:r w:rsidR="004064C5">
        <w:t xml:space="preserve"> </w:t>
      </w:r>
      <w:r>
        <w:t xml:space="preserve">per cent) over the AER approved amount of $40.9 million ($2015–16) for 2010–15. ActewAGL explained this was due to two unanticipated projects during the period. This also resulted in </w:t>
      </w:r>
      <w:r w:rsidR="00085C2B">
        <w:t>actual capital contributions being $3.0 million over the AER approved amount of $0.4 million ($2015–16).</w:t>
      </w:r>
      <w:r w:rsidR="00085C2B">
        <w:rPr>
          <w:rStyle w:val="FootnoteReference"/>
        </w:rPr>
        <w:footnoteReference w:id="31"/>
      </w:r>
    </w:p>
    <w:p w:rsidR="00C369CC" w:rsidRDefault="00C369CC" w:rsidP="00C369CC">
      <w:pPr>
        <w:pStyle w:val="AERbulletlistfirststyle"/>
      </w:pPr>
      <w:proofErr w:type="spellStart"/>
      <w:r>
        <w:t>ActewAGL’s</w:t>
      </w:r>
      <w:proofErr w:type="spellEnd"/>
      <w:r>
        <w:t xml:space="preserve"> actual capex was under the AER approved amount for the other categories as follows:</w:t>
      </w:r>
    </w:p>
    <w:p w:rsidR="004F5704" w:rsidRDefault="00C369CC" w:rsidP="00085C2B">
      <w:pPr>
        <w:pStyle w:val="AERbulletlistsecondstyle"/>
      </w:pPr>
      <w:r>
        <w:t>In the capacity development (augmentation) category, ActewAGL</w:t>
      </w:r>
      <w:r w:rsidR="00085C2B">
        <w:t xml:space="preserve"> spent $0.</w:t>
      </w:r>
      <w:r w:rsidR="009A7A02">
        <w:t>6</w:t>
      </w:r>
      <w:r w:rsidR="004064C5">
        <w:t xml:space="preserve"> </w:t>
      </w:r>
      <w:r w:rsidR="00085C2B">
        <w:t>million (</w:t>
      </w:r>
      <w:r w:rsidR="009A7A02">
        <w:t>1.9</w:t>
      </w:r>
      <w:r w:rsidR="00085C2B">
        <w:t xml:space="preserve"> per cent)</w:t>
      </w:r>
      <w:r>
        <w:t xml:space="preserve"> less than </w:t>
      </w:r>
      <w:r w:rsidR="009A7A02">
        <w:t>the AER approved amount of $28.2</w:t>
      </w:r>
      <w:r w:rsidR="00085C2B">
        <w:t xml:space="preserve"> million ($2015–16).</w:t>
      </w:r>
    </w:p>
    <w:p w:rsidR="00085C2B" w:rsidRDefault="00085C2B" w:rsidP="00085C2B">
      <w:pPr>
        <w:pStyle w:val="AERbulletlistsecondstyle"/>
      </w:pPr>
      <w:r>
        <w:t>In the ‘stay in business’ category, ActewAGL spent $6.</w:t>
      </w:r>
      <w:r w:rsidR="009A7A02">
        <w:t>0</w:t>
      </w:r>
      <w:r>
        <w:t xml:space="preserve"> million (2</w:t>
      </w:r>
      <w:r w:rsidR="009A7A02">
        <w:t>1</w:t>
      </w:r>
      <w:r>
        <w:t xml:space="preserve"> per cent) less than the AER approved amount of $2</w:t>
      </w:r>
      <w:r w:rsidR="009A7A02">
        <w:t>8</w:t>
      </w:r>
      <w:r>
        <w:t>.6 million ($2015–16). ActewAGL stated this was primarily due statistical sampling which indicated it could extend the economic life of residential meters. ActewAGL was therefore able to defer metering capex.</w:t>
      </w:r>
      <w:r>
        <w:rPr>
          <w:rStyle w:val="FootnoteReference"/>
        </w:rPr>
        <w:footnoteReference w:id="32"/>
      </w:r>
    </w:p>
    <w:p w:rsidR="00085C2B" w:rsidRDefault="00085C2B" w:rsidP="00085C2B">
      <w:pPr>
        <w:pStyle w:val="AERbulletlistsecondstyle"/>
      </w:pPr>
      <w:r>
        <w:t>In the non-syst</w:t>
      </w:r>
      <w:r w:rsidR="00FA75FE">
        <w:t>em category, ActewAGL spent $0.</w:t>
      </w:r>
      <w:r w:rsidR="009A7A02">
        <w:t>8</w:t>
      </w:r>
      <w:r>
        <w:t xml:space="preserve"> million (</w:t>
      </w:r>
      <w:r w:rsidR="009A7A02">
        <w:t>61.8</w:t>
      </w:r>
      <w:r w:rsidR="004064C5">
        <w:t xml:space="preserve"> </w:t>
      </w:r>
      <w:r>
        <w:t xml:space="preserve">per cent) less than </w:t>
      </w:r>
      <w:r w:rsidR="00FA75FE">
        <w:t>the AER approved amount of $1.4</w:t>
      </w:r>
      <w:r>
        <w:t xml:space="preserve"> million ($2015–16).</w:t>
      </w:r>
      <w:r w:rsidR="00FA75FE">
        <w:t xml:space="preserve"> ActewAGL stated the GIS portion of the forecast ($0.3 million) was subsequently identified as opex and, subsequently, not rolled into the asset base.</w:t>
      </w:r>
      <w:r w:rsidR="00FA75FE">
        <w:rPr>
          <w:rStyle w:val="FootnoteReference"/>
        </w:rPr>
        <w:footnoteReference w:id="33"/>
      </w:r>
    </w:p>
    <w:p w:rsidR="00CF5E8E" w:rsidRPr="00CF5E8E" w:rsidRDefault="00CF5E8E" w:rsidP="00F36252">
      <w:r>
        <w:t xml:space="preserve">Submissions received from the AER’s Consumer Challenge Panel (CCP) and the ANU College of Law note an increased level of expenditure in the 2015–16 year and suggest that </w:t>
      </w:r>
      <w:r w:rsidR="009B2EC4">
        <w:t xml:space="preserve">we </w:t>
      </w:r>
      <w:r>
        <w:t>closely analyse the proposed capex in this year.</w:t>
      </w:r>
      <w:r w:rsidR="00F8065A">
        <w:rPr>
          <w:rStyle w:val="FootnoteReference"/>
        </w:rPr>
        <w:footnoteReference w:id="34"/>
      </w:r>
      <w:r>
        <w:t xml:space="preserve"> As discussed in Attachment 2 (Capital Base), </w:t>
      </w:r>
      <w:r w:rsidR="009B2EC4">
        <w:t xml:space="preserve">we have not assessed </w:t>
      </w:r>
      <w:r w:rsidR="00F8065A">
        <w:t xml:space="preserve">proposed capex in the 2015–16 year as approved capex under this decision. </w:t>
      </w:r>
      <w:r w:rsidR="009B2EC4">
        <w:t xml:space="preserve">We </w:t>
      </w:r>
      <w:r w:rsidR="00F8065A">
        <w:t xml:space="preserve">will assess whether the 2015–16 amounts are conforming capex as part of the next access arrangement decision. </w:t>
      </w:r>
    </w:p>
    <w:p w:rsidR="00B76164" w:rsidRDefault="00B76164" w:rsidP="00E834E1">
      <w:pPr>
        <w:pStyle w:val="Heading3"/>
        <w:keepNext/>
      </w:pPr>
      <w:bookmarkStart w:id="32" w:name="_Toc435692213"/>
      <w:r>
        <w:t>Conforming capital expenditure for the 2016–21 access arrangement period</w:t>
      </w:r>
      <w:bookmarkEnd w:id="32"/>
    </w:p>
    <w:p w:rsidR="002B421A" w:rsidRDefault="002B421A" w:rsidP="00B76164">
      <w:r>
        <w:t xml:space="preserve">The rest of this attachment details </w:t>
      </w:r>
      <w:r w:rsidR="003E79B3">
        <w:t>o</w:t>
      </w:r>
      <w:r w:rsidR="003E79B3" w:rsidRPr="003E79B3">
        <w:t xml:space="preserve">ur analysis of the capex driver categories </w:t>
      </w:r>
      <w:r>
        <w:t xml:space="preserve">in coming to our position </w:t>
      </w:r>
      <w:r w:rsidR="005C7E4F">
        <w:t xml:space="preserve">in this draft decision </w:t>
      </w:r>
      <w:r>
        <w:t xml:space="preserve">to </w:t>
      </w:r>
      <w:r w:rsidRPr="00CA131C">
        <w:t>approve $</w:t>
      </w:r>
      <w:r w:rsidR="009147A8">
        <w:t xml:space="preserve">76.8 </w:t>
      </w:r>
      <w:r w:rsidRPr="00CA131C">
        <w:t>million (</w:t>
      </w:r>
      <w:r>
        <w:t>$2015–16</w:t>
      </w:r>
      <w:r w:rsidRPr="00CA131C">
        <w:t xml:space="preserve">) of </w:t>
      </w:r>
      <w:r>
        <w:t xml:space="preserve">total net </w:t>
      </w:r>
      <w:r w:rsidRPr="00CA131C">
        <w:t xml:space="preserve">capex for </w:t>
      </w:r>
      <w:r>
        <w:t xml:space="preserve">ActewAGL for the </w:t>
      </w:r>
      <w:r w:rsidRPr="00CA131C">
        <w:t>201</w:t>
      </w:r>
      <w:r>
        <w:t>6</w:t>
      </w:r>
      <w:r w:rsidRPr="00CA131C">
        <w:t>–</w:t>
      </w:r>
      <w:r>
        <w:t>21</w:t>
      </w:r>
      <w:r w:rsidRPr="00CA131C">
        <w:t xml:space="preserve"> </w:t>
      </w:r>
      <w:r>
        <w:t xml:space="preserve">access arrangement </w:t>
      </w:r>
      <w:proofErr w:type="gramStart"/>
      <w:r>
        <w:t>period</w:t>
      </w:r>
      <w:proofErr w:type="gramEnd"/>
      <w:r>
        <w:t xml:space="preserve"> </w:t>
      </w:r>
      <w:r w:rsidRPr="00CA131C">
        <w:t>as conforming capex under r</w:t>
      </w:r>
      <w:r w:rsidR="00965044">
        <w:t>ule</w:t>
      </w:r>
      <w:r w:rsidRPr="00CA131C">
        <w:t xml:space="preserve"> 79(1) of the NGR.</w:t>
      </w:r>
      <w:r>
        <w:t xml:space="preserve"> </w:t>
      </w:r>
      <w:r w:rsidR="001833EF">
        <w:t xml:space="preserve">Some of the cost drivers in this section include a construction management fee (CMF) paid </w:t>
      </w:r>
      <w:r w:rsidR="007C7AF7" w:rsidRPr="007B077F">
        <w:rPr>
          <w:rStyle w:val="AERbody"/>
        </w:rPr>
        <w:t>to a subcontractor</w:t>
      </w:r>
      <w:r w:rsidR="007C7AF7">
        <w:rPr>
          <w:rStyle w:val="AERbody"/>
        </w:rPr>
        <w:t xml:space="preserve">, </w:t>
      </w:r>
      <w:proofErr w:type="spellStart"/>
      <w:r w:rsidR="007C7AF7">
        <w:rPr>
          <w:rStyle w:val="AERbody"/>
        </w:rPr>
        <w:t>Zinfra</w:t>
      </w:r>
      <w:proofErr w:type="spellEnd"/>
      <w:r w:rsidR="007C7AF7">
        <w:rPr>
          <w:rStyle w:val="AERbody"/>
        </w:rPr>
        <w:t xml:space="preserve">, who is a related party. </w:t>
      </w:r>
      <w:r w:rsidR="001833EF">
        <w:t>Direct costs for each capex driver excluding the CMF are</w:t>
      </w:r>
      <w:r w:rsidR="004E695C">
        <w:t xml:space="preserve"> set out in confidential A</w:t>
      </w:r>
      <w:r w:rsidR="001833EF">
        <w:t>ppendix</w:t>
      </w:r>
      <w:r w:rsidR="00277292">
        <w:t xml:space="preserve"> </w:t>
      </w:r>
      <w:r w:rsidR="007C7AF7">
        <w:t>C</w:t>
      </w:r>
      <w:r w:rsidR="001833EF">
        <w:t xml:space="preserve">. </w:t>
      </w:r>
    </w:p>
    <w:p w:rsidR="00D31291" w:rsidRPr="00BA6A69" w:rsidRDefault="00D31291" w:rsidP="00F45C9D">
      <w:pPr>
        <w:pStyle w:val="Heading3"/>
      </w:pPr>
      <w:bookmarkStart w:id="33" w:name="_Toc435692214"/>
      <w:r w:rsidRPr="00BA6A69">
        <w:t>Growth Assets (Connections)</w:t>
      </w:r>
      <w:bookmarkEnd w:id="33"/>
    </w:p>
    <w:p w:rsidR="00F45C9D" w:rsidRDefault="00D31291" w:rsidP="00D31291">
      <w:r w:rsidRPr="00275734">
        <w:t xml:space="preserve">Distribution businesses have a regulatory obligation to </w:t>
      </w:r>
      <w:r>
        <w:t xml:space="preserve">make a connection offer to </w:t>
      </w:r>
      <w:r w:rsidRPr="00275734">
        <w:t xml:space="preserve">residential and commercial/industrial customers </w:t>
      </w:r>
      <w:r>
        <w:t xml:space="preserve">making </w:t>
      </w:r>
      <w:r w:rsidR="004E695C">
        <w:t xml:space="preserve">an </w:t>
      </w:r>
      <w:r>
        <w:t xml:space="preserve">application </w:t>
      </w:r>
      <w:r w:rsidRPr="00275734">
        <w:t xml:space="preserve">to </w:t>
      </w:r>
      <w:r>
        <w:t>connect to its</w:t>
      </w:r>
      <w:r w:rsidRPr="00275734">
        <w:t xml:space="preserve"> distribution network.</w:t>
      </w:r>
      <w:r>
        <w:rPr>
          <w:rStyle w:val="FootnoteReference"/>
        </w:rPr>
        <w:footnoteReference w:id="35"/>
      </w:r>
      <w:r w:rsidRPr="00275734">
        <w:t xml:space="preserve"> </w:t>
      </w:r>
      <w:r>
        <w:t xml:space="preserve">The capex associated with these connections, which </w:t>
      </w:r>
      <w:r w:rsidRPr="00275734">
        <w:t>includes the cost of new mains, gas service pipe from the main to the meter</w:t>
      </w:r>
      <w:r>
        <w:t xml:space="preserve"> and the meter, generally differs depending on whether the connection is for </w:t>
      </w:r>
      <w:r w:rsidR="00B2379C">
        <w:t xml:space="preserve">a </w:t>
      </w:r>
      <w:r>
        <w:t xml:space="preserve">Tariff V customer or a Tariff D customer. </w:t>
      </w:r>
    </w:p>
    <w:p w:rsidR="00D31291" w:rsidRDefault="00D31291" w:rsidP="00D31291">
      <w:r>
        <w:t>Tariff V customers are residential and commercial/industrial customers who consume less than 10 TJ/year. Tariff D customers are major industrial customers who consume more than 10 TJ/year.</w:t>
      </w:r>
    </w:p>
    <w:p w:rsidR="00D31291" w:rsidRDefault="00D31291" w:rsidP="00D31291">
      <w:r>
        <w:t>Connections capex is conforming capital expenditure if it would be incurred by a prudent service provider acting efficiently, in accordance with accepted good industry practice, to achieve the lowest sustainable cost of providing</w:t>
      </w:r>
      <w:r w:rsidR="00006657">
        <w:t xml:space="preserve"> services</w:t>
      </w:r>
      <w:r w:rsidR="004E695C">
        <w:t xml:space="preserve"> and is justified on a ground stated in rule 79(2). </w:t>
      </w:r>
      <w:r>
        <w:t xml:space="preserve">Connections capex is justified if </w:t>
      </w:r>
      <w:r w:rsidRPr="00E02BAB">
        <w:t xml:space="preserve">the </w:t>
      </w:r>
      <w:r>
        <w:t xml:space="preserve">present value of the </w:t>
      </w:r>
      <w:r w:rsidRPr="00E02BAB">
        <w:t xml:space="preserve">revenue </w:t>
      </w:r>
      <w:r>
        <w:t>it generates exceeds its present value.</w:t>
      </w:r>
      <w:r>
        <w:rPr>
          <w:rStyle w:val="FootnoteReference"/>
        </w:rPr>
        <w:footnoteReference w:id="36"/>
      </w:r>
    </w:p>
    <w:p w:rsidR="00D31291" w:rsidRDefault="00277D80" w:rsidP="00D31291">
      <w:r>
        <w:t>ActewAGL</w:t>
      </w:r>
      <w:r w:rsidR="00D31291">
        <w:t xml:space="preserve"> proposed forecast expenditure of </w:t>
      </w:r>
      <w:r w:rsidR="00D31291" w:rsidRPr="006A3F2D">
        <w:t>$</w:t>
      </w:r>
      <w:r w:rsidR="001833EF">
        <w:t>55.5</w:t>
      </w:r>
      <w:r w:rsidR="00D31291" w:rsidRPr="006A3F2D">
        <w:t xml:space="preserve"> million ($20</w:t>
      </w:r>
      <w:r w:rsidR="007566E0">
        <w:t>15–</w:t>
      </w:r>
      <w:r w:rsidR="00D31291" w:rsidRPr="006A3F2D">
        <w:t>1</w:t>
      </w:r>
      <w:r w:rsidR="00D31291">
        <w:t>6</w:t>
      </w:r>
      <w:r w:rsidR="007566E0">
        <w:t xml:space="preserve">, </w:t>
      </w:r>
      <w:proofErr w:type="spellStart"/>
      <w:r w:rsidR="007566E0">
        <w:t>unescalated</w:t>
      </w:r>
      <w:proofErr w:type="spellEnd"/>
      <w:r w:rsidR="00D31291">
        <w:t>) during the 2</w:t>
      </w:r>
      <w:r w:rsidR="004E695C">
        <w:t>016–21</w:t>
      </w:r>
      <w:r w:rsidR="00D31291">
        <w:t xml:space="preserve"> access arrangement period.</w:t>
      </w:r>
      <w:r w:rsidR="00D31291" w:rsidRPr="006A3F2D">
        <w:rPr>
          <w:rStyle w:val="FootnoteReference"/>
        </w:rPr>
        <w:footnoteReference w:id="37"/>
      </w:r>
      <w:r w:rsidR="00D31291">
        <w:t xml:space="preserve"> </w:t>
      </w:r>
      <w:proofErr w:type="spellStart"/>
      <w:r w:rsidR="00C02660">
        <w:t>ActewAGL’s</w:t>
      </w:r>
      <w:proofErr w:type="spellEnd"/>
      <w:r w:rsidR="00C02660">
        <w:t xml:space="preserve"> proposed connections expenditure represents 50.</w:t>
      </w:r>
      <w:r w:rsidR="001833EF">
        <w:t xml:space="preserve">4 </w:t>
      </w:r>
      <w:r w:rsidR="00C02660">
        <w:t xml:space="preserve">per cent of total capex and is a 10.7 per cent increase compared to the previous period. </w:t>
      </w:r>
      <w:r w:rsidR="00D31291">
        <w:t>ActewAGL attributes its proposed increase to a 61 per cent increase in the volume of medium density connections and to increased unit rates following the implementation of the NECF.</w:t>
      </w:r>
      <w:r w:rsidR="00D31291">
        <w:rPr>
          <w:rStyle w:val="FootnoteReference"/>
        </w:rPr>
        <w:footnoteReference w:id="38"/>
      </w:r>
    </w:p>
    <w:p w:rsidR="00D31291" w:rsidRDefault="00D31291" w:rsidP="00D31291">
      <w:pPr>
        <w:rPr>
          <w:rStyle w:val="AERbody"/>
        </w:rPr>
      </w:pPr>
      <w:r>
        <w:rPr>
          <w:rStyle w:val="AERbody"/>
        </w:rPr>
        <w:t xml:space="preserve">As we discuss below, we do not consider that </w:t>
      </w:r>
      <w:proofErr w:type="spellStart"/>
      <w:r>
        <w:rPr>
          <w:rStyle w:val="AERbody"/>
        </w:rPr>
        <w:t>ActewAGL’s</w:t>
      </w:r>
      <w:proofErr w:type="spellEnd"/>
      <w:r>
        <w:rPr>
          <w:rStyle w:val="AERbody"/>
        </w:rPr>
        <w:t xml:space="preserve"> proposal of </w:t>
      </w:r>
      <w:r w:rsidRPr="006A3F2D">
        <w:t>$</w:t>
      </w:r>
      <w:r w:rsidR="001833EF">
        <w:t>55.5</w:t>
      </w:r>
      <w:r w:rsidRPr="006A3F2D">
        <w:t xml:space="preserve"> million ($20</w:t>
      </w:r>
      <w:r w:rsidR="007566E0">
        <w:t>15–</w:t>
      </w:r>
      <w:r w:rsidRPr="006A3F2D">
        <w:t>1</w:t>
      </w:r>
      <w:r>
        <w:t>6</w:t>
      </w:r>
      <w:r w:rsidR="007566E0">
        <w:t xml:space="preserve">, </w:t>
      </w:r>
      <w:proofErr w:type="spellStart"/>
      <w:r w:rsidR="007566E0">
        <w:t>unescalated</w:t>
      </w:r>
      <w:proofErr w:type="spellEnd"/>
      <w:r>
        <w:t xml:space="preserve">) </w:t>
      </w:r>
      <w:r>
        <w:rPr>
          <w:rStyle w:val="AERbody"/>
        </w:rPr>
        <w:t>constitutes forecast conforming capital expenditure that can be included in its project capital base for the 2016–</w:t>
      </w:r>
      <w:r w:rsidR="007452ED">
        <w:rPr>
          <w:rStyle w:val="AERbody"/>
        </w:rPr>
        <w:t xml:space="preserve">21 </w:t>
      </w:r>
      <w:r>
        <w:rPr>
          <w:rStyle w:val="AERbody"/>
        </w:rPr>
        <w:t xml:space="preserve">access arrangement period. Our position in this draft decision is that a forecast of </w:t>
      </w:r>
      <w:r>
        <w:t>$</w:t>
      </w:r>
      <w:r w:rsidR="00624226">
        <w:t>40.6</w:t>
      </w:r>
      <w:r w:rsidR="007566E0">
        <w:t xml:space="preserve"> </w:t>
      </w:r>
      <w:r>
        <w:t>million ($20</w:t>
      </w:r>
      <w:r w:rsidR="00DA0670">
        <w:t>15–</w:t>
      </w:r>
      <w:r>
        <w:t>16</w:t>
      </w:r>
      <w:r w:rsidR="00DA0670">
        <w:t xml:space="preserve">, </w:t>
      </w:r>
      <w:proofErr w:type="spellStart"/>
      <w:r w:rsidR="00DA0670">
        <w:t>unescalated</w:t>
      </w:r>
      <w:proofErr w:type="spellEnd"/>
      <w:r>
        <w:t>) of connections</w:t>
      </w:r>
      <w:r w:rsidRPr="00F75FD3">
        <w:t xml:space="preserve"> </w:t>
      </w:r>
      <w:r>
        <w:t>capex constitutes forecast conforming capital expenditure.</w:t>
      </w:r>
      <w:r>
        <w:rPr>
          <w:rStyle w:val="AERbody"/>
        </w:rPr>
        <w:t xml:space="preserve"> There are two main reasons for our position.</w:t>
      </w:r>
    </w:p>
    <w:p w:rsidR="00D31291" w:rsidRDefault="00D31291" w:rsidP="00D31291">
      <w:r>
        <w:t xml:space="preserve">Firstly, in relation to </w:t>
      </w:r>
      <w:proofErr w:type="spellStart"/>
      <w:r>
        <w:t>ActewAGL’s</w:t>
      </w:r>
      <w:proofErr w:type="spellEnd"/>
      <w:r>
        <w:t xml:space="preserve"> proposed connections capex for Tariff V customers, our connection forecasts for medium density type connections are lower than that which ActewAGL proposed.</w:t>
      </w:r>
      <w:r w:rsidR="00177DD7">
        <w:t xml:space="preserve"> This is due to the difference between the gas connection rate that ActewAGL and we have assumed. </w:t>
      </w:r>
      <w:r>
        <w:t xml:space="preserve">We also are not satisfied that </w:t>
      </w:r>
      <w:proofErr w:type="spellStart"/>
      <w:r>
        <w:t>ActewAGL’s</w:t>
      </w:r>
      <w:proofErr w:type="spellEnd"/>
      <w:r>
        <w:t xml:space="preserve"> proposed step changes for energisation and hot water meter costs and the inclusion of cost escalation are consistent with </w:t>
      </w:r>
      <w:r w:rsidR="005C7E4F">
        <w:t xml:space="preserve">costs </w:t>
      </w:r>
      <w:r>
        <w:t xml:space="preserve">a prudent operator would incur. </w:t>
      </w:r>
    </w:p>
    <w:p w:rsidR="00D31291" w:rsidRDefault="00D31291" w:rsidP="00D31291">
      <w:r>
        <w:t xml:space="preserve">Secondly, in relation to </w:t>
      </w:r>
      <w:proofErr w:type="spellStart"/>
      <w:r>
        <w:t>ActewAGL’s</w:t>
      </w:r>
      <w:proofErr w:type="spellEnd"/>
      <w:r>
        <w:t xml:space="preserve"> proposed connections capex for Tariff D customers</w:t>
      </w:r>
      <w:r w:rsidR="00F45C9D">
        <w:t>, based on the information before us, we have not included expenditure for these customers.</w:t>
      </w:r>
    </w:p>
    <w:p w:rsidR="00D31291" w:rsidRDefault="00D31291" w:rsidP="00D31291">
      <w:r>
        <w:t xml:space="preserve">Whilst we received a number of submissions on issues </w:t>
      </w:r>
      <w:r w:rsidR="005C7E4F">
        <w:t xml:space="preserve">expressing concern over </w:t>
      </w:r>
      <w:r>
        <w:t xml:space="preserve">the increase in </w:t>
      </w:r>
      <w:proofErr w:type="spellStart"/>
      <w:r>
        <w:t>ActewAGL’s</w:t>
      </w:r>
      <w:proofErr w:type="spellEnd"/>
      <w:r>
        <w:t xml:space="preserve"> proposed forecast capex (in comparison to the actual c</w:t>
      </w:r>
      <w:r w:rsidR="00177DD7">
        <w:t>apex it incurred during the 2019</w:t>
      </w:r>
      <w:r>
        <w:t>–15 access arrangement period), we did not receive any submissions that specifically addressed the specific issues that concern its proposed connections capex.</w:t>
      </w:r>
      <w:r w:rsidR="003B2303">
        <w:t xml:space="preserve"> We received a number of submissions about the </w:t>
      </w:r>
      <w:proofErr w:type="spellStart"/>
      <w:r w:rsidR="003B2303">
        <w:t>ActewAGL’s</w:t>
      </w:r>
      <w:proofErr w:type="spellEnd"/>
      <w:r w:rsidR="003B2303">
        <w:t xml:space="preserve"> high new connections forecast over the 2016</w:t>
      </w:r>
      <w:r w:rsidR="00152BE6">
        <w:t>–</w:t>
      </w:r>
      <w:r w:rsidR="003B2303">
        <w:t>21 access arrangement period. These are mentioned in Attachment 13 (demand).</w:t>
      </w:r>
    </w:p>
    <w:p w:rsidR="00003BA4" w:rsidRDefault="00003BA4" w:rsidP="00D31291">
      <w:r>
        <w:t xml:space="preserve">We </w:t>
      </w:r>
      <w:r w:rsidR="00177DD7">
        <w:t xml:space="preserve">also </w:t>
      </w:r>
      <w:r>
        <w:t xml:space="preserve">considered confidential material in coming to our position. The confidential material is contained in Appendix </w:t>
      </w:r>
      <w:r w:rsidR="00C270EC">
        <w:t>C</w:t>
      </w:r>
      <w:r>
        <w:t xml:space="preserve">. </w:t>
      </w:r>
      <w:r w:rsidR="00177DD7">
        <w:t>We discuss our detailed reasons for our position below.</w:t>
      </w:r>
    </w:p>
    <w:p w:rsidR="00D31291" w:rsidRDefault="00D31291" w:rsidP="0007514B">
      <w:pPr>
        <w:pStyle w:val="Heading4"/>
      </w:pPr>
      <w:r>
        <w:t>Tariff V connections</w:t>
      </w:r>
    </w:p>
    <w:p w:rsidR="00D31291" w:rsidRDefault="00D31291" w:rsidP="00D31291">
      <w:r>
        <w:t>ActewAGL calculated the total capital expenditure for Tariff V connections by determining the unit costs for mains, services and meters</w:t>
      </w:r>
      <w:r>
        <w:rPr>
          <w:rStyle w:val="FootnoteReference"/>
        </w:rPr>
        <w:footnoteReference w:id="39"/>
      </w:r>
      <w:r>
        <w:t xml:space="preserve"> and the forecast number of new connections for each of the four categories of Tariff V class customers. These categories are set out in </w:t>
      </w:r>
      <w:r w:rsidR="00EE4EAF">
        <w:fldChar w:fldCharType="begin"/>
      </w:r>
      <w:r w:rsidR="00EE4EAF">
        <w:instrText xml:space="preserve"> REF _Ref435521304 \h </w:instrText>
      </w:r>
      <w:r w:rsidR="00EE4EAF">
        <w:fldChar w:fldCharType="separate"/>
      </w:r>
      <w:r w:rsidR="00EE4EAF">
        <w:t xml:space="preserve">Table </w:t>
      </w:r>
      <w:r w:rsidR="00EE4EAF">
        <w:rPr>
          <w:noProof/>
        </w:rPr>
        <w:t>6</w:t>
      </w:r>
      <w:r w:rsidR="00EE4EAF">
        <w:t>.</w:t>
      </w:r>
      <w:r w:rsidR="00EE4EAF">
        <w:rPr>
          <w:noProof/>
        </w:rPr>
        <w:t>6</w:t>
      </w:r>
      <w:r w:rsidR="00EE4EAF">
        <w:fldChar w:fldCharType="end"/>
      </w:r>
      <w:r>
        <w:t>.</w:t>
      </w:r>
    </w:p>
    <w:p w:rsidR="00D31291" w:rsidRDefault="00EE4EAF" w:rsidP="0061777C">
      <w:pPr>
        <w:pStyle w:val="Caption"/>
      </w:pPr>
      <w:bookmarkStart w:id="34" w:name="_Ref435521304"/>
      <w:proofErr w:type="gramStart"/>
      <w:r>
        <w:t xml:space="preserve">Table </w:t>
      </w:r>
      <w:proofErr w:type="gramEnd"/>
      <w:r w:rsidR="004C5F88">
        <w:fldChar w:fldCharType="begin"/>
      </w:r>
      <w:r w:rsidR="004C5F88">
        <w:instrText xml:space="preserve"> STYLEREF 1 \s </w:instrText>
      </w:r>
      <w:r w:rsidR="004C5F88">
        <w:fldChar w:fldCharType="separate"/>
      </w:r>
      <w:r>
        <w:rPr>
          <w:noProof/>
        </w:rPr>
        <w:t>6</w:t>
      </w:r>
      <w:r w:rsidR="004C5F88">
        <w:rPr>
          <w:noProof/>
        </w:rPr>
        <w:fldChar w:fldCharType="end"/>
      </w:r>
      <w:proofErr w:type="gramStart"/>
      <w:r>
        <w:t>.</w:t>
      </w:r>
      <w:proofErr w:type="gramEnd"/>
      <w:r w:rsidR="004C5F88">
        <w:fldChar w:fldCharType="begin"/>
      </w:r>
      <w:r w:rsidR="004C5F88">
        <w:instrText xml:space="preserve"> SEQ Table \* ARABIC \s 1 </w:instrText>
      </w:r>
      <w:r w:rsidR="004C5F88">
        <w:fldChar w:fldCharType="separate"/>
      </w:r>
      <w:r>
        <w:rPr>
          <w:noProof/>
        </w:rPr>
        <w:t>6</w:t>
      </w:r>
      <w:r w:rsidR="004C5F88">
        <w:rPr>
          <w:noProof/>
        </w:rPr>
        <w:fldChar w:fldCharType="end"/>
      </w:r>
      <w:bookmarkEnd w:id="34"/>
      <w:r>
        <w:t xml:space="preserve"> </w:t>
      </w:r>
      <w:r w:rsidRPr="00EE4EAF">
        <w:t>Tariff V connection categories</w:t>
      </w:r>
    </w:p>
    <w:tbl>
      <w:tblPr>
        <w:tblStyle w:val="AERtable-text0"/>
        <w:tblW w:w="0" w:type="auto"/>
        <w:tblLook w:val="04A0" w:firstRow="1" w:lastRow="0" w:firstColumn="1" w:lastColumn="0" w:noHBand="0" w:noVBand="1"/>
      </w:tblPr>
      <w:tblGrid>
        <w:gridCol w:w="1808"/>
        <w:gridCol w:w="1865"/>
        <w:gridCol w:w="5020"/>
      </w:tblGrid>
      <w:tr w:rsidR="00D31291" w:rsidTr="000B232C">
        <w:trPr>
          <w:cnfStyle w:val="100000000000" w:firstRow="1" w:lastRow="0" w:firstColumn="0" w:lastColumn="0" w:oddVBand="0" w:evenVBand="0" w:oddHBand="0" w:evenHBand="0" w:firstRowFirstColumn="0" w:firstRowLastColumn="0" w:lastRowFirstColumn="0" w:lastRowLastColumn="0"/>
        </w:trPr>
        <w:tc>
          <w:tcPr>
            <w:tcW w:w="1843" w:type="dxa"/>
          </w:tcPr>
          <w:p w:rsidR="00D31291" w:rsidRPr="003E1DCA" w:rsidRDefault="00D31291" w:rsidP="00E834E1">
            <w:pPr>
              <w:keepNext/>
              <w:numPr>
                <w:ilvl w:val="0"/>
                <w:numId w:val="24"/>
              </w:numPr>
              <w:spacing w:after="240" w:line="288" w:lineRule="auto"/>
              <w:jc w:val="both"/>
              <w:rPr>
                <w:sz w:val="20"/>
              </w:rPr>
            </w:pPr>
            <w:r w:rsidRPr="003E1DCA">
              <w:rPr>
                <w:sz w:val="20"/>
              </w:rPr>
              <w:t>Connection type</w:t>
            </w:r>
          </w:p>
        </w:tc>
        <w:tc>
          <w:tcPr>
            <w:tcW w:w="1902" w:type="dxa"/>
          </w:tcPr>
          <w:p w:rsidR="00D31291" w:rsidRPr="003E1DCA" w:rsidRDefault="00D31291" w:rsidP="00E834E1">
            <w:pPr>
              <w:keepNext/>
              <w:numPr>
                <w:ilvl w:val="0"/>
                <w:numId w:val="24"/>
              </w:numPr>
              <w:spacing w:after="240" w:line="288" w:lineRule="auto"/>
              <w:jc w:val="both"/>
              <w:rPr>
                <w:sz w:val="20"/>
              </w:rPr>
            </w:pPr>
          </w:p>
        </w:tc>
        <w:tc>
          <w:tcPr>
            <w:tcW w:w="5275" w:type="dxa"/>
          </w:tcPr>
          <w:p w:rsidR="00D31291" w:rsidRPr="003E1DCA" w:rsidRDefault="00D31291" w:rsidP="00E834E1">
            <w:pPr>
              <w:keepNext/>
              <w:numPr>
                <w:ilvl w:val="0"/>
                <w:numId w:val="24"/>
              </w:numPr>
              <w:spacing w:after="240" w:line="288" w:lineRule="auto"/>
              <w:jc w:val="both"/>
              <w:rPr>
                <w:sz w:val="20"/>
              </w:rPr>
            </w:pPr>
            <w:r w:rsidRPr="003E1DCA">
              <w:rPr>
                <w:sz w:val="20"/>
              </w:rPr>
              <w:t>Description</w:t>
            </w:r>
          </w:p>
        </w:tc>
      </w:tr>
      <w:tr w:rsidR="00D31291" w:rsidTr="000B232C">
        <w:tc>
          <w:tcPr>
            <w:tcW w:w="1843" w:type="dxa"/>
          </w:tcPr>
          <w:p w:rsidR="00D31291" w:rsidRPr="003E1DCA" w:rsidRDefault="00D31291" w:rsidP="00E834E1">
            <w:pPr>
              <w:keepNext/>
              <w:numPr>
                <w:ilvl w:val="0"/>
                <w:numId w:val="24"/>
              </w:numPr>
              <w:spacing w:after="240" w:line="288" w:lineRule="auto"/>
              <w:jc w:val="both"/>
              <w:rPr>
                <w:rStyle w:val="Strong"/>
                <w:b w:val="0"/>
                <w:color w:val="FFFFFF"/>
                <w:sz w:val="20"/>
              </w:rPr>
            </w:pPr>
            <w:r w:rsidRPr="003E1DCA">
              <w:rPr>
                <w:rStyle w:val="Strong"/>
                <w:sz w:val="20"/>
              </w:rPr>
              <w:t>Residential</w:t>
            </w:r>
          </w:p>
        </w:tc>
        <w:tc>
          <w:tcPr>
            <w:tcW w:w="1902" w:type="dxa"/>
          </w:tcPr>
          <w:p w:rsidR="00D31291" w:rsidRPr="003E1DCA" w:rsidRDefault="00D31291" w:rsidP="00E834E1">
            <w:pPr>
              <w:keepNext/>
              <w:numPr>
                <w:ilvl w:val="0"/>
                <w:numId w:val="24"/>
              </w:numPr>
              <w:spacing w:after="240" w:line="288" w:lineRule="auto"/>
              <w:jc w:val="both"/>
              <w:rPr>
                <w:sz w:val="20"/>
              </w:rPr>
            </w:pPr>
            <w:r w:rsidRPr="003E1DCA">
              <w:rPr>
                <w:sz w:val="20"/>
              </w:rPr>
              <w:t>Electricity-to-gas (E to G)</w:t>
            </w:r>
          </w:p>
        </w:tc>
        <w:tc>
          <w:tcPr>
            <w:tcW w:w="5275" w:type="dxa"/>
          </w:tcPr>
          <w:p w:rsidR="00D31291" w:rsidRPr="003E1DCA" w:rsidRDefault="00D31291" w:rsidP="00E834E1">
            <w:pPr>
              <w:keepNext/>
              <w:numPr>
                <w:ilvl w:val="0"/>
                <w:numId w:val="24"/>
              </w:numPr>
              <w:spacing w:after="240" w:line="288" w:lineRule="auto"/>
              <w:jc w:val="both"/>
              <w:rPr>
                <w:sz w:val="20"/>
              </w:rPr>
            </w:pPr>
            <w:r w:rsidRPr="003E1DCA">
              <w:rPr>
                <w:sz w:val="20"/>
              </w:rPr>
              <w:t>Customers currently not using gas, generally converting from electricity and/or LPG. May be on the line-of-main or may require a short main extension. It also includes infill connections, where an existing home is demolished and less than three new dwellings are constructed in its place. If three or more dwellings are constructed they are classified as medium density connections.</w:t>
            </w:r>
          </w:p>
        </w:tc>
      </w:tr>
      <w:tr w:rsidR="00D31291" w:rsidTr="000B232C">
        <w:trPr>
          <w:cnfStyle w:val="000000010000" w:firstRow="0" w:lastRow="0" w:firstColumn="0" w:lastColumn="0" w:oddVBand="0" w:evenVBand="0" w:oddHBand="0" w:evenHBand="1" w:firstRowFirstColumn="0" w:firstRowLastColumn="0" w:lastRowFirstColumn="0" w:lastRowLastColumn="0"/>
        </w:trPr>
        <w:tc>
          <w:tcPr>
            <w:tcW w:w="1843" w:type="dxa"/>
          </w:tcPr>
          <w:p w:rsidR="00D31291" w:rsidRPr="003E1DCA" w:rsidRDefault="00D31291" w:rsidP="00D31291">
            <w:pPr>
              <w:numPr>
                <w:ilvl w:val="0"/>
                <w:numId w:val="24"/>
              </w:numPr>
              <w:spacing w:after="240" w:line="288" w:lineRule="auto"/>
              <w:jc w:val="both"/>
              <w:rPr>
                <w:sz w:val="20"/>
              </w:rPr>
            </w:pPr>
          </w:p>
        </w:tc>
        <w:tc>
          <w:tcPr>
            <w:tcW w:w="1902" w:type="dxa"/>
            <w:vAlign w:val="top"/>
          </w:tcPr>
          <w:p w:rsidR="00D31291" w:rsidRPr="003E1DCA" w:rsidRDefault="00D31291" w:rsidP="000B232C">
            <w:pPr>
              <w:rPr>
                <w:sz w:val="20"/>
              </w:rPr>
            </w:pPr>
            <w:r w:rsidRPr="003E1DCA">
              <w:rPr>
                <w:sz w:val="20"/>
              </w:rPr>
              <w:t xml:space="preserve">New estates </w:t>
            </w:r>
          </w:p>
        </w:tc>
        <w:tc>
          <w:tcPr>
            <w:tcW w:w="5275" w:type="dxa"/>
            <w:vAlign w:val="top"/>
          </w:tcPr>
          <w:p w:rsidR="00D31291" w:rsidRPr="003E1DCA" w:rsidRDefault="00D31291" w:rsidP="000B232C">
            <w:pPr>
              <w:rPr>
                <w:sz w:val="20"/>
              </w:rPr>
            </w:pPr>
            <w:r w:rsidRPr="003E1DCA">
              <w:rPr>
                <w:sz w:val="20"/>
              </w:rPr>
              <w:t xml:space="preserve">Customers connected in new estate developments. Typically these are constructed in parallel with other services in the estate development with the benefits of greenfield construction and shared trenching. </w:t>
            </w:r>
          </w:p>
        </w:tc>
      </w:tr>
      <w:tr w:rsidR="00D31291" w:rsidTr="000B232C">
        <w:tc>
          <w:tcPr>
            <w:tcW w:w="1843" w:type="dxa"/>
          </w:tcPr>
          <w:p w:rsidR="00D31291" w:rsidRPr="003E1DCA" w:rsidRDefault="00D31291" w:rsidP="00D31291">
            <w:pPr>
              <w:numPr>
                <w:ilvl w:val="0"/>
                <w:numId w:val="24"/>
              </w:numPr>
              <w:spacing w:after="240" w:line="288" w:lineRule="auto"/>
              <w:jc w:val="both"/>
              <w:rPr>
                <w:sz w:val="20"/>
              </w:rPr>
            </w:pPr>
          </w:p>
        </w:tc>
        <w:tc>
          <w:tcPr>
            <w:tcW w:w="1902" w:type="dxa"/>
            <w:vAlign w:val="top"/>
          </w:tcPr>
          <w:p w:rsidR="00D31291" w:rsidRPr="003E1DCA" w:rsidRDefault="00D31291" w:rsidP="000B232C">
            <w:pPr>
              <w:rPr>
                <w:sz w:val="20"/>
              </w:rPr>
            </w:pPr>
            <w:r w:rsidRPr="003E1DCA">
              <w:rPr>
                <w:sz w:val="20"/>
              </w:rPr>
              <w:t xml:space="preserve">Medium/high density </w:t>
            </w:r>
          </w:p>
        </w:tc>
        <w:tc>
          <w:tcPr>
            <w:tcW w:w="5275" w:type="dxa"/>
            <w:vAlign w:val="top"/>
          </w:tcPr>
          <w:p w:rsidR="00D31291" w:rsidRPr="003E1DCA" w:rsidRDefault="00D31291" w:rsidP="000B232C">
            <w:pPr>
              <w:rPr>
                <w:sz w:val="20"/>
              </w:rPr>
            </w:pPr>
            <w:r w:rsidRPr="003E1DCA">
              <w:rPr>
                <w:sz w:val="20"/>
              </w:rPr>
              <w:t xml:space="preserve">Customers in medium/high density apartments. These usually involve gas for cooking and hot water using a centralised hot water system, and may include heating. This involves a service to the apartments and provision of a hot water meter and gas meter for each residence. </w:t>
            </w:r>
          </w:p>
        </w:tc>
      </w:tr>
      <w:tr w:rsidR="00D31291" w:rsidTr="000B232C">
        <w:trPr>
          <w:cnfStyle w:val="000000010000" w:firstRow="0" w:lastRow="0" w:firstColumn="0" w:lastColumn="0" w:oddVBand="0" w:evenVBand="0" w:oddHBand="0" w:evenHBand="1" w:firstRowFirstColumn="0" w:firstRowLastColumn="0" w:lastRowFirstColumn="0" w:lastRowLastColumn="0"/>
        </w:trPr>
        <w:tc>
          <w:tcPr>
            <w:tcW w:w="1843" w:type="dxa"/>
          </w:tcPr>
          <w:p w:rsidR="00D31291" w:rsidRPr="003E1DCA" w:rsidRDefault="00D31291" w:rsidP="000B232C">
            <w:pPr>
              <w:rPr>
                <w:rStyle w:val="Strong"/>
                <w:sz w:val="20"/>
              </w:rPr>
            </w:pPr>
            <w:r w:rsidRPr="003E1DCA">
              <w:rPr>
                <w:rStyle w:val="Strong"/>
                <w:sz w:val="20"/>
              </w:rPr>
              <w:t>Industrial and commercial (I&amp;C)</w:t>
            </w:r>
          </w:p>
        </w:tc>
        <w:tc>
          <w:tcPr>
            <w:tcW w:w="1902" w:type="dxa"/>
            <w:vAlign w:val="top"/>
          </w:tcPr>
          <w:p w:rsidR="00D31291" w:rsidRPr="003E1DCA" w:rsidRDefault="00D31291" w:rsidP="000B232C">
            <w:pPr>
              <w:rPr>
                <w:sz w:val="20"/>
              </w:rPr>
            </w:pPr>
            <w:r w:rsidRPr="003E1DCA">
              <w:rPr>
                <w:sz w:val="20"/>
              </w:rPr>
              <w:t xml:space="preserve">Volume market  </w:t>
            </w:r>
          </w:p>
        </w:tc>
        <w:tc>
          <w:tcPr>
            <w:tcW w:w="5275" w:type="dxa"/>
            <w:vAlign w:val="top"/>
          </w:tcPr>
          <w:p w:rsidR="00D31291" w:rsidRPr="003E1DCA" w:rsidRDefault="00D31291" w:rsidP="00807E93">
            <w:pPr>
              <w:rPr>
                <w:sz w:val="20"/>
              </w:rPr>
            </w:pPr>
            <w:r w:rsidRPr="003E1DCA">
              <w:rPr>
                <w:sz w:val="20"/>
              </w:rPr>
              <w:t>This includes small business and industrial and commercial (I&amp;C) customers which are not on contract. The 2011-14 historical average use was ~512 GJ p.a.</w:t>
            </w:r>
          </w:p>
        </w:tc>
      </w:tr>
    </w:tbl>
    <w:p w:rsidR="00D31291" w:rsidRPr="001444CC" w:rsidRDefault="00D31291" w:rsidP="00D31291">
      <w:pPr>
        <w:pStyle w:val="AERtablesource"/>
      </w:pPr>
      <w:r>
        <w:t xml:space="preserve">Source: </w:t>
      </w:r>
      <w:r>
        <w:tab/>
        <w:t xml:space="preserve">AER </w:t>
      </w:r>
      <w:r w:rsidR="00807E93">
        <w:t>analysis;</w:t>
      </w:r>
      <w:r>
        <w:t xml:space="preserve"> ActewAGL, </w:t>
      </w:r>
      <w:r w:rsidRPr="00E1212B">
        <w:rPr>
          <w:i/>
        </w:rPr>
        <w:t>ACT Gas Networks Asset Management Plan RY16-RY21</w:t>
      </w:r>
      <w:r>
        <w:t>, 30 June 2015.</w:t>
      </w:r>
    </w:p>
    <w:p w:rsidR="00D31291" w:rsidRPr="0068099B" w:rsidRDefault="0068099B" w:rsidP="0007514B">
      <w:pPr>
        <w:pStyle w:val="HeadingBoldItalic"/>
        <w:keepNext/>
        <w:rPr>
          <w:rStyle w:val="AERbody"/>
          <w:i w:val="0"/>
        </w:rPr>
      </w:pPr>
      <w:r w:rsidRPr="0068099B">
        <w:rPr>
          <w:rStyle w:val="AERbody"/>
          <w:i w:val="0"/>
        </w:rPr>
        <w:t>V</w:t>
      </w:r>
      <w:r w:rsidR="00D31291" w:rsidRPr="0068099B">
        <w:rPr>
          <w:rStyle w:val="AERbody"/>
          <w:i w:val="0"/>
        </w:rPr>
        <w:t>olumes</w:t>
      </w:r>
    </w:p>
    <w:p w:rsidR="00F56A2B" w:rsidRDefault="00D31291" w:rsidP="00F56A2B">
      <w:pPr>
        <w:pStyle w:val="AERbulletlistfirststyle"/>
        <w:numPr>
          <w:ilvl w:val="0"/>
          <w:numId w:val="0"/>
        </w:numPr>
      </w:pPr>
      <w:r>
        <w:t xml:space="preserve">We are not satisfied that </w:t>
      </w:r>
      <w:proofErr w:type="spellStart"/>
      <w:r>
        <w:t>ActewAGL’s</w:t>
      </w:r>
      <w:proofErr w:type="spellEnd"/>
      <w:r>
        <w:t xml:space="preserve"> forecast of new residential connections is the best estimate in the circumstances. In particular we did not agree with </w:t>
      </w:r>
      <w:proofErr w:type="spellStart"/>
      <w:r>
        <w:t>ActewAGL’s</w:t>
      </w:r>
      <w:proofErr w:type="spellEnd"/>
      <w:r>
        <w:t xml:space="preserve"> forecast of a significant increase in new MD/HR connections over the forecast period. </w:t>
      </w:r>
      <w:r w:rsidR="0065140C">
        <w:t>We forecast,</w:t>
      </w:r>
      <w:r>
        <w:t xml:space="preserve"> </w:t>
      </w:r>
      <w:r w:rsidR="0065140C">
        <w:t>on average, 2600</w:t>
      </w:r>
      <w:r w:rsidR="00F56A2B">
        <w:t xml:space="preserve"> new residential connections annually in the 2016</w:t>
      </w:r>
      <w:r w:rsidR="00152BE6">
        <w:t>–</w:t>
      </w:r>
      <w:r w:rsidR="00F56A2B">
        <w:t xml:space="preserve">21 period (a reduction of 31.9 per cent from </w:t>
      </w:r>
      <w:proofErr w:type="spellStart"/>
      <w:r w:rsidR="00F56A2B">
        <w:t>ActewAGL’s</w:t>
      </w:r>
      <w:proofErr w:type="spellEnd"/>
      <w:r w:rsidR="00F56A2B">
        <w:t xml:space="preserve"> proposed 3816</w:t>
      </w:r>
      <w:r w:rsidR="0065140C">
        <w:t xml:space="preserve"> of</w:t>
      </w:r>
      <w:r w:rsidR="00F56A2B" w:rsidRPr="001A43D3">
        <w:t xml:space="preserve"> </w:t>
      </w:r>
      <w:r w:rsidR="00F56A2B">
        <w:t>new residential connections)</w:t>
      </w:r>
      <w:r w:rsidR="0065140C">
        <w:t>.</w:t>
      </w:r>
    </w:p>
    <w:p w:rsidR="00D31291" w:rsidRPr="00E67562" w:rsidRDefault="00D31291" w:rsidP="00D31291">
      <w:proofErr w:type="spellStart"/>
      <w:r>
        <w:t>ActewAGL’s</w:t>
      </w:r>
      <w:proofErr w:type="spellEnd"/>
      <w:r>
        <w:t xml:space="preserve"> forecast volumes is driven by the assumption of a 90 per cent gas connection rate – that is, of all new dwellings, it is assumed that 90 per cent connect to </w:t>
      </w:r>
      <w:proofErr w:type="spellStart"/>
      <w:r>
        <w:t>ActewAGL’s</w:t>
      </w:r>
      <w:proofErr w:type="spellEnd"/>
      <w:r>
        <w:t xml:space="preserve"> gas network. </w:t>
      </w:r>
      <w:r w:rsidR="00EF1256">
        <w:t xml:space="preserve">The 90 per cent connection </w:t>
      </w:r>
      <w:r w:rsidRPr="00E67562">
        <w:t>rate is not based on actual historical connections but as the total number of houses with gas divided by the total number of blocks within the ACT.</w:t>
      </w:r>
      <w:r w:rsidRPr="00E67562">
        <w:rPr>
          <w:vertAlign w:val="superscript"/>
        </w:rPr>
        <w:footnoteReference w:id="40"/>
      </w:r>
      <w:r w:rsidRPr="00E67562">
        <w:rPr>
          <w:vertAlign w:val="superscript"/>
        </w:rPr>
        <w:t xml:space="preserve"> </w:t>
      </w:r>
      <w:r w:rsidRPr="00E67562">
        <w:t xml:space="preserve">We consider that this method leads to an overestimation of the </w:t>
      </w:r>
      <w:r>
        <w:t xml:space="preserve">connection </w:t>
      </w:r>
      <w:r w:rsidRPr="00E67562">
        <w:t>rate as there can be several houses as well as medium density housing on a block of land.</w:t>
      </w:r>
      <w:r>
        <w:t xml:space="preserve"> Our alternate estimate is base</w:t>
      </w:r>
      <w:r w:rsidR="00EF1256">
        <w:t>d on applying the historical</w:t>
      </w:r>
      <w:r>
        <w:t xml:space="preserve"> gas connections rate of 62 per cent for all new dwellings over </w:t>
      </w:r>
      <w:r w:rsidR="0007514B">
        <w:t>the forecast period. The reason</w:t>
      </w:r>
      <w:r>
        <w:t xml:space="preserve"> for our position is set out in attachment 13 (demand).</w:t>
      </w:r>
    </w:p>
    <w:p w:rsidR="00063F8C" w:rsidRDefault="00D31291" w:rsidP="00D31291">
      <w:r>
        <w:t xml:space="preserve">Our position in this draft decision is to accept </w:t>
      </w:r>
      <w:proofErr w:type="spellStart"/>
      <w:r>
        <w:t>ActewAGL’s</w:t>
      </w:r>
      <w:proofErr w:type="spellEnd"/>
      <w:r>
        <w:t xml:space="preserve"> forecast commercial volumes.</w:t>
      </w:r>
      <w:r w:rsidR="009C4D65">
        <w:t xml:space="preserve"> We are satisfied that the </w:t>
      </w:r>
      <w:r w:rsidR="005C7E4F">
        <w:t xml:space="preserve">methodology and underlying assumptions used by Core Energy to derive forecast new commercial connections </w:t>
      </w:r>
      <w:r w:rsidR="009C4D65">
        <w:t>are reasonable, and would result in the best estimate in the circumstances.</w:t>
      </w:r>
    </w:p>
    <w:p w:rsidR="00D31291" w:rsidRPr="0068099B" w:rsidRDefault="00D31291" w:rsidP="0068099B">
      <w:pPr>
        <w:rPr>
          <w:b/>
          <w:i/>
        </w:rPr>
      </w:pPr>
      <w:r w:rsidRPr="0068099B">
        <w:rPr>
          <w:b/>
        </w:rPr>
        <w:t>Connection unit rates</w:t>
      </w:r>
    </w:p>
    <w:p w:rsidR="00D31291" w:rsidRDefault="00D31291" w:rsidP="00D31291">
      <w:r>
        <w:t xml:space="preserve">The unit rates ActewAGL has applied to determine its forecast are the unit rates specified in the Asset Services Agreement (ASA) that was executed on 20 December 2013 by Jemena Asset Management (JAM), the ActewAGL network manager, and </w:t>
      </w:r>
      <w:proofErr w:type="spellStart"/>
      <w:r>
        <w:t>Zinfra</w:t>
      </w:r>
      <w:proofErr w:type="spellEnd"/>
      <w:r w:rsidR="0007514B">
        <w:t>, the subcontractor</w:t>
      </w:r>
      <w:r>
        <w:t xml:space="preserve">. Both JAM and </w:t>
      </w:r>
      <w:proofErr w:type="spellStart"/>
      <w:r>
        <w:t>Zinfra</w:t>
      </w:r>
      <w:proofErr w:type="spellEnd"/>
      <w:r>
        <w:t xml:space="preserve"> are 100 per cent owned by Jemena. These unit rates are weighted by the 4-year average of the volume of mains/services/meters per connection to arrive at the aggregated mains/service/meter unit rates for each connection type.</w:t>
      </w:r>
    </w:p>
    <w:p w:rsidR="00177DD7" w:rsidRDefault="00177DD7" w:rsidP="00177DD7">
      <w:r>
        <w:t>Our position in this draft decision is to accept the contract unit rates that ActewAGL has applied. However, it is important to recognise that in arriving at this position, we did not accept that the forecasting approach and the cost step changes applied by ActewAGL would result in an estimate arrived at on a reasonable basis.</w:t>
      </w:r>
    </w:p>
    <w:p w:rsidR="00D31291" w:rsidRDefault="00D31291" w:rsidP="00D31291">
      <w:r>
        <w:t xml:space="preserve">We are satisfied that on balance, applying the unit rates specified in the ASA is likely to lead to an amount of connections capex that a prudent service provider acting efficiently, in accordance with accepted good industry practice, to achieve the lowest sustainable cost of providing connections would incur. We recognise that given JAM and </w:t>
      </w:r>
      <w:proofErr w:type="spellStart"/>
      <w:r>
        <w:t>Zinfra</w:t>
      </w:r>
      <w:proofErr w:type="spellEnd"/>
      <w:r>
        <w:t xml:space="preserve"> are related parties it is arguable that these unit rates may not reflect the outcome of a competitive process. </w:t>
      </w:r>
    </w:p>
    <w:p w:rsidR="00D31291" w:rsidRDefault="00D31291" w:rsidP="00D31291">
      <w:r>
        <w:t>However, this is based on a presumption that there would an incentive to agree to non-arm’s length terms, and that these non-arm’s length terms are reflected in the connection unit rate. Further, we note that there is a question about whether the benefits of undertaking another competitive tender process specifically in the ACT, particularly in light of its small scale and size, would outweigh the synergies or benefits that may already be reflected in the units rates specified in the ASA. ActewAGL raised this point with us in response to a question we put to it regarding why it had not undertaken another competitive tender process.</w:t>
      </w:r>
      <w:r>
        <w:rPr>
          <w:rStyle w:val="FootnoteReference"/>
        </w:rPr>
        <w:footnoteReference w:id="41"/>
      </w:r>
      <w:r>
        <w:t xml:space="preserve"> On the basis of the information available to us, we </w:t>
      </w:r>
      <w:r w:rsidR="0007514B">
        <w:t xml:space="preserve">assess that </w:t>
      </w:r>
      <w:r>
        <w:t xml:space="preserve">it would </w:t>
      </w:r>
      <w:r w:rsidR="0007514B">
        <w:t xml:space="preserve">not </w:t>
      </w:r>
      <w:r>
        <w:t>necessarily be the case that more benefits would be realised had ActewAGL undertaken another competitive tender process.</w:t>
      </w:r>
    </w:p>
    <w:p w:rsidR="00D31291" w:rsidRPr="0007514B" w:rsidRDefault="00D31291" w:rsidP="00E834E1">
      <w:pPr>
        <w:keepNext/>
        <w:rPr>
          <w:rStyle w:val="Strong"/>
          <w:b w:val="0"/>
          <w:i/>
        </w:rPr>
      </w:pPr>
      <w:r w:rsidRPr="0007514B">
        <w:rPr>
          <w:rStyle w:val="Strong"/>
          <w:b w:val="0"/>
          <w:i/>
        </w:rPr>
        <w:t>Forecasting approach</w:t>
      </w:r>
    </w:p>
    <w:p w:rsidR="00D31291" w:rsidRDefault="00177DD7" w:rsidP="00F45C9D">
      <w:pPr>
        <w:pStyle w:val="AERbulletlistfirststyle"/>
        <w:numPr>
          <w:ilvl w:val="0"/>
          <w:numId w:val="0"/>
        </w:numPr>
      </w:pPr>
      <w:r>
        <w:t xml:space="preserve">While we accept the contract unit rates, we do not consider that applying </w:t>
      </w:r>
      <w:proofErr w:type="spellStart"/>
      <w:r>
        <w:t>ActewAGL’s</w:t>
      </w:r>
      <w:proofErr w:type="spellEnd"/>
      <w:r>
        <w:t xml:space="preserve"> forecasting method would result in a forecast that is arrived at on a reasonable basis. </w:t>
      </w:r>
      <w:r w:rsidR="00D31291">
        <w:t>This is for the following reasons:</w:t>
      </w:r>
    </w:p>
    <w:p w:rsidR="0007514B" w:rsidRDefault="00D31291" w:rsidP="00D70576">
      <w:pPr>
        <w:pStyle w:val="AERbulletlistfirststyle"/>
      </w:pPr>
      <w:r w:rsidRPr="00D70576">
        <w:t xml:space="preserve">We were unable to reconcile the data in </w:t>
      </w:r>
      <w:proofErr w:type="spellStart"/>
      <w:r w:rsidRPr="00D70576">
        <w:t>ActewAGL’s</w:t>
      </w:r>
      <w:proofErr w:type="spellEnd"/>
      <w:r w:rsidRPr="00D70576">
        <w:t xml:space="preserve"> unit rate model and access arrangement RIN due to inconsistencies and coding errors.</w:t>
      </w:r>
      <w:r w:rsidR="00F45C9D" w:rsidRPr="00D70576">
        <w:t xml:space="preserve"> We set out the data inconsistenci</w:t>
      </w:r>
      <w:r w:rsidR="007C487F">
        <w:t xml:space="preserve">es in more detail in </w:t>
      </w:r>
      <w:r w:rsidR="007C7AF7">
        <w:t>Appendix B</w:t>
      </w:r>
      <w:r w:rsidR="00EF1256">
        <w:t>.</w:t>
      </w:r>
      <w:r w:rsidRPr="00D70576">
        <w:t xml:space="preserve"> </w:t>
      </w:r>
      <w:r w:rsidR="0007514B">
        <w:t>We expect that ActewAGL will resolve these issues as part of its revised access arrangement proposal.</w:t>
      </w:r>
    </w:p>
    <w:p w:rsidR="00D31291" w:rsidRPr="00D70576" w:rsidRDefault="00D31291" w:rsidP="00D70576">
      <w:pPr>
        <w:pStyle w:val="AERbulletlistfirststyle"/>
      </w:pPr>
      <w:r w:rsidRPr="00D70576">
        <w:t xml:space="preserve">We have concerns about </w:t>
      </w:r>
      <w:proofErr w:type="spellStart"/>
      <w:r w:rsidRPr="00D70576">
        <w:t>ActewAGL’s</w:t>
      </w:r>
      <w:proofErr w:type="spellEnd"/>
      <w:r w:rsidRPr="00D70576">
        <w:t xml:space="preserve"> meter data loggers (MDLs)</w:t>
      </w:r>
      <w:r w:rsidRPr="00212900">
        <w:rPr>
          <w:rStyle w:val="FootnoteReference"/>
        </w:rPr>
        <w:footnoteReference w:id="42"/>
      </w:r>
      <w:r w:rsidRPr="00D70576">
        <w:t xml:space="preserve"> and hot water meter roll out assumptions. Firstly, ActewAGL applies a single unit rate. This includes the cost of individual household gas meters and gas master meters, MDLs, meter kits and hot water meters for each new connection. A single unit rate for every connection will </w:t>
      </w:r>
      <w:r w:rsidR="0007514B">
        <w:t xml:space="preserve">not </w:t>
      </w:r>
      <w:r w:rsidRPr="00D70576">
        <w:t xml:space="preserve">always result in the best estimate in the circumstances: a new connection may not require all of these items and the connection of MDLs, meter kits and hot water meters may not include connecting a gas meter. </w:t>
      </w:r>
    </w:p>
    <w:p w:rsidR="00D31291" w:rsidRPr="00D70576" w:rsidRDefault="00D31291" w:rsidP="00D70576">
      <w:pPr>
        <w:pStyle w:val="AERbulletlistfirststyle"/>
      </w:pPr>
      <w:proofErr w:type="spellStart"/>
      <w:r w:rsidRPr="00D70576">
        <w:t>ActewAGL’s</w:t>
      </w:r>
      <w:proofErr w:type="spellEnd"/>
      <w:r w:rsidRPr="00D70576">
        <w:t xml:space="preserve"> forecast of MDLs and hot water meters is based on a historical four year average that assumes there will be a large number of apartment developments. This is not appropriate in circumstances where the HIA forecast suggests that there is an expected downturn in such developments.</w:t>
      </w:r>
      <w:r w:rsidRPr="00212900">
        <w:rPr>
          <w:rStyle w:val="FootnoteReference"/>
        </w:rPr>
        <w:footnoteReference w:id="43"/>
      </w:r>
      <w:r w:rsidRPr="00D70576">
        <w:t xml:space="preserve"> </w:t>
      </w:r>
    </w:p>
    <w:p w:rsidR="00003BA4" w:rsidRDefault="0014328F" w:rsidP="00003BA4">
      <w:pPr>
        <w:pStyle w:val="AERbulletlistfirststyle"/>
      </w:pPr>
      <w:r w:rsidRPr="00D70576">
        <w:t>ActewAGL include</w:t>
      </w:r>
      <w:r>
        <w:t>d more connections than</w:t>
      </w:r>
      <w:r w:rsidRPr="00D70576">
        <w:t xml:space="preserve"> household </w:t>
      </w:r>
      <w:r>
        <w:t xml:space="preserve">and master </w:t>
      </w:r>
      <w:r w:rsidRPr="00D70576">
        <w:t xml:space="preserve">gas meters </w:t>
      </w:r>
      <w:r>
        <w:t xml:space="preserve">and more </w:t>
      </w:r>
      <w:r w:rsidRPr="00D70576">
        <w:t>hot water meters</w:t>
      </w:r>
      <w:r>
        <w:t xml:space="preserve"> than connections</w:t>
      </w:r>
      <w:r w:rsidRPr="00D70576">
        <w:t xml:space="preserve"> in the unit rate model. It is not clear how more hot water</w:t>
      </w:r>
      <w:r>
        <w:t xml:space="preserve"> meters than new connections can be justified.</w:t>
      </w:r>
      <w:r w:rsidR="00003BA4">
        <w:t xml:space="preserve"> </w:t>
      </w:r>
    </w:p>
    <w:p w:rsidR="00D31291" w:rsidRDefault="00D31291" w:rsidP="00F45C9D">
      <w:pPr>
        <w:pStyle w:val="AERbulletlistfirststyle"/>
        <w:numPr>
          <w:ilvl w:val="0"/>
          <w:numId w:val="0"/>
        </w:numPr>
        <w:tabs>
          <w:tab w:val="clear" w:pos="340"/>
          <w:tab w:val="left" w:pos="567"/>
        </w:tabs>
      </w:pPr>
      <w:r>
        <w:t>In our view, we consider that a better estimate would</w:t>
      </w:r>
      <w:r w:rsidR="00F45C9D">
        <w:t>:</w:t>
      </w:r>
    </w:p>
    <w:p w:rsidR="00D31291" w:rsidRPr="00D70576" w:rsidRDefault="00D31291" w:rsidP="00D70576">
      <w:pPr>
        <w:pStyle w:val="AERbulletlistfirststyle"/>
      </w:pPr>
      <w:r w:rsidRPr="00D70576">
        <w:t>t</w:t>
      </w:r>
      <w:r w:rsidR="00F45C9D" w:rsidRPr="00D70576">
        <w:t>ake</w:t>
      </w:r>
      <w:r w:rsidRPr="00D70576">
        <w:t xml:space="preserve"> account of expected downturn in large apartment developments;</w:t>
      </w:r>
    </w:p>
    <w:p w:rsidR="00D31291" w:rsidRPr="00D70576" w:rsidRDefault="00D31291" w:rsidP="00D70576">
      <w:pPr>
        <w:pStyle w:val="AERbulletlistfirststyle"/>
      </w:pPr>
      <w:r w:rsidRPr="00D70576">
        <w:t>separately forecast:</w:t>
      </w:r>
    </w:p>
    <w:p w:rsidR="00D31291" w:rsidRDefault="00D31291" w:rsidP="00D70576">
      <w:pPr>
        <w:pStyle w:val="AERbulletlistsecondstyle"/>
      </w:pPr>
      <w:r w:rsidRPr="003E1DCA">
        <w:t>medium density dwellings from high rise dwellings, given t</w:t>
      </w:r>
      <w:r>
        <w:t>he different capex requirements;</w:t>
      </w:r>
    </w:p>
    <w:p w:rsidR="00D31291" w:rsidRDefault="00D31291" w:rsidP="00D70576">
      <w:pPr>
        <w:pStyle w:val="AERbulletlistsecondstyle"/>
      </w:pPr>
      <w:r>
        <w:t>individual household gas meters from gas master meters, given the different capex costs and ratios of application</w:t>
      </w:r>
    </w:p>
    <w:p w:rsidR="00D31291" w:rsidRDefault="00D31291" w:rsidP="00D70576">
      <w:pPr>
        <w:pStyle w:val="AERbulletlistsecondstyle"/>
      </w:pPr>
      <w:r>
        <w:t>MDLs, meter kits and hot water meters.</w:t>
      </w:r>
      <w:r w:rsidR="0091140F">
        <w:rPr>
          <w:rStyle w:val="FootnoteReference"/>
        </w:rPr>
        <w:footnoteReference w:id="44"/>
      </w:r>
    </w:p>
    <w:p w:rsidR="00D31291" w:rsidRDefault="00D31291" w:rsidP="00F45C9D">
      <w:pPr>
        <w:pStyle w:val="AERbulletlistfirststyle"/>
        <w:numPr>
          <w:ilvl w:val="0"/>
          <w:numId w:val="0"/>
        </w:numPr>
        <w:tabs>
          <w:tab w:val="clear" w:pos="340"/>
          <w:tab w:val="left" w:pos="567"/>
        </w:tabs>
      </w:pPr>
      <w:r>
        <w:t xml:space="preserve">We </w:t>
      </w:r>
      <w:r w:rsidR="009C4D65">
        <w:t>invite</w:t>
      </w:r>
      <w:r>
        <w:t xml:space="preserve"> ActewAGL address our concerns about its forecasting approach</w:t>
      </w:r>
      <w:r w:rsidR="00F45C9D">
        <w:t>, including the data inconsistencies,</w:t>
      </w:r>
      <w:r>
        <w:t xml:space="preserve"> in its revised proposal.</w:t>
      </w:r>
    </w:p>
    <w:p w:rsidR="00D31291" w:rsidRPr="0007514B" w:rsidRDefault="00D31291" w:rsidP="00D31291">
      <w:pPr>
        <w:rPr>
          <w:rStyle w:val="Strong"/>
          <w:b w:val="0"/>
          <w:i/>
        </w:rPr>
      </w:pPr>
      <w:r w:rsidRPr="0007514B">
        <w:rPr>
          <w:rStyle w:val="Strong"/>
          <w:b w:val="0"/>
          <w:i/>
        </w:rPr>
        <w:t>Cost step change</w:t>
      </w:r>
    </w:p>
    <w:p w:rsidR="00D31291" w:rsidRDefault="00D31291" w:rsidP="00D31291">
      <w:r>
        <w:t xml:space="preserve">We are not satisfied </w:t>
      </w:r>
      <w:r w:rsidR="00F02492">
        <w:t xml:space="preserve">that applying </w:t>
      </w:r>
      <w:proofErr w:type="spellStart"/>
      <w:r>
        <w:t>ActewAGL’s</w:t>
      </w:r>
      <w:proofErr w:type="spellEnd"/>
      <w:r>
        <w:t xml:space="preserve"> proposed cost step changes for energisation costs for meters for medium density connections, hot water meters and applying escalators in its unit rates model</w:t>
      </w:r>
      <w:r w:rsidR="00F02492">
        <w:t xml:space="preserve"> would result in a forecast that is arrived at on a reasonable basis</w:t>
      </w:r>
      <w:r>
        <w:t>.</w:t>
      </w:r>
      <w:r w:rsidRPr="00FB6DB4">
        <w:t xml:space="preserve"> </w:t>
      </w:r>
      <w:r>
        <w:t>This is for the following reasons.</w:t>
      </w:r>
    </w:p>
    <w:p w:rsidR="00D31291" w:rsidRDefault="00D31291" w:rsidP="00D31291">
      <w:r>
        <w:t>Regarding the proposed step change for energisation costs</w:t>
      </w:r>
      <w:r w:rsidRPr="00D10180">
        <w:t xml:space="preserve"> </w:t>
      </w:r>
      <w:r>
        <w:t xml:space="preserve">ActewAGL proposed an energisation cost for meters for medium density connections. It attributed this to the introduction of </w:t>
      </w:r>
      <w:r w:rsidRPr="0014111C">
        <w:t>the National Energy Customer Framework (NECF)</w:t>
      </w:r>
      <w:r>
        <w:t>.</w:t>
      </w:r>
      <w:r>
        <w:rPr>
          <w:rStyle w:val="FootnoteReference"/>
        </w:rPr>
        <w:footnoteReference w:id="45"/>
      </w:r>
      <w:r>
        <w:t xml:space="preserve"> ActewAGL did not provide any further information than this to support its proposed expenditure.</w:t>
      </w:r>
    </w:p>
    <w:p w:rsidR="00D31291" w:rsidRDefault="00D31291" w:rsidP="00D31291">
      <w:r>
        <w:t>We put to ActewAGL that</w:t>
      </w:r>
      <w:r w:rsidRPr="003F23BC">
        <w:t xml:space="preserve"> the NGR and NERL provide for ActewAGL to be able to</w:t>
      </w:r>
      <w:r>
        <w:t xml:space="preserve"> allocate</w:t>
      </w:r>
      <w:r w:rsidRPr="003F23BC">
        <w:t xml:space="preserve"> </w:t>
      </w:r>
      <w:r>
        <w:t xml:space="preserve">energisation costs to the connecting party, </w:t>
      </w:r>
      <w:r w:rsidRPr="003F23BC">
        <w:t>by requiring a retail contract to be in place (and therefore a financially responsible retailer assigned) before establishing a new connection.</w:t>
      </w:r>
      <w:r>
        <w:rPr>
          <w:rStyle w:val="FootnoteReference"/>
        </w:rPr>
        <w:footnoteReference w:id="46"/>
      </w:r>
      <w:r w:rsidRPr="003F23BC">
        <w:t xml:space="preserve"> The NGR provides for ActewAGL to not </w:t>
      </w:r>
      <w:r>
        <w:t>energise</w:t>
      </w:r>
      <w:r w:rsidRPr="003F23BC">
        <w:t xml:space="preserve"> a connection until a retailer is nominated.</w:t>
      </w:r>
      <w:r>
        <w:rPr>
          <w:rStyle w:val="FootnoteReference"/>
        </w:rPr>
        <w:footnoteReference w:id="47"/>
      </w:r>
      <w:r w:rsidRPr="003F23BC">
        <w:t xml:space="preserve"> I</w:t>
      </w:r>
      <w:r>
        <w:t>n the case of new developments, i</w:t>
      </w:r>
      <w:r w:rsidRPr="003F23BC">
        <w:t xml:space="preserve">f a retailer is nominated by the real estate developer, </w:t>
      </w:r>
      <w:r>
        <w:t xml:space="preserve">the developer is recognised as a shared customer and </w:t>
      </w:r>
      <w:proofErr w:type="spellStart"/>
      <w:r w:rsidRPr="003F23BC">
        <w:t>ActewAGL's</w:t>
      </w:r>
      <w:proofErr w:type="spellEnd"/>
      <w:r w:rsidRPr="003F23BC">
        <w:t xml:space="preserve"> proposed approach to de-energisation and re-energisation in other circumstances (for example, move-in/move-out customers)</w:t>
      </w:r>
      <w:r>
        <w:t xml:space="preserve"> would apply</w:t>
      </w:r>
      <w:r w:rsidRPr="003F23BC">
        <w:t xml:space="preserve">. To the extent that </w:t>
      </w:r>
      <w:r>
        <w:t>ActewAGL</w:t>
      </w:r>
      <w:r w:rsidRPr="003F23BC">
        <w:t xml:space="preserve"> departs from this approach, </w:t>
      </w:r>
      <w:r>
        <w:t xml:space="preserve">we consider </w:t>
      </w:r>
      <w:r w:rsidRPr="003F23BC">
        <w:t xml:space="preserve">the cost should </w:t>
      </w:r>
      <w:r>
        <w:t xml:space="preserve">nonetheless </w:t>
      </w:r>
      <w:r w:rsidRPr="003F23BC">
        <w:t>be borne by the benefitting party, that b</w:t>
      </w:r>
      <w:r>
        <w:t>eing the real estate developer.</w:t>
      </w:r>
      <w:r>
        <w:rPr>
          <w:rStyle w:val="FootnoteReference"/>
        </w:rPr>
        <w:footnoteReference w:id="48"/>
      </w:r>
    </w:p>
    <w:p w:rsidR="00D31291" w:rsidRDefault="00D31291" w:rsidP="00D31291">
      <w:r>
        <w:t>In response, ActewAGL submitted that:</w:t>
      </w:r>
      <w:r>
        <w:rPr>
          <w:rStyle w:val="FootnoteReference"/>
        </w:rPr>
        <w:footnoteReference w:id="49"/>
      </w:r>
    </w:p>
    <w:p w:rsidR="00D31291" w:rsidRDefault="00D31291" w:rsidP="00D31291">
      <w:pPr>
        <w:pStyle w:val="AERbulletlistfirststyle"/>
      </w:pPr>
      <w:r>
        <w:t>a real estate developer would generally need to have a pre-existing relationship with a gas retailer in order to enter into a retail contract for a new development</w:t>
      </w:r>
    </w:p>
    <w:p w:rsidR="00D31291" w:rsidRDefault="00D31291" w:rsidP="00D31291">
      <w:pPr>
        <w:pStyle w:val="AERbulletlistfirststyle"/>
      </w:pPr>
      <w:r>
        <w:t>this is because</w:t>
      </w:r>
      <w:r w:rsidR="0091140F">
        <w:t xml:space="preserve"> a</w:t>
      </w:r>
      <w:r>
        <w:t xml:space="preserve"> retailer would need be willing to create retail contracts with the developer as the customer for a large number (potentially hundreds) of sites that will ultimately be</w:t>
      </w:r>
      <w:r w:rsidRPr="001E719C">
        <w:t xml:space="preserve"> </w:t>
      </w:r>
      <w:r>
        <w:t>occupied by end-customers, but where there may be a considerable gap in time between the establishment of these retail contracts and the occupation of each premise by a gas consumer (resident)</w:t>
      </w:r>
    </w:p>
    <w:p w:rsidR="00D31291" w:rsidRDefault="00D31291" w:rsidP="00D31291">
      <w:pPr>
        <w:pStyle w:val="AERbulletlistfirststyle"/>
      </w:pPr>
      <w:proofErr w:type="gramStart"/>
      <w:r>
        <w:t>if</w:t>
      </w:r>
      <w:proofErr w:type="gramEnd"/>
      <w:r>
        <w:t xml:space="preserve"> a developer is unable or unwilling to enter a retail contract for each premise in its development </w:t>
      </w:r>
      <w:r w:rsidR="0091140F">
        <w:t>with</w:t>
      </w:r>
      <w:r>
        <w:t xml:space="preserve"> a retailer ActewAGL must provide the developer with an offer to connect to the network.</w:t>
      </w:r>
      <w:r w:rsidRPr="00AF1E9C">
        <w:t xml:space="preserve"> </w:t>
      </w:r>
      <w:r w:rsidR="0091140F">
        <w:t>That is,</w:t>
      </w:r>
      <w:r>
        <w:t xml:space="preserve"> an offer to establish the physical connection to the network (which will not be energised until there is a financially responsible retailer for the site at some point in the future</w:t>
      </w:r>
      <w:r w:rsidR="0091140F">
        <w:t>—</w:t>
      </w:r>
      <w:r>
        <w:t xml:space="preserve">thereby requiring a </w:t>
      </w:r>
      <w:r w:rsidR="00EE4EAF">
        <w:t>two-step</w:t>
      </w:r>
      <w:r>
        <w:t xml:space="preserve"> connection).</w:t>
      </w:r>
    </w:p>
    <w:p w:rsidR="00D31291" w:rsidRPr="00D10180" w:rsidRDefault="00D31291" w:rsidP="00D31291">
      <w:pPr>
        <w:rPr>
          <w:color w:val="1F497D"/>
        </w:rPr>
      </w:pPr>
      <w:r>
        <w:t xml:space="preserve">We do not agree with </w:t>
      </w:r>
      <w:proofErr w:type="spellStart"/>
      <w:r>
        <w:t>ActewAGL’s</w:t>
      </w:r>
      <w:proofErr w:type="spellEnd"/>
      <w:r>
        <w:t xml:space="preserve"> submission that there are impediments to requiring property developers to enter into retail contracts in respect of new developments.</w:t>
      </w:r>
      <w:r w:rsidRPr="00D10180">
        <w:rPr>
          <w:sz w:val="21"/>
          <w:szCs w:val="21"/>
        </w:rPr>
        <w:t xml:space="preserve"> </w:t>
      </w:r>
      <w:r>
        <w:rPr>
          <w:sz w:val="21"/>
          <w:szCs w:val="21"/>
        </w:rPr>
        <w:t xml:space="preserve">We </w:t>
      </w:r>
      <w:r>
        <w:t>consider that</w:t>
      </w:r>
      <w:r w:rsidRPr="00D10180">
        <w:t xml:space="preserve"> there are strong incentives for competing retailers in the ACT to contract with developers, including </w:t>
      </w:r>
      <w:proofErr w:type="gramStart"/>
      <w:r w:rsidRPr="00D10180">
        <w:t>to grow</w:t>
      </w:r>
      <w:proofErr w:type="gramEnd"/>
      <w:r w:rsidRPr="00D10180">
        <w:t xml:space="preserve"> their cus</w:t>
      </w:r>
      <w:bookmarkStart w:id="35" w:name="_GoBack"/>
      <w:bookmarkEnd w:id="35"/>
      <w:r w:rsidRPr="00D10180">
        <w:t>tomer base</w:t>
      </w:r>
      <w:r>
        <w:t>.</w:t>
      </w:r>
      <w:r>
        <w:rPr>
          <w:color w:val="1F497D"/>
        </w:rPr>
        <w:t xml:space="preserve"> </w:t>
      </w:r>
      <w:r>
        <w:rPr>
          <w:sz w:val="21"/>
          <w:szCs w:val="21"/>
        </w:rPr>
        <w:t xml:space="preserve">We remain of the view that energisation </w:t>
      </w:r>
      <w:r w:rsidRPr="003F23BC">
        <w:t>cost should be borne by the benefitting party, that b</w:t>
      </w:r>
      <w:r>
        <w:t>eing the real estate developer, and</w:t>
      </w:r>
      <w:r>
        <w:rPr>
          <w:sz w:val="21"/>
          <w:szCs w:val="21"/>
        </w:rPr>
        <w:t xml:space="preserve"> have not included the energisation cost in the medium density meter unit rate.</w:t>
      </w:r>
    </w:p>
    <w:p w:rsidR="003C27F3" w:rsidRDefault="0014328F" w:rsidP="003C27F3">
      <w:r>
        <w:t xml:space="preserve">Regarding the proposed step change for hot water meters, </w:t>
      </w:r>
      <w:proofErr w:type="spellStart"/>
      <w:r w:rsidRPr="00B00DCE">
        <w:t>ActewAGL’s</w:t>
      </w:r>
      <w:proofErr w:type="spellEnd"/>
      <w:r w:rsidRPr="00B00DCE">
        <w:t xml:space="preserve"> unit rate model </w:t>
      </w:r>
      <w:r>
        <w:t xml:space="preserve">refers to three different types of hot water meters but applies the unit rate for a hot water meter which is </w:t>
      </w:r>
      <w:r w:rsidR="004C5F88">
        <w:t>materially</w:t>
      </w:r>
      <w:r w:rsidRPr="00F02492">
        <w:t xml:space="preserve"> more expensive than these other three hot water meter types.</w:t>
      </w:r>
      <w:r w:rsidRPr="00F02492">
        <w:rPr>
          <w:rStyle w:val="FootnoteReference"/>
        </w:rPr>
        <w:footnoteReference w:id="50"/>
      </w:r>
      <w:r w:rsidR="003C27F3">
        <w:t xml:space="preserve">  </w:t>
      </w:r>
    </w:p>
    <w:p w:rsidR="003C27F3" w:rsidRDefault="0014328F" w:rsidP="003C27F3">
      <w:r>
        <w:t>In response to our information request, ActewAGL submitted further information and tender information.</w:t>
      </w:r>
      <w:r>
        <w:rPr>
          <w:rStyle w:val="FootnoteReference"/>
        </w:rPr>
        <w:footnoteReference w:id="51"/>
      </w:r>
      <w:r>
        <w:t xml:space="preserve"> On the information available, we </w:t>
      </w:r>
      <w:r w:rsidR="009C4D65">
        <w:t xml:space="preserve">cannot </w:t>
      </w:r>
      <w:r>
        <w:t xml:space="preserve">see </w:t>
      </w:r>
      <w:r w:rsidR="009C4D65">
        <w:t xml:space="preserve">why it would be appropriate </w:t>
      </w:r>
      <w:r>
        <w:t xml:space="preserve">for ActewAGL to use the materially more expensive hot water meter than the alternatives recommended in the tender reports. </w:t>
      </w:r>
      <w:r w:rsidR="00F02492">
        <w:t xml:space="preserve">We therefore have not accepted </w:t>
      </w:r>
      <w:proofErr w:type="spellStart"/>
      <w:r w:rsidR="00F02492">
        <w:t>ActewAGL’s</w:t>
      </w:r>
      <w:proofErr w:type="spellEnd"/>
      <w:r w:rsidR="00F02492">
        <w:t xml:space="preserve"> proposed step change for hot water meters</w:t>
      </w:r>
      <w:r w:rsidR="00F02492" w:rsidRPr="002D0E04">
        <w:t xml:space="preserve"> </w:t>
      </w:r>
      <w:r w:rsidR="00F02492">
        <w:t>on the basis that using the more expensive hot water meters would result in a forecast that is not arrived at on a reasonable basis.</w:t>
      </w:r>
    </w:p>
    <w:p w:rsidR="00D31291" w:rsidRPr="009416A1" w:rsidRDefault="00D31291" w:rsidP="00F45C9D">
      <w:pPr>
        <w:pStyle w:val="AERbulletlistfirststyle"/>
        <w:numPr>
          <w:ilvl w:val="0"/>
          <w:numId w:val="0"/>
        </w:numPr>
        <w:tabs>
          <w:tab w:val="clear" w:pos="340"/>
          <w:tab w:val="left" w:pos="567"/>
        </w:tabs>
      </w:pPr>
      <w:r>
        <w:t xml:space="preserve">Regarding the escalation of unit rates, ActewAGL has stated that it applied escalators in the same way as it did to its forecast opex, to account for expected component price changes over the 2015–20 access arrangement </w:t>
      </w:r>
      <w:proofErr w:type="gramStart"/>
      <w:r>
        <w:t>period</w:t>
      </w:r>
      <w:proofErr w:type="gramEnd"/>
      <w:r>
        <w:t>.</w:t>
      </w:r>
      <w:r>
        <w:rPr>
          <w:rStyle w:val="FootnoteReference"/>
        </w:rPr>
        <w:footnoteReference w:id="52"/>
      </w:r>
      <w:r>
        <w:t xml:space="preserve"> However, we have been unable to identify what these escalators are.</w:t>
      </w:r>
      <w:r>
        <w:rPr>
          <w:rStyle w:val="FootnoteReference"/>
        </w:rPr>
        <w:footnoteReference w:id="53"/>
      </w:r>
      <w:r>
        <w:t xml:space="preserve"> The ASA only refers to CPI escalation.</w:t>
      </w:r>
      <w:r>
        <w:rPr>
          <w:rStyle w:val="FootnoteReference"/>
        </w:rPr>
        <w:footnoteReference w:id="54"/>
      </w:r>
      <w:r>
        <w:t xml:space="preserve"> We have therefore been unable to assess these escalators and have not included these in the unit rates.</w:t>
      </w:r>
    </w:p>
    <w:p w:rsidR="00D31291" w:rsidRPr="007C487F" w:rsidRDefault="00D31291" w:rsidP="00E834E1">
      <w:pPr>
        <w:pStyle w:val="AERbulletlistthirdstyle"/>
        <w:keepNext/>
        <w:numPr>
          <w:ilvl w:val="0"/>
          <w:numId w:val="0"/>
        </w:numPr>
        <w:rPr>
          <w:rStyle w:val="Strong"/>
        </w:rPr>
      </w:pPr>
      <w:r w:rsidRPr="007C487F">
        <w:rPr>
          <w:rStyle w:val="Strong"/>
        </w:rPr>
        <w:t>Volume of mains/services/meters per connection</w:t>
      </w:r>
    </w:p>
    <w:p w:rsidR="00D31291" w:rsidRDefault="00D31291" w:rsidP="00D31291">
      <w:r>
        <w:t>ActewAGL applied a three year historical average (2011</w:t>
      </w:r>
      <w:r w:rsidR="00152BE6">
        <w:t>–</w:t>
      </w:r>
      <w:r>
        <w:t>12 to 2013</w:t>
      </w:r>
      <w:r w:rsidR="00152BE6">
        <w:t>–</w:t>
      </w:r>
      <w:r>
        <w:t xml:space="preserve">14) of the mains/services/meters per connection from its </w:t>
      </w:r>
      <w:r w:rsidR="00A213DD">
        <w:t>access a</w:t>
      </w:r>
      <w:r>
        <w:t xml:space="preserve">rrangement RIN. Given the data inconsistences between the </w:t>
      </w:r>
      <w:r w:rsidR="00A213DD">
        <w:t xml:space="preserve">access arrangement </w:t>
      </w:r>
      <w:r>
        <w:t xml:space="preserve">RIN and the unit rate model noted above and set out in detail in Appendix </w:t>
      </w:r>
      <w:r w:rsidR="00E84B03">
        <w:fldChar w:fldCharType="begin"/>
      </w:r>
      <w:r w:rsidR="00E84B03">
        <w:instrText xml:space="preserve"> REF _Ref433096053 \n \h </w:instrText>
      </w:r>
      <w:r w:rsidR="00E84B03">
        <w:fldChar w:fldCharType="separate"/>
      </w:r>
      <w:r w:rsidR="00E84B03">
        <w:t>B</w:t>
      </w:r>
      <w:r w:rsidR="00E84B03">
        <w:fldChar w:fldCharType="end"/>
      </w:r>
      <w:r>
        <w:t xml:space="preserve">, we have used </w:t>
      </w:r>
      <w:proofErr w:type="spellStart"/>
      <w:r>
        <w:t>ActewAGL’s</w:t>
      </w:r>
      <w:proofErr w:type="spellEnd"/>
      <w:r>
        <w:t xml:space="preserve"> unit rate model to arrive at the average mains/services/meters per connection over a four year period. This ensures that the same data source used to derive the weights for the contract rates (which were derived over a four year period) is also used to estimate the average mains/services/meters per connection.</w:t>
      </w:r>
      <w:r w:rsidRPr="004D1D7D">
        <w:rPr>
          <w:rStyle w:val="FootnoteReference"/>
        </w:rPr>
        <w:t xml:space="preserve"> </w:t>
      </w:r>
      <w:r>
        <w:rPr>
          <w:rStyle w:val="FootnoteReference"/>
        </w:rPr>
        <w:footnoteReference w:id="55"/>
      </w:r>
    </w:p>
    <w:p w:rsidR="00D31291" w:rsidRPr="007C487F" w:rsidRDefault="00D31291" w:rsidP="007B077F">
      <w:pPr>
        <w:rPr>
          <w:rStyle w:val="Strong"/>
        </w:rPr>
      </w:pPr>
      <w:r w:rsidRPr="007C487F">
        <w:rPr>
          <w:rStyle w:val="Strong"/>
        </w:rPr>
        <w:t>Inclusion of an internal main for medium density/high rise</w:t>
      </w:r>
    </w:p>
    <w:p w:rsidR="009E7028" w:rsidRDefault="009E7028" w:rsidP="00D31291">
      <w:r>
        <w:t xml:space="preserve">We have not included the internal mains costs in the unit rates for </w:t>
      </w:r>
      <w:r w:rsidRPr="0069586B">
        <w:t>medium density connections</w:t>
      </w:r>
      <w:r>
        <w:t>.</w:t>
      </w:r>
    </w:p>
    <w:p w:rsidR="009E7028" w:rsidRDefault="009E7028" w:rsidP="009E7028">
      <w:r>
        <w:t>ActewAGL indicated that, u</w:t>
      </w:r>
      <w:r w:rsidRPr="0069586B">
        <w:t>nlike networks in other jurisdictions</w:t>
      </w:r>
      <w:r>
        <w:t>, it</w:t>
      </w:r>
      <w:r w:rsidRPr="0069586B">
        <w:t xml:space="preserve"> </w:t>
      </w:r>
      <w:r>
        <w:t>includes</w:t>
      </w:r>
      <w:r w:rsidRPr="0069586B">
        <w:t xml:space="preserve"> the internal main within the site of the villa complex</w:t>
      </w:r>
      <w:r>
        <w:t xml:space="preserve"> in its connections capex proposal</w:t>
      </w:r>
      <w:r w:rsidRPr="0069586B">
        <w:t xml:space="preserve">. </w:t>
      </w:r>
      <w:r>
        <w:t>ActewAGL indicated that this results in a longer average mains length for medium density dwellings. ActewAGL submit that ‘[a]</w:t>
      </w:r>
      <w:r w:rsidRPr="0069586B">
        <w:t>s a result, the average cost of mains for medium-density connections may be significantly higher than would be observed for other gas networks</w:t>
      </w:r>
      <w:r>
        <w:t>’</w:t>
      </w:r>
      <w:r w:rsidRPr="0069586B">
        <w:t>.</w:t>
      </w:r>
      <w:r>
        <w:rPr>
          <w:rStyle w:val="FootnoteReference"/>
        </w:rPr>
        <w:footnoteReference w:id="56"/>
      </w:r>
    </w:p>
    <w:p w:rsidR="009E7028" w:rsidRDefault="009E7028" w:rsidP="009E7028">
      <w:r>
        <w:t>We do not consider this cost should be included in the connection charge to customers, and to include it would be inefficient.</w:t>
      </w:r>
      <w:r w:rsidR="00C02660">
        <w:t xml:space="preserve"> This internal main is contained within the property and therefore </w:t>
      </w:r>
      <w:r>
        <w:t>should be paid by the developer</w:t>
      </w:r>
      <w:r w:rsidR="00C02660">
        <w:t>. We also note that it is not industry practice for a network provider to charge customers for an internal main.</w:t>
      </w:r>
    </w:p>
    <w:p w:rsidR="00D31291" w:rsidRDefault="009E7028" w:rsidP="007C487F">
      <w:pPr>
        <w:pStyle w:val="Heading4"/>
      </w:pPr>
      <w:r>
        <w:t xml:space="preserve"> </w:t>
      </w:r>
      <w:r w:rsidR="00D31291">
        <w:t>Tariff D connections</w:t>
      </w:r>
    </w:p>
    <w:p w:rsidR="00112772" w:rsidRDefault="00C02660" w:rsidP="00112772">
      <w:r>
        <w:t>ActewAGL calculated the total capital expenditure for Tariff D or contract industrial and commercial connections by applying a 4-year (FY11-FY14) historical average of Tariff D expenditure.</w:t>
      </w:r>
      <w:r w:rsidR="00112772">
        <w:t xml:space="preserve"> </w:t>
      </w:r>
    </w:p>
    <w:p w:rsidR="00112772" w:rsidRDefault="00B14AF9" w:rsidP="00112772">
      <w:r>
        <w:t>We have not included any expenditure for tariff D connections.</w:t>
      </w:r>
      <w:r w:rsidR="007C487F">
        <w:t xml:space="preserve"> </w:t>
      </w:r>
      <w:r>
        <w:t>This is because we were unable to</w:t>
      </w:r>
      <w:r w:rsidR="00112772">
        <w:t xml:space="preserve"> verify the historical expenditure which ActewAGL indicates is the basis for the </w:t>
      </w:r>
      <w:r w:rsidR="00F02492">
        <w:t>T</w:t>
      </w:r>
      <w:r>
        <w:t>ariff D forecast expenditure. Further, ActewAGL did not record any his</w:t>
      </w:r>
      <w:r w:rsidR="00F02492">
        <w:t>torical actual expenditure for T</w:t>
      </w:r>
      <w:r>
        <w:t xml:space="preserve">ariff D connections in its </w:t>
      </w:r>
      <w:r w:rsidR="00A213DD">
        <w:t>a</w:t>
      </w:r>
      <w:r>
        <w:t xml:space="preserve">ccess </w:t>
      </w:r>
      <w:r w:rsidR="00A213DD">
        <w:t>a</w:t>
      </w:r>
      <w:r>
        <w:t>rrangement RIN.</w:t>
      </w:r>
    </w:p>
    <w:p w:rsidR="00C02660" w:rsidRDefault="00C02660" w:rsidP="00C02660">
      <w:r>
        <w:t xml:space="preserve">We asked ActewAGL to provide the </w:t>
      </w:r>
      <w:r w:rsidRPr="002D602C">
        <w:t>source cost and volume data for each connection</w:t>
      </w:r>
      <w:r>
        <w:t xml:space="preserve"> in order to verify</w:t>
      </w:r>
      <w:r w:rsidRPr="004D480F">
        <w:t xml:space="preserve"> </w:t>
      </w:r>
      <w:proofErr w:type="spellStart"/>
      <w:r>
        <w:t>ActewAGL’s</w:t>
      </w:r>
      <w:proofErr w:type="spellEnd"/>
      <w:r>
        <w:t xml:space="preserve"> forecast I&amp;C contract expenditure.</w:t>
      </w:r>
      <w:r>
        <w:rPr>
          <w:rStyle w:val="FootnoteReference"/>
        </w:rPr>
        <w:footnoteReference w:id="57"/>
      </w:r>
      <w:r>
        <w:t xml:space="preserve"> ActewAGL submitted that it was unable to provide the historical data due to an upgrade to their databases.</w:t>
      </w:r>
      <w:r w:rsidRPr="000C3B30">
        <w:rPr>
          <w:rStyle w:val="FootnoteReference"/>
        </w:rPr>
        <w:t xml:space="preserve"> </w:t>
      </w:r>
      <w:r>
        <w:rPr>
          <w:rStyle w:val="FootnoteReference"/>
        </w:rPr>
        <w:footnoteReference w:id="58"/>
      </w:r>
      <w:r w:rsidR="00112772">
        <w:t xml:space="preserve"> </w:t>
      </w:r>
      <w:r>
        <w:t xml:space="preserve">It is therefore unclear how ActewAGL has arrived at its historical expenditure which it </w:t>
      </w:r>
      <w:r w:rsidR="00F02492">
        <w:t>submitted was</w:t>
      </w:r>
      <w:r>
        <w:t xml:space="preserve"> basis of its forecast.</w:t>
      </w:r>
    </w:p>
    <w:p w:rsidR="00F02492" w:rsidRDefault="00F02492" w:rsidP="00F02492">
      <w:r>
        <w:t>We expect that ActewAGL will provide its actual expenditure for Tariff D connections as part of its revised proposal.</w:t>
      </w:r>
    </w:p>
    <w:p w:rsidR="002F6D3D" w:rsidRDefault="002F6D3D" w:rsidP="00B14AF9">
      <w:pPr>
        <w:pStyle w:val="Heading3"/>
      </w:pPr>
      <w:bookmarkStart w:id="36" w:name="_Toc435692215"/>
      <w:r>
        <w:t>Capital contributions</w:t>
      </w:r>
      <w:bookmarkEnd w:id="36"/>
    </w:p>
    <w:p w:rsidR="00417A92" w:rsidRDefault="00417A92" w:rsidP="00417A92">
      <w:r>
        <w:t xml:space="preserve">A customer </w:t>
      </w:r>
      <w:r w:rsidR="00F02492">
        <w:t>may</w:t>
      </w:r>
      <w:r>
        <w:t xml:space="preserve"> make a capital contribution, where the revenue generated by a new connection is less than the capex and opex cost incurred in making and maintaining the new connection.</w:t>
      </w:r>
      <w:r>
        <w:rPr>
          <w:rStyle w:val="FootnoteReference"/>
        </w:rPr>
        <w:footnoteReference w:id="59"/>
      </w:r>
    </w:p>
    <w:p w:rsidR="00FA2EAF" w:rsidRDefault="00417A92" w:rsidP="001612CA">
      <w:r>
        <w:t xml:space="preserve">For tariff V customers, </w:t>
      </w:r>
      <w:r w:rsidR="001612CA">
        <w:t>ActewAGL has proposed capital contributions of $0.5 million</w:t>
      </w:r>
      <w:r w:rsidR="00DA0670">
        <w:t xml:space="preserve"> (2015–16, </w:t>
      </w:r>
      <w:proofErr w:type="spellStart"/>
      <w:r w:rsidR="00DA0670">
        <w:t>unescalated</w:t>
      </w:r>
      <w:proofErr w:type="spellEnd"/>
      <w:r w:rsidR="00DA0670">
        <w:t>)</w:t>
      </w:r>
      <w:r w:rsidR="001612CA">
        <w:t>.</w:t>
      </w:r>
      <w:r w:rsidR="00FA2EAF">
        <w:rPr>
          <w:rStyle w:val="FootnoteReference"/>
        </w:rPr>
        <w:footnoteReference w:id="60"/>
      </w:r>
      <w:r w:rsidR="001612CA">
        <w:t xml:space="preserve"> </w:t>
      </w:r>
      <w:r w:rsidR="00B14AF9">
        <w:t xml:space="preserve">We were unable to verify </w:t>
      </w:r>
      <w:proofErr w:type="spellStart"/>
      <w:r w:rsidR="00B14AF9">
        <w:t>ActewAGL’s</w:t>
      </w:r>
      <w:proofErr w:type="spellEnd"/>
      <w:r w:rsidR="00B14AF9">
        <w:t xml:space="preserve"> proposed capital contribution amounts which were hardcoded in the </w:t>
      </w:r>
      <w:r w:rsidR="00A213DD">
        <w:t>a</w:t>
      </w:r>
      <w:r w:rsidR="00B14AF9">
        <w:t xml:space="preserve">ccess </w:t>
      </w:r>
      <w:r w:rsidR="00A213DD">
        <w:t>a</w:t>
      </w:r>
      <w:r w:rsidR="00B14AF9">
        <w:t>rrangement RIN.</w:t>
      </w:r>
      <w:r w:rsidR="00B14AF9">
        <w:rPr>
          <w:rStyle w:val="FootnoteReference"/>
        </w:rPr>
        <w:footnoteReference w:id="61"/>
      </w:r>
      <w:r w:rsidR="0052161F">
        <w:t xml:space="preserve"> </w:t>
      </w:r>
      <w:r w:rsidR="00FA2EAF">
        <w:t>We forecast a capital contribution of $4.</w:t>
      </w:r>
      <w:r w:rsidR="001833EF">
        <w:t xml:space="preserve">1 </w:t>
      </w:r>
      <w:r w:rsidR="00FA2EAF">
        <w:t>million ($20</w:t>
      </w:r>
      <w:r w:rsidR="00DA0670">
        <w:t>15–</w:t>
      </w:r>
      <w:r w:rsidR="00FA2EAF">
        <w:t>16</w:t>
      </w:r>
      <w:r w:rsidR="00DA0670">
        <w:t xml:space="preserve">, </w:t>
      </w:r>
      <w:proofErr w:type="spellStart"/>
      <w:r w:rsidR="00DA0670">
        <w:t>unescalated</w:t>
      </w:r>
      <w:proofErr w:type="spellEnd"/>
      <w:r w:rsidR="00FA2EAF">
        <w:t>), applying the method described by ActewAG</w:t>
      </w:r>
      <w:r w:rsidR="00B14AF9">
        <w:t>L.</w:t>
      </w:r>
    </w:p>
    <w:p w:rsidR="00F0733D" w:rsidRDefault="00F0733D" w:rsidP="001612CA">
      <w:r>
        <w:t>ActewAGL did not</w:t>
      </w:r>
      <w:r w:rsidR="00417A92">
        <w:t xml:space="preserve"> submit capital contributions for Tariff D </w:t>
      </w:r>
      <w:proofErr w:type="gramStart"/>
      <w:r w:rsidR="00417A92">
        <w:t>customers,</w:t>
      </w:r>
      <w:proofErr w:type="gramEnd"/>
      <w:r w:rsidR="00417A92">
        <w:t xml:space="preserve"> however, it states that ‘[a]</w:t>
      </w:r>
      <w:r w:rsidR="00417A92" w:rsidRPr="004872DE">
        <w:t xml:space="preserve"> forecast will be included in the revised proposal</w:t>
      </w:r>
      <w:r w:rsidR="00417A92">
        <w:t>’</w:t>
      </w:r>
      <w:r w:rsidR="00417A92" w:rsidRPr="004872DE">
        <w:t>.</w:t>
      </w:r>
      <w:r w:rsidR="00417A92">
        <w:rPr>
          <w:rStyle w:val="FootnoteReference"/>
        </w:rPr>
        <w:footnoteReference w:id="62"/>
      </w:r>
      <w:r w:rsidR="00417A92">
        <w:t xml:space="preserve"> We expect ActewAGL to submit the historical connections expenditure and contributions data that will allow us to verify the reasonableness of its capital contributions forecast</w:t>
      </w:r>
      <w:r>
        <w:t xml:space="preserve">. </w:t>
      </w:r>
    </w:p>
    <w:p w:rsidR="002A4DE2" w:rsidRDefault="002A4DE2" w:rsidP="0052161F">
      <w:pPr>
        <w:pStyle w:val="Heading3"/>
      </w:pPr>
      <w:bookmarkStart w:id="37" w:name="_Toc435692216"/>
      <w:r>
        <w:t>Construction management fee</w:t>
      </w:r>
      <w:bookmarkEnd w:id="37"/>
    </w:p>
    <w:p w:rsidR="002A4DE2" w:rsidRPr="007B077F" w:rsidRDefault="002A4DE2" w:rsidP="007B077F">
      <w:pPr>
        <w:rPr>
          <w:rStyle w:val="AERbody"/>
        </w:rPr>
      </w:pPr>
      <w:r w:rsidRPr="007B077F">
        <w:rPr>
          <w:rStyle w:val="AERbody"/>
        </w:rPr>
        <w:t xml:space="preserve">ActewAGL proposed </w:t>
      </w:r>
      <w:r w:rsidR="00CE3CB3">
        <w:rPr>
          <w:rStyle w:val="AERbody"/>
        </w:rPr>
        <w:t>a</w:t>
      </w:r>
      <w:r w:rsidRPr="007B077F">
        <w:rPr>
          <w:rStyle w:val="AERbody"/>
        </w:rPr>
        <w:t xml:space="preserve"> construction management fee (CMF) for the 2016</w:t>
      </w:r>
      <w:r w:rsidR="00152BE6">
        <w:rPr>
          <w:rStyle w:val="AERbody"/>
        </w:rPr>
        <w:t>–</w:t>
      </w:r>
      <w:r w:rsidRPr="007B077F">
        <w:rPr>
          <w:rStyle w:val="AERbody"/>
        </w:rPr>
        <w:t xml:space="preserve">21 access arrangement </w:t>
      </w:r>
      <w:proofErr w:type="gramStart"/>
      <w:r w:rsidRPr="007B077F">
        <w:rPr>
          <w:rStyle w:val="AERbody"/>
        </w:rPr>
        <w:t>period</w:t>
      </w:r>
      <w:proofErr w:type="gramEnd"/>
      <w:r w:rsidRPr="007B077F">
        <w:rPr>
          <w:rStyle w:val="AERbody"/>
        </w:rPr>
        <w:t xml:space="preserve">. The CMF is paid to a subcontractor, </w:t>
      </w:r>
      <w:proofErr w:type="spellStart"/>
      <w:r w:rsidRPr="007B077F">
        <w:rPr>
          <w:rStyle w:val="AERbody"/>
        </w:rPr>
        <w:t>Zinfra</w:t>
      </w:r>
      <w:proofErr w:type="spellEnd"/>
      <w:r w:rsidRPr="007B077F">
        <w:rPr>
          <w:rStyle w:val="AERbody"/>
        </w:rPr>
        <w:t xml:space="preserve"> but Jemena Asset Management (JAM) manages </w:t>
      </w:r>
      <w:proofErr w:type="spellStart"/>
      <w:r w:rsidRPr="007B077F">
        <w:rPr>
          <w:rStyle w:val="AERbody"/>
        </w:rPr>
        <w:t>ActewAGL’s</w:t>
      </w:r>
      <w:proofErr w:type="spellEnd"/>
      <w:r w:rsidRPr="007B077F">
        <w:rPr>
          <w:rStyle w:val="AERbody"/>
        </w:rPr>
        <w:t xml:space="preserve"> gas distribution network. JAM and </w:t>
      </w:r>
      <w:proofErr w:type="spellStart"/>
      <w:r w:rsidRPr="007B077F">
        <w:rPr>
          <w:rStyle w:val="AERbody"/>
        </w:rPr>
        <w:t>Zinfra</w:t>
      </w:r>
      <w:proofErr w:type="spellEnd"/>
      <w:r w:rsidRPr="007B077F">
        <w:rPr>
          <w:rStyle w:val="AERbody"/>
        </w:rPr>
        <w:t xml:space="preserve"> </w:t>
      </w:r>
      <w:r w:rsidR="00F02492">
        <w:rPr>
          <w:rStyle w:val="AERbody"/>
        </w:rPr>
        <w:t xml:space="preserve">are related parties to ActewAGL. This is because </w:t>
      </w:r>
      <w:r w:rsidR="00F02492" w:rsidRPr="007B077F">
        <w:rPr>
          <w:rStyle w:val="AERbody"/>
        </w:rPr>
        <w:t>State Grid</w:t>
      </w:r>
      <w:r w:rsidR="00F02492">
        <w:rPr>
          <w:rStyle w:val="AERbody"/>
        </w:rPr>
        <w:t xml:space="preserve"> Singapore Power</w:t>
      </w:r>
      <w:r w:rsidR="00F02492" w:rsidRPr="00F02492">
        <w:rPr>
          <w:rStyle w:val="AERbody"/>
        </w:rPr>
        <w:t xml:space="preserve"> </w:t>
      </w:r>
      <w:r w:rsidR="00F02492">
        <w:rPr>
          <w:rStyle w:val="AERbody"/>
        </w:rPr>
        <w:t>(</w:t>
      </w:r>
      <w:r w:rsidR="00F02492" w:rsidRPr="007B077F">
        <w:rPr>
          <w:rStyle w:val="AERbody"/>
        </w:rPr>
        <w:t>SGSP</w:t>
      </w:r>
      <w:r w:rsidR="00F02492">
        <w:rPr>
          <w:rStyle w:val="AERbody"/>
        </w:rPr>
        <w:t>)</w:t>
      </w:r>
      <w:r w:rsidRPr="0052161F">
        <w:rPr>
          <w:rStyle w:val="AERbody"/>
          <w:vertAlign w:val="superscript"/>
        </w:rPr>
        <w:footnoteReference w:id="63"/>
      </w:r>
      <w:r w:rsidR="000B0CED">
        <w:rPr>
          <w:rStyle w:val="AERbody"/>
        </w:rPr>
        <w:t xml:space="preserve"> owns </w:t>
      </w:r>
      <w:r w:rsidRPr="007B077F">
        <w:rPr>
          <w:rStyle w:val="AERbody"/>
        </w:rPr>
        <w:t>50 per cent</w:t>
      </w:r>
      <w:r w:rsidR="000B0CED">
        <w:rPr>
          <w:rStyle w:val="AERbody"/>
        </w:rPr>
        <w:t xml:space="preserve"> of the shares </w:t>
      </w:r>
      <w:r w:rsidRPr="007B077F">
        <w:rPr>
          <w:rStyle w:val="AERbody"/>
        </w:rPr>
        <w:t xml:space="preserve">in ActewAGL and 100 per cent </w:t>
      </w:r>
      <w:r w:rsidR="000B0CED">
        <w:rPr>
          <w:rStyle w:val="AERbody"/>
        </w:rPr>
        <w:t>of the share of</w:t>
      </w:r>
      <w:r w:rsidRPr="007B077F">
        <w:rPr>
          <w:rStyle w:val="AERbody"/>
        </w:rPr>
        <w:t xml:space="preserve"> both JAM and </w:t>
      </w:r>
      <w:proofErr w:type="spellStart"/>
      <w:r w:rsidRPr="007B077F">
        <w:rPr>
          <w:rStyle w:val="AERbody"/>
        </w:rPr>
        <w:t>Zinfra</w:t>
      </w:r>
      <w:proofErr w:type="spellEnd"/>
      <w:r w:rsidRPr="007B077F">
        <w:rPr>
          <w:rStyle w:val="AERbody"/>
        </w:rPr>
        <w:t xml:space="preserve">. The ACT Government </w:t>
      </w:r>
      <w:r w:rsidR="000B0CED">
        <w:rPr>
          <w:rStyle w:val="AERbody"/>
        </w:rPr>
        <w:t>owns the other</w:t>
      </w:r>
      <w:r w:rsidRPr="007B077F">
        <w:rPr>
          <w:rStyle w:val="AERbody"/>
        </w:rPr>
        <w:t xml:space="preserve"> 50 per cent </w:t>
      </w:r>
      <w:r w:rsidR="000B0CED">
        <w:rPr>
          <w:rStyle w:val="AERbody"/>
        </w:rPr>
        <w:t>share of</w:t>
      </w:r>
      <w:r w:rsidRPr="007B077F">
        <w:rPr>
          <w:rStyle w:val="AERbody"/>
        </w:rPr>
        <w:t xml:space="preserve"> ActewAGL, via Icon Distribution.</w:t>
      </w:r>
    </w:p>
    <w:p w:rsidR="002A4DE2" w:rsidRPr="007B077F" w:rsidRDefault="002A4DE2" w:rsidP="002A4DE2">
      <w:pPr>
        <w:rPr>
          <w:rStyle w:val="AERbody"/>
        </w:rPr>
      </w:pPr>
      <w:r w:rsidRPr="007B077F">
        <w:rPr>
          <w:rStyle w:val="AERbody"/>
        </w:rPr>
        <w:t xml:space="preserve">JAM subcontracts to </w:t>
      </w:r>
      <w:proofErr w:type="spellStart"/>
      <w:r w:rsidRPr="007B077F">
        <w:rPr>
          <w:rStyle w:val="AERbody"/>
        </w:rPr>
        <w:t>Zinfra</w:t>
      </w:r>
      <w:proofErr w:type="spellEnd"/>
      <w:r w:rsidRPr="007B077F">
        <w:rPr>
          <w:rStyle w:val="AERbody"/>
        </w:rPr>
        <w:t xml:space="preserve"> all routine and non-routine capital works under $500 000 on </w:t>
      </w:r>
      <w:proofErr w:type="spellStart"/>
      <w:r w:rsidRPr="007B077F">
        <w:rPr>
          <w:rStyle w:val="AERbody"/>
        </w:rPr>
        <w:t>ActewAGL’s</w:t>
      </w:r>
      <w:proofErr w:type="spellEnd"/>
      <w:r w:rsidRPr="007B077F">
        <w:rPr>
          <w:rStyle w:val="AERbody"/>
        </w:rPr>
        <w:t xml:space="preserve"> network. For all routine capital works, the charges are made up of two components – a fixed </w:t>
      </w:r>
      <w:r w:rsidR="000B0CED">
        <w:rPr>
          <w:rStyle w:val="AERbody"/>
        </w:rPr>
        <w:t>CMF</w:t>
      </w:r>
      <w:r w:rsidRPr="007B077F">
        <w:rPr>
          <w:rStyle w:val="AERbody"/>
        </w:rPr>
        <w:t xml:space="preserve"> and unit rates. The CMF includes a margin.</w:t>
      </w:r>
      <w:r w:rsidR="00063F8C">
        <w:rPr>
          <w:rStyle w:val="AERbody"/>
        </w:rPr>
        <w:t xml:space="preserve"> </w:t>
      </w:r>
      <w:r w:rsidRPr="007B077F">
        <w:rPr>
          <w:rStyle w:val="AERbody"/>
        </w:rPr>
        <w:t>ActewAGL notes that the CMF is not a new fee but represents the costs included in other fees in its previous contract with JAM.</w:t>
      </w:r>
      <w:r w:rsidR="008F0A89" w:rsidRPr="008F0A89">
        <w:rPr>
          <w:rStyle w:val="FootnoteReference"/>
        </w:rPr>
        <w:t xml:space="preserve"> </w:t>
      </w:r>
      <w:r w:rsidR="008F0A89">
        <w:rPr>
          <w:rStyle w:val="FootnoteReference"/>
        </w:rPr>
        <w:footnoteReference w:id="64"/>
      </w:r>
    </w:p>
    <w:p w:rsidR="000B0CED" w:rsidRDefault="000B0CED" w:rsidP="000B0CED">
      <w:pPr>
        <w:rPr>
          <w:rStyle w:val="AERbody"/>
        </w:rPr>
      </w:pPr>
      <w:r>
        <w:rPr>
          <w:rStyle w:val="AERbody"/>
        </w:rPr>
        <w:t xml:space="preserve">Based on the information before us, we consider that the CMF is prudent and efficient and have included it in </w:t>
      </w:r>
      <w:proofErr w:type="spellStart"/>
      <w:r>
        <w:rPr>
          <w:rStyle w:val="AERbody"/>
        </w:rPr>
        <w:t>ActewAGL’s</w:t>
      </w:r>
      <w:proofErr w:type="spellEnd"/>
      <w:r>
        <w:rPr>
          <w:rStyle w:val="AERbody"/>
        </w:rPr>
        <w:t xml:space="preserve"> forecast capex. However, as we discuss below, we have not included </w:t>
      </w:r>
      <w:proofErr w:type="spellStart"/>
      <w:r>
        <w:rPr>
          <w:rStyle w:val="AERbody"/>
        </w:rPr>
        <w:t>ActewAGL’s</w:t>
      </w:r>
      <w:proofErr w:type="spellEnd"/>
      <w:r>
        <w:rPr>
          <w:rStyle w:val="AERbody"/>
        </w:rPr>
        <w:t xml:space="preserve"> proposed step changes to the CMF. Nevertheless, it is important to recognise that related party fees generally remain an area of concern for us. Including these fees can result in inefficient outcomes. We therefore intend to continue to closely review these related party fees in the future.</w:t>
      </w:r>
    </w:p>
    <w:p w:rsidR="002A4DE2" w:rsidRDefault="002A4DE2" w:rsidP="002A4DE2">
      <w:pPr>
        <w:rPr>
          <w:rStyle w:val="AERbody"/>
        </w:rPr>
      </w:pPr>
      <w:r>
        <w:rPr>
          <w:rStyle w:val="AERbody"/>
        </w:rPr>
        <w:t>ActewAGL has proposed a number of step changes to the CMF due to:</w:t>
      </w:r>
    </w:p>
    <w:p w:rsidR="002A4DE2" w:rsidRDefault="002A4DE2" w:rsidP="007B077F">
      <w:pPr>
        <w:pStyle w:val="AERbulletlistfirststyle"/>
        <w:rPr>
          <w:rStyle w:val="AERbody"/>
        </w:rPr>
      </w:pPr>
      <w:proofErr w:type="gramStart"/>
      <w:r>
        <w:rPr>
          <w:rStyle w:val="AERbody"/>
        </w:rPr>
        <w:t>additional</w:t>
      </w:r>
      <w:proofErr w:type="gramEnd"/>
      <w:r>
        <w:rPr>
          <w:rStyle w:val="AERbody"/>
        </w:rPr>
        <w:t xml:space="preserve"> compliance costs from changes in regulatory requirements. </w:t>
      </w:r>
      <w:r>
        <w:t>ActewAGL submit that the ACT Government introduced amendments to Gas Network Boundary Code May 2013, GS&amp;I Rules Code July 2013, and is proposing amendments to the Gas General Metering Code (expected to be finalised in 2015/16)</w:t>
      </w:r>
      <w:r w:rsidR="00152BE6" w:rsidDel="00152BE6">
        <w:rPr>
          <w:rStyle w:val="FootnoteReference"/>
        </w:rPr>
        <w:t xml:space="preserve"> </w:t>
      </w:r>
      <w:r>
        <w:rPr>
          <w:rStyle w:val="AERbody"/>
        </w:rPr>
        <w:t xml:space="preserve"> </w:t>
      </w:r>
      <w:r w:rsidR="00152BE6">
        <w:rPr>
          <w:rStyle w:val="AERbody"/>
        </w:rPr>
        <w:t>,</w:t>
      </w:r>
      <w:r w:rsidR="00152BE6">
        <w:rPr>
          <w:rStyle w:val="FootnoteReference"/>
        </w:rPr>
        <w:footnoteReference w:id="65"/>
      </w:r>
      <w:r w:rsidR="00152BE6">
        <w:rPr>
          <w:rStyle w:val="AERbody"/>
        </w:rPr>
        <w:t xml:space="preserve"> </w:t>
      </w:r>
      <w:r>
        <w:rPr>
          <w:rStyle w:val="AERbody"/>
        </w:rPr>
        <w:t>and</w:t>
      </w:r>
    </w:p>
    <w:p w:rsidR="002A4DE2" w:rsidRDefault="002A4DE2" w:rsidP="007B077F">
      <w:pPr>
        <w:pStyle w:val="AERbulletlistfirststyle"/>
        <w:rPr>
          <w:rStyle w:val="AERbody"/>
        </w:rPr>
      </w:pPr>
      <w:proofErr w:type="gramStart"/>
      <w:r>
        <w:rPr>
          <w:rStyle w:val="AERbody"/>
        </w:rPr>
        <w:t>a</w:t>
      </w:r>
      <w:proofErr w:type="gramEnd"/>
      <w:r>
        <w:rPr>
          <w:rStyle w:val="AERbody"/>
        </w:rPr>
        <w:t xml:space="preserve"> change in subcontractor undertaking meter data logger (MDL) installation.</w:t>
      </w:r>
    </w:p>
    <w:p w:rsidR="002A4DE2" w:rsidRDefault="00633625" w:rsidP="007B077F">
      <w:pPr>
        <w:pStyle w:val="AERbulletlistfirststyle"/>
        <w:numPr>
          <w:ilvl w:val="0"/>
          <w:numId w:val="0"/>
        </w:numPr>
      </w:pPr>
      <w:r>
        <w:t>O</w:t>
      </w:r>
      <w:r w:rsidR="002A4DE2">
        <w:t xml:space="preserve">ver the </w:t>
      </w:r>
      <w:r w:rsidR="009B2EC4">
        <w:t xml:space="preserve">2016–21 access arrangement </w:t>
      </w:r>
      <w:proofErr w:type="gramStart"/>
      <w:r w:rsidR="009B2EC4">
        <w:t>period</w:t>
      </w:r>
      <w:proofErr w:type="gramEnd"/>
      <w:r w:rsidR="002A4DE2">
        <w:t>, ActewAGL are proposing a step change</w:t>
      </w:r>
      <w:r w:rsidR="00C270EC">
        <w:t>.</w:t>
      </w:r>
      <w:r w:rsidR="00152BE6">
        <w:rPr>
          <w:rStyle w:val="FootnoteReference"/>
        </w:rPr>
        <w:footnoteReference w:id="66"/>
      </w:r>
      <w:r w:rsidR="002A4DE2">
        <w:t xml:space="preserve"> We have not included </w:t>
      </w:r>
      <w:r>
        <w:t xml:space="preserve">this </w:t>
      </w:r>
      <w:r w:rsidR="002A4DE2">
        <w:t>step changes in our alternative capex estimate as we assess that these costs are not prudent and efficient.</w:t>
      </w:r>
    </w:p>
    <w:p w:rsidR="002A4DE2" w:rsidRDefault="002A4DE2" w:rsidP="002A4DE2">
      <w:r>
        <w:t>ActewAGL has no</w:t>
      </w:r>
      <w:r w:rsidR="00545ED0">
        <w:t>t</w:t>
      </w:r>
      <w:r>
        <w:t xml:space="preserve"> provided evidence to demonstrate that additional compliance costs would be required with changes in the Codes. In coming to our position, we had regard to information from the ACT Government’s Environment and Planning </w:t>
      </w:r>
      <w:r w:rsidRPr="00C00EBC">
        <w:t>Directorate</w:t>
      </w:r>
      <w:r>
        <w:t>.</w:t>
      </w:r>
      <w:r>
        <w:rPr>
          <w:rStyle w:val="FootnoteReference"/>
        </w:rPr>
        <w:footnoteReference w:id="67"/>
      </w:r>
      <w:r>
        <w:t xml:space="preserve"> It appears that these amendments are intended to clarify technical arrangements and liability issues for gas networks</w:t>
      </w:r>
      <w:r w:rsidR="009C4D65">
        <w:t>, and are therefore not a new obligation</w:t>
      </w:r>
      <w:r>
        <w:t>. In particular, we note that:</w:t>
      </w:r>
    </w:p>
    <w:p w:rsidR="002A4DE2" w:rsidRDefault="002A4DE2" w:rsidP="007B077F">
      <w:pPr>
        <w:pStyle w:val="AERbulletlistfirststyle"/>
      </w:pPr>
      <w:proofErr w:type="gramStart"/>
      <w:r>
        <w:t>the</w:t>
      </w:r>
      <w:proofErr w:type="gramEnd"/>
      <w:r>
        <w:t xml:space="preserve"> changes in the Gas Network Boundary Code May 2013 required one off costs to update staff and company documentation for the changes. We assess that the costs of these changes were incurred in 2013</w:t>
      </w:r>
      <w:r w:rsidR="00740F26">
        <w:t>–</w:t>
      </w:r>
      <w:r>
        <w:t>14;</w:t>
      </w:r>
      <w:r>
        <w:rPr>
          <w:rStyle w:val="FootnoteReference"/>
        </w:rPr>
        <w:footnoteReference w:id="68"/>
      </w:r>
    </w:p>
    <w:p w:rsidR="002A4DE2" w:rsidRDefault="002A4DE2" w:rsidP="007B077F">
      <w:pPr>
        <w:pStyle w:val="AERbulletlistfirststyle"/>
      </w:pPr>
      <w:r>
        <w:t xml:space="preserve">ActewAGL is currently required to ensure that </w:t>
      </w:r>
      <w:r w:rsidRPr="003A08C3">
        <w:t>new gas meter installations (construction) comply with the relevant ACT-specific rules and codes</w:t>
      </w:r>
      <w:r>
        <w:t>. ActewAGL has not provided any evidence that the changes in the Codes have resulted in any change in the business as usual interactions when dealing with meter installations.</w:t>
      </w:r>
    </w:p>
    <w:p w:rsidR="002A4DE2" w:rsidRDefault="00082DC2" w:rsidP="007B077F">
      <w:pPr>
        <w:pStyle w:val="AERbulletlistfirststyle"/>
      </w:pPr>
      <w:proofErr w:type="gramStart"/>
      <w:r>
        <w:t>zero</w:t>
      </w:r>
      <w:proofErr w:type="gramEnd"/>
      <w:r w:rsidR="002A4DE2">
        <w:t xml:space="preserve"> costs </w:t>
      </w:r>
      <w:r w:rsidR="009C4D65">
        <w:t xml:space="preserve">for ActewAGL </w:t>
      </w:r>
      <w:r w:rsidR="002A4DE2">
        <w:t xml:space="preserve">are anticipated with respect to the revision of the </w:t>
      </w:r>
      <w:r w:rsidR="002A4DE2" w:rsidRPr="00EB2321">
        <w:t>Gas General Metering Code</w:t>
      </w:r>
      <w:r w:rsidR="002A4DE2">
        <w:t xml:space="preserve"> as</w:t>
      </w:r>
      <w:r w:rsidR="002A4DE2" w:rsidRPr="00EB2321">
        <w:t xml:space="preserve"> </w:t>
      </w:r>
      <w:r w:rsidR="002A4DE2">
        <w:t>ActewAGL</w:t>
      </w:r>
      <w:r w:rsidR="002A4DE2" w:rsidRPr="00EB2321">
        <w:t xml:space="preserve"> indicated that they are </w:t>
      </w:r>
      <w:r w:rsidR="002A4DE2">
        <w:t xml:space="preserve">already </w:t>
      </w:r>
      <w:r w:rsidR="002A4DE2" w:rsidRPr="00EB2321">
        <w:t xml:space="preserve">conducting these activities </w:t>
      </w:r>
      <w:r w:rsidR="002A4DE2">
        <w:t>(</w:t>
      </w:r>
      <w:r w:rsidR="002A4DE2" w:rsidRPr="00EB2321">
        <w:t xml:space="preserve">as demonstrated within </w:t>
      </w:r>
      <w:proofErr w:type="spellStart"/>
      <w:r w:rsidR="002A4DE2" w:rsidRPr="00EB2321">
        <w:t>A</w:t>
      </w:r>
      <w:r w:rsidR="002A4DE2">
        <w:t>ctewAGL</w:t>
      </w:r>
      <w:r w:rsidR="002A4DE2" w:rsidRPr="00EB2321">
        <w:t>’s</w:t>
      </w:r>
      <w:proofErr w:type="spellEnd"/>
      <w:r w:rsidR="002A4DE2" w:rsidRPr="00EB2321">
        <w:t xml:space="preserve"> Asset Maintenance Plan</w:t>
      </w:r>
      <w:r w:rsidR="002A4DE2">
        <w:t>)</w:t>
      </w:r>
      <w:r w:rsidR="002A4DE2" w:rsidRPr="00EB2321">
        <w:t>.</w:t>
      </w:r>
    </w:p>
    <w:p w:rsidR="002A4DE2" w:rsidRDefault="002A4DE2" w:rsidP="007B077F">
      <w:pPr>
        <w:pStyle w:val="AERbulletlistfirststyle"/>
      </w:pPr>
      <w:r>
        <w:t>We requested that ActewAGL describe the specific changes between the pre-existing code and the new code for GS&amp;I Rules Code July 2013 and the Gas Network Boundary Code May 2013 and the specific implementation timing of the changes.</w:t>
      </w:r>
      <w:r>
        <w:rPr>
          <w:rStyle w:val="FootnoteReference"/>
        </w:rPr>
        <w:footnoteReference w:id="69"/>
      </w:r>
      <w:r>
        <w:t xml:space="preserve"> ActewAGL did not provide this information.</w:t>
      </w:r>
      <w:r>
        <w:rPr>
          <w:rStyle w:val="FootnoteReference"/>
        </w:rPr>
        <w:footnoteReference w:id="70"/>
      </w:r>
    </w:p>
    <w:p w:rsidR="00835F7C" w:rsidRDefault="002A4DE2" w:rsidP="008D7343">
      <w:r>
        <w:t>With respect to the costs ActewAGL is proposing due to a change in subcontractor carrying out meter data logger installation costs, we assess there is very little change in cost.</w:t>
      </w:r>
      <w:r>
        <w:rPr>
          <w:rStyle w:val="FootnoteReference"/>
        </w:rPr>
        <w:footnoteReference w:id="71"/>
      </w:r>
      <w:r w:rsidRPr="001E72BD">
        <w:t xml:space="preserve"> </w:t>
      </w:r>
      <w:r w:rsidR="00835F7C">
        <w:t xml:space="preserve">We consider that </w:t>
      </w:r>
      <w:r w:rsidR="009C4D65">
        <w:t>a change in sub-contractor should not materially</w:t>
      </w:r>
      <w:r w:rsidR="00835F7C">
        <w:t xml:space="preserve"> impact the forecast costs</w:t>
      </w:r>
      <w:r w:rsidR="009C4D65">
        <w:t>, where the work requirements stay the same</w:t>
      </w:r>
      <w:r w:rsidR="00835F7C">
        <w:t xml:space="preserve">. </w:t>
      </w:r>
    </w:p>
    <w:p w:rsidR="002A4DE2" w:rsidRDefault="002A4DE2" w:rsidP="002A4DE2">
      <w:pPr>
        <w:pStyle w:val="AERbulletlistfirststyle"/>
        <w:numPr>
          <w:ilvl w:val="0"/>
          <w:numId w:val="0"/>
        </w:numPr>
      </w:pPr>
      <w:r>
        <w:t>On this basis, we do not consider that a step change in costs is justified.</w:t>
      </w:r>
      <w:r w:rsidR="009147A8">
        <w:t xml:space="preserve"> We considered confidential material in coming to our position. The confidential material is contained in Appendix C.</w:t>
      </w:r>
    </w:p>
    <w:p w:rsidR="008E50EC" w:rsidRDefault="008E50EC" w:rsidP="008D7343">
      <w:pPr>
        <w:pStyle w:val="Heading3"/>
      </w:pPr>
      <w:bookmarkStart w:id="38" w:name="_Toc435692217"/>
      <w:r>
        <w:t>Capacity development/augmentation</w:t>
      </w:r>
      <w:bookmarkEnd w:id="38"/>
    </w:p>
    <w:p w:rsidR="003E72AC" w:rsidRDefault="003E72AC" w:rsidP="003E72AC">
      <w:r>
        <w:t xml:space="preserve">Network augmentation capex is directed at increasing the capacity of the existing network to meet the demand of existing and future customers. Augmentation capex is required to maintain gas pressure and minimise the risk of gas outages. </w:t>
      </w:r>
    </w:p>
    <w:p w:rsidR="002A4DE2" w:rsidRDefault="002A4DE2" w:rsidP="002A4DE2">
      <w:r>
        <w:t xml:space="preserve">ActewAGL has </w:t>
      </w:r>
      <w:r w:rsidRPr="005F38A5">
        <w:t xml:space="preserve">proposed augmentation capex to meet growth in peak hourly demand on </w:t>
      </w:r>
      <w:r>
        <w:t xml:space="preserve">its </w:t>
      </w:r>
      <w:r w:rsidRPr="005F38A5">
        <w:t>distribution network. This is to accommodate demand from new customers and to meet growth in peak demand from existing customers as they upgrade or add appliances</w:t>
      </w:r>
      <w:r>
        <w:t>.</w:t>
      </w:r>
      <w:r>
        <w:rPr>
          <w:rStyle w:val="FootnoteReference"/>
        </w:rPr>
        <w:footnoteReference w:id="72"/>
      </w:r>
      <w:r>
        <w:t xml:space="preserve"> </w:t>
      </w:r>
    </w:p>
    <w:p w:rsidR="002A4DE2" w:rsidRDefault="002A4DE2" w:rsidP="002A4DE2">
      <w:r>
        <w:t>ActewAGL stated its augmentation capex provide</w:t>
      </w:r>
      <w:r w:rsidR="00DC268B">
        <w:t>s</w:t>
      </w:r>
      <w:r>
        <w:t xml:space="preserve"> </w:t>
      </w:r>
      <w:r w:rsidR="00DC268B">
        <w:t>‘</w:t>
      </w:r>
      <w:r w:rsidRPr="00DB3C3E">
        <w:t>supply security and maintenance of supply reliability</w:t>
      </w:r>
      <w:r>
        <w:t xml:space="preserve">’, and </w:t>
      </w:r>
      <w:r w:rsidRPr="00DB3C3E">
        <w:t>maintain</w:t>
      </w:r>
      <w:r>
        <w:t>s</w:t>
      </w:r>
      <w:r w:rsidRPr="00DB3C3E">
        <w:t xml:space="preserve"> </w:t>
      </w:r>
      <w:r>
        <w:t>‘</w:t>
      </w:r>
      <w:r w:rsidRPr="00DB3C3E">
        <w:t>capacity to supply existing services</w:t>
      </w:r>
      <w:r>
        <w:t>’, pursuant to r</w:t>
      </w:r>
      <w:r w:rsidR="00965044">
        <w:t>ule</w:t>
      </w:r>
      <w:r w:rsidRPr="00DB3C3E">
        <w:t xml:space="preserve"> 79(2</w:t>
      </w:r>
      <w:proofErr w:type="gramStart"/>
      <w:r w:rsidRPr="00DB3C3E">
        <w:t>)(</w:t>
      </w:r>
      <w:proofErr w:type="gramEnd"/>
      <w:r w:rsidRPr="00DB3C3E">
        <w:t>c)</w:t>
      </w:r>
      <w:r>
        <w:t xml:space="preserve">(ii) and </w:t>
      </w:r>
      <w:r w:rsidRPr="00DB3C3E">
        <w:t>(iv)</w:t>
      </w:r>
      <w:r>
        <w:t>, respectively, of the NGR</w:t>
      </w:r>
      <w:r w:rsidRPr="00DB3C3E">
        <w:t>.</w:t>
      </w:r>
      <w:r>
        <w:rPr>
          <w:rStyle w:val="FootnoteReference"/>
        </w:rPr>
        <w:footnoteReference w:id="73"/>
      </w:r>
    </w:p>
    <w:p w:rsidR="003E72AC" w:rsidRDefault="003E72AC" w:rsidP="003E72AC">
      <w:r>
        <w:t xml:space="preserve">We </w:t>
      </w:r>
      <w:r w:rsidR="007501BE">
        <w:t xml:space="preserve">have </w:t>
      </w:r>
      <w:r>
        <w:t>included $</w:t>
      </w:r>
      <w:r w:rsidR="001833EF">
        <w:t>6.0</w:t>
      </w:r>
      <w:r>
        <w:t xml:space="preserve"> million ($2015–16, </w:t>
      </w:r>
      <w:proofErr w:type="spellStart"/>
      <w:r>
        <w:t>unescalated</w:t>
      </w:r>
      <w:proofErr w:type="spellEnd"/>
      <w:r>
        <w:t xml:space="preserve">) of augmentation capex in our </w:t>
      </w:r>
      <w:r w:rsidR="00C349F2">
        <w:t xml:space="preserve">alternative </w:t>
      </w:r>
      <w:r w:rsidR="000B0CED">
        <w:t xml:space="preserve">estimate </w:t>
      </w:r>
      <w:r>
        <w:t xml:space="preserve">(see </w:t>
      </w:r>
      <w:r>
        <w:fldChar w:fldCharType="begin"/>
      </w:r>
      <w:r>
        <w:instrText xml:space="preserve"> REF _Ref424748132 \h </w:instrText>
      </w:r>
      <w:r>
        <w:fldChar w:fldCharType="separate"/>
      </w:r>
      <w:r w:rsidR="0061777C">
        <w:t xml:space="preserve">Table </w:t>
      </w:r>
      <w:r w:rsidR="0061777C">
        <w:rPr>
          <w:noProof/>
        </w:rPr>
        <w:t>6</w:t>
      </w:r>
      <w:r w:rsidR="0061777C">
        <w:t>.</w:t>
      </w:r>
      <w:r w:rsidR="0061777C">
        <w:rPr>
          <w:noProof/>
        </w:rPr>
        <w:t>2</w:t>
      </w:r>
      <w:r>
        <w:fldChar w:fldCharType="end"/>
      </w:r>
      <w:r>
        <w:t xml:space="preserve">). </w:t>
      </w:r>
      <w:r w:rsidR="00C349F2">
        <w:t xml:space="preserve">We are not satisfied that </w:t>
      </w:r>
      <w:proofErr w:type="spellStart"/>
      <w:r w:rsidR="00C349F2">
        <w:t>ActewAGL’s</w:t>
      </w:r>
      <w:proofErr w:type="spellEnd"/>
      <w:r w:rsidR="00C349F2">
        <w:t xml:space="preserve"> proposed amount of $17.7 million ($2015–16, </w:t>
      </w:r>
      <w:proofErr w:type="spellStart"/>
      <w:r w:rsidR="00C349F2">
        <w:t>unescalated</w:t>
      </w:r>
      <w:proofErr w:type="spellEnd"/>
      <w:r w:rsidR="00C349F2">
        <w:t>) is conforming capex</w:t>
      </w:r>
      <w:r w:rsidR="000B0CED">
        <w:t xml:space="preserve"> that complies with rule 79</w:t>
      </w:r>
      <w:r w:rsidR="00C349F2">
        <w:t>.</w:t>
      </w:r>
      <w:r w:rsidR="00C349F2">
        <w:rPr>
          <w:rStyle w:val="FootnoteReference"/>
        </w:rPr>
        <w:footnoteReference w:id="74"/>
      </w:r>
      <w:r w:rsidR="000B0CED">
        <w:t xml:space="preserve"> Instead, w</w:t>
      </w:r>
      <w:r>
        <w:t xml:space="preserve">e </w:t>
      </w:r>
      <w:r w:rsidR="000B0CED">
        <w:t xml:space="preserve">have included in </w:t>
      </w:r>
      <w:r w:rsidR="00C349F2">
        <w:t xml:space="preserve">our alternative </w:t>
      </w:r>
      <w:r w:rsidR="000B0CED">
        <w:t>estimate, which we consider</w:t>
      </w:r>
      <w:r w:rsidR="00C349F2">
        <w:t xml:space="preserve"> </w:t>
      </w:r>
      <w:r w:rsidR="000E3320">
        <w:t>is conforming capex that</w:t>
      </w:r>
      <w:r>
        <w:t xml:space="preserve"> complies with r</w:t>
      </w:r>
      <w:r w:rsidR="00965044">
        <w:t>ule</w:t>
      </w:r>
      <w:r>
        <w:t xml:space="preserve"> 79:</w:t>
      </w:r>
    </w:p>
    <w:p w:rsidR="003E72AC" w:rsidRDefault="00C349F2" w:rsidP="003E72AC">
      <w:pPr>
        <w:pStyle w:val="AERbulletlistfirststyle"/>
      </w:pPr>
      <w:r>
        <w:t xml:space="preserve">capex associated with </w:t>
      </w:r>
      <w:r w:rsidR="003E72AC">
        <w:t xml:space="preserve">a key project totalling $2.9 million is justifiable as </w:t>
      </w:r>
      <w:r>
        <w:t xml:space="preserve">the project </w:t>
      </w:r>
      <w:r w:rsidR="003E72AC">
        <w:t xml:space="preserve">is necessary to maintain the integrity of gas services and to maintain </w:t>
      </w:r>
      <w:proofErr w:type="spellStart"/>
      <w:r w:rsidR="003E72AC">
        <w:t>ActewAGL’s</w:t>
      </w:r>
      <w:proofErr w:type="spellEnd"/>
      <w:r w:rsidR="003E72AC">
        <w:t xml:space="preserve"> capacity to meet levels of demand for services</w:t>
      </w:r>
      <w:r w:rsidR="003E72AC">
        <w:rPr>
          <w:rStyle w:val="FootnoteReference"/>
        </w:rPr>
        <w:footnoteReference w:id="75"/>
      </w:r>
    </w:p>
    <w:p w:rsidR="003E72AC" w:rsidRDefault="00C349F2" w:rsidP="003E72AC">
      <w:pPr>
        <w:pStyle w:val="AERbulletlistfirststyle"/>
      </w:pPr>
      <w:r>
        <w:t xml:space="preserve">capex associated with </w:t>
      </w:r>
      <w:r w:rsidR="003E72AC">
        <w:t>24 smaller scale augmentation projects totalling $</w:t>
      </w:r>
      <w:r w:rsidR="002D1264">
        <w:t>3.</w:t>
      </w:r>
      <w:r w:rsidR="004D52A8">
        <w:t>1</w:t>
      </w:r>
      <w:r w:rsidR="003E72AC">
        <w:t xml:space="preserve"> million </w:t>
      </w:r>
      <w:r>
        <w:t xml:space="preserve">is </w:t>
      </w:r>
      <w:r w:rsidR="003E72AC">
        <w:t>justifiable a</w:t>
      </w:r>
      <w:r>
        <w:t xml:space="preserve">s the projects are </w:t>
      </w:r>
      <w:r w:rsidR="003E72AC">
        <w:t xml:space="preserve">necessary to maintain the integrity of gas services and to maintain </w:t>
      </w:r>
      <w:proofErr w:type="spellStart"/>
      <w:r w:rsidR="003E72AC">
        <w:t>ActewAGL’s</w:t>
      </w:r>
      <w:proofErr w:type="spellEnd"/>
      <w:r w:rsidR="003E72AC">
        <w:t xml:space="preserve"> capacity to meet levels of demand for services</w:t>
      </w:r>
      <w:r w:rsidR="003E72AC">
        <w:rPr>
          <w:rStyle w:val="FootnoteReference"/>
        </w:rPr>
        <w:footnoteReference w:id="76"/>
      </w:r>
    </w:p>
    <w:p w:rsidR="003E72AC" w:rsidRPr="00C349F2" w:rsidRDefault="004D52A8" w:rsidP="000B0CED">
      <w:pPr>
        <w:pStyle w:val="AERbulletlistfirststyle"/>
        <w:numPr>
          <w:ilvl w:val="0"/>
          <w:numId w:val="0"/>
        </w:numPr>
      </w:pPr>
      <w:r>
        <w:t>W</w:t>
      </w:r>
      <w:r w:rsidR="00B2724C" w:rsidRPr="00C349F2">
        <w:t xml:space="preserve">e do not agree with </w:t>
      </w:r>
      <w:proofErr w:type="spellStart"/>
      <w:r w:rsidR="00B2724C" w:rsidRPr="00C349F2">
        <w:t>ActewAGL’s</w:t>
      </w:r>
      <w:proofErr w:type="spellEnd"/>
      <w:r w:rsidR="00B2724C" w:rsidRPr="00C349F2">
        <w:t xml:space="preserve"> submissions that</w:t>
      </w:r>
      <w:r w:rsidR="00C349F2">
        <w:t xml:space="preserve"> capex associated with</w:t>
      </w:r>
      <w:r w:rsidR="00B2724C" w:rsidRPr="00C349F2">
        <w:t xml:space="preserve"> </w:t>
      </w:r>
      <w:r w:rsidR="003E72AC" w:rsidRPr="00C349F2">
        <w:t>two projects totalling $11.</w:t>
      </w:r>
      <w:r w:rsidR="00C349F2">
        <w:t>9</w:t>
      </w:r>
      <w:r w:rsidR="00C349F2" w:rsidRPr="00C349F2">
        <w:t xml:space="preserve"> </w:t>
      </w:r>
      <w:r w:rsidR="003E72AC" w:rsidRPr="00C349F2">
        <w:t xml:space="preserve">million </w:t>
      </w:r>
      <w:r w:rsidR="00C349F2">
        <w:t>is</w:t>
      </w:r>
      <w:r w:rsidR="00C349F2" w:rsidRPr="00C349F2">
        <w:t xml:space="preserve"> </w:t>
      </w:r>
      <w:r w:rsidR="00C349F2">
        <w:t xml:space="preserve">justified. This is because we consider the projects are not </w:t>
      </w:r>
      <w:r w:rsidR="003E72AC" w:rsidRPr="00C349F2">
        <w:t xml:space="preserve">required in the 2016–21 access arrangement </w:t>
      </w:r>
      <w:proofErr w:type="gramStart"/>
      <w:r w:rsidR="003E72AC" w:rsidRPr="00C349F2">
        <w:t>period</w:t>
      </w:r>
      <w:proofErr w:type="gramEnd"/>
      <w:r w:rsidR="003E72AC" w:rsidRPr="00C349F2">
        <w:t>.</w:t>
      </w:r>
      <w:r w:rsidR="003E72AC" w:rsidRPr="00C349F2">
        <w:rPr>
          <w:rStyle w:val="FootnoteReference"/>
        </w:rPr>
        <w:footnoteReference w:id="77"/>
      </w:r>
    </w:p>
    <w:p w:rsidR="003E72AC" w:rsidRDefault="003E72AC" w:rsidP="003E72AC">
      <w:r>
        <w:t xml:space="preserve">We assessed </w:t>
      </w:r>
      <w:r w:rsidR="004D52A8">
        <w:t xml:space="preserve">the capital expenditure for </w:t>
      </w:r>
      <w:proofErr w:type="spellStart"/>
      <w:r>
        <w:t>ActewAGL's</w:t>
      </w:r>
      <w:proofErr w:type="spellEnd"/>
      <w:r>
        <w:t xml:space="preserve"> augmentation projects by considering the timing of the proposed works, the capacity benefit resulting from the augmentation solution and whether the input cost of each project represents the efficient, lowest sustainable cost, as </w:t>
      </w:r>
      <w:r w:rsidR="00B2724C">
        <w:t xml:space="preserve">provided for in </w:t>
      </w:r>
      <w:r>
        <w:t>the NG</w:t>
      </w:r>
      <w:r w:rsidR="00B2724C">
        <w:t>R.</w:t>
      </w:r>
      <w:r>
        <w:rPr>
          <w:rStyle w:val="FootnoteReference"/>
        </w:rPr>
        <w:footnoteReference w:id="78"/>
      </w:r>
      <w:r>
        <w:t xml:space="preserve"> In undertaking this assessment we sought </w:t>
      </w:r>
      <w:r w:rsidR="007501BE">
        <w:t xml:space="preserve">advice </w:t>
      </w:r>
      <w:r>
        <w:t>from</w:t>
      </w:r>
      <w:r w:rsidR="005E7481">
        <w:t xml:space="preserve"> our engineering consultant</w:t>
      </w:r>
      <w:r w:rsidR="000B0CED">
        <w:t xml:space="preserve">, </w:t>
      </w:r>
      <w:proofErr w:type="spellStart"/>
      <w:r>
        <w:t>Sleeman</w:t>
      </w:r>
      <w:proofErr w:type="spellEnd"/>
      <w:r>
        <w:t xml:space="preserve"> Consulting</w:t>
      </w:r>
      <w:r w:rsidR="000B0CED">
        <w:t>, who</w:t>
      </w:r>
      <w:r>
        <w:t xml:space="preserve"> examined the business cases and</w:t>
      </w:r>
      <w:r w:rsidR="007501BE">
        <w:t xml:space="preserve"> where relevant</w:t>
      </w:r>
      <w:r>
        <w:t xml:space="preserve"> requested further information from ActewAGL.</w:t>
      </w:r>
    </w:p>
    <w:p w:rsidR="003E72AC" w:rsidRDefault="003E72AC" w:rsidP="003E72AC">
      <w:r>
        <w:t xml:space="preserve">In assessing the prudency and efficiency of the </w:t>
      </w:r>
      <w:r w:rsidR="004D52A8">
        <w:t xml:space="preserve">capital expenditure for the </w:t>
      </w:r>
      <w:r>
        <w:t xml:space="preserve">proposed projects, we and </w:t>
      </w:r>
      <w:proofErr w:type="spellStart"/>
      <w:r>
        <w:t>Sleeman</w:t>
      </w:r>
      <w:proofErr w:type="spellEnd"/>
      <w:r>
        <w:t xml:space="preserve"> Consulting considered:</w:t>
      </w:r>
      <w:r>
        <w:rPr>
          <w:rStyle w:val="FootnoteReference"/>
        </w:rPr>
        <w:footnoteReference w:id="79"/>
      </w:r>
      <w:r>
        <w:t xml:space="preserve"> </w:t>
      </w:r>
    </w:p>
    <w:p w:rsidR="003E72AC" w:rsidRDefault="000E3320" w:rsidP="003F2695">
      <w:pPr>
        <w:pStyle w:val="AERbulletlistfirststyle"/>
      </w:pPr>
      <w:r>
        <w:t xml:space="preserve">the </w:t>
      </w:r>
      <w:r w:rsidR="003E72AC">
        <w:t>capacity shortfall and/or projected growth demonstrating the requirement for the augmentation</w:t>
      </w:r>
    </w:p>
    <w:p w:rsidR="003E72AC" w:rsidRDefault="003E72AC" w:rsidP="003F2695">
      <w:pPr>
        <w:pStyle w:val="AERbulletlistfirststyle"/>
      </w:pPr>
      <w:r>
        <w:t>whether ActewAGL considered alternative options to address the issue</w:t>
      </w:r>
    </w:p>
    <w:p w:rsidR="003E72AC" w:rsidRDefault="000E3320" w:rsidP="003F2695">
      <w:pPr>
        <w:pStyle w:val="AERbulletlistfirststyle"/>
      </w:pPr>
      <w:r>
        <w:t xml:space="preserve">the </w:t>
      </w:r>
      <w:r w:rsidR="003E72AC">
        <w:t>prudency of the timing of the proposed augmentation</w:t>
      </w:r>
    </w:p>
    <w:p w:rsidR="003E72AC" w:rsidRDefault="000E3320" w:rsidP="003F2695">
      <w:pPr>
        <w:pStyle w:val="AERbulletlistfirststyle"/>
      </w:pPr>
      <w:r>
        <w:t xml:space="preserve">the </w:t>
      </w:r>
      <w:r w:rsidR="003E72AC">
        <w:t>prudency and efficiency of the scale of the proposed augmentation</w:t>
      </w:r>
    </w:p>
    <w:p w:rsidR="003E72AC" w:rsidRDefault="000E3320" w:rsidP="003F2695">
      <w:pPr>
        <w:pStyle w:val="AERbulletlistfirststyle"/>
      </w:pPr>
      <w:proofErr w:type="gramStart"/>
      <w:r>
        <w:t>the</w:t>
      </w:r>
      <w:proofErr w:type="gramEnd"/>
      <w:r>
        <w:t xml:space="preserve"> </w:t>
      </w:r>
      <w:r w:rsidR="003E72AC">
        <w:t>efficiency of the proposed project costs.</w:t>
      </w:r>
    </w:p>
    <w:p w:rsidR="003E72AC" w:rsidRDefault="003E72AC" w:rsidP="003E72AC">
      <w:r>
        <w:fldChar w:fldCharType="begin"/>
      </w:r>
      <w:r>
        <w:instrText xml:space="preserve"> REF _Ref432751432 \h </w:instrText>
      </w:r>
      <w:r>
        <w:fldChar w:fldCharType="separate"/>
      </w:r>
      <w:r w:rsidR="0061777C">
        <w:t xml:space="preserve">Table </w:t>
      </w:r>
      <w:r w:rsidR="0061777C">
        <w:rPr>
          <w:noProof/>
        </w:rPr>
        <w:t>6</w:t>
      </w:r>
      <w:r w:rsidR="0061777C">
        <w:t>.</w:t>
      </w:r>
      <w:r w:rsidR="0061777C">
        <w:rPr>
          <w:noProof/>
        </w:rPr>
        <w:t>7</w:t>
      </w:r>
      <w:r>
        <w:fldChar w:fldCharType="end"/>
      </w:r>
      <w:r>
        <w:t xml:space="preserve"> shows three projects make up 83.4 per cent of </w:t>
      </w:r>
      <w:proofErr w:type="spellStart"/>
      <w:r>
        <w:t>ActewAGL’s</w:t>
      </w:r>
      <w:proofErr w:type="spellEnd"/>
      <w:r>
        <w:t xml:space="preserve"> capacity development forecast. These projects are:</w:t>
      </w:r>
    </w:p>
    <w:p w:rsidR="003E72AC" w:rsidRDefault="003E72AC" w:rsidP="003F2695">
      <w:pPr>
        <w:pStyle w:val="AERbulletlistfirststyle"/>
      </w:pPr>
      <w:r w:rsidRPr="00453D32">
        <w:t>Molonglo Secondary Extension Stage 2</w:t>
      </w:r>
      <w:r>
        <w:t xml:space="preserve"> (Molonglo Secondary)</w:t>
      </w:r>
    </w:p>
    <w:p w:rsidR="003E72AC" w:rsidRDefault="003E72AC" w:rsidP="003F2695">
      <w:pPr>
        <w:pStyle w:val="AERbulletlistfirststyle"/>
      </w:pPr>
      <w:r w:rsidRPr="00453D32">
        <w:t>Molonglo Primary Main Extension Stage 1</w:t>
      </w:r>
      <w:r>
        <w:t xml:space="preserve"> (Molonglo Primary)</w:t>
      </w:r>
    </w:p>
    <w:p w:rsidR="003E72AC" w:rsidRDefault="003E72AC" w:rsidP="003F2695">
      <w:pPr>
        <w:pStyle w:val="AERbulletlistfirststyle"/>
      </w:pPr>
      <w:r w:rsidRPr="00453D32">
        <w:t>West Belconnen Secondary Main (Southern Cross Dr West)</w:t>
      </w:r>
      <w:r>
        <w:t xml:space="preserve"> (West Belconnen)</w:t>
      </w:r>
    </w:p>
    <w:p w:rsidR="003E72AC" w:rsidRDefault="003E72AC" w:rsidP="003E72AC">
      <w:r>
        <w:t>The rest of the capacity development forecast comprise of 24 smaller augmentation works ranging in forecast expenditure between approximately $2,300 and $340,000 ($2015–16).</w:t>
      </w:r>
    </w:p>
    <w:p w:rsidR="003E72AC" w:rsidRDefault="003E72AC" w:rsidP="003E72AC">
      <w:r>
        <w:t xml:space="preserve">Our assessment focused </w:t>
      </w:r>
      <w:r w:rsidR="003F2695">
        <w:t>largely</w:t>
      </w:r>
      <w:r>
        <w:t xml:space="preserve"> on the three projects in </w:t>
      </w:r>
      <w:r>
        <w:fldChar w:fldCharType="begin"/>
      </w:r>
      <w:r>
        <w:instrText xml:space="preserve"> REF _Ref432751432 \h </w:instrText>
      </w:r>
      <w:r>
        <w:fldChar w:fldCharType="separate"/>
      </w:r>
      <w:r w:rsidR="0061777C">
        <w:t xml:space="preserve">Table </w:t>
      </w:r>
      <w:r w:rsidR="0061777C">
        <w:rPr>
          <w:noProof/>
        </w:rPr>
        <w:t>6</w:t>
      </w:r>
      <w:r w:rsidR="0061777C">
        <w:t>.</w:t>
      </w:r>
      <w:r w:rsidR="0061777C">
        <w:rPr>
          <w:noProof/>
        </w:rPr>
        <w:t>7</w:t>
      </w:r>
      <w:r>
        <w:fldChar w:fldCharType="end"/>
      </w:r>
      <w:r w:rsidR="003F2695">
        <w:t xml:space="preserve"> (the key projects)</w:t>
      </w:r>
      <w:r>
        <w:t>.</w:t>
      </w:r>
    </w:p>
    <w:p w:rsidR="003E72AC" w:rsidRDefault="003E72AC" w:rsidP="003F2695">
      <w:pPr>
        <w:pStyle w:val="Caption"/>
      </w:pPr>
      <w:bookmarkStart w:id="39" w:name="_Ref432751432"/>
      <w:proofErr w:type="gramStart"/>
      <w:r>
        <w:t xml:space="preserve">Table </w:t>
      </w:r>
      <w:proofErr w:type="gramEnd"/>
      <w:r w:rsidR="004C5F88">
        <w:fldChar w:fldCharType="begin"/>
      </w:r>
      <w:r w:rsidR="004C5F88">
        <w:instrText xml:space="preserve"> STYLEREF 1 \s </w:instrText>
      </w:r>
      <w:r w:rsidR="004C5F88">
        <w:fldChar w:fldCharType="separate"/>
      </w:r>
      <w:r w:rsidR="00EE4EAF">
        <w:rPr>
          <w:noProof/>
        </w:rPr>
        <w:t>6</w:t>
      </w:r>
      <w:r w:rsidR="004C5F88">
        <w:rPr>
          <w:noProof/>
        </w:rPr>
        <w:fldChar w:fldCharType="end"/>
      </w:r>
      <w:proofErr w:type="gramStart"/>
      <w:r w:rsidR="0061777C">
        <w:t>.</w:t>
      </w:r>
      <w:proofErr w:type="gramEnd"/>
      <w:r w:rsidR="004C5F88">
        <w:fldChar w:fldCharType="begin"/>
      </w:r>
      <w:r w:rsidR="004C5F88">
        <w:instrText xml:space="preserve"> SEQ Table \* ARABIC \s 1 </w:instrText>
      </w:r>
      <w:r w:rsidR="004C5F88">
        <w:fldChar w:fldCharType="separate"/>
      </w:r>
      <w:r w:rsidR="00EE4EAF">
        <w:rPr>
          <w:noProof/>
        </w:rPr>
        <w:t>7</w:t>
      </w:r>
      <w:r w:rsidR="004C5F88">
        <w:rPr>
          <w:noProof/>
        </w:rPr>
        <w:fldChar w:fldCharType="end"/>
      </w:r>
      <w:bookmarkEnd w:id="39"/>
      <w:r>
        <w:tab/>
        <w:t xml:space="preserve">ActewAGL capacity development forecast ($2015–16, </w:t>
      </w:r>
      <w:proofErr w:type="spellStart"/>
      <w:r>
        <w:t>unescalated</w:t>
      </w:r>
      <w:proofErr w:type="spellEnd"/>
      <w:r>
        <w:t xml:space="preserve"> direct cost only)</w:t>
      </w:r>
    </w:p>
    <w:tbl>
      <w:tblPr>
        <w:tblStyle w:val="AERtable-numbers"/>
        <w:tblW w:w="0" w:type="auto"/>
        <w:tblLook w:val="04A0" w:firstRow="1" w:lastRow="0" w:firstColumn="1" w:lastColumn="0" w:noHBand="0" w:noVBand="1"/>
      </w:tblPr>
      <w:tblGrid>
        <w:gridCol w:w="2346"/>
        <w:gridCol w:w="826"/>
        <w:gridCol w:w="825"/>
        <w:gridCol w:w="825"/>
        <w:gridCol w:w="826"/>
        <w:gridCol w:w="825"/>
        <w:gridCol w:w="1017"/>
        <w:gridCol w:w="1203"/>
      </w:tblGrid>
      <w:tr w:rsidR="003E72AC" w:rsidRPr="00E4485C" w:rsidTr="008D7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rsidR="003E72AC" w:rsidRPr="00E4485C" w:rsidRDefault="003E72AC" w:rsidP="00C326BB"/>
        </w:tc>
        <w:tc>
          <w:tcPr>
            <w:tcW w:w="826" w:type="dxa"/>
          </w:tcPr>
          <w:p w:rsidR="003E72AC" w:rsidRPr="00E4485C" w:rsidRDefault="003E72AC" w:rsidP="00C326BB">
            <w:pPr>
              <w:cnfStyle w:val="100000000000" w:firstRow="1" w:lastRow="0" w:firstColumn="0" w:lastColumn="0" w:oddVBand="0" w:evenVBand="0" w:oddHBand="0" w:evenHBand="0" w:firstRowFirstColumn="0" w:firstRowLastColumn="0" w:lastRowFirstColumn="0" w:lastRowLastColumn="0"/>
            </w:pPr>
            <w:r w:rsidRPr="00E4485C">
              <w:t>2016-17</w:t>
            </w:r>
          </w:p>
        </w:tc>
        <w:tc>
          <w:tcPr>
            <w:tcW w:w="825" w:type="dxa"/>
          </w:tcPr>
          <w:p w:rsidR="003E72AC" w:rsidRPr="00E4485C" w:rsidRDefault="003E72AC" w:rsidP="00C326BB">
            <w:pPr>
              <w:cnfStyle w:val="100000000000" w:firstRow="1" w:lastRow="0" w:firstColumn="0" w:lastColumn="0" w:oddVBand="0" w:evenVBand="0" w:oddHBand="0" w:evenHBand="0" w:firstRowFirstColumn="0" w:firstRowLastColumn="0" w:lastRowFirstColumn="0" w:lastRowLastColumn="0"/>
            </w:pPr>
            <w:r w:rsidRPr="00E4485C">
              <w:t>2017-18</w:t>
            </w:r>
          </w:p>
        </w:tc>
        <w:tc>
          <w:tcPr>
            <w:tcW w:w="825" w:type="dxa"/>
          </w:tcPr>
          <w:p w:rsidR="003E72AC" w:rsidRPr="00E4485C" w:rsidRDefault="003E72AC" w:rsidP="00C326BB">
            <w:pPr>
              <w:cnfStyle w:val="100000000000" w:firstRow="1" w:lastRow="0" w:firstColumn="0" w:lastColumn="0" w:oddVBand="0" w:evenVBand="0" w:oddHBand="0" w:evenHBand="0" w:firstRowFirstColumn="0" w:firstRowLastColumn="0" w:lastRowFirstColumn="0" w:lastRowLastColumn="0"/>
            </w:pPr>
            <w:r w:rsidRPr="00E4485C">
              <w:t>2018-19</w:t>
            </w:r>
          </w:p>
        </w:tc>
        <w:tc>
          <w:tcPr>
            <w:tcW w:w="826" w:type="dxa"/>
          </w:tcPr>
          <w:p w:rsidR="003E72AC" w:rsidRPr="00E4485C" w:rsidRDefault="003E72AC" w:rsidP="00C326BB">
            <w:pPr>
              <w:cnfStyle w:val="100000000000" w:firstRow="1" w:lastRow="0" w:firstColumn="0" w:lastColumn="0" w:oddVBand="0" w:evenVBand="0" w:oddHBand="0" w:evenHBand="0" w:firstRowFirstColumn="0" w:firstRowLastColumn="0" w:lastRowFirstColumn="0" w:lastRowLastColumn="0"/>
            </w:pPr>
            <w:r w:rsidRPr="00E4485C">
              <w:t>2019-20</w:t>
            </w:r>
          </w:p>
        </w:tc>
        <w:tc>
          <w:tcPr>
            <w:tcW w:w="825" w:type="dxa"/>
          </w:tcPr>
          <w:p w:rsidR="003E72AC" w:rsidRPr="00E4485C" w:rsidRDefault="003E72AC" w:rsidP="00C326BB">
            <w:pPr>
              <w:cnfStyle w:val="100000000000" w:firstRow="1" w:lastRow="0" w:firstColumn="0" w:lastColumn="0" w:oddVBand="0" w:evenVBand="0" w:oddHBand="0" w:evenHBand="0" w:firstRowFirstColumn="0" w:firstRowLastColumn="0" w:lastRowFirstColumn="0" w:lastRowLastColumn="0"/>
            </w:pPr>
            <w:r w:rsidRPr="00E4485C">
              <w:t>2020-21</w:t>
            </w:r>
          </w:p>
        </w:tc>
        <w:tc>
          <w:tcPr>
            <w:tcW w:w="1017" w:type="dxa"/>
          </w:tcPr>
          <w:p w:rsidR="003E72AC" w:rsidRPr="00E4485C" w:rsidRDefault="003E72AC" w:rsidP="00C326BB">
            <w:pPr>
              <w:cnfStyle w:val="100000000000" w:firstRow="1" w:lastRow="0" w:firstColumn="0" w:lastColumn="0" w:oddVBand="0" w:evenVBand="0" w:oddHBand="0" w:evenHBand="0" w:firstRowFirstColumn="0" w:firstRowLastColumn="0" w:lastRowFirstColumn="0" w:lastRowLastColumn="0"/>
            </w:pPr>
            <w:r w:rsidRPr="00E4485C">
              <w:t>TOTAL</w:t>
            </w:r>
          </w:p>
        </w:tc>
        <w:tc>
          <w:tcPr>
            <w:tcW w:w="1203" w:type="dxa"/>
          </w:tcPr>
          <w:p w:rsidR="003E72AC" w:rsidRPr="00E4485C" w:rsidRDefault="003E72AC" w:rsidP="00C326BB">
            <w:pPr>
              <w:cnfStyle w:val="100000000000" w:firstRow="1" w:lastRow="0" w:firstColumn="0" w:lastColumn="0" w:oddVBand="0" w:evenVBand="0" w:oddHBand="0" w:evenHBand="0" w:firstRowFirstColumn="0" w:firstRowLastColumn="0" w:lastRowFirstColumn="0" w:lastRowLastColumn="0"/>
            </w:pPr>
            <w:r w:rsidRPr="00E4485C">
              <w:t>Per cent</w:t>
            </w:r>
            <w:r>
              <w:t xml:space="preserve"> of total capacity development</w:t>
            </w:r>
          </w:p>
        </w:tc>
      </w:tr>
      <w:tr w:rsidR="003E72AC" w:rsidRPr="00E4485C" w:rsidTr="008D7343">
        <w:tc>
          <w:tcPr>
            <w:cnfStyle w:val="001000000000" w:firstRow="0" w:lastRow="0" w:firstColumn="1" w:lastColumn="0" w:oddVBand="0" w:evenVBand="0" w:oddHBand="0" w:evenHBand="0" w:firstRowFirstColumn="0" w:firstRowLastColumn="0" w:lastRowFirstColumn="0" w:lastRowLastColumn="0"/>
            <w:tcW w:w="2346" w:type="dxa"/>
          </w:tcPr>
          <w:p w:rsidR="003E72AC" w:rsidRPr="00E4485C" w:rsidRDefault="003E72AC" w:rsidP="00C326BB">
            <w:r w:rsidRPr="00E4485C">
              <w:t>Molonglo</w:t>
            </w:r>
            <w:r>
              <w:t xml:space="preserve"> Secondary</w:t>
            </w:r>
          </w:p>
        </w:tc>
        <w:tc>
          <w:tcPr>
            <w:tcW w:w="826" w:type="dxa"/>
          </w:tcPr>
          <w:p w:rsidR="003E72AC" w:rsidRPr="00E4485C" w:rsidRDefault="003E72AC" w:rsidP="00C326BB">
            <w:pPr>
              <w:cnfStyle w:val="000000000000" w:firstRow="0" w:lastRow="0" w:firstColumn="0" w:lastColumn="0" w:oddVBand="0" w:evenVBand="0" w:oddHBand="0" w:evenHBand="0" w:firstRowFirstColumn="0" w:firstRowLastColumn="0" w:lastRowFirstColumn="0" w:lastRowLastColumn="0"/>
            </w:pPr>
            <w:r w:rsidRPr="00E4485C">
              <w:t>0.21</w:t>
            </w:r>
          </w:p>
        </w:tc>
        <w:tc>
          <w:tcPr>
            <w:tcW w:w="825" w:type="dxa"/>
          </w:tcPr>
          <w:p w:rsidR="003E72AC" w:rsidRPr="00E4485C" w:rsidRDefault="003E72AC" w:rsidP="00C326BB">
            <w:pPr>
              <w:cnfStyle w:val="000000000000" w:firstRow="0" w:lastRow="0" w:firstColumn="0" w:lastColumn="0" w:oddVBand="0" w:evenVBand="0" w:oddHBand="0" w:evenHBand="0" w:firstRowFirstColumn="0" w:firstRowLastColumn="0" w:lastRowFirstColumn="0" w:lastRowLastColumn="0"/>
            </w:pPr>
            <w:r w:rsidRPr="00E4485C">
              <w:t>2.58</w:t>
            </w:r>
          </w:p>
        </w:tc>
        <w:tc>
          <w:tcPr>
            <w:tcW w:w="825" w:type="dxa"/>
          </w:tcPr>
          <w:p w:rsidR="003E72AC" w:rsidRPr="00E4485C" w:rsidRDefault="003E72AC" w:rsidP="00C326BB">
            <w:pPr>
              <w:cnfStyle w:val="000000000000" w:firstRow="0" w:lastRow="0" w:firstColumn="0" w:lastColumn="0" w:oddVBand="0" w:evenVBand="0" w:oddHBand="0" w:evenHBand="0" w:firstRowFirstColumn="0" w:firstRowLastColumn="0" w:lastRowFirstColumn="0" w:lastRowLastColumn="0"/>
            </w:pPr>
            <w:r w:rsidRPr="00E4485C">
              <w:t>0.87</w:t>
            </w:r>
          </w:p>
        </w:tc>
        <w:tc>
          <w:tcPr>
            <w:tcW w:w="826" w:type="dxa"/>
          </w:tcPr>
          <w:p w:rsidR="003E72AC" w:rsidRPr="00E4485C" w:rsidRDefault="003E72AC" w:rsidP="00C326BB">
            <w:pPr>
              <w:cnfStyle w:val="000000000000" w:firstRow="0" w:lastRow="0" w:firstColumn="0" w:lastColumn="0" w:oddVBand="0" w:evenVBand="0" w:oddHBand="0" w:evenHBand="0" w:firstRowFirstColumn="0" w:firstRowLastColumn="0" w:lastRowFirstColumn="0" w:lastRowLastColumn="0"/>
            </w:pPr>
            <w:r w:rsidRPr="00E4485C">
              <w:t>0.00</w:t>
            </w:r>
          </w:p>
        </w:tc>
        <w:tc>
          <w:tcPr>
            <w:tcW w:w="825" w:type="dxa"/>
          </w:tcPr>
          <w:p w:rsidR="003E72AC" w:rsidRPr="00E4485C" w:rsidRDefault="003E72AC" w:rsidP="00C326BB">
            <w:pPr>
              <w:cnfStyle w:val="000000000000" w:firstRow="0" w:lastRow="0" w:firstColumn="0" w:lastColumn="0" w:oddVBand="0" w:evenVBand="0" w:oddHBand="0" w:evenHBand="0" w:firstRowFirstColumn="0" w:firstRowLastColumn="0" w:lastRowFirstColumn="0" w:lastRowLastColumn="0"/>
            </w:pPr>
            <w:r w:rsidRPr="00E4485C">
              <w:t>0.00</w:t>
            </w:r>
          </w:p>
        </w:tc>
        <w:tc>
          <w:tcPr>
            <w:tcW w:w="1017" w:type="dxa"/>
          </w:tcPr>
          <w:p w:rsidR="003E72AC" w:rsidRPr="00E4485C" w:rsidRDefault="003E72AC" w:rsidP="00C326BB">
            <w:pPr>
              <w:cnfStyle w:val="000000000000" w:firstRow="0" w:lastRow="0" w:firstColumn="0" w:lastColumn="0" w:oddVBand="0" w:evenVBand="0" w:oddHBand="0" w:evenHBand="0" w:firstRowFirstColumn="0" w:firstRowLastColumn="0" w:lastRowFirstColumn="0" w:lastRowLastColumn="0"/>
            </w:pPr>
            <w:r w:rsidRPr="00E4485C">
              <w:t>3.66</w:t>
            </w:r>
          </w:p>
        </w:tc>
        <w:tc>
          <w:tcPr>
            <w:tcW w:w="1203" w:type="dxa"/>
          </w:tcPr>
          <w:p w:rsidR="003E72AC" w:rsidRPr="00E4485C" w:rsidRDefault="003E72AC" w:rsidP="00C326BB">
            <w:pPr>
              <w:cnfStyle w:val="000000000000" w:firstRow="0" w:lastRow="0" w:firstColumn="0" w:lastColumn="0" w:oddVBand="0" w:evenVBand="0" w:oddHBand="0" w:evenHBand="0" w:firstRowFirstColumn="0" w:firstRowLastColumn="0" w:lastRowFirstColumn="0" w:lastRowLastColumn="0"/>
            </w:pPr>
            <w:r w:rsidRPr="00E4485C">
              <w:t>20.61</w:t>
            </w:r>
          </w:p>
        </w:tc>
      </w:tr>
      <w:tr w:rsidR="003E72AC" w:rsidRPr="00E4485C" w:rsidTr="008D73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rsidR="003E72AC" w:rsidRPr="00E4485C" w:rsidRDefault="003E72AC" w:rsidP="00C326BB">
            <w:r w:rsidRPr="00E4485C">
              <w:t xml:space="preserve">Molonglo Primary </w:t>
            </w:r>
          </w:p>
        </w:tc>
        <w:tc>
          <w:tcPr>
            <w:tcW w:w="826" w:type="dxa"/>
          </w:tcPr>
          <w:p w:rsidR="003E72AC" w:rsidRPr="00E4485C" w:rsidRDefault="003E72AC" w:rsidP="00C326BB">
            <w:pPr>
              <w:cnfStyle w:val="000000010000" w:firstRow="0" w:lastRow="0" w:firstColumn="0" w:lastColumn="0" w:oddVBand="0" w:evenVBand="0" w:oddHBand="0" w:evenHBand="1" w:firstRowFirstColumn="0" w:firstRowLastColumn="0" w:lastRowFirstColumn="0" w:lastRowLastColumn="0"/>
            </w:pPr>
            <w:r w:rsidRPr="00E4485C">
              <w:t>0.00</w:t>
            </w:r>
          </w:p>
        </w:tc>
        <w:tc>
          <w:tcPr>
            <w:tcW w:w="825" w:type="dxa"/>
          </w:tcPr>
          <w:p w:rsidR="003E72AC" w:rsidRPr="00E4485C" w:rsidRDefault="003E72AC" w:rsidP="00C326BB">
            <w:pPr>
              <w:cnfStyle w:val="000000010000" w:firstRow="0" w:lastRow="0" w:firstColumn="0" w:lastColumn="0" w:oddVBand="0" w:evenVBand="0" w:oddHBand="0" w:evenHBand="1" w:firstRowFirstColumn="0" w:firstRowLastColumn="0" w:lastRowFirstColumn="0" w:lastRowLastColumn="0"/>
            </w:pPr>
            <w:r w:rsidRPr="00E4485C">
              <w:t>1.24</w:t>
            </w:r>
          </w:p>
        </w:tc>
        <w:tc>
          <w:tcPr>
            <w:tcW w:w="825" w:type="dxa"/>
          </w:tcPr>
          <w:p w:rsidR="003E72AC" w:rsidRPr="00E4485C" w:rsidRDefault="003E72AC" w:rsidP="00C326BB">
            <w:pPr>
              <w:cnfStyle w:val="000000010000" w:firstRow="0" w:lastRow="0" w:firstColumn="0" w:lastColumn="0" w:oddVBand="0" w:evenVBand="0" w:oddHBand="0" w:evenHBand="1" w:firstRowFirstColumn="0" w:firstRowLastColumn="0" w:lastRowFirstColumn="0" w:lastRowLastColumn="0"/>
            </w:pPr>
            <w:r w:rsidRPr="00E4485C">
              <w:t>1.04</w:t>
            </w:r>
          </w:p>
        </w:tc>
        <w:tc>
          <w:tcPr>
            <w:tcW w:w="826" w:type="dxa"/>
          </w:tcPr>
          <w:p w:rsidR="003E72AC" w:rsidRPr="00E4485C" w:rsidRDefault="003E72AC" w:rsidP="00C326BB">
            <w:pPr>
              <w:cnfStyle w:val="000000010000" w:firstRow="0" w:lastRow="0" w:firstColumn="0" w:lastColumn="0" w:oddVBand="0" w:evenVBand="0" w:oddHBand="0" w:evenHBand="1" w:firstRowFirstColumn="0" w:firstRowLastColumn="0" w:lastRowFirstColumn="0" w:lastRowLastColumn="0"/>
            </w:pPr>
            <w:r w:rsidRPr="00E4485C">
              <w:t>5.95</w:t>
            </w:r>
          </w:p>
        </w:tc>
        <w:tc>
          <w:tcPr>
            <w:tcW w:w="825" w:type="dxa"/>
          </w:tcPr>
          <w:p w:rsidR="003E72AC" w:rsidRPr="00E4485C" w:rsidRDefault="003E72AC" w:rsidP="00C326BB">
            <w:pPr>
              <w:cnfStyle w:val="000000010000" w:firstRow="0" w:lastRow="0" w:firstColumn="0" w:lastColumn="0" w:oddVBand="0" w:evenVBand="0" w:oddHBand="0" w:evenHBand="1" w:firstRowFirstColumn="0" w:firstRowLastColumn="0" w:lastRowFirstColumn="0" w:lastRowLastColumn="0"/>
            </w:pPr>
            <w:r w:rsidRPr="00E4485C">
              <w:t>0.00</w:t>
            </w:r>
          </w:p>
        </w:tc>
        <w:tc>
          <w:tcPr>
            <w:tcW w:w="1017" w:type="dxa"/>
          </w:tcPr>
          <w:p w:rsidR="003E72AC" w:rsidRPr="00E4485C" w:rsidRDefault="003E72AC" w:rsidP="00C326BB">
            <w:pPr>
              <w:cnfStyle w:val="000000010000" w:firstRow="0" w:lastRow="0" w:firstColumn="0" w:lastColumn="0" w:oddVBand="0" w:evenVBand="0" w:oddHBand="0" w:evenHBand="1" w:firstRowFirstColumn="0" w:firstRowLastColumn="0" w:lastRowFirstColumn="0" w:lastRowLastColumn="0"/>
            </w:pPr>
            <w:r w:rsidRPr="00E4485C">
              <w:t>8.22</w:t>
            </w:r>
            <w:r w:rsidRPr="003F2695">
              <w:rPr>
                <w:rStyle w:val="AERsuperscript"/>
              </w:rPr>
              <w:t>a</w:t>
            </w:r>
          </w:p>
        </w:tc>
        <w:tc>
          <w:tcPr>
            <w:tcW w:w="1203" w:type="dxa"/>
          </w:tcPr>
          <w:p w:rsidR="003E72AC" w:rsidRPr="00E4485C" w:rsidRDefault="003E72AC" w:rsidP="00C326BB">
            <w:pPr>
              <w:cnfStyle w:val="000000010000" w:firstRow="0" w:lastRow="0" w:firstColumn="0" w:lastColumn="0" w:oddVBand="0" w:evenVBand="0" w:oddHBand="0" w:evenHBand="1" w:firstRowFirstColumn="0" w:firstRowLastColumn="0" w:lastRowFirstColumn="0" w:lastRowLastColumn="0"/>
            </w:pPr>
            <w:r w:rsidRPr="00E4485C">
              <w:t>46.33</w:t>
            </w:r>
          </w:p>
        </w:tc>
      </w:tr>
      <w:tr w:rsidR="003E72AC" w:rsidRPr="00E4485C" w:rsidTr="008D7343">
        <w:tc>
          <w:tcPr>
            <w:cnfStyle w:val="001000000000" w:firstRow="0" w:lastRow="0" w:firstColumn="1" w:lastColumn="0" w:oddVBand="0" w:evenVBand="0" w:oddHBand="0" w:evenHBand="0" w:firstRowFirstColumn="0" w:firstRowLastColumn="0" w:lastRowFirstColumn="0" w:lastRowLastColumn="0"/>
            <w:tcW w:w="2346" w:type="dxa"/>
          </w:tcPr>
          <w:p w:rsidR="003E72AC" w:rsidRPr="00E4485C" w:rsidRDefault="003E72AC" w:rsidP="00C326BB">
            <w:r w:rsidRPr="00E4485C">
              <w:t>West Belconnen</w:t>
            </w:r>
          </w:p>
        </w:tc>
        <w:tc>
          <w:tcPr>
            <w:tcW w:w="826" w:type="dxa"/>
          </w:tcPr>
          <w:p w:rsidR="003E72AC" w:rsidRPr="00E4485C" w:rsidRDefault="003E72AC" w:rsidP="00C326BB">
            <w:pPr>
              <w:cnfStyle w:val="000000000000" w:firstRow="0" w:lastRow="0" w:firstColumn="0" w:lastColumn="0" w:oddVBand="0" w:evenVBand="0" w:oddHBand="0" w:evenHBand="0" w:firstRowFirstColumn="0" w:firstRowLastColumn="0" w:lastRowFirstColumn="0" w:lastRowLastColumn="0"/>
            </w:pPr>
            <w:r w:rsidRPr="00E4485C">
              <w:t>2.15</w:t>
            </w:r>
          </w:p>
        </w:tc>
        <w:tc>
          <w:tcPr>
            <w:tcW w:w="825" w:type="dxa"/>
          </w:tcPr>
          <w:p w:rsidR="003E72AC" w:rsidRPr="00E4485C" w:rsidRDefault="003E72AC" w:rsidP="00C326BB">
            <w:pPr>
              <w:cnfStyle w:val="000000000000" w:firstRow="0" w:lastRow="0" w:firstColumn="0" w:lastColumn="0" w:oddVBand="0" w:evenVBand="0" w:oddHBand="0" w:evenHBand="0" w:firstRowFirstColumn="0" w:firstRowLastColumn="0" w:lastRowFirstColumn="0" w:lastRowLastColumn="0"/>
            </w:pPr>
            <w:r w:rsidRPr="00E4485C">
              <w:t>0.77</w:t>
            </w:r>
          </w:p>
        </w:tc>
        <w:tc>
          <w:tcPr>
            <w:tcW w:w="825" w:type="dxa"/>
          </w:tcPr>
          <w:p w:rsidR="003E72AC" w:rsidRPr="00E4485C" w:rsidRDefault="003E72AC" w:rsidP="00C326BB">
            <w:pPr>
              <w:cnfStyle w:val="000000000000" w:firstRow="0" w:lastRow="0" w:firstColumn="0" w:lastColumn="0" w:oddVBand="0" w:evenVBand="0" w:oddHBand="0" w:evenHBand="0" w:firstRowFirstColumn="0" w:firstRowLastColumn="0" w:lastRowFirstColumn="0" w:lastRowLastColumn="0"/>
            </w:pPr>
            <w:r w:rsidRPr="00E4485C">
              <w:t>0.00</w:t>
            </w:r>
          </w:p>
        </w:tc>
        <w:tc>
          <w:tcPr>
            <w:tcW w:w="826" w:type="dxa"/>
          </w:tcPr>
          <w:p w:rsidR="003E72AC" w:rsidRPr="00E4485C" w:rsidRDefault="003E72AC" w:rsidP="00C326BB">
            <w:pPr>
              <w:cnfStyle w:val="000000000000" w:firstRow="0" w:lastRow="0" w:firstColumn="0" w:lastColumn="0" w:oddVBand="0" w:evenVBand="0" w:oddHBand="0" w:evenHBand="0" w:firstRowFirstColumn="0" w:firstRowLastColumn="0" w:lastRowFirstColumn="0" w:lastRowLastColumn="0"/>
            </w:pPr>
            <w:r w:rsidRPr="00E4485C">
              <w:t>0.00</w:t>
            </w:r>
          </w:p>
        </w:tc>
        <w:tc>
          <w:tcPr>
            <w:tcW w:w="825" w:type="dxa"/>
          </w:tcPr>
          <w:p w:rsidR="003E72AC" w:rsidRPr="00E4485C" w:rsidRDefault="003E72AC" w:rsidP="00C326BB">
            <w:pPr>
              <w:cnfStyle w:val="000000000000" w:firstRow="0" w:lastRow="0" w:firstColumn="0" w:lastColumn="0" w:oddVBand="0" w:evenVBand="0" w:oddHBand="0" w:evenHBand="0" w:firstRowFirstColumn="0" w:firstRowLastColumn="0" w:lastRowFirstColumn="0" w:lastRowLastColumn="0"/>
            </w:pPr>
            <w:r w:rsidRPr="00E4485C">
              <w:t>0.00</w:t>
            </w:r>
          </w:p>
        </w:tc>
        <w:tc>
          <w:tcPr>
            <w:tcW w:w="1017" w:type="dxa"/>
          </w:tcPr>
          <w:p w:rsidR="003E72AC" w:rsidRPr="00E4485C" w:rsidRDefault="003E72AC" w:rsidP="00C326BB">
            <w:pPr>
              <w:cnfStyle w:val="000000000000" w:firstRow="0" w:lastRow="0" w:firstColumn="0" w:lastColumn="0" w:oddVBand="0" w:evenVBand="0" w:oddHBand="0" w:evenHBand="0" w:firstRowFirstColumn="0" w:firstRowLastColumn="0" w:lastRowFirstColumn="0" w:lastRowLastColumn="0"/>
            </w:pPr>
            <w:r w:rsidRPr="00E4485C">
              <w:t>2.92</w:t>
            </w:r>
          </w:p>
        </w:tc>
        <w:tc>
          <w:tcPr>
            <w:tcW w:w="1203" w:type="dxa"/>
          </w:tcPr>
          <w:p w:rsidR="003E72AC" w:rsidRPr="00E4485C" w:rsidRDefault="003E72AC" w:rsidP="00C326BB">
            <w:pPr>
              <w:cnfStyle w:val="000000000000" w:firstRow="0" w:lastRow="0" w:firstColumn="0" w:lastColumn="0" w:oddVBand="0" w:evenVBand="0" w:oddHBand="0" w:evenHBand="0" w:firstRowFirstColumn="0" w:firstRowLastColumn="0" w:lastRowFirstColumn="0" w:lastRowLastColumn="0"/>
            </w:pPr>
            <w:r w:rsidRPr="00E4485C">
              <w:t>16.46</w:t>
            </w:r>
          </w:p>
        </w:tc>
      </w:tr>
      <w:tr w:rsidR="003E72AC" w:rsidRPr="00E4485C" w:rsidTr="008D73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rsidR="003E72AC" w:rsidRPr="003F2695" w:rsidRDefault="008D7343" w:rsidP="00C326BB">
            <w:pPr>
              <w:rPr>
                <w:rStyle w:val="Strong"/>
              </w:rPr>
            </w:pPr>
            <w:r>
              <w:rPr>
                <w:rStyle w:val="Strong"/>
              </w:rPr>
              <w:t>T</w:t>
            </w:r>
            <w:r w:rsidR="003E72AC" w:rsidRPr="003F2695">
              <w:rPr>
                <w:rStyle w:val="Strong"/>
              </w:rPr>
              <w:t>otal</w:t>
            </w:r>
          </w:p>
        </w:tc>
        <w:tc>
          <w:tcPr>
            <w:tcW w:w="826" w:type="dxa"/>
          </w:tcPr>
          <w:p w:rsidR="003E72AC" w:rsidRPr="003F2695" w:rsidRDefault="003E72AC" w:rsidP="00C326BB">
            <w:pPr>
              <w:cnfStyle w:val="000000010000" w:firstRow="0" w:lastRow="0" w:firstColumn="0" w:lastColumn="0" w:oddVBand="0" w:evenVBand="0" w:oddHBand="0" w:evenHBand="1" w:firstRowFirstColumn="0" w:firstRowLastColumn="0" w:lastRowFirstColumn="0" w:lastRowLastColumn="0"/>
              <w:rPr>
                <w:rStyle w:val="Strong"/>
              </w:rPr>
            </w:pPr>
            <w:r w:rsidRPr="003F2695">
              <w:rPr>
                <w:rStyle w:val="Strong"/>
              </w:rPr>
              <w:t>2.36</w:t>
            </w:r>
          </w:p>
        </w:tc>
        <w:tc>
          <w:tcPr>
            <w:tcW w:w="825" w:type="dxa"/>
          </w:tcPr>
          <w:p w:rsidR="003E72AC" w:rsidRPr="003F2695" w:rsidRDefault="003E72AC" w:rsidP="00C326BB">
            <w:pPr>
              <w:cnfStyle w:val="000000010000" w:firstRow="0" w:lastRow="0" w:firstColumn="0" w:lastColumn="0" w:oddVBand="0" w:evenVBand="0" w:oddHBand="0" w:evenHBand="1" w:firstRowFirstColumn="0" w:firstRowLastColumn="0" w:lastRowFirstColumn="0" w:lastRowLastColumn="0"/>
              <w:rPr>
                <w:rStyle w:val="Strong"/>
              </w:rPr>
            </w:pPr>
            <w:r w:rsidRPr="003F2695">
              <w:rPr>
                <w:rStyle w:val="Strong"/>
              </w:rPr>
              <w:t>4.58</w:t>
            </w:r>
          </w:p>
        </w:tc>
        <w:tc>
          <w:tcPr>
            <w:tcW w:w="825" w:type="dxa"/>
          </w:tcPr>
          <w:p w:rsidR="003E72AC" w:rsidRPr="003F2695" w:rsidRDefault="003E72AC" w:rsidP="00C326BB">
            <w:pPr>
              <w:cnfStyle w:val="000000010000" w:firstRow="0" w:lastRow="0" w:firstColumn="0" w:lastColumn="0" w:oddVBand="0" w:evenVBand="0" w:oddHBand="0" w:evenHBand="1" w:firstRowFirstColumn="0" w:firstRowLastColumn="0" w:lastRowFirstColumn="0" w:lastRowLastColumn="0"/>
              <w:rPr>
                <w:rStyle w:val="Strong"/>
              </w:rPr>
            </w:pPr>
            <w:r w:rsidRPr="003F2695">
              <w:rPr>
                <w:rStyle w:val="Strong"/>
              </w:rPr>
              <w:t>1.91</w:t>
            </w:r>
          </w:p>
        </w:tc>
        <w:tc>
          <w:tcPr>
            <w:tcW w:w="826" w:type="dxa"/>
          </w:tcPr>
          <w:p w:rsidR="003E72AC" w:rsidRPr="003F2695" w:rsidRDefault="003E72AC" w:rsidP="00C326BB">
            <w:pPr>
              <w:cnfStyle w:val="000000010000" w:firstRow="0" w:lastRow="0" w:firstColumn="0" w:lastColumn="0" w:oddVBand="0" w:evenVBand="0" w:oddHBand="0" w:evenHBand="1" w:firstRowFirstColumn="0" w:firstRowLastColumn="0" w:lastRowFirstColumn="0" w:lastRowLastColumn="0"/>
              <w:rPr>
                <w:rStyle w:val="Strong"/>
              </w:rPr>
            </w:pPr>
            <w:r w:rsidRPr="003F2695">
              <w:rPr>
                <w:rStyle w:val="Strong"/>
              </w:rPr>
              <w:t>5.95</w:t>
            </w:r>
          </w:p>
        </w:tc>
        <w:tc>
          <w:tcPr>
            <w:tcW w:w="825" w:type="dxa"/>
          </w:tcPr>
          <w:p w:rsidR="003E72AC" w:rsidRPr="003F2695" w:rsidRDefault="003E72AC" w:rsidP="00C326BB">
            <w:pPr>
              <w:cnfStyle w:val="000000010000" w:firstRow="0" w:lastRow="0" w:firstColumn="0" w:lastColumn="0" w:oddVBand="0" w:evenVBand="0" w:oddHBand="0" w:evenHBand="1" w:firstRowFirstColumn="0" w:firstRowLastColumn="0" w:lastRowFirstColumn="0" w:lastRowLastColumn="0"/>
              <w:rPr>
                <w:rStyle w:val="Strong"/>
              </w:rPr>
            </w:pPr>
            <w:r w:rsidRPr="003F2695">
              <w:rPr>
                <w:rStyle w:val="Strong"/>
              </w:rPr>
              <w:t>0.00</w:t>
            </w:r>
          </w:p>
        </w:tc>
        <w:tc>
          <w:tcPr>
            <w:tcW w:w="1017" w:type="dxa"/>
          </w:tcPr>
          <w:p w:rsidR="003E72AC" w:rsidRPr="003F2695" w:rsidRDefault="003E72AC" w:rsidP="00C326BB">
            <w:pPr>
              <w:cnfStyle w:val="000000010000" w:firstRow="0" w:lastRow="0" w:firstColumn="0" w:lastColumn="0" w:oddVBand="0" w:evenVBand="0" w:oddHBand="0" w:evenHBand="1" w:firstRowFirstColumn="0" w:firstRowLastColumn="0" w:lastRowFirstColumn="0" w:lastRowLastColumn="0"/>
              <w:rPr>
                <w:rStyle w:val="Strong"/>
              </w:rPr>
            </w:pPr>
            <w:r w:rsidRPr="003F2695">
              <w:rPr>
                <w:rStyle w:val="Strong"/>
              </w:rPr>
              <w:t>14.80</w:t>
            </w:r>
          </w:p>
        </w:tc>
        <w:tc>
          <w:tcPr>
            <w:tcW w:w="1203" w:type="dxa"/>
          </w:tcPr>
          <w:p w:rsidR="003E72AC" w:rsidRPr="003F2695" w:rsidRDefault="003E72AC" w:rsidP="00C326BB">
            <w:pPr>
              <w:cnfStyle w:val="000000010000" w:firstRow="0" w:lastRow="0" w:firstColumn="0" w:lastColumn="0" w:oddVBand="0" w:evenVBand="0" w:oddHBand="0" w:evenHBand="1" w:firstRowFirstColumn="0" w:firstRowLastColumn="0" w:lastRowFirstColumn="0" w:lastRowLastColumn="0"/>
              <w:rPr>
                <w:rStyle w:val="Strong"/>
              </w:rPr>
            </w:pPr>
            <w:r w:rsidRPr="003F2695">
              <w:rPr>
                <w:rStyle w:val="Strong"/>
              </w:rPr>
              <w:t>83.40</w:t>
            </w:r>
          </w:p>
        </w:tc>
      </w:tr>
    </w:tbl>
    <w:p w:rsidR="003E72AC" w:rsidRDefault="003E72AC" w:rsidP="00E834E1">
      <w:pPr>
        <w:pStyle w:val="AERtablesource"/>
        <w:tabs>
          <w:tab w:val="clear" w:pos="794"/>
          <w:tab w:val="left" w:pos="910"/>
        </w:tabs>
        <w:ind w:left="658" w:hanging="658"/>
      </w:pPr>
      <w:r>
        <w:t xml:space="preserve">Source: ActewAGL, </w:t>
      </w:r>
      <w:r w:rsidRPr="003F2695">
        <w:rPr>
          <w:rStyle w:val="AERtextitalic"/>
        </w:rPr>
        <w:t xml:space="preserve">2016–21 – Public: Gas reset RIN: Master </w:t>
      </w:r>
      <w:proofErr w:type="spellStart"/>
      <w:proofErr w:type="gramStart"/>
      <w:r w:rsidRPr="003F2695">
        <w:rPr>
          <w:rStyle w:val="AERtextitalic"/>
        </w:rPr>
        <w:t>final_revised</w:t>
      </w:r>
      <w:proofErr w:type="spellEnd"/>
      <w:proofErr w:type="gramEnd"/>
      <w:r>
        <w:t xml:space="preserve">, July 2015; ActewAGL, </w:t>
      </w:r>
      <w:r w:rsidRPr="003F2695">
        <w:rPr>
          <w:rStyle w:val="AERtextitalic"/>
        </w:rPr>
        <w:t>2016–20 access arrangement period: Attachment 6: Capital expenditure</w:t>
      </w:r>
      <w:r w:rsidRPr="00171D3E">
        <w:t>, June 2015</w:t>
      </w:r>
      <w:r>
        <w:t>, p. 48.</w:t>
      </w:r>
    </w:p>
    <w:p w:rsidR="003E72AC" w:rsidRDefault="003E72AC" w:rsidP="00E834E1">
      <w:pPr>
        <w:pStyle w:val="AERtablesource"/>
        <w:tabs>
          <w:tab w:val="clear" w:pos="794"/>
          <w:tab w:val="left" w:pos="672"/>
        </w:tabs>
        <w:ind w:left="658" w:hanging="658"/>
      </w:pPr>
      <w:proofErr w:type="spellStart"/>
      <w:proofErr w:type="gramStart"/>
      <w:r>
        <w:t>a</w:t>
      </w:r>
      <w:proofErr w:type="spellEnd"/>
      <w:proofErr w:type="gramEnd"/>
      <w:r>
        <w:tab/>
      </w:r>
      <w:r w:rsidR="00DD4FBF">
        <w:t>T</w:t>
      </w:r>
      <w:r w:rsidR="00DD4FBF" w:rsidRPr="00DD4FBF">
        <w:t xml:space="preserve">he $8.22 million figure is consistent with the total forecast expenditure for the project (which is the direct cost, plus other factors). </w:t>
      </w:r>
      <w:r w:rsidR="00713E86">
        <w:t>It appears</w:t>
      </w:r>
      <w:r w:rsidR="00DD4FBF" w:rsidRPr="00DD4FBF">
        <w:t xml:space="preserve"> ActewAGL should have inputted a lower figure into its RIN and capex model for this project.</w:t>
      </w:r>
      <w:r w:rsidR="00713E86">
        <w:t xml:space="preserve"> </w:t>
      </w:r>
      <w:r w:rsidR="00713E86" w:rsidRPr="00713E86">
        <w:t xml:space="preserve">This does not affect our derivation of conforming </w:t>
      </w:r>
      <w:r w:rsidR="001E698B">
        <w:t xml:space="preserve">capex.  </w:t>
      </w:r>
    </w:p>
    <w:p w:rsidR="003E72AC" w:rsidRDefault="003E72AC" w:rsidP="003F2695">
      <w:pPr>
        <w:pStyle w:val="HeadingBoldItalic"/>
      </w:pPr>
      <w:r>
        <w:t>Assessment of capacity development/augmentation expenditure forecast</w:t>
      </w:r>
    </w:p>
    <w:p w:rsidR="000B0CED" w:rsidRDefault="000B0CED" w:rsidP="003E72AC">
      <w:r>
        <w:t>W</w:t>
      </w:r>
      <w:r w:rsidRPr="00453D32">
        <w:t>e consider th</w:t>
      </w:r>
      <w:r>
        <w:t>e West Belconnen project</w:t>
      </w:r>
      <w:r w:rsidRPr="00453D32">
        <w:t>, costing $</w:t>
      </w:r>
      <w:r>
        <w:t>2.92</w:t>
      </w:r>
      <w:r w:rsidRPr="00453D32">
        <w:t xml:space="preserve"> million ($201</w:t>
      </w:r>
      <w:r>
        <w:t>5–16</w:t>
      </w:r>
      <w:r w:rsidRPr="00453D32">
        <w:t xml:space="preserve">, </w:t>
      </w:r>
      <w:proofErr w:type="spellStart"/>
      <w:r w:rsidRPr="00453D32">
        <w:t>unescalated</w:t>
      </w:r>
      <w:proofErr w:type="spellEnd"/>
      <w:r w:rsidRPr="00453D32">
        <w:t>)</w:t>
      </w:r>
      <w:r>
        <w:t xml:space="preserve">, and the 24 smaller scale augmentation </w:t>
      </w:r>
      <w:r w:rsidR="00385B1E">
        <w:t xml:space="preserve">projects costing $2.95 million </w:t>
      </w:r>
      <w:r>
        <w:t>is</w:t>
      </w:r>
      <w:r w:rsidRPr="00453D32">
        <w:t xml:space="preserve"> </w:t>
      </w:r>
      <w:r>
        <w:t xml:space="preserve">conforming capex that complies with rule 79. In coming to this view we took into account the advice we received from </w:t>
      </w:r>
      <w:proofErr w:type="spellStart"/>
      <w:r>
        <w:t>Sleeman</w:t>
      </w:r>
      <w:proofErr w:type="spellEnd"/>
      <w:r>
        <w:t xml:space="preserve"> Consulting which we found to be persuasive. The two main reasons for this view are:</w:t>
      </w:r>
    </w:p>
    <w:p w:rsidR="003E72AC" w:rsidRDefault="003E72AC" w:rsidP="00116475">
      <w:pPr>
        <w:pStyle w:val="AERbulletlistfirststyle"/>
      </w:pPr>
      <w:proofErr w:type="spellStart"/>
      <w:r>
        <w:t>ActewAGL's</w:t>
      </w:r>
      <w:proofErr w:type="spellEnd"/>
      <w:r>
        <w:t xml:space="preserve"> proposed augmentation solutions </w:t>
      </w:r>
      <w:r w:rsidR="00385B1E">
        <w:t xml:space="preserve">for these projects </w:t>
      </w:r>
      <w:r w:rsidR="001E36C8">
        <w:t xml:space="preserve">have been arrived at on a reasonable basis </w:t>
      </w:r>
      <w:r>
        <w:t>in light of forecast connections growth.</w:t>
      </w:r>
      <w:r>
        <w:rPr>
          <w:rStyle w:val="FootnoteReference"/>
        </w:rPr>
        <w:footnoteReference w:id="80"/>
      </w:r>
    </w:p>
    <w:p w:rsidR="003E72AC" w:rsidRDefault="003E72AC" w:rsidP="00116475">
      <w:pPr>
        <w:pStyle w:val="AERbulletlistfirststyle"/>
      </w:pPr>
      <w:proofErr w:type="spellStart"/>
      <w:r>
        <w:t>ActewAGL's</w:t>
      </w:r>
      <w:proofErr w:type="spellEnd"/>
      <w:r>
        <w:t xml:space="preserve"> </w:t>
      </w:r>
      <w:r w:rsidR="001E36C8">
        <w:t>prop</w:t>
      </w:r>
      <w:r w:rsidR="00385B1E">
        <w:t>o</w:t>
      </w:r>
      <w:r w:rsidR="001E36C8">
        <w:t xml:space="preserve">sed </w:t>
      </w:r>
      <w:r>
        <w:t xml:space="preserve">input costs </w:t>
      </w:r>
      <w:r w:rsidR="00385B1E">
        <w:t>for these</w:t>
      </w:r>
      <w:r w:rsidR="001E36C8">
        <w:t xml:space="preserve"> </w:t>
      </w:r>
      <w:r>
        <w:t xml:space="preserve">augmentation projects are within a reasonable range and </w:t>
      </w:r>
      <w:r w:rsidR="001E36C8">
        <w:t xml:space="preserve">are likely to </w:t>
      </w:r>
      <w:r>
        <w:t>reflect that of a prudent and efficient service provider.</w:t>
      </w:r>
      <w:r>
        <w:rPr>
          <w:rStyle w:val="FootnoteReference"/>
        </w:rPr>
        <w:footnoteReference w:id="81"/>
      </w:r>
    </w:p>
    <w:p w:rsidR="003E72AC" w:rsidRDefault="00B6029E" w:rsidP="003E72AC">
      <w:r>
        <w:t>However,</w:t>
      </w:r>
      <w:r w:rsidR="003E72AC" w:rsidRPr="00453D32">
        <w:t xml:space="preserve"> </w:t>
      </w:r>
      <w:r w:rsidR="00385B1E">
        <w:t xml:space="preserve">we consider that </w:t>
      </w:r>
      <w:proofErr w:type="spellStart"/>
      <w:r w:rsidR="00385B1E">
        <w:t>ActewAGL’s</w:t>
      </w:r>
      <w:proofErr w:type="spellEnd"/>
      <w:r w:rsidR="00385B1E">
        <w:t xml:space="preserve"> proposed </w:t>
      </w:r>
      <w:r w:rsidR="004D52A8">
        <w:t xml:space="preserve">capex for </w:t>
      </w:r>
      <w:r w:rsidR="00A70E94">
        <w:t>two</w:t>
      </w:r>
      <w:r w:rsidR="00385B1E">
        <w:t xml:space="preserve"> </w:t>
      </w:r>
      <w:r w:rsidR="003E72AC">
        <w:t xml:space="preserve">key </w:t>
      </w:r>
      <w:r w:rsidR="003E72AC" w:rsidRPr="00453D32">
        <w:t xml:space="preserve">projects, </w:t>
      </w:r>
      <w:r w:rsidR="00116475">
        <w:t>totalling</w:t>
      </w:r>
      <w:r w:rsidR="003E72AC" w:rsidRPr="00453D32">
        <w:t xml:space="preserve"> $</w:t>
      </w:r>
      <w:r w:rsidR="003E72AC">
        <w:t>11.</w:t>
      </w:r>
      <w:r w:rsidR="006E4DB4">
        <w:t>9</w:t>
      </w:r>
      <w:r w:rsidR="003E72AC" w:rsidRPr="00453D32">
        <w:t xml:space="preserve"> million ($201</w:t>
      </w:r>
      <w:r w:rsidR="003E72AC">
        <w:t>5–16</w:t>
      </w:r>
      <w:r w:rsidR="003E72AC" w:rsidRPr="00453D32">
        <w:t xml:space="preserve">, </w:t>
      </w:r>
      <w:proofErr w:type="spellStart"/>
      <w:r w:rsidR="003E72AC" w:rsidRPr="00453D32">
        <w:t>unescalated</w:t>
      </w:r>
      <w:proofErr w:type="spellEnd"/>
      <w:r w:rsidR="003E72AC" w:rsidRPr="00453D32">
        <w:t xml:space="preserve"> direct costs) </w:t>
      </w:r>
      <w:r w:rsidR="004D52A8">
        <w:t>is</w:t>
      </w:r>
      <w:r>
        <w:t xml:space="preserve"> </w:t>
      </w:r>
      <w:r w:rsidR="000E3320">
        <w:t>not conforming capex that complies with rule 79</w:t>
      </w:r>
      <w:r w:rsidR="00DC268B">
        <w:t xml:space="preserve"> of the NGR</w:t>
      </w:r>
      <w:r w:rsidR="000E3320">
        <w:t>.</w:t>
      </w:r>
    </w:p>
    <w:p w:rsidR="003E72AC" w:rsidRDefault="000E3320" w:rsidP="0061777C">
      <w:r>
        <w:t>Firstly, t</w:t>
      </w:r>
      <w:r w:rsidR="00A70E94">
        <w:t xml:space="preserve">he driver for </w:t>
      </w:r>
      <w:r>
        <w:t xml:space="preserve">‘Molonglo Secondary Extension Stage 2’ project </w:t>
      </w:r>
      <w:r w:rsidR="00A70E94">
        <w:t>is the gas requirements arising from</w:t>
      </w:r>
      <w:r w:rsidR="00385B1E">
        <w:t xml:space="preserve"> the</w:t>
      </w:r>
      <w:r w:rsidR="00A70E94">
        <w:t xml:space="preserve"> development of the Molonglo land subdivision.</w:t>
      </w:r>
      <w:r w:rsidR="00A70E94">
        <w:rPr>
          <w:rStyle w:val="FootnoteReference"/>
        </w:rPr>
        <w:footnoteReference w:id="82"/>
      </w:r>
      <w:r w:rsidR="00A70E94">
        <w:t xml:space="preserve"> </w:t>
      </w:r>
      <w:proofErr w:type="spellStart"/>
      <w:r w:rsidR="00A70E94">
        <w:t>Sleeman</w:t>
      </w:r>
      <w:proofErr w:type="spellEnd"/>
      <w:r>
        <w:t xml:space="preserve"> Consulting </w:t>
      </w:r>
      <w:r w:rsidR="00385B1E">
        <w:t xml:space="preserve">has advised us </w:t>
      </w:r>
      <w:r>
        <w:t>that</w:t>
      </w:r>
      <w:r w:rsidR="00A70E94">
        <w:t xml:space="preserve"> any gas requirements in the early stages of this development can be accommodated by the existing infrastructure arising from the Molonglo Secondary Extension Stage 1 project.</w:t>
      </w:r>
      <w:r w:rsidR="00A70E94">
        <w:rPr>
          <w:rStyle w:val="FootnoteReference"/>
        </w:rPr>
        <w:footnoteReference w:id="83"/>
      </w:r>
      <w:r w:rsidR="00A70E94">
        <w:t xml:space="preserve"> We have taken into consideration that a developer for these early stages was only recently announced (July 2015) and there are no commitments yet for the latter stages of the development.</w:t>
      </w:r>
      <w:r w:rsidR="00A70E94">
        <w:rPr>
          <w:rStyle w:val="FootnoteReference"/>
        </w:rPr>
        <w:footnoteReference w:id="84"/>
      </w:r>
      <w:r w:rsidR="00A70E94">
        <w:t xml:space="preserve"> We therefore do not consider the Molonglo Secondary Extension Stage 2 project is likely to be required in the 2016–21 access arrangement </w:t>
      </w:r>
      <w:proofErr w:type="gramStart"/>
      <w:r w:rsidR="00A70E94">
        <w:t>period</w:t>
      </w:r>
      <w:proofErr w:type="gramEnd"/>
      <w:r w:rsidR="00514408">
        <w:t>.</w:t>
      </w:r>
      <w:r w:rsidR="00514408" w:rsidRPr="00514408">
        <w:t xml:space="preserve"> </w:t>
      </w:r>
      <w:r w:rsidR="00D72D3C">
        <w:t>Given the scope for deferral, w</w:t>
      </w:r>
      <w:r w:rsidR="00514408">
        <w:t xml:space="preserve">e do not consider </w:t>
      </w:r>
      <w:proofErr w:type="spellStart"/>
      <w:r w:rsidR="00514408">
        <w:t>ActewAGL’s</w:t>
      </w:r>
      <w:proofErr w:type="spellEnd"/>
      <w:r w:rsidR="00514408">
        <w:t xml:space="preserve"> expenditure forecast for </w:t>
      </w:r>
      <w:r w:rsidR="00D72D3C">
        <w:t>this project</w:t>
      </w:r>
      <w:r w:rsidR="00514408">
        <w:t xml:space="preserve"> </w:t>
      </w:r>
      <w:r w:rsidR="00D72D3C">
        <w:t>reflects capex that a prudent service provider, acting efficiently, would incur</w:t>
      </w:r>
      <w:r w:rsidR="00A70E94">
        <w:t>.</w:t>
      </w:r>
      <w:r w:rsidR="0079711B">
        <w:rPr>
          <w:rStyle w:val="FootnoteReference"/>
        </w:rPr>
        <w:footnoteReference w:id="85"/>
      </w:r>
      <w:r w:rsidR="006E4DB4">
        <w:t xml:space="preserve"> This reduces </w:t>
      </w:r>
      <w:proofErr w:type="spellStart"/>
      <w:r w:rsidR="006E4DB4">
        <w:t>ActewAGL’s</w:t>
      </w:r>
      <w:proofErr w:type="spellEnd"/>
      <w:r w:rsidR="006E4DB4">
        <w:t xml:space="preserve"> capex forecast by $3.7 million ($2015–16, </w:t>
      </w:r>
      <w:proofErr w:type="spellStart"/>
      <w:r w:rsidR="006E4DB4">
        <w:t>unescalated</w:t>
      </w:r>
      <w:proofErr w:type="spellEnd"/>
      <w:r w:rsidR="006E4DB4">
        <w:t xml:space="preserve"> direct expenditure).</w:t>
      </w:r>
    </w:p>
    <w:p w:rsidR="00385B1E" w:rsidRDefault="007A09F9" w:rsidP="0061777C">
      <w:r>
        <w:t>Regarding ‘Molonglo Primary Extension Stage 1’</w:t>
      </w:r>
      <w:r w:rsidR="000E3320">
        <w:t xml:space="preserve">, </w:t>
      </w:r>
      <w:r w:rsidR="00B6029E">
        <w:t xml:space="preserve">we </w:t>
      </w:r>
      <w:r>
        <w:t xml:space="preserve">consider </w:t>
      </w:r>
      <w:proofErr w:type="spellStart"/>
      <w:r w:rsidR="0079711B">
        <w:t>ActewAGL’s</w:t>
      </w:r>
      <w:proofErr w:type="spellEnd"/>
      <w:r w:rsidR="0079711B">
        <w:t xml:space="preserve"> modelling</w:t>
      </w:r>
      <w:r w:rsidR="00B6029E">
        <w:t xml:space="preserve"> </w:t>
      </w:r>
      <w:r w:rsidR="00385B1E">
        <w:t>overestimated</w:t>
      </w:r>
      <w:r w:rsidR="00B6029E">
        <w:t xml:space="preserve"> the </w:t>
      </w:r>
      <w:r w:rsidR="00165167" w:rsidRPr="00165167">
        <w:t>number of connections (and subsequently, peak load)</w:t>
      </w:r>
      <w:r w:rsidR="003B4105">
        <w:t xml:space="preserve"> </w:t>
      </w:r>
      <w:r w:rsidR="00385B1E">
        <w:t xml:space="preserve">required to either maintain the integrity of gas services or to maintain </w:t>
      </w:r>
      <w:proofErr w:type="spellStart"/>
      <w:r w:rsidR="00385B1E">
        <w:t>ActewAGL’s</w:t>
      </w:r>
      <w:proofErr w:type="spellEnd"/>
      <w:r w:rsidR="00385B1E">
        <w:t xml:space="preserve"> capacity </w:t>
      </w:r>
      <w:r w:rsidR="003B4105">
        <w:t xml:space="preserve">to </w:t>
      </w:r>
      <w:r w:rsidR="00385B1E">
        <w:t xml:space="preserve">meet levels of demand for services. </w:t>
      </w:r>
      <w:r w:rsidR="00385B1E">
        <w:rPr>
          <w:rStyle w:val="FootnoteReference"/>
        </w:rPr>
        <w:footnoteReference w:id="86"/>
      </w:r>
      <w:r w:rsidR="00385B1E">
        <w:t xml:space="preserve"> In particular, </w:t>
      </w:r>
      <w:proofErr w:type="spellStart"/>
      <w:r w:rsidR="00385B1E" w:rsidRPr="00165167">
        <w:t>Sleeman</w:t>
      </w:r>
      <w:proofErr w:type="spellEnd"/>
      <w:r w:rsidR="00385B1E" w:rsidRPr="00165167">
        <w:t xml:space="preserve"> Consulting </w:t>
      </w:r>
      <w:r w:rsidR="00385B1E">
        <w:t>noted that whilst</w:t>
      </w:r>
      <w:r w:rsidR="00385B1E" w:rsidRPr="00165167">
        <w:t xml:space="preserve"> there </w:t>
      </w:r>
      <w:r w:rsidR="00385B1E">
        <w:t>is the</w:t>
      </w:r>
      <w:r w:rsidR="00385B1E" w:rsidRPr="00165167">
        <w:t xml:space="preserve"> potential</w:t>
      </w:r>
      <w:r w:rsidR="00385B1E">
        <w:t xml:space="preserve"> for</w:t>
      </w:r>
      <w:r w:rsidR="00385B1E" w:rsidRPr="00165167">
        <w:t xml:space="preserve"> 6,000 sites </w:t>
      </w:r>
      <w:r w:rsidR="00385B1E">
        <w:t xml:space="preserve">to be </w:t>
      </w:r>
      <w:r w:rsidR="00385B1E" w:rsidRPr="00165167">
        <w:t xml:space="preserve">available </w:t>
      </w:r>
      <w:r w:rsidR="00385B1E">
        <w:t>on</w:t>
      </w:r>
      <w:r w:rsidR="00385B1E" w:rsidRPr="00165167">
        <w:t xml:space="preserve"> the Molonglo land development by 2020</w:t>
      </w:r>
      <w:r w:rsidR="00385B1E">
        <w:t>,</w:t>
      </w:r>
      <w:r w:rsidR="00385B1E" w:rsidRPr="00165167">
        <w:t xml:space="preserve"> </w:t>
      </w:r>
      <w:r w:rsidR="00385B1E">
        <w:t xml:space="preserve">it is not necessarily the case that all of these </w:t>
      </w:r>
      <w:r w:rsidR="00385B1E" w:rsidRPr="00165167">
        <w:t xml:space="preserve">dwellings will have been developed </w:t>
      </w:r>
      <w:r w:rsidR="00385B1E">
        <w:t xml:space="preserve">or will connect to gas </w:t>
      </w:r>
      <w:r w:rsidR="00385B1E" w:rsidRPr="00165167">
        <w:t>by 2020.</w:t>
      </w:r>
      <w:r w:rsidR="00385B1E">
        <w:rPr>
          <w:rStyle w:val="FootnoteReference"/>
        </w:rPr>
        <w:footnoteReference w:id="87"/>
      </w:r>
      <w:r w:rsidR="00385B1E" w:rsidRPr="00165167">
        <w:t xml:space="preserve"> </w:t>
      </w:r>
      <w:r w:rsidR="00385B1E">
        <w:t xml:space="preserve">It follows that </w:t>
      </w:r>
      <w:r w:rsidR="00385B1E" w:rsidRPr="00165167">
        <w:t xml:space="preserve">the number of connections </w:t>
      </w:r>
      <w:r w:rsidR="00385B1E">
        <w:t xml:space="preserve">that </w:t>
      </w:r>
      <w:r w:rsidR="00385B1E" w:rsidRPr="00165167">
        <w:t xml:space="preserve">ActewAGL </w:t>
      </w:r>
      <w:r w:rsidR="00385B1E">
        <w:t xml:space="preserve">has </w:t>
      </w:r>
      <w:r w:rsidR="00385B1E" w:rsidRPr="00165167">
        <w:t>assumed for this project is excessive</w:t>
      </w:r>
      <w:r w:rsidR="00385B1E">
        <w:t xml:space="preserve"> relative to the number of available sites (see confidential appendix C).</w:t>
      </w:r>
      <w:r w:rsidR="00385B1E">
        <w:rPr>
          <w:rStyle w:val="FootnoteReference"/>
        </w:rPr>
        <w:footnoteReference w:id="88"/>
      </w:r>
      <w:r w:rsidR="00385B1E">
        <w:t xml:space="preserve"> Further, ActewAGL did not provide any information to demonstrate whether or the extent to which it has considered more optimal choices to meet any forecast constraints other than extensions to the primary and secondary systems.</w:t>
      </w:r>
      <w:r w:rsidR="00385B1E" w:rsidRPr="00385B1E">
        <w:rPr>
          <w:rStyle w:val="FootnoteReference"/>
        </w:rPr>
        <w:t xml:space="preserve"> </w:t>
      </w:r>
      <w:r w:rsidR="00385B1E">
        <w:rPr>
          <w:rStyle w:val="FootnoteReference"/>
        </w:rPr>
        <w:footnoteReference w:id="89"/>
      </w:r>
    </w:p>
    <w:p w:rsidR="00212900" w:rsidRDefault="00212900" w:rsidP="003E72AC">
      <w:r>
        <w:t xml:space="preserve">We </w:t>
      </w:r>
      <w:r w:rsidR="00B6029E">
        <w:t>invite</w:t>
      </w:r>
      <w:r>
        <w:t xml:space="preserve"> ActewAGL address our concerns about the Molonglo Secondary and Molonglo Primary projects, including its assumptions about the number of connections, in its revised proposal.</w:t>
      </w:r>
    </w:p>
    <w:p w:rsidR="002850BB" w:rsidRDefault="0073742A" w:rsidP="00BE45D1">
      <w:pPr>
        <w:pStyle w:val="Heading3"/>
      </w:pPr>
      <w:bookmarkStart w:id="40" w:name="_Toc435692218"/>
      <w:r>
        <w:t>Network</w:t>
      </w:r>
      <w:r w:rsidR="002850BB">
        <w:t xml:space="preserve"> renewal and upgrade</w:t>
      </w:r>
      <w:bookmarkEnd w:id="40"/>
    </w:p>
    <w:p w:rsidR="00443D3C" w:rsidRDefault="0073742A" w:rsidP="00F36252">
      <w:r>
        <w:t>Network renewal and upgrade expenditure is related to the replacement and upgrade of network infrastructure (mains and facilities) to facilitate changes</w:t>
      </w:r>
      <w:r w:rsidR="00443D3C">
        <w:t xml:space="preserve"> to:</w:t>
      </w:r>
      <w:r w:rsidR="00443D3C">
        <w:rPr>
          <w:rStyle w:val="FootnoteReference"/>
        </w:rPr>
        <w:footnoteReference w:id="90"/>
      </w:r>
      <w:r w:rsidR="00443D3C">
        <w:t xml:space="preserve"> </w:t>
      </w:r>
    </w:p>
    <w:p w:rsidR="00443D3C" w:rsidRDefault="0073742A" w:rsidP="00F36252">
      <w:pPr>
        <w:pStyle w:val="AERbulletlistfirststyle"/>
      </w:pPr>
      <w:r>
        <w:t>ensure the reliable transport of gas through the ACT network</w:t>
      </w:r>
    </w:p>
    <w:p w:rsidR="00443D3C" w:rsidRDefault="0073742A" w:rsidP="00F36252">
      <w:pPr>
        <w:pStyle w:val="AERbulletlistfirststyle"/>
      </w:pPr>
      <w:r>
        <w:t>ensure the integrity of the gas network infrastructure</w:t>
      </w:r>
    </w:p>
    <w:p w:rsidR="00443D3C" w:rsidRDefault="0073742A" w:rsidP="00F36252">
      <w:pPr>
        <w:pStyle w:val="AERbulletlistfirststyle"/>
      </w:pPr>
      <w:proofErr w:type="gramStart"/>
      <w:r>
        <w:t>replace</w:t>
      </w:r>
      <w:proofErr w:type="gramEnd"/>
      <w:r>
        <w:t xml:space="preserve"> any outdated equipment. </w:t>
      </w:r>
    </w:p>
    <w:p w:rsidR="00443D3C" w:rsidRDefault="00443D3C" w:rsidP="00F36252">
      <w:r>
        <w:t>We have included $</w:t>
      </w:r>
      <w:r w:rsidR="001833EF">
        <w:t>14.0</w:t>
      </w:r>
      <w:r w:rsidR="00B80620">
        <w:t xml:space="preserve"> </w:t>
      </w:r>
      <w:r>
        <w:t>million ($20</w:t>
      </w:r>
      <w:r w:rsidR="00DA0670">
        <w:t>15–</w:t>
      </w:r>
      <w:r>
        <w:t xml:space="preserve">16, </w:t>
      </w:r>
      <w:proofErr w:type="spellStart"/>
      <w:r w:rsidR="00DA0670">
        <w:t>unescalated</w:t>
      </w:r>
      <w:proofErr w:type="spellEnd"/>
      <w:r>
        <w:t xml:space="preserve">) of network renewal and upgrade expenditure in our alternative </w:t>
      </w:r>
      <w:r w:rsidR="009C5EEA">
        <w:t>estimate</w:t>
      </w:r>
      <w:r>
        <w:t xml:space="preserve">. We </w:t>
      </w:r>
      <w:r w:rsidR="009C5EEA">
        <w:t xml:space="preserve">do not consider </w:t>
      </w:r>
      <w:r>
        <w:t xml:space="preserve">that </w:t>
      </w:r>
      <w:proofErr w:type="spellStart"/>
      <w:r>
        <w:t>ActewAGL’s</w:t>
      </w:r>
      <w:proofErr w:type="spellEnd"/>
      <w:r>
        <w:t xml:space="preserve"> proposed amount of $</w:t>
      </w:r>
      <w:r w:rsidR="001833EF">
        <w:t>15.4</w:t>
      </w:r>
      <w:r>
        <w:t> million ($20</w:t>
      </w:r>
      <w:r w:rsidR="00DA0670">
        <w:t>15–</w:t>
      </w:r>
      <w:r>
        <w:t xml:space="preserve">16, </w:t>
      </w:r>
      <w:proofErr w:type="spellStart"/>
      <w:r w:rsidR="00DA0670">
        <w:t>unescalated</w:t>
      </w:r>
      <w:proofErr w:type="spellEnd"/>
      <w:r>
        <w:t xml:space="preserve">) is </w:t>
      </w:r>
      <w:r w:rsidR="00527628">
        <w:t>conforming capex</w:t>
      </w:r>
      <w:r w:rsidR="009C5EEA">
        <w:t xml:space="preserve"> that complies with rule 79</w:t>
      </w:r>
      <w:r>
        <w:t>.</w:t>
      </w:r>
      <w:r w:rsidR="00527628">
        <w:rPr>
          <w:rStyle w:val="FootnoteReference"/>
        </w:rPr>
        <w:footnoteReference w:id="91"/>
      </w:r>
      <w:r>
        <w:t xml:space="preserve"> </w:t>
      </w:r>
    </w:p>
    <w:p w:rsidR="0069463D" w:rsidRDefault="009C5EEA" w:rsidP="00F36252">
      <w:r>
        <w:t xml:space="preserve">To assist our review, we asked </w:t>
      </w:r>
      <w:proofErr w:type="spellStart"/>
      <w:r>
        <w:t>Sleeman</w:t>
      </w:r>
      <w:proofErr w:type="spellEnd"/>
      <w:r>
        <w:t xml:space="preserve"> Consulting to review the major projects included in </w:t>
      </w:r>
      <w:proofErr w:type="spellStart"/>
      <w:r>
        <w:t>ActewAGL’s</w:t>
      </w:r>
      <w:proofErr w:type="spellEnd"/>
      <w:r>
        <w:t xml:space="preserve"> network renewal and upgrade capex in terms of the requirement for and the scope and timing of the proposed works, and whether the proposed costs are efficient and prudent. Based on </w:t>
      </w:r>
      <w:proofErr w:type="spellStart"/>
      <w:r>
        <w:t>Sleeman</w:t>
      </w:r>
      <w:proofErr w:type="spellEnd"/>
      <w:r>
        <w:t xml:space="preserve"> Consulting’s advice</w:t>
      </w:r>
      <w:r>
        <w:rPr>
          <w:rStyle w:val="FootnoteReference"/>
        </w:rPr>
        <w:footnoteReference w:id="92"/>
      </w:r>
      <w:r>
        <w:t xml:space="preserve"> and the information before us, our view is </w:t>
      </w:r>
      <w:r w:rsidR="00E43944">
        <w:t>that</w:t>
      </w:r>
      <w:r w:rsidR="0069463D">
        <w:t>:</w:t>
      </w:r>
    </w:p>
    <w:p w:rsidR="00B80620" w:rsidRDefault="00B80620" w:rsidP="0069463D">
      <w:pPr>
        <w:pStyle w:val="AERbulletlistfirststyle"/>
      </w:pPr>
      <w:r>
        <w:t xml:space="preserve">three out of the five projects which formed part of its review were </w:t>
      </w:r>
      <w:r w:rsidR="00E43944">
        <w:t>prudent and efficient</w:t>
      </w:r>
    </w:p>
    <w:p w:rsidR="0069463D" w:rsidRDefault="0069463D" w:rsidP="0069463D">
      <w:pPr>
        <w:pStyle w:val="AERbulletlistfirststyle"/>
      </w:pPr>
      <w:r>
        <w:t xml:space="preserve">the </w:t>
      </w:r>
      <w:r w:rsidR="00F676CC">
        <w:t xml:space="preserve">proposed capex for the </w:t>
      </w:r>
      <w:r>
        <w:t>Watson CTS pressure limiting station</w:t>
      </w:r>
      <w:r w:rsidR="00F676CC">
        <w:t xml:space="preserve"> is not </w:t>
      </w:r>
      <w:r>
        <w:t>efficient</w:t>
      </w:r>
      <w:r>
        <w:rPr>
          <w:rStyle w:val="FootnoteReference"/>
        </w:rPr>
        <w:footnoteReference w:id="93"/>
      </w:r>
      <w:r w:rsidR="00F676CC">
        <w:t xml:space="preserve"> and</w:t>
      </w:r>
    </w:p>
    <w:p w:rsidR="0073742A" w:rsidRDefault="00F676CC" w:rsidP="00F36252">
      <w:pPr>
        <w:pStyle w:val="AERbulletlistfirststyle"/>
      </w:pPr>
      <w:proofErr w:type="gramStart"/>
      <w:r>
        <w:t>the</w:t>
      </w:r>
      <w:proofErr w:type="gramEnd"/>
      <w:r>
        <w:t xml:space="preserve"> proposed capex f</w:t>
      </w:r>
      <w:r w:rsidR="00582CEC">
        <w:t xml:space="preserve">or </w:t>
      </w:r>
      <w:r w:rsidR="008365C1">
        <w:t xml:space="preserve">the </w:t>
      </w:r>
      <w:r w:rsidR="0073742A">
        <w:t xml:space="preserve">ACT facilities compliance upgrade program is </w:t>
      </w:r>
      <w:r w:rsidR="008512BE">
        <w:t xml:space="preserve">not </w:t>
      </w:r>
      <w:r w:rsidR="0073742A">
        <w:t>justified</w:t>
      </w:r>
      <w:r w:rsidR="008365C1">
        <w:t>.</w:t>
      </w:r>
      <w:r w:rsidR="008365C1">
        <w:rPr>
          <w:rStyle w:val="FootnoteReference"/>
        </w:rPr>
        <w:footnoteReference w:id="94"/>
      </w:r>
      <w:r w:rsidR="0073742A">
        <w:t xml:space="preserve"> </w:t>
      </w:r>
    </w:p>
    <w:p w:rsidR="002B6514" w:rsidRPr="00BD3708" w:rsidRDefault="009C5EEA" w:rsidP="001C7F79">
      <w:r>
        <w:t xml:space="preserve">We discuss our reasons for this view. </w:t>
      </w:r>
    </w:p>
    <w:p w:rsidR="003E778D" w:rsidRDefault="003E778D" w:rsidP="00F36252">
      <w:pPr>
        <w:pStyle w:val="HeadingBoldItalic"/>
      </w:pPr>
      <w:r>
        <w:t>Watson CTS pressure limiting station</w:t>
      </w:r>
    </w:p>
    <w:p w:rsidR="003E778D" w:rsidRDefault="001167BA" w:rsidP="00F36252">
      <w:r>
        <w:t>ActewAGL submitted that</w:t>
      </w:r>
      <w:r w:rsidR="004107DB">
        <w:t xml:space="preserve"> in the future gas will primarily be sourced via Fyshwick, from the Eastern Gas Pipeline (EGP).</w:t>
      </w:r>
      <w:r w:rsidR="004107DB">
        <w:rPr>
          <w:rStyle w:val="FootnoteReference"/>
        </w:rPr>
        <w:footnoteReference w:id="95"/>
      </w:r>
      <w:r w:rsidR="004107DB">
        <w:t xml:space="preserve"> At present gas is primarily sourced via Watson, from the Moomba to Sydney Pipeline. For Fyshwick to operate as the principal source of gas supply into the network, ActewAGL has proposed to install pressure control facilities at the Watson delivery point.</w:t>
      </w:r>
      <w:r w:rsidR="004107DB">
        <w:rPr>
          <w:rStyle w:val="FootnoteReference"/>
        </w:rPr>
        <w:footnoteReference w:id="96"/>
      </w:r>
      <w:r w:rsidR="003D2DA2">
        <w:t xml:space="preserve"> ActewAGL proposed a total forecast cost of $1.9 million for this project.</w:t>
      </w:r>
      <w:r w:rsidR="002D35AE" w:rsidRPr="00B765B2">
        <w:rPr>
          <w:rStyle w:val="FootnoteReference"/>
        </w:rPr>
        <w:footnoteReference w:id="97"/>
      </w:r>
      <w:r w:rsidR="003D2DA2">
        <w:t xml:space="preserve"> </w:t>
      </w:r>
    </w:p>
    <w:p w:rsidR="009C5EEA" w:rsidRDefault="004107DB" w:rsidP="00F36252">
      <w:r>
        <w:t>ActewAGL has estimated the cost of designing and installing pressure control facilities at Watson based upon the cost estimate prepared for the Coolamon POTS upgrade</w:t>
      </w:r>
      <w:r w:rsidR="00A37C72">
        <w:t>.</w:t>
      </w:r>
      <w:r w:rsidR="00A37C72">
        <w:rPr>
          <w:rStyle w:val="FootnoteReference"/>
        </w:rPr>
        <w:footnoteReference w:id="98"/>
      </w:r>
      <w:r>
        <w:t xml:space="preserve"> </w:t>
      </w:r>
      <w:r w:rsidR="00A37C72">
        <w:t>In response to an information request, ActewAGL provided detailed information prepared for the Coolamon POTS upgrade.</w:t>
      </w:r>
      <w:r w:rsidR="00582CEC">
        <w:rPr>
          <w:rStyle w:val="FootnoteReference"/>
        </w:rPr>
        <w:footnoteReference w:id="99"/>
      </w:r>
    </w:p>
    <w:p w:rsidR="003E778D" w:rsidRDefault="009C5EEA" w:rsidP="00F36252">
      <w:r>
        <w:t>Having reviewed this information</w:t>
      </w:r>
      <w:r w:rsidRPr="004C658F">
        <w:t xml:space="preserve"> </w:t>
      </w:r>
      <w:r>
        <w:t xml:space="preserve">and a preliminary breakdown of costs for the installation of pressure control facilities at Watson provided by ActewAGL, </w:t>
      </w:r>
      <w:proofErr w:type="spellStart"/>
      <w:r>
        <w:t>Sleeman</w:t>
      </w:r>
      <w:proofErr w:type="spellEnd"/>
      <w:r>
        <w:t xml:space="preserve"> Consulting advised us that:</w:t>
      </w:r>
    </w:p>
    <w:p w:rsidR="009C5EEA" w:rsidRDefault="009C5EEA" w:rsidP="009C5EEA">
      <w:pPr>
        <w:pStyle w:val="AERbulletlistfirststyle"/>
      </w:pPr>
      <w:r>
        <w:t>the scope of works for the Coolamon POTS upgrade included the installation of pressure control facilities and a water–bath heater, which results in a higher estimate than is reasonable for the Watson CTS pressure limiting station;</w:t>
      </w:r>
      <w:r w:rsidRPr="009C5EEA">
        <w:rPr>
          <w:rStyle w:val="FootnoteReference"/>
        </w:rPr>
        <w:t xml:space="preserve"> </w:t>
      </w:r>
      <w:r>
        <w:rPr>
          <w:rStyle w:val="FootnoteReference"/>
        </w:rPr>
        <w:footnoteReference w:id="100"/>
      </w:r>
    </w:p>
    <w:p w:rsidR="009C5EEA" w:rsidRDefault="009C5EEA" w:rsidP="009C5EEA">
      <w:pPr>
        <w:pStyle w:val="AERbulletlistfirststyle"/>
      </w:pPr>
      <w:r>
        <w:t xml:space="preserve">further, the total estimated cost of the Watson CTS pressure limiting station is high relative to that of the </w:t>
      </w:r>
      <w:proofErr w:type="spellStart"/>
      <w:r>
        <w:t>Hoskinstown</w:t>
      </w:r>
      <w:proofErr w:type="spellEnd"/>
      <w:r>
        <w:t xml:space="preserve"> CTS upgrade, which includes metering and associated facilities as well as filtration and flow control;</w:t>
      </w:r>
      <w:r>
        <w:rPr>
          <w:rStyle w:val="FootnoteReference"/>
        </w:rPr>
        <w:footnoteReference w:id="101"/>
      </w:r>
      <w:r>
        <w:t xml:space="preserve"> and</w:t>
      </w:r>
    </w:p>
    <w:p w:rsidR="00E37B1B" w:rsidRDefault="00E37B1B" w:rsidP="009C5EEA">
      <w:pPr>
        <w:pStyle w:val="AERbulletlistfirststyle"/>
      </w:pPr>
      <w:proofErr w:type="gramStart"/>
      <w:r>
        <w:t>the</w:t>
      </w:r>
      <w:proofErr w:type="gramEnd"/>
      <w:r>
        <w:t xml:space="preserve"> provision for contractor costs represents </w:t>
      </w:r>
      <w:r w:rsidR="00AE246C">
        <w:t xml:space="preserve">an excessive proportion of the total forecast costs, and the total direct costs, </w:t>
      </w:r>
      <w:r w:rsidR="003557FC">
        <w:t xml:space="preserve">when </w:t>
      </w:r>
      <w:r w:rsidR="00D31291">
        <w:t xml:space="preserve">compared to </w:t>
      </w:r>
      <w:r w:rsidR="003557FC">
        <w:t xml:space="preserve">other projects such as the </w:t>
      </w:r>
      <w:proofErr w:type="spellStart"/>
      <w:r w:rsidR="003557FC">
        <w:t>Hoskinstown</w:t>
      </w:r>
      <w:proofErr w:type="spellEnd"/>
      <w:r w:rsidR="003557FC">
        <w:t xml:space="preserve"> CTS Upgrade</w:t>
      </w:r>
      <w:r w:rsidR="00D31291">
        <w:t>.</w:t>
      </w:r>
      <w:r w:rsidR="00662FC0">
        <w:rPr>
          <w:rStyle w:val="FootnoteReference"/>
        </w:rPr>
        <w:footnoteReference w:id="102"/>
      </w:r>
    </w:p>
    <w:p w:rsidR="009C5EEA" w:rsidRDefault="009C5EEA" w:rsidP="0057292C">
      <w:pPr>
        <w:pStyle w:val="AERbulletlistfirststyle"/>
        <w:numPr>
          <w:ilvl w:val="0"/>
          <w:numId w:val="0"/>
        </w:numPr>
      </w:pPr>
      <w:r>
        <w:t>Based on the information before us</w:t>
      </w:r>
      <w:r w:rsidRPr="004C658F">
        <w:t xml:space="preserve"> </w:t>
      </w:r>
      <w:r>
        <w:t xml:space="preserve">and the advice we received from </w:t>
      </w:r>
      <w:proofErr w:type="spellStart"/>
      <w:r>
        <w:t>Sleeman</w:t>
      </w:r>
      <w:proofErr w:type="spellEnd"/>
      <w:r>
        <w:t xml:space="preserve"> Consulting which we found to be persuasive, we do not consider that the proposed capex for the pressure limiting station is conforming capex that complies with rule 79. We agree with </w:t>
      </w:r>
      <w:proofErr w:type="spellStart"/>
      <w:r>
        <w:t>Sleeman</w:t>
      </w:r>
      <w:proofErr w:type="spellEnd"/>
      <w:r>
        <w:t xml:space="preserve"> Consulting that the contractor cost provision should be reduced by $0.6 million.</w:t>
      </w:r>
      <w:r w:rsidRPr="009C5EEA">
        <w:rPr>
          <w:rStyle w:val="FootnoteReference"/>
        </w:rPr>
        <w:t xml:space="preserve"> </w:t>
      </w:r>
      <w:r>
        <w:rPr>
          <w:rStyle w:val="FootnoteReference"/>
        </w:rPr>
        <w:footnoteReference w:id="103"/>
      </w:r>
      <w:r>
        <w:t xml:space="preserve"> This results in a reduced total forecast cost for the Watson pressure limiting station. </w:t>
      </w:r>
    </w:p>
    <w:p w:rsidR="008365C1" w:rsidRDefault="003E778D" w:rsidP="00E834E1">
      <w:pPr>
        <w:pStyle w:val="HeadingBoldItalic"/>
        <w:keepNext/>
      </w:pPr>
      <w:r>
        <w:t>ACT facilities compliance program</w:t>
      </w:r>
    </w:p>
    <w:p w:rsidR="002C437F" w:rsidRDefault="003D2DA2" w:rsidP="00F36252">
      <w:r>
        <w:t xml:space="preserve">ActewAGL proposed total forecast capex of $1.4 million (2015–16, </w:t>
      </w:r>
      <w:proofErr w:type="spellStart"/>
      <w:r>
        <w:t>unescalated</w:t>
      </w:r>
      <w:proofErr w:type="spellEnd"/>
      <w:r>
        <w:t>)</w:t>
      </w:r>
      <w:r>
        <w:rPr>
          <w:rStyle w:val="FootnoteReference"/>
        </w:rPr>
        <w:footnoteReference w:id="104"/>
      </w:r>
      <w:r>
        <w:t xml:space="preserve"> to address these non–conformances.</w:t>
      </w:r>
      <w:r w:rsidR="002D35AE" w:rsidRPr="00B765B2">
        <w:rPr>
          <w:rStyle w:val="FootnoteReference"/>
        </w:rPr>
        <w:footnoteReference w:id="105"/>
      </w:r>
      <w:r>
        <w:t xml:space="preserve"> </w:t>
      </w:r>
    </w:p>
    <w:p w:rsidR="00814F78" w:rsidRDefault="00814F78" w:rsidP="00F36252">
      <w:r>
        <w:t xml:space="preserve">In our view, instances of non-conformance on another gas distribution system do not establish the case for </w:t>
      </w:r>
      <w:proofErr w:type="spellStart"/>
      <w:r>
        <w:t>ActewAGL’s</w:t>
      </w:r>
      <w:proofErr w:type="spellEnd"/>
      <w:r>
        <w:t xml:space="preserve"> proposal. This is consistent with </w:t>
      </w:r>
      <w:proofErr w:type="spellStart"/>
      <w:r>
        <w:t>Sleeman</w:t>
      </w:r>
      <w:proofErr w:type="spellEnd"/>
      <w:r>
        <w:t xml:space="preserve"> Consulting’s view</w:t>
      </w:r>
      <w:r w:rsidRPr="004C658F">
        <w:t xml:space="preserve"> </w:t>
      </w:r>
      <w:r>
        <w:t>that it would be appropriate to review existing facilities documentation and undertake preliminary site reviews before committing to a comprehensive programme of upgrade works.</w:t>
      </w:r>
      <w:r w:rsidRPr="00814F78">
        <w:rPr>
          <w:rStyle w:val="FootnoteReference"/>
        </w:rPr>
        <w:t xml:space="preserve"> </w:t>
      </w:r>
      <w:r>
        <w:rPr>
          <w:rStyle w:val="FootnoteReference"/>
        </w:rPr>
        <w:footnoteReference w:id="106"/>
      </w:r>
    </w:p>
    <w:p w:rsidR="003F22AB" w:rsidRDefault="00647EDE" w:rsidP="00F36252">
      <w:proofErr w:type="spellStart"/>
      <w:r>
        <w:t>Sleeman</w:t>
      </w:r>
      <w:proofErr w:type="spellEnd"/>
      <w:r w:rsidR="002C437F">
        <w:t xml:space="preserve"> Consulting also noted that major works are separately proposed for the </w:t>
      </w:r>
      <w:proofErr w:type="spellStart"/>
      <w:r w:rsidR="002C437F">
        <w:t>Hoskinstown</w:t>
      </w:r>
      <w:proofErr w:type="spellEnd"/>
      <w:r w:rsidR="002C437F">
        <w:t xml:space="preserve"> CTS and the Fyshwick Trunk Receiving Station. </w:t>
      </w:r>
      <w:r w:rsidR="003F22AB">
        <w:t>If compliance work did prove to be necessary at these locations it would be prudent for the various programs of work to be coordinated.</w:t>
      </w:r>
      <w:r w:rsidR="00662FC0">
        <w:rPr>
          <w:rStyle w:val="FootnoteReference"/>
        </w:rPr>
        <w:footnoteReference w:id="107"/>
      </w:r>
    </w:p>
    <w:p w:rsidR="001D271A" w:rsidRDefault="00814F78" w:rsidP="001D271A">
      <w:r>
        <w:t>Accordingly, ActewAGL has not demonstrated the need for its proposed compliance program. We therefore do not consider the proposed costs for its compliance program are conforming capex that complies with rule 79</w:t>
      </w:r>
      <w:r w:rsidR="001D271A">
        <w:t>.</w:t>
      </w:r>
      <w:r w:rsidR="00BD569F">
        <w:rPr>
          <w:rStyle w:val="FootnoteReference"/>
        </w:rPr>
        <w:footnoteReference w:id="108"/>
      </w:r>
      <w:r w:rsidR="001D271A">
        <w:t xml:space="preserve"> </w:t>
      </w:r>
    </w:p>
    <w:p w:rsidR="00130FED" w:rsidRDefault="00130FED" w:rsidP="00BE45D1">
      <w:pPr>
        <w:pStyle w:val="Heading3"/>
      </w:pPr>
      <w:bookmarkStart w:id="41" w:name="_Ref434836618"/>
      <w:bookmarkStart w:id="42" w:name="_Toc435692219"/>
      <w:r>
        <w:t>Meter renewal</w:t>
      </w:r>
      <w:r w:rsidR="00376E64">
        <w:t xml:space="preserve"> and upgrade</w:t>
      </w:r>
      <w:bookmarkEnd w:id="41"/>
      <w:bookmarkEnd w:id="42"/>
    </w:p>
    <w:p w:rsidR="00130FED" w:rsidRDefault="00376E64" w:rsidP="00130FED">
      <w:r>
        <w:t>Meter renewal and upgrade expenditure relates to the replacement of meters and associated equipment as it reaches the end of its economic life (or is found to be defective). This is to ensure the safety of customers and accurate customer billing.</w:t>
      </w:r>
      <w:r>
        <w:rPr>
          <w:rStyle w:val="FootnoteReference"/>
        </w:rPr>
        <w:footnoteReference w:id="109"/>
      </w:r>
      <w:r>
        <w:t xml:space="preserve"> We are satisfied that meter renewal and upgrade capex complies with r</w:t>
      </w:r>
      <w:r w:rsidR="00965044">
        <w:t>ule</w:t>
      </w:r>
      <w:r>
        <w:t> 79(2</w:t>
      </w:r>
      <w:proofErr w:type="gramStart"/>
      <w:r>
        <w:t>)(</w:t>
      </w:r>
      <w:proofErr w:type="gramEnd"/>
      <w:r>
        <w:t xml:space="preserve">c)(ii) and (iii) of the NGR as it is required to maintain the integrity of gas services and meet the AS4944 regulatory requirements. </w:t>
      </w:r>
    </w:p>
    <w:p w:rsidR="00376E64" w:rsidRDefault="00376E64" w:rsidP="00130FED">
      <w:r>
        <w:t>We have included $</w:t>
      </w:r>
      <w:r w:rsidR="001833EF">
        <w:t>1</w:t>
      </w:r>
      <w:r w:rsidR="00D72D3C">
        <w:t>2.9</w:t>
      </w:r>
      <w:r w:rsidR="00DA0670">
        <w:t> </w:t>
      </w:r>
      <w:r>
        <w:t>million ($20</w:t>
      </w:r>
      <w:r w:rsidR="00DA0670">
        <w:t>15–</w:t>
      </w:r>
      <w:r>
        <w:t xml:space="preserve">16, </w:t>
      </w:r>
      <w:proofErr w:type="spellStart"/>
      <w:r w:rsidR="00DA0670">
        <w:t>unescalated</w:t>
      </w:r>
      <w:proofErr w:type="spellEnd"/>
      <w:r>
        <w:t>) of meter renewal and upgrade expenditure in our alternative capex forecast.</w:t>
      </w:r>
      <w:r w:rsidR="00D72D3C">
        <w:rPr>
          <w:rStyle w:val="FootnoteReference"/>
        </w:rPr>
        <w:footnoteReference w:id="110"/>
      </w:r>
      <w:r>
        <w:t xml:space="preserve"> </w:t>
      </w:r>
      <w:r w:rsidR="0099192A">
        <w:t xml:space="preserve">This is driven by a reduction in the unit rate for hot water meters. </w:t>
      </w:r>
      <w:r>
        <w:t xml:space="preserve">We are not satisfied that </w:t>
      </w:r>
      <w:proofErr w:type="spellStart"/>
      <w:r>
        <w:t>ActewAGL’s</w:t>
      </w:r>
      <w:proofErr w:type="spellEnd"/>
      <w:r>
        <w:t xml:space="preserve"> proposed amount of $</w:t>
      </w:r>
      <w:r w:rsidR="00885107">
        <w:t>13.3</w:t>
      </w:r>
      <w:r>
        <w:t> million ($20</w:t>
      </w:r>
      <w:r w:rsidR="00DA0670">
        <w:t>15–</w:t>
      </w:r>
      <w:r>
        <w:t xml:space="preserve">16, </w:t>
      </w:r>
      <w:proofErr w:type="spellStart"/>
      <w:r w:rsidR="00DA0670">
        <w:t>unescalated</w:t>
      </w:r>
      <w:proofErr w:type="spellEnd"/>
      <w:r>
        <w:t xml:space="preserve">) </w:t>
      </w:r>
      <w:r w:rsidR="004D52A8">
        <w:t xml:space="preserve">is conforming capex </w:t>
      </w:r>
      <w:r>
        <w:t xml:space="preserve">because </w:t>
      </w:r>
      <w:proofErr w:type="spellStart"/>
      <w:r w:rsidR="00EB4912">
        <w:t>ActewAGL’s</w:t>
      </w:r>
      <w:proofErr w:type="spellEnd"/>
      <w:r w:rsidR="00EB4912">
        <w:t xml:space="preserve"> proposed unit rates do not comply with r</w:t>
      </w:r>
      <w:r w:rsidR="00965044">
        <w:t>ule</w:t>
      </w:r>
      <w:r w:rsidR="00EB4912">
        <w:t> 79(1</w:t>
      </w:r>
      <w:proofErr w:type="gramStart"/>
      <w:r w:rsidR="00EB4912">
        <w:t>)(</w:t>
      </w:r>
      <w:proofErr w:type="gramEnd"/>
      <w:r w:rsidR="00EB4912">
        <w:t xml:space="preserve">a) of the NER. </w:t>
      </w:r>
    </w:p>
    <w:p w:rsidR="000156DF" w:rsidRDefault="00EB4912" w:rsidP="00EB4912">
      <w:r>
        <w:t xml:space="preserve">ActewAGL provided its metering capex model which allowed us to also examine the proposed unit costs of different meter types. </w:t>
      </w:r>
      <w:r w:rsidR="0099192A">
        <w:t xml:space="preserve">As discussed earlier in this attachment, </w:t>
      </w:r>
      <w:r w:rsidR="000156DF">
        <w:t xml:space="preserve">we consider that ActewAGL did not seek to choose the most cost effective and reliable hot water meters. We have therefore reduced </w:t>
      </w:r>
      <w:proofErr w:type="spellStart"/>
      <w:r w:rsidR="000156DF">
        <w:t>ActewAGL’s</w:t>
      </w:r>
      <w:proofErr w:type="spellEnd"/>
      <w:r w:rsidR="000156DF">
        <w:t xml:space="preserve"> hot water meter unit rate as we are not satisfied that this is a cost that would be incurred by a prudent operator acting efficiently.</w:t>
      </w:r>
      <w:r w:rsidR="002B6514">
        <w:rPr>
          <w:rStyle w:val="FootnoteReference"/>
        </w:rPr>
        <w:footnoteReference w:id="111"/>
      </w:r>
      <w:r w:rsidR="000156DF">
        <w:t xml:space="preserve"> </w:t>
      </w:r>
    </w:p>
    <w:p w:rsidR="00F64D36" w:rsidRDefault="00F64D36" w:rsidP="00BE45D1">
      <w:pPr>
        <w:pStyle w:val="Heading3"/>
      </w:pPr>
      <w:bookmarkStart w:id="43" w:name="_Toc435692220"/>
      <w:r>
        <w:t>Non–system capex</w:t>
      </w:r>
      <w:bookmarkEnd w:id="43"/>
    </w:p>
    <w:p w:rsidR="008D7343" w:rsidRDefault="00F64D36" w:rsidP="00F64D36">
      <w:pPr>
        <w:rPr>
          <w:rStyle w:val="AERbody"/>
        </w:rPr>
      </w:pPr>
      <w:r>
        <w:rPr>
          <w:rStyle w:val="AERbody"/>
        </w:rPr>
        <w:t>ActewAGL proposed $0.5 million ($2015</w:t>
      </w:r>
      <w:r w:rsidR="008157B3">
        <w:rPr>
          <w:rStyle w:val="AERbody"/>
        </w:rPr>
        <w:t>–</w:t>
      </w:r>
      <w:r>
        <w:rPr>
          <w:rStyle w:val="AERbody"/>
        </w:rPr>
        <w:t xml:space="preserve">16, </w:t>
      </w:r>
      <w:proofErr w:type="spellStart"/>
      <w:r w:rsidR="008157B3">
        <w:rPr>
          <w:rStyle w:val="AERbody"/>
        </w:rPr>
        <w:t>unescalated</w:t>
      </w:r>
      <w:proofErr w:type="spellEnd"/>
      <w:r>
        <w:rPr>
          <w:rStyle w:val="AERbody"/>
        </w:rPr>
        <w:t>) for non-system capex.</w:t>
      </w:r>
      <w:r>
        <w:rPr>
          <w:rStyle w:val="FootnoteReference"/>
        </w:rPr>
        <w:footnoteReference w:id="112"/>
      </w:r>
      <w:r>
        <w:rPr>
          <w:rStyle w:val="AERbody"/>
        </w:rPr>
        <w:t xml:space="preserve"> </w:t>
      </w:r>
      <w:r w:rsidR="00BE45D1">
        <w:rPr>
          <w:rStyle w:val="AERbody"/>
        </w:rPr>
        <w:t xml:space="preserve">Upon review of </w:t>
      </w:r>
      <w:proofErr w:type="spellStart"/>
      <w:r w:rsidR="00BE45D1">
        <w:rPr>
          <w:rStyle w:val="AERbody"/>
        </w:rPr>
        <w:t>ActewAGL’s</w:t>
      </w:r>
      <w:proofErr w:type="spellEnd"/>
      <w:r w:rsidR="00BE45D1">
        <w:rPr>
          <w:rStyle w:val="AERbody"/>
        </w:rPr>
        <w:t xml:space="preserve"> historic non-system capex and business case</w:t>
      </w:r>
      <w:r w:rsidR="00BE45D1">
        <w:rPr>
          <w:rStyle w:val="FootnoteReference"/>
        </w:rPr>
        <w:footnoteReference w:id="113"/>
      </w:r>
      <w:r w:rsidR="00BE45D1">
        <w:rPr>
          <w:rStyle w:val="AERbody"/>
        </w:rPr>
        <w:t xml:space="preserve"> for this project, w</w:t>
      </w:r>
      <w:r>
        <w:rPr>
          <w:rStyle w:val="AERbody"/>
        </w:rPr>
        <w:t xml:space="preserve">e accept </w:t>
      </w:r>
      <w:proofErr w:type="spellStart"/>
      <w:r>
        <w:rPr>
          <w:rStyle w:val="AERbody"/>
        </w:rPr>
        <w:t>ActewAGL’s</w:t>
      </w:r>
      <w:proofErr w:type="spellEnd"/>
      <w:r>
        <w:rPr>
          <w:rStyle w:val="AERbody"/>
        </w:rPr>
        <w:t xml:space="preserve"> proposed non-system capex forecast and have included it in our alternative capex forecast. </w:t>
      </w:r>
      <w:r w:rsidR="00AF0213">
        <w:rPr>
          <w:rStyle w:val="AERbody"/>
        </w:rPr>
        <w:t xml:space="preserve">The cost estimates for this project are based on estimates for the main system components gathered by </w:t>
      </w:r>
      <w:proofErr w:type="spellStart"/>
      <w:r w:rsidR="00AF0213">
        <w:rPr>
          <w:rStyle w:val="AERbody"/>
        </w:rPr>
        <w:t>ActewAGL’s</w:t>
      </w:r>
      <w:proofErr w:type="spellEnd"/>
      <w:r w:rsidR="00AF0213">
        <w:rPr>
          <w:rStyle w:val="AERbody"/>
        </w:rPr>
        <w:t xml:space="preserve"> GIS/IT specialists.</w:t>
      </w:r>
      <w:r w:rsidR="00AF0213">
        <w:rPr>
          <w:rStyle w:val="FootnoteReference"/>
        </w:rPr>
        <w:footnoteReference w:id="114"/>
      </w:r>
      <w:r w:rsidR="00AF0213">
        <w:rPr>
          <w:rStyle w:val="AERbody"/>
        </w:rPr>
        <w:t xml:space="preserve"> </w:t>
      </w:r>
      <w:r w:rsidR="008D7343">
        <w:rPr>
          <w:rStyle w:val="AERbody"/>
        </w:rPr>
        <w:t xml:space="preserve">We are satisfied that </w:t>
      </w:r>
      <w:proofErr w:type="spellStart"/>
      <w:r w:rsidR="008D7343">
        <w:rPr>
          <w:rStyle w:val="AERbody"/>
        </w:rPr>
        <w:t>ActewAGL’s</w:t>
      </w:r>
      <w:proofErr w:type="spellEnd"/>
      <w:r w:rsidR="008D7343">
        <w:rPr>
          <w:rStyle w:val="AERbody"/>
        </w:rPr>
        <w:t xml:space="preserve"> estimate of costs has been arrived at on a reasonable basis, and </w:t>
      </w:r>
      <w:r w:rsidR="00BE45D1">
        <w:rPr>
          <w:rStyle w:val="AERbody"/>
        </w:rPr>
        <w:t>is consistent with rule 79 of the NGR</w:t>
      </w:r>
      <w:r w:rsidR="00BE45D1">
        <w:rPr>
          <w:rStyle w:val="FootnoteReference"/>
        </w:rPr>
        <w:footnoteReference w:id="115"/>
      </w:r>
      <w:r w:rsidR="00BE45D1">
        <w:rPr>
          <w:rStyle w:val="AERbody"/>
        </w:rPr>
        <w:t xml:space="preserve"> </w:t>
      </w:r>
      <w:r w:rsidR="00AF0213">
        <w:rPr>
          <w:rStyle w:val="AERbody"/>
        </w:rPr>
        <w:t xml:space="preserve">We are also satisfied that this capex is necessary to maintain the integrity of services and to improve the safety of services, and </w:t>
      </w:r>
      <w:r w:rsidR="008D7343">
        <w:rPr>
          <w:rStyle w:val="AERbody"/>
        </w:rPr>
        <w:t>is</w:t>
      </w:r>
      <w:r w:rsidR="00AF0213">
        <w:rPr>
          <w:rStyle w:val="AERbody"/>
        </w:rPr>
        <w:t xml:space="preserve"> therefore</w:t>
      </w:r>
      <w:r w:rsidR="008D7343">
        <w:rPr>
          <w:rStyle w:val="AERbody"/>
        </w:rPr>
        <w:t xml:space="preserve"> justified under rule 79(2</w:t>
      </w:r>
      <w:proofErr w:type="gramStart"/>
      <w:r w:rsidR="008D7343">
        <w:rPr>
          <w:rStyle w:val="AERbody"/>
        </w:rPr>
        <w:t>)(</w:t>
      </w:r>
      <w:proofErr w:type="gramEnd"/>
      <w:r w:rsidR="008D7343">
        <w:rPr>
          <w:rStyle w:val="AERbody"/>
        </w:rPr>
        <w:t>c)(</w:t>
      </w:r>
      <w:proofErr w:type="spellStart"/>
      <w:r w:rsidR="008D7343">
        <w:rPr>
          <w:rStyle w:val="AERbody"/>
        </w:rPr>
        <w:t>i</w:t>
      </w:r>
      <w:proofErr w:type="spellEnd"/>
      <w:r w:rsidR="008D7343">
        <w:rPr>
          <w:rStyle w:val="AERbody"/>
        </w:rPr>
        <w:t xml:space="preserve">) and (ii) of the NGR. </w:t>
      </w:r>
    </w:p>
    <w:p w:rsidR="00F64D36" w:rsidRDefault="00F64D36" w:rsidP="00F64D36">
      <w:pPr>
        <w:rPr>
          <w:rStyle w:val="AERbody"/>
        </w:rPr>
      </w:pPr>
      <w:proofErr w:type="spellStart"/>
      <w:r>
        <w:rPr>
          <w:rStyle w:val="AERbody"/>
        </w:rPr>
        <w:t>ActewAGL’s</w:t>
      </w:r>
      <w:proofErr w:type="spellEnd"/>
      <w:r>
        <w:rPr>
          <w:rStyle w:val="AERbody"/>
        </w:rPr>
        <w:t xml:space="preserve"> non-system capex forecast consists of one project to develop functionality in its geosp</w:t>
      </w:r>
      <w:r w:rsidR="00BE45D1">
        <w:rPr>
          <w:rStyle w:val="AERbody"/>
        </w:rPr>
        <w:t>atial information system (GIS through the connection of data to mobile devices and to assist in data access, transfer and alignment between ActewAGL and JAM</w:t>
      </w:r>
      <w:r w:rsidR="00AF0213">
        <w:rPr>
          <w:rStyle w:val="AERbody"/>
        </w:rPr>
        <w:t>)</w:t>
      </w:r>
      <w:r w:rsidR="00BE45D1">
        <w:rPr>
          <w:rStyle w:val="AERbody"/>
        </w:rPr>
        <w:t>.</w:t>
      </w:r>
      <w:r w:rsidR="00BE45D1">
        <w:rPr>
          <w:rStyle w:val="FootnoteReference"/>
        </w:rPr>
        <w:footnoteReference w:id="116"/>
      </w:r>
    </w:p>
    <w:p w:rsidR="008E2CC9" w:rsidRDefault="008E2CC9" w:rsidP="00BE45D1">
      <w:pPr>
        <w:pStyle w:val="Heading3"/>
      </w:pPr>
      <w:bookmarkStart w:id="44" w:name="_Toc435692221"/>
      <w:r>
        <w:t>Corporate overheads</w:t>
      </w:r>
      <w:bookmarkEnd w:id="44"/>
    </w:p>
    <w:p w:rsidR="00814F78" w:rsidRDefault="00BD3708" w:rsidP="008E2CC9">
      <w:r>
        <w:t xml:space="preserve">Overheads are costs that are not directly attributable to the </w:t>
      </w:r>
      <w:r w:rsidR="00BD569F">
        <w:t xml:space="preserve">output of </w:t>
      </w:r>
      <w:r>
        <w:t xml:space="preserve">distribution businesses but are necessary to support </w:t>
      </w:r>
      <w:r w:rsidR="00BD569F">
        <w:t xml:space="preserve">their </w:t>
      </w:r>
      <w:r>
        <w:t xml:space="preserve">operations. </w:t>
      </w:r>
    </w:p>
    <w:p w:rsidR="008E2CC9" w:rsidRDefault="00BD3708" w:rsidP="008E2CC9">
      <w:r>
        <w:t xml:space="preserve">ActewAGL has </w:t>
      </w:r>
      <w:r w:rsidR="00AD2733">
        <w:t xml:space="preserve">proposed a </w:t>
      </w:r>
      <w:r>
        <w:t>forecast overhead allocation of 6 per cent across its forecast capital program.</w:t>
      </w:r>
      <w:r w:rsidRPr="004C0E60">
        <w:rPr>
          <w:sz w:val="16"/>
          <w:vertAlign w:val="superscript"/>
        </w:rPr>
        <w:footnoteReference w:id="117"/>
      </w:r>
      <w:r>
        <w:t xml:space="preserve"> Based on the information before us</w:t>
      </w:r>
      <w:r w:rsidR="00BE45D1">
        <w:t xml:space="preserve">, </w:t>
      </w:r>
      <w:r>
        <w:t xml:space="preserve">we are satisfied that </w:t>
      </w:r>
      <w:proofErr w:type="spellStart"/>
      <w:r>
        <w:t>ActewAGL’s</w:t>
      </w:r>
      <w:proofErr w:type="spellEnd"/>
      <w:r>
        <w:t xml:space="preserve"> forecast overhead allocation rate of 6 per cent is prudent and efficient</w:t>
      </w:r>
      <w:r w:rsidR="00BE45D1">
        <w:t>.</w:t>
      </w:r>
      <w:r>
        <w:rPr>
          <w:rStyle w:val="FootnoteReference"/>
        </w:rPr>
        <w:footnoteReference w:id="118"/>
      </w:r>
      <w:r w:rsidR="00BE45D1">
        <w:t xml:space="preserve"> Applying this rate to our alternative capex estimate </w:t>
      </w:r>
      <w:r w:rsidR="00AD2733">
        <w:t>results in an overhead amount of $4.</w:t>
      </w:r>
      <w:r w:rsidR="00885107">
        <w:t xml:space="preserve">6 </w:t>
      </w:r>
      <w:r w:rsidR="00AD2733">
        <w:t xml:space="preserve">million </w:t>
      </w:r>
      <w:r w:rsidR="00AD2733">
        <w:rPr>
          <w:rStyle w:val="AERbody"/>
        </w:rPr>
        <w:t xml:space="preserve">($2015–16, </w:t>
      </w:r>
      <w:proofErr w:type="spellStart"/>
      <w:r w:rsidR="00AD2733">
        <w:rPr>
          <w:rStyle w:val="AERbody"/>
        </w:rPr>
        <w:t>unescalated</w:t>
      </w:r>
      <w:proofErr w:type="spellEnd"/>
      <w:r w:rsidR="00AD2733">
        <w:rPr>
          <w:rStyle w:val="AERbody"/>
        </w:rPr>
        <w:t>)</w:t>
      </w:r>
      <w:r w:rsidR="00AD2733">
        <w:t>, lower than ActewAGL estimate of $6</w:t>
      </w:r>
      <w:r w:rsidR="00885107">
        <w:t>.6</w:t>
      </w:r>
      <w:r w:rsidR="00AD2733">
        <w:t xml:space="preserve"> million </w:t>
      </w:r>
      <w:r w:rsidR="00AD2733">
        <w:rPr>
          <w:rStyle w:val="AERbody"/>
        </w:rPr>
        <w:t xml:space="preserve">($2015–16, </w:t>
      </w:r>
      <w:proofErr w:type="spellStart"/>
      <w:r w:rsidR="00AD2733">
        <w:rPr>
          <w:rStyle w:val="AERbody"/>
        </w:rPr>
        <w:t>unescalated</w:t>
      </w:r>
      <w:proofErr w:type="spellEnd"/>
      <w:r w:rsidR="00AD2733">
        <w:rPr>
          <w:rStyle w:val="AERbody"/>
        </w:rPr>
        <w:t>)</w:t>
      </w:r>
      <w:r w:rsidR="00AD2733">
        <w:t>.</w:t>
      </w:r>
    </w:p>
    <w:p w:rsidR="00EB4912" w:rsidRDefault="00A31984" w:rsidP="00A31984">
      <w:pPr>
        <w:pStyle w:val="Heading3"/>
      </w:pPr>
      <w:bookmarkStart w:id="45" w:name="_Toc435692222"/>
      <w:r>
        <w:t>Labour and material cost escalation</w:t>
      </w:r>
      <w:bookmarkEnd w:id="45"/>
      <w:r>
        <w:t xml:space="preserve"> </w:t>
      </w:r>
    </w:p>
    <w:p w:rsidR="00C81B75" w:rsidRDefault="00C5699E" w:rsidP="00C5699E">
      <w:pPr>
        <w:numPr>
          <w:ilvl w:val="0"/>
          <w:numId w:val="24"/>
        </w:numPr>
      </w:pPr>
      <w:r>
        <w:t xml:space="preserve">ActewAGL </w:t>
      </w:r>
      <w:r w:rsidR="008D47D9">
        <w:t xml:space="preserve">has </w:t>
      </w:r>
      <w:r>
        <w:t xml:space="preserve">applied labour and material cost escalation to its capex forecasts. We do not consider that </w:t>
      </w:r>
      <w:proofErr w:type="spellStart"/>
      <w:r>
        <w:t>ActewAGL’s</w:t>
      </w:r>
      <w:proofErr w:type="spellEnd"/>
      <w:r>
        <w:t xml:space="preserve"> proposed labour cost escalation is the best estimate in the circumstances. Our reason</w:t>
      </w:r>
      <w:r w:rsidR="008512BE">
        <w:t>s</w:t>
      </w:r>
      <w:r>
        <w:t xml:space="preserve"> for this</w:t>
      </w:r>
      <w:r w:rsidR="008D47D9">
        <w:t xml:space="preserve"> are</w:t>
      </w:r>
      <w:r>
        <w:t xml:space="preserve"> </w:t>
      </w:r>
      <w:r w:rsidR="00814F78">
        <w:t xml:space="preserve">set out </w:t>
      </w:r>
      <w:r>
        <w:t xml:space="preserve">in Attachment 7. </w:t>
      </w:r>
      <w:r w:rsidR="00C81B75">
        <w:t>We have</w:t>
      </w:r>
      <w:r w:rsidR="00C81B75" w:rsidRPr="002D30B0">
        <w:t xml:space="preserve"> </w:t>
      </w:r>
      <w:r w:rsidR="00C81B75">
        <w:t>substitut</w:t>
      </w:r>
      <w:r w:rsidR="00C81B75" w:rsidRPr="002D30B0">
        <w:t xml:space="preserve">ed </w:t>
      </w:r>
      <w:r w:rsidR="00C81B75">
        <w:t xml:space="preserve">our estimate of </w:t>
      </w:r>
      <w:r w:rsidR="00C81B75" w:rsidRPr="002D30B0">
        <w:t xml:space="preserve">the labour and material escalation </w:t>
      </w:r>
      <w:r w:rsidR="00C81B75">
        <w:t xml:space="preserve">in place of </w:t>
      </w:r>
      <w:r w:rsidR="00C81B75" w:rsidRPr="002D30B0">
        <w:t xml:space="preserve">that proposed by </w:t>
      </w:r>
      <w:r w:rsidR="00C81B75">
        <w:t>ActewAGL</w:t>
      </w:r>
      <w:r w:rsidR="00C81B75" w:rsidRPr="002D30B0">
        <w:t>.</w:t>
      </w:r>
      <w:r>
        <w:t xml:space="preserve"> </w:t>
      </w:r>
    </w:p>
    <w:p w:rsidR="00376E64" w:rsidRDefault="00C81B75" w:rsidP="00130FED">
      <w:r>
        <w:t xml:space="preserve">With respect to materials escalation, we have revised </w:t>
      </w:r>
      <w:proofErr w:type="spellStart"/>
      <w:r>
        <w:t>ActewAGL’s</w:t>
      </w:r>
      <w:proofErr w:type="spellEnd"/>
      <w:r>
        <w:t xml:space="preserve"> proposed m</w:t>
      </w:r>
      <w:r w:rsidRPr="002D30B0">
        <w:t xml:space="preserve">aterials escalation to </w:t>
      </w:r>
      <w:r w:rsidR="00814F78">
        <w:t>zero</w:t>
      </w:r>
      <w:r w:rsidRPr="002D30B0">
        <w:t>.</w:t>
      </w:r>
      <w:r>
        <w:t xml:space="preserve"> This is discussed in the capex attachment at appendix </w:t>
      </w:r>
      <w:r w:rsidR="0061777C">
        <w:fldChar w:fldCharType="begin"/>
      </w:r>
      <w:r w:rsidR="0061777C">
        <w:instrText xml:space="preserve"> REF _Ref435522380 \r \h </w:instrText>
      </w:r>
      <w:r w:rsidR="0061777C">
        <w:fldChar w:fldCharType="separate"/>
      </w:r>
      <w:r w:rsidR="0061777C">
        <w:t>B</w:t>
      </w:r>
      <w:r w:rsidR="0061777C">
        <w:fldChar w:fldCharType="end"/>
      </w:r>
      <w:r w:rsidR="00A01676">
        <w:t xml:space="preserve"> </w:t>
      </w:r>
      <w:r>
        <w:t>of this draft decision.</w:t>
      </w:r>
    </w:p>
    <w:p w:rsidR="005D64A3" w:rsidRDefault="005D64A3" w:rsidP="005D64A3">
      <w:pPr>
        <w:pStyle w:val="Heading2"/>
      </w:pPr>
      <w:bookmarkStart w:id="46" w:name="_Toc435692223"/>
      <w:r>
        <w:t>Revisions</w:t>
      </w:r>
      <w:bookmarkEnd w:id="46"/>
    </w:p>
    <w:p w:rsidR="005D64A3" w:rsidRDefault="005D64A3" w:rsidP="005D64A3">
      <w:r>
        <w:t>We require the following revisions to make the access arrangement proposal acceptable:</w:t>
      </w:r>
    </w:p>
    <w:p w:rsidR="005D64A3" w:rsidRDefault="005D64A3" w:rsidP="005D64A3">
      <w:pPr>
        <w:pStyle w:val="AERrevisionbox"/>
      </w:pPr>
      <w:r>
        <w:t xml:space="preserve">Revision 6.1: Make all necessary amendments to reflect our draft decision on conforming capex for 2016–21, as set out in </w:t>
      </w:r>
      <w:r>
        <w:fldChar w:fldCharType="begin"/>
      </w:r>
      <w:r>
        <w:instrText xml:space="preserve"> REF _Ref435692135 \h  \* MERGEFORMAT </w:instrText>
      </w:r>
      <w:r>
        <w:fldChar w:fldCharType="separate"/>
      </w:r>
      <w:r>
        <w:t xml:space="preserve">Table </w:t>
      </w:r>
      <w:r>
        <w:rPr>
          <w:noProof/>
        </w:rPr>
        <w:t>6</w:t>
      </w:r>
      <w:r>
        <w:t>.</w:t>
      </w:r>
      <w:r>
        <w:rPr>
          <w:noProof/>
        </w:rPr>
        <w:t>2</w:t>
      </w:r>
      <w:r>
        <w:fldChar w:fldCharType="end"/>
      </w:r>
      <w:r>
        <w:t>.</w:t>
      </w:r>
    </w:p>
    <w:p w:rsidR="00B61EDF" w:rsidRDefault="00B61EDF">
      <w:pPr>
        <w:spacing w:line="240" w:lineRule="auto"/>
      </w:pPr>
      <w:r>
        <w:br w:type="page"/>
      </w:r>
    </w:p>
    <w:p w:rsidR="004C0E60" w:rsidRPr="004C0E60" w:rsidRDefault="004C0E60" w:rsidP="0032574A">
      <w:pPr>
        <w:pStyle w:val="Heading7"/>
      </w:pPr>
      <w:bookmarkStart w:id="47" w:name="_Ref432848719"/>
      <w:bookmarkStart w:id="48" w:name="_Toc435692224"/>
      <w:r w:rsidRPr="004C0E60">
        <w:t>Real material cost escalation</w:t>
      </w:r>
      <w:bookmarkEnd w:id="47"/>
      <w:bookmarkEnd w:id="48"/>
    </w:p>
    <w:p w:rsidR="004C0E60" w:rsidRPr="004C0E60" w:rsidRDefault="004C0E60" w:rsidP="0032574A">
      <w:r w:rsidRPr="004C0E60">
        <w:t xml:space="preserve">Real material cost escalation is a method for accounting for expected changes in the costs of key material inputs to forecast capex. The materials input cost model submitted by ActewAGL includes forecasts for changes in the prices of commodities such as aluminium, brass, concrete, plastic and steel, rather than the prices of physical inputs themselves (e.g., pipes and meters) which are the inputs directly sourced by ActewAGL in the provision of its network services. </w:t>
      </w:r>
    </w:p>
    <w:p w:rsidR="004C0E60" w:rsidRPr="004C0E60" w:rsidRDefault="004C0E60" w:rsidP="0032574A">
      <w:pPr>
        <w:pStyle w:val="Heading8"/>
      </w:pPr>
      <w:bookmarkStart w:id="49" w:name="_Toc435692225"/>
      <w:r w:rsidRPr="004C0E60">
        <w:t>Position</w:t>
      </w:r>
      <w:bookmarkEnd w:id="49"/>
    </w:p>
    <w:p w:rsidR="004C0E60" w:rsidRPr="004C0E60" w:rsidRDefault="004C0E60" w:rsidP="0032574A">
      <w:r w:rsidRPr="004C0E60">
        <w:t xml:space="preserve">We are not satisfied that </w:t>
      </w:r>
      <w:proofErr w:type="spellStart"/>
      <w:r w:rsidRPr="004C0E60">
        <w:t>ActewAGL’s</w:t>
      </w:r>
      <w:proofErr w:type="spellEnd"/>
      <w:r w:rsidRPr="004C0E60">
        <w:t xml:space="preserve"> proposed real material cost escalators (leading to cost increases above CPI) are arrived at on a reasonable basis, and are the best forecast possible in the circumstances.</w:t>
      </w:r>
      <w:r w:rsidRPr="004C0E60">
        <w:rPr>
          <w:sz w:val="16"/>
          <w:vertAlign w:val="superscript"/>
        </w:rPr>
        <w:footnoteReference w:id="119"/>
      </w:r>
      <w:r w:rsidRPr="004C0E60">
        <w:t xml:space="preserve"> </w:t>
      </w:r>
      <w:r w:rsidR="00BD569F">
        <w:t xml:space="preserve">In our view, the </w:t>
      </w:r>
      <w:r w:rsidRPr="004C0E60">
        <w:t xml:space="preserve">real </w:t>
      </w:r>
      <w:r w:rsidR="00BE4D71">
        <w:t xml:space="preserve">material </w:t>
      </w:r>
      <w:r w:rsidRPr="004C0E60">
        <w:t>cost escalation</w:t>
      </w:r>
      <w:r w:rsidR="00BE4D71">
        <w:t xml:space="preserve"> should be </w:t>
      </w:r>
      <w:r w:rsidR="008D47D9">
        <w:t>no real cost escalation</w:t>
      </w:r>
      <w:r w:rsidR="00BE4D71">
        <w:t>.</w:t>
      </w:r>
      <w:r w:rsidRPr="004C0E60">
        <w:t xml:space="preserve"> We have arrived at this conclusion on the basis that:</w:t>
      </w:r>
    </w:p>
    <w:p w:rsidR="004C0E60" w:rsidRPr="00E434C3" w:rsidRDefault="004C0E60" w:rsidP="00E434C3">
      <w:pPr>
        <w:pStyle w:val="AERbulletlistfirststyle"/>
      </w:pPr>
      <w:r w:rsidRPr="00E434C3">
        <w:t>the degree of the potential inaccuracy of commodities forecasts is such that we consider that zero per cent real cost escalation is likely to provide a more reliable estimation for the price of input materials used by ActewAGL to provide network services</w:t>
      </w:r>
    </w:p>
    <w:p w:rsidR="004C0E60" w:rsidRPr="00E434C3" w:rsidRDefault="008D47D9" w:rsidP="00E434C3">
      <w:pPr>
        <w:pStyle w:val="AERbulletlistfirststyle"/>
      </w:pPr>
      <w:r>
        <w:t xml:space="preserve">ActewAGL has not provided sufficient </w:t>
      </w:r>
      <w:r w:rsidR="004C0E60" w:rsidRPr="00E434C3">
        <w:t xml:space="preserve">evidence to support how accurately materials escalation forecasts reasonably reflect changes in prices paid by ActewAGL for physical assets in the past and by which we can assess the reliability and accuracy of its capex forecast model. Without this supporting evidence, it is difficult to assess the accuracy and reliability of </w:t>
      </w:r>
      <w:proofErr w:type="spellStart"/>
      <w:r w:rsidR="004C0E60" w:rsidRPr="00E434C3">
        <w:t>ActewAGL’s</w:t>
      </w:r>
      <w:proofErr w:type="spellEnd"/>
      <w:r w:rsidR="004C0E60" w:rsidRPr="00E434C3">
        <w:t xml:space="preserve"> capex forecast model as a predictor of the prices of the assets used by ActewAGL to provide network services, and</w:t>
      </w:r>
    </w:p>
    <w:p w:rsidR="004C0E60" w:rsidRPr="00E434C3" w:rsidRDefault="004C0E60" w:rsidP="00E434C3">
      <w:pPr>
        <w:pStyle w:val="AERbulletlistfirststyle"/>
      </w:pPr>
      <w:r w:rsidRPr="00E434C3">
        <w:t xml:space="preserve">ActewAGL </w:t>
      </w:r>
      <w:r w:rsidR="00BE4D71">
        <w:t>did</w:t>
      </w:r>
      <w:r w:rsidRPr="00E434C3">
        <w:t xml:space="preserve"> not provide any supporting evidence to show that it has considered whether there may be some material exogenous factors that impact on the cost of physical inputs that are not captured by the capex forecast model used by ActewAGL.</w:t>
      </w:r>
    </w:p>
    <w:p w:rsidR="00AD2733" w:rsidRPr="004C0E60" w:rsidRDefault="004C0E60" w:rsidP="00E434C3">
      <w:r w:rsidRPr="004C0E60">
        <w:t>Our approach to real materials cost escalation discussed above does not affect the proposed application of labour escalators by ActewAGL which apply to its capital expenditure. We consider that labour cost escalation as proposed by ActewAGL is likely to more reasonably reflect a realistic expectation of the cost inputs required to achieve the capex criteria given these are direct inputs into the cost of providing network services.</w:t>
      </w:r>
      <w:r w:rsidRPr="004C0E60">
        <w:rPr>
          <w:sz w:val="16"/>
          <w:vertAlign w:val="superscript"/>
        </w:rPr>
        <w:footnoteReference w:id="120"/>
      </w:r>
      <w:r w:rsidRPr="004C0E60">
        <w:t xml:space="preserve"> </w:t>
      </w:r>
    </w:p>
    <w:p w:rsidR="004C0E60" w:rsidRPr="004C0E60" w:rsidRDefault="004C0E60" w:rsidP="00E834E1">
      <w:pPr>
        <w:pStyle w:val="Heading8"/>
        <w:keepNext/>
      </w:pPr>
      <w:bookmarkStart w:id="50" w:name="_Toc435692226"/>
      <w:proofErr w:type="spellStart"/>
      <w:r w:rsidRPr="004C0E60">
        <w:t>ActewAGL’s</w:t>
      </w:r>
      <w:proofErr w:type="spellEnd"/>
      <w:r w:rsidRPr="004C0E60">
        <w:t xml:space="preserve"> proposal</w:t>
      </w:r>
      <w:bookmarkEnd w:id="50"/>
    </w:p>
    <w:p w:rsidR="004C0E60" w:rsidRPr="004C0E60" w:rsidRDefault="004C0E60" w:rsidP="004C0E60">
      <w:r w:rsidRPr="004C0E60">
        <w:t>ActewAGL applied material and labour cost escalators to various asset classes in forecasting its capex for the 2015</w:t>
      </w:r>
      <w:r w:rsidR="00740F26">
        <w:t>–</w:t>
      </w:r>
      <w:r w:rsidRPr="004C0E60">
        <w:t>20 period.</w:t>
      </w:r>
      <w:r w:rsidRPr="004C0E60">
        <w:rPr>
          <w:sz w:val="16"/>
          <w:vertAlign w:val="superscript"/>
        </w:rPr>
        <w:footnoteReference w:id="121"/>
      </w:r>
      <w:r w:rsidRPr="004C0E60">
        <w:t xml:space="preserve"> Real cost escalation indices for the following material cost drivers were calculated for ActewAGL by BIS Shrapnel</w:t>
      </w:r>
      <w:r w:rsidRPr="004C0E60">
        <w:rPr>
          <w:sz w:val="16"/>
          <w:vertAlign w:val="superscript"/>
        </w:rPr>
        <w:footnoteReference w:id="122"/>
      </w:r>
      <w:r w:rsidRPr="004C0E60">
        <w:t xml:space="preserve">: </w:t>
      </w:r>
    </w:p>
    <w:p w:rsidR="004C0E60" w:rsidRPr="00E434C3" w:rsidRDefault="004C0E60" w:rsidP="00E434C3">
      <w:pPr>
        <w:pStyle w:val="AERbulletlistfirststyle"/>
      </w:pPr>
      <w:r w:rsidRPr="00E434C3">
        <w:t xml:space="preserve">aluminium </w:t>
      </w:r>
    </w:p>
    <w:p w:rsidR="004C0E60" w:rsidRPr="00E434C3" w:rsidRDefault="004C0E60" w:rsidP="00E434C3">
      <w:pPr>
        <w:pStyle w:val="AERbulletlistfirststyle"/>
      </w:pPr>
      <w:r w:rsidRPr="00E434C3">
        <w:t xml:space="preserve">brass </w:t>
      </w:r>
    </w:p>
    <w:p w:rsidR="004C0E60" w:rsidRPr="00E434C3" w:rsidRDefault="004C0E60" w:rsidP="00E434C3">
      <w:pPr>
        <w:pStyle w:val="AERbulletlistfirststyle"/>
      </w:pPr>
      <w:r w:rsidRPr="00E434C3">
        <w:t xml:space="preserve">plastic </w:t>
      </w:r>
    </w:p>
    <w:p w:rsidR="004C0E60" w:rsidRPr="00E434C3" w:rsidRDefault="004C0E60" w:rsidP="00E434C3">
      <w:pPr>
        <w:pStyle w:val="AERbulletlistfirststyle"/>
      </w:pPr>
      <w:r w:rsidRPr="00E434C3">
        <w:t>steel</w:t>
      </w:r>
    </w:p>
    <w:p w:rsidR="004C0E60" w:rsidRPr="00E434C3" w:rsidRDefault="004C0E60" w:rsidP="00E434C3">
      <w:pPr>
        <w:pStyle w:val="AERbulletlistfirststyle"/>
      </w:pPr>
      <w:r w:rsidRPr="00E434C3">
        <w:t>copper</w:t>
      </w:r>
    </w:p>
    <w:p w:rsidR="004C0E60" w:rsidRPr="00E434C3" w:rsidRDefault="004C0E60" w:rsidP="00E434C3">
      <w:pPr>
        <w:pStyle w:val="AERbulletlistfirststyle"/>
      </w:pPr>
      <w:r w:rsidRPr="00E434C3">
        <w:t>zinc</w:t>
      </w:r>
    </w:p>
    <w:p w:rsidR="004C0E60" w:rsidRPr="00E434C3" w:rsidRDefault="004C0E60" w:rsidP="00E434C3">
      <w:pPr>
        <w:pStyle w:val="AERbulletlistfirststyle"/>
      </w:pPr>
      <w:r w:rsidRPr="00E434C3">
        <w:t>concrete</w:t>
      </w:r>
    </w:p>
    <w:p w:rsidR="004C0E60" w:rsidRPr="00E434C3" w:rsidRDefault="004C0E60" w:rsidP="00E434C3">
      <w:pPr>
        <w:pStyle w:val="AERbulletlistfirststyle"/>
      </w:pPr>
      <w:r w:rsidRPr="00E434C3">
        <w:t>gas and fuel construction price index, and</w:t>
      </w:r>
    </w:p>
    <w:p w:rsidR="004C0E60" w:rsidRPr="00E434C3" w:rsidRDefault="004C0E60" w:rsidP="00E434C3">
      <w:pPr>
        <w:pStyle w:val="AERbulletlistfirststyle"/>
      </w:pPr>
      <w:proofErr w:type="gramStart"/>
      <w:r w:rsidRPr="00E434C3">
        <w:t>general</w:t>
      </w:r>
      <w:proofErr w:type="gramEnd"/>
      <w:r w:rsidRPr="00E434C3">
        <w:t xml:space="preserve"> materials prices. </w:t>
      </w:r>
    </w:p>
    <w:p w:rsidR="004C0E60" w:rsidRPr="004C0E60" w:rsidRDefault="004C0E60" w:rsidP="004C0E60">
      <w:r w:rsidRPr="004C0E60">
        <w:t>BIS Shrapnel commodity forecasts are converted into Australian dollars using its own in-house methodology based on three key drivers; commodity price forecasts, interest rate differentials between Australia and the United States and the VIX volatility index.</w:t>
      </w:r>
      <w:r w:rsidRPr="004C0E60">
        <w:rPr>
          <w:sz w:val="16"/>
          <w:vertAlign w:val="superscript"/>
        </w:rPr>
        <w:footnoteReference w:id="123"/>
      </w:r>
    </w:p>
    <w:p w:rsidR="004C0E60" w:rsidRPr="00AD2733" w:rsidRDefault="004C0E60" w:rsidP="00BE4D71">
      <w:pPr>
        <w:rPr>
          <w:rStyle w:val="AERbody"/>
        </w:rPr>
      </w:pPr>
      <w:r w:rsidRPr="00AD2733">
        <w:rPr>
          <w:rStyle w:val="AERbody"/>
        </w:rPr>
        <w:fldChar w:fldCharType="begin"/>
      </w:r>
      <w:r w:rsidRPr="00AD2733">
        <w:rPr>
          <w:rStyle w:val="AERbody"/>
        </w:rPr>
        <w:instrText xml:space="preserve"> REF _Ref404076337 \h </w:instrText>
      </w:r>
      <w:r w:rsidR="00BE4D71" w:rsidRPr="00AD2733">
        <w:rPr>
          <w:rStyle w:val="AERbody"/>
        </w:rPr>
        <w:instrText xml:space="preserve"> \* MERGEFORMAT </w:instrText>
      </w:r>
      <w:r w:rsidRPr="00AD2733">
        <w:rPr>
          <w:rStyle w:val="AERbody"/>
        </w:rPr>
      </w:r>
      <w:r w:rsidRPr="00AD2733">
        <w:rPr>
          <w:rStyle w:val="AERbody"/>
        </w:rPr>
        <w:fldChar w:fldCharType="separate"/>
      </w:r>
      <w:r w:rsidR="0061777C" w:rsidRPr="00E834E1">
        <w:rPr>
          <w:rStyle w:val="AERbody"/>
        </w:rPr>
        <w:t>Table 6.8</w:t>
      </w:r>
      <w:r w:rsidRPr="00AD2733">
        <w:rPr>
          <w:rStyle w:val="AERbody"/>
        </w:rPr>
        <w:fldChar w:fldCharType="end"/>
      </w:r>
      <w:r w:rsidRPr="00AD2733">
        <w:rPr>
          <w:rStyle w:val="AERbody"/>
        </w:rPr>
        <w:t xml:space="preserve"> outlines the real input materials escalation forecasts provided to ActewAGL by BIS Shrapnel.</w:t>
      </w:r>
    </w:p>
    <w:p w:rsidR="004C0E60" w:rsidRPr="004C0E60" w:rsidRDefault="004C0E60" w:rsidP="0061777C">
      <w:pPr>
        <w:keepNext/>
        <w:spacing w:before="240" w:after="120"/>
        <w:rPr>
          <w:b/>
          <w:bCs/>
          <w:color w:val="076A92" w:themeColor="text1"/>
          <w:sz w:val="24"/>
          <w:szCs w:val="18"/>
        </w:rPr>
      </w:pPr>
      <w:bookmarkStart w:id="51" w:name="_Ref404076337"/>
      <w:proofErr w:type="gramStart"/>
      <w:r w:rsidRPr="004C0E60">
        <w:rPr>
          <w:b/>
          <w:bCs/>
          <w:color w:val="076A92" w:themeColor="text1"/>
          <w:sz w:val="24"/>
          <w:szCs w:val="18"/>
        </w:rPr>
        <w:t xml:space="preserve">Table </w:t>
      </w:r>
      <w:proofErr w:type="gramEnd"/>
      <w:r w:rsidR="00EE4EAF">
        <w:rPr>
          <w:b/>
          <w:bCs/>
          <w:color w:val="076A92" w:themeColor="text1"/>
          <w:sz w:val="24"/>
          <w:szCs w:val="18"/>
        </w:rPr>
        <w:fldChar w:fldCharType="begin"/>
      </w:r>
      <w:r w:rsidR="00EE4EAF">
        <w:rPr>
          <w:b/>
          <w:bCs/>
          <w:color w:val="076A92" w:themeColor="text1"/>
          <w:sz w:val="24"/>
          <w:szCs w:val="18"/>
        </w:rPr>
        <w:instrText xml:space="preserve"> STYLEREF 1 \s </w:instrText>
      </w:r>
      <w:r w:rsidR="00EE4EAF">
        <w:rPr>
          <w:b/>
          <w:bCs/>
          <w:color w:val="076A92" w:themeColor="text1"/>
          <w:sz w:val="24"/>
          <w:szCs w:val="18"/>
        </w:rPr>
        <w:fldChar w:fldCharType="separate"/>
      </w:r>
      <w:r w:rsidR="00EE4EAF">
        <w:rPr>
          <w:b/>
          <w:bCs/>
          <w:noProof/>
          <w:color w:val="076A92" w:themeColor="text1"/>
          <w:sz w:val="24"/>
          <w:szCs w:val="18"/>
        </w:rPr>
        <w:t>6</w:t>
      </w:r>
      <w:r w:rsidR="00EE4EAF">
        <w:rPr>
          <w:b/>
          <w:bCs/>
          <w:color w:val="076A92" w:themeColor="text1"/>
          <w:sz w:val="24"/>
          <w:szCs w:val="18"/>
        </w:rPr>
        <w:fldChar w:fldCharType="end"/>
      </w:r>
      <w:proofErr w:type="gramStart"/>
      <w:r w:rsidR="0061777C">
        <w:rPr>
          <w:b/>
          <w:bCs/>
          <w:color w:val="076A92" w:themeColor="text1"/>
          <w:sz w:val="24"/>
          <w:szCs w:val="18"/>
        </w:rPr>
        <w:t>.</w:t>
      </w:r>
      <w:proofErr w:type="gramEnd"/>
      <w:r w:rsidR="00EE4EAF">
        <w:rPr>
          <w:b/>
          <w:bCs/>
          <w:color w:val="076A92" w:themeColor="text1"/>
          <w:sz w:val="24"/>
          <w:szCs w:val="18"/>
        </w:rPr>
        <w:fldChar w:fldCharType="begin"/>
      </w:r>
      <w:r w:rsidR="00EE4EAF">
        <w:rPr>
          <w:b/>
          <w:bCs/>
          <w:color w:val="076A92" w:themeColor="text1"/>
          <w:sz w:val="24"/>
          <w:szCs w:val="18"/>
        </w:rPr>
        <w:instrText xml:space="preserve"> SEQ Table \* ARABIC \s 1 </w:instrText>
      </w:r>
      <w:r w:rsidR="00EE4EAF">
        <w:rPr>
          <w:b/>
          <w:bCs/>
          <w:color w:val="076A92" w:themeColor="text1"/>
          <w:sz w:val="24"/>
          <w:szCs w:val="18"/>
        </w:rPr>
        <w:fldChar w:fldCharType="separate"/>
      </w:r>
      <w:r w:rsidR="00EE4EAF">
        <w:rPr>
          <w:b/>
          <w:bCs/>
          <w:noProof/>
          <w:color w:val="076A92" w:themeColor="text1"/>
          <w:sz w:val="24"/>
          <w:szCs w:val="18"/>
        </w:rPr>
        <w:t>8</w:t>
      </w:r>
      <w:r w:rsidR="00EE4EAF">
        <w:rPr>
          <w:b/>
          <w:bCs/>
          <w:color w:val="076A92" w:themeColor="text1"/>
          <w:sz w:val="24"/>
          <w:szCs w:val="18"/>
        </w:rPr>
        <w:fldChar w:fldCharType="end"/>
      </w:r>
      <w:bookmarkEnd w:id="51"/>
      <w:r w:rsidR="00F4595F">
        <w:rPr>
          <w:b/>
          <w:bCs/>
          <w:color w:val="076A92" w:themeColor="text1"/>
          <w:sz w:val="24"/>
          <w:szCs w:val="18"/>
        </w:rPr>
        <w:tab/>
        <w:t>BIS S</w:t>
      </w:r>
      <w:r w:rsidRPr="004C0E60">
        <w:rPr>
          <w:b/>
          <w:bCs/>
          <w:color w:val="076A92" w:themeColor="text1"/>
          <w:sz w:val="24"/>
          <w:szCs w:val="18"/>
        </w:rPr>
        <w:t>hrapnel real materials cost escalation forecast—inputs (per cent)</w:t>
      </w:r>
    </w:p>
    <w:tbl>
      <w:tblPr>
        <w:tblStyle w:val="AERtable-numbers1"/>
        <w:tblW w:w="0" w:type="auto"/>
        <w:tblLook w:val="04A0" w:firstRow="1" w:lastRow="0" w:firstColumn="1" w:lastColumn="0" w:noHBand="0" w:noVBand="1"/>
      </w:tblPr>
      <w:tblGrid>
        <w:gridCol w:w="1487"/>
        <w:gridCol w:w="1440"/>
        <w:gridCol w:w="1441"/>
        <w:gridCol w:w="1441"/>
        <w:gridCol w:w="1442"/>
        <w:gridCol w:w="1442"/>
      </w:tblGrid>
      <w:tr w:rsidR="004C0E60" w:rsidRPr="004C0E60" w:rsidTr="001763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4C0E60" w:rsidRPr="004C0E60" w:rsidRDefault="004C0E60" w:rsidP="00E834E1">
            <w:pPr>
              <w:keepNext/>
              <w:numPr>
                <w:ilvl w:val="0"/>
                <w:numId w:val="24"/>
              </w:numPr>
              <w:spacing w:after="240" w:line="288" w:lineRule="auto"/>
              <w:jc w:val="both"/>
            </w:pPr>
          </w:p>
        </w:tc>
        <w:tc>
          <w:tcPr>
            <w:tcW w:w="1540" w:type="dxa"/>
          </w:tcPr>
          <w:p w:rsidR="004C0E60" w:rsidRPr="004C0E60" w:rsidRDefault="004C0E60" w:rsidP="00E834E1">
            <w:pPr>
              <w:keepNext/>
              <w:cnfStyle w:val="100000000000" w:firstRow="1" w:lastRow="0" w:firstColumn="0" w:lastColumn="0" w:oddVBand="0" w:evenVBand="0" w:oddHBand="0" w:evenHBand="0" w:firstRowFirstColumn="0" w:firstRowLastColumn="0" w:lastRowFirstColumn="0" w:lastRowLastColumn="0"/>
            </w:pPr>
            <w:r w:rsidRPr="004C0E60">
              <w:t>2016–17</w:t>
            </w:r>
          </w:p>
        </w:tc>
        <w:tc>
          <w:tcPr>
            <w:tcW w:w="1540" w:type="dxa"/>
          </w:tcPr>
          <w:p w:rsidR="004C0E60" w:rsidRPr="004C0E60" w:rsidRDefault="004C0E60" w:rsidP="00E834E1">
            <w:pPr>
              <w:keepNext/>
              <w:cnfStyle w:val="100000000000" w:firstRow="1" w:lastRow="0" w:firstColumn="0" w:lastColumn="0" w:oddVBand="0" w:evenVBand="0" w:oddHBand="0" w:evenHBand="0" w:firstRowFirstColumn="0" w:firstRowLastColumn="0" w:lastRowFirstColumn="0" w:lastRowLastColumn="0"/>
            </w:pPr>
            <w:r w:rsidRPr="004C0E60">
              <w:t>2017–18</w:t>
            </w:r>
          </w:p>
        </w:tc>
        <w:tc>
          <w:tcPr>
            <w:tcW w:w="1540" w:type="dxa"/>
          </w:tcPr>
          <w:p w:rsidR="004C0E60" w:rsidRPr="004C0E60" w:rsidRDefault="004C0E60" w:rsidP="00E834E1">
            <w:pPr>
              <w:keepNext/>
              <w:cnfStyle w:val="100000000000" w:firstRow="1" w:lastRow="0" w:firstColumn="0" w:lastColumn="0" w:oddVBand="0" w:evenVBand="0" w:oddHBand="0" w:evenHBand="0" w:firstRowFirstColumn="0" w:firstRowLastColumn="0" w:lastRowFirstColumn="0" w:lastRowLastColumn="0"/>
            </w:pPr>
            <w:r w:rsidRPr="004C0E60">
              <w:t>2018–19</w:t>
            </w:r>
          </w:p>
        </w:tc>
        <w:tc>
          <w:tcPr>
            <w:tcW w:w="1541" w:type="dxa"/>
          </w:tcPr>
          <w:p w:rsidR="004C0E60" w:rsidRPr="004C0E60" w:rsidRDefault="004C0E60" w:rsidP="00E834E1">
            <w:pPr>
              <w:keepNext/>
              <w:cnfStyle w:val="100000000000" w:firstRow="1" w:lastRow="0" w:firstColumn="0" w:lastColumn="0" w:oddVBand="0" w:evenVBand="0" w:oddHBand="0" w:evenHBand="0" w:firstRowFirstColumn="0" w:firstRowLastColumn="0" w:lastRowFirstColumn="0" w:lastRowLastColumn="0"/>
            </w:pPr>
            <w:r w:rsidRPr="004C0E60">
              <w:t>2019–20</w:t>
            </w:r>
          </w:p>
        </w:tc>
        <w:tc>
          <w:tcPr>
            <w:tcW w:w="1541" w:type="dxa"/>
          </w:tcPr>
          <w:p w:rsidR="004C0E60" w:rsidRPr="004C0E60" w:rsidRDefault="004C0E60" w:rsidP="00E834E1">
            <w:pPr>
              <w:keepNext/>
              <w:cnfStyle w:val="100000000000" w:firstRow="1" w:lastRow="0" w:firstColumn="0" w:lastColumn="0" w:oddVBand="0" w:evenVBand="0" w:oddHBand="0" w:evenHBand="0" w:firstRowFirstColumn="0" w:firstRowLastColumn="0" w:lastRowFirstColumn="0" w:lastRowLastColumn="0"/>
            </w:pPr>
            <w:r w:rsidRPr="004C0E60">
              <w:t>2020–21</w:t>
            </w:r>
          </w:p>
        </w:tc>
      </w:tr>
      <w:tr w:rsidR="004C0E60" w:rsidRPr="004C0E60" w:rsidTr="00176357">
        <w:tc>
          <w:tcPr>
            <w:cnfStyle w:val="001000000000" w:firstRow="0" w:lastRow="0" w:firstColumn="1" w:lastColumn="0" w:oddVBand="0" w:evenVBand="0" w:oddHBand="0" w:evenHBand="0" w:firstRowFirstColumn="0" w:firstRowLastColumn="0" w:lastRowFirstColumn="0" w:lastRowLastColumn="0"/>
            <w:tcW w:w="1540" w:type="dxa"/>
          </w:tcPr>
          <w:p w:rsidR="004C0E60" w:rsidRPr="004C0E60" w:rsidRDefault="004C0E60" w:rsidP="00E834E1">
            <w:pPr>
              <w:keepNext/>
            </w:pPr>
            <w:r w:rsidRPr="004C0E60">
              <w:t>Aluminium</w:t>
            </w:r>
          </w:p>
        </w:tc>
        <w:tc>
          <w:tcPr>
            <w:tcW w:w="1540" w:type="dxa"/>
          </w:tcPr>
          <w:p w:rsidR="004C0E60" w:rsidRPr="004C0E60" w:rsidRDefault="004C0E60" w:rsidP="00E834E1">
            <w:pPr>
              <w:keepNext/>
              <w:cnfStyle w:val="000000000000" w:firstRow="0" w:lastRow="0" w:firstColumn="0" w:lastColumn="0" w:oddVBand="0" w:evenVBand="0" w:oddHBand="0" w:evenHBand="0" w:firstRowFirstColumn="0" w:firstRowLastColumn="0" w:lastRowFirstColumn="0" w:lastRowLastColumn="0"/>
            </w:pPr>
            <w:r w:rsidRPr="004C0E60">
              <w:t>1.9</w:t>
            </w:r>
          </w:p>
        </w:tc>
        <w:tc>
          <w:tcPr>
            <w:tcW w:w="1540" w:type="dxa"/>
          </w:tcPr>
          <w:p w:rsidR="004C0E60" w:rsidRPr="004C0E60" w:rsidRDefault="004C0E60" w:rsidP="00E834E1">
            <w:pPr>
              <w:keepNext/>
              <w:cnfStyle w:val="000000000000" w:firstRow="0" w:lastRow="0" w:firstColumn="0" w:lastColumn="0" w:oddVBand="0" w:evenVBand="0" w:oddHBand="0" w:evenHBand="0" w:firstRowFirstColumn="0" w:firstRowLastColumn="0" w:lastRowFirstColumn="0" w:lastRowLastColumn="0"/>
            </w:pPr>
            <w:r w:rsidRPr="004C0E60">
              <w:t>5.1</w:t>
            </w:r>
          </w:p>
        </w:tc>
        <w:tc>
          <w:tcPr>
            <w:tcW w:w="1540" w:type="dxa"/>
          </w:tcPr>
          <w:p w:rsidR="004C0E60" w:rsidRPr="004C0E60" w:rsidRDefault="004C0E60" w:rsidP="00E834E1">
            <w:pPr>
              <w:keepNext/>
              <w:cnfStyle w:val="000000000000" w:firstRow="0" w:lastRow="0" w:firstColumn="0" w:lastColumn="0" w:oddVBand="0" w:evenVBand="0" w:oddHBand="0" w:evenHBand="0" w:firstRowFirstColumn="0" w:firstRowLastColumn="0" w:lastRowFirstColumn="0" w:lastRowLastColumn="0"/>
            </w:pPr>
            <w:r w:rsidRPr="004C0E60">
              <w:t>3.7</w:t>
            </w:r>
          </w:p>
        </w:tc>
        <w:tc>
          <w:tcPr>
            <w:tcW w:w="1541" w:type="dxa"/>
          </w:tcPr>
          <w:p w:rsidR="004C0E60" w:rsidRPr="004C0E60" w:rsidRDefault="004C0E60" w:rsidP="00E834E1">
            <w:pPr>
              <w:keepNext/>
              <w:cnfStyle w:val="000000000000" w:firstRow="0" w:lastRow="0" w:firstColumn="0" w:lastColumn="0" w:oddVBand="0" w:evenVBand="0" w:oddHBand="0" w:evenHBand="0" w:firstRowFirstColumn="0" w:firstRowLastColumn="0" w:lastRowFirstColumn="0" w:lastRowLastColumn="0"/>
            </w:pPr>
            <w:r w:rsidRPr="004C0E60">
              <w:t>-11.0</w:t>
            </w:r>
          </w:p>
        </w:tc>
        <w:tc>
          <w:tcPr>
            <w:tcW w:w="1541" w:type="dxa"/>
          </w:tcPr>
          <w:p w:rsidR="004C0E60" w:rsidRPr="004C0E60" w:rsidRDefault="004C0E60" w:rsidP="00E834E1">
            <w:pPr>
              <w:keepNext/>
              <w:cnfStyle w:val="000000000000" w:firstRow="0" w:lastRow="0" w:firstColumn="0" w:lastColumn="0" w:oddVBand="0" w:evenVBand="0" w:oddHBand="0" w:evenHBand="0" w:firstRowFirstColumn="0" w:firstRowLastColumn="0" w:lastRowFirstColumn="0" w:lastRowLastColumn="0"/>
            </w:pPr>
            <w:r w:rsidRPr="004C0E60">
              <w:t>-4.8</w:t>
            </w:r>
          </w:p>
        </w:tc>
      </w:tr>
      <w:tr w:rsidR="004C0E60" w:rsidRPr="004C0E60" w:rsidTr="001763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4C0E60" w:rsidRPr="004C0E60" w:rsidRDefault="004C0E60" w:rsidP="00E834E1">
            <w:pPr>
              <w:keepNext/>
            </w:pPr>
            <w:r w:rsidRPr="004C0E60">
              <w:t>Brass</w:t>
            </w:r>
          </w:p>
        </w:tc>
        <w:tc>
          <w:tcPr>
            <w:tcW w:w="1540" w:type="dxa"/>
          </w:tcPr>
          <w:p w:rsidR="004C0E60" w:rsidRPr="004C0E60" w:rsidRDefault="004C0E60" w:rsidP="00E834E1">
            <w:pPr>
              <w:keepNext/>
              <w:cnfStyle w:val="000000010000" w:firstRow="0" w:lastRow="0" w:firstColumn="0" w:lastColumn="0" w:oddVBand="0" w:evenVBand="0" w:oddHBand="0" w:evenHBand="1" w:firstRowFirstColumn="0" w:firstRowLastColumn="0" w:lastRowFirstColumn="0" w:lastRowLastColumn="0"/>
            </w:pPr>
            <w:r w:rsidRPr="004C0E60">
              <w:t>0.5</w:t>
            </w:r>
          </w:p>
        </w:tc>
        <w:tc>
          <w:tcPr>
            <w:tcW w:w="1540" w:type="dxa"/>
          </w:tcPr>
          <w:p w:rsidR="004C0E60" w:rsidRPr="004C0E60" w:rsidRDefault="004C0E60" w:rsidP="00E834E1">
            <w:pPr>
              <w:keepNext/>
              <w:cnfStyle w:val="000000010000" w:firstRow="0" w:lastRow="0" w:firstColumn="0" w:lastColumn="0" w:oddVBand="0" w:evenVBand="0" w:oddHBand="0" w:evenHBand="1" w:firstRowFirstColumn="0" w:firstRowLastColumn="0" w:lastRowFirstColumn="0" w:lastRowLastColumn="0"/>
            </w:pPr>
            <w:r w:rsidRPr="004C0E60">
              <w:t>2.9</w:t>
            </w:r>
          </w:p>
        </w:tc>
        <w:tc>
          <w:tcPr>
            <w:tcW w:w="1540" w:type="dxa"/>
          </w:tcPr>
          <w:p w:rsidR="004C0E60" w:rsidRPr="004C0E60" w:rsidRDefault="004C0E60" w:rsidP="00E834E1">
            <w:pPr>
              <w:keepNext/>
              <w:cnfStyle w:val="000000010000" w:firstRow="0" w:lastRow="0" w:firstColumn="0" w:lastColumn="0" w:oddVBand="0" w:evenVBand="0" w:oddHBand="0" w:evenHBand="1" w:firstRowFirstColumn="0" w:firstRowLastColumn="0" w:lastRowFirstColumn="0" w:lastRowLastColumn="0"/>
            </w:pPr>
            <w:r w:rsidRPr="004C0E60">
              <w:t>2.0</w:t>
            </w:r>
          </w:p>
        </w:tc>
        <w:tc>
          <w:tcPr>
            <w:tcW w:w="1541" w:type="dxa"/>
          </w:tcPr>
          <w:p w:rsidR="004C0E60" w:rsidRPr="004C0E60" w:rsidRDefault="004C0E60" w:rsidP="00E834E1">
            <w:pPr>
              <w:keepNext/>
              <w:cnfStyle w:val="000000010000" w:firstRow="0" w:lastRow="0" w:firstColumn="0" w:lastColumn="0" w:oddVBand="0" w:evenVBand="0" w:oddHBand="0" w:evenHBand="1" w:firstRowFirstColumn="0" w:firstRowLastColumn="0" w:lastRowFirstColumn="0" w:lastRowLastColumn="0"/>
            </w:pPr>
            <w:r w:rsidRPr="004C0E60">
              <w:t>-12.0</w:t>
            </w:r>
          </w:p>
        </w:tc>
        <w:tc>
          <w:tcPr>
            <w:tcW w:w="1541" w:type="dxa"/>
          </w:tcPr>
          <w:p w:rsidR="004C0E60" w:rsidRPr="004C0E60" w:rsidRDefault="004C0E60" w:rsidP="00E834E1">
            <w:pPr>
              <w:keepNext/>
              <w:cnfStyle w:val="000000010000" w:firstRow="0" w:lastRow="0" w:firstColumn="0" w:lastColumn="0" w:oddVBand="0" w:evenVBand="0" w:oddHBand="0" w:evenHBand="1" w:firstRowFirstColumn="0" w:firstRowLastColumn="0" w:lastRowFirstColumn="0" w:lastRowLastColumn="0"/>
            </w:pPr>
            <w:r w:rsidRPr="004C0E60">
              <w:t>-6.0</w:t>
            </w:r>
          </w:p>
        </w:tc>
      </w:tr>
      <w:tr w:rsidR="004C0E60" w:rsidRPr="004C0E60" w:rsidTr="00176357">
        <w:tc>
          <w:tcPr>
            <w:cnfStyle w:val="001000000000" w:firstRow="0" w:lastRow="0" w:firstColumn="1" w:lastColumn="0" w:oddVBand="0" w:evenVBand="0" w:oddHBand="0" w:evenHBand="0" w:firstRowFirstColumn="0" w:firstRowLastColumn="0" w:lastRowFirstColumn="0" w:lastRowLastColumn="0"/>
            <w:tcW w:w="1540" w:type="dxa"/>
          </w:tcPr>
          <w:p w:rsidR="004C0E60" w:rsidRPr="004C0E60" w:rsidRDefault="004C0E60" w:rsidP="00E834E1">
            <w:pPr>
              <w:keepNext/>
            </w:pPr>
            <w:r w:rsidRPr="004C0E60">
              <w:t>Steel</w:t>
            </w:r>
          </w:p>
        </w:tc>
        <w:tc>
          <w:tcPr>
            <w:tcW w:w="1540" w:type="dxa"/>
          </w:tcPr>
          <w:p w:rsidR="004C0E60" w:rsidRPr="004C0E60" w:rsidRDefault="004C0E60" w:rsidP="00E834E1">
            <w:pPr>
              <w:keepNext/>
              <w:cnfStyle w:val="000000000000" w:firstRow="0" w:lastRow="0" w:firstColumn="0" w:lastColumn="0" w:oddVBand="0" w:evenVBand="0" w:oddHBand="0" w:evenHBand="0" w:firstRowFirstColumn="0" w:firstRowLastColumn="0" w:lastRowFirstColumn="0" w:lastRowLastColumn="0"/>
            </w:pPr>
            <w:r w:rsidRPr="004C0E60">
              <w:t>-1.3</w:t>
            </w:r>
          </w:p>
        </w:tc>
        <w:tc>
          <w:tcPr>
            <w:tcW w:w="1540" w:type="dxa"/>
          </w:tcPr>
          <w:p w:rsidR="004C0E60" w:rsidRPr="004C0E60" w:rsidRDefault="004C0E60" w:rsidP="00E834E1">
            <w:pPr>
              <w:keepNext/>
              <w:cnfStyle w:val="000000000000" w:firstRow="0" w:lastRow="0" w:firstColumn="0" w:lastColumn="0" w:oddVBand="0" w:evenVBand="0" w:oddHBand="0" w:evenHBand="0" w:firstRowFirstColumn="0" w:firstRowLastColumn="0" w:lastRowFirstColumn="0" w:lastRowLastColumn="0"/>
            </w:pPr>
            <w:r w:rsidRPr="004C0E60">
              <w:t>3.7</w:t>
            </w:r>
          </w:p>
        </w:tc>
        <w:tc>
          <w:tcPr>
            <w:tcW w:w="1540" w:type="dxa"/>
          </w:tcPr>
          <w:p w:rsidR="004C0E60" w:rsidRPr="004C0E60" w:rsidRDefault="004C0E60" w:rsidP="00E834E1">
            <w:pPr>
              <w:keepNext/>
              <w:cnfStyle w:val="000000000000" w:firstRow="0" w:lastRow="0" w:firstColumn="0" w:lastColumn="0" w:oddVBand="0" w:evenVBand="0" w:oddHBand="0" w:evenHBand="0" w:firstRowFirstColumn="0" w:firstRowLastColumn="0" w:lastRowFirstColumn="0" w:lastRowLastColumn="0"/>
            </w:pPr>
            <w:r w:rsidRPr="004C0E60">
              <w:t>3.7</w:t>
            </w:r>
          </w:p>
        </w:tc>
        <w:tc>
          <w:tcPr>
            <w:tcW w:w="1541" w:type="dxa"/>
          </w:tcPr>
          <w:p w:rsidR="004C0E60" w:rsidRPr="004C0E60" w:rsidRDefault="004C0E60" w:rsidP="00E834E1">
            <w:pPr>
              <w:keepNext/>
              <w:cnfStyle w:val="000000000000" w:firstRow="0" w:lastRow="0" w:firstColumn="0" w:lastColumn="0" w:oddVBand="0" w:evenVBand="0" w:oddHBand="0" w:evenHBand="0" w:firstRowFirstColumn="0" w:firstRowLastColumn="0" w:lastRowFirstColumn="0" w:lastRowLastColumn="0"/>
            </w:pPr>
            <w:r w:rsidRPr="004C0E60">
              <w:t>-11.1</w:t>
            </w:r>
          </w:p>
        </w:tc>
        <w:tc>
          <w:tcPr>
            <w:tcW w:w="1541" w:type="dxa"/>
          </w:tcPr>
          <w:p w:rsidR="004C0E60" w:rsidRPr="004C0E60" w:rsidRDefault="004C0E60" w:rsidP="00E834E1">
            <w:pPr>
              <w:keepNext/>
              <w:cnfStyle w:val="000000000000" w:firstRow="0" w:lastRow="0" w:firstColumn="0" w:lastColumn="0" w:oddVBand="0" w:evenVBand="0" w:oddHBand="0" w:evenHBand="0" w:firstRowFirstColumn="0" w:firstRowLastColumn="0" w:lastRowFirstColumn="0" w:lastRowLastColumn="0"/>
            </w:pPr>
            <w:r w:rsidRPr="004C0E60">
              <w:t>-3.9</w:t>
            </w:r>
          </w:p>
        </w:tc>
      </w:tr>
      <w:tr w:rsidR="004C0E60" w:rsidRPr="004C0E60" w:rsidTr="001763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4C0E60" w:rsidRPr="004C0E60" w:rsidRDefault="004C0E60" w:rsidP="00E834E1">
            <w:pPr>
              <w:keepNext/>
            </w:pPr>
            <w:r w:rsidRPr="004C0E60">
              <w:t>Copper</w:t>
            </w:r>
          </w:p>
        </w:tc>
        <w:tc>
          <w:tcPr>
            <w:tcW w:w="1540" w:type="dxa"/>
          </w:tcPr>
          <w:p w:rsidR="004C0E60" w:rsidRPr="004C0E60" w:rsidRDefault="004C0E60" w:rsidP="00E834E1">
            <w:pPr>
              <w:keepNext/>
              <w:cnfStyle w:val="000000010000" w:firstRow="0" w:lastRow="0" w:firstColumn="0" w:lastColumn="0" w:oddVBand="0" w:evenVBand="0" w:oddHBand="0" w:evenHBand="1" w:firstRowFirstColumn="0" w:firstRowLastColumn="0" w:lastRowFirstColumn="0" w:lastRowLastColumn="0"/>
            </w:pPr>
            <w:r w:rsidRPr="004C0E60">
              <w:t>0.6</w:t>
            </w:r>
          </w:p>
        </w:tc>
        <w:tc>
          <w:tcPr>
            <w:tcW w:w="1540" w:type="dxa"/>
          </w:tcPr>
          <w:p w:rsidR="004C0E60" w:rsidRPr="004C0E60" w:rsidRDefault="004C0E60" w:rsidP="00E834E1">
            <w:pPr>
              <w:keepNext/>
              <w:cnfStyle w:val="000000010000" w:firstRow="0" w:lastRow="0" w:firstColumn="0" w:lastColumn="0" w:oddVBand="0" w:evenVBand="0" w:oddHBand="0" w:evenHBand="1" w:firstRowFirstColumn="0" w:firstRowLastColumn="0" w:lastRowFirstColumn="0" w:lastRowLastColumn="0"/>
            </w:pPr>
            <w:r w:rsidRPr="004C0E60">
              <w:t>3.6</w:t>
            </w:r>
          </w:p>
        </w:tc>
        <w:tc>
          <w:tcPr>
            <w:tcW w:w="1540" w:type="dxa"/>
          </w:tcPr>
          <w:p w:rsidR="004C0E60" w:rsidRPr="004C0E60" w:rsidRDefault="004C0E60" w:rsidP="00E834E1">
            <w:pPr>
              <w:keepNext/>
              <w:cnfStyle w:val="000000010000" w:firstRow="0" w:lastRow="0" w:firstColumn="0" w:lastColumn="0" w:oddVBand="0" w:evenVBand="0" w:oddHBand="0" w:evenHBand="1" w:firstRowFirstColumn="0" w:firstRowLastColumn="0" w:lastRowFirstColumn="0" w:lastRowLastColumn="0"/>
            </w:pPr>
            <w:r w:rsidRPr="004C0E60">
              <w:t>1.9</w:t>
            </w:r>
          </w:p>
        </w:tc>
        <w:tc>
          <w:tcPr>
            <w:tcW w:w="1541" w:type="dxa"/>
          </w:tcPr>
          <w:p w:rsidR="004C0E60" w:rsidRPr="004C0E60" w:rsidRDefault="004C0E60" w:rsidP="00E834E1">
            <w:pPr>
              <w:keepNext/>
              <w:cnfStyle w:val="000000010000" w:firstRow="0" w:lastRow="0" w:firstColumn="0" w:lastColumn="0" w:oddVBand="0" w:evenVBand="0" w:oddHBand="0" w:evenHBand="1" w:firstRowFirstColumn="0" w:firstRowLastColumn="0" w:lastRowFirstColumn="0" w:lastRowLastColumn="0"/>
            </w:pPr>
            <w:r w:rsidRPr="004C0E60">
              <w:t>-12.4</w:t>
            </w:r>
          </w:p>
        </w:tc>
        <w:tc>
          <w:tcPr>
            <w:tcW w:w="1541" w:type="dxa"/>
          </w:tcPr>
          <w:p w:rsidR="004C0E60" w:rsidRPr="004C0E60" w:rsidRDefault="004C0E60" w:rsidP="00E834E1">
            <w:pPr>
              <w:keepNext/>
              <w:cnfStyle w:val="000000010000" w:firstRow="0" w:lastRow="0" w:firstColumn="0" w:lastColumn="0" w:oddVBand="0" w:evenVBand="0" w:oddHBand="0" w:evenHBand="1" w:firstRowFirstColumn="0" w:firstRowLastColumn="0" w:lastRowFirstColumn="0" w:lastRowLastColumn="0"/>
            </w:pPr>
            <w:r w:rsidRPr="004C0E60">
              <w:t>-5.9</w:t>
            </w:r>
          </w:p>
        </w:tc>
      </w:tr>
      <w:tr w:rsidR="004C0E60" w:rsidRPr="004C0E60" w:rsidTr="00176357">
        <w:tc>
          <w:tcPr>
            <w:cnfStyle w:val="001000000000" w:firstRow="0" w:lastRow="0" w:firstColumn="1" w:lastColumn="0" w:oddVBand="0" w:evenVBand="0" w:oddHBand="0" w:evenHBand="0" w:firstRowFirstColumn="0" w:firstRowLastColumn="0" w:lastRowFirstColumn="0" w:lastRowLastColumn="0"/>
            <w:tcW w:w="1540" w:type="dxa"/>
          </w:tcPr>
          <w:p w:rsidR="004C0E60" w:rsidRPr="004C0E60" w:rsidRDefault="004C0E60" w:rsidP="00E834E1">
            <w:pPr>
              <w:keepNext/>
            </w:pPr>
            <w:r w:rsidRPr="004C0E60">
              <w:t>Plastic</w:t>
            </w:r>
          </w:p>
        </w:tc>
        <w:tc>
          <w:tcPr>
            <w:tcW w:w="1540" w:type="dxa"/>
          </w:tcPr>
          <w:p w:rsidR="004C0E60" w:rsidRPr="004C0E60" w:rsidRDefault="004C0E60" w:rsidP="00E834E1">
            <w:pPr>
              <w:keepNext/>
              <w:cnfStyle w:val="000000000000" w:firstRow="0" w:lastRow="0" w:firstColumn="0" w:lastColumn="0" w:oddVBand="0" w:evenVBand="0" w:oddHBand="0" w:evenHBand="0" w:firstRowFirstColumn="0" w:firstRowLastColumn="0" w:lastRowFirstColumn="0" w:lastRowLastColumn="0"/>
            </w:pPr>
            <w:r w:rsidRPr="004C0E60">
              <w:t>1.4</w:t>
            </w:r>
          </w:p>
        </w:tc>
        <w:tc>
          <w:tcPr>
            <w:tcW w:w="1540" w:type="dxa"/>
          </w:tcPr>
          <w:p w:rsidR="004C0E60" w:rsidRPr="004C0E60" w:rsidRDefault="004C0E60" w:rsidP="00E834E1">
            <w:pPr>
              <w:keepNext/>
              <w:cnfStyle w:val="000000000000" w:firstRow="0" w:lastRow="0" w:firstColumn="0" w:lastColumn="0" w:oddVBand="0" w:evenVBand="0" w:oddHBand="0" w:evenHBand="0" w:firstRowFirstColumn="0" w:firstRowLastColumn="0" w:lastRowFirstColumn="0" w:lastRowLastColumn="0"/>
            </w:pPr>
            <w:r w:rsidRPr="004C0E60">
              <w:t>4.2</w:t>
            </w:r>
          </w:p>
        </w:tc>
        <w:tc>
          <w:tcPr>
            <w:tcW w:w="1540" w:type="dxa"/>
          </w:tcPr>
          <w:p w:rsidR="004C0E60" w:rsidRPr="004C0E60" w:rsidRDefault="004C0E60" w:rsidP="00E834E1">
            <w:pPr>
              <w:keepNext/>
              <w:cnfStyle w:val="000000000000" w:firstRow="0" w:lastRow="0" w:firstColumn="0" w:lastColumn="0" w:oddVBand="0" w:evenVBand="0" w:oddHBand="0" w:evenHBand="0" w:firstRowFirstColumn="0" w:firstRowLastColumn="0" w:lastRowFirstColumn="0" w:lastRowLastColumn="0"/>
            </w:pPr>
            <w:r w:rsidRPr="004C0E60">
              <w:t>3.1</w:t>
            </w:r>
          </w:p>
        </w:tc>
        <w:tc>
          <w:tcPr>
            <w:tcW w:w="1541" w:type="dxa"/>
          </w:tcPr>
          <w:p w:rsidR="004C0E60" w:rsidRPr="004C0E60" w:rsidRDefault="004C0E60" w:rsidP="00E834E1">
            <w:pPr>
              <w:keepNext/>
              <w:cnfStyle w:val="000000000000" w:firstRow="0" w:lastRow="0" w:firstColumn="0" w:lastColumn="0" w:oddVBand="0" w:evenVBand="0" w:oddHBand="0" w:evenHBand="0" w:firstRowFirstColumn="0" w:firstRowLastColumn="0" w:lastRowFirstColumn="0" w:lastRowLastColumn="0"/>
            </w:pPr>
            <w:r w:rsidRPr="004C0E60">
              <w:t>-7.6</w:t>
            </w:r>
          </w:p>
        </w:tc>
        <w:tc>
          <w:tcPr>
            <w:tcW w:w="1541" w:type="dxa"/>
          </w:tcPr>
          <w:p w:rsidR="004C0E60" w:rsidRPr="004C0E60" w:rsidRDefault="004C0E60" w:rsidP="00E834E1">
            <w:pPr>
              <w:keepNext/>
              <w:cnfStyle w:val="000000000000" w:firstRow="0" w:lastRow="0" w:firstColumn="0" w:lastColumn="0" w:oddVBand="0" w:evenVBand="0" w:oddHBand="0" w:evenHBand="0" w:firstRowFirstColumn="0" w:firstRowLastColumn="0" w:lastRowFirstColumn="0" w:lastRowLastColumn="0"/>
            </w:pPr>
            <w:r w:rsidRPr="004C0E60">
              <w:t>-3.5</w:t>
            </w:r>
          </w:p>
        </w:tc>
      </w:tr>
      <w:tr w:rsidR="004C0E60" w:rsidRPr="004C0E60" w:rsidTr="001763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4C0E60" w:rsidRPr="004C0E60" w:rsidRDefault="004C0E60" w:rsidP="00E834E1">
            <w:pPr>
              <w:keepNext/>
            </w:pPr>
            <w:r w:rsidRPr="004C0E60">
              <w:t>Concrete</w:t>
            </w:r>
          </w:p>
        </w:tc>
        <w:tc>
          <w:tcPr>
            <w:tcW w:w="1540" w:type="dxa"/>
          </w:tcPr>
          <w:p w:rsidR="004C0E60" w:rsidRPr="004C0E60" w:rsidRDefault="004C0E60" w:rsidP="00E834E1">
            <w:pPr>
              <w:keepNext/>
              <w:cnfStyle w:val="000000010000" w:firstRow="0" w:lastRow="0" w:firstColumn="0" w:lastColumn="0" w:oddVBand="0" w:evenVBand="0" w:oddHBand="0" w:evenHBand="1" w:firstRowFirstColumn="0" w:firstRowLastColumn="0" w:lastRowFirstColumn="0" w:lastRowLastColumn="0"/>
            </w:pPr>
            <w:r w:rsidRPr="004C0E60">
              <w:t>2.6</w:t>
            </w:r>
          </w:p>
        </w:tc>
        <w:tc>
          <w:tcPr>
            <w:tcW w:w="1540" w:type="dxa"/>
          </w:tcPr>
          <w:p w:rsidR="004C0E60" w:rsidRPr="004C0E60" w:rsidRDefault="004C0E60" w:rsidP="00E834E1">
            <w:pPr>
              <w:keepNext/>
              <w:cnfStyle w:val="000000010000" w:firstRow="0" w:lastRow="0" w:firstColumn="0" w:lastColumn="0" w:oddVBand="0" w:evenVBand="0" w:oddHBand="0" w:evenHBand="1" w:firstRowFirstColumn="0" w:firstRowLastColumn="0" w:lastRowFirstColumn="0" w:lastRowLastColumn="0"/>
            </w:pPr>
            <w:r w:rsidRPr="004C0E60">
              <w:t>-0.7</w:t>
            </w:r>
          </w:p>
        </w:tc>
        <w:tc>
          <w:tcPr>
            <w:tcW w:w="1540" w:type="dxa"/>
          </w:tcPr>
          <w:p w:rsidR="004C0E60" w:rsidRPr="004C0E60" w:rsidRDefault="004C0E60" w:rsidP="00E834E1">
            <w:pPr>
              <w:keepNext/>
              <w:cnfStyle w:val="000000010000" w:firstRow="0" w:lastRow="0" w:firstColumn="0" w:lastColumn="0" w:oddVBand="0" w:evenVBand="0" w:oddHBand="0" w:evenHBand="1" w:firstRowFirstColumn="0" w:firstRowLastColumn="0" w:lastRowFirstColumn="0" w:lastRowLastColumn="0"/>
            </w:pPr>
            <w:r w:rsidRPr="004C0E60">
              <w:t>-2.0</w:t>
            </w:r>
          </w:p>
        </w:tc>
        <w:tc>
          <w:tcPr>
            <w:tcW w:w="1541" w:type="dxa"/>
          </w:tcPr>
          <w:p w:rsidR="004C0E60" w:rsidRPr="004C0E60" w:rsidRDefault="004C0E60" w:rsidP="00E834E1">
            <w:pPr>
              <w:keepNext/>
              <w:cnfStyle w:val="000000010000" w:firstRow="0" w:lastRow="0" w:firstColumn="0" w:lastColumn="0" w:oddVBand="0" w:evenVBand="0" w:oddHBand="0" w:evenHBand="1" w:firstRowFirstColumn="0" w:firstRowLastColumn="0" w:lastRowFirstColumn="0" w:lastRowLastColumn="0"/>
            </w:pPr>
            <w:r w:rsidRPr="004C0E60">
              <w:t>-1.3</w:t>
            </w:r>
          </w:p>
        </w:tc>
        <w:tc>
          <w:tcPr>
            <w:tcW w:w="1541" w:type="dxa"/>
          </w:tcPr>
          <w:p w:rsidR="004C0E60" w:rsidRPr="004C0E60" w:rsidRDefault="004C0E60" w:rsidP="00E834E1">
            <w:pPr>
              <w:keepNext/>
              <w:cnfStyle w:val="000000010000" w:firstRow="0" w:lastRow="0" w:firstColumn="0" w:lastColumn="0" w:oddVBand="0" w:evenVBand="0" w:oddHBand="0" w:evenHBand="1" w:firstRowFirstColumn="0" w:firstRowLastColumn="0" w:lastRowFirstColumn="0" w:lastRowLastColumn="0"/>
            </w:pPr>
            <w:r w:rsidRPr="004C0E60">
              <w:t>0.5</w:t>
            </w:r>
          </w:p>
        </w:tc>
      </w:tr>
      <w:tr w:rsidR="004C0E60" w:rsidRPr="004C0E60" w:rsidTr="00176357">
        <w:tc>
          <w:tcPr>
            <w:cnfStyle w:val="001000000000" w:firstRow="0" w:lastRow="0" w:firstColumn="1" w:lastColumn="0" w:oddVBand="0" w:evenVBand="0" w:oddHBand="0" w:evenHBand="0" w:firstRowFirstColumn="0" w:firstRowLastColumn="0" w:lastRowFirstColumn="0" w:lastRowLastColumn="0"/>
            <w:tcW w:w="1540" w:type="dxa"/>
          </w:tcPr>
          <w:p w:rsidR="004C0E60" w:rsidRPr="004C0E60" w:rsidRDefault="004C0E60" w:rsidP="00E834E1">
            <w:pPr>
              <w:keepNext/>
            </w:pPr>
            <w:r w:rsidRPr="004C0E60">
              <w:t>Zinc</w:t>
            </w:r>
          </w:p>
        </w:tc>
        <w:tc>
          <w:tcPr>
            <w:tcW w:w="1540" w:type="dxa"/>
          </w:tcPr>
          <w:p w:rsidR="004C0E60" w:rsidRPr="004C0E60" w:rsidRDefault="004C0E60" w:rsidP="00E834E1">
            <w:pPr>
              <w:keepNext/>
              <w:cnfStyle w:val="000000000000" w:firstRow="0" w:lastRow="0" w:firstColumn="0" w:lastColumn="0" w:oddVBand="0" w:evenVBand="0" w:oddHBand="0" w:evenHBand="0" w:firstRowFirstColumn="0" w:firstRowLastColumn="0" w:lastRowFirstColumn="0" w:lastRowLastColumn="0"/>
            </w:pPr>
            <w:r w:rsidRPr="004C0E60">
              <w:t>0.3</w:t>
            </w:r>
          </w:p>
        </w:tc>
        <w:tc>
          <w:tcPr>
            <w:tcW w:w="1540" w:type="dxa"/>
          </w:tcPr>
          <w:p w:rsidR="004C0E60" w:rsidRPr="004C0E60" w:rsidRDefault="004C0E60" w:rsidP="00E834E1">
            <w:pPr>
              <w:keepNext/>
              <w:cnfStyle w:val="000000000000" w:firstRow="0" w:lastRow="0" w:firstColumn="0" w:lastColumn="0" w:oddVBand="0" w:evenVBand="0" w:oddHBand="0" w:evenHBand="0" w:firstRowFirstColumn="0" w:firstRowLastColumn="0" w:lastRowFirstColumn="0" w:lastRowLastColumn="0"/>
            </w:pPr>
            <w:r w:rsidRPr="004C0E60">
              <w:t>1.8</w:t>
            </w:r>
          </w:p>
        </w:tc>
        <w:tc>
          <w:tcPr>
            <w:tcW w:w="1540" w:type="dxa"/>
          </w:tcPr>
          <w:p w:rsidR="004C0E60" w:rsidRPr="004C0E60" w:rsidRDefault="004C0E60" w:rsidP="00E834E1">
            <w:pPr>
              <w:keepNext/>
              <w:cnfStyle w:val="000000000000" w:firstRow="0" w:lastRow="0" w:firstColumn="0" w:lastColumn="0" w:oddVBand="0" w:evenVBand="0" w:oddHBand="0" w:evenHBand="0" w:firstRowFirstColumn="0" w:firstRowLastColumn="0" w:lastRowFirstColumn="0" w:lastRowLastColumn="0"/>
            </w:pPr>
            <w:r w:rsidRPr="004C0E60">
              <w:t>2.2</w:t>
            </w:r>
          </w:p>
        </w:tc>
        <w:tc>
          <w:tcPr>
            <w:tcW w:w="1541" w:type="dxa"/>
          </w:tcPr>
          <w:p w:rsidR="004C0E60" w:rsidRPr="004C0E60" w:rsidRDefault="004C0E60" w:rsidP="00E834E1">
            <w:pPr>
              <w:keepNext/>
              <w:cnfStyle w:val="000000000000" w:firstRow="0" w:lastRow="0" w:firstColumn="0" w:lastColumn="0" w:oddVBand="0" w:evenVBand="0" w:oddHBand="0" w:evenHBand="0" w:firstRowFirstColumn="0" w:firstRowLastColumn="0" w:lastRowFirstColumn="0" w:lastRowLastColumn="0"/>
            </w:pPr>
            <w:r w:rsidRPr="004C0E60">
              <w:t>-11.4</w:t>
            </w:r>
          </w:p>
        </w:tc>
        <w:tc>
          <w:tcPr>
            <w:tcW w:w="1541" w:type="dxa"/>
          </w:tcPr>
          <w:p w:rsidR="004C0E60" w:rsidRPr="004C0E60" w:rsidRDefault="004C0E60" w:rsidP="00E834E1">
            <w:pPr>
              <w:keepNext/>
              <w:cnfStyle w:val="000000000000" w:firstRow="0" w:lastRow="0" w:firstColumn="0" w:lastColumn="0" w:oddVBand="0" w:evenVBand="0" w:oddHBand="0" w:evenHBand="0" w:firstRowFirstColumn="0" w:firstRowLastColumn="0" w:lastRowFirstColumn="0" w:lastRowLastColumn="0"/>
            </w:pPr>
            <w:r w:rsidRPr="004C0E60">
              <w:t>-6.0</w:t>
            </w:r>
          </w:p>
        </w:tc>
      </w:tr>
      <w:tr w:rsidR="004C0E60" w:rsidRPr="004C0E60" w:rsidTr="001763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4C0E60" w:rsidRPr="004C0E60" w:rsidRDefault="004C0E60" w:rsidP="004C0E60">
            <w:r w:rsidRPr="004C0E60">
              <w:t>Gas and fuel construction price index</w:t>
            </w:r>
          </w:p>
        </w:tc>
        <w:tc>
          <w:tcPr>
            <w:tcW w:w="1540" w:type="dxa"/>
          </w:tcPr>
          <w:p w:rsidR="004C0E60" w:rsidRPr="004C0E60" w:rsidRDefault="004C0E60" w:rsidP="004C0E60">
            <w:pPr>
              <w:cnfStyle w:val="000000010000" w:firstRow="0" w:lastRow="0" w:firstColumn="0" w:lastColumn="0" w:oddVBand="0" w:evenVBand="0" w:oddHBand="0" w:evenHBand="1" w:firstRowFirstColumn="0" w:firstRowLastColumn="0" w:lastRowFirstColumn="0" w:lastRowLastColumn="0"/>
            </w:pPr>
            <w:r w:rsidRPr="004C0E60">
              <w:t>-2.3</w:t>
            </w:r>
          </w:p>
        </w:tc>
        <w:tc>
          <w:tcPr>
            <w:tcW w:w="1540" w:type="dxa"/>
          </w:tcPr>
          <w:p w:rsidR="004C0E60" w:rsidRPr="004C0E60" w:rsidRDefault="004C0E60" w:rsidP="004C0E60">
            <w:pPr>
              <w:cnfStyle w:val="000000010000" w:firstRow="0" w:lastRow="0" w:firstColumn="0" w:lastColumn="0" w:oddVBand="0" w:evenVBand="0" w:oddHBand="0" w:evenHBand="1" w:firstRowFirstColumn="0" w:firstRowLastColumn="0" w:lastRowFirstColumn="0" w:lastRowLastColumn="0"/>
            </w:pPr>
            <w:r w:rsidRPr="004C0E60">
              <w:t>0.5</w:t>
            </w:r>
          </w:p>
        </w:tc>
        <w:tc>
          <w:tcPr>
            <w:tcW w:w="1540" w:type="dxa"/>
          </w:tcPr>
          <w:p w:rsidR="004C0E60" w:rsidRPr="004C0E60" w:rsidRDefault="004C0E60" w:rsidP="004C0E60">
            <w:pPr>
              <w:cnfStyle w:val="000000010000" w:firstRow="0" w:lastRow="0" w:firstColumn="0" w:lastColumn="0" w:oddVBand="0" w:evenVBand="0" w:oddHBand="0" w:evenHBand="1" w:firstRowFirstColumn="0" w:firstRowLastColumn="0" w:lastRowFirstColumn="0" w:lastRowLastColumn="0"/>
            </w:pPr>
            <w:r w:rsidRPr="004C0E60">
              <w:t>0.8</w:t>
            </w:r>
          </w:p>
        </w:tc>
        <w:tc>
          <w:tcPr>
            <w:tcW w:w="1541" w:type="dxa"/>
          </w:tcPr>
          <w:p w:rsidR="004C0E60" w:rsidRPr="004C0E60" w:rsidRDefault="004C0E60" w:rsidP="004C0E60">
            <w:pPr>
              <w:cnfStyle w:val="000000010000" w:firstRow="0" w:lastRow="0" w:firstColumn="0" w:lastColumn="0" w:oddVBand="0" w:evenVBand="0" w:oddHBand="0" w:evenHBand="1" w:firstRowFirstColumn="0" w:firstRowLastColumn="0" w:lastRowFirstColumn="0" w:lastRowLastColumn="0"/>
            </w:pPr>
            <w:r w:rsidRPr="004C0E60">
              <w:t>0.9</w:t>
            </w:r>
          </w:p>
        </w:tc>
        <w:tc>
          <w:tcPr>
            <w:tcW w:w="1541" w:type="dxa"/>
          </w:tcPr>
          <w:p w:rsidR="004C0E60" w:rsidRPr="004C0E60" w:rsidRDefault="004C0E60" w:rsidP="004C0E60">
            <w:pPr>
              <w:cnfStyle w:val="000000010000" w:firstRow="0" w:lastRow="0" w:firstColumn="0" w:lastColumn="0" w:oddVBand="0" w:evenVBand="0" w:oddHBand="0" w:evenHBand="1" w:firstRowFirstColumn="0" w:firstRowLastColumn="0" w:lastRowFirstColumn="0" w:lastRowLastColumn="0"/>
            </w:pPr>
            <w:r w:rsidRPr="004C0E60">
              <w:t>1.2</w:t>
            </w:r>
          </w:p>
        </w:tc>
      </w:tr>
      <w:tr w:rsidR="004C0E60" w:rsidRPr="004C0E60" w:rsidTr="00176357">
        <w:tc>
          <w:tcPr>
            <w:cnfStyle w:val="001000000000" w:firstRow="0" w:lastRow="0" w:firstColumn="1" w:lastColumn="0" w:oddVBand="0" w:evenVBand="0" w:oddHBand="0" w:evenHBand="0" w:firstRowFirstColumn="0" w:firstRowLastColumn="0" w:lastRowFirstColumn="0" w:lastRowLastColumn="0"/>
            <w:tcW w:w="1540" w:type="dxa"/>
          </w:tcPr>
          <w:p w:rsidR="004C0E60" w:rsidRPr="004C0E60" w:rsidRDefault="004C0E60" w:rsidP="004C0E60">
            <w:r w:rsidRPr="004C0E60">
              <w:t>General materials prices</w:t>
            </w:r>
          </w:p>
        </w:tc>
        <w:tc>
          <w:tcPr>
            <w:tcW w:w="1540" w:type="dxa"/>
          </w:tcPr>
          <w:p w:rsidR="004C0E60" w:rsidRPr="004C0E60" w:rsidRDefault="004C0E60" w:rsidP="004C0E60">
            <w:pPr>
              <w:cnfStyle w:val="000000000000" w:firstRow="0" w:lastRow="0" w:firstColumn="0" w:lastColumn="0" w:oddVBand="0" w:evenVBand="0" w:oddHBand="0" w:evenHBand="0" w:firstRowFirstColumn="0" w:firstRowLastColumn="0" w:lastRowFirstColumn="0" w:lastRowLastColumn="0"/>
            </w:pPr>
            <w:r w:rsidRPr="004C0E60">
              <w:t>0.0</w:t>
            </w:r>
          </w:p>
        </w:tc>
        <w:tc>
          <w:tcPr>
            <w:tcW w:w="1540" w:type="dxa"/>
          </w:tcPr>
          <w:p w:rsidR="004C0E60" w:rsidRPr="004C0E60" w:rsidRDefault="004C0E60" w:rsidP="004C0E60">
            <w:pPr>
              <w:cnfStyle w:val="000000000000" w:firstRow="0" w:lastRow="0" w:firstColumn="0" w:lastColumn="0" w:oddVBand="0" w:evenVBand="0" w:oddHBand="0" w:evenHBand="0" w:firstRowFirstColumn="0" w:firstRowLastColumn="0" w:lastRowFirstColumn="0" w:lastRowLastColumn="0"/>
            </w:pPr>
            <w:r w:rsidRPr="004C0E60">
              <w:t>0.0</w:t>
            </w:r>
          </w:p>
        </w:tc>
        <w:tc>
          <w:tcPr>
            <w:tcW w:w="1540" w:type="dxa"/>
          </w:tcPr>
          <w:p w:rsidR="004C0E60" w:rsidRPr="004C0E60" w:rsidRDefault="004C0E60" w:rsidP="004C0E60">
            <w:pPr>
              <w:cnfStyle w:val="000000000000" w:firstRow="0" w:lastRow="0" w:firstColumn="0" w:lastColumn="0" w:oddVBand="0" w:evenVBand="0" w:oddHBand="0" w:evenHBand="0" w:firstRowFirstColumn="0" w:firstRowLastColumn="0" w:lastRowFirstColumn="0" w:lastRowLastColumn="0"/>
            </w:pPr>
            <w:r w:rsidRPr="004C0E60">
              <w:t>0.0</w:t>
            </w:r>
          </w:p>
        </w:tc>
        <w:tc>
          <w:tcPr>
            <w:tcW w:w="1541" w:type="dxa"/>
          </w:tcPr>
          <w:p w:rsidR="004C0E60" w:rsidRPr="004C0E60" w:rsidRDefault="004C0E60" w:rsidP="004C0E60">
            <w:pPr>
              <w:cnfStyle w:val="000000000000" w:firstRow="0" w:lastRow="0" w:firstColumn="0" w:lastColumn="0" w:oddVBand="0" w:evenVBand="0" w:oddHBand="0" w:evenHBand="0" w:firstRowFirstColumn="0" w:firstRowLastColumn="0" w:lastRowFirstColumn="0" w:lastRowLastColumn="0"/>
            </w:pPr>
            <w:r w:rsidRPr="004C0E60">
              <w:t>0.0</w:t>
            </w:r>
          </w:p>
        </w:tc>
        <w:tc>
          <w:tcPr>
            <w:tcW w:w="1541" w:type="dxa"/>
          </w:tcPr>
          <w:p w:rsidR="004C0E60" w:rsidRPr="004C0E60" w:rsidRDefault="004C0E60" w:rsidP="004C0E60">
            <w:pPr>
              <w:cnfStyle w:val="000000000000" w:firstRow="0" w:lastRow="0" w:firstColumn="0" w:lastColumn="0" w:oddVBand="0" w:evenVBand="0" w:oddHBand="0" w:evenHBand="0" w:firstRowFirstColumn="0" w:firstRowLastColumn="0" w:lastRowFirstColumn="0" w:lastRowLastColumn="0"/>
            </w:pPr>
            <w:r w:rsidRPr="004C0E60">
              <w:t>0.0</w:t>
            </w:r>
          </w:p>
        </w:tc>
      </w:tr>
    </w:tbl>
    <w:p w:rsidR="004C0E60" w:rsidRPr="004C0E60" w:rsidRDefault="004C0E60" w:rsidP="00E834E1">
      <w:pPr>
        <w:pStyle w:val="FootnoteText"/>
        <w:tabs>
          <w:tab w:val="clear" w:pos="340"/>
          <w:tab w:val="left" w:pos="709"/>
        </w:tabs>
        <w:ind w:left="709" w:hanging="709"/>
      </w:pPr>
      <w:r w:rsidRPr="004C0E60">
        <w:t>Source:</w:t>
      </w:r>
      <w:r w:rsidRPr="004C0E60">
        <w:tab/>
        <w:t>ActewAGL, Access Arrangement Proposal, Appendix 5.03 BIS Shrapnel - Real labour and material cost escalation forecasts to 2020</w:t>
      </w:r>
      <w:r w:rsidR="00740F26">
        <w:t>–</w:t>
      </w:r>
      <w:r w:rsidRPr="004C0E60">
        <w:t>21, February 2015, p. 43.</w:t>
      </w:r>
    </w:p>
    <w:p w:rsidR="004C0E60" w:rsidRPr="004C0E60" w:rsidRDefault="004C0E60" w:rsidP="00BE4D71">
      <w:r w:rsidRPr="004C0E60">
        <w:t xml:space="preserve">ActewAGL stated that for </w:t>
      </w:r>
      <w:r w:rsidRPr="00AD2733">
        <w:rPr>
          <w:rStyle w:val="AERbody"/>
        </w:rPr>
        <w:t>each</w:t>
      </w:r>
      <w:r w:rsidRPr="004C0E60">
        <w:t xml:space="preserve"> average unit rate and the Construction Management Fee it estimated the proportion of labour and materials, and that these weights were then applied to escalate each unit rate to account for price changes. ActewAGL also stated that these escalators are used to predict the price changes to expenditure categories that are inputs to its capital expenditure, which mostly consists of specialised labour to install mains, connections of meters and station construction in addition to the cost of materials used to produce inputs such as a length of steel main.</w:t>
      </w:r>
      <w:r w:rsidRPr="004C0E60">
        <w:rPr>
          <w:vertAlign w:val="superscript"/>
        </w:rPr>
        <w:footnoteReference w:id="124"/>
      </w:r>
    </w:p>
    <w:p w:rsidR="004C0E60" w:rsidRPr="004C0E60" w:rsidRDefault="004C0E60" w:rsidP="00E434C3">
      <w:pPr>
        <w:pStyle w:val="Heading8"/>
      </w:pPr>
      <w:bookmarkStart w:id="52" w:name="_Toc326056441"/>
      <w:bookmarkStart w:id="53" w:name="_Toc365283286"/>
      <w:bookmarkStart w:id="54" w:name="_Toc404676606"/>
      <w:bookmarkStart w:id="55" w:name="_Toc435692227"/>
      <w:r w:rsidRPr="004C0E60">
        <w:t>Assessment approach</w:t>
      </w:r>
      <w:bookmarkEnd w:id="52"/>
      <w:bookmarkEnd w:id="53"/>
      <w:bookmarkEnd w:id="54"/>
      <w:bookmarkEnd w:id="55"/>
    </w:p>
    <w:p w:rsidR="004C0E60" w:rsidRPr="00E434C3" w:rsidRDefault="00BE4D71" w:rsidP="00E434C3">
      <w:r>
        <w:t>In determining whether real cost escalators</w:t>
      </w:r>
      <w:r w:rsidR="004C0E60" w:rsidRPr="00E434C3">
        <w:t xml:space="preserve"> would be </w:t>
      </w:r>
      <w:r>
        <w:t xml:space="preserve">applied </w:t>
      </w:r>
      <w:r w:rsidR="004C0E60" w:rsidRPr="00E434C3">
        <w:t>by a prudent service provider acting efficiently, in accordance with accepted good industry practice, to achieve the lowest sustainable cost of providing services</w:t>
      </w:r>
      <w:r>
        <w:t>,</w:t>
      </w:r>
      <w:r>
        <w:rPr>
          <w:rStyle w:val="FootnoteReference"/>
        </w:rPr>
        <w:footnoteReference w:id="125"/>
      </w:r>
      <w:r w:rsidR="004C0E60" w:rsidRPr="00E434C3">
        <w:t xml:space="preserve"> </w:t>
      </w:r>
      <w:r>
        <w:t>the approach we have applied in this draft decision is the same as that which we apply in electricity distribution and transmission determinations.</w:t>
      </w:r>
      <w:r w:rsidR="00B73C9F">
        <w:t xml:space="preserve"> In particular, </w:t>
      </w:r>
      <w:r w:rsidR="004C0E60" w:rsidRPr="00E434C3">
        <w:t>the views expressed in our Expenditure Forecast Assessment Guideline (Expenditure Guideline) in respect to assessing the input price modelling approach to forecast materials cost</w:t>
      </w:r>
      <w:r w:rsidR="00B73C9F">
        <w:t xml:space="preserve"> are relevant</w:t>
      </w:r>
      <w:r w:rsidR="004C0E60" w:rsidRPr="00E434C3">
        <w:t>.</w:t>
      </w:r>
      <w:r w:rsidR="00B73C9F">
        <w:rPr>
          <w:rStyle w:val="FootnoteReference"/>
        </w:rPr>
        <w:footnoteReference w:id="126"/>
      </w:r>
      <w:r w:rsidR="004C0E60" w:rsidRPr="00E434C3">
        <w:t xml:space="preserve"> </w:t>
      </w:r>
      <w:r w:rsidR="00B73C9F">
        <w:t>In this regard</w:t>
      </w:r>
      <w:r w:rsidR="00B73C9F" w:rsidRPr="00E434C3">
        <w:t xml:space="preserve"> </w:t>
      </w:r>
      <w:r w:rsidR="004C0E60" w:rsidRPr="00E434C3">
        <w:t xml:space="preserve">the Expenditure Guideline is also relevant in our assessment of proposed expenditure by gas service providers. </w:t>
      </w:r>
    </w:p>
    <w:p w:rsidR="004C0E60" w:rsidRPr="00E434C3" w:rsidRDefault="004C0E60" w:rsidP="00E434C3">
      <w:r w:rsidRPr="00E434C3">
        <w:t>In the Expenditure Guideline we stated that we had seen limited evidence to demonstrate that the commodity input weightings used by service providers to generate a forecast of the cost of material inputs have produced unbiased forecasts of the costs the service providers paid for manufactured materials.</w:t>
      </w:r>
      <w:r w:rsidR="00B73C9F">
        <w:rPr>
          <w:rStyle w:val="FootnoteReference"/>
        </w:rPr>
        <w:footnoteReference w:id="127"/>
      </w:r>
      <w:r w:rsidRPr="00E434C3">
        <w:t xml:space="preserve"> We considered it important that such evidence be provided because the changes in the prices of manufactured materials are not solely influenced by the changes in the raw materials that are used.</w:t>
      </w:r>
      <w:r w:rsidR="00B73C9F">
        <w:rPr>
          <w:rStyle w:val="FootnoteReference"/>
        </w:rPr>
        <w:footnoteReference w:id="128"/>
      </w:r>
      <w:r w:rsidRPr="00E434C3">
        <w:t xml:space="preserve"> Subsequently, the price of manufactured network materials may not be well correlated with raw material input costs. We expect service providers to demonstrate that their proposed approach to forecast manufactured material cost changes is likely to reasonably reflect changes in raw material input costs. </w:t>
      </w:r>
    </w:p>
    <w:p w:rsidR="004C0E60" w:rsidRPr="00E434C3" w:rsidRDefault="004C0E60" w:rsidP="00E434C3">
      <w:r w:rsidRPr="00E434C3">
        <w:t>In our assessment of material cost escalation, we:</w:t>
      </w:r>
    </w:p>
    <w:p w:rsidR="004C0E60" w:rsidRPr="00E434C3" w:rsidRDefault="004C0E60" w:rsidP="00E434C3">
      <w:pPr>
        <w:pStyle w:val="AERbulletlistfirststyle"/>
      </w:pPr>
      <w:r w:rsidRPr="00E434C3">
        <w:t>reviewed the BIS Shrapnel report commissioned by ActewAGL</w:t>
      </w:r>
      <w:r w:rsidR="00B73C9F">
        <w:rPr>
          <w:rStyle w:val="FootnoteReference"/>
        </w:rPr>
        <w:footnoteReference w:id="129"/>
      </w:r>
    </w:p>
    <w:p w:rsidR="004C0E60" w:rsidRPr="00E434C3" w:rsidRDefault="004C0E60" w:rsidP="00E434C3">
      <w:pPr>
        <w:pStyle w:val="AERbulletlistfirststyle"/>
      </w:pPr>
      <w:r w:rsidRPr="00E434C3">
        <w:t>reviewed the cost escalation model used by ActewAGL and</w:t>
      </w:r>
    </w:p>
    <w:p w:rsidR="004C0E60" w:rsidRPr="00E434C3" w:rsidRDefault="004C0E60" w:rsidP="00E434C3">
      <w:pPr>
        <w:pStyle w:val="AERbulletlistfirststyle"/>
      </w:pPr>
      <w:proofErr w:type="gramStart"/>
      <w:r w:rsidRPr="00E434C3">
        <w:t>reviewed</w:t>
      </w:r>
      <w:proofErr w:type="gramEnd"/>
      <w:r w:rsidRPr="00E434C3">
        <w:t xml:space="preserve"> the approach to forecasting manufactured material costs in the context of gas service providers mitigating such costs and producing unbiased forecasts.</w:t>
      </w:r>
    </w:p>
    <w:p w:rsidR="004C0E60" w:rsidRPr="004C0E60" w:rsidRDefault="004C0E60" w:rsidP="00E434C3">
      <w:pPr>
        <w:pStyle w:val="Heading8"/>
      </w:pPr>
      <w:bookmarkStart w:id="56" w:name="_Toc404676607"/>
      <w:bookmarkStart w:id="57" w:name="_Toc435692228"/>
      <w:bookmarkStart w:id="58" w:name="_Toc326056442"/>
      <w:bookmarkStart w:id="59" w:name="_Toc365283287"/>
      <w:r w:rsidRPr="004C0E60">
        <w:t>Reasons</w:t>
      </w:r>
      <w:bookmarkEnd w:id="56"/>
      <w:bookmarkEnd w:id="57"/>
      <w:r w:rsidRPr="004C0E60">
        <w:t xml:space="preserve"> </w:t>
      </w:r>
      <w:bookmarkEnd w:id="58"/>
      <w:bookmarkEnd w:id="59"/>
    </w:p>
    <w:p w:rsidR="004C0E60" w:rsidRPr="004C0E60" w:rsidRDefault="004C0E60" w:rsidP="00E434C3">
      <w:r w:rsidRPr="004C0E60">
        <w:t xml:space="preserve">We must be satisfied that a forecast is based on a sound and robust methodology in order to accept that </w:t>
      </w:r>
      <w:proofErr w:type="spellStart"/>
      <w:r w:rsidRPr="004C0E60">
        <w:t>ActewAGL’s</w:t>
      </w:r>
      <w:proofErr w:type="spellEnd"/>
      <w:r w:rsidRPr="004C0E60">
        <w:t xml:space="preserve"> proposed total capex </w:t>
      </w:r>
      <w:r w:rsidR="00B73C9F">
        <w:t xml:space="preserve">is conforming capex that complies with rule 79, is </w:t>
      </w:r>
      <w:r w:rsidRPr="004C0E60">
        <w:t>arrived at on a reasonable basis, and are the best forecast possible in the circumstances.</w:t>
      </w:r>
      <w:r w:rsidRPr="004C0E60">
        <w:rPr>
          <w:sz w:val="16"/>
          <w:vertAlign w:val="superscript"/>
        </w:rPr>
        <w:footnoteReference w:id="130"/>
      </w:r>
      <w:r w:rsidRPr="004C0E60">
        <w:t xml:space="preserve"> In making our assessment, we recognise that predicting future materials costs for gas service providers involves a degree of uncertainty. However, for the reasons set out below, we are not satisfied that the materials forecasts </w:t>
      </w:r>
      <w:r w:rsidR="00B73C9F">
        <w:t xml:space="preserve">proposed </w:t>
      </w:r>
      <w:r w:rsidRPr="004C0E60">
        <w:t xml:space="preserve">by ActewAGL satisfy the requirements of the NGR. Accordingly, we have not accepted it as part of our substitute estimate in our draft decision on total forecast capex. We are satisfied that </w:t>
      </w:r>
      <w:r w:rsidR="00B73C9F">
        <w:t xml:space="preserve">applying a </w:t>
      </w:r>
      <w:r w:rsidRPr="004C0E60">
        <w:t xml:space="preserve">zero per cent real cost escalation is reasonably likely to </w:t>
      </w:r>
      <w:r w:rsidR="00B73C9F">
        <w:t>result in conforming capex that complies with rule 79.</w:t>
      </w:r>
    </w:p>
    <w:p w:rsidR="004C0E60" w:rsidRPr="004C0E60" w:rsidRDefault="004C0E60" w:rsidP="00AD2733">
      <w:pPr>
        <w:pStyle w:val="HeadingBoldItalic"/>
        <w:rPr>
          <w:noProof/>
          <w:lang w:val="en-US" w:eastAsia="ja-JP"/>
        </w:rPr>
      </w:pPr>
      <w:r w:rsidRPr="004C0E60">
        <w:rPr>
          <w:noProof/>
          <w:lang w:val="en-US" w:eastAsia="ja-JP"/>
        </w:rPr>
        <w:t xml:space="preserve">Materials input cost model </w:t>
      </w:r>
    </w:p>
    <w:p w:rsidR="004C0E60" w:rsidRPr="00E434C3" w:rsidRDefault="004C0E60" w:rsidP="00E434C3">
      <w:proofErr w:type="spellStart"/>
      <w:r w:rsidRPr="00E434C3">
        <w:t>ActewAGL’s</w:t>
      </w:r>
      <w:proofErr w:type="spellEnd"/>
      <w:r w:rsidRPr="00E434C3">
        <w:t xml:space="preserve"> capex forecast model does not demonstrate how and to what extent material inputs have affected the cost of inputs such as gas mains and meters. In particular, there is no supporting evidence to substantiate how accurately </w:t>
      </w:r>
      <w:proofErr w:type="spellStart"/>
      <w:r w:rsidRPr="00E434C3">
        <w:t>ActewAGL’s</w:t>
      </w:r>
      <w:proofErr w:type="spellEnd"/>
      <w:r w:rsidRPr="00E434C3">
        <w:t xml:space="preserve"> materials escalation forecasts reasonably reflected changes in prices they paid for assets in the past to assess the reliability of forecast materials prices. </w:t>
      </w:r>
    </w:p>
    <w:p w:rsidR="004C0E60" w:rsidRPr="00E434C3" w:rsidRDefault="004C0E60" w:rsidP="00E434C3">
      <w:r w:rsidRPr="00E434C3">
        <w:t xml:space="preserve">In our Expenditure Guideline, we requested service providers demonstrate that their proposed approach to forecast materials cost changes reasonably reflected the change in prices they paid for physical inputs in the past. </w:t>
      </w:r>
      <w:proofErr w:type="spellStart"/>
      <w:r w:rsidRPr="00E434C3">
        <w:t>ActewAGL’s</w:t>
      </w:r>
      <w:proofErr w:type="spellEnd"/>
      <w:r w:rsidRPr="00E434C3">
        <w:t xml:space="preserve"> proposal does not include supporting data or information which demonstrates movements or interlink-ages between changes in the input prices of commodities and the prices ActewAGL paid for physical inputs. </w:t>
      </w:r>
      <w:proofErr w:type="spellStart"/>
      <w:r w:rsidRPr="00E434C3">
        <w:t>ActewAGL’s</w:t>
      </w:r>
      <w:proofErr w:type="spellEnd"/>
      <w:r w:rsidRPr="00E434C3">
        <w:t xml:space="preserve"> capex forecast model assumes a weighting of commodity inputs for each asset class but does not provide information which explains the basis for the weightings or that the weightings applied have produced unbiased forecasts of the costs of </w:t>
      </w:r>
      <w:proofErr w:type="spellStart"/>
      <w:r w:rsidRPr="00E434C3">
        <w:t>ActewAGL’s</w:t>
      </w:r>
      <w:proofErr w:type="spellEnd"/>
      <w:r w:rsidRPr="00E434C3">
        <w:t xml:space="preserve"> assets. For these reasons, there is no basis on which we can conclude that the forecasts are reliable. In summary, ActewAGL has not demonstrated that their proposed approach to forecast materials cost changes reasonably reflects the change in prices they paid for assets in the past. </w:t>
      </w:r>
    </w:p>
    <w:p w:rsidR="004C0E60" w:rsidRPr="004C0E60" w:rsidRDefault="004C0E60" w:rsidP="00AD2733">
      <w:pPr>
        <w:pStyle w:val="HeadingBoldItalic"/>
        <w:rPr>
          <w:noProof/>
          <w:lang w:val="en-US" w:eastAsia="ja-JP"/>
        </w:rPr>
      </w:pPr>
      <w:r w:rsidRPr="004C0E60">
        <w:rPr>
          <w:noProof/>
          <w:lang w:val="en-US" w:eastAsia="ja-JP"/>
        </w:rPr>
        <w:t xml:space="preserve">Materials input cost model forecasting </w:t>
      </w:r>
    </w:p>
    <w:p w:rsidR="004C0E60" w:rsidRPr="00E434C3" w:rsidRDefault="004C0E60" w:rsidP="00E434C3">
      <w:r w:rsidRPr="00E434C3">
        <w:t xml:space="preserve">ActewAGL has used its consultant's report to estimate cost escalation factors in order to assist in forecasting future operating and capital expenditure. These cost escalation factors include commodity inputs in the case of capital expenditure. The consultant has adopted a high level approach hypothesising a relationship between these commodity inputs and the physical assets purchased by ActewAGL. Neither the consultant's report nor ActewAGL have successfully attempted to explain or quantify this relationship, particularly in respect to movements in the prices between the commodity inputs and the physical assets and the derivation of commodity input weightings for each asset class. </w:t>
      </w:r>
    </w:p>
    <w:p w:rsidR="004C0E60" w:rsidRPr="00E434C3" w:rsidRDefault="004C0E60" w:rsidP="00E434C3">
      <w:r w:rsidRPr="00E434C3">
        <w:t>We recognise that active trading or futures markets to forecast prices of assets such as pipes and meters are not available and that in order to forecast the prices of these assets a proxy forecasting method needs to be adopted. Nonetheless, that forecasting method must be reasonably reliable to estimate the prices of inputs used by service providers to provide network services. ActewAGL has not provided any supporting information that indicates whether the forecasts have taken into account any material exogenous factors which may impact on the reliability of material input costs. Such factors may include changes in technologies which affect the weighting of commodity inputs, suppliers of the physical assets changing their sourcing for the commodity inputs, and the general volatility of exchange rates.</w:t>
      </w:r>
    </w:p>
    <w:p w:rsidR="004C0E60" w:rsidRPr="004C0E60" w:rsidRDefault="004C0E60" w:rsidP="00AD2733">
      <w:pPr>
        <w:pStyle w:val="HeadingBoldItalic"/>
        <w:rPr>
          <w:noProof/>
          <w:lang w:val="en-US" w:eastAsia="ja-JP"/>
        </w:rPr>
      </w:pPr>
      <w:r w:rsidRPr="004C0E60">
        <w:rPr>
          <w:noProof/>
          <w:lang w:val="en-US" w:eastAsia="ja-JP"/>
        </w:rPr>
        <w:t>Materials input cost mitigation</w:t>
      </w:r>
    </w:p>
    <w:p w:rsidR="004C0E60" w:rsidRPr="00E434C3" w:rsidRDefault="004C0E60" w:rsidP="00E434C3">
      <w:r w:rsidRPr="00E434C3">
        <w:t xml:space="preserve">We consider that there is potential for ActewAGL to mitigate the magnitude of any overall input cost increases. This could be achieved by: </w:t>
      </w:r>
    </w:p>
    <w:p w:rsidR="00176357" w:rsidRPr="00E434C3" w:rsidRDefault="004C0E60" w:rsidP="00E434C3">
      <w:pPr>
        <w:pStyle w:val="AERbulletlistfirststyle"/>
      </w:pPr>
      <w:proofErr w:type="gramStart"/>
      <w:r w:rsidRPr="00E434C3">
        <w:t>potential</w:t>
      </w:r>
      <w:proofErr w:type="gramEnd"/>
      <w:r w:rsidRPr="00E434C3">
        <w:t xml:space="preserve"> commodity input substitution by the gas service provider and the supplier of the inputs. An increase in the price of one commodity input may result in input substitution to an appropriate level providing there are no technically fixed proportions between the inputs. Although there will likely be an increase in the cost of production for a given output level, the overall cost increase will be less than the weighted sum of the input cost increase using the initial input share weights due to substitution of the now relatively cheaper input for t</w:t>
      </w:r>
      <w:r w:rsidR="00E434C3">
        <w:t>his relatively expensive input.</w:t>
      </w:r>
      <w:r w:rsidR="00E434C3">
        <w:br/>
      </w:r>
      <w:r w:rsidR="00E434C3">
        <w:br/>
      </w:r>
      <w:r w:rsidR="006B6310" w:rsidRPr="00E434C3">
        <w:t xml:space="preserve">We are aware of input substitution occurring in the </w:t>
      </w:r>
      <w:r w:rsidRPr="00E434C3">
        <w:t>electricity i</w:t>
      </w:r>
      <w:r w:rsidR="006B6310" w:rsidRPr="00E434C3">
        <w:t xml:space="preserve">ndustry during the late 1960's when copper prices increased, potentially impacting significantly on the cost of copper cables. </w:t>
      </w:r>
      <w:r w:rsidRPr="00E434C3">
        <w:t>Electricity</w:t>
      </w:r>
      <w:r w:rsidR="006B6310" w:rsidRPr="00E434C3">
        <w:t xml:space="preserve"> service provider's cable costs were mitigated as relatively cheaper aluminium cables could be substituted for copper cables. We do however recognise that the principle of input substitutability cannot be applied to all inputs, at least in the short term, because there are technologies with which some inputs are not substitutable. However, even in the short term there may be substitution possibilities between operating and capital expenditure, thereby potentially reducing the total expenditure requirements of a gas service provider. </w:t>
      </w:r>
    </w:p>
    <w:p w:rsidR="004C0E60" w:rsidRPr="00E434C3" w:rsidRDefault="004C0E60" w:rsidP="00E434C3">
      <w:pPr>
        <w:pStyle w:val="AERbulletlistfirststyle"/>
      </w:pPr>
      <w:proofErr w:type="gramStart"/>
      <w:r w:rsidRPr="00E434C3">
        <w:t>the</w:t>
      </w:r>
      <w:proofErr w:type="gramEnd"/>
      <w:r w:rsidRPr="00E434C3">
        <w:t xml:space="preserve"> substitution potential between opex and capex when the relative prices of operating and capital inputs change. For example, ActewAGL has not demonstrated whether there are any opportunities to increase the level of opex (e.g. maintenance costs) for any of its asset classes in an environment of increasing material input costs</w:t>
      </w:r>
    </w:p>
    <w:p w:rsidR="004C0E60" w:rsidRPr="00E434C3" w:rsidRDefault="004C0E60" w:rsidP="00E434C3">
      <w:pPr>
        <w:pStyle w:val="AERbulletlistfirststyle"/>
      </w:pPr>
      <w:r w:rsidRPr="00E434C3">
        <w:t>the scale of any operation change to the gas service provider's business that may impact on its capex requirements, including an increase in capex efficiency, and</w:t>
      </w:r>
    </w:p>
    <w:p w:rsidR="004C0E60" w:rsidRPr="00E434C3" w:rsidRDefault="004C0E60" w:rsidP="00E434C3">
      <w:pPr>
        <w:pStyle w:val="AERbulletlistfirststyle"/>
      </w:pPr>
      <w:proofErr w:type="gramStart"/>
      <w:r w:rsidRPr="00E434C3">
        <w:t>increases</w:t>
      </w:r>
      <w:proofErr w:type="gramEnd"/>
      <w:r w:rsidRPr="00E434C3">
        <w:t xml:space="preserve"> in productivity that have not been taken into account by ActewAGL in forecasting its capex requirements.</w:t>
      </w:r>
    </w:p>
    <w:p w:rsidR="004C0E60" w:rsidRPr="004C0E60" w:rsidRDefault="004C0E60" w:rsidP="00E434C3">
      <w:r w:rsidRPr="004C0E60">
        <w:t>By discounting the possibility of commodity input substitution throughout the 2015</w:t>
      </w:r>
      <w:r w:rsidR="00740F26">
        <w:t>–</w:t>
      </w:r>
      <w:r w:rsidRPr="004C0E60">
        <w:t xml:space="preserve">2020 </w:t>
      </w:r>
      <w:proofErr w:type="gramStart"/>
      <w:r w:rsidRPr="004C0E60">
        <w:t>period</w:t>
      </w:r>
      <w:proofErr w:type="gramEnd"/>
      <w:r w:rsidRPr="004C0E60">
        <w:t>, we consider that there is potential for an upward bias in estimating material input cost escalation by maintaining the base year cost commodity share weights.</w:t>
      </w:r>
    </w:p>
    <w:p w:rsidR="004C0E60" w:rsidRPr="004C0E60" w:rsidRDefault="004C0E60" w:rsidP="00AD2733">
      <w:pPr>
        <w:pStyle w:val="HeadingBoldItalic"/>
        <w:rPr>
          <w:noProof/>
          <w:lang w:val="en-US" w:eastAsia="ja-JP"/>
        </w:rPr>
      </w:pPr>
      <w:r w:rsidRPr="004C0E60">
        <w:rPr>
          <w:noProof/>
          <w:lang w:val="en-US" w:eastAsia="ja-JP"/>
        </w:rPr>
        <w:t>Forecasting uncertainty</w:t>
      </w:r>
    </w:p>
    <w:p w:rsidR="004C0E60" w:rsidRPr="004C0E60" w:rsidRDefault="004C0E60" w:rsidP="004C0E60">
      <w:r w:rsidRPr="004C0E60">
        <w:t>The NGR requires that a gas service provider's forecast capital expenditure must be arrived at on a reasonable basis and must represent the best forecast or estimate possible in the circumstances.</w:t>
      </w:r>
      <w:r w:rsidRPr="004C0E60">
        <w:rPr>
          <w:sz w:val="16"/>
          <w:vertAlign w:val="superscript"/>
        </w:rPr>
        <w:footnoteReference w:id="131"/>
      </w:r>
      <w:r w:rsidRPr="004C0E60">
        <w:t xml:space="preserve"> We consider that there is likely to be significant uncertainty in forecasting commodity input price movements. The following factors have assisted us in forming this view:</w:t>
      </w:r>
    </w:p>
    <w:p w:rsidR="004C0E60" w:rsidRPr="00E434C3" w:rsidRDefault="004C0E60" w:rsidP="00E434C3">
      <w:pPr>
        <w:pStyle w:val="AERbulletlistfirststyle"/>
      </w:pPr>
      <w:r w:rsidRPr="00E434C3">
        <w:t>recent studies which show that forecasts of crude oil spot prices based on futures prices do not provide a significant improvement compared to a ‘no-change’ forecast for most forecast horizons, and sometimes perform worse</w:t>
      </w:r>
      <w:r w:rsidRPr="00AD2733">
        <w:rPr>
          <w:vertAlign w:val="superscript"/>
        </w:rPr>
        <w:footnoteReference w:id="132"/>
      </w:r>
      <w:r w:rsidRPr="00AD2733">
        <w:rPr>
          <w:vertAlign w:val="superscript"/>
        </w:rPr>
        <w:t xml:space="preserve"> </w:t>
      </w:r>
    </w:p>
    <w:p w:rsidR="004C0E60" w:rsidRPr="00E434C3" w:rsidRDefault="004C0E60" w:rsidP="00E434C3">
      <w:pPr>
        <w:pStyle w:val="AERbulletlistfirststyle"/>
      </w:pPr>
      <w:proofErr w:type="gramStart"/>
      <w:r w:rsidRPr="00E434C3">
        <w:t>evidence</w:t>
      </w:r>
      <w:proofErr w:type="gramEnd"/>
      <w:r w:rsidRPr="00E434C3">
        <w:t xml:space="preserve"> in the economic literature on the usefulness of commodities futures prices in forecasting spot prices is somewhat mixed. Only for some commodities and for some forecast horizons do futures prices perform better than ‘no change’ forecasts;</w:t>
      </w:r>
      <w:r w:rsidRPr="00AD2733">
        <w:rPr>
          <w:vertAlign w:val="superscript"/>
        </w:rPr>
        <w:footnoteReference w:id="133"/>
      </w:r>
      <w:r w:rsidRPr="00E434C3">
        <w:t xml:space="preserve"> and</w:t>
      </w:r>
    </w:p>
    <w:p w:rsidR="004C0E60" w:rsidRPr="00E434C3" w:rsidRDefault="004C0E60" w:rsidP="00E434C3">
      <w:pPr>
        <w:pStyle w:val="AERbulletlistfirststyle"/>
      </w:pPr>
      <w:proofErr w:type="gramStart"/>
      <w:r w:rsidRPr="00E434C3">
        <w:t>the</w:t>
      </w:r>
      <w:proofErr w:type="gramEnd"/>
      <w:r w:rsidRPr="00E434C3">
        <w:t xml:space="preserve"> difficulty in forecasting nominal exchange rates (used to convert most materials which are priced in $US to $AUS). A review of the economic literature of exchange rate forecast models suggests a “no change” forecasting approach may be preferable to the forward exchange rate produced by these forecasting models.</w:t>
      </w:r>
      <w:r w:rsidRPr="00AD2733">
        <w:rPr>
          <w:vertAlign w:val="superscript"/>
        </w:rPr>
        <w:footnoteReference w:id="134"/>
      </w:r>
    </w:p>
    <w:p w:rsidR="004C0E60" w:rsidRPr="004C0E60" w:rsidRDefault="004C0E60" w:rsidP="00AD2733">
      <w:pPr>
        <w:pStyle w:val="HeadingBoldItalic"/>
        <w:rPr>
          <w:noProof/>
          <w:lang w:val="en-US" w:eastAsia="ja-JP"/>
        </w:rPr>
      </w:pPr>
      <w:r w:rsidRPr="004C0E60">
        <w:rPr>
          <w:noProof/>
          <w:lang w:val="en-US" w:eastAsia="ja-JP"/>
        </w:rPr>
        <w:t>Strategic contracts with suppliers</w:t>
      </w:r>
    </w:p>
    <w:p w:rsidR="004C0E60" w:rsidRPr="004C0E60" w:rsidRDefault="004C0E60" w:rsidP="004C0E60">
      <w:r w:rsidRPr="004C0E60">
        <w:t>We consider that gas service providers can mitigate the risks associated with changes in material input costs by including hedging strategies or price escalation provisions in their contracts with suppliers of inputs (e.g. by including fixed prices in long term contracts). We also consider there is the potential for double counting where contract prices reflect this allocation of risk from the gas service provider to the supplier, where a real escalation is then factored into forecast capex. In considering the substitution possibilities between operating and capital expenditure, we note that it is open to a gas service provider to mitigate the potential impact of escalating contract prices by transferring this risk, where possible, to its operating expenditure.</w:t>
      </w:r>
    </w:p>
    <w:p w:rsidR="004C0E60" w:rsidRPr="004C0E60" w:rsidRDefault="004C0E60" w:rsidP="00AD2733">
      <w:pPr>
        <w:pStyle w:val="HeadingBoldItalic"/>
        <w:rPr>
          <w:noProof/>
          <w:lang w:val="en-US" w:eastAsia="ja-JP"/>
        </w:rPr>
      </w:pPr>
      <w:r w:rsidRPr="004C0E60">
        <w:rPr>
          <w:noProof/>
          <w:lang w:val="en-US" w:eastAsia="ja-JP"/>
        </w:rPr>
        <w:t>Cost based price increases</w:t>
      </w:r>
    </w:p>
    <w:p w:rsidR="004C0E60" w:rsidRPr="004C0E60" w:rsidRDefault="004C0E60" w:rsidP="004C0E60">
      <w:r w:rsidRPr="004C0E60">
        <w:t>Allowing individual material input costs that constitute cost escalation reflects more cost based price increases. We consider this cost based approach reduces the incentives for gas service providers to manage their capex efficiently, and may instead incentivise gas service providers to over forecast their capex. This is not consistent with the revenue and pricing principles in the NGL in respect of promoting efficient investment.</w:t>
      </w:r>
      <w:r w:rsidRPr="004C0E60">
        <w:rPr>
          <w:sz w:val="16"/>
          <w:vertAlign w:val="superscript"/>
        </w:rPr>
        <w:footnoteReference w:id="135"/>
      </w:r>
      <w:r w:rsidRPr="004C0E60">
        <w:t xml:space="preserve"> It is also not consistent with the requirements of the NGL respect of incentives.</w:t>
      </w:r>
      <w:r w:rsidRPr="004C0E60">
        <w:rPr>
          <w:sz w:val="16"/>
          <w:vertAlign w:val="superscript"/>
        </w:rPr>
        <w:footnoteReference w:id="136"/>
      </w:r>
      <w:r w:rsidRPr="004C0E60">
        <w:t xml:space="preserve">  </w:t>
      </w:r>
    </w:p>
    <w:p w:rsidR="004C0E60" w:rsidRPr="004C0E60" w:rsidRDefault="004C0E60" w:rsidP="00E834E1">
      <w:pPr>
        <w:pStyle w:val="HeadingBoldItalic"/>
        <w:keepNext/>
        <w:rPr>
          <w:noProof/>
          <w:lang w:val="en-US" w:eastAsia="ja-JP"/>
        </w:rPr>
      </w:pPr>
      <w:r w:rsidRPr="004C0E60">
        <w:rPr>
          <w:noProof/>
          <w:lang w:val="en-US" w:eastAsia="ja-JP"/>
        </w:rPr>
        <w:t>Selection of commodity inputs</w:t>
      </w:r>
    </w:p>
    <w:p w:rsidR="004C0E60" w:rsidRPr="004C0E60" w:rsidRDefault="004C0E60" w:rsidP="004C0E60">
      <w:r w:rsidRPr="004C0E60">
        <w:t xml:space="preserve">The limited number of material inputs included in </w:t>
      </w:r>
      <w:proofErr w:type="spellStart"/>
      <w:r w:rsidRPr="004C0E60">
        <w:t>ActewAGL’s</w:t>
      </w:r>
      <w:proofErr w:type="spellEnd"/>
      <w:r w:rsidRPr="004C0E60">
        <w:t xml:space="preserve"> capex forecast model may not be representative of the full set of inputs or input choices impacting on changes in the prices of assets purchased by ActewAGL. </w:t>
      </w:r>
      <w:proofErr w:type="spellStart"/>
      <w:r w:rsidRPr="004C0E60">
        <w:t>ActewAGL’s</w:t>
      </w:r>
      <w:proofErr w:type="spellEnd"/>
      <w:r w:rsidRPr="004C0E60">
        <w:t xml:space="preserve"> capex forecast model may also be biased to the extent that it may include a selective subset of commodities that are forecast to incr</w:t>
      </w:r>
      <w:r w:rsidR="00AD2733">
        <w:t>ease in price during the 2016</w:t>
      </w:r>
      <w:r w:rsidR="00740F26">
        <w:t>–</w:t>
      </w:r>
      <w:r w:rsidRPr="004C0E60">
        <w:t xml:space="preserve">21 </w:t>
      </w:r>
      <w:r w:rsidR="00AD2733">
        <w:t>access arrangement</w:t>
      </w:r>
      <w:r w:rsidRPr="004C0E60">
        <w:t xml:space="preserve"> </w:t>
      </w:r>
      <w:proofErr w:type="gramStart"/>
      <w:r w:rsidRPr="004C0E60">
        <w:t>period</w:t>
      </w:r>
      <w:proofErr w:type="gramEnd"/>
      <w:r w:rsidRPr="004C0E60">
        <w:t>.</w:t>
      </w:r>
    </w:p>
    <w:p w:rsidR="004C0E60" w:rsidRPr="004C0E60" w:rsidRDefault="004C0E60" w:rsidP="00AD2733">
      <w:pPr>
        <w:pStyle w:val="HeadingBoldItalic"/>
        <w:rPr>
          <w:noProof/>
          <w:lang w:val="en-US" w:eastAsia="ja-JP"/>
        </w:rPr>
      </w:pPr>
      <w:r w:rsidRPr="004C0E60">
        <w:rPr>
          <w:noProof/>
          <w:lang w:val="en-US" w:eastAsia="ja-JP"/>
        </w:rPr>
        <w:t>Commodities boom</w:t>
      </w:r>
    </w:p>
    <w:p w:rsidR="004C0E60" w:rsidRPr="004C0E60" w:rsidRDefault="004C0E60" w:rsidP="004C0E60">
      <w:r w:rsidRPr="004C0E60">
        <w:t xml:space="preserve">The relevance of material input cost escalation post the 2009 commodities boom experienced in Australia when material input cost escalators were included in determining approved capex for energy service providers. We consider that the impact of the commodities boom has subsided and as a consequence the justification for incorporating material cost escalation in determining forecast capex has also diminished. </w:t>
      </w:r>
    </w:p>
    <w:p w:rsidR="004C0E60" w:rsidRPr="004C0E60" w:rsidRDefault="004C0E60" w:rsidP="00E434C3">
      <w:pPr>
        <w:pStyle w:val="Heading8"/>
      </w:pPr>
      <w:bookmarkStart w:id="60" w:name="_Toc404676608"/>
      <w:bookmarkStart w:id="61" w:name="_Toc435692229"/>
      <w:r w:rsidRPr="004C0E60">
        <w:t>Review of independent expert's reports</w:t>
      </w:r>
      <w:bookmarkEnd w:id="60"/>
      <w:bookmarkEnd w:id="61"/>
    </w:p>
    <w:p w:rsidR="004C0E60" w:rsidRPr="004C0E60" w:rsidRDefault="004C0E60" w:rsidP="004C0E60">
      <w:r w:rsidRPr="004C0E60">
        <w:t xml:space="preserve">We have reviewed the BIS Shrapnel report commissioned by ActewAGL. We consider that this review, along with our review of two other reports detailed below, provides further support for our position to not accept </w:t>
      </w:r>
      <w:proofErr w:type="spellStart"/>
      <w:r w:rsidRPr="004C0E60">
        <w:t>ActewAGL’s</w:t>
      </w:r>
      <w:proofErr w:type="spellEnd"/>
      <w:r w:rsidRPr="004C0E60">
        <w:t xml:space="preserve"> proposed materials cost escalation. </w:t>
      </w:r>
    </w:p>
    <w:p w:rsidR="004C0E60" w:rsidRPr="004C0E60" w:rsidRDefault="00F4595F" w:rsidP="00D87931">
      <w:pPr>
        <w:pStyle w:val="HeadingBoldItalic"/>
      </w:pPr>
      <w:r>
        <w:t>BIS S</w:t>
      </w:r>
      <w:r w:rsidR="004C0E60" w:rsidRPr="004C0E60">
        <w:t>hrapnel report</w:t>
      </w:r>
    </w:p>
    <w:p w:rsidR="004C0E60" w:rsidRPr="004C0E60" w:rsidRDefault="004C0E60" w:rsidP="00E834E1">
      <w:pPr>
        <w:pStyle w:val="AERbulletlistfirststyle"/>
      </w:pPr>
      <w:r w:rsidRPr="004C0E60">
        <w:t>BIS Shrapnel has forecast prices of gas service provider related materials to increase, in part due to movements in the exchange rate. BIS Shrapnel are forecasting the Australian dollar to stabilise around US$0.75 over 2015</w:t>
      </w:r>
      <w:r w:rsidR="00740F26">
        <w:t>–</w:t>
      </w:r>
      <w:r w:rsidRPr="004C0E60">
        <w:t>16 and to attain around US$0.70 during 2018</w:t>
      </w:r>
      <w:r w:rsidR="00740F26">
        <w:t>–</w:t>
      </w:r>
      <w:r w:rsidRPr="004C0E60">
        <w:t>19</w:t>
      </w:r>
      <w:r w:rsidR="006B6310" w:rsidRPr="004C0E60">
        <w:rPr>
          <w:sz w:val="16"/>
          <w:vertAlign w:val="superscript"/>
        </w:rPr>
        <w:footnoteReference w:id="137"/>
      </w:r>
      <w:r w:rsidRPr="004C0E60">
        <w:t xml:space="preserve">. This is significantly lower than the exchange rate forecasts by Sinclair Knights </w:t>
      </w:r>
      <w:proofErr w:type="spellStart"/>
      <w:r w:rsidRPr="004C0E60">
        <w:t>Merz</w:t>
      </w:r>
      <w:proofErr w:type="spellEnd"/>
      <w:r w:rsidRPr="004C0E60">
        <w:t xml:space="preserve"> (SKM) of between US$0.91 to US$0.85 from 2014</w:t>
      </w:r>
      <w:r w:rsidR="00740F26">
        <w:t>–</w:t>
      </w:r>
      <w:r w:rsidRPr="004C0E60">
        <w:t>15 to 2018</w:t>
      </w:r>
      <w:r w:rsidR="00740F26">
        <w:t>–</w:t>
      </w:r>
      <w:r w:rsidRPr="004C0E60">
        <w:t>19.</w:t>
      </w:r>
      <w:r w:rsidR="006B6310" w:rsidRPr="004C0E60">
        <w:rPr>
          <w:sz w:val="16"/>
          <w:vertAlign w:val="superscript"/>
        </w:rPr>
        <w:footnoteReference w:id="138"/>
      </w:r>
      <w:r w:rsidRPr="004C0E60">
        <w:t xml:space="preserve"> In a report for Jemena Gas Networks in New South Wales, BIS Shrapnel stated that there is a lack of authoritative long term exchange rate forecasts.</w:t>
      </w:r>
      <w:r w:rsidR="006B6310" w:rsidRPr="004C0E60">
        <w:rPr>
          <w:sz w:val="16"/>
          <w:vertAlign w:val="superscript"/>
        </w:rPr>
        <w:footnoteReference w:id="139"/>
      </w:r>
      <w:r w:rsidRPr="004C0E60">
        <w:t xml:space="preserve"> </w:t>
      </w:r>
    </w:p>
    <w:p w:rsidR="004C0E60" w:rsidRPr="004C0E60" w:rsidRDefault="004C0E60" w:rsidP="004C0E60">
      <w:pPr>
        <w:tabs>
          <w:tab w:val="left" w:pos="340"/>
        </w:tabs>
        <w:spacing w:before="120"/>
        <w:ind w:left="340"/>
      </w:pPr>
      <w:r w:rsidRPr="004C0E60">
        <w:t xml:space="preserve">We consider the forecasting of foreign exchange movements during the next </w:t>
      </w:r>
      <w:r w:rsidR="00AB7386">
        <w:t>access arrangement</w:t>
      </w:r>
      <w:r w:rsidRPr="004C0E60">
        <w:t xml:space="preserve"> period to be another example of the potential inaccuracy of modelling for material input cost escalation.</w:t>
      </w:r>
    </w:p>
    <w:p w:rsidR="004C0E60" w:rsidRPr="004C0E60" w:rsidRDefault="004C0E60" w:rsidP="00E834E1">
      <w:pPr>
        <w:pStyle w:val="AERbulletlistfirststyle"/>
      </w:pPr>
      <w:r w:rsidRPr="004C0E60">
        <w:t>In its forecast for general materials such as stationary, office furniture, electricity, water, fuel and rent, BIS Shrapnel assumed that across the range of these items, the average price increase would be similar to consumer price inflation and that the appropriate cost escalator for general materials is the CPI.</w:t>
      </w:r>
      <w:r w:rsidRPr="004C0E60">
        <w:rPr>
          <w:sz w:val="16"/>
          <w:vertAlign w:val="superscript"/>
        </w:rPr>
        <w:footnoteReference w:id="140"/>
      </w:r>
      <w:r w:rsidRPr="004C0E60">
        <w:rPr>
          <w:sz w:val="16"/>
          <w:vertAlign w:val="superscript"/>
        </w:rPr>
        <w:t xml:space="preserve"> </w:t>
      </w:r>
      <w:r w:rsidRPr="004C0E60">
        <w:t>This treatment of general business inputs supports our view that where we cannot be satisfied that a forecast of real cost escalation for a specific material input is robust, and cannot determine a robust alternative forecast, CPI is a reasonable estimate of growth for a broad range of input prices.</w:t>
      </w:r>
    </w:p>
    <w:p w:rsidR="004C0E60" w:rsidRPr="004C0E60" w:rsidRDefault="004C0E60" w:rsidP="00E834E1">
      <w:r w:rsidRPr="004C0E60">
        <w:t xml:space="preserve">In addition to our review of the BIS Shrapnel </w:t>
      </w:r>
      <w:r w:rsidR="008D47D9">
        <w:t>r</w:t>
      </w:r>
      <w:r w:rsidRPr="004C0E60">
        <w:t xml:space="preserve">eport, we have also received submissions from energy service providers on other </w:t>
      </w:r>
      <w:r w:rsidR="008D47D9">
        <w:t>revenue determinations</w:t>
      </w:r>
      <w:r w:rsidR="008D47D9" w:rsidRPr="004C0E60">
        <w:t xml:space="preserve"> </w:t>
      </w:r>
      <w:r w:rsidRPr="004C0E60">
        <w:t>that we have recently undertaken.</w:t>
      </w:r>
      <w:r w:rsidR="000829C2">
        <w:rPr>
          <w:rStyle w:val="FootnoteReference"/>
        </w:rPr>
        <w:footnoteReference w:id="141"/>
      </w:r>
      <w:r w:rsidRPr="004C0E60">
        <w:t xml:space="preserve"> We have considered the relevance of those submissions to the issues raised by ActewAGL </w:t>
      </w:r>
      <w:r w:rsidR="000829C2">
        <w:t xml:space="preserve">in </w:t>
      </w:r>
      <w:r w:rsidRPr="004C0E60">
        <w:t xml:space="preserve">order to arrive at a position that takes into account all available information. Our views on these reports are set out below. Overall, these reports lend further support to our position to not accept </w:t>
      </w:r>
      <w:proofErr w:type="spellStart"/>
      <w:r w:rsidRPr="004C0E60">
        <w:t>ActewAGL’s</w:t>
      </w:r>
      <w:proofErr w:type="spellEnd"/>
      <w:r w:rsidRPr="004C0E60">
        <w:t xml:space="preserve"> proposed materials cost escalation.</w:t>
      </w:r>
    </w:p>
    <w:p w:rsidR="004C0E60" w:rsidRPr="004C0E60" w:rsidRDefault="004C0E60" w:rsidP="00D87931">
      <w:pPr>
        <w:pStyle w:val="HeadingBoldItalic"/>
        <w:rPr>
          <w:noProof/>
          <w:lang w:val="en-US" w:eastAsia="ja-JP"/>
        </w:rPr>
      </w:pPr>
      <w:r w:rsidRPr="004C0E60">
        <w:rPr>
          <w:noProof/>
          <w:lang w:val="en-US" w:eastAsia="ja-JP"/>
        </w:rPr>
        <w:t>Competition Economists Group (CEG) report</w:t>
      </w:r>
    </w:p>
    <w:p w:rsidR="004C0E60" w:rsidRPr="004C0E60" w:rsidRDefault="004C0E60" w:rsidP="00E834E1">
      <w:pPr>
        <w:pStyle w:val="AERbulletlistfirststyle"/>
      </w:pPr>
      <w:r w:rsidRPr="004C0E60">
        <w:t xml:space="preserve">CEG acknowledge that forecasts of general cost movements (e.g. </w:t>
      </w:r>
      <w:r w:rsidR="008D47D9">
        <w:t>CPI</w:t>
      </w:r>
      <w:r w:rsidRPr="004C0E60">
        <w:t xml:space="preserve"> or producer price index) can be used to derive changes in the cost of other inputs used by electricity service providers or their suppliers separate from material inputs (e.g. energy costs and equipment leases etc.).</w:t>
      </w:r>
      <w:r w:rsidRPr="004C0E60">
        <w:rPr>
          <w:vertAlign w:val="superscript"/>
        </w:rPr>
        <w:footnoteReference w:id="142"/>
      </w:r>
      <w:r w:rsidRPr="004C0E60">
        <w:t xml:space="preserve"> This is consistent with the Post-tax Revenue Model (PTRM) which reflects at least in part movements in an electricity service provider's intermediary input costs.</w:t>
      </w:r>
    </w:p>
    <w:p w:rsidR="004C0E60" w:rsidRPr="004C0E60" w:rsidRDefault="004C0E60" w:rsidP="00E834E1">
      <w:pPr>
        <w:pStyle w:val="AERbulletlistfirststyle"/>
      </w:pPr>
      <w:r w:rsidRPr="004C0E60">
        <w:t>CEG acknowledge that futures prices will be very unlikely to exactly predict future spot prices given that all manner of unexpected events can occur.</w:t>
      </w:r>
      <w:r w:rsidRPr="004C0E60">
        <w:rPr>
          <w:vertAlign w:val="superscript"/>
        </w:rPr>
        <w:footnoteReference w:id="143"/>
      </w:r>
      <w:r w:rsidRPr="004C0E60">
        <w:t xml:space="preserve"> This is consistent with our view that there are likely to be a significant number of material exogenous factors that impact on the price of assets that are not captured by the capex forecast model used by ActewAGL.</w:t>
      </w:r>
    </w:p>
    <w:p w:rsidR="004C0E60" w:rsidRPr="004C0E60" w:rsidRDefault="004C0E60" w:rsidP="00E834E1">
      <w:pPr>
        <w:pStyle w:val="AERbulletlistfirststyle"/>
      </w:pPr>
      <w:r w:rsidRPr="004C0E60">
        <w:t>CEG provide the following quote from the International Monetary Fund (IMF) in respect of futures markets:</w:t>
      </w:r>
      <w:r w:rsidRPr="004C0E60">
        <w:rPr>
          <w:vertAlign w:val="superscript"/>
        </w:rPr>
        <w:footnoteReference w:id="144"/>
      </w:r>
    </w:p>
    <w:p w:rsidR="004C0E60" w:rsidRPr="004C0E60" w:rsidRDefault="004C0E60" w:rsidP="004C0E60">
      <w:pPr>
        <w:tabs>
          <w:tab w:val="num" w:pos="709"/>
        </w:tabs>
        <w:spacing w:after="160" w:line="288" w:lineRule="auto"/>
        <w:ind w:left="709" w:right="720"/>
        <w:jc w:val="both"/>
        <w:rPr>
          <w:rFonts w:eastAsia="Times New Roman" w:cs="Times New Roman"/>
          <w:color w:val="000000"/>
          <w:sz w:val="20"/>
          <w:szCs w:val="24"/>
        </w:rPr>
      </w:pPr>
      <w:r w:rsidRPr="004C0E60">
        <w:rPr>
          <w:rFonts w:eastAsia="Times New Roman" w:cs="Times New Roman"/>
          <w:color w:val="000000"/>
          <w:sz w:val="20"/>
          <w:szCs w:val="24"/>
        </w:rPr>
        <w:t>While futures prices are not accurate predictors of future spot prices, they nevertheless reflect current beliefs of market participants about forthcoming price developments.</w:t>
      </w:r>
    </w:p>
    <w:p w:rsidR="004C0E60" w:rsidRPr="004C0E60" w:rsidRDefault="004C0E60" w:rsidP="004C0E60">
      <w:pPr>
        <w:tabs>
          <w:tab w:val="left" w:pos="340"/>
        </w:tabs>
        <w:spacing w:before="120"/>
        <w:ind w:left="340"/>
      </w:pPr>
      <w:r w:rsidRPr="004C0E60">
        <w:t>This supports our view that there is a reasonable degree of uncertainty in the modelling of material input cost escalators to reliably and accurately estimate the prices of assets used by NSPs to provide network services. Whilst the IMF may conclude that commodity futures prices reflect market beliefs on future prices, there is no support from the IMF that futures prices provide an accurate predictor of future commodity prices.</w:t>
      </w:r>
    </w:p>
    <w:p w:rsidR="004C0E60" w:rsidRPr="004C0E60" w:rsidRDefault="004C0E60" w:rsidP="00E834E1">
      <w:pPr>
        <w:pStyle w:val="AERbulletlistfirststyle"/>
      </w:pPr>
      <w:r w:rsidRPr="004C0E60">
        <w:t>Figures 1 and 2 of CEG’s report respectively show the variance between aluminium and copper prices predicted by the London Metals Exchange (LME) 3 month, 15 month and 27 month futures less actual prices between July 1993 and December 2013.</w:t>
      </w:r>
      <w:r w:rsidRPr="004C0E60">
        <w:rPr>
          <w:vertAlign w:val="superscript"/>
        </w:rPr>
        <w:footnoteReference w:id="145"/>
      </w:r>
      <w:r w:rsidRPr="004C0E60">
        <w:t xml:space="preserve"> Analysis of this data shows that the longer the futures projection period, the less accurate are LME futures in predicting actual commodity prices. Given the next </w:t>
      </w:r>
      <w:r w:rsidR="00AB7386">
        <w:t>access arrangement</w:t>
      </w:r>
      <w:r w:rsidRPr="004C0E60">
        <w:t xml:space="preserve"> period covers a time span of 60 months we consider it reasonable to question the degree of accuracy of forecast futures commodity prices towards the end of this period.</w:t>
      </w:r>
    </w:p>
    <w:p w:rsidR="004C0E60" w:rsidRPr="004C0E60" w:rsidRDefault="004C0E60" w:rsidP="004C0E60">
      <w:pPr>
        <w:tabs>
          <w:tab w:val="left" w:pos="340"/>
        </w:tabs>
        <w:spacing w:before="120"/>
        <w:ind w:left="340"/>
      </w:pPr>
      <w:r w:rsidRPr="004C0E60">
        <w:t xml:space="preserve">Figures 1 and 2 also show that futures forecasts have a greater tendency towards over-estimating of actual aluminium and copper prices over the 20 year period (particularly for aluminium). The greatest forecast over-estimate variance was about 100 per cent for aluminium and 130 per cent for copper. In contrast, the greatest forecast under-estimate variance was about 44 per cent for aluminium and 70 per cent for copper. </w:t>
      </w:r>
    </w:p>
    <w:p w:rsidR="004C0E60" w:rsidRPr="004C0E60" w:rsidRDefault="004C0E60" w:rsidP="00E834E1">
      <w:pPr>
        <w:pStyle w:val="AERbulletlistfirststyle"/>
      </w:pPr>
      <w:r w:rsidRPr="004C0E60">
        <w:t>In respect of forecasting electricity service providers future costs, CEG stated that:</w:t>
      </w:r>
      <w:r w:rsidRPr="004C0E60">
        <w:rPr>
          <w:vertAlign w:val="superscript"/>
        </w:rPr>
        <w:footnoteReference w:id="146"/>
      </w:r>
    </w:p>
    <w:p w:rsidR="004C0E60" w:rsidRPr="004C0E60" w:rsidRDefault="004C0E60" w:rsidP="004C0E60">
      <w:pPr>
        <w:tabs>
          <w:tab w:val="left" w:pos="680"/>
        </w:tabs>
        <w:spacing w:after="160" w:line="240" w:lineRule="auto"/>
        <w:ind w:left="680" w:right="794"/>
        <w:rPr>
          <w:rFonts w:eastAsia="Times New Roman" w:cs="Times New Roman"/>
          <w:sz w:val="20"/>
          <w:szCs w:val="20"/>
          <w:lang w:eastAsia="en-AU"/>
        </w:rPr>
      </w:pPr>
      <w:r w:rsidRPr="004C0E60">
        <w:rPr>
          <w:rFonts w:eastAsia="Times New Roman" w:cs="Times New Roman"/>
          <w:sz w:val="20"/>
          <w:szCs w:val="20"/>
          <w:lang w:eastAsia="en-AU"/>
        </w:rPr>
        <w:t>There is always a high degree of uncertainty associated with predicting the future. Although we consider that we have obtained the best possible estimates of the NSPs’ future costs at the present time, the actual magnitude of these costs at the time that they are incurred may well be considerably higher or lower than we have estimated in this report. This is a reflection of the fact that while futures prices and forecasts today may well be a very precise estimate of current expectations of the future, they are at best an imprecise estimate of future values.</w:t>
      </w:r>
    </w:p>
    <w:p w:rsidR="004C0E60" w:rsidRPr="004C0E60" w:rsidRDefault="004C0E60" w:rsidP="004C0E60">
      <w:pPr>
        <w:tabs>
          <w:tab w:val="left" w:pos="340"/>
        </w:tabs>
        <w:spacing w:before="120"/>
        <w:ind w:left="340"/>
      </w:pPr>
      <w:r w:rsidRPr="004C0E60">
        <w:t>This statement again is consistent with our view about the degree of the precision and accuracy of futures prices in respect of predicting electricity service providers future input costs. CEG also highlights the (poor) predictive value of LME futures for actual aluminium prices.</w:t>
      </w:r>
      <w:r w:rsidRPr="004C0E60">
        <w:rPr>
          <w:vertAlign w:val="superscript"/>
        </w:rPr>
        <w:footnoteReference w:id="147"/>
      </w:r>
      <w:r w:rsidRPr="004C0E60">
        <w:t xml:space="preserve"> </w:t>
      </w:r>
    </w:p>
    <w:p w:rsidR="004C0E60" w:rsidRPr="004C0E60" w:rsidRDefault="004C0E60" w:rsidP="00E834E1">
      <w:pPr>
        <w:pStyle w:val="AERbulletlistfirststyle"/>
      </w:pPr>
      <w:r w:rsidRPr="004C0E60">
        <w:t>CEG also acknowledge that its escalation of aluminium prices are not necessarily the prices paid for aluminium equipment by manufacturers. As an example, CEG referred to producers of electrical cable who purchase fabricated aluminium which has gone through further stages of production than the refined aluminium that is traded on the LME. CEG also stated that aluminium prices can be expected to be influenced by refined aluminium prices but these prices cannot be expected to move together in a ‘one-for-one’ relationship.</w:t>
      </w:r>
      <w:r w:rsidRPr="004C0E60">
        <w:rPr>
          <w:vertAlign w:val="superscript"/>
        </w:rPr>
        <w:footnoteReference w:id="148"/>
      </w:r>
      <w:r w:rsidRPr="004C0E60">
        <w:t xml:space="preserve"> </w:t>
      </w:r>
    </w:p>
    <w:p w:rsidR="004C0E60" w:rsidRPr="004C0E60" w:rsidRDefault="004C0E60" w:rsidP="004C0E60">
      <w:pPr>
        <w:tabs>
          <w:tab w:val="left" w:pos="340"/>
        </w:tabs>
        <w:spacing w:before="120"/>
        <w:ind w:left="340"/>
      </w:pPr>
      <w:r w:rsidRPr="004C0E60">
        <w:t>GEG provided similar views for copper and steel futures. For copper, CEG stated that the prices quoted for copper are prices traded on the LME that meet the specifications of the LME but that there is not necessarily a 'one-for-one' relationship between these prices and the price paid for copper equipment by manufacturers.</w:t>
      </w:r>
      <w:r w:rsidRPr="004C0E60">
        <w:rPr>
          <w:vertAlign w:val="superscript"/>
        </w:rPr>
        <w:footnoteReference w:id="149"/>
      </w:r>
      <w:r w:rsidRPr="004C0E60">
        <w:t xml:space="preserve"> For steel futures, CEG stated that the steel used by electricity service providers has been fabricated, and as such, embodies labour, capital and other inputs (e.g. energy) and acknowledges that there is not necessarily a 'one-for one' relationship between the mill gate steel and the steel used by electricity service providers.</w:t>
      </w:r>
      <w:r w:rsidRPr="004C0E60">
        <w:rPr>
          <w:vertAlign w:val="superscript"/>
        </w:rPr>
        <w:footnoteReference w:id="150"/>
      </w:r>
      <w:r w:rsidRPr="004C0E60">
        <w:t xml:space="preserve"> </w:t>
      </w:r>
    </w:p>
    <w:p w:rsidR="004C0E60" w:rsidRPr="004C0E60" w:rsidRDefault="004C0E60" w:rsidP="004C0E60">
      <w:pPr>
        <w:tabs>
          <w:tab w:val="left" w:pos="340"/>
        </w:tabs>
        <w:spacing w:before="120"/>
        <w:ind w:left="340"/>
      </w:pPr>
      <w:r w:rsidRPr="004C0E60">
        <w:t xml:space="preserve">These statements by CEG support our view that the capex forecast model used by ActewAGL has not demonstrated how and to what extent material inputs have affected the cost of intermediate outputs. We note, as emphasised by CEG, there is likely to be significant value adding and processing of the raw material before the physical asset is purchased by ActewAGL. </w:t>
      </w:r>
    </w:p>
    <w:p w:rsidR="004C0E60" w:rsidRPr="004C0E60" w:rsidRDefault="004C0E60" w:rsidP="00E834E1">
      <w:pPr>
        <w:pStyle w:val="AERbulletlistfirststyle"/>
      </w:pPr>
      <w:r w:rsidRPr="004C0E60">
        <w:t>CEG has provided data on historical indexed aluminium, copper, steel and crude oil actual (real) prices from July 2005 to December 2013 as well as forecast real prices from January 2014 to January 2021 which were used to determine its forecast escalation factors.</w:t>
      </w:r>
      <w:r w:rsidRPr="004C0E60">
        <w:rPr>
          <w:vertAlign w:val="superscript"/>
        </w:rPr>
        <w:footnoteReference w:id="151"/>
      </w:r>
      <w:r w:rsidRPr="004C0E60">
        <w:t xml:space="preserve"> For all four commodities, the CEG forecast indexed real prices showed a trend of higher prices compared to the historical trend. Aluminium and crude oil exhibited the greatest trend variance. Copper and steel prices were forecast to remain relatively stable whist aluminium and crude oil prices were forecast to rise significantly compared to the historical trend.</w:t>
      </w:r>
    </w:p>
    <w:p w:rsidR="004C0E60" w:rsidRPr="004C0E60" w:rsidRDefault="004C0E60" w:rsidP="00D87931">
      <w:pPr>
        <w:pStyle w:val="HeadingBoldItalic"/>
        <w:rPr>
          <w:noProof/>
          <w:lang w:val="en-US" w:eastAsia="ja-JP"/>
        </w:rPr>
      </w:pPr>
      <w:r w:rsidRPr="004C0E60">
        <w:rPr>
          <w:noProof/>
          <w:lang w:val="en-US" w:eastAsia="ja-JP"/>
        </w:rPr>
        <w:t>SKM report</w:t>
      </w:r>
    </w:p>
    <w:p w:rsidR="004C0E60" w:rsidRPr="004C0E60" w:rsidRDefault="004C0E60" w:rsidP="00E834E1">
      <w:pPr>
        <w:pStyle w:val="AERbulletlistfirststyle"/>
      </w:pPr>
      <w:r w:rsidRPr="004C0E60">
        <w:t>SKM caution that there are a variety of factors that could cause business conditions and results to differ materially from what is contained in its forward looking statements.</w:t>
      </w:r>
      <w:r w:rsidRPr="004C0E60">
        <w:rPr>
          <w:vertAlign w:val="superscript"/>
        </w:rPr>
        <w:footnoteReference w:id="152"/>
      </w:r>
      <w:r w:rsidRPr="004C0E60">
        <w:t xml:space="preserve"> This is consistent with our view that there are likely to be a significant number of material exogenous factors that impact on the cost of assets that are not captured by </w:t>
      </w:r>
      <w:proofErr w:type="spellStart"/>
      <w:r w:rsidRPr="004C0E60">
        <w:t>ActewAGL’s</w:t>
      </w:r>
      <w:proofErr w:type="spellEnd"/>
      <w:r w:rsidRPr="004C0E60">
        <w:t xml:space="preserve"> capex forecast model.</w:t>
      </w:r>
    </w:p>
    <w:p w:rsidR="004C0E60" w:rsidRPr="004C0E60" w:rsidRDefault="004C0E60" w:rsidP="00E834E1">
      <w:pPr>
        <w:pStyle w:val="AERbulletlistfirststyle"/>
      </w:pPr>
      <w:r w:rsidRPr="004C0E60">
        <w:t>SKM stated it used the Australian CPI to account for those materials or cost items for equipment whose price trend cannot be rationally or conclusively explained by the movement of commodities prices.</w:t>
      </w:r>
      <w:r w:rsidRPr="004C0E60">
        <w:rPr>
          <w:vertAlign w:val="superscript"/>
        </w:rPr>
        <w:footnoteReference w:id="153"/>
      </w:r>
      <w:r w:rsidRPr="004C0E60">
        <w:t xml:space="preserve"> </w:t>
      </w:r>
    </w:p>
    <w:p w:rsidR="004C0E60" w:rsidRPr="004C0E60" w:rsidRDefault="004C0E60" w:rsidP="00E834E1">
      <w:pPr>
        <w:pStyle w:val="AERbulletlistfirststyle"/>
      </w:pPr>
      <w:r w:rsidRPr="004C0E60">
        <w:t>In its modelling of the exchange rate, SKM has in part adopted the longer term historical average of $0.80 USD/AUD as the long term forecast going forward.</w:t>
      </w:r>
      <w:r w:rsidRPr="004C0E60">
        <w:rPr>
          <w:vertAlign w:val="superscript"/>
        </w:rPr>
        <w:footnoteReference w:id="154"/>
      </w:r>
      <w:r w:rsidRPr="004C0E60">
        <w:t xml:space="preserve"> This is consistent with our view that longer term historical commodity prices should be considered when reviewing and forecasting future prices. In general, we consider that long term historical data has a greater number of observations and as </w:t>
      </w:r>
      <w:r w:rsidRPr="0061777C">
        <w:t>a consequence is a more reliable predictor of future prices than a data time series of fewer observations.</w:t>
      </w:r>
    </w:p>
    <w:p w:rsidR="004C0E60" w:rsidRPr="004C0E60" w:rsidRDefault="004C0E60" w:rsidP="00E834E1">
      <w:pPr>
        <w:pStyle w:val="AERbulletlistfirststyle"/>
      </w:pPr>
      <w:r w:rsidRPr="004C0E60">
        <w:t>SKM stated that the future price position from the LME futures contracts for copper and aluminium are only available for three years out to December 2016 and that in order to estimate prices beyond this data point, it is necessary to revert to economic forecasts as the most robust source of future price expectations.</w:t>
      </w:r>
      <w:r w:rsidRPr="004C0E60">
        <w:rPr>
          <w:vertAlign w:val="superscript"/>
        </w:rPr>
        <w:footnoteReference w:id="155"/>
      </w:r>
      <w:r w:rsidRPr="004C0E60">
        <w:t xml:space="preserve"> SKM also stated that LME steel futures are still not yet sufficiently liquid to provide a robust price outlook.</w:t>
      </w:r>
      <w:r w:rsidRPr="004C0E60">
        <w:rPr>
          <w:vertAlign w:val="superscript"/>
        </w:rPr>
        <w:footnoteReference w:id="156"/>
      </w:r>
    </w:p>
    <w:p w:rsidR="004C0E60" w:rsidRPr="004C0E60" w:rsidRDefault="004C0E60" w:rsidP="00E834E1">
      <w:pPr>
        <w:pStyle w:val="AERbulletlistfirststyle"/>
      </w:pPr>
      <w:r w:rsidRPr="004C0E60">
        <w:t>SKM stated that in respect to the reliability of oil future contracts as a predictor of actual oil prices, futures markets solely are not a reliable predictor or robust foundation for future price forecasts. SKM also stated that future oil contracts tend to follow the current spot price up and down, with a curve upwards or downwards reflecting current (short term) market sentiment.</w:t>
      </w:r>
      <w:r w:rsidRPr="004C0E60">
        <w:rPr>
          <w:sz w:val="16"/>
          <w:vertAlign w:val="superscript"/>
        </w:rPr>
        <w:footnoteReference w:id="157"/>
      </w:r>
      <w:r w:rsidRPr="004C0E60">
        <w:t xml:space="preserve"> SKM selected Consensus Economics forecasts as the best currently available outlook for oil prices throughout the duration of the next </w:t>
      </w:r>
      <w:r w:rsidR="00AB7386">
        <w:t>access arrangement</w:t>
      </w:r>
      <w:r w:rsidRPr="004C0E60">
        <w:t xml:space="preserve"> period.</w:t>
      </w:r>
      <w:r w:rsidRPr="004C0E60">
        <w:rPr>
          <w:vertAlign w:val="superscript"/>
        </w:rPr>
        <w:footnoteReference w:id="158"/>
      </w:r>
      <w:r w:rsidRPr="004C0E60">
        <w:t xml:space="preserve"> The decision by SKM to adopt an economic forecast for oil rather than using futures highlights the uncertainty surrounding the forecasting of commodity prices.</w:t>
      </w:r>
    </w:p>
    <w:p w:rsidR="004C0E60" w:rsidRPr="004C0E60" w:rsidRDefault="004C0E60" w:rsidP="00D87931">
      <w:pPr>
        <w:pStyle w:val="HeadingBoldItalic"/>
        <w:rPr>
          <w:noProof/>
          <w:lang w:val="en-US" w:eastAsia="ja-JP"/>
        </w:rPr>
      </w:pPr>
      <w:r w:rsidRPr="004C0E60">
        <w:rPr>
          <w:noProof/>
          <w:lang w:val="en-US" w:eastAsia="ja-JP"/>
        </w:rPr>
        <w:t>Comparison of independent expert's cost escalation factors</w:t>
      </w:r>
    </w:p>
    <w:p w:rsidR="004C0E60" w:rsidRPr="004C0E60" w:rsidRDefault="004C0E60" w:rsidP="004C0E60">
      <w:r w:rsidRPr="004C0E60">
        <w:t xml:space="preserve">To illustrate the potential uncertainty in forecasting real material input costs, we have compared the material cost escalation forecasts derived by the consultants as shown </w:t>
      </w:r>
      <w:r w:rsidR="0061777C" w:rsidRPr="00E834E1">
        <w:rPr>
          <w:rStyle w:val="AERbody"/>
        </w:rPr>
        <w:fldChar w:fldCharType="begin"/>
      </w:r>
      <w:r w:rsidR="0061777C" w:rsidRPr="00E834E1">
        <w:rPr>
          <w:rStyle w:val="AERbody"/>
        </w:rPr>
        <w:instrText xml:space="preserve"> REF _Ref435522669 \h </w:instrText>
      </w:r>
      <w:r w:rsidR="0061777C">
        <w:rPr>
          <w:rStyle w:val="AERbody"/>
        </w:rPr>
        <w:instrText xml:space="preserve"> \* MERGEFORMAT </w:instrText>
      </w:r>
      <w:r w:rsidR="0061777C" w:rsidRPr="00E834E1">
        <w:rPr>
          <w:rStyle w:val="AERbody"/>
        </w:rPr>
      </w:r>
      <w:r w:rsidR="0061777C" w:rsidRPr="00E834E1">
        <w:rPr>
          <w:rStyle w:val="AERbody"/>
        </w:rPr>
        <w:fldChar w:fldCharType="separate"/>
      </w:r>
      <w:r w:rsidR="0061777C" w:rsidRPr="00E834E1">
        <w:rPr>
          <w:rStyle w:val="AERbody"/>
        </w:rPr>
        <w:t>Table 6.9</w:t>
      </w:r>
      <w:r w:rsidR="0061777C" w:rsidRPr="00E834E1">
        <w:rPr>
          <w:rStyle w:val="AERbody"/>
        </w:rPr>
        <w:fldChar w:fldCharType="end"/>
      </w:r>
      <w:r w:rsidR="00C81B75">
        <w:t>.</w:t>
      </w:r>
    </w:p>
    <w:p w:rsidR="004C0E60" w:rsidRPr="004C0E60" w:rsidRDefault="004C0E60" w:rsidP="004C0E60">
      <w:pPr>
        <w:keepNext/>
        <w:spacing w:before="240" w:after="120"/>
        <w:rPr>
          <w:color w:val="076A92" w:themeColor="text1"/>
          <w:sz w:val="24"/>
          <w:szCs w:val="18"/>
        </w:rPr>
      </w:pPr>
      <w:bookmarkStart w:id="62" w:name="_Ref435522669"/>
      <w:bookmarkStart w:id="63" w:name="_Ref404076397"/>
      <w:proofErr w:type="gramStart"/>
      <w:r w:rsidRPr="004C0E60">
        <w:rPr>
          <w:b/>
          <w:bCs/>
          <w:color w:val="076A92" w:themeColor="text1"/>
          <w:sz w:val="24"/>
          <w:szCs w:val="18"/>
        </w:rPr>
        <w:t xml:space="preserve">Table </w:t>
      </w:r>
      <w:proofErr w:type="gramEnd"/>
      <w:r w:rsidR="00EE4EAF">
        <w:rPr>
          <w:b/>
          <w:bCs/>
          <w:color w:val="076A92" w:themeColor="text1"/>
          <w:sz w:val="24"/>
          <w:szCs w:val="18"/>
        </w:rPr>
        <w:fldChar w:fldCharType="begin"/>
      </w:r>
      <w:r w:rsidR="00EE4EAF">
        <w:rPr>
          <w:b/>
          <w:bCs/>
          <w:color w:val="076A92" w:themeColor="text1"/>
          <w:sz w:val="24"/>
          <w:szCs w:val="18"/>
        </w:rPr>
        <w:instrText xml:space="preserve"> STYLEREF 1 \s </w:instrText>
      </w:r>
      <w:r w:rsidR="00EE4EAF">
        <w:rPr>
          <w:b/>
          <w:bCs/>
          <w:color w:val="076A92" w:themeColor="text1"/>
          <w:sz w:val="24"/>
          <w:szCs w:val="18"/>
        </w:rPr>
        <w:fldChar w:fldCharType="separate"/>
      </w:r>
      <w:r w:rsidR="00EE4EAF">
        <w:rPr>
          <w:b/>
          <w:bCs/>
          <w:noProof/>
          <w:color w:val="076A92" w:themeColor="text1"/>
          <w:sz w:val="24"/>
          <w:szCs w:val="18"/>
        </w:rPr>
        <w:t>6</w:t>
      </w:r>
      <w:r w:rsidR="00EE4EAF">
        <w:rPr>
          <w:b/>
          <w:bCs/>
          <w:color w:val="076A92" w:themeColor="text1"/>
          <w:sz w:val="24"/>
          <w:szCs w:val="18"/>
        </w:rPr>
        <w:fldChar w:fldCharType="end"/>
      </w:r>
      <w:proofErr w:type="gramStart"/>
      <w:r w:rsidR="0061777C">
        <w:rPr>
          <w:b/>
          <w:bCs/>
          <w:color w:val="076A92" w:themeColor="text1"/>
          <w:sz w:val="24"/>
          <w:szCs w:val="18"/>
        </w:rPr>
        <w:t>.</w:t>
      </w:r>
      <w:proofErr w:type="gramEnd"/>
      <w:r w:rsidR="00EE4EAF">
        <w:rPr>
          <w:b/>
          <w:bCs/>
          <w:color w:val="076A92" w:themeColor="text1"/>
          <w:sz w:val="24"/>
          <w:szCs w:val="18"/>
        </w:rPr>
        <w:fldChar w:fldCharType="begin"/>
      </w:r>
      <w:r w:rsidR="00EE4EAF">
        <w:rPr>
          <w:b/>
          <w:bCs/>
          <w:color w:val="076A92" w:themeColor="text1"/>
          <w:sz w:val="24"/>
          <w:szCs w:val="18"/>
        </w:rPr>
        <w:instrText xml:space="preserve"> SEQ Table \* ARABIC \s 1 </w:instrText>
      </w:r>
      <w:r w:rsidR="00EE4EAF">
        <w:rPr>
          <w:b/>
          <w:bCs/>
          <w:color w:val="076A92" w:themeColor="text1"/>
          <w:sz w:val="24"/>
          <w:szCs w:val="18"/>
        </w:rPr>
        <w:fldChar w:fldCharType="separate"/>
      </w:r>
      <w:r w:rsidR="00EE4EAF">
        <w:rPr>
          <w:b/>
          <w:bCs/>
          <w:noProof/>
          <w:color w:val="076A92" w:themeColor="text1"/>
          <w:sz w:val="24"/>
          <w:szCs w:val="18"/>
        </w:rPr>
        <w:t>9</w:t>
      </w:r>
      <w:r w:rsidR="00EE4EAF">
        <w:rPr>
          <w:b/>
          <w:bCs/>
          <w:color w:val="076A92" w:themeColor="text1"/>
          <w:sz w:val="24"/>
          <w:szCs w:val="18"/>
        </w:rPr>
        <w:fldChar w:fldCharType="end"/>
      </w:r>
      <w:bookmarkEnd w:id="62"/>
      <w:bookmarkEnd w:id="63"/>
      <w:r w:rsidRPr="004C0E60">
        <w:rPr>
          <w:b/>
          <w:bCs/>
          <w:color w:val="076A92" w:themeColor="text1"/>
          <w:sz w:val="24"/>
          <w:szCs w:val="18"/>
        </w:rPr>
        <w:tab/>
        <w:t>Real material input cost escalation forecasts (per cent)</w:t>
      </w:r>
    </w:p>
    <w:tbl>
      <w:tblPr>
        <w:tblStyle w:val="AERtable-numbers1"/>
        <w:tblW w:w="0" w:type="auto"/>
        <w:tblLook w:val="04A0" w:firstRow="1" w:lastRow="0" w:firstColumn="1" w:lastColumn="0" w:noHBand="0" w:noVBand="1"/>
      </w:tblPr>
      <w:tblGrid>
        <w:gridCol w:w="1485"/>
        <w:gridCol w:w="1442"/>
        <w:gridCol w:w="1441"/>
        <w:gridCol w:w="1441"/>
        <w:gridCol w:w="1442"/>
        <w:gridCol w:w="1442"/>
      </w:tblGrid>
      <w:tr w:rsidR="004C0E60" w:rsidRPr="004C0E60" w:rsidTr="00E834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40" w:type="dxa"/>
          </w:tcPr>
          <w:p w:rsidR="004C0E60" w:rsidRPr="004C0E60" w:rsidRDefault="004C0E60" w:rsidP="004C0E60">
            <w:pPr>
              <w:numPr>
                <w:ilvl w:val="0"/>
                <w:numId w:val="24"/>
              </w:numPr>
              <w:spacing w:after="240" w:line="288" w:lineRule="auto"/>
              <w:jc w:val="both"/>
            </w:pPr>
          </w:p>
        </w:tc>
        <w:tc>
          <w:tcPr>
            <w:tcW w:w="1540" w:type="dxa"/>
          </w:tcPr>
          <w:p w:rsidR="004C0E60" w:rsidRPr="004C0E60" w:rsidRDefault="004C0E60" w:rsidP="004C0E60">
            <w:pPr>
              <w:numPr>
                <w:ilvl w:val="0"/>
                <w:numId w:val="24"/>
              </w:numPr>
              <w:spacing w:after="240" w:line="288" w:lineRule="auto"/>
              <w:jc w:val="both"/>
              <w:cnfStyle w:val="100000000000" w:firstRow="1" w:lastRow="0" w:firstColumn="0" w:lastColumn="0" w:oddVBand="0" w:evenVBand="0" w:oddHBand="0" w:evenHBand="0" w:firstRowFirstColumn="0" w:firstRowLastColumn="0" w:lastRowFirstColumn="0" w:lastRowLastColumn="0"/>
            </w:pPr>
            <w:r w:rsidRPr="004C0E60">
              <w:t>2014–15 (%)</w:t>
            </w:r>
          </w:p>
        </w:tc>
        <w:tc>
          <w:tcPr>
            <w:tcW w:w="1540" w:type="dxa"/>
          </w:tcPr>
          <w:p w:rsidR="004C0E60" w:rsidRPr="004C0E60" w:rsidRDefault="004C0E60" w:rsidP="004C0E60">
            <w:pPr>
              <w:numPr>
                <w:ilvl w:val="0"/>
                <w:numId w:val="24"/>
              </w:numPr>
              <w:spacing w:after="240" w:line="288" w:lineRule="auto"/>
              <w:jc w:val="both"/>
              <w:cnfStyle w:val="100000000000" w:firstRow="1" w:lastRow="0" w:firstColumn="0" w:lastColumn="0" w:oddVBand="0" w:evenVBand="0" w:oddHBand="0" w:evenHBand="0" w:firstRowFirstColumn="0" w:firstRowLastColumn="0" w:lastRowFirstColumn="0" w:lastRowLastColumn="0"/>
            </w:pPr>
            <w:r w:rsidRPr="004C0E60">
              <w:t>2015–16 (%)</w:t>
            </w:r>
          </w:p>
        </w:tc>
        <w:tc>
          <w:tcPr>
            <w:tcW w:w="1540" w:type="dxa"/>
          </w:tcPr>
          <w:p w:rsidR="004C0E60" w:rsidRPr="004C0E60" w:rsidRDefault="004C0E60" w:rsidP="004C0E60">
            <w:pPr>
              <w:numPr>
                <w:ilvl w:val="0"/>
                <w:numId w:val="24"/>
              </w:numPr>
              <w:spacing w:after="240" w:line="288" w:lineRule="auto"/>
              <w:jc w:val="both"/>
              <w:cnfStyle w:val="100000000000" w:firstRow="1" w:lastRow="0" w:firstColumn="0" w:lastColumn="0" w:oddVBand="0" w:evenVBand="0" w:oddHBand="0" w:evenHBand="0" w:firstRowFirstColumn="0" w:firstRowLastColumn="0" w:lastRowFirstColumn="0" w:lastRowLastColumn="0"/>
            </w:pPr>
            <w:r w:rsidRPr="004C0E60">
              <w:t>2016–17 (%)</w:t>
            </w:r>
          </w:p>
        </w:tc>
        <w:tc>
          <w:tcPr>
            <w:tcW w:w="1541" w:type="dxa"/>
          </w:tcPr>
          <w:p w:rsidR="004C0E60" w:rsidRPr="004C0E60" w:rsidRDefault="004C0E60" w:rsidP="004C0E60">
            <w:pPr>
              <w:numPr>
                <w:ilvl w:val="0"/>
                <w:numId w:val="24"/>
              </w:numPr>
              <w:spacing w:after="240" w:line="288" w:lineRule="auto"/>
              <w:jc w:val="both"/>
              <w:cnfStyle w:val="100000000000" w:firstRow="1" w:lastRow="0" w:firstColumn="0" w:lastColumn="0" w:oddVBand="0" w:evenVBand="0" w:oddHBand="0" w:evenHBand="0" w:firstRowFirstColumn="0" w:firstRowLastColumn="0" w:lastRowFirstColumn="0" w:lastRowLastColumn="0"/>
            </w:pPr>
            <w:r w:rsidRPr="004C0E60">
              <w:t>2017–18 (%)</w:t>
            </w:r>
          </w:p>
        </w:tc>
        <w:tc>
          <w:tcPr>
            <w:tcW w:w="1541" w:type="dxa"/>
          </w:tcPr>
          <w:p w:rsidR="004C0E60" w:rsidRPr="004C0E60" w:rsidRDefault="004C0E60" w:rsidP="004C0E60">
            <w:pPr>
              <w:numPr>
                <w:ilvl w:val="0"/>
                <w:numId w:val="24"/>
              </w:numPr>
              <w:spacing w:after="240" w:line="288" w:lineRule="auto"/>
              <w:jc w:val="both"/>
              <w:cnfStyle w:val="100000000000" w:firstRow="1" w:lastRow="0" w:firstColumn="0" w:lastColumn="0" w:oddVBand="0" w:evenVBand="0" w:oddHBand="0" w:evenHBand="0" w:firstRowFirstColumn="0" w:firstRowLastColumn="0" w:lastRowFirstColumn="0" w:lastRowLastColumn="0"/>
            </w:pPr>
            <w:r w:rsidRPr="004C0E60">
              <w:t>2018–19 (%)</w:t>
            </w:r>
          </w:p>
        </w:tc>
      </w:tr>
      <w:tr w:rsidR="004C0E60" w:rsidRPr="004C0E60" w:rsidTr="00176357">
        <w:tc>
          <w:tcPr>
            <w:cnfStyle w:val="001000000000" w:firstRow="0" w:lastRow="0" w:firstColumn="1" w:lastColumn="0" w:oddVBand="0" w:evenVBand="0" w:oddHBand="0" w:evenHBand="0" w:firstRowFirstColumn="0" w:firstRowLastColumn="0" w:lastRowFirstColumn="0" w:lastRowLastColumn="0"/>
            <w:tcW w:w="1540" w:type="dxa"/>
          </w:tcPr>
          <w:p w:rsidR="004C0E60" w:rsidRPr="004C0E60" w:rsidRDefault="004C0E60" w:rsidP="004C0E60">
            <w:pPr>
              <w:numPr>
                <w:ilvl w:val="0"/>
                <w:numId w:val="24"/>
              </w:numPr>
              <w:spacing w:before="0" w:after="240" w:line="288" w:lineRule="auto"/>
              <w:jc w:val="both"/>
              <w:rPr>
                <w:b/>
                <w:bCs/>
              </w:rPr>
            </w:pPr>
            <w:r w:rsidRPr="004C0E60">
              <w:rPr>
                <w:b/>
                <w:bCs/>
              </w:rPr>
              <w:t>Aluminium</w:t>
            </w:r>
          </w:p>
          <w:p w:rsidR="004C0E60" w:rsidRPr="004C0E60" w:rsidRDefault="004C0E60" w:rsidP="004C0E60">
            <w:pPr>
              <w:numPr>
                <w:ilvl w:val="0"/>
                <w:numId w:val="24"/>
              </w:numPr>
              <w:spacing w:after="240" w:line="288" w:lineRule="auto"/>
              <w:jc w:val="both"/>
              <w:rPr>
                <w:i/>
              </w:rPr>
            </w:pPr>
            <w:r w:rsidRPr="004C0E60">
              <w:rPr>
                <w:i/>
              </w:rPr>
              <w:t>CEG</w:t>
            </w:r>
          </w:p>
          <w:p w:rsidR="004C0E60" w:rsidRPr="004C0E60" w:rsidRDefault="004C0E60" w:rsidP="004C0E60">
            <w:pPr>
              <w:numPr>
                <w:ilvl w:val="0"/>
                <w:numId w:val="24"/>
              </w:numPr>
              <w:spacing w:after="240" w:line="288" w:lineRule="auto"/>
              <w:jc w:val="both"/>
              <w:rPr>
                <w:i/>
              </w:rPr>
            </w:pPr>
            <w:r w:rsidRPr="004C0E60">
              <w:rPr>
                <w:i/>
              </w:rPr>
              <w:t>SKM</w:t>
            </w:r>
          </w:p>
          <w:p w:rsidR="004C0E60" w:rsidRPr="004C0E60" w:rsidRDefault="004C0E60" w:rsidP="004C0E60">
            <w:pPr>
              <w:numPr>
                <w:ilvl w:val="0"/>
                <w:numId w:val="24"/>
              </w:numPr>
              <w:spacing w:after="240" w:line="288" w:lineRule="auto"/>
              <w:jc w:val="both"/>
              <w:rPr>
                <w:i/>
              </w:rPr>
            </w:pPr>
            <w:r w:rsidRPr="004C0E60">
              <w:rPr>
                <w:i/>
              </w:rPr>
              <w:t>BIS Shrapnel</w:t>
            </w:r>
          </w:p>
          <w:p w:rsidR="004C0E60" w:rsidRPr="004C0E60" w:rsidRDefault="004C0E60" w:rsidP="004C0E60">
            <w:pPr>
              <w:numPr>
                <w:ilvl w:val="0"/>
                <w:numId w:val="24"/>
              </w:numPr>
              <w:spacing w:after="240" w:line="288" w:lineRule="auto"/>
              <w:jc w:val="both"/>
              <w:rPr>
                <w:i/>
              </w:rPr>
            </w:pPr>
            <w:r w:rsidRPr="004C0E60">
              <w:rPr>
                <w:i/>
              </w:rPr>
              <w:t>Range (low to high)</w:t>
            </w:r>
          </w:p>
        </w:tc>
        <w:tc>
          <w:tcPr>
            <w:tcW w:w="1540" w:type="dxa"/>
            <w:vAlign w:val="top"/>
          </w:tcPr>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4.2</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4.69</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13.3</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4.2 to 13.3</w:t>
            </w:r>
          </w:p>
        </w:tc>
        <w:tc>
          <w:tcPr>
            <w:tcW w:w="1540" w:type="dxa"/>
            <w:vAlign w:val="top"/>
          </w:tcPr>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5.8</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4.88</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16.6</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4.88 to 16.6</w:t>
            </w:r>
          </w:p>
        </w:tc>
        <w:tc>
          <w:tcPr>
            <w:tcW w:w="1540" w:type="dxa"/>
            <w:vAlign w:val="top"/>
          </w:tcPr>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5.0</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3.09</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1.9</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1.9 to 5.0</w:t>
            </w:r>
          </w:p>
        </w:tc>
        <w:tc>
          <w:tcPr>
            <w:tcW w:w="1541" w:type="dxa"/>
            <w:vAlign w:val="top"/>
          </w:tcPr>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4.2</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4.42</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5.1</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4.2 to 5.1</w:t>
            </w:r>
          </w:p>
        </w:tc>
        <w:tc>
          <w:tcPr>
            <w:tcW w:w="1541" w:type="dxa"/>
            <w:vAlign w:val="top"/>
          </w:tcPr>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3.6</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2.97</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3.7</w:t>
            </w:r>
          </w:p>
          <w:p w:rsidR="004C0E60" w:rsidRPr="004C0E60" w:rsidRDefault="004C0E60" w:rsidP="004C0E60">
            <w:pPr>
              <w:cnfStyle w:val="000000000000" w:firstRow="0" w:lastRow="0" w:firstColumn="0" w:lastColumn="0" w:oddVBand="0" w:evenVBand="0" w:oddHBand="0" w:evenHBand="0" w:firstRowFirstColumn="0" w:firstRowLastColumn="0" w:lastRowFirstColumn="0" w:lastRowLastColumn="0"/>
            </w:pPr>
            <w:r w:rsidRPr="004C0E60">
              <w:t>2.97 to 3.7</w:t>
            </w:r>
          </w:p>
        </w:tc>
      </w:tr>
      <w:tr w:rsidR="004C0E60" w:rsidRPr="004C0E60" w:rsidTr="001763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4C0E60" w:rsidRPr="004C0E60" w:rsidRDefault="004C0E60" w:rsidP="004C0E60">
            <w:pPr>
              <w:numPr>
                <w:ilvl w:val="0"/>
                <w:numId w:val="24"/>
              </w:numPr>
              <w:spacing w:before="0" w:after="240" w:line="288" w:lineRule="auto"/>
              <w:jc w:val="both"/>
              <w:rPr>
                <w:b/>
                <w:bCs/>
              </w:rPr>
            </w:pPr>
            <w:r w:rsidRPr="004C0E60">
              <w:rPr>
                <w:b/>
                <w:bCs/>
              </w:rPr>
              <w:t>Copper</w:t>
            </w:r>
          </w:p>
          <w:p w:rsidR="004C0E60" w:rsidRPr="004C0E60" w:rsidRDefault="004C0E60" w:rsidP="004C0E60">
            <w:pPr>
              <w:numPr>
                <w:ilvl w:val="0"/>
                <w:numId w:val="24"/>
              </w:numPr>
              <w:spacing w:after="240" w:line="288" w:lineRule="auto"/>
              <w:jc w:val="both"/>
              <w:rPr>
                <w:i/>
              </w:rPr>
            </w:pPr>
            <w:r w:rsidRPr="004C0E60">
              <w:rPr>
                <w:i/>
              </w:rPr>
              <w:t>CEG</w:t>
            </w:r>
          </w:p>
          <w:p w:rsidR="004C0E60" w:rsidRPr="004C0E60" w:rsidRDefault="004C0E60" w:rsidP="004C0E60">
            <w:pPr>
              <w:numPr>
                <w:ilvl w:val="0"/>
                <w:numId w:val="24"/>
              </w:numPr>
              <w:spacing w:after="240" w:line="288" w:lineRule="auto"/>
              <w:jc w:val="both"/>
              <w:rPr>
                <w:i/>
              </w:rPr>
            </w:pPr>
            <w:r w:rsidRPr="004C0E60">
              <w:rPr>
                <w:i/>
              </w:rPr>
              <w:t>SKM</w:t>
            </w:r>
          </w:p>
          <w:p w:rsidR="004C0E60" w:rsidRPr="004C0E60" w:rsidRDefault="004C0E60" w:rsidP="004C0E60">
            <w:pPr>
              <w:numPr>
                <w:ilvl w:val="0"/>
                <w:numId w:val="24"/>
              </w:numPr>
              <w:spacing w:after="240" w:line="288" w:lineRule="auto"/>
              <w:jc w:val="both"/>
              <w:rPr>
                <w:i/>
              </w:rPr>
            </w:pPr>
            <w:r w:rsidRPr="004C0E60">
              <w:rPr>
                <w:i/>
              </w:rPr>
              <w:t>BIS Shrapnel</w:t>
            </w:r>
          </w:p>
          <w:p w:rsidR="004C0E60" w:rsidRPr="004C0E60" w:rsidRDefault="004C0E60" w:rsidP="004C0E60">
            <w:pPr>
              <w:numPr>
                <w:ilvl w:val="0"/>
                <w:numId w:val="24"/>
              </w:numPr>
              <w:spacing w:after="240" w:line="288" w:lineRule="auto"/>
              <w:jc w:val="both"/>
              <w:rPr>
                <w:i/>
              </w:rPr>
            </w:pPr>
            <w:r w:rsidRPr="004C0E60">
              <w:rPr>
                <w:i/>
              </w:rPr>
              <w:t>Range (low to high)</w:t>
            </w:r>
          </w:p>
        </w:tc>
        <w:tc>
          <w:tcPr>
            <w:tcW w:w="1540" w:type="dxa"/>
            <w:vAlign w:val="top"/>
          </w:tcPr>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-0.9</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-0.17</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3.5</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-0.9 to 3.5</w:t>
            </w:r>
          </w:p>
        </w:tc>
        <w:tc>
          <w:tcPr>
            <w:tcW w:w="1540" w:type="dxa"/>
            <w:vAlign w:val="top"/>
          </w:tcPr>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1.1</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0.17</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9.6</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0.17 to 9.6</w:t>
            </w:r>
          </w:p>
        </w:tc>
        <w:tc>
          <w:tcPr>
            <w:tcW w:w="1540" w:type="dxa"/>
            <w:vAlign w:val="top"/>
          </w:tcPr>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0.3</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-1.15</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0.6</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-1.15 to 0.6</w:t>
            </w:r>
          </w:p>
        </w:tc>
        <w:tc>
          <w:tcPr>
            <w:tcW w:w="1541" w:type="dxa"/>
            <w:vAlign w:val="top"/>
          </w:tcPr>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-0.3</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-0.16</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3.6</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-0.3 to 3.6</w:t>
            </w:r>
          </w:p>
        </w:tc>
        <w:tc>
          <w:tcPr>
            <w:tcW w:w="1541" w:type="dxa"/>
            <w:vAlign w:val="top"/>
          </w:tcPr>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-0.7</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-1.45</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1.9</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-1.45 to 1.9</w:t>
            </w:r>
          </w:p>
        </w:tc>
      </w:tr>
      <w:tr w:rsidR="004C0E60" w:rsidRPr="004C0E60" w:rsidTr="00176357">
        <w:tc>
          <w:tcPr>
            <w:cnfStyle w:val="001000000000" w:firstRow="0" w:lastRow="0" w:firstColumn="1" w:lastColumn="0" w:oddVBand="0" w:evenVBand="0" w:oddHBand="0" w:evenHBand="0" w:firstRowFirstColumn="0" w:firstRowLastColumn="0" w:lastRowFirstColumn="0" w:lastRowLastColumn="0"/>
            <w:tcW w:w="1540" w:type="dxa"/>
          </w:tcPr>
          <w:p w:rsidR="004C0E60" w:rsidRPr="004C0E60" w:rsidRDefault="004C0E60" w:rsidP="004C0E60">
            <w:pPr>
              <w:numPr>
                <w:ilvl w:val="0"/>
                <w:numId w:val="24"/>
              </w:numPr>
              <w:spacing w:before="0" w:after="240" w:line="288" w:lineRule="auto"/>
              <w:jc w:val="both"/>
            </w:pPr>
            <w:r w:rsidRPr="004C0E60">
              <w:rPr>
                <w:b/>
                <w:bCs/>
              </w:rPr>
              <w:t xml:space="preserve">Steel </w:t>
            </w:r>
          </w:p>
          <w:p w:rsidR="004C0E60" w:rsidRPr="004C0E60" w:rsidRDefault="004C0E60" w:rsidP="004C0E60">
            <w:pPr>
              <w:numPr>
                <w:ilvl w:val="0"/>
                <w:numId w:val="24"/>
              </w:numPr>
              <w:spacing w:after="240" w:line="288" w:lineRule="auto"/>
              <w:jc w:val="both"/>
              <w:rPr>
                <w:i/>
              </w:rPr>
            </w:pPr>
            <w:r w:rsidRPr="004C0E60">
              <w:rPr>
                <w:i/>
              </w:rPr>
              <w:t>CEG</w:t>
            </w:r>
          </w:p>
          <w:p w:rsidR="004C0E60" w:rsidRPr="004C0E60" w:rsidRDefault="004C0E60" w:rsidP="004C0E60">
            <w:pPr>
              <w:numPr>
                <w:ilvl w:val="0"/>
                <w:numId w:val="24"/>
              </w:numPr>
              <w:spacing w:after="240" w:line="288" w:lineRule="auto"/>
              <w:jc w:val="both"/>
              <w:rPr>
                <w:i/>
              </w:rPr>
            </w:pPr>
            <w:r w:rsidRPr="004C0E60">
              <w:rPr>
                <w:i/>
              </w:rPr>
              <w:t>SKM</w:t>
            </w:r>
          </w:p>
          <w:p w:rsidR="004C0E60" w:rsidRPr="004C0E60" w:rsidRDefault="004C0E60" w:rsidP="004C0E60">
            <w:pPr>
              <w:numPr>
                <w:ilvl w:val="0"/>
                <w:numId w:val="24"/>
              </w:numPr>
              <w:spacing w:after="240" w:line="288" w:lineRule="auto"/>
              <w:jc w:val="both"/>
              <w:rPr>
                <w:i/>
                <w:vertAlign w:val="superscript"/>
              </w:rPr>
            </w:pPr>
            <w:r w:rsidRPr="004C0E60">
              <w:rPr>
                <w:i/>
              </w:rPr>
              <w:t>BIS Shrapnel</w:t>
            </w:r>
            <w:r w:rsidRPr="004C0E60">
              <w:rPr>
                <w:vertAlign w:val="superscript"/>
              </w:rPr>
              <w:t>1</w:t>
            </w:r>
          </w:p>
          <w:p w:rsidR="004C0E60" w:rsidRPr="004C0E60" w:rsidRDefault="004C0E60" w:rsidP="004C0E60">
            <w:pPr>
              <w:numPr>
                <w:ilvl w:val="0"/>
                <w:numId w:val="24"/>
              </w:numPr>
              <w:spacing w:after="240" w:line="288" w:lineRule="auto"/>
              <w:jc w:val="both"/>
              <w:rPr>
                <w:i/>
              </w:rPr>
            </w:pPr>
            <w:r w:rsidRPr="004C0E60">
              <w:rPr>
                <w:i/>
              </w:rPr>
              <w:t>Range (low to high)</w:t>
            </w:r>
          </w:p>
        </w:tc>
        <w:tc>
          <w:tcPr>
            <w:tcW w:w="1540" w:type="dxa"/>
            <w:vAlign w:val="top"/>
          </w:tcPr>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0.6</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2.84</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2.1</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0.6 to 2.1</w:t>
            </w:r>
          </w:p>
        </w:tc>
        <w:tc>
          <w:tcPr>
            <w:tcW w:w="1540" w:type="dxa"/>
            <w:vAlign w:val="top"/>
          </w:tcPr>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3.2</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2.45</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9.2</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2.45 to 9.2</w:t>
            </w:r>
          </w:p>
        </w:tc>
        <w:tc>
          <w:tcPr>
            <w:tcW w:w="1540" w:type="dxa"/>
            <w:vAlign w:val="top"/>
          </w:tcPr>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0.6</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-0.35</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-1.3</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-1.3 to 0.6</w:t>
            </w:r>
          </w:p>
        </w:tc>
        <w:tc>
          <w:tcPr>
            <w:tcW w:w="1541" w:type="dxa"/>
            <w:vAlign w:val="top"/>
          </w:tcPr>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0.3</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0.38</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3.7</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0.3 to 3.7</w:t>
            </w:r>
          </w:p>
        </w:tc>
        <w:tc>
          <w:tcPr>
            <w:tcW w:w="1541" w:type="dxa"/>
            <w:vAlign w:val="top"/>
          </w:tcPr>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-0.1</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-1.11</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3.7</w:t>
            </w:r>
          </w:p>
          <w:p w:rsidR="004C0E60" w:rsidRPr="004C0E60" w:rsidRDefault="004C0E60" w:rsidP="004C0E60">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4C0E60">
              <w:t>-1.11 to 3.7</w:t>
            </w:r>
          </w:p>
        </w:tc>
      </w:tr>
      <w:tr w:rsidR="004C0E60" w:rsidRPr="004C0E60" w:rsidTr="001763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4C0E60" w:rsidRPr="004C0E60" w:rsidRDefault="004C0E60" w:rsidP="004C0E60">
            <w:pPr>
              <w:numPr>
                <w:ilvl w:val="0"/>
                <w:numId w:val="24"/>
              </w:numPr>
              <w:spacing w:before="0" w:after="240" w:line="288" w:lineRule="auto"/>
              <w:jc w:val="both"/>
              <w:rPr>
                <w:b/>
                <w:bCs/>
              </w:rPr>
            </w:pPr>
            <w:r w:rsidRPr="004C0E60">
              <w:rPr>
                <w:b/>
                <w:bCs/>
              </w:rPr>
              <w:t xml:space="preserve">Oil </w:t>
            </w:r>
          </w:p>
          <w:p w:rsidR="004C0E60" w:rsidRPr="004C0E60" w:rsidRDefault="004C0E60" w:rsidP="004C0E60">
            <w:pPr>
              <w:numPr>
                <w:ilvl w:val="0"/>
                <w:numId w:val="24"/>
              </w:numPr>
              <w:spacing w:after="240" w:line="288" w:lineRule="auto"/>
              <w:jc w:val="both"/>
              <w:rPr>
                <w:i/>
              </w:rPr>
            </w:pPr>
            <w:r w:rsidRPr="004C0E60">
              <w:rPr>
                <w:i/>
              </w:rPr>
              <w:t>CEG</w:t>
            </w:r>
          </w:p>
          <w:p w:rsidR="004C0E60" w:rsidRPr="004C0E60" w:rsidRDefault="004C0E60" w:rsidP="004C0E60">
            <w:pPr>
              <w:numPr>
                <w:ilvl w:val="0"/>
                <w:numId w:val="24"/>
              </w:numPr>
              <w:spacing w:after="240" w:line="288" w:lineRule="auto"/>
              <w:jc w:val="both"/>
              <w:rPr>
                <w:i/>
              </w:rPr>
            </w:pPr>
            <w:r w:rsidRPr="004C0E60">
              <w:rPr>
                <w:i/>
              </w:rPr>
              <w:t>SKM</w:t>
            </w:r>
          </w:p>
          <w:p w:rsidR="004C0E60" w:rsidRPr="004C0E60" w:rsidRDefault="004C0E60" w:rsidP="004C0E60">
            <w:pPr>
              <w:numPr>
                <w:ilvl w:val="0"/>
                <w:numId w:val="24"/>
              </w:numPr>
              <w:spacing w:after="240" w:line="288" w:lineRule="auto"/>
              <w:jc w:val="both"/>
              <w:rPr>
                <w:i/>
                <w:vertAlign w:val="superscript"/>
              </w:rPr>
            </w:pPr>
            <w:r w:rsidRPr="004C0E60">
              <w:rPr>
                <w:i/>
              </w:rPr>
              <w:t>BIS Shrapnel</w:t>
            </w:r>
            <w:r w:rsidRPr="004C0E60">
              <w:rPr>
                <w:vertAlign w:val="superscript"/>
              </w:rPr>
              <w:t>2</w:t>
            </w:r>
          </w:p>
          <w:p w:rsidR="004C0E60" w:rsidRPr="004C0E60" w:rsidRDefault="004C0E60" w:rsidP="004C0E60">
            <w:pPr>
              <w:numPr>
                <w:ilvl w:val="0"/>
                <w:numId w:val="24"/>
              </w:numPr>
              <w:spacing w:after="240" w:line="288" w:lineRule="auto"/>
              <w:jc w:val="both"/>
              <w:rPr>
                <w:i/>
              </w:rPr>
            </w:pPr>
            <w:r w:rsidRPr="004C0E60">
              <w:rPr>
                <w:i/>
              </w:rPr>
              <w:t>Range (low to high)</w:t>
            </w:r>
          </w:p>
        </w:tc>
        <w:tc>
          <w:tcPr>
            <w:tcW w:w="1540" w:type="dxa"/>
            <w:vAlign w:val="top"/>
          </w:tcPr>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-0.5</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-5.11</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-9.0</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-9.0 to -0.5</w:t>
            </w:r>
          </w:p>
        </w:tc>
        <w:tc>
          <w:tcPr>
            <w:tcW w:w="1540" w:type="dxa"/>
            <w:vAlign w:val="top"/>
          </w:tcPr>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2.8</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-0.79</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0.2</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-0.79 to 2.8</w:t>
            </w:r>
          </w:p>
        </w:tc>
        <w:tc>
          <w:tcPr>
            <w:tcW w:w="1540" w:type="dxa"/>
            <w:vAlign w:val="top"/>
          </w:tcPr>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2.6</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0.74</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1.4</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0.74 to 2.6</w:t>
            </w:r>
          </w:p>
        </w:tc>
        <w:tc>
          <w:tcPr>
            <w:tcW w:w="1541" w:type="dxa"/>
            <w:vAlign w:val="top"/>
          </w:tcPr>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2.1</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1.85</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4.2</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1.85 to 4.2</w:t>
            </w:r>
          </w:p>
        </w:tc>
        <w:tc>
          <w:tcPr>
            <w:tcW w:w="1541" w:type="dxa"/>
            <w:vAlign w:val="top"/>
          </w:tcPr>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1.8</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0.51</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3.1</w:t>
            </w:r>
          </w:p>
          <w:p w:rsidR="004C0E60" w:rsidRPr="004C0E60" w:rsidRDefault="004C0E60" w:rsidP="004C0E60">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4C0E60">
              <w:t>0.51 to 3.1</w:t>
            </w:r>
          </w:p>
        </w:tc>
      </w:tr>
    </w:tbl>
    <w:p w:rsidR="004C0E60" w:rsidRPr="00F60A1A" w:rsidRDefault="004C0E60" w:rsidP="00E834E1">
      <w:pPr>
        <w:pStyle w:val="AERtablesource"/>
      </w:pPr>
      <w:r w:rsidRPr="00496223">
        <w:t>Source:</w:t>
      </w:r>
      <w:r w:rsidRPr="00496223">
        <w:tab/>
        <w:t xml:space="preserve">CEG, Escalation factors affecting expenditure forecasts, December 2013, pp. 21, 24 and 27, SKM, </w:t>
      </w:r>
      <w:proofErr w:type="spellStart"/>
      <w:r w:rsidRPr="00496223">
        <w:t>TransGrid</w:t>
      </w:r>
      <w:proofErr w:type="spellEnd"/>
      <w:r w:rsidRPr="00496223">
        <w:t xml:space="preserve"> Commodity Price Escalation Forecast 2013/14 - 2018/19, 9 December 2013, p. 2 and BIS Shrapnel, Real labour and material cost escalation forecasts to 2020</w:t>
      </w:r>
      <w:r w:rsidR="00740F26" w:rsidRPr="005D64A3">
        <w:t>–</w:t>
      </w:r>
      <w:r w:rsidRPr="00521FD5">
        <w:t>21, February 2015, p. iv.</w:t>
      </w:r>
    </w:p>
    <w:p w:rsidR="004C0E60" w:rsidRPr="00496223" w:rsidRDefault="00496223" w:rsidP="00E834E1">
      <w:pPr>
        <w:pStyle w:val="AERtablesource"/>
      </w:pPr>
      <w:r>
        <w:t>Note:</w:t>
      </w:r>
      <w:r w:rsidR="004C0E60" w:rsidRPr="00E834E1">
        <w:t xml:space="preserve"> </w:t>
      </w:r>
      <w:r w:rsidR="00C81B75" w:rsidRPr="00E834E1">
        <w:tab/>
      </w:r>
      <w:r w:rsidR="004C0E60" w:rsidRPr="00496223">
        <w:t>Asian market price as BIS Shrapnel believes the Asia market is more appropriate.</w:t>
      </w:r>
      <w:r w:rsidR="004C0E60" w:rsidRPr="00E834E1">
        <w:footnoteReference w:id="159"/>
      </w:r>
    </w:p>
    <w:p w:rsidR="004C0E60" w:rsidRPr="00496223" w:rsidRDefault="00C81B75" w:rsidP="00E834E1">
      <w:pPr>
        <w:pStyle w:val="AERtablesource"/>
      </w:pPr>
      <w:r w:rsidRPr="00E834E1">
        <w:tab/>
      </w:r>
      <w:r w:rsidR="004C0E60" w:rsidRPr="00496223">
        <w:t xml:space="preserve">BIS Shrapnel have forecast plastics prices based on price changes in Nylon-11 and HDPE (Polyethylene). BIS Shrapnel state that Castor Oil is </w:t>
      </w:r>
      <w:r w:rsidR="004C0E60" w:rsidRPr="005D64A3">
        <w:t xml:space="preserve">the key raw material of Nylon-11 and because it does not have any historical data on Castor Oil, it has approximated Nylon-11 by using HDPE growth rates. HDPE (Polyethylene) prices are </w:t>
      </w:r>
      <w:proofErr w:type="spellStart"/>
      <w:r w:rsidR="004C0E60" w:rsidRPr="005D64A3">
        <w:t>proxied</w:t>
      </w:r>
      <w:proofErr w:type="spellEnd"/>
      <w:r w:rsidR="004C0E60" w:rsidRPr="005D64A3">
        <w:t xml:space="preserve"> by BIS Shrapnel using Manufacturing Wages, General Materials, a</w:t>
      </w:r>
      <w:r w:rsidR="004C0E60" w:rsidRPr="00521FD5">
        <w:t>nd Thermoplastic Resin prices. BIS Shrapnel state that Thermoplastic Resin is primarily driven by Crude Oil.</w:t>
      </w:r>
      <w:r w:rsidR="004C0E60" w:rsidRPr="00E834E1">
        <w:footnoteReference w:id="160"/>
      </w:r>
    </w:p>
    <w:p w:rsidR="004C0E60" w:rsidRPr="004C0E60" w:rsidRDefault="004C0E60" w:rsidP="0061777C">
      <w:r w:rsidRPr="00E834E1">
        <w:rPr>
          <w:rStyle w:val="AERbody"/>
        </w:rPr>
        <w:t>As</w:t>
      </w:r>
      <w:r w:rsidR="00C81B75" w:rsidRPr="00E834E1">
        <w:rPr>
          <w:rStyle w:val="AERbody"/>
        </w:rPr>
        <w:t xml:space="preserve"> </w:t>
      </w:r>
      <w:r w:rsidR="0061777C" w:rsidRPr="00E834E1">
        <w:fldChar w:fldCharType="begin"/>
      </w:r>
      <w:r w:rsidR="0061777C" w:rsidRPr="00E834E1">
        <w:instrText xml:space="preserve"> REF _Ref435522669 \h </w:instrText>
      </w:r>
      <w:r w:rsidR="0061777C">
        <w:instrText xml:space="preserve"> \* MERGEFORMAT </w:instrText>
      </w:r>
      <w:r w:rsidR="0061777C" w:rsidRPr="00E834E1">
        <w:fldChar w:fldCharType="separate"/>
      </w:r>
      <w:r w:rsidR="0061777C" w:rsidRPr="00E834E1">
        <w:t>Table 6.9</w:t>
      </w:r>
      <w:r w:rsidR="0061777C" w:rsidRPr="00E834E1">
        <w:fldChar w:fldCharType="end"/>
      </w:r>
      <w:r w:rsidR="00C81B75" w:rsidRPr="00E834E1">
        <w:rPr>
          <w:rStyle w:val="AERbody"/>
        </w:rPr>
        <w:t xml:space="preserve"> </w:t>
      </w:r>
      <w:r w:rsidRPr="00E834E1">
        <w:rPr>
          <w:rStyle w:val="AERbody"/>
        </w:rPr>
        <w:t>shows, there is considerable variation between the consultant’s commodities escalation forecasts. The greatest margin of variation is 11.7 per cent for aluminium in 2015</w:t>
      </w:r>
      <w:r w:rsidR="00740F26" w:rsidRPr="00E834E1">
        <w:rPr>
          <w:rStyle w:val="AERbody"/>
        </w:rPr>
        <w:t>–</w:t>
      </w:r>
      <w:r w:rsidRPr="00E834E1">
        <w:rPr>
          <w:rStyle w:val="AERbody"/>
        </w:rPr>
        <w:t xml:space="preserve">16, where CEG has forecast a real price increase of 4.88 per cent and BIS Shrapnel a real price increase of 16.6 per cent. BIS Shrapnel’s forecasts exhibit the greatest margin of variation but there also considerable variation between CEG and SKM’s forecasts. These forecast divergences between consultants further demonstrate the uncertainty in the modelling of material input cost escalators </w:t>
      </w:r>
      <w:proofErr w:type="gramStart"/>
      <w:r w:rsidRPr="00E834E1">
        <w:rPr>
          <w:rStyle w:val="AERbody"/>
        </w:rPr>
        <w:t>to</w:t>
      </w:r>
      <w:proofErr w:type="gramEnd"/>
      <w:r w:rsidRPr="00E834E1">
        <w:rPr>
          <w:rStyle w:val="AERbody"/>
        </w:rPr>
        <w:t xml:space="preserve"> reliably and accurately estimate the prices of intermediate outputs used by service providers to provide network services. This supports our view that </w:t>
      </w:r>
      <w:proofErr w:type="spellStart"/>
      <w:r w:rsidRPr="00E834E1">
        <w:rPr>
          <w:rStyle w:val="AERbody"/>
        </w:rPr>
        <w:t>ActewAGL’s</w:t>
      </w:r>
      <w:proofErr w:type="spellEnd"/>
      <w:r w:rsidRPr="00E834E1">
        <w:rPr>
          <w:rStyle w:val="AERbody"/>
        </w:rPr>
        <w:t xml:space="preserve"> forecast real material cost escalators are not arrived at on a reasonable basis, and are</w:t>
      </w:r>
      <w:r w:rsidRPr="004C0E60">
        <w:t xml:space="preserve"> not the best forecast possible in the circumstances</w:t>
      </w:r>
      <w:r w:rsidRPr="004C0E60">
        <w:rPr>
          <w:sz w:val="16"/>
          <w:vertAlign w:val="superscript"/>
        </w:rPr>
        <w:footnoteReference w:id="161"/>
      </w:r>
      <w:r w:rsidRPr="004C0E60">
        <w:t xml:space="preserve"> and do not meet the capital expenditure criteria.</w:t>
      </w:r>
      <w:r w:rsidRPr="004C0E60">
        <w:rPr>
          <w:sz w:val="16"/>
          <w:vertAlign w:val="superscript"/>
        </w:rPr>
        <w:footnoteReference w:id="162"/>
      </w:r>
    </w:p>
    <w:p w:rsidR="004C0E60" w:rsidRPr="004C0E60" w:rsidRDefault="004C0E60" w:rsidP="00E434C3">
      <w:pPr>
        <w:pStyle w:val="Heading8"/>
      </w:pPr>
      <w:bookmarkStart w:id="64" w:name="_Toc404676609"/>
      <w:bookmarkStart w:id="65" w:name="_Ref404676881"/>
      <w:bookmarkStart w:id="66" w:name="_Toc435692230"/>
      <w:r w:rsidRPr="004C0E60">
        <w:t>Conclusions on materials cost escalation</w:t>
      </w:r>
      <w:bookmarkEnd w:id="64"/>
      <w:bookmarkEnd w:id="65"/>
      <w:bookmarkEnd w:id="66"/>
    </w:p>
    <w:p w:rsidR="004C0E60" w:rsidRPr="004C0E60" w:rsidRDefault="004C0E60" w:rsidP="004C0E60">
      <w:r w:rsidRPr="004C0E60">
        <w:t xml:space="preserve">We are not satisfied that ActewAGL has demonstrated that the weightings applied to the intermediate inputs have produced unbiased forecasts of the movement in the prices it expects to pay for its physical assets. In particular, ActewAGL has not provided sufficient evidence to show that the changes in the prices of the assets they purchase are highly correlated to changes in raw material inputs. </w:t>
      </w:r>
    </w:p>
    <w:p w:rsidR="004C0E60" w:rsidRPr="004C0E60" w:rsidRDefault="004C0E60" w:rsidP="004C0E60">
      <w:r w:rsidRPr="004C0E60">
        <w:t xml:space="preserve">The consultant's reports to the energy service providers identified a number of factors which are consistent with our view that </w:t>
      </w:r>
      <w:proofErr w:type="spellStart"/>
      <w:r w:rsidRPr="004C0E60">
        <w:t>ActewAGL’s</w:t>
      </w:r>
      <w:proofErr w:type="spellEnd"/>
      <w:r w:rsidRPr="004C0E60">
        <w:t xml:space="preserve"> capex forecast model has not demonstrated how and to what extent material inputs are likely to affect the cost of intermediate outputs. BIS Shrapnel assumed that for general materials such as stationary, office furniture, electricity, water, fuel and rent the average price increase would be similar to consumer price inflation and that the appropriate cost escalator for general materials is the CPI.</w:t>
      </w:r>
      <w:r w:rsidRPr="004C0E60">
        <w:rPr>
          <w:sz w:val="16"/>
          <w:vertAlign w:val="superscript"/>
        </w:rPr>
        <w:footnoteReference w:id="163"/>
      </w:r>
      <w:r w:rsidRPr="004C0E60">
        <w:t xml:space="preserve"> CEG in its report stated that futures prices are unlikely to exactly predict future spot prices given that all manner of unexpected events can occur.</w:t>
      </w:r>
      <w:r w:rsidRPr="004C0E60">
        <w:rPr>
          <w:sz w:val="16"/>
          <w:vertAlign w:val="superscript"/>
        </w:rPr>
        <w:footnoteReference w:id="164"/>
      </w:r>
      <w:r w:rsidRPr="004C0E60">
        <w:t xml:space="preserve"> CEG also stated that while futures prices and forecasts today may well be a very precise estimate of current expectations of the future, they are at best an imprecise estimate of future values.</w:t>
      </w:r>
      <w:r w:rsidRPr="004C0E60">
        <w:rPr>
          <w:sz w:val="16"/>
          <w:vertAlign w:val="superscript"/>
        </w:rPr>
        <w:footnoteReference w:id="165"/>
      </w:r>
      <w:r w:rsidRPr="004C0E60">
        <w:t xml:space="preserve"> BIS Shrapnel also stated that there is a lack of authoritative long term exchange rate forecasts.</w:t>
      </w:r>
      <w:r w:rsidRPr="004C0E60">
        <w:rPr>
          <w:sz w:val="16"/>
          <w:vertAlign w:val="superscript"/>
        </w:rPr>
        <w:footnoteReference w:id="166"/>
      </w:r>
    </w:p>
    <w:p w:rsidR="004C0E60" w:rsidRPr="004C0E60" w:rsidRDefault="004C0E60" w:rsidP="004C0E60">
      <w:r w:rsidRPr="004C0E60">
        <w:t xml:space="preserve">Recent reviews of commodity price movements show mixed results for commodity price forecasts based on futures prices. Further, nominal exchange rates are in general extremely difficult to forecast and based on the economic literature of a review of exchange rate forecast models, a “no change” forecasting approach may be preferable. </w:t>
      </w:r>
    </w:p>
    <w:p w:rsidR="004C0E60" w:rsidRPr="004C0E60" w:rsidRDefault="004C0E60" w:rsidP="004C0E60">
      <w:r w:rsidRPr="004C0E60">
        <w:t xml:space="preserve">It is our view that where we are not satisfied that a forecast of real cost escalation for materials is robust, and we cannot determine a robust alternative forecast, then real cost escalation </w:t>
      </w:r>
      <w:r w:rsidR="00FC556E">
        <w:t xml:space="preserve">over and above CPI </w:t>
      </w:r>
      <w:r w:rsidRPr="004C0E60">
        <w:t>should not be applied in determining a service provider's required capital expenditure. We accept that there is uncertainty in estimating real cost changes but we consider the degree of the potential inaccuracy of commodities forecasts is such that there should be no escalation for the price of input materials</w:t>
      </w:r>
      <w:r w:rsidRPr="004C0E60">
        <w:rPr>
          <w:rFonts w:eastAsia="Calibri"/>
        </w:rPr>
        <w:t xml:space="preserve"> </w:t>
      </w:r>
      <w:r w:rsidRPr="004C0E60">
        <w:t>used by ActewAGL to provide network services.</w:t>
      </w:r>
    </w:p>
    <w:p w:rsidR="004C0E60" w:rsidRPr="004C0E60" w:rsidRDefault="004C0E60" w:rsidP="004C0E60">
      <w:r w:rsidRPr="004C0E60">
        <w:t>In previous AER decisions, namely our Final Decisions for Australian Gas Network’s (AGN) Queensland and South Australian gas networks, we took a similar approach. This was on the basis that as all of AGN’s real costs are escalated annually by CPI under its tariff variation mechanism, CPI must inform the AER's underlying assumptions about AGN’s overall input costs. Consistent with this, we applied zero real cost escalation and by default AGN’s input costs were escalated by CPI in the absence of a viable and robust alternative. Likewise, for ActewAGL we consider that in the absence of a well-founded materials cost escalation forecast, escalating real costs annually by the CPI is the better alternative that will contribute to a total forecast capex that reasonably reflects the capex criteria.</w:t>
      </w:r>
    </w:p>
    <w:p w:rsidR="004C0E60" w:rsidRPr="004C0E60" w:rsidRDefault="004C0E60" w:rsidP="004C0E60">
      <w:r w:rsidRPr="004C0E60">
        <w:t>The CPI can be used to account for the cost items for equipment whose price trend cannot be conclusively explained by the movement of commodities prices. This approach is consistent with the revenue and pricing principles of the NGL which provide that a regulated network service provider should be provided with a reasonable opportunity to recover at least the efficient costs it incurs in providing direct control network services.</w:t>
      </w:r>
      <w:r w:rsidRPr="004C0E60">
        <w:rPr>
          <w:vertAlign w:val="superscript"/>
        </w:rPr>
        <w:footnoteReference w:id="167"/>
      </w:r>
    </w:p>
    <w:p w:rsidR="004C0E60" w:rsidRPr="004C0E60" w:rsidRDefault="004C0E60" w:rsidP="00E434C3">
      <w:pPr>
        <w:pStyle w:val="Heading8"/>
      </w:pPr>
      <w:bookmarkStart w:id="67" w:name="_Toc404676610"/>
      <w:bookmarkStart w:id="68" w:name="_Toc435692231"/>
      <w:r w:rsidRPr="004C0E60">
        <w:t>Labour escalators</w:t>
      </w:r>
      <w:bookmarkEnd w:id="67"/>
      <w:bookmarkEnd w:id="68"/>
    </w:p>
    <w:p w:rsidR="004C0E60" w:rsidRPr="004C0E60" w:rsidRDefault="004C0E60" w:rsidP="004C0E60">
      <w:r w:rsidRPr="004C0E60">
        <w:t xml:space="preserve">Our approach to real materials cost escalation does not affect the application of labour cost escalators, which will continue to apply to reference services capital and operating expenditure. </w:t>
      </w:r>
    </w:p>
    <w:p w:rsidR="004C0E60" w:rsidRPr="004C0E60" w:rsidRDefault="004C0E60" w:rsidP="004C0E60">
      <w:r w:rsidRPr="004C0E60">
        <w:t>We consider that labour cost escalation more reasonably reflects a realistic expectation of the cost inputs required to achieve the capex objectives.</w:t>
      </w:r>
      <w:r w:rsidRPr="004C0E60">
        <w:rPr>
          <w:vertAlign w:val="superscript"/>
        </w:rPr>
        <w:footnoteReference w:id="168"/>
      </w:r>
      <w:r w:rsidRPr="004C0E60">
        <w:t xml:space="preserve"> We consider that real labour cost escalators can be more reliably and robustly forecast than material input cost escalators, in part because these are not intermediate inputs and productivity improvements have been factored into the analysis (refer to the opex attachment). </w:t>
      </w:r>
    </w:p>
    <w:p w:rsidR="004C0E60" w:rsidRPr="004C0E60" w:rsidRDefault="004C0E60" w:rsidP="004C0E60">
      <w:r w:rsidRPr="004C0E60">
        <w:t>Further details on our consideration of labour cost esca</w:t>
      </w:r>
      <w:r w:rsidR="00D87931">
        <w:t xml:space="preserve">lators are discussed in Attachment 7 </w:t>
      </w:r>
      <w:r w:rsidRPr="004C0E60">
        <w:t>of this decision.</w:t>
      </w:r>
    </w:p>
    <w:p w:rsidR="00E84B03" w:rsidRDefault="00E84B03">
      <w:pPr>
        <w:spacing w:line="240" w:lineRule="auto"/>
      </w:pPr>
      <w:r>
        <w:br w:type="page"/>
      </w:r>
    </w:p>
    <w:p w:rsidR="00E84B03" w:rsidRDefault="00E84B03" w:rsidP="00E84B03">
      <w:pPr>
        <w:pStyle w:val="Heading7"/>
      </w:pPr>
      <w:bookmarkStart w:id="69" w:name="_Ref433096053"/>
      <w:bookmarkStart w:id="70" w:name="_Ref435522380"/>
      <w:bookmarkStart w:id="71" w:name="_Toc435692232"/>
      <w:r>
        <w:t>Unit rate model - data reporting and reconciliation issues</w:t>
      </w:r>
      <w:bookmarkEnd w:id="69"/>
      <w:r w:rsidR="00D87931">
        <w:t xml:space="preserve"> with the </w:t>
      </w:r>
      <w:r w:rsidR="00A213DD">
        <w:t xml:space="preserve">access arrangement </w:t>
      </w:r>
      <w:r w:rsidR="00D87931">
        <w:t>RIN</w:t>
      </w:r>
      <w:bookmarkEnd w:id="70"/>
      <w:bookmarkEnd w:id="71"/>
    </w:p>
    <w:p w:rsidR="00E84B03" w:rsidRDefault="00D87931" w:rsidP="00E84B03">
      <w:r>
        <w:t>W</w:t>
      </w:r>
      <w:r w:rsidR="00E84B03">
        <w:t xml:space="preserve">e identified reconciliation issues between the historical volumes of services/mains/meters applied in the unit rate model compared with the </w:t>
      </w:r>
      <w:r w:rsidR="00A213DD">
        <w:t>access arrangement</w:t>
      </w:r>
      <w:r w:rsidR="00E84B03">
        <w:t xml:space="preserve"> RIN. We requested that ActewAGL reconcile the volume differences.</w:t>
      </w:r>
      <w:r w:rsidR="00E84B03">
        <w:rPr>
          <w:rStyle w:val="FootnoteReference"/>
        </w:rPr>
        <w:footnoteReference w:id="169"/>
      </w:r>
    </w:p>
    <w:p w:rsidR="00E84B03" w:rsidRDefault="00E84B03" w:rsidP="00E84B03">
      <w:pPr>
        <w:pStyle w:val="Caption"/>
      </w:pPr>
      <w:proofErr w:type="gramStart"/>
      <w:r>
        <w:t xml:space="preserve">Table </w:t>
      </w:r>
      <w:proofErr w:type="gramEnd"/>
      <w:r w:rsidR="004C5F88">
        <w:fldChar w:fldCharType="begin"/>
      </w:r>
      <w:r w:rsidR="004C5F88">
        <w:instrText xml:space="preserve"> STYLEREF 1 \s </w:instrText>
      </w:r>
      <w:r w:rsidR="004C5F88">
        <w:fldChar w:fldCharType="separate"/>
      </w:r>
      <w:r w:rsidR="00EE4EAF">
        <w:rPr>
          <w:noProof/>
        </w:rPr>
        <w:t>6</w:t>
      </w:r>
      <w:r w:rsidR="004C5F88">
        <w:rPr>
          <w:noProof/>
        </w:rPr>
        <w:fldChar w:fldCharType="end"/>
      </w:r>
      <w:proofErr w:type="gramStart"/>
      <w:r w:rsidR="0061777C">
        <w:t>.</w:t>
      </w:r>
      <w:proofErr w:type="gramEnd"/>
      <w:r w:rsidR="004C5F88">
        <w:fldChar w:fldCharType="begin"/>
      </w:r>
      <w:r w:rsidR="004C5F88">
        <w:instrText xml:space="preserve"> SEQ Table \* ARABIC \s 1 </w:instrText>
      </w:r>
      <w:r w:rsidR="004C5F88">
        <w:fldChar w:fldCharType="separate"/>
      </w:r>
      <w:r w:rsidR="00EE4EAF">
        <w:rPr>
          <w:noProof/>
        </w:rPr>
        <w:t>10</w:t>
      </w:r>
      <w:r w:rsidR="004C5F88">
        <w:rPr>
          <w:noProof/>
        </w:rPr>
        <w:fldChar w:fldCharType="end"/>
      </w:r>
      <w:r>
        <w:tab/>
        <w:t xml:space="preserve">Difference between service numbers in </w:t>
      </w:r>
      <w:r w:rsidR="00A213DD">
        <w:t>access arrangement</w:t>
      </w:r>
      <w:r>
        <w:t xml:space="preserve"> RIN and unit rate model</w:t>
      </w:r>
    </w:p>
    <w:tbl>
      <w:tblPr>
        <w:tblStyle w:val="AERtable-numbers"/>
        <w:tblW w:w="0" w:type="auto"/>
        <w:tblLook w:val="04A0" w:firstRow="1" w:lastRow="0" w:firstColumn="1" w:lastColumn="0" w:noHBand="0" w:noVBand="1"/>
      </w:tblPr>
      <w:tblGrid>
        <w:gridCol w:w="1241"/>
        <w:gridCol w:w="1242"/>
        <w:gridCol w:w="1242"/>
        <w:gridCol w:w="1242"/>
        <w:gridCol w:w="1242"/>
        <w:gridCol w:w="1242"/>
        <w:gridCol w:w="1242"/>
      </w:tblGrid>
      <w:tr w:rsidR="00E84B03" w:rsidTr="008905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E84B03" w:rsidRDefault="00E84B03" w:rsidP="00890504">
            <w:r>
              <w:t>Connection type</w:t>
            </w:r>
          </w:p>
        </w:tc>
        <w:tc>
          <w:tcPr>
            <w:tcW w:w="1242" w:type="dxa"/>
          </w:tcPr>
          <w:p w:rsidR="00E84B03" w:rsidRDefault="00E84B03" w:rsidP="00890504">
            <w:pPr>
              <w:cnfStyle w:val="100000000000" w:firstRow="1" w:lastRow="0" w:firstColumn="0" w:lastColumn="0" w:oddVBand="0" w:evenVBand="0" w:oddHBand="0" w:evenHBand="0" w:firstRowFirstColumn="0" w:firstRowLastColumn="0" w:lastRowFirstColumn="0" w:lastRowLastColumn="0"/>
            </w:pPr>
            <w:r>
              <w:t>WBS accounting code prefix</w:t>
            </w:r>
          </w:p>
        </w:tc>
        <w:tc>
          <w:tcPr>
            <w:tcW w:w="1242" w:type="dxa"/>
            <w:vAlign w:val="top"/>
          </w:tcPr>
          <w:p w:rsidR="00E84B03" w:rsidRPr="00BA11E1" w:rsidRDefault="00E84B03" w:rsidP="00890504">
            <w:pPr>
              <w:cnfStyle w:val="100000000000" w:firstRow="1" w:lastRow="0" w:firstColumn="0" w:lastColumn="0" w:oddVBand="0" w:evenVBand="0" w:oddHBand="0" w:evenHBand="0" w:firstRowFirstColumn="0" w:firstRowLastColumn="0" w:lastRowFirstColumn="0" w:lastRowLastColumn="0"/>
            </w:pPr>
            <w:r w:rsidRPr="00BA11E1">
              <w:t xml:space="preserve"> FY11 </w:t>
            </w:r>
          </w:p>
        </w:tc>
        <w:tc>
          <w:tcPr>
            <w:tcW w:w="1242" w:type="dxa"/>
            <w:vAlign w:val="top"/>
          </w:tcPr>
          <w:p w:rsidR="00E84B03" w:rsidRPr="00BA11E1" w:rsidRDefault="00E84B03" w:rsidP="00890504">
            <w:pPr>
              <w:cnfStyle w:val="100000000000" w:firstRow="1" w:lastRow="0" w:firstColumn="0" w:lastColumn="0" w:oddVBand="0" w:evenVBand="0" w:oddHBand="0" w:evenHBand="0" w:firstRowFirstColumn="0" w:firstRowLastColumn="0" w:lastRowFirstColumn="0" w:lastRowLastColumn="0"/>
            </w:pPr>
            <w:r w:rsidRPr="00BA11E1">
              <w:t xml:space="preserve"> FY12 </w:t>
            </w:r>
          </w:p>
        </w:tc>
        <w:tc>
          <w:tcPr>
            <w:tcW w:w="1242" w:type="dxa"/>
            <w:vAlign w:val="top"/>
          </w:tcPr>
          <w:p w:rsidR="00E84B03" w:rsidRPr="00BA11E1" w:rsidRDefault="00E84B03" w:rsidP="00890504">
            <w:pPr>
              <w:cnfStyle w:val="100000000000" w:firstRow="1" w:lastRow="0" w:firstColumn="0" w:lastColumn="0" w:oddVBand="0" w:evenVBand="0" w:oddHBand="0" w:evenHBand="0" w:firstRowFirstColumn="0" w:firstRowLastColumn="0" w:lastRowFirstColumn="0" w:lastRowLastColumn="0"/>
            </w:pPr>
            <w:r w:rsidRPr="00BA11E1">
              <w:t xml:space="preserve"> FY13 </w:t>
            </w:r>
          </w:p>
        </w:tc>
        <w:tc>
          <w:tcPr>
            <w:tcW w:w="1242" w:type="dxa"/>
            <w:vAlign w:val="top"/>
          </w:tcPr>
          <w:p w:rsidR="00E84B03" w:rsidRPr="00BA11E1" w:rsidRDefault="00E84B03" w:rsidP="00890504">
            <w:pPr>
              <w:cnfStyle w:val="100000000000" w:firstRow="1" w:lastRow="0" w:firstColumn="0" w:lastColumn="0" w:oddVBand="0" w:evenVBand="0" w:oddHBand="0" w:evenHBand="0" w:firstRowFirstColumn="0" w:firstRowLastColumn="0" w:lastRowFirstColumn="0" w:lastRowLastColumn="0"/>
            </w:pPr>
            <w:r w:rsidRPr="00BA11E1">
              <w:t xml:space="preserve"> FY14 </w:t>
            </w:r>
          </w:p>
        </w:tc>
        <w:tc>
          <w:tcPr>
            <w:tcW w:w="1242" w:type="dxa"/>
            <w:vAlign w:val="top"/>
          </w:tcPr>
          <w:p w:rsidR="00E84B03" w:rsidRDefault="00E84B03" w:rsidP="00890504">
            <w:pPr>
              <w:cnfStyle w:val="100000000000" w:firstRow="1" w:lastRow="0" w:firstColumn="0" w:lastColumn="0" w:oddVBand="0" w:evenVBand="0" w:oddHBand="0" w:evenHBand="0" w:firstRowFirstColumn="0" w:firstRowLastColumn="0" w:lastRowFirstColumn="0" w:lastRowLastColumn="0"/>
            </w:pPr>
            <w:r>
              <w:t>T</w:t>
            </w:r>
            <w:r w:rsidRPr="00BA11E1">
              <w:t xml:space="preserve">otal </w:t>
            </w:r>
          </w:p>
        </w:tc>
      </w:tr>
      <w:tr w:rsidR="00E84B03" w:rsidTr="00890504">
        <w:tc>
          <w:tcPr>
            <w:cnfStyle w:val="001000000000" w:firstRow="0" w:lastRow="0" w:firstColumn="1" w:lastColumn="0" w:oddVBand="0" w:evenVBand="0" w:oddHBand="0" w:evenHBand="0" w:firstRowFirstColumn="0" w:firstRowLastColumn="0" w:lastRowFirstColumn="0" w:lastRowLastColumn="0"/>
            <w:tcW w:w="1241" w:type="dxa"/>
            <w:vAlign w:val="top"/>
          </w:tcPr>
          <w:p w:rsidR="00E84B03" w:rsidRPr="00B04924" w:rsidRDefault="00E84B03" w:rsidP="00890504">
            <w:r w:rsidRPr="00B04924">
              <w:t>Services E-G</w:t>
            </w:r>
          </w:p>
        </w:tc>
        <w:tc>
          <w:tcPr>
            <w:tcW w:w="1242" w:type="dxa"/>
            <w:vAlign w:val="top"/>
          </w:tcPr>
          <w:p w:rsidR="00E84B03" w:rsidRPr="00B04924" w:rsidRDefault="00E84B03" w:rsidP="00890504">
            <w:pPr>
              <w:cnfStyle w:val="000000000000" w:firstRow="0" w:lastRow="0" w:firstColumn="0" w:lastColumn="0" w:oddVBand="0" w:evenVBand="0" w:oddHBand="0" w:evenHBand="0" w:firstRowFirstColumn="0" w:firstRowLastColumn="0" w:lastRowFirstColumn="0" w:lastRowLastColumn="0"/>
            </w:pPr>
            <w:r w:rsidRPr="00B04924">
              <w:t>400</w:t>
            </w:r>
          </w:p>
        </w:tc>
        <w:tc>
          <w:tcPr>
            <w:tcW w:w="1242" w:type="dxa"/>
            <w:vAlign w:val="top"/>
          </w:tcPr>
          <w:p w:rsidR="00E84B03" w:rsidRPr="004065B5" w:rsidRDefault="00E84B03" w:rsidP="00890504">
            <w:pPr>
              <w:cnfStyle w:val="000000000000" w:firstRow="0" w:lastRow="0" w:firstColumn="0" w:lastColumn="0" w:oddVBand="0" w:evenVBand="0" w:oddHBand="0" w:evenHBand="0" w:firstRowFirstColumn="0" w:firstRowLastColumn="0" w:lastRowFirstColumn="0" w:lastRowLastColumn="0"/>
            </w:pPr>
            <w:r w:rsidRPr="004065B5">
              <w:t>60%</w:t>
            </w:r>
          </w:p>
        </w:tc>
        <w:tc>
          <w:tcPr>
            <w:tcW w:w="1242" w:type="dxa"/>
            <w:vAlign w:val="top"/>
          </w:tcPr>
          <w:p w:rsidR="00E84B03" w:rsidRPr="004065B5" w:rsidRDefault="00E84B03" w:rsidP="00890504">
            <w:pPr>
              <w:cnfStyle w:val="000000000000" w:firstRow="0" w:lastRow="0" w:firstColumn="0" w:lastColumn="0" w:oddVBand="0" w:evenVBand="0" w:oddHBand="0" w:evenHBand="0" w:firstRowFirstColumn="0" w:firstRowLastColumn="0" w:lastRowFirstColumn="0" w:lastRowLastColumn="0"/>
            </w:pPr>
            <w:r w:rsidRPr="004065B5">
              <w:t>16%</w:t>
            </w:r>
          </w:p>
        </w:tc>
        <w:tc>
          <w:tcPr>
            <w:tcW w:w="1242" w:type="dxa"/>
            <w:vAlign w:val="top"/>
          </w:tcPr>
          <w:p w:rsidR="00E84B03" w:rsidRPr="004065B5" w:rsidRDefault="00E84B03" w:rsidP="00890504">
            <w:pPr>
              <w:cnfStyle w:val="000000000000" w:firstRow="0" w:lastRow="0" w:firstColumn="0" w:lastColumn="0" w:oddVBand="0" w:evenVBand="0" w:oddHBand="0" w:evenHBand="0" w:firstRowFirstColumn="0" w:firstRowLastColumn="0" w:lastRowFirstColumn="0" w:lastRowLastColumn="0"/>
            </w:pPr>
            <w:r w:rsidRPr="004065B5">
              <w:t>2%</w:t>
            </w:r>
          </w:p>
        </w:tc>
        <w:tc>
          <w:tcPr>
            <w:tcW w:w="1242" w:type="dxa"/>
            <w:vAlign w:val="top"/>
          </w:tcPr>
          <w:p w:rsidR="00E84B03" w:rsidRPr="004065B5" w:rsidRDefault="00E84B03" w:rsidP="00890504">
            <w:pPr>
              <w:cnfStyle w:val="000000000000" w:firstRow="0" w:lastRow="0" w:firstColumn="0" w:lastColumn="0" w:oddVBand="0" w:evenVBand="0" w:oddHBand="0" w:evenHBand="0" w:firstRowFirstColumn="0" w:firstRowLastColumn="0" w:lastRowFirstColumn="0" w:lastRowLastColumn="0"/>
            </w:pPr>
            <w:r w:rsidRPr="004065B5">
              <w:t>0%</w:t>
            </w:r>
          </w:p>
        </w:tc>
        <w:tc>
          <w:tcPr>
            <w:tcW w:w="1242" w:type="dxa"/>
            <w:vAlign w:val="top"/>
          </w:tcPr>
          <w:p w:rsidR="00E84B03" w:rsidRPr="004065B5" w:rsidRDefault="00E84B03" w:rsidP="00890504">
            <w:pPr>
              <w:cnfStyle w:val="000000000000" w:firstRow="0" w:lastRow="0" w:firstColumn="0" w:lastColumn="0" w:oddVBand="0" w:evenVBand="0" w:oddHBand="0" w:evenHBand="0" w:firstRowFirstColumn="0" w:firstRowLastColumn="0" w:lastRowFirstColumn="0" w:lastRowLastColumn="0"/>
            </w:pPr>
            <w:r w:rsidRPr="004065B5">
              <w:t>20%</w:t>
            </w:r>
          </w:p>
        </w:tc>
      </w:tr>
      <w:tr w:rsidR="00E84B03" w:rsidTr="008905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vAlign w:val="top"/>
          </w:tcPr>
          <w:p w:rsidR="00E84B03" w:rsidRPr="00B04924" w:rsidRDefault="00E84B03" w:rsidP="00890504">
            <w:r w:rsidRPr="00B04924">
              <w:t>Services New Homes</w:t>
            </w:r>
          </w:p>
        </w:tc>
        <w:tc>
          <w:tcPr>
            <w:tcW w:w="1242" w:type="dxa"/>
            <w:vAlign w:val="top"/>
          </w:tcPr>
          <w:p w:rsidR="00E84B03" w:rsidRPr="00B04924" w:rsidRDefault="00E84B03" w:rsidP="00890504">
            <w:pPr>
              <w:cnfStyle w:val="000000010000" w:firstRow="0" w:lastRow="0" w:firstColumn="0" w:lastColumn="0" w:oddVBand="0" w:evenVBand="0" w:oddHBand="0" w:evenHBand="1" w:firstRowFirstColumn="0" w:firstRowLastColumn="0" w:lastRowFirstColumn="0" w:lastRowLastColumn="0"/>
            </w:pPr>
            <w:r w:rsidRPr="00B04924">
              <w:t>401</w:t>
            </w:r>
          </w:p>
        </w:tc>
        <w:tc>
          <w:tcPr>
            <w:tcW w:w="1242" w:type="dxa"/>
            <w:vAlign w:val="top"/>
          </w:tcPr>
          <w:p w:rsidR="00E84B03" w:rsidRPr="004065B5" w:rsidRDefault="00E84B03" w:rsidP="00890504">
            <w:pPr>
              <w:cnfStyle w:val="000000010000" w:firstRow="0" w:lastRow="0" w:firstColumn="0" w:lastColumn="0" w:oddVBand="0" w:evenVBand="0" w:oddHBand="0" w:evenHBand="1" w:firstRowFirstColumn="0" w:firstRowLastColumn="0" w:lastRowFirstColumn="0" w:lastRowLastColumn="0"/>
            </w:pPr>
            <w:r w:rsidRPr="004065B5">
              <w:t>-4%</w:t>
            </w:r>
          </w:p>
        </w:tc>
        <w:tc>
          <w:tcPr>
            <w:tcW w:w="1242" w:type="dxa"/>
            <w:vAlign w:val="top"/>
          </w:tcPr>
          <w:p w:rsidR="00E84B03" w:rsidRPr="004065B5" w:rsidRDefault="00E84B03" w:rsidP="00890504">
            <w:pPr>
              <w:cnfStyle w:val="000000010000" w:firstRow="0" w:lastRow="0" w:firstColumn="0" w:lastColumn="0" w:oddVBand="0" w:evenVBand="0" w:oddHBand="0" w:evenHBand="1" w:firstRowFirstColumn="0" w:firstRowLastColumn="0" w:lastRowFirstColumn="0" w:lastRowLastColumn="0"/>
            </w:pPr>
            <w:r w:rsidRPr="004065B5">
              <w:t>-3%</w:t>
            </w:r>
          </w:p>
        </w:tc>
        <w:tc>
          <w:tcPr>
            <w:tcW w:w="1242" w:type="dxa"/>
            <w:vAlign w:val="top"/>
          </w:tcPr>
          <w:p w:rsidR="00E84B03" w:rsidRPr="004065B5" w:rsidRDefault="00E84B03" w:rsidP="00890504">
            <w:pPr>
              <w:cnfStyle w:val="000000010000" w:firstRow="0" w:lastRow="0" w:firstColumn="0" w:lastColumn="0" w:oddVBand="0" w:evenVBand="0" w:oddHBand="0" w:evenHBand="1" w:firstRowFirstColumn="0" w:firstRowLastColumn="0" w:lastRowFirstColumn="0" w:lastRowLastColumn="0"/>
            </w:pPr>
            <w:r w:rsidRPr="004065B5">
              <w:t>-1%</w:t>
            </w:r>
          </w:p>
        </w:tc>
        <w:tc>
          <w:tcPr>
            <w:tcW w:w="1242" w:type="dxa"/>
            <w:vAlign w:val="top"/>
          </w:tcPr>
          <w:p w:rsidR="00E84B03" w:rsidRPr="004065B5" w:rsidRDefault="00E84B03" w:rsidP="00890504">
            <w:pPr>
              <w:cnfStyle w:val="000000010000" w:firstRow="0" w:lastRow="0" w:firstColumn="0" w:lastColumn="0" w:oddVBand="0" w:evenVBand="0" w:oddHBand="0" w:evenHBand="1" w:firstRowFirstColumn="0" w:firstRowLastColumn="0" w:lastRowFirstColumn="0" w:lastRowLastColumn="0"/>
            </w:pPr>
            <w:r w:rsidRPr="004065B5">
              <w:t>-1%</w:t>
            </w:r>
          </w:p>
        </w:tc>
        <w:tc>
          <w:tcPr>
            <w:tcW w:w="1242" w:type="dxa"/>
            <w:vAlign w:val="top"/>
          </w:tcPr>
          <w:p w:rsidR="00E84B03" w:rsidRPr="004065B5" w:rsidRDefault="00E84B03" w:rsidP="00890504">
            <w:pPr>
              <w:cnfStyle w:val="000000010000" w:firstRow="0" w:lastRow="0" w:firstColumn="0" w:lastColumn="0" w:oddVBand="0" w:evenVBand="0" w:oddHBand="0" w:evenHBand="1" w:firstRowFirstColumn="0" w:firstRowLastColumn="0" w:lastRowFirstColumn="0" w:lastRowLastColumn="0"/>
            </w:pPr>
            <w:r w:rsidRPr="004065B5">
              <w:t>-2%</w:t>
            </w:r>
          </w:p>
        </w:tc>
      </w:tr>
      <w:tr w:rsidR="00E84B03" w:rsidTr="00890504">
        <w:tc>
          <w:tcPr>
            <w:cnfStyle w:val="001000000000" w:firstRow="0" w:lastRow="0" w:firstColumn="1" w:lastColumn="0" w:oddVBand="0" w:evenVBand="0" w:oddHBand="0" w:evenHBand="0" w:firstRowFirstColumn="0" w:firstRowLastColumn="0" w:lastRowFirstColumn="0" w:lastRowLastColumn="0"/>
            <w:tcW w:w="1241" w:type="dxa"/>
            <w:vAlign w:val="top"/>
          </w:tcPr>
          <w:p w:rsidR="00E84B03" w:rsidRPr="00B04924" w:rsidRDefault="00E84B03" w:rsidP="00890504">
            <w:r w:rsidRPr="00B04924">
              <w:t>Services I&amp;C</w:t>
            </w:r>
          </w:p>
        </w:tc>
        <w:tc>
          <w:tcPr>
            <w:tcW w:w="1242" w:type="dxa"/>
            <w:vAlign w:val="top"/>
          </w:tcPr>
          <w:p w:rsidR="00E84B03" w:rsidRPr="00B04924" w:rsidRDefault="00E84B03" w:rsidP="00890504">
            <w:pPr>
              <w:cnfStyle w:val="000000000000" w:firstRow="0" w:lastRow="0" w:firstColumn="0" w:lastColumn="0" w:oddVBand="0" w:evenVBand="0" w:oddHBand="0" w:evenHBand="0" w:firstRowFirstColumn="0" w:firstRowLastColumn="0" w:lastRowFirstColumn="0" w:lastRowLastColumn="0"/>
            </w:pPr>
            <w:r w:rsidRPr="00B04924">
              <w:t>403</w:t>
            </w:r>
          </w:p>
        </w:tc>
        <w:tc>
          <w:tcPr>
            <w:tcW w:w="1242" w:type="dxa"/>
            <w:vAlign w:val="top"/>
          </w:tcPr>
          <w:p w:rsidR="00E84B03" w:rsidRPr="004065B5" w:rsidRDefault="00E84B03" w:rsidP="00890504">
            <w:pPr>
              <w:cnfStyle w:val="000000000000" w:firstRow="0" w:lastRow="0" w:firstColumn="0" w:lastColumn="0" w:oddVBand="0" w:evenVBand="0" w:oddHBand="0" w:evenHBand="0" w:firstRowFirstColumn="0" w:firstRowLastColumn="0" w:lastRowFirstColumn="0" w:lastRowLastColumn="0"/>
            </w:pPr>
            <w:r w:rsidRPr="004065B5">
              <w:t>239%</w:t>
            </w:r>
          </w:p>
        </w:tc>
        <w:tc>
          <w:tcPr>
            <w:tcW w:w="1242" w:type="dxa"/>
            <w:vAlign w:val="top"/>
          </w:tcPr>
          <w:p w:rsidR="00E84B03" w:rsidRPr="004065B5" w:rsidRDefault="00E84B03" w:rsidP="00890504">
            <w:pPr>
              <w:cnfStyle w:val="000000000000" w:firstRow="0" w:lastRow="0" w:firstColumn="0" w:lastColumn="0" w:oddVBand="0" w:evenVBand="0" w:oddHBand="0" w:evenHBand="0" w:firstRowFirstColumn="0" w:firstRowLastColumn="0" w:lastRowFirstColumn="0" w:lastRowLastColumn="0"/>
            </w:pPr>
            <w:r w:rsidRPr="004065B5">
              <w:t>45%</w:t>
            </w:r>
          </w:p>
        </w:tc>
        <w:tc>
          <w:tcPr>
            <w:tcW w:w="1242" w:type="dxa"/>
            <w:vAlign w:val="top"/>
          </w:tcPr>
          <w:p w:rsidR="00E84B03" w:rsidRPr="004065B5" w:rsidRDefault="00E84B03" w:rsidP="00890504">
            <w:pPr>
              <w:cnfStyle w:val="000000000000" w:firstRow="0" w:lastRow="0" w:firstColumn="0" w:lastColumn="0" w:oddVBand="0" w:evenVBand="0" w:oddHBand="0" w:evenHBand="0" w:firstRowFirstColumn="0" w:firstRowLastColumn="0" w:lastRowFirstColumn="0" w:lastRowLastColumn="0"/>
            </w:pPr>
            <w:r w:rsidRPr="004065B5">
              <w:t>34%</w:t>
            </w:r>
          </w:p>
        </w:tc>
        <w:tc>
          <w:tcPr>
            <w:tcW w:w="1242" w:type="dxa"/>
            <w:vAlign w:val="top"/>
          </w:tcPr>
          <w:p w:rsidR="00E84B03" w:rsidRPr="004065B5" w:rsidRDefault="00E84B03" w:rsidP="00890504">
            <w:pPr>
              <w:cnfStyle w:val="000000000000" w:firstRow="0" w:lastRow="0" w:firstColumn="0" w:lastColumn="0" w:oddVBand="0" w:evenVBand="0" w:oddHBand="0" w:evenHBand="0" w:firstRowFirstColumn="0" w:firstRowLastColumn="0" w:lastRowFirstColumn="0" w:lastRowLastColumn="0"/>
            </w:pPr>
            <w:r w:rsidRPr="004065B5">
              <w:t>-15%</w:t>
            </w:r>
          </w:p>
        </w:tc>
        <w:tc>
          <w:tcPr>
            <w:tcW w:w="1242" w:type="dxa"/>
            <w:vAlign w:val="top"/>
          </w:tcPr>
          <w:p w:rsidR="00E84B03" w:rsidRPr="004065B5" w:rsidRDefault="00E84B03" w:rsidP="00890504">
            <w:pPr>
              <w:cnfStyle w:val="000000000000" w:firstRow="0" w:lastRow="0" w:firstColumn="0" w:lastColumn="0" w:oddVBand="0" w:evenVBand="0" w:oddHBand="0" w:evenHBand="0" w:firstRowFirstColumn="0" w:firstRowLastColumn="0" w:lastRowFirstColumn="0" w:lastRowLastColumn="0"/>
            </w:pPr>
            <w:r w:rsidRPr="004065B5">
              <w:t>64%</w:t>
            </w:r>
          </w:p>
        </w:tc>
      </w:tr>
      <w:tr w:rsidR="00E84B03" w:rsidTr="008905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vAlign w:val="top"/>
          </w:tcPr>
          <w:p w:rsidR="00E84B03" w:rsidRPr="00B04924" w:rsidRDefault="00E84B03" w:rsidP="00890504">
            <w:r w:rsidRPr="00B04924">
              <w:t>Services MD/HR</w:t>
            </w:r>
          </w:p>
        </w:tc>
        <w:tc>
          <w:tcPr>
            <w:tcW w:w="1242" w:type="dxa"/>
            <w:vAlign w:val="top"/>
          </w:tcPr>
          <w:p w:rsidR="00E84B03" w:rsidRDefault="00E84B03" w:rsidP="00890504">
            <w:pPr>
              <w:cnfStyle w:val="000000010000" w:firstRow="0" w:lastRow="0" w:firstColumn="0" w:lastColumn="0" w:oddVBand="0" w:evenVBand="0" w:oddHBand="0" w:evenHBand="1" w:firstRowFirstColumn="0" w:firstRowLastColumn="0" w:lastRowFirstColumn="0" w:lastRowLastColumn="0"/>
            </w:pPr>
            <w:r w:rsidRPr="00B04924">
              <w:t>404</w:t>
            </w:r>
          </w:p>
        </w:tc>
        <w:tc>
          <w:tcPr>
            <w:tcW w:w="1242" w:type="dxa"/>
            <w:vAlign w:val="top"/>
          </w:tcPr>
          <w:p w:rsidR="00E84B03" w:rsidRPr="004065B5" w:rsidRDefault="00E84B03" w:rsidP="00890504">
            <w:pPr>
              <w:cnfStyle w:val="000000010000" w:firstRow="0" w:lastRow="0" w:firstColumn="0" w:lastColumn="0" w:oddVBand="0" w:evenVBand="0" w:oddHBand="0" w:evenHBand="1" w:firstRowFirstColumn="0" w:firstRowLastColumn="0" w:lastRowFirstColumn="0" w:lastRowLastColumn="0"/>
            </w:pPr>
            <w:r w:rsidRPr="004065B5">
              <w:t>-62%</w:t>
            </w:r>
          </w:p>
        </w:tc>
        <w:tc>
          <w:tcPr>
            <w:tcW w:w="1242" w:type="dxa"/>
            <w:vAlign w:val="top"/>
          </w:tcPr>
          <w:p w:rsidR="00E84B03" w:rsidRPr="004065B5" w:rsidRDefault="00E84B03" w:rsidP="00890504">
            <w:pPr>
              <w:cnfStyle w:val="000000010000" w:firstRow="0" w:lastRow="0" w:firstColumn="0" w:lastColumn="0" w:oddVBand="0" w:evenVBand="0" w:oddHBand="0" w:evenHBand="1" w:firstRowFirstColumn="0" w:firstRowLastColumn="0" w:lastRowFirstColumn="0" w:lastRowLastColumn="0"/>
            </w:pPr>
            <w:r w:rsidRPr="004065B5">
              <w:t>-1%</w:t>
            </w:r>
          </w:p>
        </w:tc>
        <w:tc>
          <w:tcPr>
            <w:tcW w:w="1242" w:type="dxa"/>
            <w:vAlign w:val="top"/>
          </w:tcPr>
          <w:p w:rsidR="00E84B03" w:rsidRPr="004065B5" w:rsidRDefault="00E84B03" w:rsidP="00890504">
            <w:pPr>
              <w:cnfStyle w:val="000000010000" w:firstRow="0" w:lastRow="0" w:firstColumn="0" w:lastColumn="0" w:oddVBand="0" w:evenVBand="0" w:oddHBand="0" w:evenHBand="1" w:firstRowFirstColumn="0" w:firstRowLastColumn="0" w:lastRowFirstColumn="0" w:lastRowLastColumn="0"/>
            </w:pPr>
            <w:r w:rsidRPr="004065B5">
              <w:t>10%</w:t>
            </w:r>
          </w:p>
        </w:tc>
        <w:tc>
          <w:tcPr>
            <w:tcW w:w="1242" w:type="dxa"/>
            <w:vAlign w:val="top"/>
          </w:tcPr>
          <w:p w:rsidR="00E84B03" w:rsidRPr="004065B5" w:rsidRDefault="00E84B03" w:rsidP="00890504">
            <w:pPr>
              <w:cnfStyle w:val="000000010000" w:firstRow="0" w:lastRow="0" w:firstColumn="0" w:lastColumn="0" w:oddVBand="0" w:evenVBand="0" w:oddHBand="0" w:evenHBand="1" w:firstRowFirstColumn="0" w:firstRowLastColumn="0" w:lastRowFirstColumn="0" w:lastRowLastColumn="0"/>
            </w:pPr>
            <w:r w:rsidRPr="004065B5">
              <w:t>69%</w:t>
            </w:r>
          </w:p>
        </w:tc>
        <w:tc>
          <w:tcPr>
            <w:tcW w:w="1242" w:type="dxa"/>
            <w:vAlign w:val="top"/>
          </w:tcPr>
          <w:p w:rsidR="00E84B03" w:rsidRDefault="00E84B03" w:rsidP="00890504">
            <w:pPr>
              <w:cnfStyle w:val="000000010000" w:firstRow="0" w:lastRow="0" w:firstColumn="0" w:lastColumn="0" w:oddVBand="0" w:evenVBand="0" w:oddHBand="0" w:evenHBand="1" w:firstRowFirstColumn="0" w:firstRowLastColumn="0" w:lastRowFirstColumn="0" w:lastRowLastColumn="0"/>
            </w:pPr>
            <w:r w:rsidRPr="004065B5">
              <w:t>1%</w:t>
            </w:r>
          </w:p>
        </w:tc>
      </w:tr>
    </w:tbl>
    <w:p w:rsidR="00E84B03" w:rsidRDefault="00E84B03" w:rsidP="00E84B03">
      <w:pPr>
        <w:pStyle w:val="AERtablesource"/>
      </w:pPr>
      <w:r>
        <w:t xml:space="preserve">Source: </w:t>
      </w:r>
      <w:r w:rsidR="00496223">
        <w:tab/>
      </w:r>
      <w:r>
        <w:t>AER analysis</w:t>
      </w:r>
      <w:r w:rsidR="0061777C">
        <w:t>.</w:t>
      </w:r>
      <w:r>
        <w:t xml:space="preserve"> </w:t>
      </w:r>
    </w:p>
    <w:p w:rsidR="00E84B03" w:rsidRDefault="00E84B03" w:rsidP="00E84B03">
      <w:pPr>
        <w:pStyle w:val="Caption"/>
      </w:pPr>
      <w:proofErr w:type="gramStart"/>
      <w:r>
        <w:t xml:space="preserve">Table </w:t>
      </w:r>
      <w:proofErr w:type="gramEnd"/>
      <w:r w:rsidR="004C5F88">
        <w:fldChar w:fldCharType="begin"/>
      </w:r>
      <w:r w:rsidR="004C5F88">
        <w:instrText xml:space="preserve"> STYLEREF 1 \s </w:instrText>
      </w:r>
      <w:r w:rsidR="004C5F88">
        <w:fldChar w:fldCharType="separate"/>
      </w:r>
      <w:r w:rsidR="00EE4EAF">
        <w:rPr>
          <w:noProof/>
        </w:rPr>
        <w:t>6</w:t>
      </w:r>
      <w:r w:rsidR="004C5F88">
        <w:rPr>
          <w:noProof/>
        </w:rPr>
        <w:fldChar w:fldCharType="end"/>
      </w:r>
      <w:proofErr w:type="gramStart"/>
      <w:r w:rsidR="0061777C">
        <w:t>.</w:t>
      </w:r>
      <w:proofErr w:type="gramEnd"/>
      <w:r w:rsidR="004C5F88">
        <w:fldChar w:fldCharType="begin"/>
      </w:r>
      <w:r w:rsidR="004C5F88">
        <w:instrText xml:space="preserve"> SEQ Table \* ARABIC \s 1 </w:instrText>
      </w:r>
      <w:r w:rsidR="004C5F88">
        <w:fldChar w:fldCharType="separate"/>
      </w:r>
      <w:r w:rsidR="00EE4EAF">
        <w:rPr>
          <w:noProof/>
        </w:rPr>
        <w:t>11</w:t>
      </w:r>
      <w:r w:rsidR="004C5F88">
        <w:rPr>
          <w:noProof/>
        </w:rPr>
        <w:fldChar w:fldCharType="end"/>
      </w:r>
      <w:r>
        <w:tab/>
        <w:t xml:space="preserve">Difference between mains numbers in </w:t>
      </w:r>
      <w:r w:rsidR="00A213DD">
        <w:t>access arrangement</w:t>
      </w:r>
      <w:r>
        <w:t xml:space="preserve"> RIN and unit rate model</w:t>
      </w:r>
    </w:p>
    <w:tbl>
      <w:tblPr>
        <w:tblStyle w:val="AERtable-numbers"/>
        <w:tblW w:w="0" w:type="auto"/>
        <w:tblLook w:val="04A0" w:firstRow="1" w:lastRow="0" w:firstColumn="1" w:lastColumn="0" w:noHBand="0" w:noVBand="1"/>
      </w:tblPr>
      <w:tblGrid>
        <w:gridCol w:w="1241"/>
        <w:gridCol w:w="1242"/>
        <w:gridCol w:w="1242"/>
        <w:gridCol w:w="1242"/>
        <w:gridCol w:w="1242"/>
        <w:gridCol w:w="1242"/>
        <w:gridCol w:w="1242"/>
      </w:tblGrid>
      <w:tr w:rsidR="00E84B03" w:rsidTr="008905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E84B03" w:rsidRDefault="00E84B03" w:rsidP="00890504">
            <w:r>
              <w:t>Connection type</w:t>
            </w:r>
          </w:p>
        </w:tc>
        <w:tc>
          <w:tcPr>
            <w:tcW w:w="1242" w:type="dxa"/>
          </w:tcPr>
          <w:p w:rsidR="00E84B03" w:rsidRDefault="00E84B03" w:rsidP="00890504">
            <w:pPr>
              <w:cnfStyle w:val="100000000000" w:firstRow="1" w:lastRow="0" w:firstColumn="0" w:lastColumn="0" w:oddVBand="0" w:evenVBand="0" w:oddHBand="0" w:evenHBand="0" w:firstRowFirstColumn="0" w:firstRowLastColumn="0" w:lastRowFirstColumn="0" w:lastRowLastColumn="0"/>
            </w:pPr>
            <w:r>
              <w:t>WBS accounting code prefix</w:t>
            </w:r>
          </w:p>
        </w:tc>
        <w:tc>
          <w:tcPr>
            <w:tcW w:w="1242" w:type="dxa"/>
            <w:vAlign w:val="top"/>
          </w:tcPr>
          <w:p w:rsidR="00E84B03" w:rsidRPr="00BA11E1" w:rsidRDefault="00E84B03" w:rsidP="00890504">
            <w:pPr>
              <w:cnfStyle w:val="100000000000" w:firstRow="1" w:lastRow="0" w:firstColumn="0" w:lastColumn="0" w:oddVBand="0" w:evenVBand="0" w:oddHBand="0" w:evenHBand="0" w:firstRowFirstColumn="0" w:firstRowLastColumn="0" w:lastRowFirstColumn="0" w:lastRowLastColumn="0"/>
            </w:pPr>
            <w:r w:rsidRPr="00BA11E1">
              <w:t xml:space="preserve"> FY11 </w:t>
            </w:r>
          </w:p>
        </w:tc>
        <w:tc>
          <w:tcPr>
            <w:tcW w:w="1242" w:type="dxa"/>
            <w:vAlign w:val="top"/>
          </w:tcPr>
          <w:p w:rsidR="00E84B03" w:rsidRPr="00BA11E1" w:rsidRDefault="00E84B03" w:rsidP="00890504">
            <w:pPr>
              <w:cnfStyle w:val="100000000000" w:firstRow="1" w:lastRow="0" w:firstColumn="0" w:lastColumn="0" w:oddVBand="0" w:evenVBand="0" w:oddHBand="0" w:evenHBand="0" w:firstRowFirstColumn="0" w:firstRowLastColumn="0" w:lastRowFirstColumn="0" w:lastRowLastColumn="0"/>
            </w:pPr>
            <w:r w:rsidRPr="00BA11E1">
              <w:t xml:space="preserve"> FY12 </w:t>
            </w:r>
          </w:p>
        </w:tc>
        <w:tc>
          <w:tcPr>
            <w:tcW w:w="1242" w:type="dxa"/>
            <w:vAlign w:val="top"/>
          </w:tcPr>
          <w:p w:rsidR="00E84B03" w:rsidRPr="00BA11E1" w:rsidRDefault="00E84B03" w:rsidP="00890504">
            <w:pPr>
              <w:cnfStyle w:val="100000000000" w:firstRow="1" w:lastRow="0" w:firstColumn="0" w:lastColumn="0" w:oddVBand="0" w:evenVBand="0" w:oddHBand="0" w:evenHBand="0" w:firstRowFirstColumn="0" w:firstRowLastColumn="0" w:lastRowFirstColumn="0" w:lastRowLastColumn="0"/>
            </w:pPr>
            <w:r w:rsidRPr="00BA11E1">
              <w:t xml:space="preserve"> FY13 </w:t>
            </w:r>
          </w:p>
        </w:tc>
        <w:tc>
          <w:tcPr>
            <w:tcW w:w="1242" w:type="dxa"/>
            <w:vAlign w:val="top"/>
          </w:tcPr>
          <w:p w:rsidR="00E84B03" w:rsidRPr="00BA11E1" w:rsidRDefault="00E84B03" w:rsidP="00890504">
            <w:pPr>
              <w:cnfStyle w:val="100000000000" w:firstRow="1" w:lastRow="0" w:firstColumn="0" w:lastColumn="0" w:oddVBand="0" w:evenVBand="0" w:oddHBand="0" w:evenHBand="0" w:firstRowFirstColumn="0" w:firstRowLastColumn="0" w:lastRowFirstColumn="0" w:lastRowLastColumn="0"/>
            </w:pPr>
            <w:r w:rsidRPr="00BA11E1">
              <w:t xml:space="preserve"> FY14 </w:t>
            </w:r>
          </w:p>
        </w:tc>
        <w:tc>
          <w:tcPr>
            <w:tcW w:w="1242" w:type="dxa"/>
            <w:vAlign w:val="top"/>
          </w:tcPr>
          <w:p w:rsidR="00E84B03" w:rsidRDefault="00E84B03" w:rsidP="00890504">
            <w:pPr>
              <w:cnfStyle w:val="100000000000" w:firstRow="1" w:lastRow="0" w:firstColumn="0" w:lastColumn="0" w:oddVBand="0" w:evenVBand="0" w:oddHBand="0" w:evenHBand="0" w:firstRowFirstColumn="0" w:firstRowLastColumn="0" w:lastRowFirstColumn="0" w:lastRowLastColumn="0"/>
            </w:pPr>
            <w:r>
              <w:t>T</w:t>
            </w:r>
            <w:r w:rsidRPr="00BA11E1">
              <w:t xml:space="preserve">otal </w:t>
            </w:r>
          </w:p>
        </w:tc>
      </w:tr>
      <w:tr w:rsidR="00E84B03" w:rsidTr="00890504">
        <w:tc>
          <w:tcPr>
            <w:cnfStyle w:val="001000000000" w:firstRow="0" w:lastRow="0" w:firstColumn="1" w:lastColumn="0" w:oddVBand="0" w:evenVBand="0" w:oddHBand="0" w:evenHBand="0" w:firstRowFirstColumn="0" w:firstRowLastColumn="0" w:lastRowFirstColumn="0" w:lastRowLastColumn="0"/>
            <w:tcW w:w="1241" w:type="dxa"/>
            <w:vAlign w:val="top"/>
          </w:tcPr>
          <w:p w:rsidR="00E84B03" w:rsidRPr="006D00CB" w:rsidRDefault="00E84B03" w:rsidP="00890504">
            <w:r w:rsidRPr="006D00CB">
              <w:t xml:space="preserve">Mains E-G </w:t>
            </w:r>
          </w:p>
        </w:tc>
        <w:tc>
          <w:tcPr>
            <w:tcW w:w="1242" w:type="dxa"/>
            <w:vAlign w:val="top"/>
          </w:tcPr>
          <w:p w:rsidR="00E84B03" w:rsidRPr="006D00CB" w:rsidRDefault="00E84B03" w:rsidP="00890504">
            <w:pPr>
              <w:cnfStyle w:val="000000000000" w:firstRow="0" w:lastRow="0" w:firstColumn="0" w:lastColumn="0" w:oddVBand="0" w:evenVBand="0" w:oddHBand="0" w:evenHBand="0" w:firstRowFirstColumn="0" w:firstRowLastColumn="0" w:lastRowFirstColumn="0" w:lastRowLastColumn="0"/>
            </w:pPr>
            <w:r w:rsidRPr="006D00CB">
              <w:t xml:space="preserve"> 406 </w:t>
            </w:r>
          </w:p>
        </w:tc>
        <w:tc>
          <w:tcPr>
            <w:tcW w:w="1242" w:type="dxa"/>
            <w:vAlign w:val="top"/>
          </w:tcPr>
          <w:p w:rsidR="00E84B03" w:rsidRPr="0016193C" w:rsidRDefault="00E84B03" w:rsidP="00890504">
            <w:pPr>
              <w:cnfStyle w:val="000000000000" w:firstRow="0" w:lastRow="0" w:firstColumn="0" w:lastColumn="0" w:oddVBand="0" w:evenVBand="0" w:oddHBand="0" w:evenHBand="0" w:firstRowFirstColumn="0" w:firstRowLastColumn="0" w:lastRowFirstColumn="0" w:lastRowLastColumn="0"/>
            </w:pPr>
            <w:r w:rsidRPr="0016193C">
              <w:t>478%</w:t>
            </w:r>
          </w:p>
        </w:tc>
        <w:tc>
          <w:tcPr>
            <w:tcW w:w="1242" w:type="dxa"/>
            <w:vAlign w:val="top"/>
          </w:tcPr>
          <w:p w:rsidR="00E84B03" w:rsidRPr="0016193C" w:rsidRDefault="00E84B03" w:rsidP="00890504">
            <w:pPr>
              <w:cnfStyle w:val="000000000000" w:firstRow="0" w:lastRow="0" w:firstColumn="0" w:lastColumn="0" w:oddVBand="0" w:evenVBand="0" w:oddHBand="0" w:evenHBand="0" w:firstRowFirstColumn="0" w:firstRowLastColumn="0" w:lastRowFirstColumn="0" w:lastRowLastColumn="0"/>
            </w:pPr>
            <w:r w:rsidRPr="0016193C">
              <w:t>-94%</w:t>
            </w:r>
          </w:p>
        </w:tc>
        <w:tc>
          <w:tcPr>
            <w:tcW w:w="1242" w:type="dxa"/>
            <w:vAlign w:val="top"/>
          </w:tcPr>
          <w:p w:rsidR="00E84B03" w:rsidRPr="0016193C" w:rsidRDefault="00E84B03" w:rsidP="00890504">
            <w:pPr>
              <w:cnfStyle w:val="000000000000" w:firstRow="0" w:lastRow="0" w:firstColumn="0" w:lastColumn="0" w:oddVBand="0" w:evenVBand="0" w:oddHBand="0" w:evenHBand="0" w:firstRowFirstColumn="0" w:firstRowLastColumn="0" w:lastRowFirstColumn="0" w:lastRowLastColumn="0"/>
            </w:pPr>
            <w:r w:rsidRPr="0016193C">
              <w:t>28%</w:t>
            </w:r>
          </w:p>
        </w:tc>
        <w:tc>
          <w:tcPr>
            <w:tcW w:w="1242" w:type="dxa"/>
            <w:vAlign w:val="top"/>
          </w:tcPr>
          <w:p w:rsidR="00E84B03" w:rsidRPr="0016193C" w:rsidRDefault="00E84B03" w:rsidP="00890504">
            <w:pPr>
              <w:cnfStyle w:val="000000000000" w:firstRow="0" w:lastRow="0" w:firstColumn="0" w:lastColumn="0" w:oddVBand="0" w:evenVBand="0" w:oddHBand="0" w:evenHBand="0" w:firstRowFirstColumn="0" w:firstRowLastColumn="0" w:lastRowFirstColumn="0" w:lastRowLastColumn="0"/>
            </w:pPr>
            <w:r w:rsidRPr="0016193C">
              <w:t>-41%</w:t>
            </w:r>
          </w:p>
        </w:tc>
        <w:tc>
          <w:tcPr>
            <w:tcW w:w="1242" w:type="dxa"/>
            <w:vAlign w:val="top"/>
          </w:tcPr>
          <w:p w:rsidR="00E84B03" w:rsidRPr="0016193C" w:rsidRDefault="00E84B03" w:rsidP="00890504">
            <w:pPr>
              <w:cnfStyle w:val="000000000000" w:firstRow="0" w:lastRow="0" w:firstColumn="0" w:lastColumn="0" w:oddVBand="0" w:evenVBand="0" w:oddHBand="0" w:evenHBand="0" w:firstRowFirstColumn="0" w:firstRowLastColumn="0" w:lastRowFirstColumn="0" w:lastRowLastColumn="0"/>
            </w:pPr>
            <w:r w:rsidRPr="0016193C">
              <w:t>6%</w:t>
            </w:r>
          </w:p>
        </w:tc>
      </w:tr>
      <w:tr w:rsidR="00E84B03" w:rsidTr="008905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vAlign w:val="top"/>
          </w:tcPr>
          <w:p w:rsidR="00E84B03" w:rsidRPr="006D00CB" w:rsidRDefault="00E84B03" w:rsidP="00890504">
            <w:r w:rsidRPr="006D00CB">
              <w:t xml:space="preserve">Mains New Homes </w:t>
            </w:r>
          </w:p>
        </w:tc>
        <w:tc>
          <w:tcPr>
            <w:tcW w:w="1242" w:type="dxa"/>
            <w:vAlign w:val="top"/>
          </w:tcPr>
          <w:p w:rsidR="00E84B03" w:rsidRPr="006D00CB" w:rsidRDefault="00E84B03" w:rsidP="00890504">
            <w:pPr>
              <w:cnfStyle w:val="000000010000" w:firstRow="0" w:lastRow="0" w:firstColumn="0" w:lastColumn="0" w:oddVBand="0" w:evenVBand="0" w:oddHBand="0" w:evenHBand="1" w:firstRowFirstColumn="0" w:firstRowLastColumn="0" w:lastRowFirstColumn="0" w:lastRowLastColumn="0"/>
            </w:pPr>
            <w:r w:rsidRPr="006D00CB">
              <w:t xml:space="preserve"> 407 </w:t>
            </w:r>
          </w:p>
        </w:tc>
        <w:tc>
          <w:tcPr>
            <w:tcW w:w="1242" w:type="dxa"/>
            <w:vAlign w:val="top"/>
          </w:tcPr>
          <w:p w:rsidR="00E84B03" w:rsidRPr="0016193C" w:rsidRDefault="00E84B03" w:rsidP="00890504">
            <w:pPr>
              <w:cnfStyle w:val="000000010000" w:firstRow="0" w:lastRow="0" w:firstColumn="0" w:lastColumn="0" w:oddVBand="0" w:evenVBand="0" w:oddHBand="0" w:evenHBand="1" w:firstRowFirstColumn="0" w:firstRowLastColumn="0" w:lastRowFirstColumn="0" w:lastRowLastColumn="0"/>
            </w:pPr>
            <w:r w:rsidRPr="0016193C">
              <w:t>-1%</w:t>
            </w:r>
          </w:p>
        </w:tc>
        <w:tc>
          <w:tcPr>
            <w:tcW w:w="1242" w:type="dxa"/>
            <w:vAlign w:val="top"/>
          </w:tcPr>
          <w:p w:rsidR="00E84B03" w:rsidRPr="0016193C" w:rsidRDefault="00E84B03" w:rsidP="00890504">
            <w:pPr>
              <w:cnfStyle w:val="000000010000" w:firstRow="0" w:lastRow="0" w:firstColumn="0" w:lastColumn="0" w:oddVBand="0" w:evenVBand="0" w:oddHBand="0" w:evenHBand="1" w:firstRowFirstColumn="0" w:firstRowLastColumn="0" w:lastRowFirstColumn="0" w:lastRowLastColumn="0"/>
            </w:pPr>
            <w:r w:rsidRPr="0016193C">
              <w:t>1%</w:t>
            </w:r>
          </w:p>
        </w:tc>
        <w:tc>
          <w:tcPr>
            <w:tcW w:w="1242" w:type="dxa"/>
            <w:vAlign w:val="top"/>
          </w:tcPr>
          <w:p w:rsidR="00E84B03" w:rsidRPr="0016193C" w:rsidRDefault="00E84B03" w:rsidP="00890504">
            <w:pPr>
              <w:cnfStyle w:val="000000010000" w:firstRow="0" w:lastRow="0" w:firstColumn="0" w:lastColumn="0" w:oddVBand="0" w:evenVBand="0" w:oddHBand="0" w:evenHBand="1" w:firstRowFirstColumn="0" w:firstRowLastColumn="0" w:lastRowFirstColumn="0" w:lastRowLastColumn="0"/>
            </w:pPr>
            <w:r w:rsidRPr="0016193C">
              <w:t>26%</w:t>
            </w:r>
          </w:p>
        </w:tc>
        <w:tc>
          <w:tcPr>
            <w:tcW w:w="1242" w:type="dxa"/>
            <w:vAlign w:val="top"/>
          </w:tcPr>
          <w:p w:rsidR="00E84B03" w:rsidRPr="0016193C" w:rsidRDefault="00E84B03" w:rsidP="00890504">
            <w:pPr>
              <w:cnfStyle w:val="000000010000" w:firstRow="0" w:lastRow="0" w:firstColumn="0" w:lastColumn="0" w:oddVBand="0" w:evenVBand="0" w:oddHBand="0" w:evenHBand="1" w:firstRowFirstColumn="0" w:firstRowLastColumn="0" w:lastRowFirstColumn="0" w:lastRowLastColumn="0"/>
            </w:pPr>
            <w:r w:rsidRPr="0016193C">
              <w:t>-3%</w:t>
            </w:r>
          </w:p>
        </w:tc>
        <w:tc>
          <w:tcPr>
            <w:tcW w:w="1242" w:type="dxa"/>
            <w:vAlign w:val="top"/>
          </w:tcPr>
          <w:p w:rsidR="00E84B03" w:rsidRPr="0016193C" w:rsidRDefault="00E84B03" w:rsidP="00890504">
            <w:pPr>
              <w:cnfStyle w:val="000000010000" w:firstRow="0" w:lastRow="0" w:firstColumn="0" w:lastColumn="0" w:oddVBand="0" w:evenVBand="0" w:oddHBand="0" w:evenHBand="1" w:firstRowFirstColumn="0" w:firstRowLastColumn="0" w:lastRowFirstColumn="0" w:lastRowLastColumn="0"/>
            </w:pPr>
            <w:r w:rsidRPr="0016193C">
              <w:t>3%</w:t>
            </w:r>
          </w:p>
        </w:tc>
      </w:tr>
      <w:tr w:rsidR="00E84B03" w:rsidTr="00890504">
        <w:tc>
          <w:tcPr>
            <w:cnfStyle w:val="001000000000" w:firstRow="0" w:lastRow="0" w:firstColumn="1" w:lastColumn="0" w:oddVBand="0" w:evenVBand="0" w:oddHBand="0" w:evenHBand="0" w:firstRowFirstColumn="0" w:firstRowLastColumn="0" w:lastRowFirstColumn="0" w:lastRowLastColumn="0"/>
            <w:tcW w:w="1241" w:type="dxa"/>
            <w:vAlign w:val="top"/>
          </w:tcPr>
          <w:p w:rsidR="00E84B03" w:rsidRPr="006D00CB" w:rsidRDefault="00E84B03" w:rsidP="00890504">
            <w:r w:rsidRPr="006D00CB">
              <w:t xml:space="preserve">Mains I&amp;C </w:t>
            </w:r>
          </w:p>
        </w:tc>
        <w:tc>
          <w:tcPr>
            <w:tcW w:w="1242" w:type="dxa"/>
            <w:vAlign w:val="top"/>
          </w:tcPr>
          <w:p w:rsidR="00E84B03" w:rsidRPr="006D00CB" w:rsidRDefault="00E84B03" w:rsidP="00890504">
            <w:pPr>
              <w:cnfStyle w:val="000000000000" w:firstRow="0" w:lastRow="0" w:firstColumn="0" w:lastColumn="0" w:oddVBand="0" w:evenVBand="0" w:oddHBand="0" w:evenHBand="0" w:firstRowFirstColumn="0" w:firstRowLastColumn="0" w:lastRowFirstColumn="0" w:lastRowLastColumn="0"/>
            </w:pPr>
            <w:r w:rsidRPr="006D00CB">
              <w:t xml:space="preserve"> 409 </w:t>
            </w:r>
          </w:p>
        </w:tc>
        <w:tc>
          <w:tcPr>
            <w:tcW w:w="1242" w:type="dxa"/>
            <w:vAlign w:val="top"/>
          </w:tcPr>
          <w:p w:rsidR="00E84B03" w:rsidRPr="0016193C" w:rsidRDefault="00E84B03" w:rsidP="00890504">
            <w:pPr>
              <w:cnfStyle w:val="000000000000" w:firstRow="0" w:lastRow="0" w:firstColumn="0" w:lastColumn="0" w:oddVBand="0" w:evenVBand="0" w:oddHBand="0" w:evenHBand="0" w:firstRowFirstColumn="0" w:firstRowLastColumn="0" w:lastRowFirstColumn="0" w:lastRowLastColumn="0"/>
            </w:pPr>
            <w:r w:rsidRPr="0016193C">
              <w:t>159%</w:t>
            </w:r>
          </w:p>
        </w:tc>
        <w:tc>
          <w:tcPr>
            <w:tcW w:w="1242" w:type="dxa"/>
            <w:vAlign w:val="top"/>
          </w:tcPr>
          <w:p w:rsidR="00E84B03" w:rsidRPr="0016193C" w:rsidRDefault="00E84B03" w:rsidP="00890504">
            <w:pPr>
              <w:cnfStyle w:val="000000000000" w:firstRow="0" w:lastRow="0" w:firstColumn="0" w:lastColumn="0" w:oddVBand="0" w:evenVBand="0" w:oddHBand="0" w:evenHBand="0" w:firstRowFirstColumn="0" w:firstRowLastColumn="0" w:lastRowFirstColumn="0" w:lastRowLastColumn="0"/>
            </w:pPr>
            <w:r w:rsidRPr="0016193C">
              <w:t>-46%</w:t>
            </w:r>
          </w:p>
        </w:tc>
        <w:tc>
          <w:tcPr>
            <w:tcW w:w="1242" w:type="dxa"/>
            <w:vAlign w:val="top"/>
          </w:tcPr>
          <w:p w:rsidR="00E84B03" w:rsidRPr="0016193C" w:rsidRDefault="00E84B03" w:rsidP="00890504">
            <w:pPr>
              <w:cnfStyle w:val="000000000000" w:firstRow="0" w:lastRow="0" w:firstColumn="0" w:lastColumn="0" w:oddVBand="0" w:evenVBand="0" w:oddHBand="0" w:evenHBand="0" w:firstRowFirstColumn="0" w:firstRowLastColumn="0" w:lastRowFirstColumn="0" w:lastRowLastColumn="0"/>
            </w:pPr>
            <w:r w:rsidRPr="0016193C">
              <w:t>-79%</w:t>
            </w:r>
          </w:p>
        </w:tc>
        <w:tc>
          <w:tcPr>
            <w:tcW w:w="1242" w:type="dxa"/>
            <w:vAlign w:val="top"/>
          </w:tcPr>
          <w:p w:rsidR="00E84B03" w:rsidRPr="0016193C" w:rsidRDefault="00E84B03" w:rsidP="00890504">
            <w:pPr>
              <w:cnfStyle w:val="000000000000" w:firstRow="0" w:lastRow="0" w:firstColumn="0" w:lastColumn="0" w:oddVBand="0" w:evenVBand="0" w:oddHBand="0" w:evenHBand="0" w:firstRowFirstColumn="0" w:firstRowLastColumn="0" w:lastRowFirstColumn="0" w:lastRowLastColumn="0"/>
            </w:pPr>
            <w:r w:rsidRPr="0016193C">
              <w:t>-52%</w:t>
            </w:r>
          </w:p>
        </w:tc>
        <w:tc>
          <w:tcPr>
            <w:tcW w:w="1242" w:type="dxa"/>
            <w:vAlign w:val="top"/>
          </w:tcPr>
          <w:p w:rsidR="00E84B03" w:rsidRPr="0016193C" w:rsidRDefault="00E84B03" w:rsidP="00890504">
            <w:pPr>
              <w:cnfStyle w:val="000000000000" w:firstRow="0" w:lastRow="0" w:firstColumn="0" w:lastColumn="0" w:oddVBand="0" w:evenVBand="0" w:oddHBand="0" w:evenHBand="0" w:firstRowFirstColumn="0" w:firstRowLastColumn="0" w:lastRowFirstColumn="0" w:lastRowLastColumn="0"/>
            </w:pPr>
            <w:r w:rsidRPr="0016193C">
              <w:t>38%</w:t>
            </w:r>
          </w:p>
        </w:tc>
      </w:tr>
      <w:tr w:rsidR="00E84B03" w:rsidTr="008905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vAlign w:val="top"/>
          </w:tcPr>
          <w:p w:rsidR="00E84B03" w:rsidRPr="006D00CB" w:rsidRDefault="00E84B03" w:rsidP="00890504">
            <w:r w:rsidRPr="006D00CB">
              <w:t xml:space="preserve">Mains MD/HR </w:t>
            </w:r>
          </w:p>
        </w:tc>
        <w:tc>
          <w:tcPr>
            <w:tcW w:w="1242" w:type="dxa"/>
            <w:vAlign w:val="top"/>
          </w:tcPr>
          <w:p w:rsidR="00E84B03" w:rsidRDefault="00E84B03" w:rsidP="00890504">
            <w:pPr>
              <w:cnfStyle w:val="000000010000" w:firstRow="0" w:lastRow="0" w:firstColumn="0" w:lastColumn="0" w:oddVBand="0" w:evenVBand="0" w:oddHBand="0" w:evenHBand="1" w:firstRowFirstColumn="0" w:firstRowLastColumn="0" w:lastRowFirstColumn="0" w:lastRowLastColumn="0"/>
            </w:pPr>
            <w:r w:rsidRPr="006D00CB">
              <w:t xml:space="preserve"> 410 </w:t>
            </w:r>
          </w:p>
        </w:tc>
        <w:tc>
          <w:tcPr>
            <w:tcW w:w="1242" w:type="dxa"/>
            <w:vAlign w:val="top"/>
          </w:tcPr>
          <w:p w:rsidR="00E84B03" w:rsidRPr="0016193C" w:rsidRDefault="00E84B03" w:rsidP="00890504">
            <w:pPr>
              <w:cnfStyle w:val="000000010000" w:firstRow="0" w:lastRow="0" w:firstColumn="0" w:lastColumn="0" w:oddVBand="0" w:evenVBand="0" w:oddHBand="0" w:evenHBand="1" w:firstRowFirstColumn="0" w:firstRowLastColumn="0" w:lastRowFirstColumn="0" w:lastRowLastColumn="0"/>
            </w:pPr>
            <w:r w:rsidRPr="0016193C">
              <w:t>-63%</w:t>
            </w:r>
          </w:p>
        </w:tc>
        <w:tc>
          <w:tcPr>
            <w:tcW w:w="1242" w:type="dxa"/>
            <w:vAlign w:val="top"/>
          </w:tcPr>
          <w:p w:rsidR="00E84B03" w:rsidRPr="0016193C" w:rsidRDefault="00E84B03" w:rsidP="00890504">
            <w:pPr>
              <w:cnfStyle w:val="000000010000" w:firstRow="0" w:lastRow="0" w:firstColumn="0" w:lastColumn="0" w:oddVBand="0" w:evenVBand="0" w:oddHBand="0" w:evenHBand="1" w:firstRowFirstColumn="0" w:firstRowLastColumn="0" w:lastRowFirstColumn="0" w:lastRowLastColumn="0"/>
            </w:pPr>
            <w:r w:rsidRPr="0016193C">
              <w:t>47%</w:t>
            </w:r>
          </w:p>
        </w:tc>
        <w:tc>
          <w:tcPr>
            <w:tcW w:w="1242" w:type="dxa"/>
            <w:vAlign w:val="top"/>
          </w:tcPr>
          <w:p w:rsidR="00E84B03" w:rsidRPr="0016193C" w:rsidRDefault="00E84B03" w:rsidP="00890504">
            <w:pPr>
              <w:cnfStyle w:val="000000010000" w:firstRow="0" w:lastRow="0" w:firstColumn="0" w:lastColumn="0" w:oddVBand="0" w:evenVBand="0" w:oddHBand="0" w:evenHBand="1" w:firstRowFirstColumn="0" w:firstRowLastColumn="0" w:lastRowFirstColumn="0" w:lastRowLastColumn="0"/>
            </w:pPr>
            <w:r w:rsidRPr="0016193C">
              <w:t>664%</w:t>
            </w:r>
          </w:p>
        </w:tc>
        <w:tc>
          <w:tcPr>
            <w:tcW w:w="1242" w:type="dxa"/>
            <w:vAlign w:val="top"/>
          </w:tcPr>
          <w:p w:rsidR="00E84B03" w:rsidRPr="0016193C" w:rsidRDefault="00E84B03" w:rsidP="00890504">
            <w:pPr>
              <w:cnfStyle w:val="000000010000" w:firstRow="0" w:lastRow="0" w:firstColumn="0" w:lastColumn="0" w:oddVBand="0" w:evenVBand="0" w:oddHBand="0" w:evenHBand="1" w:firstRowFirstColumn="0" w:firstRowLastColumn="0" w:lastRowFirstColumn="0" w:lastRowLastColumn="0"/>
            </w:pPr>
            <w:r w:rsidRPr="0016193C">
              <w:t>206%</w:t>
            </w:r>
          </w:p>
        </w:tc>
        <w:tc>
          <w:tcPr>
            <w:tcW w:w="1242" w:type="dxa"/>
            <w:vAlign w:val="top"/>
          </w:tcPr>
          <w:p w:rsidR="00E84B03" w:rsidRDefault="00E84B03" w:rsidP="00890504">
            <w:pPr>
              <w:cnfStyle w:val="000000010000" w:firstRow="0" w:lastRow="0" w:firstColumn="0" w:lastColumn="0" w:oddVBand="0" w:evenVBand="0" w:oddHBand="0" w:evenHBand="1" w:firstRowFirstColumn="0" w:firstRowLastColumn="0" w:lastRowFirstColumn="0" w:lastRowLastColumn="0"/>
            </w:pPr>
            <w:r w:rsidRPr="0016193C">
              <w:t>220%</w:t>
            </w:r>
          </w:p>
        </w:tc>
      </w:tr>
    </w:tbl>
    <w:p w:rsidR="00E84B03" w:rsidRDefault="00E84B03" w:rsidP="00E84B03">
      <w:pPr>
        <w:pStyle w:val="AERtablesource"/>
      </w:pPr>
      <w:r>
        <w:t xml:space="preserve">Source: </w:t>
      </w:r>
      <w:r w:rsidR="00496223">
        <w:tab/>
      </w:r>
      <w:r>
        <w:t>AER analysis</w:t>
      </w:r>
      <w:r w:rsidR="0061777C">
        <w:t>.</w:t>
      </w:r>
    </w:p>
    <w:p w:rsidR="00E84B03" w:rsidRDefault="00E84B03" w:rsidP="00E84B03">
      <w:pPr>
        <w:pStyle w:val="Caption"/>
      </w:pPr>
      <w:proofErr w:type="gramStart"/>
      <w:r>
        <w:t xml:space="preserve">Table </w:t>
      </w:r>
      <w:proofErr w:type="gramEnd"/>
      <w:r w:rsidR="004C5F88">
        <w:fldChar w:fldCharType="begin"/>
      </w:r>
      <w:r w:rsidR="004C5F88">
        <w:instrText xml:space="preserve"> STYLEREF 1 \s </w:instrText>
      </w:r>
      <w:r w:rsidR="004C5F88">
        <w:fldChar w:fldCharType="separate"/>
      </w:r>
      <w:r w:rsidR="00EE4EAF">
        <w:rPr>
          <w:noProof/>
        </w:rPr>
        <w:t>6</w:t>
      </w:r>
      <w:r w:rsidR="004C5F88">
        <w:rPr>
          <w:noProof/>
        </w:rPr>
        <w:fldChar w:fldCharType="end"/>
      </w:r>
      <w:proofErr w:type="gramStart"/>
      <w:r w:rsidR="0061777C">
        <w:t>.</w:t>
      </w:r>
      <w:proofErr w:type="gramEnd"/>
      <w:r w:rsidR="004C5F88">
        <w:fldChar w:fldCharType="begin"/>
      </w:r>
      <w:r w:rsidR="004C5F88">
        <w:instrText xml:space="preserve"> SEQ Table \* ARABIC \s 1 </w:instrText>
      </w:r>
      <w:r w:rsidR="004C5F88">
        <w:fldChar w:fldCharType="separate"/>
      </w:r>
      <w:r w:rsidR="00EE4EAF">
        <w:rPr>
          <w:noProof/>
        </w:rPr>
        <w:t>12</w:t>
      </w:r>
      <w:r w:rsidR="004C5F88">
        <w:rPr>
          <w:noProof/>
        </w:rPr>
        <w:fldChar w:fldCharType="end"/>
      </w:r>
      <w:r>
        <w:tab/>
        <w:t xml:space="preserve">Difference between meters numbers in </w:t>
      </w:r>
      <w:r w:rsidR="00A213DD">
        <w:t xml:space="preserve">access arrangement </w:t>
      </w:r>
      <w:r>
        <w:t>RIN and unit rate model</w:t>
      </w:r>
    </w:p>
    <w:tbl>
      <w:tblPr>
        <w:tblStyle w:val="AERtable-numbers"/>
        <w:tblW w:w="0" w:type="auto"/>
        <w:tblLook w:val="04A0" w:firstRow="1" w:lastRow="0" w:firstColumn="1" w:lastColumn="0" w:noHBand="0" w:noVBand="1"/>
      </w:tblPr>
      <w:tblGrid>
        <w:gridCol w:w="1241"/>
        <w:gridCol w:w="1242"/>
        <w:gridCol w:w="1242"/>
        <w:gridCol w:w="1242"/>
        <w:gridCol w:w="1242"/>
        <w:gridCol w:w="1242"/>
        <w:gridCol w:w="1242"/>
      </w:tblGrid>
      <w:tr w:rsidR="00E84B03" w:rsidTr="008905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E84B03" w:rsidRDefault="00E84B03" w:rsidP="00890504"/>
        </w:tc>
        <w:tc>
          <w:tcPr>
            <w:tcW w:w="1242" w:type="dxa"/>
          </w:tcPr>
          <w:p w:rsidR="00E84B03" w:rsidRDefault="00E84B03" w:rsidP="00890504">
            <w:pPr>
              <w:cnfStyle w:val="100000000000" w:firstRow="1" w:lastRow="0" w:firstColumn="0" w:lastColumn="0" w:oddVBand="0" w:evenVBand="0" w:oddHBand="0" w:evenHBand="0" w:firstRowFirstColumn="0" w:firstRowLastColumn="0" w:lastRowFirstColumn="0" w:lastRowLastColumn="0"/>
            </w:pPr>
          </w:p>
        </w:tc>
        <w:tc>
          <w:tcPr>
            <w:tcW w:w="1242" w:type="dxa"/>
            <w:vAlign w:val="top"/>
          </w:tcPr>
          <w:p w:rsidR="00E84B03" w:rsidRPr="00BA11E1" w:rsidRDefault="00E84B03" w:rsidP="00890504">
            <w:pPr>
              <w:cnfStyle w:val="100000000000" w:firstRow="1" w:lastRow="0" w:firstColumn="0" w:lastColumn="0" w:oddVBand="0" w:evenVBand="0" w:oddHBand="0" w:evenHBand="0" w:firstRowFirstColumn="0" w:firstRowLastColumn="0" w:lastRowFirstColumn="0" w:lastRowLastColumn="0"/>
            </w:pPr>
            <w:r w:rsidRPr="00BA11E1">
              <w:t xml:space="preserve"> FY11 </w:t>
            </w:r>
          </w:p>
        </w:tc>
        <w:tc>
          <w:tcPr>
            <w:tcW w:w="1242" w:type="dxa"/>
            <w:vAlign w:val="top"/>
          </w:tcPr>
          <w:p w:rsidR="00E84B03" w:rsidRPr="00BA11E1" w:rsidRDefault="00E84B03" w:rsidP="00890504">
            <w:pPr>
              <w:cnfStyle w:val="100000000000" w:firstRow="1" w:lastRow="0" w:firstColumn="0" w:lastColumn="0" w:oddVBand="0" w:evenVBand="0" w:oddHBand="0" w:evenHBand="0" w:firstRowFirstColumn="0" w:firstRowLastColumn="0" w:lastRowFirstColumn="0" w:lastRowLastColumn="0"/>
            </w:pPr>
            <w:r w:rsidRPr="00BA11E1">
              <w:t xml:space="preserve"> FY12 </w:t>
            </w:r>
          </w:p>
        </w:tc>
        <w:tc>
          <w:tcPr>
            <w:tcW w:w="1242" w:type="dxa"/>
            <w:vAlign w:val="top"/>
          </w:tcPr>
          <w:p w:rsidR="00E84B03" w:rsidRPr="00BA11E1" w:rsidRDefault="00E84B03" w:rsidP="00890504">
            <w:pPr>
              <w:cnfStyle w:val="100000000000" w:firstRow="1" w:lastRow="0" w:firstColumn="0" w:lastColumn="0" w:oddVBand="0" w:evenVBand="0" w:oddHBand="0" w:evenHBand="0" w:firstRowFirstColumn="0" w:firstRowLastColumn="0" w:lastRowFirstColumn="0" w:lastRowLastColumn="0"/>
            </w:pPr>
            <w:r w:rsidRPr="00BA11E1">
              <w:t xml:space="preserve"> FY13 </w:t>
            </w:r>
          </w:p>
        </w:tc>
        <w:tc>
          <w:tcPr>
            <w:tcW w:w="1242" w:type="dxa"/>
            <w:vAlign w:val="top"/>
          </w:tcPr>
          <w:p w:rsidR="00E84B03" w:rsidRPr="00BA11E1" w:rsidRDefault="00E84B03" w:rsidP="00890504">
            <w:pPr>
              <w:cnfStyle w:val="100000000000" w:firstRow="1" w:lastRow="0" w:firstColumn="0" w:lastColumn="0" w:oddVBand="0" w:evenVBand="0" w:oddHBand="0" w:evenHBand="0" w:firstRowFirstColumn="0" w:firstRowLastColumn="0" w:lastRowFirstColumn="0" w:lastRowLastColumn="0"/>
            </w:pPr>
            <w:r w:rsidRPr="00BA11E1">
              <w:t xml:space="preserve"> FY14 </w:t>
            </w:r>
          </w:p>
        </w:tc>
        <w:tc>
          <w:tcPr>
            <w:tcW w:w="1242" w:type="dxa"/>
            <w:vAlign w:val="top"/>
          </w:tcPr>
          <w:p w:rsidR="00E84B03" w:rsidRDefault="00E84B03" w:rsidP="00890504">
            <w:pPr>
              <w:cnfStyle w:val="100000000000" w:firstRow="1" w:lastRow="0" w:firstColumn="0" w:lastColumn="0" w:oddVBand="0" w:evenVBand="0" w:oddHBand="0" w:evenHBand="0" w:firstRowFirstColumn="0" w:firstRowLastColumn="0" w:lastRowFirstColumn="0" w:lastRowLastColumn="0"/>
            </w:pPr>
            <w:r>
              <w:t>T</w:t>
            </w:r>
            <w:r w:rsidRPr="00BA11E1">
              <w:t xml:space="preserve">otal </w:t>
            </w:r>
          </w:p>
        </w:tc>
      </w:tr>
      <w:tr w:rsidR="00E84B03" w:rsidTr="00890504">
        <w:tc>
          <w:tcPr>
            <w:cnfStyle w:val="001000000000" w:firstRow="0" w:lastRow="0" w:firstColumn="1" w:lastColumn="0" w:oddVBand="0" w:evenVBand="0" w:oddHBand="0" w:evenHBand="0" w:firstRowFirstColumn="0" w:firstRowLastColumn="0" w:lastRowFirstColumn="0" w:lastRowLastColumn="0"/>
            <w:tcW w:w="1241" w:type="dxa"/>
            <w:vAlign w:val="top"/>
          </w:tcPr>
          <w:p w:rsidR="00E84B03" w:rsidRPr="00B04924" w:rsidRDefault="00E84B03" w:rsidP="00890504">
            <w:r>
              <w:t>Main</w:t>
            </w:r>
            <w:r w:rsidRPr="00B04924">
              <w:t>s E-G</w:t>
            </w:r>
          </w:p>
        </w:tc>
        <w:tc>
          <w:tcPr>
            <w:tcW w:w="1242" w:type="dxa"/>
            <w:vAlign w:val="top"/>
          </w:tcPr>
          <w:p w:rsidR="00E84B03" w:rsidRPr="00B04924" w:rsidRDefault="00E84B03" w:rsidP="00890504">
            <w:pPr>
              <w:cnfStyle w:val="000000000000" w:firstRow="0" w:lastRow="0" w:firstColumn="0" w:lastColumn="0" w:oddVBand="0" w:evenVBand="0" w:oddHBand="0" w:evenHBand="0" w:firstRowFirstColumn="0" w:firstRowLastColumn="0" w:lastRowFirstColumn="0" w:lastRowLastColumn="0"/>
            </w:pPr>
            <w:r w:rsidRPr="00B04924">
              <w:t>400</w:t>
            </w:r>
          </w:p>
        </w:tc>
        <w:tc>
          <w:tcPr>
            <w:tcW w:w="1242" w:type="dxa"/>
            <w:vAlign w:val="top"/>
          </w:tcPr>
          <w:p w:rsidR="00E84B03" w:rsidRPr="00EB456E" w:rsidRDefault="00E84B03" w:rsidP="00890504">
            <w:pPr>
              <w:cnfStyle w:val="000000000000" w:firstRow="0" w:lastRow="0" w:firstColumn="0" w:lastColumn="0" w:oddVBand="0" w:evenVBand="0" w:oddHBand="0" w:evenHBand="0" w:firstRowFirstColumn="0" w:firstRowLastColumn="0" w:lastRowFirstColumn="0" w:lastRowLastColumn="0"/>
            </w:pPr>
            <w:r w:rsidRPr="00EB456E">
              <w:t>44%</w:t>
            </w:r>
          </w:p>
        </w:tc>
        <w:tc>
          <w:tcPr>
            <w:tcW w:w="1242" w:type="dxa"/>
            <w:vAlign w:val="top"/>
          </w:tcPr>
          <w:p w:rsidR="00E84B03" w:rsidRPr="00EB456E" w:rsidRDefault="00E84B03" w:rsidP="00890504">
            <w:pPr>
              <w:cnfStyle w:val="000000000000" w:firstRow="0" w:lastRow="0" w:firstColumn="0" w:lastColumn="0" w:oddVBand="0" w:evenVBand="0" w:oddHBand="0" w:evenHBand="0" w:firstRowFirstColumn="0" w:firstRowLastColumn="0" w:lastRowFirstColumn="0" w:lastRowLastColumn="0"/>
            </w:pPr>
            <w:r w:rsidRPr="00EB456E">
              <w:t>6%</w:t>
            </w:r>
          </w:p>
        </w:tc>
        <w:tc>
          <w:tcPr>
            <w:tcW w:w="1242" w:type="dxa"/>
            <w:vAlign w:val="top"/>
          </w:tcPr>
          <w:p w:rsidR="00E84B03" w:rsidRPr="00EB456E" w:rsidRDefault="00E84B03" w:rsidP="00890504">
            <w:pPr>
              <w:cnfStyle w:val="000000000000" w:firstRow="0" w:lastRow="0" w:firstColumn="0" w:lastColumn="0" w:oddVBand="0" w:evenVBand="0" w:oddHBand="0" w:evenHBand="0" w:firstRowFirstColumn="0" w:firstRowLastColumn="0" w:lastRowFirstColumn="0" w:lastRowLastColumn="0"/>
            </w:pPr>
            <w:r w:rsidRPr="00EB456E">
              <w:t>1%</w:t>
            </w:r>
          </w:p>
        </w:tc>
        <w:tc>
          <w:tcPr>
            <w:tcW w:w="1242" w:type="dxa"/>
            <w:vAlign w:val="top"/>
          </w:tcPr>
          <w:p w:rsidR="00E84B03" w:rsidRPr="00EB456E" w:rsidRDefault="00E84B03" w:rsidP="00890504">
            <w:pPr>
              <w:cnfStyle w:val="000000000000" w:firstRow="0" w:lastRow="0" w:firstColumn="0" w:lastColumn="0" w:oddVBand="0" w:evenVBand="0" w:oddHBand="0" w:evenHBand="0" w:firstRowFirstColumn="0" w:firstRowLastColumn="0" w:lastRowFirstColumn="0" w:lastRowLastColumn="0"/>
            </w:pPr>
            <w:r w:rsidRPr="00EB456E">
              <w:t>2%</w:t>
            </w:r>
          </w:p>
        </w:tc>
        <w:tc>
          <w:tcPr>
            <w:tcW w:w="1242" w:type="dxa"/>
            <w:vAlign w:val="top"/>
          </w:tcPr>
          <w:p w:rsidR="00E84B03" w:rsidRPr="00EB456E" w:rsidRDefault="00E84B03" w:rsidP="00890504">
            <w:pPr>
              <w:cnfStyle w:val="000000000000" w:firstRow="0" w:lastRow="0" w:firstColumn="0" w:lastColumn="0" w:oddVBand="0" w:evenVBand="0" w:oddHBand="0" w:evenHBand="0" w:firstRowFirstColumn="0" w:firstRowLastColumn="0" w:lastRowFirstColumn="0" w:lastRowLastColumn="0"/>
            </w:pPr>
            <w:r w:rsidRPr="00EB456E">
              <w:t>12%</w:t>
            </w:r>
          </w:p>
        </w:tc>
      </w:tr>
      <w:tr w:rsidR="00E84B03" w:rsidTr="008905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vAlign w:val="top"/>
          </w:tcPr>
          <w:p w:rsidR="00E84B03" w:rsidRPr="00B04924" w:rsidRDefault="00E84B03" w:rsidP="00890504">
            <w:r>
              <w:t>Main</w:t>
            </w:r>
            <w:r w:rsidRPr="00B04924">
              <w:t>s New Homes</w:t>
            </w:r>
          </w:p>
        </w:tc>
        <w:tc>
          <w:tcPr>
            <w:tcW w:w="1242" w:type="dxa"/>
            <w:vAlign w:val="top"/>
          </w:tcPr>
          <w:p w:rsidR="00E84B03" w:rsidRPr="00B04924" w:rsidRDefault="00E84B03" w:rsidP="00890504">
            <w:pPr>
              <w:cnfStyle w:val="000000010000" w:firstRow="0" w:lastRow="0" w:firstColumn="0" w:lastColumn="0" w:oddVBand="0" w:evenVBand="0" w:oddHBand="0" w:evenHBand="1" w:firstRowFirstColumn="0" w:firstRowLastColumn="0" w:lastRowFirstColumn="0" w:lastRowLastColumn="0"/>
            </w:pPr>
            <w:r w:rsidRPr="00B04924">
              <w:t>401</w:t>
            </w:r>
          </w:p>
        </w:tc>
        <w:tc>
          <w:tcPr>
            <w:tcW w:w="1242" w:type="dxa"/>
            <w:vAlign w:val="top"/>
          </w:tcPr>
          <w:p w:rsidR="00E84B03" w:rsidRPr="00EB456E" w:rsidRDefault="00E84B03" w:rsidP="00890504">
            <w:pPr>
              <w:cnfStyle w:val="000000010000" w:firstRow="0" w:lastRow="0" w:firstColumn="0" w:lastColumn="0" w:oddVBand="0" w:evenVBand="0" w:oddHBand="0" w:evenHBand="1" w:firstRowFirstColumn="0" w:firstRowLastColumn="0" w:lastRowFirstColumn="0" w:lastRowLastColumn="0"/>
            </w:pPr>
            <w:r w:rsidRPr="00EB456E">
              <w:t>-8%</w:t>
            </w:r>
          </w:p>
        </w:tc>
        <w:tc>
          <w:tcPr>
            <w:tcW w:w="1242" w:type="dxa"/>
            <w:vAlign w:val="top"/>
          </w:tcPr>
          <w:p w:rsidR="00E84B03" w:rsidRPr="00EB456E" w:rsidRDefault="00E84B03" w:rsidP="00890504">
            <w:pPr>
              <w:cnfStyle w:val="000000010000" w:firstRow="0" w:lastRow="0" w:firstColumn="0" w:lastColumn="0" w:oddVBand="0" w:evenVBand="0" w:oddHBand="0" w:evenHBand="1" w:firstRowFirstColumn="0" w:firstRowLastColumn="0" w:lastRowFirstColumn="0" w:lastRowLastColumn="0"/>
            </w:pPr>
            <w:r w:rsidRPr="00EB456E">
              <w:t>-3%</w:t>
            </w:r>
          </w:p>
        </w:tc>
        <w:tc>
          <w:tcPr>
            <w:tcW w:w="1242" w:type="dxa"/>
            <w:vAlign w:val="top"/>
          </w:tcPr>
          <w:p w:rsidR="00E84B03" w:rsidRPr="00EB456E" w:rsidRDefault="00E84B03" w:rsidP="00890504">
            <w:pPr>
              <w:cnfStyle w:val="000000010000" w:firstRow="0" w:lastRow="0" w:firstColumn="0" w:lastColumn="0" w:oddVBand="0" w:evenVBand="0" w:oddHBand="0" w:evenHBand="1" w:firstRowFirstColumn="0" w:firstRowLastColumn="0" w:lastRowFirstColumn="0" w:lastRowLastColumn="0"/>
            </w:pPr>
            <w:r w:rsidRPr="00EB456E">
              <w:t>1%</w:t>
            </w:r>
          </w:p>
        </w:tc>
        <w:tc>
          <w:tcPr>
            <w:tcW w:w="1242" w:type="dxa"/>
            <w:vAlign w:val="top"/>
          </w:tcPr>
          <w:p w:rsidR="00E84B03" w:rsidRPr="00EB456E" w:rsidRDefault="00E84B03" w:rsidP="00890504">
            <w:pPr>
              <w:cnfStyle w:val="000000010000" w:firstRow="0" w:lastRow="0" w:firstColumn="0" w:lastColumn="0" w:oddVBand="0" w:evenVBand="0" w:oddHBand="0" w:evenHBand="1" w:firstRowFirstColumn="0" w:firstRowLastColumn="0" w:lastRowFirstColumn="0" w:lastRowLastColumn="0"/>
            </w:pPr>
            <w:r w:rsidRPr="00EB456E">
              <w:t>1%</w:t>
            </w:r>
          </w:p>
        </w:tc>
        <w:tc>
          <w:tcPr>
            <w:tcW w:w="1242" w:type="dxa"/>
            <w:vAlign w:val="top"/>
          </w:tcPr>
          <w:p w:rsidR="00E84B03" w:rsidRPr="00EB456E" w:rsidRDefault="00E84B03" w:rsidP="00890504">
            <w:pPr>
              <w:cnfStyle w:val="000000010000" w:firstRow="0" w:lastRow="0" w:firstColumn="0" w:lastColumn="0" w:oddVBand="0" w:evenVBand="0" w:oddHBand="0" w:evenHBand="1" w:firstRowFirstColumn="0" w:firstRowLastColumn="0" w:lastRowFirstColumn="0" w:lastRowLastColumn="0"/>
            </w:pPr>
            <w:r w:rsidRPr="00EB456E">
              <w:t>-2%</w:t>
            </w:r>
          </w:p>
        </w:tc>
      </w:tr>
      <w:tr w:rsidR="00E84B03" w:rsidTr="00890504">
        <w:tc>
          <w:tcPr>
            <w:cnfStyle w:val="001000000000" w:firstRow="0" w:lastRow="0" w:firstColumn="1" w:lastColumn="0" w:oddVBand="0" w:evenVBand="0" w:oddHBand="0" w:evenHBand="0" w:firstRowFirstColumn="0" w:firstRowLastColumn="0" w:lastRowFirstColumn="0" w:lastRowLastColumn="0"/>
            <w:tcW w:w="1241" w:type="dxa"/>
            <w:vAlign w:val="top"/>
          </w:tcPr>
          <w:p w:rsidR="00E84B03" w:rsidRPr="00B04924" w:rsidRDefault="00E84B03" w:rsidP="00890504">
            <w:r>
              <w:t>Main</w:t>
            </w:r>
            <w:r w:rsidRPr="00B04924">
              <w:t>s I&amp;C</w:t>
            </w:r>
          </w:p>
        </w:tc>
        <w:tc>
          <w:tcPr>
            <w:tcW w:w="1242" w:type="dxa"/>
            <w:vAlign w:val="top"/>
          </w:tcPr>
          <w:p w:rsidR="00E84B03" w:rsidRPr="00B04924" w:rsidRDefault="00E84B03" w:rsidP="00890504">
            <w:pPr>
              <w:cnfStyle w:val="000000000000" w:firstRow="0" w:lastRow="0" w:firstColumn="0" w:lastColumn="0" w:oddVBand="0" w:evenVBand="0" w:oddHBand="0" w:evenHBand="0" w:firstRowFirstColumn="0" w:firstRowLastColumn="0" w:lastRowFirstColumn="0" w:lastRowLastColumn="0"/>
            </w:pPr>
            <w:r w:rsidRPr="00B04924">
              <w:t>403</w:t>
            </w:r>
          </w:p>
        </w:tc>
        <w:tc>
          <w:tcPr>
            <w:tcW w:w="1242" w:type="dxa"/>
            <w:vAlign w:val="top"/>
          </w:tcPr>
          <w:p w:rsidR="00E84B03" w:rsidRPr="00EB456E" w:rsidRDefault="00E84B03" w:rsidP="00890504">
            <w:pPr>
              <w:cnfStyle w:val="000000000000" w:firstRow="0" w:lastRow="0" w:firstColumn="0" w:lastColumn="0" w:oddVBand="0" w:evenVBand="0" w:oddHBand="0" w:evenHBand="0" w:firstRowFirstColumn="0" w:firstRowLastColumn="0" w:lastRowFirstColumn="0" w:lastRowLastColumn="0"/>
            </w:pPr>
            <w:r w:rsidRPr="00EB456E">
              <w:t>-21%</w:t>
            </w:r>
          </w:p>
        </w:tc>
        <w:tc>
          <w:tcPr>
            <w:tcW w:w="1242" w:type="dxa"/>
            <w:vAlign w:val="top"/>
          </w:tcPr>
          <w:p w:rsidR="00E84B03" w:rsidRPr="00EB456E" w:rsidRDefault="00E84B03" w:rsidP="00890504">
            <w:pPr>
              <w:cnfStyle w:val="000000000000" w:firstRow="0" w:lastRow="0" w:firstColumn="0" w:lastColumn="0" w:oddVBand="0" w:evenVBand="0" w:oddHBand="0" w:evenHBand="0" w:firstRowFirstColumn="0" w:firstRowLastColumn="0" w:lastRowFirstColumn="0" w:lastRowLastColumn="0"/>
            </w:pPr>
            <w:r w:rsidRPr="00EB456E">
              <w:t>-3%</w:t>
            </w:r>
          </w:p>
        </w:tc>
        <w:tc>
          <w:tcPr>
            <w:tcW w:w="1242" w:type="dxa"/>
            <w:vAlign w:val="top"/>
          </w:tcPr>
          <w:p w:rsidR="00E84B03" w:rsidRPr="00EB456E" w:rsidRDefault="00E84B03" w:rsidP="00890504">
            <w:pPr>
              <w:cnfStyle w:val="000000000000" w:firstRow="0" w:lastRow="0" w:firstColumn="0" w:lastColumn="0" w:oddVBand="0" w:evenVBand="0" w:oddHBand="0" w:evenHBand="0" w:firstRowFirstColumn="0" w:firstRowLastColumn="0" w:lastRowFirstColumn="0" w:lastRowLastColumn="0"/>
            </w:pPr>
            <w:r w:rsidRPr="00EB456E">
              <w:t>0%</w:t>
            </w:r>
          </w:p>
        </w:tc>
        <w:tc>
          <w:tcPr>
            <w:tcW w:w="1242" w:type="dxa"/>
            <w:vAlign w:val="top"/>
          </w:tcPr>
          <w:p w:rsidR="00E84B03" w:rsidRPr="00EB456E" w:rsidRDefault="00E84B03" w:rsidP="00890504">
            <w:pPr>
              <w:cnfStyle w:val="000000000000" w:firstRow="0" w:lastRow="0" w:firstColumn="0" w:lastColumn="0" w:oddVBand="0" w:evenVBand="0" w:oddHBand="0" w:evenHBand="0" w:firstRowFirstColumn="0" w:firstRowLastColumn="0" w:lastRowFirstColumn="0" w:lastRowLastColumn="0"/>
            </w:pPr>
            <w:r w:rsidRPr="00EB456E">
              <w:t>3%</w:t>
            </w:r>
          </w:p>
        </w:tc>
        <w:tc>
          <w:tcPr>
            <w:tcW w:w="1242" w:type="dxa"/>
            <w:vAlign w:val="top"/>
          </w:tcPr>
          <w:p w:rsidR="00E84B03" w:rsidRPr="00EB456E" w:rsidRDefault="00E84B03" w:rsidP="00890504">
            <w:pPr>
              <w:cnfStyle w:val="000000000000" w:firstRow="0" w:lastRow="0" w:firstColumn="0" w:lastColumn="0" w:oddVBand="0" w:evenVBand="0" w:oddHBand="0" w:evenHBand="0" w:firstRowFirstColumn="0" w:firstRowLastColumn="0" w:lastRowFirstColumn="0" w:lastRowLastColumn="0"/>
            </w:pPr>
            <w:r w:rsidRPr="00EB456E">
              <w:t>-5%</w:t>
            </w:r>
          </w:p>
        </w:tc>
      </w:tr>
      <w:tr w:rsidR="00E84B03" w:rsidTr="008905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vAlign w:val="top"/>
          </w:tcPr>
          <w:p w:rsidR="00E84B03" w:rsidRPr="00B04924" w:rsidRDefault="00E84B03" w:rsidP="00890504">
            <w:r>
              <w:t>Main</w:t>
            </w:r>
            <w:r w:rsidRPr="00B04924">
              <w:t>s MD/HR</w:t>
            </w:r>
          </w:p>
        </w:tc>
        <w:tc>
          <w:tcPr>
            <w:tcW w:w="1242" w:type="dxa"/>
            <w:vAlign w:val="top"/>
          </w:tcPr>
          <w:p w:rsidR="00E84B03" w:rsidRDefault="00E84B03" w:rsidP="00890504">
            <w:pPr>
              <w:cnfStyle w:val="000000010000" w:firstRow="0" w:lastRow="0" w:firstColumn="0" w:lastColumn="0" w:oddVBand="0" w:evenVBand="0" w:oddHBand="0" w:evenHBand="1" w:firstRowFirstColumn="0" w:firstRowLastColumn="0" w:lastRowFirstColumn="0" w:lastRowLastColumn="0"/>
            </w:pPr>
            <w:r w:rsidRPr="00B04924">
              <w:t>404</w:t>
            </w:r>
          </w:p>
        </w:tc>
        <w:tc>
          <w:tcPr>
            <w:tcW w:w="1242" w:type="dxa"/>
            <w:vAlign w:val="top"/>
          </w:tcPr>
          <w:p w:rsidR="00E84B03" w:rsidRPr="00EB456E" w:rsidRDefault="00E84B03" w:rsidP="00890504">
            <w:pPr>
              <w:cnfStyle w:val="000000010000" w:firstRow="0" w:lastRow="0" w:firstColumn="0" w:lastColumn="0" w:oddVBand="0" w:evenVBand="0" w:oddHBand="0" w:evenHBand="1" w:firstRowFirstColumn="0" w:firstRowLastColumn="0" w:lastRowFirstColumn="0" w:lastRowLastColumn="0"/>
            </w:pPr>
            <w:r w:rsidRPr="00EB456E">
              <w:t>44%</w:t>
            </w:r>
          </w:p>
        </w:tc>
        <w:tc>
          <w:tcPr>
            <w:tcW w:w="1242" w:type="dxa"/>
            <w:vAlign w:val="top"/>
          </w:tcPr>
          <w:p w:rsidR="00E84B03" w:rsidRPr="00EB456E" w:rsidRDefault="00E84B03" w:rsidP="00890504">
            <w:pPr>
              <w:cnfStyle w:val="000000010000" w:firstRow="0" w:lastRow="0" w:firstColumn="0" w:lastColumn="0" w:oddVBand="0" w:evenVBand="0" w:oddHBand="0" w:evenHBand="1" w:firstRowFirstColumn="0" w:firstRowLastColumn="0" w:lastRowFirstColumn="0" w:lastRowLastColumn="0"/>
            </w:pPr>
            <w:r w:rsidRPr="00EB456E">
              <w:t>0%</w:t>
            </w:r>
          </w:p>
        </w:tc>
        <w:tc>
          <w:tcPr>
            <w:tcW w:w="1242" w:type="dxa"/>
            <w:vAlign w:val="top"/>
          </w:tcPr>
          <w:p w:rsidR="00E84B03" w:rsidRPr="00EB456E" w:rsidRDefault="00E84B03" w:rsidP="00890504">
            <w:pPr>
              <w:cnfStyle w:val="000000010000" w:firstRow="0" w:lastRow="0" w:firstColumn="0" w:lastColumn="0" w:oddVBand="0" w:evenVBand="0" w:oddHBand="0" w:evenHBand="1" w:firstRowFirstColumn="0" w:firstRowLastColumn="0" w:lastRowFirstColumn="0" w:lastRowLastColumn="0"/>
            </w:pPr>
            <w:r w:rsidRPr="00EB456E">
              <w:t>19%</w:t>
            </w:r>
          </w:p>
        </w:tc>
        <w:tc>
          <w:tcPr>
            <w:tcW w:w="1242" w:type="dxa"/>
            <w:vAlign w:val="top"/>
          </w:tcPr>
          <w:p w:rsidR="00E84B03" w:rsidRPr="00EB456E" w:rsidRDefault="00E84B03" w:rsidP="00890504">
            <w:pPr>
              <w:cnfStyle w:val="000000010000" w:firstRow="0" w:lastRow="0" w:firstColumn="0" w:lastColumn="0" w:oddVBand="0" w:evenVBand="0" w:oddHBand="0" w:evenHBand="1" w:firstRowFirstColumn="0" w:firstRowLastColumn="0" w:lastRowFirstColumn="0" w:lastRowLastColumn="0"/>
            </w:pPr>
            <w:r w:rsidRPr="00EB456E">
              <w:t>4%</w:t>
            </w:r>
          </w:p>
        </w:tc>
        <w:tc>
          <w:tcPr>
            <w:tcW w:w="1242" w:type="dxa"/>
            <w:vAlign w:val="top"/>
          </w:tcPr>
          <w:p w:rsidR="00E84B03" w:rsidRDefault="00E84B03" w:rsidP="00890504">
            <w:pPr>
              <w:cnfStyle w:val="000000010000" w:firstRow="0" w:lastRow="0" w:firstColumn="0" w:lastColumn="0" w:oddVBand="0" w:evenVBand="0" w:oddHBand="0" w:evenHBand="1" w:firstRowFirstColumn="0" w:firstRowLastColumn="0" w:lastRowFirstColumn="0" w:lastRowLastColumn="0"/>
            </w:pPr>
            <w:r w:rsidRPr="00EB456E">
              <w:t>13%</w:t>
            </w:r>
          </w:p>
        </w:tc>
      </w:tr>
    </w:tbl>
    <w:p w:rsidR="00E84B03" w:rsidRDefault="00E84B03" w:rsidP="00E84B03">
      <w:pPr>
        <w:pStyle w:val="AERtablesource"/>
      </w:pPr>
      <w:r>
        <w:t xml:space="preserve">Source: </w:t>
      </w:r>
      <w:r w:rsidR="00496223">
        <w:tab/>
      </w:r>
      <w:r>
        <w:t>AER analysis</w:t>
      </w:r>
      <w:r w:rsidR="0061777C">
        <w:t>.</w:t>
      </w:r>
    </w:p>
    <w:p w:rsidR="00E84B03" w:rsidRDefault="00E84B03" w:rsidP="00E84B03">
      <w:r>
        <w:t xml:space="preserve">ActewAGL resubmitted its </w:t>
      </w:r>
      <w:r w:rsidR="00A213DD">
        <w:t>access arrangement</w:t>
      </w:r>
      <w:r>
        <w:t xml:space="preserve"> RIN and unit rate model and stated that the errors were minor and attributable to:</w:t>
      </w:r>
      <w:r>
        <w:rPr>
          <w:rStyle w:val="FootnoteReference"/>
        </w:rPr>
        <w:footnoteReference w:id="170"/>
      </w:r>
    </w:p>
    <w:p w:rsidR="00E84B03" w:rsidRDefault="00E84B03" w:rsidP="00E84B03">
      <w:pPr>
        <w:pStyle w:val="AERbulletlistfirststyle"/>
      </w:pPr>
      <w:r>
        <w:t>incorrect reporting</w:t>
      </w:r>
    </w:p>
    <w:p w:rsidR="00E84B03" w:rsidRDefault="00E84B03" w:rsidP="00E84B03">
      <w:pPr>
        <w:pStyle w:val="AERbulletlistfirststyle"/>
      </w:pPr>
      <w:r>
        <w:t>inadvertent transposition</w:t>
      </w:r>
    </w:p>
    <w:p w:rsidR="00E84B03" w:rsidRDefault="00E84B03" w:rsidP="00E84B03">
      <w:pPr>
        <w:pStyle w:val="AERbulletlistfirststyle"/>
      </w:pPr>
      <w:r>
        <w:t xml:space="preserve">different data sets being used for the purposes of completing the </w:t>
      </w:r>
      <w:r w:rsidR="00A213DD">
        <w:t>access arrangement</w:t>
      </w:r>
      <w:r>
        <w:t xml:space="preserve"> RIN (billing data from JAM’s SAP system) and the unit rate model (operational data from JAM’s GASS system)</w:t>
      </w:r>
    </w:p>
    <w:p w:rsidR="00E84B03" w:rsidRPr="00DE6225" w:rsidRDefault="00E84B03" w:rsidP="00E84B03">
      <w:pPr>
        <w:pStyle w:val="AERbulletlistfirststyle"/>
      </w:pPr>
      <w:proofErr w:type="gramStart"/>
      <w:r>
        <w:t>exclusion</w:t>
      </w:r>
      <w:proofErr w:type="gramEnd"/>
      <w:r>
        <w:t xml:space="preserve"> of some data due to work codes no</w:t>
      </w:r>
      <w:r w:rsidR="00A213DD">
        <w:t xml:space="preserve"> </w:t>
      </w:r>
      <w:r>
        <w:t>longer being valid.</w:t>
      </w:r>
    </w:p>
    <w:p w:rsidR="00E84B03" w:rsidRDefault="00E84B03" w:rsidP="00E84B03">
      <w:r>
        <w:t xml:space="preserve">We do not consider the data errors to be minor. We consider that data from the same data set should be used to populate the </w:t>
      </w:r>
      <w:r w:rsidR="00A213DD">
        <w:t>access arrangement</w:t>
      </w:r>
      <w:r>
        <w:t xml:space="preserve"> RIN and the unit rate model. This is to ensure consistency of both volumes and expenditure. We do not consider that data should be excluded because of a change in where data is captured within the accounting system. </w:t>
      </w:r>
    </w:p>
    <w:p w:rsidR="00E84B03" w:rsidRDefault="00E84B03" w:rsidP="00E84B03">
      <w:r>
        <w:t xml:space="preserve">There were still material reconciliation issues between </w:t>
      </w:r>
      <w:proofErr w:type="spellStart"/>
      <w:r>
        <w:t>ActewAGL’s</w:t>
      </w:r>
      <w:proofErr w:type="spellEnd"/>
      <w:r>
        <w:t xml:space="preserve"> resubmitted </w:t>
      </w:r>
      <w:r w:rsidR="00A213DD">
        <w:t>access arrangement</w:t>
      </w:r>
      <w:r>
        <w:t xml:space="preserve"> RIN and the unit rate model (see </w:t>
      </w:r>
      <w:r w:rsidR="0061777C">
        <w:fldChar w:fldCharType="begin"/>
      </w:r>
      <w:r w:rsidR="0061777C">
        <w:instrText xml:space="preserve"> REF _Ref435522877 \h </w:instrText>
      </w:r>
      <w:r w:rsidR="0061777C">
        <w:fldChar w:fldCharType="separate"/>
      </w:r>
      <w:r w:rsidR="0061777C">
        <w:t xml:space="preserve">Table </w:t>
      </w:r>
      <w:r w:rsidR="0061777C">
        <w:rPr>
          <w:noProof/>
        </w:rPr>
        <w:t>6</w:t>
      </w:r>
      <w:r w:rsidR="0061777C">
        <w:t>.</w:t>
      </w:r>
      <w:r w:rsidR="0061777C">
        <w:rPr>
          <w:noProof/>
        </w:rPr>
        <w:t>13</w:t>
      </w:r>
      <w:r w:rsidR="0061777C">
        <w:fldChar w:fldCharType="end"/>
      </w:r>
      <w:r w:rsidR="0061777C">
        <w:t xml:space="preserve">, </w:t>
      </w:r>
      <w:r w:rsidR="0061777C">
        <w:fldChar w:fldCharType="begin"/>
      </w:r>
      <w:r w:rsidR="0061777C">
        <w:instrText xml:space="preserve"> REF _Ref435522870 \h </w:instrText>
      </w:r>
      <w:r w:rsidR="0061777C">
        <w:fldChar w:fldCharType="separate"/>
      </w:r>
      <w:r w:rsidR="0061777C">
        <w:t xml:space="preserve">Table </w:t>
      </w:r>
      <w:r w:rsidR="0061777C">
        <w:rPr>
          <w:noProof/>
        </w:rPr>
        <w:t>6</w:t>
      </w:r>
      <w:r w:rsidR="0061777C">
        <w:t>.</w:t>
      </w:r>
      <w:r w:rsidR="0061777C">
        <w:rPr>
          <w:noProof/>
        </w:rPr>
        <w:t>14</w:t>
      </w:r>
      <w:r w:rsidR="0061777C">
        <w:fldChar w:fldCharType="end"/>
      </w:r>
      <w:r>
        <w:t xml:space="preserve"> </w:t>
      </w:r>
      <w:r w:rsidR="0061777C">
        <w:t>and</w:t>
      </w:r>
      <w:r>
        <w:t xml:space="preserve"> </w:t>
      </w:r>
      <w:r w:rsidR="0061777C">
        <w:fldChar w:fldCharType="begin"/>
      </w:r>
      <w:r w:rsidR="0061777C">
        <w:instrText xml:space="preserve"> REF _Ref435522882 \h </w:instrText>
      </w:r>
      <w:r w:rsidR="0061777C">
        <w:fldChar w:fldCharType="separate"/>
      </w:r>
      <w:r w:rsidR="0061777C">
        <w:t xml:space="preserve">Table </w:t>
      </w:r>
      <w:r w:rsidR="0061777C">
        <w:rPr>
          <w:noProof/>
        </w:rPr>
        <w:t>6</w:t>
      </w:r>
      <w:r w:rsidR="0061777C">
        <w:t>.</w:t>
      </w:r>
      <w:r w:rsidR="0061777C">
        <w:rPr>
          <w:noProof/>
        </w:rPr>
        <w:t>15</w:t>
      </w:r>
      <w:r w:rsidR="0061777C">
        <w:fldChar w:fldCharType="end"/>
      </w:r>
      <w:r>
        <w:t>).</w:t>
      </w:r>
    </w:p>
    <w:p w:rsidR="00E84B03" w:rsidRDefault="00E84B03" w:rsidP="0061777C">
      <w:pPr>
        <w:pStyle w:val="Caption"/>
      </w:pPr>
      <w:bookmarkStart w:id="72" w:name="_Ref435522877"/>
      <w:bookmarkStart w:id="73" w:name="_Ref432873243"/>
      <w:proofErr w:type="gramStart"/>
      <w:r>
        <w:t xml:space="preserve">Table </w:t>
      </w:r>
      <w:proofErr w:type="gramEnd"/>
      <w:r w:rsidR="004C5F88">
        <w:fldChar w:fldCharType="begin"/>
      </w:r>
      <w:r w:rsidR="004C5F88">
        <w:instrText xml:space="preserve"> STYLEREF 1 \s </w:instrText>
      </w:r>
      <w:r w:rsidR="004C5F88">
        <w:fldChar w:fldCharType="separate"/>
      </w:r>
      <w:r w:rsidR="00EE4EAF">
        <w:rPr>
          <w:noProof/>
        </w:rPr>
        <w:t>6</w:t>
      </w:r>
      <w:r w:rsidR="004C5F88">
        <w:rPr>
          <w:noProof/>
        </w:rPr>
        <w:fldChar w:fldCharType="end"/>
      </w:r>
      <w:proofErr w:type="gramStart"/>
      <w:r w:rsidR="0061777C">
        <w:t>.</w:t>
      </w:r>
      <w:proofErr w:type="gramEnd"/>
      <w:r w:rsidR="004C5F88">
        <w:fldChar w:fldCharType="begin"/>
      </w:r>
      <w:r w:rsidR="004C5F88">
        <w:instrText xml:space="preserve"> SEQ Table \* ARABIC \s 1 </w:instrText>
      </w:r>
      <w:r w:rsidR="004C5F88">
        <w:fldChar w:fldCharType="separate"/>
      </w:r>
      <w:r w:rsidR="00EE4EAF">
        <w:rPr>
          <w:noProof/>
        </w:rPr>
        <w:t>13</w:t>
      </w:r>
      <w:r w:rsidR="004C5F88">
        <w:rPr>
          <w:noProof/>
        </w:rPr>
        <w:fldChar w:fldCharType="end"/>
      </w:r>
      <w:bookmarkEnd w:id="72"/>
      <w:bookmarkEnd w:id="73"/>
      <w:r>
        <w:tab/>
        <w:t>Difference between service numbers in the resubmitted</w:t>
      </w:r>
      <w:r w:rsidR="00A213DD">
        <w:t xml:space="preserve"> access arrangement </w:t>
      </w:r>
      <w:r>
        <w:t>RIN and unit rate model</w:t>
      </w:r>
    </w:p>
    <w:tbl>
      <w:tblPr>
        <w:tblStyle w:val="AERtable-numbers"/>
        <w:tblW w:w="0" w:type="auto"/>
        <w:tblLook w:val="04A0" w:firstRow="1" w:lastRow="0" w:firstColumn="1" w:lastColumn="0" w:noHBand="0" w:noVBand="1"/>
      </w:tblPr>
      <w:tblGrid>
        <w:gridCol w:w="1241"/>
        <w:gridCol w:w="1242"/>
        <w:gridCol w:w="1242"/>
        <w:gridCol w:w="1242"/>
        <w:gridCol w:w="1242"/>
        <w:gridCol w:w="1242"/>
        <w:gridCol w:w="1242"/>
      </w:tblGrid>
      <w:tr w:rsidR="00E84B03" w:rsidTr="008905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E84B03" w:rsidRDefault="00E84B03" w:rsidP="00E834E1">
            <w:pPr>
              <w:keepNext/>
            </w:pPr>
            <w:r>
              <w:t>Connection type</w:t>
            </w:r>
          </w:p>
        </w:tc>
        <w:tc>
          <w:tcPr>
            <w:tcW w:w="1242" w:type="dxa"/>
          </w:tcPr>
          <w:p w:rsidR="00E84B03" w:rsidRDefault="00E84B03" w:rsidP="00E834E1">
            <w:pPr>
              <w:keepNext/>
              <w:cnfStyle w:val="100000000000" w:firstRow="1" w:lastRow="0" w:firstColumn="0" w:lastColumn="0" w:oddVBand="0" w:evenVBand="0" w:oddHBand="0" w:evenHBand="0" w:firstRowFirstColumn="0" w:firstRowLastColumn="0" w:lastRowFirstColumn="0" w:lastRowLastColumn="0"/>
            </w:pPr>
            <w:r>
              <w:t>WBS accounting code prefix</w:t>
            </w:r>
          </w:p>
        </w:tc>
        <w:tc>
          <w:tcPr>
            <w:tcW w:w="1242" w:type="dxa"/>
            <w:vAlign w:val="top"/>
          </w:tcPr>
          <w:p w:rsidR="00E84B03" w:rsidRPr="00BA11E1" w:rsidRDefault="00E84B03" w:rsidP="00E834E1">
            <w:pPr>
              <w:keepNext/>
              <w:cnfStyle w:val="100000000000" w:firstRow="1" w:lastRow="0" w:firstColumn="0" w:lastColumn="0" w:oddVBand="0" w:evenVBand="0" w:oddHBand="0" w:evenHBand="0" w:firstRowFirstColumn="0" w:firstRowLastColumn="0" w:lastRowFirstColumn="0" w:lastRowLastColumn="0"/>
            </w:pPr>
            <w:r w:rsidRPr="00BA11E1">
              <w:t xml:space="preserve"> FY11 </w:t>
            </w:r>
          </w:p>
        </w:tc>
        <w:tc>
          <w:tcPr>
            <w:tcW w:w="1242" w:type="dxa"/>
            <w:vAlign w:val="top"/>
          </w:tcPr>
          <w:p w:rsidR="00E84B03" w:rsidRPr="00BA11E1" w:rsidRDefault="00E84B03" w:rsidP="00E834E1">
            <w:pPr>
              <w:keepNext/>
              <w:cnfStyle w:val="100000000000" w:firstRow="1" w:lastRow="0" w:firstColumn="0" w:lastColumn="0" w:oddVBand="0" w:evenVBand="0" w:oddHBand="0" w:evenHBand="0" w:firstRowFirstColumn="0" w:firstRowLastColumn="0" w:lastRowFirstColumn="0" w:lastRowLastColumn="0"/>
            </w:pPr>
            <w:r w:rsidRPr="00BA11E1">
              <w:t xml:space="preserve"> FY12 </w:t>
            </w:r>
          </w:p>
        </w:tc>
        <w:tc>
          <w:tcPr>
            <w:tcW w:w="1242" w:type="dxa"/>
            <w:vAlign w:val="top"/>
          </w:tcPr>
          <w:p w:rsidR="00E84B03" w:rsidRPr="00BA11E1" w:rsidRDefault="00E84B03" w:rsidP="00E834E1">
            <w:pPr>
              <w:keepNext/>
              <w:cnfStyle w:val="100000000000" w:firstRow="1" w:lastRow="0" w:firstColumn="0" w:lastColumn="0" w:oddVBand="0" w:evenVBand="0" w:oddHBand="0" w:evenHBand="0" w:firstRowFirstColumn="0" w:firstRowLastColumn="0" w:lastRowFirstColumn="0" w:lastRowLastColumn="0"/>
            </w:pPr>
            <w:r w:rsidRPr="00BA11E1">
              <w:t xml:space="preserve"> FY13 </w:t>
            </w:r>
          </w:p>
        </w:tc>
        <w:tc>
          <w:tcPr>
            <w:tcW w:w="1242" w:type="dxa"/>
            <w:vAlign w:val="top"/>
          </w:tcPr>
          <w:p w:rsidR="00E84B03" w:rsidRPr="00BA11E1" w:rsidRDefault="00E84B03" w:rsidP="00E834E1">
            <w:pPr>
              <w:keepNext/>
              <w:cnfStyle w:val="100000000000" w:firstRow="1" w:lastRow="0" w:firstColumn="0" w:lastColumn="0" w:oddVBand="0" w:evenVBand="0" w:oddHBand="0" w:evenHBand="0" w:firstRowFirstColumn="0" w:firstRowLastColumn="0" w:lastRowFirstColumn="0" w:lastRowLastColumn="0"/>
            </w:pPr>
            <w:r w:rsidRPr="00BA11E1">
              <w:t xml:space="preserve"> FY14 </w:t>
            </w:r>
          </w:p>
        </w:tc>
        <w:tc>
          <w:tcPr>
            <w:tcW w:w="1242" w:type="dxa"/>
            <w:vAlign w:val="top"/>
          </w:tcPr>
          <w:p w:rsidR="00E84B03" w:rsidRDefault="00E84B03" w:rsidP="00E834E1">
            <w:pPr>
              <w:keepNext/>
              <w:cnfStyle w:val="100000000000" w:firstRow="1" w:lastRow="0" w:firstColumn="0" w:lastColumn="0" w:oddVBand="0" w:evenVBand="0" w:oddHBand="0" w:evenHBand="0" w:firstRowFirstColumn="0" w:firstRowLastColumn="0" w:lastRowFirstColumn="0" w:lastRowLastColumn="0"/>
            </w:pPr>
            <w:r>
              <w:t>T</w:t>
            </w:r>
            <w:r w:rsidRPr="00BA11E1">
              <w:t xml:space="preserve">otal </w:t>
            </w:r>
          </w:p>
        </w:tc>
      </w:tr>
      <w:tr w:rsidR="00E84B03" w:rsidTr="00890504">
        <w:tc>
          <w:tcPr>
            <w:cnfStyle w:val="001000000000" w:firstRow="0" w:lastRow="0" w:firstColumn="1" w:lastColumn="0" w:oddVBand="0" w:evenVBand="0" w:oddHBand="0" w:evenHBand="0" w:firstRowFirstColumn="0" w:firstRowLastColumn="0" w:lastRowFirstColumn="0" w:lastRowLastColumn="0"/>
            <w:tcW w:w="1241" w:type="dxa"/>
            <w:vAlign w:val="top"/>
          </w:tcPr>
          <w:p w:rsidR="00E84B03" w:rsidRPr="00B04924" w:rsidRDefault="00E84B03" w:rsidP="00E834E1">
            <w:pPr>
              <w:keepNext/>
            </w:pPr>
            <w:r w:rsidRPr="00B04924">
              <w:t>Services E-G</w:t>
            </w:r>
          </w:p>
        </w:tc>
        <w:tc>
          <w:tcPr>
            <w:tcW w:w="1242" w:type="dxa"/>
            <w:vAlign w:val="top"/>
          </w:tcPr>
          <w:p w:rsidR="00E84B03" w:rsidRPr="00B04924" w:rsidRDefault="00E84B03" w:rsidP="00E834E1">
            <w:pPr>
              <w:keepNext/>
              <w:cnfStyle w:val="000000000000" w:firstRow="0" w:lastRow="0" w:firstColumn="0" w:lastColumn="0" w:oddVBand="0" w:evenVBand="0" w:oddHBand="0" w:evenHBand="0" w:firstRowFirstColumn="0" w:firstRowLastColumn="0" w:lastRowFirstColumn="0" w:lastRowLastColumn="0"/>
            </w:pPr>
            <w:r w:rsidRPr="00B04924">
              <w:t>400</w:t>
            </w:r>
          </w:p>
        </w:tc>
        <w:tc>
          <w:tcPr>
            <w:tcW w:w="1242" w:type="dxa"/>
            <w:vAlign w:val="top"/>
          </w:tcPr>
          <w:p w:rsidR="00E84B03" w:rsidRPr="002E2F40" w:rsidRDefault="00E84B03" w:rsidP="00E834E1">
            <w:pPr>
              <w:keepNext/>
              <w:cnfStyle w:val="000000000000" w:firstRow="0" w:lastRow="0" w:firstColumn="0" w:lastColumn="0" w:oddVBand="0" w:evenVBand="0" w:oddHBand="0" w:evenHBand="0" w:firstRowFirstColumn="0" w:firstRowLastColumn="0" w:lastRowFirstColumn="0" w:lastRowLastColumn="0"/>
            </w:pPr>
            <w:r w:rsidRPr="002E2F40">
              <w:t>33%</w:t>
            </w:r>
          </w:p>
        </w:tc>
        <w:tc>
          <w:tcPr>
            <w:tcW w:w="1242" w:type="dxa"/>
            <w:vAlign w:val="top"/>
          </w:tcPr>
          <w:p w:rsidR="00E84B03" w:rsidRPr="002E2F40" w:rsidRDefault="00E84B03" w:rsidP="00E834E1">
            <w:pPr>
              <w:keepNext/>
              <w:cnfStyle w:val="000000000000" w:firstRow="0" w:lastRow="0" w:firstColumn="0" w:lastColumn="0" w:oddVBand="0" w:evenVBand="0" w:oddHBand="0" w:evenHBand="0" w:firstRowFirstColumn="0" w:firstRowLastColumn="0" w:lastRowFirstColumn="0" w:lastRowLastColumn="0"/>
            </w:pPr>
            <w:r w:rsidRPr="002E2F40">
              <w:t>16%</w:t>
            </w:r>
          </w:p>
        </w:tc>
        <w:tc>
          <w:tcPr>
            <w:tcW w:w="1242" w:type="dxa"/>
            <w:vAlign w:val="top"/>
          </w:tcPr>
          <w:p w:rsidR="00E84B03" w:rsidRPr="002E2F40" w:rsidRDefault="00E84B03" w:rsidP="00E834E1">
            <w:pPr>
              <w:keepNext/>
              <w:cnfStyle w:val="000000000000" w:firstRow="0" w:lastRow="0" w:firstColumn="0" w:lastColumn="0" w:oddVBand="0" w:evenVBand="0" w:oddHBand="0" w:evenHBand="0" w:firstRowFirstColumn="0" w:firstRowLastColumn="0" w:lastRowFirstColumn="0" w:lastRowLastColumn="0"/>
            </w:pPr>
            <w:r w:rsidRPr="002E2F40">
              <w:t>2%</w:t>
            </w:r>
          </w:p>
        </w:tc>
        <w:tc>
          <w:tcPr>
            <w:tcW w:w="1242" w:type="dxa"/>
            <w:vAlign w:val="top"/>
          </w:tcPr>
          <w:p w:rsidR="00E84B03" w:rsidRPr="002E2F40" w:rsidRDefault="00E84B03" w:rsidP="00E834E1">
            <w:pPr>
              <w:keepNext/>
              <w:cnfStyle w:val="000000000000" w:firstRow="0" w:lastRow="0" w:firstColumn="0" w:lastColumn="0" w:oddVBand="0" w:evenVBand="0" w:oddHBand="0" w:evenHBand="0" w:firstRowFirstColumn="0" w:firstRowLastColumn="0" w:lastRowFirstColumn="0" w:lastRowLastColumn="0"/>
            </w:pPr>
            <w:r w:rsidRPr="002E2F40">
              <w:t>0%</w:t>
            </w:r>
          </w:p>
        </w:tc>
        <w:tc>
          <w:tcPr>
            <w:tcW w:w="1242" w:type="dxa"/>
            <w:vAlign w:val="top"/>
          </w:tcPr>
          <w:p w:rsidR="00E84B03" w:rsidRPr="002E2F40" w:rsidRDefault="00E84B03" w:rsidP="00E834E1">
            <w:pPr>
              <w:keepNext/>
              <w:cnfStyle w:val="000000000000" w:firstRow="0" w:lastRow="0" w:firstColumn="0" w:lastColumn="0" w:oddVBand="0" w:evenVBand="0" w:oddHBand="0" w:evenHBand="0" w:firstRowFirstColumn="0" w:firstRowLastColumn="0" w:lastRowFirstColumn="0" w:lastRowLastColumn="0"/>
            </w:pPr>
            <w:r w:rsidRPr="002E2F40">
              <w:t>13%</w:t>
            </w:r>
          </w:p>
        </w:tc>
      </w:tr>
      <w:tr w:rsidR="00E84B03" w:rsidTr="008905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vAlign w:val="top"/>
          </w:tcPr>
          <w:p w:rsidR="00E84B03" w:rsidRPr="00B04924" w:rsidRDefault="00E84B03" w:rsidP="00E834E1">
            <w:pPr>
              <w:keepNext/>
            </w:pPr>
            <w:r w:rsidRPr="00B04924">
              <w:t>Services New Homes</w:t>
            </w:r>
          </w:p>
        </w:tc>
        <w:tc>
          <w:tcPr>
            <w:tcW w:w="1242" w:type="dxa"/>
            <w:vAlign w:val="top"/>
          </w:tcPr>
          <w:p w:rsidR="00E84B03" w:rsidRPr="00B04924" w:rsidRDefault="00E84B03" w:rsidP="00E834E1">
            <w:pPr>
              <w:keepNext/>
              <w:cnfStyle w:val="000000010000" w:firstRow="0" w:lastRow="0" w:firstColumn="0" w:lastColumn="0" w:oddVBand="0" w:evenVBand="0" w:oddHBand="0" w:evenHBand="1" w:firstRowFirstColumn="0" w:firstRowLastColumn="0" w:lastRowFirstColumn="0" w:lastRowLastColumn="0"/>
            </w:pPr>
            <w:r w:rsidRPr="00B04924">
              <w:t>401</w:t>
            </w:r>
          </w:p>
        </w:tc>
        <w:tc>
          <w:tcPr>
            <w:tcW w:w="1242" w:type="dxa"/>
            <w:vAlign w:val="top"/>
          </w:tcPr>
          <w:p w:rsidR="00E84B03" w:rsidRPr="002E2F40" w:rsidRDefault="00E84B03" w:rsidP="00E834E1">
            <w:pPr>
              <w:keepNext/>
              <w:cnfStyle w:val="000000010000" w:firstRow="0" w:lastRow="0" w:firstColumn="0" w:lastColumn="0" w:oddVBand="0" w:evenVBand="0" w:oddHBand="0" w:evenHBand="1" w:firstRowFirstColumn="0" w:firstRowLastColumn="0" w:lastRowFirstColumn="0" w:lastRowLastColumn="0"/>
            </w:pPr>
            <w:r w:rsidRPr="002E2F40">
              <w:t>-1%</w:t>
            </w:r>
          </w:p>
        </w:tc>
        <w:tc>
          <w:tcPr>
            <w:tcW w:w="1242" w:type="dxa"/>
            <w:vAlign w:val="top"/>
          </w:tcPr>
          <w:p w:rsidR="00E84B03" w:rsidRPr="002E2F40" w:rsidRDefault="00E84B03" w:rsidP="00E834E1">
            <w:pPr>
              <w:keepNext/>
              <w:cnfStyle w:val="000000010000" w:firstRow="0" w:lastRow="0" w:firstColumn="0" w:lastColumn="0" w:oddVBand="0" w:evenVBand="0" w:oddHBand="0" w:evenHBand="1" w:firstRowFirstColumn="0" w:firstRowLastColumn="0" w:lastRowFirstColumn="0" w:lastRowLastColumn="0"/>
            </w:pPr>
            <w:r w:rsidRPr="002E2F40">
              <w:t>-3%</w:t>
            </w:r>
          </w:p>
        </w:tc>
        <w:tc>
          <w:tcPr>
            <w:tcW w:w="1242" w:type="dxa"/>
            <w:vAlign w:val="top"/>
          </w:tcPr>
          <w:p w:rsidR="00E84B03" w:rsidRPr="002E2F40" w:rsidRDefault="00E84B03" w:rsidP="00E834E1">
            <w:pPr>
              <w:keepNext/>
              <w:cnfStyle w:val="000000010000" w:firstRow="0" w:lastRow="0" w:firstColumn="0" w:lastColumn="0" w:oddVBand="0" w:evenVBand="0" w:oddHBand="0" w:evenHBand="1" w:firstRowFirstColumn="0" w:firstRowLastColumn="0" w:lastRowFirstColumn="0" w:lastRowLastColumn="0"/>
            </w:pPr>
            <w:r w:rsidRPr="002E2F40">
              <w:t>-1%</w:t>
            </w:r>
          </w:p>
        </w:tc>
        <w:tc>
          <w:tcPr>
            <w:tcW w:w="1242" w:type="dxa"/>
            <w:vAlign w:val="top"/>
          </w:tcPr>
          <w:p w:rsidR="00E84B03" w:rsidRPr="002E2F40" w:rsidRDefault="00E84B03" w:rsidP="00E834E1">
            <w:pPr>
              <w:keepNext/>
              <w:cnfStyle w:val="000000010000" w:firstRow="0" w:lastRow="0" w:firstColumn="0" w:lastColumn="0" w:oddVBand="0" w:evenVBand="0" w:oddHBand="0" w:evenHBand="1" w:firstRowFirstColumn="0" w:firstRowLastColumn="0" w:lastRowFirstColumn="0" w:lastRowLastColumn="0"/>
            </w:pPr>
            <w:r w:rsidRPr="002E2F40">
              <w:t>-1%</w:t>
            </w:r>
          </w:p>
        </w:tc>
        <w:tc>
          <w:tcPr>
            <w:tcW w:w="1242" w:type="dxa"/>
            <w:vAlign w:val="top"/>
          </w:tcPr>
          <w:p w:rsidR="00E84B03" w:rsidRPr="002E2F40" w:rsidRDefault="00E84B03" w:rsidP="00E834E1">
            <w:pPr>
              <w:keepNext/>
              <w:cnfStyle w:val="000000010000" w:firstRow="0" w:lastRow="0" w:firstColumn="0" w:lastColumn="0" w:oddVBand="0" w:evenVBand="0" w:oddHBand="0" w:evenHBand="1" w:firstRowFirstColumn="0" w:firstRowLastColumn="0" w:lastRowFirstColumn="0" w:lastRowLastColumn="0"/>
            </w:pPr>
            <w:r w:rsidRPr="002E2F40">
              <w:t>-1%</w:t>
            </w:r>
          </w:p>
        </w:tc>
      </w:tr>
      <w:tr w:rsidR="00E84B03" w:rsidTr="00890504">
        <w:tc>
          <w:tcPr>
            <w:cnfStyle w:val="001000000000" w:firstRow="0" w:lastRow="0" w:firstColumn="1" w:lastColumn="0" w:oddVBand="0" w:evenVBand="0" w:oddHBand="0" w:evenHBand="0" w:firstRowFirstColumn="0" w:firstRowLastColumn="0" w:lastRowFirstColumn="0" w:lastRowLastColumn="0"/>
            <w:tcW w:w="1241" w:type="dxa"/>
            <w:vAlign w:val="top"/>
          </w:tcPr>
          <w:p w:rsidR="00E84B03" w:rsidRPr="00B04924" w:rsidRDefault="00E84B03" w:rsidP="00890504">
            <w:r w:rsidRPr="00B04924">
              <w:t>Services I&amp;C</w:t>
            </w:r>
          </w:p>
        </w:tc>
        <w:tc>
          <w:tcPr>
            <w:tcW w:w="1242" w:type="dxa"/>
            <w:vAlign w:val="top"/>
          </w:tcPr>
          <w:p w:rsidR="00E84B03" w:rsidRPr="00B04924" w:rsidRDefault="00E84B03" w:rsidP="00890504">
            <w:pPr>
              <w:cnfStyle w:val="000000000000" w:firstRow="0" w:lastRow="0" w:firstColumn="0" w:lastColumn="0" w:oddVBand="0" w:evenVBand="0" w:oddHBand="0" w:evenHBand="0" w:firstRowFirstColumn="0" w:firstRowLastColumn="0" w:lastRowFirstColumn="0" w:lastRowLastColumn="0"/>
            </w:pPr>
            <w:r w:rsidRPr="00B04924">
              <w:t>403</w:t>
            </w:r>
          </w:p>
        </w:tc>
        <w:tc>
          <w:tcPr>
            <w:tcW w:w="1242" w:type="dxa"/>
            <w:vAlign w:val="top"/>
          </w:tcPr>
          <w:p w:rsidR="00E84B03" w:rsidRPr="00953C49" w:rsidRDefault="00E84B03" w:rsidP="00890504">
            <w:pPr>
              <w:cnfStyle w:val="000000000000" w:firstRow="0" w:lastRow="0" w:firstColumn="0" w:lastColumn="0" w:oddVBand="0" w:evenVBand="0" w:oddHBand="0" w:evenHBand="0" w:firstRowFirstColumn="0" w:firstRowLastColumn="0" w:lastRowFirstColumn="0" w:lastRowLastColumn="0"/>
            </w:pPr>
            <w:r w:rsidRPr="00953C49">
              <w:t>50%</w:t>
            </w:r>
          </w:p>
        </w:tc>
        <w:tc>
          <w:tcPr>
            <w:tcW w:w="1242" w:type="dxa"/>
            <w:vAlign w:val="top"/>
          </w:tcPr>
          <w:p w:rsidR="00E84B03" w:rsidRPr="00953C49" w:rsidRDefault="00E84B03" w:rsidP="00890504">
            <w:pPr>
              <w:cnfStyle w:val="000000000000" w:firstRow="0" w:lastRow="0" w:firstColumn="0" w:lastColumn="0" w:oddVBand="0" w:evenVBand="0" w:oddHBand="0" w:evenHBand="0" w:firstRowFirstColumn="0" w:firstRowLastColumn="0" w:lastRowFirstColumn="0" w:lastRowLastColumn="0"/>
            </w:pPr>
            <w:r w:rsidRPr="00953C49">
              <w:t>45%</w:t>
            </w:r>
          </w:p>
        </w:tc>
        <w:tc>
          <w:tcPr>
            <w:tcW w:w="1242" w:type="dxa"/>
            <w:vAlign w:val="top"/>
          </w:tcPr>
          <w:p w:rsidR="00E84B03" w:rsidRPr="00953C49" w:rsidRDefault="00E84B03" w:rsidP="00890504">
            <w:pPr>
              <w:cnfStyle w:val="000000000000" w:firstRow="0" w:lastRow="0" w:firstColumn="0" w:lastColumn="0" w:oddVBand="0" w:evenVBand="0" w:oddHBand="0" w:evenHBand="0" w:firstRowFirstColumn="0" w:firstRowLastColumn="0" w:lastRowFirstColumn="0" w:lastRowLastColumn="0"/>
            </w:pPr>
            <w:r w:rsidRPr="00953C49">
              <w:t>56%</w:t>
            </w:r>
          </w:p>
        </w:tc>
        <w:tc>
          <w:tcPr>
            <w:tcW w:w="1242" w:type="dxa"/>
            <w:vAlign w:val="top"/>
          </w:tcPr>
          <w:p w:rsidR="00E84B03" w:rsidRPr="00953C49" w:rsidRDefault="00E84B03" w:rsidP="00890504">
            <w:pPr>
              <w:cnfStyle w:val="000000000000" w:firstRow="0" w:lastRow="0" w:firstColumn="0" w:lastColumn="0" w:oddVBand="0" w:evenVBand="0" w:oddHBand="0" w:evenHBand="0" w:firstRowFirstColumn="0" w:firstRowLastColumn="0" w:lastRowFirstColumn="0" w:lastRowLastColumn="0"/>
            </w:pPr>
            <w:r w:rsidRPr="00953C49">
              <w:t>36%</w:t>
            </w:r>
          </w:p>
        </w:tc>
        <w:tc>
          <w:tcPr>
            <w:tcW w:w="1242" w:type="dxa"/>
            <w:vAlign w:val="top"/>
          </w:tcPr>
          <w:p w:rsidR="00E84B03" w:rsidRPr="00953C49" w:rsidRDefault="00E84B03" w:rsidP="00890504">
            <w:pPr>
              <w:cnfStyle w:val="000000000000" w:firstRow="0" w:lastRow="0" w:firstColumn="0" w:lastColumn="0" w:oddVBand="0" w:evenVBand="0" w:oddHBand="0" w:evenHBand="0" w:firstRowFirstColumn="0" w:firstRowLastColumn="0" w:lastRowFirstColumn="0" w:lastRowLastColumn="0"/>
            </w:pPr>
            <w:r w:rsidRPr="00953C49">
              <w:t>46%</w:t>
            </w:r>
          </w:p>
        </w:tc>
      </w:tr>
      <w:tr w:rsidR="00E84B03" w:rsidTr="008905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vAlign w:val="top"/>
          </w:tcPr>
          <w:p w:rsidR="00E84B03" w:rsidRPr="00B04924" w:rsidRDefault="00E84B03" w:rsidP="00890504">
            <w:r w:rsidRPr="00B04924">
              <w:t>Services MD/HR</w:t>
            </w:r>
          </w:p>
        </w:tc>
        <w:tc>
          <w:tcPr>
            <w:tcW w:w="1242" w:type="dxa"/>
            <w:vAlign w:val="top"/>
          </w:tcPr>
          <w:p w:rsidR="00E84B03" w:rsidRDefault="00E84B03" w:rsidP="00890504">
            <w:pPr>
              <w:cnfStyle w:val="000000010000" w:firstRow="0" w:lastRow="0" w:firstColumn="0" w:lastColumn="0" w:oddVBand="0" w:evenVBand="0" w:oddHBand="0" w:evenHBand="1" w:firstRowFirstColumn="0" w:firstRowLastColumn="0" w:lastRowFirstColumn="0" w:lastRowLastColumn="0"/>
            </w:pPr>
            <w:r w:rsidRPr="00B04924">
              <w:t>404</w:t>
            </w:r>
          </w:p>
        </w:tc>
        <w:tc>
          <w:tcPr>
            <w:tcW w:w="1242" w:type="dxa"/>
            <w:vAlign w:val="top"/>
          </w:tcPr>
          <w:p w:rsidR="00E84B03" w:rsidRPr="00953C49" w:rsidRDefault="00E84B03" w:rsidP="00890504">
            <w:pPr>
              <w:cnfStyle w:val="000000010000" w:firstRow="0" w:lastRow="0" w:firstColumn="0" w:lastColumn="0" w:oddVBand="0" w:evenVBand="0" w:oddHBand="0" w:evenHBand="1" w:firstRowFirstColumn="0" w:firstRowLastColumn="0" w:lastRowFirstColumn="0" w:lastRowLastColumn="0"/>
            </w:pPr>
            <w:r w:rsidRPr="00953C49">
              <w:t>-11%</w:t>
            </w:r>
          </w:p>
        </w:tc>
        <w:tc>
          <w:tcPr>
            <w:tcW w:w="1242" w:type="dxa"/>
            <w:vAlign w:val="top"/>
          </w:tcPr>
          <w:p w:rsidR="00E84B03" w:rsidRPr="00953C49" w:rsidRDefault="00E84B03" w:rsidP="00890504">
            <w:pPr>
              <w:cnfStyle w:val="000000010000" w:firstRow="0" w:lastRow="0" w:firstColumn="0" w:lastColumn="0" w:oddVBand="0" w:evenVBand="0" w:oddHBand="0" w:evenHBand="1" w:firstRowFirstColumn="0" w:firstRowLastColumn="0" w:lastRowFirstColumn="0" w:lastRowLastColumn="0"/>
            </w:pPr>
            <w:r w:rsidRPr="00953C49">
              <w:t>-1%</w:t>
            </w:r>
          </w:p>
        </w:tc>
        <w:tc>
          <w:tcPr>
            <w:tcW w:w="1242" w:type="dxa"/>
            <w:vAlign w:val="top"/>
          </w:tcPr>
          <w:p w:rsidR="00E84B03" w:rsidRPr="00953C49" w:rsidRDefault="00E84B03" w:rsidP="00890504">
            <w:pPr>
              <w:cnfStyle w:val="000000010000" w:firstRow="0" w:lastRow="0" w:firstColumn="0" w:lastColumn="0" w:oddVBand="0" w:evenVBand="0" w:oddHBand="0" w:evenHBand="1" w:firstRowFirstColumn="0" w:firstRowLastColumn="0" w:lastRowFirstColumn="0" w:lastRowLastColumn="0"/>
            </w:pPr>
            <w:r w:rsidRPr="00953C49">
              <w:t>-6%</w:t>
            </w:r>
          </w:p>
        </w:tc>
        <w:tc>
          <w:tcPr>
            <w:tcW w:w="1242" w:type="dxa"/>
            <w:vAlign w:val="top"/>
          </w:tcPr>
          <w:p w:rsidR="00E84B03" w:rsidRPr="00953C49" w:rsidRDefault="00E84B03" w:rsidP="00890504">
            <w:pPr>
              <w:cnfStyle w:val="000000010000" w:firstRow="0" w:lastRow="0" w:firstColumn="0" w:lastColumn="0" w:oddVBand="0" w:evenVBand="0" w:oddHBand="0" w:evenHBand="1" w:firstRowFirstColumn="0" w:firstRowLastColumn="0" w:lastRowFirstColumn="0" w:lastRowLastColumn="0"/>
            </w:pPr>
            <w:r w:rsidRPr="00953C49">
              <w:t>6%</w:t>
            </w:r>
          </w:p>
        </w:tc>
        <w:tc>
          <w:tcPr>
            <w:tcW w:w="1242" w:type="dxa"/>
            <w:vAlign w:val="top"/>
          </w:tcPr>
          <w:p w:rsidR="00E84B03" w:rsidRDefault="00E84B03" w:rsidP="00890504">
            <w:pPr>
              <w:cnfStyle w:val="000000010000" w:firstRow="0" w:lastRow="0" w:firstColumn="0" w:lastColumn="0" w:oddVBand="0" w:evenVBand="0" w:oddHBand="0" w:evenHBand="1" w:firstRowFirstColumn="0" w:firstRowLastColumn="0" w:lastRowFirstColumn="0" w:lastRowLastColumn="0"/>
            </w:pPr>
            <w:r w:rsidRPr="00953C49">
              <w:t>-3%</w:t>
            </w:r>
          </w:p>
        </w:tc>
      </w:tr>
    </w:tbl>
    <w:p w:rsidR="00E84B03" w:rsidRDefault="00E84B03" w:rsidP="00E84B03">
      <w:pPr>
        <w:pStyle w:val="AERtablesource"/>
      </w:pPr>
      <w:r>
        <w:t xml:space="preserve">Source: </w:t>
      </w:r>
      <w:r w:rsidR="00496223">
        <w:tab/>
      </w:r>
      <w:r>
        <w:t>AER analysis</w:t>
      </w:r>
      <w:r w:rsidR="0061777C">
        <w:t>.</w:t>
      </w:r>
      <w:r>
        <w:t xml:space="preserve"> </w:t>
      </w:r>
    </w:p>
    <w:p w:rsidR="00E84B03" w:rsidRDefault="00E84B03" w:rsidP="00E84B03">
      <w:pPr>
        <w:pStyle w:val="Caption"/>
      </w:pPr>
      <w:bookmarkStart w:id="74" w:name="_Ref435522870"/>
      <w:proofErr w:type="gramStart"/>
      <w:r>
        <w:t xml:space="preserve">Table </w:t>
      </w:r>
      <w:proofErr w:type="gramEnd"/>
      <w:r w:rsidR="004C5F88">
        <w:fldChar w:fldCharType="begin"/>
      </w:r>
      <w:r w:rsidR="004C5F88">
        <w:instrText xml:space="preserve"> STYLEREF 1 \s </w:instrText>
      </w:r>
      <w:r w:rsidR="004C5F88">
        <w:fldChar w:fldCharType="separate"/>
      </w:r>
      <w:r w:rsidR="00EE4EAF">
        <w:rPr>
          <w:noProof/>
        </w:rPr>
        <w:t>6</w:t>
      </w:r>
      <w:r w:rsidR="004C5F88">
        <w:rPr>
          <w:noProof/>
        </w:rPr>
        <w:fldChar w:fldCharType="end"/>
      </w:r>
      <w:proofErr w:type="gramStart"/>
      <w:r w:rsidR="0061777C">
        <w:t>.</w:t>
      </w:r>
      <w:proofErr w:type="gramEnd"/>
      <w:r w:rsidR="004C5F88">
        <w:fldChar w:fldCharType="begin"/>
      </w:r>
      <w:r w:rsidR="004C5F88">
        <w:instrText xml:space="preserve"> SEQ Table \* ARABIC \s 1 </w:instrText>
      </w:r>
      <w:r w:rsidR="004C5F88">
        <w:fldChar w:fldCharType="separate"/>
      </w:r>
      <w:r w:rsidR="00EE4EAF">
        <w:rPr>
          <w:noProof/>
        </w:rPr>
        <w:t>14</w:t>
      </w:r>
      <w:r w:rsidR="004C5F88">
        <w:rPr>
          <w:noProof/>
        </w:rPr>
        <w:fldChar w:fldCharType="end"/>
      </w:r>
      <w:bookmarkEnd w:id="74"/>
      <w:r>
        <w:tab/>
        <w:t xml:space="preserve">Difference between mains numbers in the resubmitted </w:t>
      </w:r>
      <w:r w:rsidR="00A213DD">
        <w:t>access arrangement</w:t>
      </w:r>
      <w:r>
        <w:t xml:space="preserve"> RIN and unit rate model</w:t>
      </w:r>
    </w:p>
    <w:tbl>
      <w:tblPr>
        <w:tblStyle w:val="AERtable-numbers"/>
        <w:tblW w:w="0" w:type="auto"/>
        <w:tblLook w:val="04A0" w:firstRow="1" w:lastRow="0" w:firstColumn="1" w:lastColumn="0" w:noHBand="0" w:noVBand="1"/>
      </w:tblPr>
      <w:tblGrid>
        <w:gridCol w:w="1241"/>
        <w:gridCol w:w="1242"/>
        <w:gridCol w:w="1242"/>
        <w:gridCol w:w="1242"/>
        <w:gridCol w:w="1242"/>
        <w:gridCol w:w="1242"/>
        <w:gridCol w:w="1242"/>
      </w:tblGrid>
      <w:tr w:rsidR="00E84B03" w:rsidTr="008905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E84B03" w:rsidRDefault="00E84B03" w:rsidP="00890504">
            <w:r>
              <w:t>Connection type</w:t>
            </w:r>
          </w:p>
        </w:tc>
        <w:tc>
          <w:tcPr>
            <w:tcW w:w="1242" w:type="dxa"/>
          </w:tcPr>
          <w:p w:rsidR="00E84B03" w:rsidRDefault="00E84B03" w:rsidP="00890504">
            <w:pPr>
              <w:cnfStyle w:val="100000000000" w:firstRow="1" w:lastRow="0" w:firstColumn="0" w:lastColumn="0" w:oddVBand="0" w:evenVBand="0" w:oddHBand="0" w:evenHBand="0" w:firstRowFirstColumn="0" w:firstRowLastColumn="0" w:lastRowFirstColumn="0" w:lastRowLastColumn="0"/>
            </w:pPr>
            <w:r>
              <w:t>WBS accounting code prefix</w:t>
            </w:r>
          </w:p>
        </w:tc>
        <w:tc>
          <w:tcPr>
            <w:tcW w:w="1242" w:type="dxa"/>
            <w:vAlign w:val="top"/>
          </w:tcPr>
          <w:p w:rsidR="00E84B03" w:rsidRPr="00BA11E1" w:rsidRDefault="00E84B03" w:rsidP="00890504">
            <w:pPr>
              <w:cnfStyle w:val="100000000000" w:firstRow="1" w:lastRow="0" w:firstColumn="0" w:lastColumn="0" w:oddVBand="0" w:evenVBand="0" w:oddHBand="0" w:evenHBand="0" w:firstRowFirstColumn="0" w:firstRowLastColumn="0" w:lastRowFirstColumn="0" w:lastRowLastColumn="0"/>
            </w:pPr>
            <w:r w:rsidRPr="00BA11E1">
              <w:t xml:space="preserve"> FY11 </w:t>
            </w:r>
          </w:p>
        </w:tc>
        <w:tc>
          <w:tcPr>
            <w:tcW w:w="1242" w:type="dxa"/>
            <w:vAlign w:val="top"/>
          </w:tcPr>
          <w:p w:rsidR="00E84B03" w:rsidRPr="00BA11E1" w:rsidRDefault="00E84B03" w:rsidP="00890504">
            <w:pPr>
              <w:cnfStyle w:val="100000000000" w:firstRow="1" w:lastRow="0" w:firstColumn="0" w:lastColumn="0" w:oddVBand="0" w:evenVBand="0" w:oddHBand="0" w:evenHBand="0" w:firstRowFirstColumn="0" w:firstRowLastColumn="0" w:lastRowFirstColumn="0" w:lastRowLastColumn="0"/>
            </w:pPr>
            <w:r w:rsidRPr="00BA11E1">
              <w:t xml:space="preserve"> FY12 </w:t>
            </w:r>
          </w:p>
        </w:tc>
        <w:tc>
          <w:tcPr>
            <w:tcW w:w="1242" w:type="dxa"/>
            <w:vAlign w:val="top"/>
          </w:tcPr>
          <w:p w:rsidR="00E84B03" w:rsidRPr="00BA11E1" w:rsidRDefault="00E84B03" w:rsidP="00890504">
            <w:pPr>
              <w:cnfStyle w:val="100000000000" w:firstRow="1" w:lastRow="0" w:firstColumn="0" w:lastColumn="0" w:oddVBand="0" w:evenVBand="0" w:oddHBand="0" w:evenHBand="0" w:firstRowFirstColumn="0" w:firstRowLastColumn="0" w:lastRowFirstColumn="0" w:lastRowLastColumn="0"/>
            </w:pPr>
            <w:r w:rsidRPr="00BA11E1">
              <w:t xml:space="preserve"> FY13 </w:t>
            </w:r>
          </w:p>
        </w:tc>
        <w:tc>
          <w:tcPr>
            <w:tcW w:w="1242" w:type="dxa"/>
            <w:vAlign w:val="top"/>
          </w:tcPr>
          <w:p w:rsidR="00E84B03" w:rsidRPr="00BA11E1" w:rsidRDefault="00E84B03" w:rsidP="00890504">
            <w:pPr>
              <w:cnfStyle w:val="100000000000" w:firstRow="1" w:lastRow="0" w:firstColumn="0" w:lastColumn="0" w:oddVBand="0" w:evenVBand="0" w:oddHBand="0" w:evenHBand="0" w:firstRowFirstColumn="0" w:firstRowLastColumn="0" w:lastRowFirstColumn="0" w:lastRowLastColumn="0"/>
            </w:pPr>
            <w:r w:rsidRPr="00BA11E1">
              <w:t xml:space="preserve"> FY14 </w:t>
            </w:r>
          </w:p>
        </w:tc>
        <w:tc>
          <w:tcPr>
            <w:tcW w:w="1242" w:type="dxa"/>
            <w:vAlign w:val="top"/>
          </w:tcPr>
          <w:p w:rsidR="00E84B03" w:rsidRDefault="00E84B03" w:rsidP="00890504">
            <w:pPr>
              <w:cnfStyle w:val="100000000000" w:firstRow="1" w:lastRow="0" w:firstColumn="0" w:lastColumn="0" w:oddVBand="0" w:evenVBand="0" w:oddHBand="0" w:evenHBand="0" w:firstRowFirstColumn="0" w:firstRowLastColumn="0" w:lastRowFirstColumn="0" w:lastRowLastColumn="0"/>
            </w:pPr>
            <w:r>
              <w:t>T</w:t>
            </w:r>
            <w:r w:rsidRPr="00BA11E1">
              <w:t xml:space="preserve">otal </w:t>
            </w:r>
          </w:p>
        </w:tc>
      </w:tr>
      <w:tr w:rsidR="00E84B03" w:rsidTr="00890504">
        <w:tc>
          <w:tcPr>
            <w:cnfStyle w:val="001000000000" w:firstRow="0" w:lastRow="0" w:firstColumn="1" w:lastColumn="0" w:oddVBand="0" w:evenVBand="0" w:oddHBand="0" w:evenHBand="0" w:firstRowFirstColumn="0" w:firstRowLastColumn="0" w:lastRowFirstColumn="0" w:lastRowLastColumn="0"/>
            <w:tcW w:w="1241" w:type="dxa"/>
            <w:vAlign w:val="top"/>
          </w:tcPr>
          <w:p w:rsidR="00E84B03" w:rsidRPr="006D00CB" w:rsidRDefault="00E84B03" w:rsidP="00890504">
            <w:r w:rsidRPr="006D00CB">
              <w:t xml:space="preserve">Mains E-G </w:t>
            </w:r>
          </w:p>
        </w:tc>
        <w:tc>
          <w:tcPr>
            <w:tcW w:w="1242" w:type="dxa"/>
            <w:vAlign w:val="top"/>
          </w:tcPr>
          <w:p w:rsidR="00E84B03" w:rsidRPr="006D00CB" w:rsidRDefault="00E84B03" w:rsidP="00890504">
            <w:pPr>
              <w:cnfStyle w:val="000000000000" w:firstRow="0" w:lastRow="0" w:firstColumn="0" w:lastColumn="0" w:oddVBand="0" w:evenVBand="0" w:oddHBand="0" w:evenHBand="0" w:firstRowFirstColumn="0" w:firstRowLastColumn="0" w:lastRowFirstColumn="0" w:lastRowLastColumn="0"/>
            </w:pPr>
            <w:r w:rsidRPr="006D00CB">
              <w:t xml:space="preserve"> 406 </w:t>
            </w:r>
          </w:p>
        </w:tc>
        <w:tc>
          <w:tcPr>
            <w:tcW w:w="1242" w:type="dxa"/>
            <w:vAlign w:val="top"/>
          </w:tcPr>
          <w:p w:rsidR="00E84B03" w:rsidRPr="0088354A" w:rsidRDefault="00E84B03" w:rsidP="00890504">
            <w:pPr>
              <w:cnfStyle w:val="000000000000" w:firstRow="0" w:lastRow="0" w:firstColumn="0" w:lastColumn="0" w:oddVBand="0" w:evenVBand="0" w:oddHBand="0" w:evenHBand="0" w:firstRowFirstColumn="0" w:firstRowLastColumn="0" w:lastRowFirstColumn="0" w:lastRowLastColumn="0"/>
            </w:pPr>
            <w:r w:rsidRPr="0088354A">
              <w:t>379%</w:t>
            </w:r>
          </w:p>
        </w:tc>
        <w:tc>
          <w:tcPr>
            <w:tcW w:w="1242" w:type="dxa"/>
            <w:vAlign w:val="top"/>
          </w:tcPr>
          <w:p w:rsidR="00E84B03" w:rsidRPr="0088354A" w:rsidRDefault="00E84B03" w:rsidP="00890504">
            <w:pPr>
              <w:cnfStyle w:val="000000000000" w:firstRow="0" w:lastRow="0" w:firstColumn="0" w:lastColumn="0" w:oddVBand="0" w:evenVBand="0" w:oddHBand="0" w:evenHBand="0" w:firstRowFirstColumn="0" w:firstRowLastColumn="0" w:lastRowFirstColumn="0" w:lastRowLastColumn="0"/>
            </w:pPr>
            <w:r w:rsidRPr="0088354A">
              <w:t>-94%</w:t>
            </w:r>
          </w:p>
        </w:tc>
        <w:tc>
          <w:tcPr>
            <w:tcW w:w="1242" w:type="dxa"/>
            <w:vAlign w:val="top"/>
          </w:tcPr>
          <w:p w:rsidR="00E84B03" w:rsidRPr="0088354A" w:rsidRDefault="00E84B03" w:rsidP="00890504">
            <w:pPr>
              <w:cnfStyle w:val="000000000000" w:firstRow="0" w:lastRow="0" w:firstColumn="0" w:lastColumn="0" w:oddVBand="0" w:evenVBand="0" w:oddHBand="0" w:evenHBand="0" w:firstRowFirstColumn="0" w:firstRowLastColumn="0" w:lastRowFirstColumn="0" w:lastRowLastColumn="0"/>
            </w:pPr>
            <w:r w:rsidRPr="0088354A">
              <w:t>28%</w:t>
            </w:r>
          </w:p>
        </w:tc>
        <w:tc>
          <w:tcPr>
            <w:tcW w:w="1242" w:type="dxa"/>
            <w:vAlign w:val="top"/>
          </w:tcPr>
          <w:p w:rsidR="00E84B03" w:rsidRPr="0088354A" w:rsidRDefault="00E84B03" w:rsidP="00890504">
            <w:pPr>
              <w:cnfStyle w:val="000000000000" w:firstRow="0" w:lastRow="0" w:firstColumn="0" w:lastColumn="0" w:oddVBand="0" w:evenVBand="0" w:oddHBand="0" w:evenHBand="0" w:firstRowFirstColumn="0" w:firstRowLastColumn="0" w:lastRowFirstColumn="0" w:lastRowLastColumn="0"/>
            </w:pPr>
            <w:r w:rsidRPr="0088354A">
              <w:t>-41%</w:t>
            </w:r>
          </w:p>
        </w:tc>
        <w:tc>
          <w:tcPr>
            <w:tcW w:w="1242" w:type="dxa"/>
            <w:vAlign w:val="top"/>
          </w:tcPr>
          <w:p w:rsidR="00E84B03" w:rsidRPr="0088354A" w:rsidRDefault="00E84B03" w:rsidP="00890504">
            <w:pPr>
              <w:cnfStyle w:val="000000000000" w:firstRow="0" w:lastRow="0" w:firstColumn="0" w:lastColumn="0" w:oddVBand="0" w:evenVBand="0" w:oddHBand="0" w:evenHBand="0" w:firstRowFirstColumn="0" w:firstRowLastColumn="0" w:lastRowFirstColumn="0" w:lastRowLastColumn="0"/>
            </w:pPr>
            <w:r w:rsidRPr="0088354A">
              <w:t>-3%</w:t>
            </w:r>
          </w:p>
        </w:tc>
      </w:tr>
      <w:tr w:rsidR="00E84B03" w:rsidTr="008905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vAlign w:val="top"/>
          </w:tcPr>
          <w:p w:rsidR="00E84B03" w:rsidRPr="006D00CB" w:rsidRDefault="00E84B03" w:rsidP="00890504">
            <w:r w:rsidRPr="006D00CB">
              <w:t xml:space="preserve">Mains New Homes </w:t>
            </w:r>
          </w:p>
        </w:tc>
        <w:tc>
          <w:tcPr>
            <w:tcW w:w="1242" w:type="dxa"/>
            <w:vAlign w:val="top"/>
          </w:tcPr>
          <w:p w:rsidR="00E84B03" w:rsidRPr="006D00CB" w:rsidRDefault="00E84B03" w:rsidP="00890504">
            <w:pPr>
              <w:cnfStyle w:val="000000010000" w:firstRow="0" w:lastRow="0" w:firstColumn="0" w:lastColumn="0" w:oddVBand="0" w:evenVBand="0" w:oddHBand="0" w:evenHBand="1" w:firstRowFirstColumn="0" w:firstRowLastColumn="0" w:lastRowFirstColumn="0" w:lastRowLastColumn="0"/>
            </w:pPr>
            <w:r w:rsidRPr="006D00CB">
              <w:t xml:space="preserve"> 407 </w:t>
            </w:r>
          </w:p>
        </w:tc>
        <w:tc>
          <w:tcPr>
            <w:tcW w:w="1242" w:type="dxa"/>
            <w:vAlign w:val="top"/>
          </w:tcPr>
          <w:p w:rsidR="00E84B03" w:rsidRPr="0088354A" w:rsidRDefault="00E84B03" w:rsidP="00890504">
            <w:pPr>
              <w:cnfStyle w:val="000000010000" w:firstRow="0" w:lastRow="0" w:firstColumn="0" w:lastColumn="0" w:oddVBand="0" w:evenVBand="0" w:oddHBand="0" w:evenHBand="1" w:firstRowFirstColumn="0" w:firstRowLastColumn="0" w:lastRowFirstColumn="0" w:lastRowLastColumn="0"/>
            </w:pPr>
            <w:r w:rsidRPr="0088354A">
              <w:t>2%</w:t>
            </w:r>
          </w:p>
        </w:tc>
        <w:tc>
          <w:tcPr>
            <w:tcW w:w="1242" w:type="dxa"/>
            <w:vAlign w:val="top"/>
          </w:tcPr>
          <w:p w:rsidR="00E84B03" w:rsidRPr="0088354A" w:rsidRDefault="00E84B03" w:rsidP="00890504">
            <w:pPr>
              <w:cnfStyle w:val="000000010000" w:firstRow="0" w:lastRow="0" w:firstColumn="0" w:lastColumn="0" w:oddVBand="0" w:evenVBand="0" w:oddHBand="0" w:evenHBand="1" w:firstRowFirstColumn="0" w:firstRowLastColumn="0" w:lastRowFirstColumn="0" w:lastRowLastColumn="0"/>
            </w:pPr>
            <w:r w:rsidRPr="0088354A">
              <w:t>1%</w:t>
            </w:r>
          </w:p>
        </w:tc>
        <w:tc>
          <w:tcPr>
            <w:tcW w:w="1242" w:type="dxa"/>
            <w:vAlign w:val="top"/>
          </w:tcPr>
          <w:p w:rsidR="00E84B03" w:rsidRPr="0088354A" w:rsidRDefault="00E84B03" w:rsidP="00890504">
            <w:pPr>
              <w:cnfStyle w:val="000000010000" w:firstRow="0" w:lastRow="0" w:firstColumn="0" w:lastColumn="0" w:oddVBand="0" w:evenVBand="0" w:oddHBand="0" w:evenHBand="1" w:firstRowFirstColumn="0" w:firstRowLastColumn="0" w:lastRowFirstColumn="0" w:lastRowLastColumn="0"/>
            </w:pPr>
            <w:r w:rsidRPr="0088354A">
              <w:t>26%</w:t>
            </w:r>
          </w:p>
        </w:tc>
        <w:tc>
          <w:tcPr>
            <w:tcW w:w="1242" w:type="dxa"/>
            <w:vAlign w:val="top"/>
          </w:tcPr>
          <w:p w:rsidR="00E84B03" w:rsidRPr="0088354A" w:rsidRDefault="00E84B03" w:rsidP="00890504">
            <w:pPr>
              <w:cnfStyle w:val="000000010000" w:firstRow="0" w:lastRow="0" w:firstColumn="0" w:lastColumn="0" w:oddVBand="0" w:evenVBand="0" w:oddHBand="0" w:evenHBand="1" w:firstRowFirstColumn="0" w:firstRowLastColumn="0" w:lastRowFirstColumn="0" w:lastRowLastColumn="0"/>
            </w:pPr>
            <w:r w:rsidRPr="0088354A">
              <w:t>-3%</w:t>
            </w:r>
          </w:p>
        </w:tc>
        <w:tc>
          <w:tcPr>
            <w:tcW w:w="1242" w:type="dxa"/>
            <w:vAlign w:val="top"/>
          </w:tcPr>
          <w:p w:rsidR="00E84B03" w:rsidRPr="0088354A" w:rsidRDefault="00E84B03" w:rsidP="00890504">
            <w:pPr>
              <w:cnfStyle w:val="000000010000" w:firstRow="0" w:lastRow="0" w:firstColumn="0" w:lastColumn="0" w:oddVBand="0" w:evenVBand="0" w:oddHBand="0" w:evenHBand="1" w:firstRowFirstColumn="0" w:firstRowLastColumn="0" w:lastRowFirstColumn="0" w:lastRowLastColumn="0"/>
            </w:pPr>
            <w:r w:rsidRPr="0088354A">
              <w:t>4%</w:t>
            </w:r>
          </w:p>
        </w:tc>
      </w:tr>
      <w:tr w:rsidR="00E84B03" w:rsidTr="00890504">
        <w:tc>
          <w:tcPr>
            <w:cnfStyle w:val="001000000000" w:firstRow="0" w:lastRow="0" w:firstColumn="1" w:lastColumn="0" w:oddVBand="0" w:evenVBand="0" w:oddHBand="0" w:evenHBand="0" w:firstRowFirstColumn="0" w:firstRowLastColumn="0" w:lastRowFirstColumn="0" w:lastRowLastColumn="0"/>
            <w:tcW w:w="1241" w:type="dxa"/>
            <w:vAlign w:val="top"/>
          </w:tcPr>
          <w:p w:rsidR="00E84B03" w:rsidRPr="006D00CB" w:rsidRDefault="00E84B03" w:rsidP="00890504">
            <w:r w:rsidRPr="006D00CB">
              <w:t xml:space="preserve">Mains I&amp;C </w:t>
            </w:r>
          </w:p>
        </w:tc>
        <w:tc>
          <w:tcPr>
            <w:tcW w:w="1242" w:type="dxa"/>
            <w:vAlign w:val="top"/>
          </w:tcPr>
          <w:p w:rsidR="00E84B03" w:rsidRPr="006D00CB" w:rsidRDefault="00E84B03" w:rsidP="00890504">
            <w:pPr>
              <w:cnfStyle w:val="000000000000" w:firstRow="0" w:lastRow="0" w:firstColumn="0" w:lastColumn="0" w:oddVBand="0" w:evenVBand="0" w:oddHBand="0" w:evenHBand="0" w:firstRowFirstColumn="0" w:firstRowLastColumn="0" w:lastRowFirstColumn="0" w:lastRowLastColumn="0"/>
            </w:pPr>
            <w:r w:rsidRPr="006D00CB">
              <w:t xml:space="preserve"> 409 </w:t>
            </w:r>
          </w:p>
        </w:tc>
        <w:tc>
          <w:tcPr>
            <w:tcW w:w="1242" w:type="dxa"/>
            <w:vAlign w:val="top"/>
          </w:tcPr>
          <w:p w:rsidR="00E84B03" w:rsidRPr="0088354A" w:rsidRDefault="00E84B03" w:rsidP="00890504">
            <w:pPr>
              <w:cnfStyle w:val="000000000000" w:firstRow="0" w:lastRow="0" w:firstColumn="0" w:lastColumn="0" w:oddVBand="0" w:evenVBand="0" w:oddHBand="0" w:evenHBand="0" w:firstRowFirstColumn="0" w:firstRowLastColumn="0" w:lastRowFirstColumn="0" w:lastRowLastColumn="0"/>
            </w:pPr>
            <w:r w:rsidRPr="0088354A">
              <w:t>14%</w:t>
            </w:r>
          </w:p>
        </w:tc>
        <w:tc>
          <w:tcPr>
            <w:tcW w:w="1242" w:type="dxa"/>
            <w:vAlign w:val="top"/>
          </w:tcPr>
          <w:p w:rsidR="00E84B03" w:rsidRPr="0088354A" w:rsidRDefault="00E84B03" w:rsidP="00890504">
            <w:pPr>
              <w:cnfStyle w:val="000000000000" w:firstRow="0" w:lastRow="0" w:firstColumn="0" w:lastColumn="0" w:oddVBand="0" w:evenVBand="0" w:oddHBand="0" w:evenHBand="0" w:firstRowFirstColumn="0" w:firstRowLastColumn="0" w:lastRowFirstColumn="0" w:lastRowLastColumn="0"/>
            </w:pPr>
            <w:r w:rsidRPr="0088354A">
              <w:t>-7%</w:t>
            </w:r>
          </w:p>
        </w:tc>
        <w:tc>
          <w:tcPr>
            <w:tcW w:w="1242" w:type="dxa"/>
            <w:vAlign w:val="top"/>
          </w:tcPr>
          <w:p w:rsidR="00E84B03" w:rsidRPr="0088354A" w:rsidRDefault="00E84B03" w:rsidP="00890504">
            <w:pPr>
              <w:cnfStyle w:val="000000000000" w:firstRow="0" w:lastRow="0" w:firstColumn="0" w:lastColumn="0" w:oddVBand="0" w:evenVBand="0" w:oddHBand="0" w:evenHBand="0" w:firstRowFirstColumn="0" w:firstRowLastColumn="0" w:lastRowFirstColumn="0" w:lastRowLastColumn="0"/>
            </w:pPr>
            <w:r w:rsidRPr="0088354A">
              <w:t>25%</w:t>
            </w:r>
          </w:p>
        </w:tc>
        <w:tc>
          <w:tcPr>
            <w:tcW w:w="1242" w:type="dxa"/>
            <w:vAlign w:val="top"/>
          </w:tcPr>
          <w:p w:rsidR="00E84B03" w:rsidRPr="0088354A" w:rsidRDefault="00E84B03" w:rsidP="00890504">
            <w:pPr>
              <w:cnfStyle w:val="000000000000" w:firstRow="0" w:lastRow="0" w:firstColumn="0" w:lastColumn="0" w:oddVBand="0" w:evenVBand="0" w:oddHBand="0" w:evenHBand="0" w:firstRowFirstColumn="0" w:firstRowLastColumn="0" w:lastRowFirstColumn="0" w:lastRowLastColumn="0"/>
            </w:pPr>
            <w:r w:rsidRPr="0088354A">
              <w:t>47%</w:t>
            </w:r>
          </w:p>
        </w:tc>
        <w:tc>
          <w:tcPr>
            <w:tcW w:w="1242" w:type="dxa"/>
            <w:vAlign w:val="top"/>
          </w:tcPr>
          <w:p w:rsidR="00E84B03" w:rsidRPr="0088354A" w:rsidRDefault="00E84B03" w:rsidP="00890504">
            <w:pPr>
              <w:cnfStyle w:val="000000000000" w:firstRow="0" w:lastRow="0" w:firstColumn="0" w:lastColumn="0" w:oddVBand="0" w:evenVBand="0" w:oddHBand="0" w:evenHBand="0" w:firstRowFirstColumn="0" w:firstRowLastColumn="0" w:lastRowFirstColumn="0" w:lastRowLastColumn="0"/>
            </w:pPr>
            <w:r w:rsidRPr="0088354A">
              <w:t>19%</w:t>
            </w:r>
          </w:p>
        </w:tc>
      </w:tr>
      <w:tr w:rsidR="00E84B03" w:rsidTr="008905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vAlign w:val="top"/>
          </w:tcPr>
          <w:p w:rsidR="00E84B03" w:rsidRPr="006D00CB" w:rsidRDefault="00E84B03" w:rsidP="00890504">
            <w:r w:rsidRPr="006D00CB">
              <w:t xml:space="preserve">Mains MD/HR </w:t>
            </w:r>
          </w:p>
        </w:tc>
        <w:tc>
          <w:tcPr>
            <w:tcW w:w="1242" w:type="dxa"/>
            <w:vAlign w:val="top"/>
          </w:tcPr>
          <w:p w:rsidR="00E84B03" w:rsidRDefault="00E84B03" w:rsidP="00890504">
            <w:pPr>
              <w:cnfStyle w:val="000000010000" w:firstRow="0" w:lastRow="0" w:firstColumn="0" w:lastColumn="0" w:oddVBand="0" w:evenVBand="0" w:oddHBand="0" w:evenHBand="1" w:firstRowFirstColumn="0" w:firstRowLastColumn="0" w:lastRowFirstColumn="0" w:lastRowLastColumn="0"/>
            </w:pPr>
            <w:r w:rsidRPr="006D00CB">
              <w:t xml:space="preserve"> 410 </w:t>
            </w:r>
          </w:p>
        </w:tc>
        <w:tc>
          <w:tcPr>
            <w:tcW w:w="1242" w:type="dxa"/>
            <w:vAlign w:val="top"/>
          </w:tcPr>
          <w:p w:rsidR="00E84B03" w:rsidRPr="0088354A" w:rsidRDefault="00E84B03" w:rsidP="00890504">
            <w:pPr>
              <w:cnfStyle w:val="000000010000" w:firstRow="0" w:lastRow="0" w:firstColumn="0" w:lastColumn="0" w:oddVBand="0" w:evenVBand="0" w:oddHBand="0" w:evenHBand="1" w:firstRowFirstColumn="0" w:firstRowLastColumn="0" w:lastRowFirstColumn="0" w:lastRowLastColumn="0"/>
            </w:pPr>
            <w:r w:rsidRPr="0088354A">
              <w:t>-16%</w:t>
            </w:r>
          </w:p>
        </w:tc>
        <w:tc>
          <w:tcPr>
            <w:tcW w:w="1242" w:type="dxa"/>
            <w:vAlign w:val="top"/>
          </w:tcPr>
          <w:p w:rsidR="00E84B03" w:rsidRPr="0088354A" w:rsidRDefault="00E84B03" w:rsidP="00890504">
            <w:pPr>
              <w:cnfStyle w:val="000000010000" w:firstRow="0" w:lastRow="0" w:firstColumn="0" w:lastColumn="0" w:oddVBand="0" w:evenVBand="0" w:oddHBand="0" w:evenHBand="1" w:firstRowFirstColumn="0" w:firstRowLastColumn="0" w:lastRowFirstColumn="0" w:lastRowLastColumn="0"/>
            </w:pPr>
            <w:r w:rsidRPr="0088354A">
              <w:t>-15%</w:t>
            </w:r>
          </w:p>
        </w:tc>
        <w:tc>
          <w:tcPr>
            <w:tcW w:w="1242" w:type="dxa"/>
            <w:vAlign w:val="top"/>
          </w:tcPr>
          <w:p w:rsidR="00E84B03" w:rsidRPr="0088354A" w:rsidRDefault="00E84B03" w:rsidP="00890504">
            <w:pPr>
              <w:cnfStyle w:val="000000010000" w:firstRow="0" w:lastRow="0" w:firstColumn="0" w:lastColumn="0" w:oddVBand="0" w:evenVBand="0" w:oddHBand="0" w:evenHBand="1" w:firstRowFirstColumn="0" w:firstRowLastColumn="0" w:lastRowFirstColumn="0" w:lastRowLastColumn="0"/>
            </w:pPr>
            <w:r w:rsidRPr="0088354A">
              <w:t>29%</w:t>
            </w:r>
          </w:p>
        </w:tc>
        <w:tc>
          <w:tcPr>
            <w:tcW w:w="1242" w:type="dxa"/>
            <w:vAlign w:val="top"/>
          </w:tcPr>
          <w:p w:rsidR="00E84B03" w:rsidRPr="0088354A" w:rsidRDefault="00E84B03" w:rsidP="00890504">
            <w:pPr>
              <w:cnfStyle w:val="000000010000" w:firstRow="0" w:lastRow="0" w:firstColumn="0" w:lastColumn="0" w:oddVBand="0" w:evenVBand="0" w:oddHBand="0" w:evenHBand="1" w:firstRowFirstColumn="0" w:firstRowLastColumn="0" w:lastRowFirstColumn="0" w:lastRowLastColumn="0"/>
            </w:pPr>
            <w:r w:rsidRPr="0088354A">
              <w:t>1%</w:t>
            </w:r>
          </w:p>
        </w:tc>
        <w:tc>
          <w:tcPr>
            <w:tcW w:w="1242" w:type="dxa"/>
            <w:vAlign w:val="top"/>
          </w:tcPr>
          <w:p w:rsidR="00E84B03" w:rsidRDefault="00E84B03" w:rsidP="00890504">
            <w:pPr>
              <w:cnfStyle w:val="000000010000" w:firstRow="0" w:lastRow="0" w:firstColumn="0" w:lastColumn="0" w:oddVBand="0" w:evenVBand="0" w:oddHBand="0" w:evenHBand="1" w:firstRowFirstColumn="0" w:firstRowLastColumn="0" w:lastRowFirstColumn="0" w:lastRowLastColumn="0"/>
            </w:pPr>
            <w:r w:rsidRPr="0088354A">
              <w:t>0%</w:t>
            </w:r>
          </w:p>
        </w:tc>
      </w:tr>
    </w:tbl>
    <w:p w:rsidR="00E84B03" w:rsidRDefault="00E84B03" w:rsidP="00E84B03">
      <w:pPr>
        <w:pStyle w:val="AERtablesource"/>
      </w:pPr>
      <w:r>
        <w:t xml:space="preserve">Source: </w:t>
      </w:r>
      <w:r w:rsidR="00496223">
        <w:tab/>
      </w:r>
      <w:r>
        <w:t>AER analysis</w:t>
      </w:r>
      <w:r w:rsidR="0061777C">
        <w:t>.</w:t>
      </w:r>
    </w:p>
    <w:p w:rsidR="00E84B03" w:rsidRDefault="00E84B03" w:rsidP="00E84B03">
      <w:pPr>
        <w:pStyle w:val="Caption"/>
      </w:pPr>
      <w:bookmarkStart w:id="75" w:name="_Ref435522882"/>
      <w:bookmarkStart w:id="76" w:name="_Ref432873260"/>
      <w:proofErr w:type="gramStart"/>
      <w:r>
        <w:t xml:space="preserve">Table </w:t>
      </w:r>
      <w:proofErr w:type="gramEnd"/>
      <w:r w:rsidR="004C5F88">
        <w:fldChar w:fldCharType="begin"/>
      </w:r>
      <w:r w:rsidR="004C5F88">
        <w:instrText xml:space="preserve"> STYLEREF 1 \s </w:instrText>
      </w:r>
      <w:r w:rsidR="004C5F88">
        <w:fldChar w:fldCharType="separate"/>
      </w:r>
      <w:r w:rsidR="00EE4EAF">
        <w:rPr>
          <w:noProof/>
        </w:rPr>
        <w:t>6</w:t>
      </w:r>
      <w:r w:rsidR="004C5F88">
        <w:rPr>
          <w:noProof/>
        </w:rPr>
        <w:fldChar w:fldCharType="end"/>
      </w:r>
      <w:proofErr w:type="gramStart"/>
      <w:r w:rsidR="0061777C">
        <w:t>.</w:t>
      </w:r>
      <w:proofErr w:type="gramEnd"/>
      <w:fldSimple w:instr=" SEQ Table \* ARABIC \s 1 ">
        <w:r w:rsidR="00EE4EAF">
          <w:rPr>
            <w:noProof/>
          </w:rPr>
          <w:t>15</w:t>
        </w:r>
      </w:fldSimple>
      <w:bookmarkEnd w:id="75"/>
      <w:bookmarkEnd w:id="76"/>
      <w:r>
        <w:tab/>
        <w:t xml:space="preserve">Difference between meters numbers in the resubmitted </w:t>
      </w:r>
      <w:r w:rsidR="00A213DD">
        <w:t>access arrangement</w:t>
      </w:r>
      <w:r>
        <w:t xml:space="preserve"> RIN and unit rate model</w:t>
      </w:r>
    </w:p>
    <w:tbl>
      <w:tblPr>
        <w:tblStyle w:val="AERtable-numbers"/>
        <w:tblW w:w="0" w:type="auto"/>
        <w:tblLook w:val="04A0" w:firstRow="1" w:lastRow="0" w:firstColumn="1" w:lastColumn="0" w:noHBand="0" w:noVBand="1"/>
      </w:tblPr>
      <w:tblGrid>
        <w:gridCol w:w="1241"/>
        <w:gridCol w:w="1242"/>
        <w:gridCol w:w="1242"/>
        <w:gridCol w:w="1242"/>
        <w:gridCol w:w="1242"/>
        <w:gridCol w:w="1242"/>
        <w:gridCol w:w="1242"/>
      </w:tblGrid>
      <w:tr w:rsidR="00E84B03" w:rsidTr="008905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E84B03" w:rsidRDefault="00E84B03" w:rsidP="00890504"/>
        </w:tc>
        <w:tc>
          <w:tcPr>
            <w:tcW w:w="1242" w:type="dxa"/>
          </w:tcPr>
          <w:p w:rsidR="00E84B03" w:rsidRDefault="00E84B03" w:rsidP="00890504">
            <w:pPr>
              <w:cnfStyle w:val="100000000000" w:firstRow="1" w:lastRow="0" w:firstColumn="0" w:lastColumn="0" w:oddVBand="0" w:evenVBand="0" w:oddHBand="0" w:evenHBand="0" w:firstRowFirstColumn="0" w:firstRowLastColumn="0" w:lastRowFirstColumn="0" w:lastRowLastColumn="0"/>
            </w:pPr>
          </w:p>
        </w:tc>
        <w:tc>
          <w:tcPr>
            <w:tcW w:w="1242" w:type="dxa"/>
            <w:vAlign w:val="top"/>
          </w:tcPr>
          <w:p w:rsidR="00E84B03" w:rsidRPr="00BA11E1" w:rsidRDefault="00E84B03" w:rsidP="00890504">
            <w:pPr>
              <w:cnfStyle w:val="100000000000" w:firstRow="1" w:lastRow="0" w:firstColumn="0" w:lastColumn="0" w:oddVBand="0" w:evenVBand="0" w:oddHBand="0" w:evenHBand="0" w:firstRowFirstColumn="0" w:firstRowLastColumn="0" w:lastRowFirstColumn="0" w:lastRowLastColumn="0"/>
            </w:pPr>
            <w:r w:rsidRPr="00BA11E1">
              <w:t xml:space="preserve"> FY11 </w:t>
            </w:r>
          </w:p>
        </w:tc>
        <w:tc>
          <w:tcPr>
            <w:tcW w:w="1242" w:type="dxa"/>
            <w:vAlign w:val="top"/>
          </w:tcPr>
          <w:p w:rsidR="00E84B03" w:rsidRPr="00BA11E1" w:rsidRDefault="00E84B03" w:rsidP="00890504">
            <w:pPr>
              <w:cnfStyle w:val="100000000000" w:firstRow="1" w:lastRow="0" w:firstColumn="0" w:lastColumn="0" w:oddVBand="0" w:evenVBand="0" w:oddHBand="0" w:evenHBand="0" w:firstRowFirstColumn="0" w:firstRowLastColumn="0" w:lastRowFirstColumn="0" w:lastRowLastColumn="0"/>
            </w:pPr>
            <w:r w:rsidRPr="00BA11E1">
              <w:t xml:space="preserve"> FY12 </w:t>
            </w:r>
          </w:p>
        </w:tc>
        <w:tc>
          <w:tcPr>
            <w:tcW w:w="1242" w:type="dxa"/>
            <w:vAlign w:val="top"/>
          </w:tcPr>
          <w:p w:rsidR="00E84B03" w:rsidRPr="00BA11E1" w:rsidRDefault="00E84B03" w:rsidP="00890504">
            <w:pPr>
              <w:cnfStyle w:val="100000000000" w:firstRow="1" w:lastRow="0" w:firstColumn="0" w:lastColumn="0" w:oddVBand="0" w:evenVBand="0" w:oddHBand="0" w:evenHBand="0" w:firstRowFirstColumn="0" w:firstRowLastColumn="0" w:lastRowFirstColumn="0" w:lastRowLastColumn="0"/>
            </w:pPr>
            <w:r w:rsidRPr="00BA11E1">
              <w:t xml:space="preserve"> FY13 </w:t>
            </w:r>
          </w:p>
        </w:tc>
        <w:tc>
          <w:tcPr>
            <w:tcW w:w="1242" w:type="dxa"/>
            <w:vAlign w:val="top"/>
          </w:tcPr>
          <w:p w:rsidR="00E84B03" w:rsidRPr="00BA11E1" w:rsidRDefault="00E84B03" w:rsidP="00890504">
            <w:pPr>
              <w:cnfStyle w:val="100000000000" w:firstRow="1" w:lastRow="0" w:firstColumn="0" w:lastColumn="0" w:oddVBand="0" w:evenVBand="0" w:oddHBand="0" w:evenHBand="0" w:firstRowFirstColumn="0" w:firstRowLastColumn="0" w:lastRowFirstColumn="0" w:lastRowLastColumn="0"/>
            </w:pPr>
            <w:r w:rsidRPr="00BA11E1">
              <w:t xml:space="preserve"> FY14 </w:t>
            </w:r>
          </w:p>
        </w:tc>
        <w:tc>
          <w:tcPr>
            <w:tcW w:w="1242" w:type="dxa"/>
            <w:vAlign w:val="top"/>
          </w:tcPr>
          <w:p w:rsidR="00E84B03" w:rsidRDefault="00E84B03" w:rsidP="00890504">
            <w:pPr>
              <w:cnfStyle w:val="100000000000" w:firstRow="1" w:lastRow="0" w:firstColumn="0" w:lastColumn="0" w:oddVBand="0" w:evenVBand="0" w:oddHBand="0" w:evenHBand="0" w:firstRowFirstColumn="0" w:firstRowLastColumn="0" w:lastRowFirstColumn="0" w:lastRowLastColumn="0"/>
            </w:pPr>
            <w:r>
              <w:t>T</w:t>
            </w:r>
            <w:r w:rsidRPr="00BA11E1">
              <w:t xml:space="preserve">otal </w:t>
            </w:r>
          </w:p>
        </w:tc>
      </w:tr>
      <w:tr w:rsidR="00E84B03" w:rsidTr="00890504">
        <w:tc>
          <w:tcPr>
            <w:cnfStyle w:val="001000000000" w:firstRow="0" w:lastRow="0" w:firstColumn="1" w:lastColumn="0" w:oddVBand="0" w:evenVBand="0" w:oddHBand="0" w:evenHBand="0" w:firstRowFirstColumn="0" w:firstRowLastColumn="0" w:lastRowFirstColumn="0" w:lastRowLastColumn="0"/>
            <w:tcW w:w="1241" w:type="dxa"/>
            <w:vAlign w:val="top"/>
          </w:tcPr>
          <w:p w:rsidR="00E84B03" w:rsidRPr="00B04924" w:rsidRDefault="00E84B03" w:rsidP="00890504">
            <w:r>
              <w:t>Main</w:t>
            </w:r>
            <w:r w:rsidRPr="00B04924">
              <w:t>s E-G</w:t>
            </w:r>
          </w:p>
        </w:tc>
        <w:tc>
          <w:tcPr>
            <w:tcW w:w="1242" w:type="dxa"/>
            <w:vAlign w:val="top"/>
          </w:tcPr>
          <w:p w:rsidR="00E84B03" w:rsidRPr="00B04924" w:rsidRDefault="00E84B03" w:rsidP="00890504">
            <w:pPr>
              <w:cnfStyle w:val="000000000000" w:firstRow="0" w:lastRow="0" w:firstColumn="0" w:lastColumn="0" w:oddVBand="0" w:evenVBand="0" w:oddHBand="0" w:evenHBand="0" w:firstRowFirstColumn="0" w:firstRowLastColumn="0" w:lastRowFirstColumn="0" w:lastRowLastColumn="0"/>
            </w:pPr>
            <w:r w:rsidRPr="00B04924">
              <w:t>400</w:t>
            </w:r>
          </w:p>
        </w:tc>
        <w:tc>
          <w:tcPr>
            <w:tcW w:w="1242" w:type="dxa"/>
            <w:vAlign w:val="top"/>
          </w:tcPr>
          <w:p w:rsidR="00E84B03" w:rsidRPr="00044BC7" w:rsidRDefault="00E84B03" w:rsidP="00890504">
            <w:pPr>
              <w:cnfStyle w:val="000000000000" w:firstRow="0" w:lastRow="0" w:firstColumn="0" w:lastColumn="0" w:oddVBand="0" w:evenVBand="0" w:oddHBand="0" w:evenHBand="0" w:firstRowFirstColumn="0" w:firstRowLastColumn="0" w:lastRowFirstColumn="0" w:lastRowLastColumn="0"/>
            </w:pPr>
            <w:r w:rsidRPr="00044BC7">
              <w:t>19%</w:t>
            </w:r>
          </w:p>
        </w:tc>
        <w:tc>
          <w:tcPr>
            <w:tcW w:w="1242" w:type="dxa"/>
            <w:vAlign w:val="top"/>
          </w:tcPr>
          <w:p w:rsidR="00E84B03" w:rsidRPr="00044BC7" w:rsidRDefault="00E84B03" w:rsidP="00890504">
            <w:pPr>
              <w:cnfStyle w:val="000000000000" w:firstRow="0" w:lastRow="0" w:firstColumn="0" w:lastColumn="0" w:oddVBand="0" w:evenVBand="0" w:oddHBand="0" w:evenHBand="0" w:firstRowFirstColumn="0" w:firstRowLastColumn="0" w:lastRowFirstColumn="0" w:lastRowLastColumn="0"/>
            </w:pPr>
            <w:r w:rsidRPr="00044BC7">
              <w:t>6%</w:t>
            </w:r>
          </w:p>
        </w:tc>
        <w:tc>
          <w:tcPr>
            <w:tcW w:w="1242" w:type="dxa"/>
            <w:vAlign w:val="top"/>
          </w:tcPr>
          <w:p w:rsidR="00E84B03" w:rsidRPr="00044BC7" w:rsidRDefault="00E84B03" w:rsidP="00890504">
            <w:pPr>
              <w:cnfStyle w:val="000000000000" w:firstRow="0" w:lastRow="0" w:firstColumn="0" w:lastColumn="0" w:oddVBand="0" w:evenVBand="0" w:oddHBand="0" w:evenHBand="0" w:firstRowFirstColumn="0" w:firstRowLastColumn="0" w:lastRowFirstColumn="0" w:lastRowLastColumn="0"/>
            </w:pPr>
            <w:r w:rsidRPr="00044BC7">
              <w:t>2%</w:t>
            </w:r>
          </w:p>
        </w:tc>
        <w:tc>
          <w:tcPr>
            <w:tcW w:w="1242" w:type="dxa"/>
            <w:vAlign w:val="top"/>
          </w:tcPr>
          <w:p w:rsidR="00E84B03" w:rsidRPr="00044BC7" w:rsidRDefault="00E84B03" w:rsidP="00890504">
            <w:pPr>
              <w:cnfStyle w:val="000000000000" w:firstRow="0" w:lastRow="0" w:firstColumn="0" w:lastColumn="0" w:oddVBand="0" w:evenVBand="0" w:oddHBand="0" w:evenHBand="0" w:firstRowFirstColumn="0" w:firstRowLastColumn="0" w:lastRowFirstColumn="0" w:lastRowLastColumn="0"/>
            </w:pPr>
            <w:r w:rsidRPr="00044BC7">
              <w:t>3%</w:t>
            </w:r>
          </w:p>
        </w:tc>
        <w:tc>
          <w:tcPr>
            <w:tcW w:w="1242" w:type="dxa"/>
            <w:vAlign w:val="top"/>
          </w:tcPr>
          <w:p w:rsidR="00E84B03" w:rsidRPr="00044BC7" w:rsidRDefault="00E84B03" w:rsidP="00890504">
            <w:pPr>
              <w:cnfStyle w:val="000000000000" w:firstRow="0" w:lastRow="0" w:firstColumn="0" w:lastColumn="0" w:oddVBand="0" w:evenVBand="0" w:oddHBand="0" w:evenHBand="0" w:firstRowFirstColumn="0" w:firstRowLastColumn="0" w:lastRowFirstColumn="0" w:lastRowLastColumn="0"/>
            </w:pPr>
            <w:r w:rsidRPr="00044BC7">
              <w:t>7%</w:t>
            </w:r>
          </w:p>
        </w:tc>
      </w:tr>
      <w:tr w:rsidR="00E84B03" w:rsidTr="008905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vAlign w:val="top"/>
          </w:tcPr>
          <w:p w:rsidR="00E84B03" w:rsidRPr="00B04924" w:rsidRDefault="00E84B03" w:rsidP="00890504">
            <w:r>
              <w:t>Main</w:t>
            </w:r>
            <w:r w:rsidRPr="00B04924">
              <w:t>s New Homes</w:t>
            </w:r>
          </w:p>
        </w:tc>
        <w:tc>
          <w:tcPr>
            <w:tcW w:w="1242" w:type="dxa"/>
            <w:vAlign w:val="top"/>
          </w:tcPr>
          <w:p w:rsidR="00E84B03" w:rsidRPr="00B04924" w:rsidRDefault="00E84B03" w:rsidP="00890504">
            <w:pPr>
              <w:cnfStyle w:val="000000010000" w:firstRow="0" w:lastRow="0" w:firstColumn="0" w:lastColumn="0" w:oddVBand="0" w:evenVBand="0" w:oddHBand="0" w:evenHBand="1" w:firstRowFirstColumn="0" w:firstRowLastColumn="0" w:lastRowFirstColumn="0" w:lastRowLastColumn="0"/>
            </w:pPr>
            <w:r w:rsidRPr="00B04924">
              <w:t>401</w:t>
            </w:r>
          </w:p>
        </w:tc>
        <w:tc>
          <w:tcPr>
            <w:tcW w:w="1242" w:type="dxa"/>
            <w:vAlign w:val="top"/>
          </w:tcPr>
          <w:p w:rsidR="00E84B03" w:rsidRPr="00044BC7" w:rsidRDefault="00E84B03" w:rsidP="00890504">
            <w:pPr>
              <w:cnfStyle w:val="000000010000" w:firstRow="0" w:lastRow="0" w:firstColumn="0" w:lastColumn="0" w:oddVBand="0" w:evenVBand="0" w:oddHBand="0" w:evenHBand="1" w:firstRowFirstColumn="0" w:firstRowLastColumn="0" w:lastRowFirstColumn="0" w:lastRowLastColumn="0"/>
            </w:pPr>
            <w:r w:rsidRPr="00044BC7">
              <w:t>-5%</w:t>
            </w:r>
          </w:p>
        </w:tc>
        <w:tc>
          <w:tcPr>
            <w:tcW w:w="1242" w:type="dxa"/>
            <w:vAlign w:val="top"/>
          </w:tcPr>
          <w:p w:rsidR="00E84B03" w:rsidRPr="00044BC7" w:rsidRDefault="00E84B03" w:rsidP="00890504">
            <w:pPr>
              <w:cnfStyle w:val="000000010000" w:firstRow="0" w:lastRow="0" w:firstColumn="0" w:lastColumn="0" w:oddVBand="0" w:evenVBand="0" w:oddHBand="0" w:evenHBand="1" w:firstRowFirstColumn="0" w:firstRowLastColumn="0" w:lastRowFirstColumn="0" w:lastRowLastColumn="0"/>
            </w:pPr>
            <w:r w:rsidRPr="00044BC7">
              <w:t>-3%</w:t>
            </w:r>
          </w:p>
        </w:tc>
        <w:tc>
          <w:tcPr>
            <w:tcW w:w="1242" w:type="dxa"/>
            <w:vAlign w:val="top"/>
          </w:tcPr>
          <w:p w:rsidR="00E84B03" w:rsidRPr="00044BC7" w:rsidRDefault="00E84B03" w:rsidP="00890504">
            <w:pPr>
              <w:cnfStyle w:val="000000010000" w:firstRow="0" w:lastRow="0" w:firstColumn="0" w:lastColumn="0" w:oddVBand="0" w:evenVBand="0" w:oddHBand="0" w:evenHBand="1" w:firstRowFirstColumn="0" w:firstRowLastColumn="0" w:lastRowFirstColumn="0" w:lastRowLastColumn="0"/>
            </w:pPr>
            <w:r w:rsidRPr="00044BC7">
              <w:t>1%</w:t>
            </w:r>
          </w:p>
        </w:tc>
        <w:tc>
          <w:tcPr>
            <w:tcW w:w="1242" w:type="dxa"/>
            <w:vAlign w:val="top"/>
          </w:tcPr>
          <w:p w:rsidR="00E84B03" w:rsidRPr="00044BC7" w:rsidRDefault="00E84B03" w:rsidP="00890504">
            <w:pPr>
              <w:cnfStyle w:val="000000010000" w:firstRow="0" w:lastRow="0" w:firstColumn="0" w:lastColumn="0" w:oddVBand="0" w:evenVBand="0" w:oddHBand="0" w:evenHBand="1" w:firstRowFirstColumn="0" w:firstRowLastColumn="0" w:lastRowFirstColumn="0" w:lastRowLastColumn="0"/>
            </w:pPr>
            <w:r w:rsidRPr="00044BC7">
              <w:t>1%</w:t>
            </w:r>
          </w:p>
        </w:tc>
        <w:tc>
          <w:tcPr>
            <w:tcW w:w="1242" w:type="dxa"/>
            <w:vAlign w:val="top"/>
          </w:tcPr>
          <w:p w:rsidR="00E84B03" w:rsidRPr="00044BC7" w:rsidRDefault="00E84B03" w:rsidP="00890504">
            <w:pPr>
              <w:cnfStyle w:val="000000010000" w:firstRow="0" w:lastRow="0" w:firstColumn="0" w:lastColumn="0" w:oddVBand="0" w:evenVBand="0" w:oddHBand="0" w:evenHBand="1" w:firstRowFirstColumn="0" w:firstRowLastColumn="0" w:lastRowFirstColumn="0" w:lastRowLastColumn="0"/>
            </w:pPr>
            <w:r w:rsidRPr="00044BC7">
              <w:t>-2%</w:t>
            </w:r>
          </w:p>
        </w:tc>
      </w:tr>
      <w:tr w:rsidR="00E84B03" w:rsidTr="00890504">
        <w:tc>
          <w:tcPr>
            <w:cnfStyle w:val="001000000000" w:firstRow="0" w:lastRow="0" w:firstColumn="1" w:lastColumn="0" w:oddVBand="0" w:evenVBand="0" w:oddHBand="0" w:evenHBand="0" w:firstRowFirstColumn="0" w:firstRowLastColumn="0" w:lastRowFirstColumn="0" w:lastRowLastColumn="0"/>
            <w:tcW w:w="1241" w:type="dxa"/>
            <w:vAlign w:val="top"/>
          </w:tcPr>
          <w:p w:rsidR="00E84B03" w:rsidRPr="00B04924" w:rsidRDefault="00E84B03" w:rsidP="00890504">
            <w:r>
              <w:t>Main</w:t>
            </w:r>
            <w:r w:rsidRPr="00B04924">
              <w:t>s I&amp;C</w:t>
            </w:r>
          </w:p>
        </w:tc>
        <w:tc>
          <w:tcPr>
            <w:tcW w:w="1242" w:type="dxa"/>
            <w:vAlign w:val="top"/>
          </w:tcPr>
          <w:p w:rsidR="00E84B03" w:rsidRPr="00B04924" w:rsidRDefault="00E84B03" w:rsidP="00890504">
            <w:pPr>
              <w:cnfStyle w:val="000000000000" w:firstRow="0" w:lastRow="0" w:firstColumn="0" w:lastColumn="0" w:oddVBand="0" w:evenVBand="0" w:oddHBand="0" w:evenHBand="0" w:firstRowFirstColumn="0" w:firstRowLastColumn="0" w:lastRowFirstColumn="0" w:lastRowLastColumn="0"/>
            </w:pPr>
            <w:r w:rsidRPr="00B04924">
              <w:t>403</w:t>
            </w:r>
          </w:p>
        </w:tc>
        <w:tc>
          <w:tcPr>
            <w:tcW w:w="1242" w:type="dxa"/>
            <w:vAlign w:val="top"/>
          </w:tcPr>
          <w:p w:rsidR="00E84B03" w:rsidRPr="00044BC7" w:rsidRDefault="00E84B03" w:rsidP="00890504">
            <w:pPr>
              <w:cnfStyle w:val="000000000000" w:firstRow="0" w:lastRow="0" w:firstColumn="0" w:lastColumn="0" w:oddVBand="0" w:evenVBand="0" w:oddHBand="0" w:evenHBand="0" w:firstRowFirstColumn="0" w:firstRowLastColumn="0" w:lastRowFirstColumn="0" w:lastRowLastColumn="0"/>
            </w:pPr>
            <w:r w:rsidRPr="00044BC7">
              <w:t>-39%</w:t>
            </w:r>
          </w:p>
        </w:tc>
        <w:tc>
          <w:tcPr>
            <w:tcW w:w="1242" w:type="dxa"/>
            <w:vAlign w:val="top"/>
          </w:tcPr>
          <w:p w:rsidR="00E84B03" w:rsidRPr="00044BC7" w:rsidRDefault="00E84B03" w:rsidP="00890504">
            <w:pPr>
              <w:cnfStyle w:val="000000000000" w:firstRow="0" w:lastRow="0" w:firstColumn="0" w:lastColumn="0" w:oddVBand="0" w:evenVBand="0" w:oddHBand="0" w:evenHBand="0" w:firstRowFirstColumn="0" w:firstRowLastColumn="0" w:lastRowFirstColumn="0" w:lastRowLastColumn="0"/>
            </w:pPr>
            <w:r w:rsidRPr="00044BC7">
              <w:t>0%</w:t>
            </w:r>
          </w:p>
        </w:tc>
        <w:tc>
          <w:tcPr>
            <w:tcW w:w="1242" w:type="dxa"/>
            <w:vAlign w:val="top"/>
          </w:tcPr>
          <w:p w:rsidR="00E84B03" w:rsidRPr="00044BC7" w:rsidRDefault="00E84B03" w:rsidP="00890504">
            <w:pPr>
              <w:cnfStyle w:val="000000000000" w:firstRow="0" w:lastRow="0" w:firstColumn="0" w:lastColumn="0" w:oddVBand="0" w:evenVBand="0" w:oddHBand="0" w:evenHBand="0" w:firstRowFirstColumn="0" w:firstRowLastColumn="0" w:lastRowFirstColumn="0" w:lastRowLastColumn="0"/>
            </w:pPr>
            <w:r w:rsidRPr="00044BC7">
              <w:t>19%</w:t>
            </w:r>
          </w:p>
        </w:tc>
        <w:tc>
          <w:tcPr>
            <w:tcW w:w="1242" w:type="dxa"/>
            <w:vAlign w:val="top"/>
          </w:tcPr>
          <w:p w:rsidR="00E84B03" w:rsidRPr="00044BC7" w:rsidRDefault="00E84B03" w:rsidP="00890504">
            <w:pPr>
              <w:cnfStyle w:val="000000000000" w:firstRow="0" w:lastRow="0" w:firstColumn="0" w:lastColumn="0" w:oddVBand="0" w:evenVBand="0" w:oddHBand="0" w:evenHBand="0" w:firstRowFirstColumn="0" w:firstRowLastColumn="0" w:lastRowFirstColumn="0" w:lastRowLastColumn="0"/>
            </w:pPr>
            <w:r w:rsidRPr="00044BC7">
              <w:t>4%</w:t>
            </w:r>
          </w:p>
        </w:tc>
        <w:tc>
          <w:tcPr>
            <w:tcW w:w="1242" w:type="dxa"/>
            <w:vAlign w:val="top"/>
          </w:tcPr>
          <w:p w:rsidR="00E84B03" w:rsidRPr="00044BC7" w:rsidRDefault="00E84B03" w:rsidP="00890504">
            <w:pPr>
              <w:cnfStyle w:val="000000000000" w:firstRow="0" w:lastRow="0" w:firstColumn="0" w:lastColumn="0" w:oddVBand="0" w:evenVBand="0" w:oddHBand="0" w:evenHBand="0" w:firstRowFirstColumn="0" w:firstRowLastColumn="0" w:lastRowFirstColumn="0" w:lastRowLastColumn="0"/>
            </w:pPr>
            <w:r w:rsidRPr="00044BC7">
              <w:t>2%</w:t>
            </w:r>
          </w:p>
        </w:tc>
      </w:tr>
      <w:tr w:rsidR="00E84B03" w:rsidTr="008905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vAlign w:val="top"/>
          </w:tcPr>
          <w:p w:rsidR="00E84B03" w:rsidRPr="00B04924" w:rsidRDefault="00E84B03" w:rsidP="00890504">
            <w:r>
              <w:t>Main</w:t>
            </w:r>
            <w:r w:rsidRPr="00B04924">
              <w:t>s MD/HR</w:t>
            </w:r>
          </w:p>
        </w:tc>
        <w:tc>
          <w:tcPr>
            <w:tcW w:w="1242" w:type="dxa"/>
            <w:vAlign w:val="top"/>
          </w:tcPr>
          <w:p w:rsidR="00E84B03" w:rsidRDefault="00E84B03" w:rsidP="00890504">
            <w:pPr>
              <w:cnfStyle w:val="000000010000" w:firstRow="0" w:lastRow="0" w:firstColumn="0" w:lastColumn="0" w:oddVBand="0" w:evenVBand="0" w:oddHBand="0" w:evenHBand="1" w:firstRowFirstColumn="0" w:firstRowLastColumn="0" w:lastRowFirstColumn="0" w:lastRowLastColumn="0"/>
            </w:pPr>
            <w:r w:rsidRPr="00B04924">
              <w:t>404</w:t>
            </w:r>
          </w:p>
        </w:tc>
        <w:tc>
          <w:tcPr>
            <w:tcW w:w="1242" w:type="dxa"/>
            <w:vAlign w:val="top"/>
          </w:tcPr>
          <w:p w:rsidR="00E84B03" w:rsidRPr="00044BC7" w:rsidRDefault="00E84B03" w:rsidP="00890504">
            <w:pPr>
              <w:cnfStyle w:val="000000010000" w:firstRow="0" w:lastRow="0" w:firstColumn="0" w:lastColumn="0" w:oddVBand="0" w:evenVBand="0" w:oddHBand="0" w:evenHBand="1" w:firstRowFirstColumn="0" w:firstRowLastColumn="0" w:lastRowFirstColumn="0" w:lastRowLastColumn="0"/>
            </w:pPr>
            <w:r w:rsidRPr="00044BC7">
              <w:t>48%</w:t>
            </w:r>
          </w:p>
        </w:tc>
        <w:tc>
          <w:tcPr>
            <w:tcW w:w="1242" w:type="dxa"/>
            <w:vAlign w:val="top"/>
          </w:tcPr>
          <w:p w:rsidR="00E84B03" w:rsidRPr="00044BC7" w:rsidRDefault="00E84B03" w:rsidP="00890504">
            <w:pPr>
              <w:cnfStyle w:val="000000010000" w:firstRow="0" w:lastRow="0" w:firstColumn="0" w:lastColumn="0" w:oddVBand="0" w:evenVBand="0" w:oddHBand="0" w:evenHBand="1" w:firstRowFirstColumn="0" w:firstRowLastColumn="0" w:lastRowFirstColumn="0" w:lastRowLastColumn="0"/>
            </w:pPr>
            <w:r w:rsidRPr="00044BC7">
              <w:t>-3%</w:t>
            </w:r>
          </w:p>
        </w:tc>
        <w:tc>
          <w:tcPr>
            <w:tcW w:w="1242" w:type="dxa"/>
            <w:vAlign w:val="top"/>
          </w:tcPr>
          <w:p w:rsidR="00E84B03" w:rsidRPr="00044BC7" w:rsidRDefault="00E84B03" w:rsidP="00890504">
            <w:pPr>
              <w:cnfStyle w:val="000000010000" w:firstRow="0" w:lastRow="0" w:firstColumn="0" w:lastColumn="0" w:oddVBand="0" w:evenVBand="0" w:oddHBand="0" w:evenHBand="1" w:firstRowFirstColumn="0" w:firstRowLastColumn="0" w:lastRowFirstColumn="0" w:lastRowLastColumn="0"/>
            </w:pPr>
            <w:r w:rsidRPr="00044BC7">
              <w:t>0%</w:t>
            </w:r>
          </w:p>
        </w:tc>
        <w:tc>
          <w:tcPr>
            <w:tcW w:w="1242" w:type="dxa"/>
            <w:vAlign w:val="top"/>
          </w:tcPr>
          <w:p w:rsidR="00E84B03" w:rsidRPr="00044BC7" w:rsidRDefault="00E84B03" w:rsidP="00890504">
            <w:pPr>
              <w:cnfStyle w:val="000000010000" w:firstRow="0" w:lastRow="0" w:firstColumn="0" w:lastColumn="0" w:oddVBand="0" w:evenVBand="0" w:oddHBand="0" w:evenHBand="1" w:firstRowFirstColumn="0" w:firstRowLastColumn="0" w:lastRowFirstColumn="0" w:lastRowLastColumn="0"/>
            </w:pPr>
            <w:r w:rsidRPr="00044BC7">
              <w:t>3%</w:t>
            </w:r>
          </w:p>
        </w:tc>
        <w:tc>
          <w:tcPr>
            <w:tcW w:w="1242" w:type="dxa"/>
            <w:vAlign w:val="top"/>
          </w:tcPr>
          <w:p w:rsidR="00E84B03" w:rsidRDefault="00E84B03" w:rsidP="00890504">
            <w:pPr>
              <w:cnfStyle w:val="000000010000" w:firstRow="0" w:lastRow="0" w:firstColumn="0" w:lastColumn="0" w:oddVBand="0" w:evenVBand="0" w:oddHBand="0" w:evenHBand="1" w:firstRowFirstColumn="0" w:firstRowLastColumn="0" w:lastRowFirstColumn="0" w:lastRowLastColumn="0"/>
            </w:pPr>
            <w:r w:rsidRPr="00044BC7">
              <w:t>12%</w:t>
            </w:r>
          </w:p>
        </w:tc>
      </w:tr>
    </w:tbl>
    <w:p w:rsidR="00E84B03" w:rsidRDefault="00E84B03" w:rsidP="00E84B03">
      <w:pPr>
        <w:pStyle w:val="AERtablesource"/>
      </w:pPr>
      <w:r>
        <w:t xml:space="preserve">Source: </w:t>
      </w:r>
      <w:r w:rsidR="00496223">
        <w:tab/>
      </w:r>
      <w:r>
        <w:t>AER analysis</w:t>
      </w:r>
      <w:r w:rsidR="0061777C">
        <w:t>.</w:t>
      </w:r>
    </w:p>
    <w:p w:rsidR="00E84B03" w:rsidRDefault="00E84B03" w:rsidP="00E84B03">
      <w:r>
        <w:t xml:space="preserve">There are </w:t>
      </w:r>
      <w:r w:rsidR="00D87931">
        <w:t xml:space="preserve">also </w:t>
      </w:r>
      <w:r>
        <w:t xml:space="preserve">coding errors in </w:t>
      </w:r>
      <w:proofErr w:type="spellStart"/>
      <w:r>
        <w:t>ActewAGL’s</w:t>
      </w:r>
      <w:proofErr w:type="spellEnd"/>
      <w:r>
        <w:t xml:space="preserve"> unit rate model. </w:t>
      </w:r>
    </w:p>
    <w:p w:rsidR="00E84B03" w:rsidRPr="00CD6BDB" w:rsidRDefault="00E84B03" w:rsidP="00E84B03">
      <w:r>
        <w:t xml:space="preserve">ActewAGL </w:t>
      </w:r>
      <w:r w:rsidR="00D87931">
        <w:t xml:space="preserve">also </w:t>
      </w:r>
      <w:r>
        <w:t>included meters with a reason installed descriptor of ‘government test’. In response to our request to explain the meter inclusions,</w:t>
      </w:r>
      <w:r w:rsidRPr="0096103C">
        <w:t xml:space="preserve"> ActewAGL </w:t>
      </w:r>
      <w:r>
        <w:t>responded that it</w:t>
      </w:r>
      <w:r w:rsidRPr="0096103C">
        <w:t xml:space="preserve"> tests meters at the request of customers</w:t>
      </w:r>
      <w:r>
        <w:t xml:space="preserve"> and replaces meters where they fail.</w:t>
      </w:r>
      <w:r>
        <w:rPr>
          <w:rStyle w:val="FootnoteReference"/>
        </w:rPr>
        <w:footnoteReference w:id="171"/>
      </w:r>
      <w:r>
        <w:t xml:space="preserve"> Replacement of failed meters is captured within the meter renewal and upgrade capex category. To include it in connections capex would be double counting so we removed them.</w:t>
      </w:r>
    </w:p>
    <w:p w:rsidR="00D87931" w:rsidRDefault="00D87931" w:rsidP="00D87931">
      <w:r>
        <w:t xml:space="preserve">We consider that these data reconciliation issues should be resolved and the </w:t>
      </w:r>
      <w:r w:rsidR="00A213DD">
        <w:t>access arrangement</w:t>
      </w:r>
      <w:r>
        <w:t xml:space="preserve"> RIN and unit rate models resubmitted in </w:t>
      </w:r>
      <w:proofErr w:type="spellStart"/>
      <w:r>
        <w:t>ActewAGL’s</w:t>
      </w:r>
      <w:proofErr w:type="spellEnd"/>
      <w:r>
        <w:t xml:space="preserve"> revised proposal.</w:t>
      </w:r>
    </w:p>
    <w:p w:rsidR="004C0E60" w:rsidRPr="004C0E60" w:rsidRDefault="004C0E60" w:rsidP="004C0E60"/>
    <w:p w:rsidR="00433599" w:rsidRDefault="00433599">
      <w:pPr>
        <w:spacing w:line="240" w:lineRule="auto"/>
      </w:pPr>
      <w:r>
        <w:br w:type="page"/>
      </w:r>
    </w:p>
    <w:p w:rsidR="00474EC7" w:rsidRPr="00474EC7" w:rsidRDefault="00433599" w:rsidP="00433599">
      <w:pPr>
        <w:pStyle w:val="Heading7"/>
      </w:pPr>
      <w:bookmarkStart w:id="77" w:name="_Toc435692233"/>
      <w:r>
        <w:t>Confidential appendix</w:t>
      </w:r>
      <w:bookmarkEnd w:id="77"/>
    </w:p>
    <w:sectPr w:rsidR="00474EC7" w:rsidRPr="00474EC7" w:rsidSect="00B757A6">
      <w:headerReference w:type="even" r:id="rId13"/>
      <w:footerReference w:type="even" r:id="rId14"/>
      <w:footerReference w:type="default" r:id="rId15"/>
      <w:headerReference w:type="first" r:id="rId16"/>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BD6" w:rsidRPr="00290C63" w:rsidRDefault="00AF5BD6" w:rsidP="00290C63">
      <w:r>
        <w:separator/>
      </w:r>
    </w:p>
    <w:p w:rsidR="00AF5BD6" w:rsidRDefault="00AF5BD6"/>
  </w:endnote>
  <w:endnote w:type="continuationSeparator" w:id="0">
    <w:p w:rsidR="00AF5BD6" w:rsidRPr="00290C63" w:rsidRDefault="00AF5BD6" w:rsidP="00290C63">
      <w:r>
        <w:continuationSeparator/>
      </w:r>
    </w:p>
    <w:p w:rsidR="00AF5BD6" w:rsidRDefault="00AF5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BD6" w:rsidRDefault="00AF5BD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AF5BD6" w:rsidRDefault="00AF5BD6">
    <w:pPr>
      <w:pStyle w:val="Footer"/>
    </w:pPr>
  </w:p>
  <w:p w:rsidR="00AF5BD6" w:rsidRDefault="00AF5BD6">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AF5BD6" w:rsidRPr="00CA52A2" w:rsidRDefault="00AF5BD6" w:rsidP="00CA52A2">
        <w:pPr>
          <w:pStyle w:val="Footer"/>
        </w:pPr>
        <w:r w:rsidRPr="00CA52A2">
          <w:fldChar w:fldCharType="begin"/>
        </w:r>
        <w:r>
          <w:instrText xml:space="preserve"> PAGE   \* MERGEFORMAT </w:instrText>
        </w:r>
        <w:r w:rsidRPr="00CA52A2">
          <w:fldChar w:fldCharType="separate"/>
        </w:r>
        <w:r w:rsidR="00B537F9">
          <w:rPr>
            <w:noProof/>
          </w:rPr>
          <w:t>6-28</w:t>
        </w:r>
        <w:r w:rsidRPr="00CA52A2">
          <w:fldChar w:fldCharType="end"/>
        </w:r>
        <w:r>
          <w:t xml:space="preserve">          Attachment 6 </w:t>
        </w:r>
        <w:r w:rsidRPr="00CA52A2">
          <w:t xml:space="preserve">– </w:t>
        </w:r>
        <w:r>
          <w:t xml:space="preserve">Capital expenditure </w:t>
        </w:r>
        <w:r w:rsidRPr="00CA52A2">
          <w:t xml:space="preserve">| </w:t>
        </w:r>
        <w:r>
          <w:t>Draft decision: ActewAGL Distribution Access Arrangement 2016</w:t>
        </w:r>
        <w:r w:rsidRPr="00CA52A2">
          <w:t>–</w:t>
        </w:r>
        <w:r>
          <w:t>21</w:t>
        </w:r>
      </w:p>
    </w:sdtContent>
  </w:sdt>
  <w:p w:rsidR="00AF5BD6" w:rsidRDefault="00AF5BD6">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BD6" w:rsidRPr="00290C63" w:rsidRDefault="00AF5BD6" w:rsidP="00290C63">
      <w:r>
        <w:separator/>
      </w:r>
    </w:p>
    <w:p w:rsidR="00AF5BD6" w:rsidRDefault="00AF5BD6"/>
  </w:footnote>
  <w:footnote w:type="continuationSeparator" w:id="0">
    <w:p w:rsidR="00AF5BD6" w:rsidRPr="00290C63" w:rsidRDefault="00AF5BD6" w:rsidP="00290C63">
      <w:r>
        <w:continuationSeparator/>
      </w:r>
    </w:p>
    <w:p w:rsidR="00AF5BD6" w:rsidRDefault="00AF5BD6"/>
  </w:footnote>
  <w:footnote w:id="1">
    <w:p w:rsidR="00AF5BD6" w:rsidRDefault="00AF5BD6" w:rsidP="00CC7BAC">
      <w:pPr>
        <w:pStyle w:val="FootnoteText"/>
      </w:pPr>
      <w:r>
        <w:rPr>
          <w:rStyle w:val="FootnoteReference"/>
        </w:rPr>
        <w:footnoteRef/>
      </w:r>
      <w:r>
        <w:t xml:space="preserve"> </w:t>
      </w:r>
      <w:r>
        <w:tab/>
      </w:r>
      <w:proofErr w:type="gramStart"/>
      <w:r>
        <w:t xml:space="preserve">ActewAGL, </w:t>
      </w:r>
      <w:r w:rsidRPr="00390641">
        <w:rPr>
          <w:rStyle w:val="AERtextitalic"/>
        </w:rPr>
        <w:t>201</w:t>
      </w:r>
      <w:r>
        <w:rPr>
          <w:rStyle w:val="AERtextitalic"/>
        </w:rPr>
        <w:t>6–</w:t>
      </w:r>
      <w:r w:rsidRPr="00390641">
        <w:rPr>
          <w:rStyle w:val="AERtextitalic"/>
        </w:rPr>
        <w:t>2</w:t>
      </w:r>
      <w:r>
        <w:rPr>
          <w:rStyle w:val="AERtextitalic"/>
        </w:rPr>
        <w:t>1</w:t>
      </w:r>
      <w:r w:rsidRPr="00390641">
        <w:rPr>
          <w:rStyle w:val="AERtextitalic"/>
        </w:rPr>
        <w:t xml:space="preserve"> Access Arrangement Information</w:t>
      </w:r>
      <w:r>
        <w:t xml:space="preserve">, June 2015, </w:t>
      </w:r>
      <w:r w:rsidRPr="005F47F7">
        <w:t>6.04.1-CONFIDENTIAL-CapexForecastModel</w:t>
      </w:r>
      <w:r>
        <w:t>.xlsm.</w:t>
      </w:r>
      <w:proofErr w:type="gramEnd"/>
    </w:p>
  </w:footnote>
  <w:footnote w:id="2">
    <w:p w:rsidR="00AF5BD6" w:rsidRDefault="00AF5BD6">
      <w:pPr>
        <w:pStyle w:val="FootnoteText"/>
      </w:pPr>
      <w:r>
        <w:rPr>
          <w:rStyle w:val="FootnoteReference"/>
        </w:rPr>
        <w:footnoteRef/>
      </w:r>
      <w:r>
        <w:t xml:space="preserve"> </w:t>
      </w:r>
      <w:r>
        <w:tab/>
        <w:t xml:space="preserve">As we noted in section </w:t>
      </w:r>
      <w:r>
        <w:fldChar w:fldCharType="begin"/>
      </w:r>
      <w:r>
        <w:instrText xml:space="preserve"> REF _Ref434593806 \n \h </w:instrText>
      </w:r>
      <w:r>
        <w:fldChar w:fldCharType="separate"/>
      </w:r>
      <w:r>
        <w:t>6.1</w:t>
      </w:r>
      <w:r>
        <w:fldChar w:fldCharType="end"/>
      </w:r>
      <w:r>
        <w:t>, the conforming capex in 2014–15 are placeholder amounts.</w:t>
      </w:r>
    </w:p>
  </w:footnote>
  <w:footnote w:id="3">
    <w:p w:rsidR="00AF5BD6" w:rsidRDefault="00AF5BD6" w:rsidP="00FE066C">
      <w:pPr>
        <w:pStyle w:val="FootnoteText"/>
      </w:pPr>
      <w:r>
        <w:rPr>
          <w:rStyle w:val="FootnoteReference"/>
        </w:rPr>
        <w:footnoteRef/>
      </w:r>
      <w:r>
        <w:t xml:space="preserve"> </w:t>
      </w:r>
      <w:r>
        <w:tab/>
        <w:t>NGR, r. 77(2</w:t>
      </w:r>
      <w:proofErr w:type="gramStart"/>
      <w:r>
        <w:t>)(</w:t>
      </w:r>
      <w:proofErr w:type="gramEnd"/>
      <w:r>
        <w:t>b).</w:t>
      </w:r>
    </w:p>
  </w:footnote>
  <w:footnote w:id="4">
    <w:p w:rsidR="00AF5BD6" w:rsidRDefault="00AF5BD6" w:rsidP="00FE066C">
      <w:pPr>
        <w:pStyle w:val="FootnoteText"/>
      </w:pPr>
      <w:r>
        <w:rPr>
          <w:rStyle w:val="FootnoteReference"/>
        </w:rPr>
        <w:footnoteRef/>
      </w:r>
      <w:r>
        <w:t xml:space="preserve"> </w:t>
      </w:r>
      <w:r>
        <w:tab/>
      </w:r>
      <w:proofErr w:type="gramStart"/>
      <w:r>
        <w:t>NGR, r. 79.</w:t>
      </w:r>
      <w:proofErr w:type="gramEnd"/>
    </w:p>
  </w:footnote>
  <w:footnote w:id="5">
    <w:p w:rsidR="00AF5BD6" w:rsidRDefault="00AF5BD6">
      <w:pPr>
        <w:pStyle w:val="FootnoteText"/>
      </w:pPr>
      <w:r>
        <w:rPr>
          <w:rStyle w:val="FootnoteReference"/>
        </w:rPr>
        <w:footnoteRef/>
      </w:r>
      <w:r>
        <w:t xml:space="preserve"> </w:t>
      </w:r>
      <w:r>
        <w:tab/>
      </w:r>
      <w:proofErr w:type="gramStart"/>
      <w:r>
        <w:t>NGR, r. 69.</w:t>
      </w:r>
      <w:proofErr w:type="gramEnd"/>
    </w:p>
  </w:footnote>
  <w:footnote w:id="6">
    <w:p w:rsidR="00AF5BD6" w:rsidRDefault="00AF5BD6" w:rsidP="00FE066C">
      <w:pPr>
        <w:pStyle w:val="FootnoteText"/>
      </w:pPr>
      <w:r>
        <w:rPr>
          <w:rStyle w:val="FootnoteReference"/>
        </w:rPr>
        <w:footnoteRef/>
      </w:r>
      <w:r>
        <w:t xml:space="preserve"> </w:t>
      </w:r>
      <w:r>
        <w:tab/>
      </w:r>
      <w:proofErr w:type="gramStart"/>
      <w:r>
        <w:rPr>
          <w:rFonts w:eastAsia="Calibri"/>
        </w:rPr>
        <w:t>NGR, r. 74(2).</w:t>
      </w:r>
      <w:proofErr w:type="gramEnd"/>
    </w:p>
  </w:footnote>
  <w:footnote w:id="7">
    <w:p w:rsidR="00AF5BD6" w:rsidRDefault="00AF5BD6" w:rsidP="00FE066C">
      <w:pPr>
        <w:pStyle w:val="FootnoteText"/>
      </w:pPr>
      <w:r>
        <w:rPr>
          <w:rStyle w:val="FootnoteReference"/>
        </w:rPr>
        <w:footnoteRef/>
      </w:r>
      <w:r>
        <w:t xml:space="preserve"> </w:t>
      </w:r>
      <w:r>
        <w:tab/>
      </w:r>
      <w:proofErr w:type="gramStart"/>
      <w:r>
        <w:t>NGR, r. 79(6).</w:t>
      </w:r>
      <w:proofErr w:type="gramEnd"/>
    </w:p>
  </w:footnote>
  <w:footnote w:id="8">
    <w:p w:rsidR="00AF5BD6" w:rsidRDefault="00AF5BD6" w:rsidP="00FE066C">
      <w:pPr>
        <w:pStyle w:val="FootnoteText"/>
      </w:pPr>
      <w:r>
        <w:rPr>
          <w:rStyle w:val="FootnoteReference"/>
        </w:rPr>
        <w:footnoteRef/>
      </w:r>
      <w:r>
        <w:t xml:space="preserve"> </w:t>
      </w:r>
      <w:r>
        <w:tab/>
      </w:r>
      <w:proofErr w:type="gramStart"/>
      <w:r>
        <w:t>NGR, r. 40(2).</w:t>
      </w:r>
      <w:proofErr w:type="gramEnd"/>
    </w:p>
  </w:footnote>
  <w:footnote w:id="9">
    <w:p w:rsidR="00AF5BD6" w:rsidRDefault="00AF5BD6" w:rsidP="00424275">
      <w:pPr>
        <w:pStyle w:val="FootnoteText"/>
        <w:rPr>
          <w:rFonts w:eastAsia="Calibri"/>
        </w:rPr>
      </w:pPr>
      <w:r>
        <w:rPr>
          <w:rStyle w:val="FootnoteReference"/>
        </w:rPr>
        <w:footnoteRef/>
      </w:r>
      <w:r>
        <w:t xml:space="preserve"> </w:t>
      </w:r>
      <w:r>
        <w:tab/>
      </w:r>
      <w:r>
        <w:rPr>
          <w:rFonts w:eastAsia="Calibri"/>
        </w:rPr>
        <w:t>For instance, r. 74 of the NGR requires estimates and forecasts to be made on a reasonable basis, amongst</w:t>
      </w:r>
    </w:p>
    <w:p w:rsidR="00AF5BD6" w:rsidRDefault="00AF5BD6" w:rsidP="00424275">
      <w:pPr>
        <w:pStyle w:val="FootnoteText"/>
      </w:pPr>
      <w:r>
        <w:rPr>
          <w:rFonts w:eastAsia="Calibri"/>
        </w:rPr>
        <w:tab/>
      </w:r>
      <w:proofErr w:type="gramStart"/>
      <w:r>
        <w:rPr>
          <w:rFonts w:eastAsia="Calibri"/>
        </w:rPr>
        <w:t>other</w:t>
      </w:r>
      <w:proofErr w:type="gramEnd"/>
      <w:r>
        <w:rPr>
          <w:rFonts w:eastAsia="Calibri"/>
        </w:rPr>
        <w:t xml:space="preserve"> things.</w:t>
      </w:r>
    </w:p>
  </w:footnote>
  <w:footnote w:id="10">
    <w:p w:rsidR="00AF5BD6" w:rsidRDefault="00AF5BD6" w:rsidP="00424275">
      <w:pPr>
        <w:pStyle w:val="FootnoteText"/>
      </w:pPr>
      <w:r>
        <w:rPr>
          <w:rStyle w:val="FootnoteReference"/>
        </w:rPr>
        <w:footnoteRef/>
      </w:r>
      <w:r>
        <w:t xml:space="preserve"> </w:t>
      </w:r>
      <w:r>
        <w:tab/>
      </w:r>
      <w:proofErr w:type="gramStart"/>
      <w:r>
        <w:rPr>
          <w:rFonts w:eastAsia="Calibri"/>
        </w:rPr>
        <w:t>NGL, s. 28(1).</w:t>
      </w:r>
      <w:proofErr w:type="gramEnd"/>
    </w:p>
  </w:footnote>
  <w:footnote w:id="11">
    <w:p w:rsidR="00AF5BD6" w:rsidRDefault="00AF5BD6" w:rsidP="00F57FF7">
      <w:pPr>
        <w:pStyle w:val="FootnoteText"/>
      </w:pPr>
      <w:r>
        <w:rPr>
          <w:rStyle w:val="FootnoteReference"/>
        </w:rPr>
        <w:footnoteRef/>
      </w:r>
      <w:r>
        <w:t xml:space="preserve"> </w:t>
      </w:r>
      <w:r>
        <w:tab/>
      </w:r>
      <w:proofErr w:type="gramStart"/>
      <w:r>
        <w:t>NGR, schedule 1, r. 35(3).</w:t>
      </w:r>
      <w:proofErr w:type="gramEnd"/>
    </w:p>
  </w:footnote>
  <w:footnote w:id="12">
    <w:p w:rsidR="00AF5BD6" w:rsidRDefault="00AF5BD6" w:rsidP="00F57FF7">
      <w:pPr>
        <w:pStyle w:val="FootnoteText"/>
      </w:pPr>
      <w:r>
        <w:rPr>
          <w:rStyle w:val="FootnoteReference"/>
        </w:rPr>
        <w:footnoteRef/>
      </w:r>
      <w:r>
        <w:t xml:space="preserve"> </w:t>
      </w:r>
      <w:r>
        <w:tab/>
      </w:r>
      <w:r w:rsidRPr="000853A5">
        <w:t>The forthcoming period is</w:t>
      </w:r>
      <w:r>
        <w:t xml:space="preserve"> </w:t>
      </w:r>
      <w:r w:rsidRPr="000853A5">
        <w:t xml:space="preserve">five years in length from 2016–17 to 2020–21. </w:t>
      </w:r>
      <w:r>
        <w:t xml:space="preserve">AER, </w:t>
      </w:r>
      <w:r w:rsidRPr="00D81C01">
        <w:rPr>
          <w:i/>
        </w:rPr>
        <w:t>Letter to ActewAGL – gas access arrangement period</w:t>
      </w:r>
      <w:r>
        <w:t>, 24 November 2014 (D14/159989).</w:t>
      </w:r>
    </w:p>
  </w:footnote>
  <w:footnote w:id="13">
    <w:p w:rsidR="00AF5BD6" w:rsidRDefault="00AF5BD6" w:rsidP="00424275">
      <w:pPr>
        <w:pStyle w:val="FootnoteText"/>
      </w:pPr>
      <w:r>
        <w:rPr>
          <w:rStyle w:val="FootnoteReference"/>
        </w:rPr>
        <w:footnoteRef/>
      </w:r>
      <w:r>
        <w:t xml:space="preserve"> </w:t>
      </w:r>
      <w:r>
        <w:tab/>
        <w:t>NGR, r. 77(2</w:t>
      </w:r>
      <w:proofErr w:type="gramStart"/>
      <w:r>
        <w:t>)(</w:t>
      </w:r>
      <w:proofErr w:type="gramEnd"/>
      <w:r>
        <w:t>a).</w:t>
      </w:r>
    </w:p>
  </w:footnote>
  <w:footnote w:id="14">
    <w:p w:rsidR="00AF5BD6" w:rsidRDefault="00AF5BD6" w:rsidP="004F1557">
      <w:pPr>
        <w:pStyle w:val="FootnoteText"/>
      </w:pPr>
      <w:r>
        <w:rPr>
          <w:rStyle w:val="FootnoteReference"/>
        </w:rPr>
        <w:footnoteRef/>
      </w:r>
      <w:r>
        <w:t xml:space="preserve"> </w:t>
      </w:r>
      <w:r>
        <w:tab/>
        <w:t>NGR, r. 77(2</w:t>
      </w:r>
      <w:proofErr w:type="gramStart"/>
      <w:r>
        <w:t>)(</w:t>
      </w:r>
      <w:proofErr w:type="gramEnd"/>
      <w:r>
        <w:t>a).</w:t>
      </w:r>
    </w:p>
  </w:footnote>
  <w:footnote w:id="15">
    <w:p w:rsidR="00AF5BD6" w:rsidRDefault="00AF5BD6" w:rsidP="004F1557">
      <w:pPr>
        <w:pStyle w:val="FootnoteText"/>
      </w:pPr>
      <w:r>
        <w:rPr>
          <w:rStyle w:val="FootnoteReference"/>
        </w:rPr>
        <w:footnoteRef/>
      </w:r>
      <w:r>
        <w:t xml:space="preserve"> </w:t>
      </w:r>
      <w:r>
        <w:tab/>
      </w:r>
      <w:proofErr w:type="gramStart"/>
      <w:r>
        <w:t>NGR, r. 79.</w:t>
      </w:r>
      <w:proofErr w:type="gramEnd"/>
    </w:p>
  </w:footnote>
  <w:footnote w:id="16">
    <w:p w:rsidR="00AF5BD6" w:rsidRDefault="00AF5BD6" w:rsidP="004F1557">
      <w:pPr>
        <w:pStyle w:val="FootnoteText"/>
      </w:pPr>
      <w:r>
        <w:rPr>
          <w:rStyle w:val="FootnoteReference"/>
        </w:rPr>
        <w:footnoteRef/>
      </w:r>
      <w:r>
        <w:t xml:space="preserve"> </w:t>
      </w:r>
      <w:r>
        <w:tab/>
        <w:t>NGR, r. 77(2</w:t>
      </w:r>
      <w:proofErr w:type="gramStart"/>
      <w:r>
        <w:t>)(</w:t>
      </w:r>
      <w:proofErr w:type="gramEnd"/>
      <w:r>
        <w:t>b).</w:t>
      </w:r>
    </w:p>
  </w:footnote>
  <w:footnote w:id="17">
    <w:p w:rsidR="00AF5BD6" w:rsidRDefault="00AF5BD6" w:rsidP="004F1557">
      <w:pPr>
        <w:pStyle w:val="FootnoteText"/>
      </w:pPr>
      <w:r>
        <w:rPr>
          <w:rStyle w:val="FootnoteReference"/>
        </w:rPr>
        <w:footnoteRef/>
      </w:r>
      <w:r>
        <w:t xml:space="preserve"> </w:t>
      </w:r>
      <w:r>
        <w:tab/>
        <w:t xml:space="preserve">NGR, </w:t>
      </w:r>
      <w:proofErr w:type="spellStart"/>
      <w:proofErr w:type="gramStart"/>
      <w:r>
        <w:t>rr</w:t>
      </w:r>
      <w:proofErr w:type="spellEnd"/>
      <w:proofErr w:type="gramEnd"/>
      <w:r>
        <w:t>. 77(2</w:t>
      </w:r>
      <w:proofErr w:type="gramStart"/>
      <w:r>
        <w:t>)(</w:t>
      </w:r>
      <w:proofErr w:type="gramEnd"/>
      <w:r>
        <w:t>b), 79.</w:t>
      </w:r>
    </w:p>
  </w:footnote>
  <w:footnote w:id="18">
    <w:p w:rsidR="00AF5BD6" w:rsidRDefault="00AF5BD6" w:rsidP="004F1557">
      <w:pPr>
        <w:pStyle w:val="FootnoteText"/>
      </w:pPr>
      <w:r>
        <w:rPr>
          <w:rStyle w:val="FootnoteReference"/>
        </w:rPr>
        <w:footnoteRef/>
      </w:r>
      <w:r>
        <w:t xml:space="preserve"> </w:t>
      </w:r>
      <w:r>
        <w:tab/>
        <w:t>NGR, r. 77(2</w:t>
      </w:r>
      <w:proofErr w:type="gramStart"/>
      <w:r>
        <w:t>)(</w:t>
      </w:r>
      <w:proofErr w:type="gramEnd"/>
      <w:r>
        <w:t>b).</w:t>
      </w:r>
    </w:p>
  </w:footnote>
  <w:footnote w:id="19">
    <w:p w:rsidR="00AF5BD6" w:rsidRDefault="00AF5BD6" w:rsidP="001E2F1C">
      <w:pPr>
        <w:pStyle w:val="FootnoteText"/>
      </w:pPr>
      <w:r>
        <w:rPr>
          <w:rStyle w:val="FootnoteReference"/>
        </w:rPr>
        <w:footnoteRef/>
      </w:r>
      <w:r>
        <w:t xml:space="preserve"> </w:t>
      </w:r>
      <w:r>
        <w:tab/>
        <w:t xml:space="preserve">ActewAGL, </w:t>
      </w:r>
      <w:r w:rsidRPr="001E2F1C">
        <w:rPr>
          <w:i/>
        </w:rPr>
        <w:t>Attachment 6: Capital expenditure</w:t>
      </w:r>
      <w:r>
        <w:rPr>
          <w:i/>
        </w:rPr>
        <w:t xml:space="preserve">: </w:t>
      </w:r>
      <w:r w:rsidRPr="001E2F1C">
        <w:rPr>
          <w:i/>
        </w:rPr>
        <w:t xml:space="preserve">Access </w:t>
      </w:r>
      <w:r>
        <w:rPr>
          <w:i/>
        </w:rPr>
        <w:t>a</w:t>
      </w:r>
      <w:r w:rsidRPr="001E2F1C">
        <w:rPr>
          <w:i/>
        </w:rPr>
        <w:t xml:space="preserve">rrangement </w:t>
      </w:r>
      <w:r>
        <w:rPr>
          <w:i/>
        </w:rPr>
        <w:t>i</w:t>
      </w:r>
      <w:r w:rsidRPr="001E2F1C">
        <w:rPr>
          <w:i/>
        </w:rPr>
        <w:t>nformation for the 2016</w:t>
      </w:r>
      <w:r>
        <w:rPr>
          <w:i/>
        </w:rPr>
        <w:t>–</w:t>
      </w:r>
      <w:r w:rsidRPr="001E2F1C">
        <w:rPr>
          <w:i/>
        </w:rPr>
        <w:t xml:space="preserve">21 ACT, Queanbeyan and </w:t>
      </w:r>
      <w:proofErr w:type="spellStart"/>
      <w:r w:rsidRPr="001E2F1C">
        <w:rPr>
          <w:i/>
        </w:rPr>
        <w:t>Palerang</w:t>
      </w:r>
      <w:proofErr w:type="spellEnd"/>
      <w:r w:rsidRPr="001E2F1C">
        <w:rPr>
          <w:i/>
        </w:rPr>
        <w:t xml:space="preserve"> </w:t>
      </w:r>
      <w:r>
        <w:rPr>
          <w:i/>
        </w:rPr>
        <w:t>a</w:t>
      </w:r>
      <w:r w:rsidRPr="001E2F1C">
        <w:rPr>
          <w:i/>
        </w:rPr>
        <w:t xml:space="preserve">ccess </w:t>
      </w:r>
      <w:r>
        <w:rPr>
          <w:i/>
        </w:rPr>
        <w:t>a</w:t>
      </w:r>
      <w:r w:rsidRPr="001E2F1C">
        <w:rPr>
          <w:i/>
        </w:rPr>
        <w:t>rrangement</w:t>
      </w:r>
      <w:r>
        <w:t>, June</w:t>
      </w:r>
      <w:r w:rsidRPr="00007A3F">
        <w:t xml:space="preserve"> 2015</w:t>
      </w:r>
      <w:r>
        <w:t>.</w:t>
      </w:r>
    </w:p>
  </w:footnote>
  <w:footnote w:id="20">
    <w:p w:rsidR="00AF5BD6" w:rsidRDefault="00AF5BD6" w:rsidP="00424275">
      <w:pPr>
        <w:pStyle w:val="FootnoteText"/>
      </w:pPr>
      <w:r>
        <w:rPr>
          <w:rStyle w:val="FootnoteReference"/>
        </w:rPr>
        <w:footnoteRef/>
      </w:r>
      <w:r>
        <w:t xml:space="preserve"> </w:t>
      </w:r>
      <w:r>
        <w:tab/>
      </w:r>
      <w:proofErr w:type="gramStart"/>
      <w:r>
        <w:t xml:space="preserve">ActewAGL, </w:t>
      </w:r>
      <w:r w:rsidRPr="00E14E22">
        <w:rPr>
          <w:i/>
        </w:rPr>
        <w:t xml:space="preserve">Access </w:t>
      </w:r>
      <w:r>
        <w:rPr>
          <w:i/>
        </w:rPr>
        <w:t>a</w:t>
      </w:r>
      <w:r w:rsidRPr="00E14E22">
        <w:rPr>
          <w:i/>
        </w:rPr>
        <w:t xml:space="preserve">rrangement </w:t>
      </w:r>
      <w:r>
        <w:rPr>
          <w:i/>
        </w:rPr>
        <w:t>i</w:t>
      </w:r>
      <w:r w:rsidRPr="00E14E22">
        <w:rPr>
          <w:i/>
        </w:rPr>
        <w:t>nformation</w:t>
      </w:r>
      <w:r>
        <w:t>,</w:t>
      </w:r>
      <w:r w:rsidRPr="00007A3F">
        <w:t xml:space="preserve"> J</w:t>
      </w:r>
      <w:r>
        <w:t>une</w:t>
      </w:r>
      <w:r w:rsidRPr="00007A3F">
        <w:t xml:space="preserve"> 2015</w:t>
      </w:r>
      <w:r>
        <w:t>, Appendices 6.01, 6.02, 6.03, 6.06, 6.07</w:t>
      </w:r>
      <w:r>
        <w:rPr>
          <w:rStyle w:val="AERtextitalic"/>
        </w:rPr>
        <w:t>.</w:t>
      </w:r>
      <w:proofErr w:type="gramEnd"/>
    </w:p>
  </w:footnote>
  <w:footnote w:id="21">
    <w:p w:rsidR="00AF5BD6" w:rsidRDefault="00AF5BD6" w:rsidP="00424275">
      <w:pPr>
        <w:pStyle w:val="FootnoteText"/>
      </w:pPr>
      <w:r>
        <w:rPr>
          <w:rStyle w:val="FootnoteReference"/>
        </w:rPr>
        <w:footnoteRef/>
      </w:r>
      <w:r>
        <w:t xml:space="preserve"> </w:t>
      </w:r>
      <w:r>
        <w:tab/>
      </w:r>
      <w:proofErr w:type="gramStart"/>
      <w:r>
        <w:t xml:space="preserve">ActewAGL, </w:t>
      </w:r>
      <w:r w:rsidRPr="00E14E22">
        <w:rPr>
          <w:i/>
        </w:rPr>
        <w:t xml:space="preserve">Access </w:t>
      </w:r>
      <w:r>
        <w:rPr>
          <w:i/>
        </w:rPr>
        <w:t>a</w:t>
      </w:r>
      <w:r w:rsidRPr="00E14E22">
        <w:rPr>
          <w:i/>
        </w:rPr>
        <w:t xml:space="preserve">rrangement </w:t>
      </w:r>
      <w:r>
        <w:rPr>
          <w:i/>
        </w:rPr>
        <w:t>i</w:t>
      </w:r>
      <w:r w:rsidRPr="00E14E22">
        <w:rPr>
          <w:i/>
        </w:rPr>
        <w:t>nformation</w:t>
      </w:r>
      <w:r>
        <w:t>,</w:t>
      </w:r>
      <w:r w:rsidRPr="00007A3F">
        <w:t xml:space="preserve"> J</w:t>
      </w:r>
      <w:r>
        <w:t>une</w:t>
      </w:r>
      <w:r w:rsidRPr="00007A3F">
        <w:t xml:space="preserve"> 2015</w:t>
      </w:r>
      <w:r>
        <w:t xml:space="preserve">, 2016–21 – </w:t>
      </w:r>
      <w:r w:rsidRPr="003B108B">
        <w:rPr>
          <w:caps/>
        </w:rPr>
        <w:t>public</w:t>
      </w:r>
      <w:r>
        <w:t xml:space="preserve"> Gas Reset RIN MASTER FINAL_revised_6 July2015.xls</w:t>
      </w:r>
      <w:r>
        <w:rPr>
          <w:rStyle w:val="AERtextitalic"/>
        </w:rPr>
        <w:t>.</w:t>
      </w:r>
      <w:proofErr w:type="gramEnd"/>
    </w:p>
  </w:footnote>
  <w:footnote w:id="22">
    <w:p w:rsidR="00AF5BD6" w:rsidRDefault="00AF5BD6" w:rsidP="00424275">
      <w:pPr>
        <w:pStyle w:val="FootnoteText"/>
      </w:pPr>
      <w:r>
        <w:rPr>
          <w:rStyle w:val="FootnoteReference"/>
        </w:rPr>
        <w:footnoteRef/>
      </w:r>
      <w:r>
        <w:t xml:space="preserve"> </w:t>
      </w:r>
      <w:r>
        <w:tab/>
      </w:r>
      <w:proofErr w:type="gramStart"/>
      <w:r>
        <w:t xml:space="preserve">ActewAGL, </w:t>
      </w:r>
      <w:r w:rsidRPr="00E14E22">
        <w:rPr>
          <w:i/>
        </w:rPr>
        <w:t xml:space="preserve">Access </w:t>
      </w:r>
      <w:r>
        <w:rPr>
          <w:i/>
        </w:rPr>
        <w:t>a</w:t>
      </w:r>
      <w:r w:rsidRPr="00E14E22">
        <w:rPr>
          <w:i/>
        </w:rPr>
        <w:t xml:space="preserve">rrangement </w:t>
      </w:r>
      <w:r>
        <w:rPr>
          <w:i/>
        </w:rPr>
        <w:t>i</w:t>
      </w:r>
      <w:r w:rsidRPr="00E14E22">
        <w:rPr>
          <w:i/>
        </w:rPr>
        <w:t>nformation</w:t>
      </w:r>
      <w:r>
        <w:t>,</w:t>
      </w:r>
      <w:r w:rsidRPr="00007A3F">
        <w:t xml:space="preserve"> J</w:t>
      </w:r>
      <w:r>
        <w:t>une</w:t>
      </w:r>
      <w:r w:rsidRPr="00007A3F">
        <w:t xml:space="preserve"> 2015</w:t>
      </w:r>
      <w:r>
        <w:t xml:space="preserve">, Appendices 6.05.1, 6.05.2, 6.05.3, 6.05.4, 6.05.5 (all </w:t>
      </w:r>
      <w:r w:rsidRPr="00597704">
        <w:rPr>
          <w:caps/>
        </w:rPr>
        <w:t>confidential</w:t>
      </w:r>
      <w:r>
        <w:t>).</w:t>
      </w:r>
      <w:proofErr w:type="gramEnd"/>
    </w:p>
  </w:footnote>
  <w:footnote w:id="23">
    <w:p w:rsidR="00AF5BD6" w:rsidRDefault="00AF5BD6" w:rsidP="00424275">
      <w:pPr>
        <w:pStyle w:val="FootnoteText"/>
      </w:pPr>
      <w:r>
        <w:rPr>
          <w:rStyle w:val="FootnoteReference"/>
        </w:rPr>
        <w:footnoteRef/>
      </w:r>
      <w:r>
        <w:t xml:space="preserve"> </w:t>
      </w:r>
      <w:r>
        <w:tab/>
        <w:t xml:space="preserve">ActewAGL, </w:t>
      </w:r>
      <w:r w:rsidRPr="00E14E22">
        <w:rPr>
          <w:i/>
        </w:rPr>
        <w:t xml:space="preserve">Access </w:t>
      </w:r>
      <w:r>
        <w:rPr>
          <w:i/>
        </w:rPr>
        <w:t>a</w:t>
      </w:r>
      <w:r w:rsidRPr="00E14E22">
        <w:rPr>
          <w:i/>
        </w:rPr>
        <w:t xml:space="preserve">rrangement </w:t>
      </w:r>
      <w:r>
        <w:rPr>
          <w:i/>
        </w:rPr>
        <w:t>i</w:t>
      </w:r>
      <w:r w:rsidRPr="00E14E22">
        <w:rPr>
          <w:i/>
        </w:rPr>
        <w:t>nformation</w:t>
      </w:r>
      <w:r>
        <w:t>,</w:t>
      </w:r>
      <w:r w:rsidRPr="00007A3F">
        <w:t xml:space="preserve"> J</w:t>
      </w:r>
      <w:r>
        <w:t>une</w:t>
      </w:r>
      <w:r w:rsidRPr="00007A3F">
        <w:t xml:space="preserve"> 2015</w:t>
      </w:r>
      <w:r>
        <w:t>, Attachment 4 (</w:t>
      </w:r>
      <w:r w:rsidRPr="009967F3">
        <w:rPr>
          <w:caps/>
        </w:rPr>
        <w:t>confidential</w:t>
      </w:r>
      <w:r>
        <w:t>), Appendices 4.01 – ASA, 4.01 – DAMS, 4.02, 4.03, 4.04, 4.05a, 4.05b (all CONFIDENTIAL except 4.03 and 4.04).</w:t>
      </w:r>
    </w:p>
  </w:footnote>
  <w:footnote w:id="24">
    <w:p w:rsidR="00AF5BD6" w:rsidRDefault="00AF5BD6" w:rsidP="00424275">
      <w:pPr>
        <w:pStyle w:val="FootnoteText"/>
      </w:pPr>
      <w:r>
        <w:rPr>
          <w:rStyle w:val="FootnoteReference"/>
        </w:rPr>
        <w:footnoteRef/>
      </w:r>
      <w:r>
        <w:t xml:space="preserve"> </w:t>
      </w:r>
      <w:r>
        <w:tab/>
      </w:r>
      <w:proofErr w:type="gramStart"/>
      <w:r>
        <w:t xml:space="preserve">ActewAGL, </w:t>
      </w:r>
      <w:r w:rsidRPr="00E14E22">
        <w:rPr>
          <w:i/>
        </w:rPr>
        <w:t xml:space="preserve">Access </w:t>
      </w:r>
      <w:r>
        <w:rPr>
          <w:i/>
        </w:rPr>
        <w:t>a</w:t>
      </w:r>
      <w:r w:rsidRPr="00E14E22">
        <w:rPr>
          <w:i/>
        </w:rPr>
        <w:t xml:space="preserve">rrangement </w:t>
      </w:r>
      <w:r>
        <w:rPr>
          <w:i/>
        </w:rPr>
        <w:t>i</w:t>
      </w:r>
      <w:r w:rsidRPr="00E14E22">
        <w:rPr>
          <w:i/>
        </w:rPr>
        <w:t>nformation</w:t>
      </w:r>
      <w:r>
        <w:t>,</w:t>
      </w:r>
      <w:r w:rsidRPr="00007A3F">
        <w:t xml:space="preserve"> </w:t>
      </w:r>
      <w:r>
        <w:t>June</w:t>
      </w:r>
      <w:r w:rsidRPr="00007A3F">
        <w:t xml:space="preserve"> 2015</w:t>
      </w:r>
      <w:r>
        <w:t>,</w:t>
      </w:r>
      <w:r w:rsidRPr="000A5673">
        <w:t xml:space="preserve"> Attachment </w:t>
      </w:r>
      <w:r>
        <w:t>6.04.1 – CONFIDENTIAL - CapexForecastModel.xls.</w:t>
      </w:r>
      <w:proofErr w:type="gramEnd"/>
    </w:p>
  </w:footnote>
  <w:footnote w:id="25">
    <w:p w:rsidR="00AF5BD6" w:rsidRDefault="00AF5BD6">
      <w:pPr>
        <w:pStyle w:val="FootnoteText"/>
      </w:pPr>
      <w:r>
        <w:rPr>
          <w:rStyle w:val="FootnoteReference"/>
        </w:rPr>
        <w:footnoteRef/>
      </w:r>
      <w:r>
        <w:t xml:space="preserve"> </w:t>
      </w:r>
      <w:r>
        <w:tab/>
        <w:t>NGR, r. 79(1</w:t>
      </w:r>
      <w:proofErr w:type="gramStart"/>
      <w:r>
        <w:t>)(</w:t>
      </w:r>
      <w:proofErr w:type="gramEnd"/>
      <w:r>
        <w:t xml:space="preserve">a). </w:t>
      </w:r>
    </w:p>
  </w:footnote>
  <w:footnote w:id="26">
    <w:p w:rsidR="00AF5BD6" w:rsidRDefault="00AF5BD6" w:rsidP="00FC4A16">
      <w:pPr>
        <w:pStyle w:val="FootnoteText"/>
      </w:pPr>
      <w:r>
        <w:rPr>
          <w:rStyle w:val="FootnoteReference"/>
        </w:rPr>
        <w:footnoteRef/>
      </w:r>
      <w:r>
        <w:t xml:space="preserve"> </w:t>
      </w:r>
      <w:r>
        <w:tab/>
        <w:t xml:space="preserve">AER, </w:t>
      </w:r>
      <w:r w:rsidRPr="00963704">
        <w:rPr>
          <w:rStyle w:val="AERtextitalic"/>
        </w:rPr>
        <w:t>Better Regulation: Expenditure Forecast Assessment Guideline for Electricity Distribution</w:t>
      </w:r>
      <w:r>
        <w:t xml:space="preserve">, </w:t>
      </w:r>
      <w:r w:rsidRPr="000D0C7C">
        <w:t>November 2013</w:t>
      </w:r>
      <w:r>
        <w:t>, pp. 9–10.</w:t>
      </w:r>
    </w:p>
  </w:footnote>
  <w:footnote w:id="27">
    <w:p w:rsidR="00AF5BD6" w:rsidRDefault="00AF5BD6" w:rsidP="00FC4A16">
      <w:pPr>
        <w:pStyle w:val="FootnoteText"/>
      </w:pPr>
      <w:r>
        <w:rPr>
          <w:rStyle w:val="FootnoteReference"/>
        </w:rPr>
        <w:footnoteRef/>
      </w:r>
      <w:r>
        <w:t xml:space="preserve"> </w:t>
      </w:r>
      <w:r>
        <w:tab/>
      </w:r>
      <w:proofErr w:type="gramStart"/>
      <w:r>
        <w:t>NGR, r. 71(1).</w:t>
      </w:r>
      <w:proofErr w:type="gramEnd"/>
    </w:p>
  </w:footnote>
  <w:footnote w:id="28">
    <w:p w:rsidR="00AF5BD6" w:rsidRDefault="00AF5BD6" w:rsidP="00FC4A16">
      <w:pPr>
        <w:pStyle w:val="FootnoteText"/>
      </w:pPr>
      <w:r>
        <w:rPr>
          <w:rStyle w:val="FootnoteReference"/>
        </w:rPr>
        <w:footnoteRef/>
      </w:r>
      <w:r>
        <w:t xml:space="preserve"> </w:t>
      </w:r>
      <w:r>
        <w:tab/>
      </w:r>
      <w:proofErr w:type="gramStart"/>
      <w:r>
        <w:t>NGR, r. 71(1).</w:t>
      </w:r>
      <w:proofErr w:type="gramEnd"/>
    </w:p>
  </w:footnote>
  <w:footnote w:id="29">
    <w:p w:rsidR="00AF5BD6" w:rsidRDefault="00AF5BD6" w:rsidP="003F66E1">
      <w:pPr>
        <w:pStyle w:val="FootnoteText"/>
      </w:pPr>
      <w:r>
        <w:rPr>
          <w:rStyle w:val="FootnoteReference"/>
        </w:rPr>
        <w:footnoteRef/>
      </w:r>
      <w:r>
        <w:t xml:space="preserve"> </w:t>
      </w:r>
      <w:r>
        <w:tab/>
      </w:r>
      <w:proofErr w:type="spellStart"/>
      <w:r>
        <w:t>Sleeman</w:t>
      </w:r>
      <w:proofErr w:type="spellEnd"/>
      <w:r>
        <w:t xml:space="preserve"> Consulting, </w:t>
      </w:r>
      <w:r w:rsidRPr="0024187F">
        <w:rPr>
          <w:rStyle w:val="AERtextitalic"/>
        </w:rPr>
        <w:t>ActewAGL access arrangement 2016–21: Review of capex forecasts for selected projects</w:t>
      </w:r>
      <w:r>
        <w:t>, 18 November 2015.</w:t>
      </w:r>
    </w:p>
  </w:footnote>
  <w:footnote w:id="30">
    <w:p w:rsidR="00AF5BD6" w:rsidRDefault="00AF5BD6" w:rsidP="00C369CC">
      <w:pPr>
        <w:pStyle w:val="FootnoteText"/>
      </w:pPr>
      <w:r>
        <w:rPr>
          <w:rStyle w:val="FootnoteReference"/>
        </w:rPr>
        <w:footnoteRef/>
      </w:r>
      <w:r>
        <w:t xml:space="preserve"> </w:t>
      </w:r>
      <w:r>
        <w:tab/>
        <w:t xml:space="preserve">As we noted previously, the approved capex for 2014–15 is a placeholder because capex for that year is based on estimates. We expect ActewAGL will provide actual capex for that year in its revised proposal. </w:t>
      </w:r>
    </w:p>
  </w:footnote>
  <w:footnote w:id="31">
    <w:p w:rsidR="00AF5BD6" w:rsidRDefault="00AF5BD6">
      <w:pPr>
        <w:pStyle w:val="FootnoteText"/>
      </w:pPr>
      <w:r>
        <w:rPr>
          <w:rStyle w:val="FootnoteReference"/>
        </w:rPr>
        <w:footnoteRef/>
      </w:r>
      <w:r>
        <w:t xml:space="preserve"> </w:t>
      </w:r>
      <w:r>
        <w:tab/>
        <w:t xml:space="preserve">ActewAGL, </w:t>
      </w:r>
      <w:r w:rsidRPr="003F2695">
        <w:rPr>
          <w:rStyle w:val="AERtextitalic"/>
        </w:rPr>
        <w:t xml:space="preserve">2016–20 access arrangement </w:t>
      </w:r>
      <w:proofErr w:type="gramStart"/>
      <w:r w:rsidRPr="003F2695">
        <w:rPr>
          <w:rStyle w:val="AERtextitalic"/>
        </w:rPr>
        <w:t>period</w:t>
      </w:r>
      <w:proofErr w:type="gramEnd"/>
      <w:r w:rsidRPr="003F2695">
        <w:rPr>
          <w:rStyle w:val="AERtextitalic"/>
        </w:rPr>
        <w:t>: Attachment 6: Capital expenditure</w:t>
      </w:r>
      <w:r>
        <w:t>, June 2015, p. 18.</w:t>
      </w:r>
    </w:p>
  </w:footnote>
  <w:footnote w:id="32">
    <w:p w:rsidR="00AF5BD6" w:rsidRDefault="00AF5BD6">
      <w:pPr>
        <w:pStyle w:val="FootnoteText"/>
      </w:pPr>
      <w:r>
        <w:rPr>
          <w:rStyle w:val="FootnoteReference"/>
        </w:rPr>
        <w:footnoteRef/>
      </w:r>
      <w:r>
        <w:t xml:space="preserve"> </w:t>
      </w:r>
      <w:r>
        <w:tab/>
        <w:t xml:space="preserve">ActewAGL, </w:t>
      </w:r>
      <w:r w:rsidRPr="003F2695">
        <w:rPr>
          <w:rStyle w:val="AERtextitalic"/>
        </w:rPr>
        <w:t xml:space="preserve">2016–20 access arrangement </w:t>
      </w:r>
      <w:proofErr w:type="gramStart"/>
      <w:r w:rsidRPr="003F2695">
        <w:rPr>
          <w:rStyle w:val="AERtextitalic"/>
        </w:rPr>
        <w:t>period</w:t>
      </w:r>
      <w:proofErr w:type="gramEnd"/>
      <w:r w:rsidRPr="003F2695">
        <w:rPr>
          <w:rStyle w:val="AERtextitalic"/>
        </w:rPr>
        <w:t>: Attachment 6: Capital expenditure</w:t>
      </w:r>
      <w:r>
        <w:t>, June 2015, p. 22.</w:t>
      </w:r>
    </w:p>
  </w:footnote>
  <w:footnote w:id="33">
    <w:p w:rsidR="00AF5BD6" w:rsidRDefault="00AF5BD6">
      <w:pPr>
        <w:pStyle w:val="FootnoteText"/>
      </w:pPr>
      <w:r>
        <w:rPr>
          <w:rStyle w:val="FootnoteReference"/>
        </w:rPr>
        <w:footnoteRef/>
      </w:r>
      <w:r>
        <w:t xml:space="preserve"> </w:t>
      </w:r>
      <w:r>
        <w:tab/>
        <w:t xml:space="preserve">ActewAGL, </w:t>
      </w:r>
      <w:r w:rsidRPr="003F2695">
        <w:rPr>
          <w:rStyle w:val="AERtextitalic"/>
        </w:rPr>
        <w:t xml:space="preserve">2016–20 access arrangement </w:t>
      </w:r>
      <w:proofErr w:type="gramStart"/>
      <w:r w:rsidRPr="003F2695">
        <w:rPr>
          <w:rStyle w:val="AERtextitalic"/>
        </w:rPr>
        <w:t>period</w:t>
      </w:r>
      <w:proofErr w:type="gramEnd"/>
      <w:r w:rsidRPr="003F2695">
        <w:rPr>
          <w:rStyle w:val="AERtextitalic"/>
        </w:rPr>
        <w:t>: Attachment 6: Capital expenditure</w:t>
      </w:r>
      <w:r>
        <w:t>, June 2015, pp. 28–29.</w:t>
      </w:r>
    </w:p>
  </w:footnote>
  <w:footnote w:id="34">
    <w:p w:rsidR="00AF5BD6" w:rsidRDefault="00AF5BD6">
      <w:pPr>
        <w:pStyle w:val="FootnoteText"/>
      </w:pPr>
      <w:r>
        <w:rPr>
          <w:rStyle w:val="FootnoteReference"/>
        </w:rPr>
        <w:footnoteRef/>
      </w:r>
      <w:r>
        <w:t xml:space="preserve"> </w:t>
      </w:r>
      <w:r>
        <w:tab/>
        <w:t xml:space="preserve">Consumer Challenge Panel, </w:t>
      </w:r>
      <w:r w:rsidRPr="00F36252">
        <w:rPr>
          <w:rStyle w:val="AERtextitalic"/>
        </w:rPr>
        <w:t>Advice to the AER from Consumer Challenge Panel sub–panel 8 regarding ActewAGL Distribution access arrangement 2016–2021 proposal</w:t>
      </w:r>
      <w:r>
        <w:t xml:space="preserve">, August 2015, p. 9; Australian National University (Peter Sutherland), </w:t>
      </w:r>
      <w:r w:rsidRPr="00F36252">
        <w:rPr>
          <w:rStyle w:val="AERtextitalic"/>
        </w:rPr>
        <w:t>Submission – ActewAGL Distribution submission to the AER for the period 2016–2021,</w:t>
      </w:r>
      <w:r>
        <w:t xml:space="preserve"> August 2015, p. 4. </w:t>
      </w:r>
    </w:p>
  </w:footnote>
  <w:footnote w:id="35">
    <w:p w:rsidR="00AF5BD6" w:rsidRDefault="00AF5BD6" w:rsidP="00D31291">
      <w:pPr>
        <w:pStyle w:val="FootnoteText"/>
      </w:pPr>
      <w:r>
        <w:rPr>
          <w:rStyle w:val="FootnoteReference"/>
        </w:rPr>
        <w:footnoteRef/>
      </w:r>
      <w:r>
        <w:t xml:space="preserve"> </w:t>
      </w:r>
      <w:r>
        <w:tab/>
      </w:r>
      <w:proofErr w:type="gramStart"/>
      <w:r>
        <w:t>NGR r. 119S for basic and standard connections and NGR r. 119V for negotiated connections.</w:t>
      </w:r>
      <w:proofErr w:type="gramEnd"/>
    </w:p>
  </w:footnote>
  <w:footnote w:id="36">
    <w:p w:rsidR="00AF5BD6" w:rsidRDefault="00AF5BD6" w:rsidP="00D31291">
      <w:pPr>
        <w:pStyle w:val="FootnoteText"/>
      </w:pPr>
      <w:r>
        <w:rPr>
          <w:rStyle w:val="FootnoteReference"/>
        </w:rPr>
        <w:footnoteRef/>
      </w:r>
      <w:r>
        <w:t xml:space="preserve"> </w:t>
      </w:r>
      <w:r>
        <w:tab/>
        <w:t>NGR r. 79(2</w:t>
      </w:r>
      <w:proofErr w:type="gramStart"/>
      <w:r>
        <w:t>)(</w:t>
      </w:r>
      <w:proofErr w:type="gramEnd"/>
      <w:r>
        <w:t>b).</w:t>
      </w:r>
    </w:p>
  </w:footnote>
  <w:footnote w:id="37">
    <w:p w:rsidR="00AF5BD6" w:rsidRDefault="00AF5BD6" w:rsidP="00D31291">
      <w:pPr>
        <w:pStyle w:val="FootnoteText"/>
      </w:pPr>
      <w:r>
        <w:rPr>
          <w:rStyle w:val="FootnoteReference"/>
        </w:rPr>
        <w:footnoteRef/>
      </w:r>
      <w:r>
        <w:t xml:space="preserve"> </w:t>
      </w:r>
      <w:r>
        <w:tab/>
      </w:r>
      <w:proofErr w:type="gramStart"/>
      <w:r>
        <w:t xml:space="preserve">ActewAGL, </w:t>
      </w:r>
      <w:r w:rsidRPr="00390641">
        <w:rPr>
          <w:rStyle w:val="AERtextitalic"/>
        </w:rPr>
        <w:t>201</w:t>
      </w:r>
      <w:r>
        <w:rPr>
          <w:rStyle w:val="AERtextitalic"/>
        </w:rPr>
        <w:t>6–</w:t>
      </w:r>
      <w:r w:rsidRPr="00390641">
        <w:rPr>
          <w:rStyle w:val="AERtextitalic"/>
        </w:rPr>
        <w:t>2</w:t>
      </w:r>
      <w:r>
        <w:rPr>
          <w:rStyle w:val="AERtextitalic"/>
        </w:rPr>
        <w:t>1</w:t>
      </w:r>
      <w:r w:rsidRPr="00390641">
        <w:rPr>
          <w:rStyle w:val="AERtextitalic"/>
        </w:rPr>
        <w:t xml:space="preserve"> Access Arrangement Information</w:t>
      </w:r>
      <w:r>
        <w:t xml:space="preserve">, June 2015, </w:t>
      </w:r>
      <w:r w:rsidRPr="005F47F7">
        <w:t>6.04.1-CONFIDENTIAL-CapexForecastModel</w:t>
      </w:r>
      <w:r>
        <w:t>.xlsm.</w:t>
      </w:r>
      <w:proofErr w:type="gramEnd"/>
    </w:p>
  </w:footnote>
  <w:footnote w:id="38">
    <w:p w:rsidR="00AF5BD6" w:rsidRDefault="00AF5BD6" w:rsidP="00D31291">
      <w:pPr>
        <w:pStyle w:val="FootnoteText"/>
      </w:pPr>
      <w:r>
        <w:rPr>
          <w:rStyle w:val="FootnoteReference"/>
        </w:rPr>
        <w:footnoteRef/>
      </w:r>
      <w:r>
        <w:t xml:space="preserve"> </w:t>
      </w:r>
      <w:r>
        <w:tab/>
        <w:t xml:space="preserve">ActewAGL, </w:t>
      </w:r>
      <w:proofErr w:type="gramStart"/>
      <w:r w:rsidRPr="00390641">
        <w:rPr>
          <w:rStyle w:val="AERtextitalic"/>
        </w:rPr>
        <w:t>201</w:t>
      </w:r>
      <w:r>
        <w:rPr>
          <w:rStyle w:val="AERtextitalic"/>
        </w:rPr>
        <w:t>6–</w:t>
      </w:r>
      <w:r w:rsidRPr="00390641">
        <w:rPr>
          <w:rStyle w:val="AERtextitalic"/>
        </w:rPr>
        <w:t>2</w:t>
      </w:r>
      <w:r>
        <w:rPr>
          <w:rStyle w:val="AERtextitalic"/>
        </w:rPr>
        <w:t>1</w:t>
      </w:r>
      <w:r w:rsidRPr="00390641">
        <w:rPr>
          <w:rStyle w:val="AERtextitalic"/>
        </w:rPr>
        <w:t xml:space="preserve"> Access Arrangement Information</w:t>
      </w:r>
      <w:r>
        <w:t>, June 2015</w:t>
      </w:r>
      <w:proofErr w:type="gramEnd"/>
      <w:r>
        <w:t xml:space="preserve">, </w:t>
      </w:r>
      <w:r w:rsidRPr="00680E71">
        <w:t>Appendix 6.01 - Asset Management Plan</w:t>
      </w:r>
      <w:r>
        <w:t xml:space="preserve">.pdf, p. xii. Note these are </w:t>
      </w:r>
      <w:proofErr w:type="spellStart"/>
      <w:r>
        <w:t>unescalated</w:t>
      </w:r>
      <w:proofErr w:type="spellEnd"/>
      <w:r>
        <w:t xml:space="preserve"> direct costs and excludes overheads.</w:t>
      </w:r>
    </w:p>
  </w:footnote>
  <w:footnote w:id="39">
    <w:p w:rsidR="00AF5BD6" w:rsidRDefault="00AF5BD6" w:rsidP="00D31291">
      <w:pPr>
        <w:pStyle w:val="FootnoteText"/>
      </w:pPr>
      <w:r>
        <w:rPr>
          <w:rStyle w:val="FootnoteReference"/>
        </w:rPr>
        <w:footnoteRef/>
      </w:r>
      <w:r>
        <w:t xml:space="preserve"> </w:t>
      </w:r>
      <w:r>
        <w:tab/>
        <w:t>This includes the cost of meter data loggers (MDLs) with Tariff V residential medium density/high rise connections.</w:t>
      </w:r>
    </w:p>
  </w:footnote>
  <w:footnote w:id="40">
    <w:p w:rsidR="00AF5BD6" w:rsidRDefault="00AF5BD6" w:rsidP="00D31291">
      <w:pPr>
        <w:pStyle w:val="FootnoteText"/>
      </w:pPr>
      <w:r>
        <w:rPr>
          <w:rStyle w:val="FootnoteReference"/>
        </w:rPr>
        <w:footnoteRef/>
      </w:r>
      <w:r>
        <w:t xml:space="preserve"> </w:t>
      </w:r>
      <w:r>
        <w:tab/>
        <w:t xml:space="preserve">ActewAGL, </w:t>
      </w:r>
      <w:r w:rsidRPr="00E834E1">
        <w:rPr>
          <w:rStyle w:val="Emphasis"/>
        </w:rPr>
        <w:t>Response to information request no.16</w:t>
      </w:r>
      <w:r>
        <w:t>, 31 July 2015, p. 1.</w:t>
      </w:r>
    </w:p>
  </w:footnote>
  <w:footnote w:id="41">
    <w:p w:rsidR="00AF5BD6" w:rsidRDefault="00AF5BD6" w:rsidP="00D31291">
      <w:pPr>
        <w:pStyle w:val="FootnoteText"/>
      </w:pPr>
      <w:r>
        <w:rPr>
          <w:rStyle w:val="FootnoteReference"/>
        </w:rPr>
        <w:footnoteRef/>
      </w:r>
      <w:r>
        <w:t xml:space="preserve"> </w:t>
      </w:r>
      <w:r>
        <w:tab/>
        <w:t xml:space="preserve">ActewAGL, </w:t>
      </w:r>
      <w:r w:rsidRPr="00277D80">
        <w:rPr>
          <w:rStyle w:val="AERtextitalic"/>
        </w:rPr>
        <w:t>ActewAGL Distribution response to AER ActewAGL 012 Connections and Unit Rates</w:t>
      </w:r>
      <w:r>
        <w:t>, 27 July 2015, question 9, p. 10.</w:t>
      </w:r>
    </w:p>
  </w:footnote>
  <w:footnote w:id="42">
    <w:p w:rsidR="00AF5BD6" w:rsidRDefault="00AF5BD6" w:rsidP="00D31291">
      <w:pPr>
        <w:pStyle w:val="FootnoteText"/>
      </w:pPr>
      <w:r>
        <w:rPr>
          <w:rStyle w:val="FootnoteReference"/>
        </w:rPr>
        <w:footnoteRef/>
      </w:r>
      <w:r>
        <w:t xml:space="preserve"> </w:t>
      </w:r>
      <w:r>
        <w:tab/>
        <w:t>Meter data loggers (MDL) are remote electronic devices installed in the network to record and transmit the consumption and/or hot water meters from apartment blocks.</w:t>
      </w:r>
    </w:p>
  </w:footnote>
  <w:footnote w:id="43">
    <w:p w:rsidR="00AF5BD6" w:rsidRDefault="00AF5BD6" w:rsidP="00D31291">
      <w:pPr>
        <w:pStyle w:val="FootnoteText"/>
      </w:pPr>
      <w:r>
        <w:rPr>
          <w:rStyle w:val="FootnoteReference"/>
        </w:rPr>
        <w:footnoteRef/>
      </w:r>
      <w:r>
        <w:t xml:space="preserve"> </w:t>
      </w:r>
      <w:r>
        <w:tab/>
      </w:r>
      <w:r w:rsidRPr="00EC5E3E">
        <w:t>Housing Indus</w:t>
      </w:r>
      <w:r>
        <w:t xml:space="preserve">try Association, </w:t>
      </w:r>
      <w:r w:rsidRPr="00391780">
        <w:rPr>
          <w:i/>
        </w:rPr>
        <w:t>New Housing Outlook, HIA Housing Forecasts –</w:t>
      </w:r>
      <w:r>
        <w:rPr>
          <w:i/>
        </w:rPr>
        <w:t xml:space="preserve"> May2015, Dwelling starts: by S</w:t>
      </w:r>
      <w:r w:rsidRPr="00391780">
        <w:rPr>
          <w:i/>
        </w:rPr>
        <w:t>tate and Territory</w:t>
      </w:r>
      <w:r>
        <w:t>, May 2015.</w:t>
      </w:r>
    </w:p>
  </w:footnote>
  <w:footnote w:id="44">
    <w:p w:rsidR="00AF5BD6" w:rsidRDefault="00AF5BD6">
      <w:pPr>
        <w:pStyle w:val="FootnoteText"/>
      </w:pPr>
      <w:r>
        <w:rPr>
          <w:rStyle w:val="FootnoteReference"/>
        </w:rPr>
        <w:footnoteRef/>
      </w:r>
      <w:r>
        <w:t xml:space="preserve"> </w:t>
      </w:r>
      <w:r>
        <w:tab/>
      </w:r>
      <w:proofErr w:type="gramStart"/>
      <w:r>
        <w:t>B</w:t>
      </w:r>
      <w:r w:rsidRPr="0062732A">
        <w:t>y calculating:</w:t>
      </w:r>
      <w:r>
        <w:t xml:space="preserve"> </w:t>
      </w:r>
      <w:r w:rsidRPr="0062732A">
        <w:t xml:space="preserve">the proportion of connections that connect an MDL/meter kit/hot water meter </w:t>
      </w:r>
      <w:r>
        <w:t xml:space="preserve">and </w:t>
      </w:r>
      <w:r w:rsidRPr="0062732A">
        <w:t>the average of the annual average MDLs/meter kits/hot water meter per connection for those connections that include these (excluding large outliers that are not justified in the forecast period).</w:t>
      </w:r>
      <w:proofErr w:type="gramEnd"/>
      <w:r w:rsidRPr="007477EA">
        <w:t xml:space="preserve"> As part way towards realising this change in measurement approach we have excluded the large apartment outliers for forecasting hot water meters. We did this on the basis of the frequency, whereby at least 70 per cent of delivery points across each of the four years had less than 30 apartments.</w:t>
      </w:r>
    </w:p>
  </w:footnote>
  <w:footnote w:id="45">
    <w:p w:rsidR="00AF5BD6" w:rsidRDefault="00AF5BD6" w:rsidP="00D31291">
      <w:pPr>
        <w:pStyle w:val="FootnoteText"/>
      </w:pPr>
      <w:r>
        <w:rPr>
          <w:rStyle w:val="FootnoteReference"/>
        </w:rPr>
        <w:footnoteRef/>
      </w:r>
      <w:r>
        <w:t xml:space="preserve"> </w:t>
      </w:r>
      <w:r>
        <w:tab/>
      </w:r>
      <w:r w:rsidRPr="00144DA4">
        <w:t xml:space="preserve">ActewAGL, </w:t>
      </w:r>
      <w:r w:rsidRPr="00277D80">
        <w:rPr>
          <w:rStyle w:val="AERtextitalic"/>
        </w:rPr>
        <w:t>2016</w:t>
      </w:r>
      <w:r>
        <w:rPr>
          <w:rStyle w:val="AERtextitalic"/>
        </w:rPr>
        <w:t>–</w:t>
      </w:r>
      <w:r w:rsidRPr="00277D80">
        <w:rPr>
          <w:rStyle w:val="AERtextitalic"/>
        </w:rPr>
        <w:t>21 Access Arrangement Information</w:t>
      </w:r>
      <w:r w:rsidRPr="00144DA4">
        <w:t>, June 2015, ActewAGL Distribution AAI_</w:t>
      </w:r>
      <w:r>
        <w:t xml:space="preserve"> </w:t>
      </w:r>
      <w:r w:rsidRPr="00144DA4">
        <w:t>Attachment</w:t>
      </w:r>
      <w:r>
        <w:t xml:space="preserve"> 6 Capital expenditure.pdf, p. 41.</w:t>
      </w:r>
    </w:p>
  </w:footnote>
  <w:footnote w:id="46">
    <w:p w:rsidR="00AF5BD6" w:rsidRDefault="00AF5BD6" w:rsidP="00D31291">
      <w:pPr>
        <w:pStyle w:val="FootnoteText"/>
      </w:pPr>
      <w:r>
        <w:rPr>
          <w:rStyle w:val="FootnoteReference"/>
        </w:rPr>
        <w:footnoteRef/>
      </w:r>
      <w:r>
        <w:t xml:space="preserve"> </w:t>
      </w:r>
      <w:r>
        <w:tab/>
      </w:r>
      <w:proofErr w:type="gramStart"/>
      <w:r>
        <w:t>NERL, s. 54.</w:t>
      </w:r>
      <w:proofErr w:type="gramEnd"/>
      <w:r>
        <w:t xml:space="preserve">  </w:t>
      </w:r>
    </w:p>
  </w:footnote>
  <w:footnote w:id="47">
    <w:p w:rsidR="00AF5BD6" w:rsidRDefault="00AF5BD6" w:rsidP="00D31291">
      <w:pPr>
        <w:pStyle w:val="FootnoteText"/>
      </w:pPr>
      <w:r>
        <w:rPr>
          <w:rStyle w:val="FootnoteReference"/>
        </w:rPr>
        <w:footnoteRef/>
      </w:r>
      <w:r>
        <w:t xml:space="preserve"> </w:t>
      </w:r>
      <w:r>
        <w:tab/>
      </w:r>
      <w:proofErr w:type="gramStart"/>
      <w:r>
        <w:t>NGR, r. 119XX.</w:t>
      </w:r>
      <w:proofErr w:type="gramEnd"/>
      <w:r>
        <w:t xml:space="preserve"> ActewAGL is not required to energise a new connection unless a request to energise a new connection is submitted by a retailer or the distributor is otherwise satisfied that there is a relevant contract with a retailer in relation to the premises.  </w:t>
      </w:r>
    </w:p>
  </w:footnote>
  <w:footnote w:id="48">
    <w:p w:rsidR="00AF5BD6" w:rsidRDefault="00AF5BD6" w:rsidP="00D31291">
      <w:pPr>
        <w:pStyle w:val="FootnoteText"/>
      </w:pPr>
      <w:r>
        <w:rPr>
          <w:rStyle w:val="FootnoteReference"/>
        </w:rPr>
        <w:footnoteRef/>
      </w:r>
      <w:r>
        <w:t xml:space="preserve"> </w:t>
      </w:r>
      <w:r>
        <w:tab/>
        <w:t xml:space="preserve">AER, </w:t>
      </w:r>
      <w:r w:rsidRPr="00277D80">
        <w:rPr>
          <w:rStyle w:val="AERtextitalic"/>
        </w:rPr>
        <w:t>AER Information request - AER ActewAGL 001 – Connections – unit rate model</w:t>
      </w:r>
      <w:r>
        <w:t>, 10 July 2015, question 3.</w:t>
      </w:r>
    </w:p>
  </w:footnote>
  <w:footnote w:id="49">
    <w:p w:rsidR="00AF5BD6" w:rsidRPr="00503D0A" w:rsidRDefault="00AF5BD6" w:rsidP="00D31291">
      <w:pPr>
        <w:pStyle w:val="FootnoteText"/>
      </w:pPr>
      <w:r>
        <w:rPr>
          <w:rStyle w:val="FootnoteReference"/>
        </w:rPr>
        <w:footnoteRef/>
      </w:r>
      <w:r>
        <w:t xml:space="preserve"> </w:t>
      </w:r>
      <w:r>
        <w:tab/>
        <w:t xml:space="preserve">ActewAGL, </w:t>
      </w:r>
      <w:r>
        <w:rPr>
          <w:i/>
        </w:rPr>
        <w:t>ActewAGL Distribution response to AER query AER ActewAGL 001 Connections unit rate model</w:t>
      </w:r>
      <w:r>
        <w:t>, 17 July 2015, pp. 3–4.</w:t>
      </w:r>
    </w:p>
  </w:footnote>
  <w:footnote w:id="50">
    <w:p w:rsidR="00AF5BD6" w:rsidRDefault="00AF5BD6" w:rsidP="0014328F">
      <w:pPr>
        <w:pStyle w:val="FootnoteText"/>
      </w:pPr>
      <w:r>
        <w:rPr>
          <w:rStyle w:val="FootnoteReference"/>
        </w:rPr>
        <w:footnoteRef/>
      </w:r>
      <w:r>
        <w:t xml:space="preserve"> </w:t>
      </w:r>
      <w:r>
        <w:tab/>
        <w:t xml:space="preserve">ActewAGL, </w:t>
      </w:r>
      <w:proofErr w:type="gramStart"/>
      <w:r w:rsidRPr="00390641">
        <w:rPr>
          <w:rStyle w:val="AERtextitalic"/>
        </w:rPr>
        <w:t>201</w:t>
      </w:r>
      <w:r>
        <w:rPr>
          <w:rStyle w:val="AERtextitalic"/>
        </w:rPr>
        <w:t>6–</w:t>
      </w:r>
      <w:r w:rsidRPr="00390641">
        <w:rPr>
          <w:rStyle w:val="AERtextitalic"/>
        </w:rPr>
        <w:t>2</w:t>
      </w:r>
      <w:r>
        <w:rPr>
          <w:rStyle w:val="AERtextitalic"/>
        </w:rPr>
        <w:t>1</w:t>
      </w:r>
      <w:r w:rsidRPr="00390641">
        <w:rPr>
          <w:rStyle w:val="AERtextitalic"/>
        </w:rPr>
        <w:t xml:space="preserve"> Access Arrangement Information</w:t>
      </w:r>
      <w:r>
        <w:t>, June 2015</w:t>
      </w:r>
      <w:proofErr w:type="gramEnd"/>
      <w:r>
        <w:t>,</w:t>
      </w:r>
      <w:r w:rsidRPr="00F76F1A">
        <w:t xml:space="preserve"> 6.04.2-CONFIDENTIAL-MarketExpansionUnitRatesModel</w:t>
      </w:r>
      <w:r>
        <w:t>.xls, tab ‘</w:t>
      </w:r>
      <w:proofErr w:type="spellStart"/>
      <w:r w:rsidRPr="00461B3B">
        <w:t>Input|Rates</w:t>
      </w:r>
      <w:proofErr w:type="spellEnd"/>
      <w:r>
        <w:t>’ cells I167, I171, I173.</w:t>
      </w:r>
    </w:p>
  </w:footnote>
  <w:footnote w:id="51">
    <w:p w:rsidR="00AF5BD6" w:rsidRDefault="00AF5BD6" w:rsidP="0014328F">
      <w:pPr>
        <w:pStyle w:val="FootnoteText"/>
      </w:pPr>
      <w:r>
        <w:rPr>
          <w:rStyle w:val="FootnoteReference"/>
        </w:rPr>
        <w:footnoteRef/>
      </w:r>
      <w:r>
        <w:t xml:space="preserve"> </w:t>
      </w:r>
      <w:r>
        <w:tab/>
        <w:t xml:space="preserve">AER, </w:t>
      </w:r>
      <w:r w:rsidRPr="00277D80">
        <w:rPr>
          <w:rStyle w:val="AERtextitalic"/>
        </w:rPr>
        <w:t>AER Information request - AER ActewAGL 001 – Connections – unit rate model</w:t>
      </w:r>
      <w:r>
        <w:t>, 10 July 2015, question 3.</w:t>
      </w:r>
    </w:p>
  </w:footnote>
  <w:footnote w:id="52">
    <w:p w:rsidR="00AF5BD6" w:rsidRDefault="00AF5BD6" w:rsidP="00D31291">
      <w:pPr>
        <w:pStyle w:val="FootnoteText"/>
      </w:pPr>
      <w:r>
        <w:rPr>
          <w:rStyle w:val="FootnoteReference"/>
        </w:rPr>
        <w:footnoteRef/>
      </w:r>
      <w:r>
        <w:t xml:space="preserve"> </w:t>
      </w:r>
      <w:r>
        <w:tab/>
        <w:t xml:space="preserve">ActewAGL, </w:t>
      </w:r>
      <w:r w:rsidRPr="00277D80">
        <w:rPr>
          <w:rStyle w:val="AERtextitalic"/>
        </w:rPr>
        <w:t>ActewAGL Distribution response to AER ActewAGL 019 – construction management fee</w:t>
      </w:r>
      <w:r>
        <w:t>, 7 August 2015, question 3, p. 4.</w:t>
      </w:r>
    </w:p>
  </w:footnote>
  <w:footnote w:id="53">
    <w:p w:rsidR="00AF5BD6" w:rsidRDefault="00AF5BD6" w:rsidP="00D31291">
      <w:pPr>
        <w:pStyle w:val="FootnoteText"/>
      </w:pPr>
      <w:r>
        <w:rPr>
          <w:rStyle w:val="FootnoteReference"/>
        </w:rPr>
        <w:footnoteRef/>
      </w:r>
      <w:r>
        <w:t xml:space="preserve"> </w:t>
      </w:r>
      <w:r>
        <w:tab/>
        <w:t xml:space="preserve">We have asked ActewAGL to identify the clauses in the ASA which provide for real material and labour escalation to be applied to the unit rates: AER, </w:t>
      </w:r>
      <w:r w:rsidRPr="00277D80">
        <w:rPr>
          <w:rStyle w:val="AERtextitalic"/>
        </w:rPr>
        <w:t>Information request AER ActewAGL 017</w:t>
      </w:r>
      <w:r>
        <w:t xml:space="preserve">, 30 July 2015, question 7. </w:t>
      </w:r>
      <w:proofErr w:type="spellStart"/>
      <w:r>
        <w:t>ActewAGL’s</w:t>
      </w:r>
      <w:proofErr w:type="spellEnd"/>
      <w:r>
        <w:t xml:space="preserve"> response referred us to the management agreement between JAM and ActewAGL, which provides only for a pass through of the ASA unit rates and does not identify the relevant escalators: ActewAGL, </w:t>
      </w:r>
      <w:r w:rsidRPr="00277D80">
        <w:rPr>
          <w:rStyle w:val="AERtextitalic"/>
        </w:rPr>
        <w:t>ActewAGL Distribution response to AER ActewAGL 017 connections unit rates</w:t>
      </w:r>
      <w:r>
        <w:t>, 7 August 2015, question 7, pp. 6–8.</w:t>
      </w:r>
    </w:p>
  </w:footnote>
  <w:footnote w:id="54">
    <w:p w:rsidR="00AF5BD6" w:rsidRDefault="00AF5BD6" w:rsidP="00D31291">
      <w:pPr>
        <w:pStyle w:val="FootnoteText"/>
      </w:pPr>
      <w:r>
        <w:rPr>
          <w:rStyle w:val="FootnoteReference"/>
        </w:rPr>
        <w:footnoteRef/>
      </w:r>
      <w:r>
        <w:t xml:space="preserve"> </w:t>
      </w:r>
      <w:r>
        <w:tab/>
        <w:t xml:space="preserve">ActewAGL, </w:t>
      </w:r>
      <w:r w:rsidRPr="00390641">
        <w:rPr>
          <w:rStyle w:val="AERtextitalic"/>
        </w:rPr>
        <w:t>201</w:t>
      </w:r>
      <w:r>
        <w:rPr>
          <w:rStyle w:val="AERtextitalic"/>
        </w:rPr>
        <w:t>6–</w:t>
      </w:r>
      <w:r w:rsidRPr="00390641">
        <w:rPr>
          <w:rStyle w:val="AERtextitalic"/>
        </w:rPr>
        <w:t>2</w:t>
      </w:r>
      <w:r>
        <w:rPr>
          <w:rStyle w:val="AERtextitalic"/>
        </w:rPr>
        <w:t>1</w:t>
      </w:r>
      <w:r w:rsidRPr="00390641">
        <w:rPr>
          <w:rStyle w:val="AERtextitalic"/>
        </w:rPr>
        <w:t xml:space="preserve"> Access Arrangement Information</w:t>
      </w:r>
      <w:r>
        <w:t>, June 2015,</w:t>
      </w:r>
      <w:r w:rsidRPr="00522AC1">
        <w:t xml:space="preserve"> Appendix 4.01 - CONFIDENTIAL </w:t>
      </w:r>
      <w:r>
        <w:t>–</w:t>
      </w:r>
      <w:r w:rsidRPr="00522AC1">
        <w:t xml:space="preserve"> ASA</w:t>
      </w:r>
      <w:r>
        <w:t>.pdf, Part 6 of Schedule E.</w:t>
      </w:r>
    </w:p>
  </w:footnote>
  <w:footnote w:id="55">
    <w:p w:rsidR="00AF5BD6" w:rsidRDefault="00AF5BD6" w:rsidP="00D31291">
      <w:pPr>
        <w:pStyle w:val="FootnoteText"/>
      </w:pPr>
      <w:r>
        <w:rPr>
          <w:rStyle w:val="FootnoteReference"/>
        </w:rPr>
        <w:footnoteRef/>
      </w:r>
      <w:r>
        <w:t xml:space="preserve"> </w:t>
      </w:r>
      <w:r>
        <w:tab/>
        <w:t>The only exception to this is where we excluded the 2010–11 value for Tariff V commercial in calculating the average as the number of connections and the mains and meter values appear to be outliers.</w:t>
      </w:r>
    </w:p>
  </w:footnote>
  <w:footnote w:id="56">
    <w:p w:rsidR="00AF5BD6" w:rsidRDefault="00AF5BD6" w:rsidP="009E7028">
      <w:pPr>
        <w:pStyle w:val="FootnoteText"/>
      </w:pPr>
      <w:r>
        <w:rPr>
          <w:rStyle w:val="FootnoteReference"/>
        </w:rPr>
        <w:footnoteRef/>
      </w:r>
      <w:r>
        <w:t xml:space="preserve"> </w:t>
      </w:r>
      <w:r>
        <w:tab/>
        <w:t xml:space="preserve">ActewAGL, </w:t>
      </w:r>
      <w:r w:rsidRPr="00390641">
        <w:rPr>
          <w:rStyle w:val="AERtextitalic"/>
        </w:rPr>
        <w:t>201</w:t>
      </w:r>
      <w:r>
        <w:rPr>
          <w:rStyle w:val="AERtextitalic"/>
        </w:rPr>
        <w:t>6–</w:t>
      </w:r>
      <w:r w:rsidRPr="00390641">
        <w:rPr>
          <w:rStyle w:val="AERtextitalic"/>
        </w:rPr>
        <w:t>2</w:t>
      </w:r>
      <w:r>
        <w:rPr>
          <w:rStyle w:val="AERtextitalic"/>
        </w:rPr>
        <w:t>1</w:t>
      </w:r>
      <w:r w:rsidRPr="00390641">
        <w:rPr>
          <w:rStyle w:val="AERtextitalic"/>
        </w:rPr>
        <w:t xml:space="preserve"> Access Arrangement Information</w:t>
      </w:r>
      <w:r>
        <w:t>, June 2015,</w:t>
      </w:r>
      <w:r w:rsidRPr="00F763E8">
        <w:t xml:space="preserve"> Attachment 6 Capital expenditure</w:t>
      </w:r>
      <w:r>
        <w:t>, p. 45.</w:t>
      </w:r>
    </w:p>
  </w:footnote>
  <w:footnote w:id="57">
    <w:p w:rsidR="00AF5BD6" w:rsidRDefault="00AF5BD6" w:rsidP="00C02660">
      <w:pPr>
        <w:pStyle w:val="FootnoteText"/>
      </w:pPr>
      <w:r>
        <w:rPr>
          <w:rStyle w:val="FootnoteReference"/>
        </w:rPr>
        <w:footnoteRef/>
      </w:r>
      <w:r>
        <w:t xml:space="preserve"> </w:t>
      </w:r>
      <w:r>
        <w:tab/>
        <w:t xml:space="preserve">AER, </w:t>
      </w:r>
      <w:r w:rsidRPr="00277D80">
        <w:rPr>
          <w:rStyle w:val="AERtextitalic"/>
        </w:rPr>
        <w:t>AER Information request - AER ActewAGL 001 – Connections – unit rate model</w:t>
      </w:r>
      <w:r>
        <w:t xml:space="preserve">, 10 July 2015, question 1. </w:t>
      </w:r>
    </w:p>
  </w:footnote>
  <w:footnote w:id="58">
    <w:p w:rsidR="00AF5BD6" w:rsidRDefault="00AF5BD6" w:rsidP="00C02660">
      <w:pPr>
        <w:pStyle w:val="FootnoteText"/>
      </w:pPr>
      <w:r>
        <w:rPr>
          <w:rStyle w:val="FootnoteReference"/>
        </w:rPr>
        <w:footnoteRef/>
      </w:r>
      <w:r>
        <w:t xml:space="preserve"> </w:t>
      </w:r>
      <w:r>
        <w:tab/>
        <w:t xml:space="preserve">In its response to </w:t>
      </w:r>
      <w:r w:rsidRPr="002D602C">
        <w:t>AER Information request - AER ActewAGL 001 – Connections – unit rate model</w:t>
      </w:r>
      <w:r>
        <w:t xml:space="preserve">, ActewAGL submitted that </w:t>
      </w:r>
      <w:proofErr w:type="gramStart"/>
      <w:r>
        <w:t>its staff were</w:t>
      </w:r>
      <w:proofErr w:type="gramEnd"/>
      <w:r>
        <w:t xml:space="preserve"> on leave and that it would submit a response by 31 July 2015. The quote is from ActewAGL, </w:t>
      </w:r>
      <w:r w:rsidRPr="00277D80">
        <w:rPr>
          <w:rStyle w:val="AERtextitalic"/>
        </w:rPr>
        <w:t>ActewAGL Distribution response to various information requests</w:t>
      </w:r>
      <w:r>
        <w:t>, 31 July 2015, p. 4.</w:t>
      </w:r>
      <w:r w:rsidRPr="00112772">
        <w:t xml:space="preserve"> </w:t>
      </w:r>
      <w:r>
        <w:t xml:space="preserve">ActewAGL, </w:t>
      </w:r>
      <w:r w:rsidRPr="00277D80">
        <w:rPr>
          <w:rStyle w:val="AERtextitalic"/>
        </w:rPr>
        <w:t>Further Information to supplement ActewAGL Distribution response to various information requests</w:t>
      </w:r>
      <w:r>
        <w:t>, 20 August 2015, p. 2</w:t>
      </w:r>
    </w:p>
  </w:footnote>
  <w:footnote w:id="59">
    <w:p w:rsidR="00AF5BD6" w:rsidRDefault="00AF5BD6" w:rsidP="00417A92">
      <w:pPr>
        <w:pStyle w:val="FootnoteText"/>
      </w:pPr>
      <w:r>
        <w:rPr>
          <w:rStyle w:val="FootnoteReference"/>
        </w:rPr>
        <w:footnoteRef/>
      </w:r>
      <w:r>
        <w:t xml:space="preserve"> </w:t>
      </w:r>
      <w:r>
        <w:tab/>
        <w:t xml:space="preserve">ActewAGL, </w:t>
      </w:r>
      <w:r w:rsidRPr="00390641">
        <w:rPr>
          <w:rStyle w:val="AERtextitalic"/>
        </w:rPr>
        <w:t>201</w:t>
      </w:r>
      <w:r>
        <w:rPr>
          <w:rStyle w:val="AERtextitalic"/>
        </w:rPr>
        <w:t>6–</w:t>
      </w:r>
      <w:r w:rsidRPr="00390641">
        <w:rPr>
          <w:rStyle w:val="AERtextitalic"/>
        </w:rPr>
        <w:t>2</w:t>
      </w:r>
      <w:r>
        <w:rPr>
          <w:rStyle w:val="AERtextitalic"/>
        </w:rPr>
        <w:t>1</w:t>
      </w:r>
      <w:r w:rsidRPr="00390641">
        <w:rPr>
          <w:rStyle w:val="AERtextitalic"/>
        </w:rPr>
        <w:t xml:space="preserve"> Access Arrangement Information</w:t>
      </w:r>
      <w:r>
        <w:t xml:space="preserve">, June 2015, </w:t>
      </w:r>
      <w:r w:rsidRPr="00F763E8">
        <w:t xml:space="preserve">ActewAGL Distribution </w:t>
      </w:r>
      <w:proofErr w:type="spellStart"/>
      <w:r w:rsidRPr="00F763E8">
        <w:t>AAI_Attachment</w:t>
      </w:r>
      <w:proofErr w:type="spellEnd"/>
      <w:r w:rsidRPr="00F763E8">
        <w:t xml:space="preserve"> 6 Capital expenditure</w:t>
      </w:r>
      <w:r>
        <w:t>.pdf, p. 44; NGR r. 79(2)(b).</w:t>
      </w:r>
    </w:p>
  </w:footnote>
  <w:footnote w:id="60">
    <w:p w:rsidR="00AF5BD6" w:rsidRDefault="00AF5BD6" w:rsidP="0061777C">
      <w:pPr>
        <w:pStyle w:val="FootnoteText"/>
      </w:pPr>
      <w:r>
        <w:rPr>
          <w:rStyle w:val="FootnoteReference"/>
        </w:rPr>
        <w:footnoteRef/>
      </w:r>
      <w:r>
        <w:t xml:space="preserve"> </w:t>
      </w:r>
      <w:r>
        <w:tab/>
      </w:r>
      <w:r w:rsidRPr="0061777C">
        <w:t>These are forecast contributions for E-to-G, New Homes and I&amp;C tariff connections based on historic patterns, excluding contributions for medium density connections.</w:t>
      </w:r>
    </w:p>
  </w:footnote>
  <w:footnote w:id="61">
    <w:p w:rsidR="00AF5BD6" w:rsidRDefault="00AF5BD6" w:rsidP="00E834E1">
      <w:pPr>
        <w:pStyle w:val="FootnoteText"/>
      </w:pPr>
      <w:r w:rsidRPr="00E834E1">
        <w:rPr>
          <w:rStyle w:val="AERsuperscript"/>
        </w:rPr>
        <w:footnoteRef/>
      </w:r>
      <w:r>
        <w:t xml:space="preserve"> </w:t>
      </w:r>
      <w:r>
        <w:tab/>
      </w:r>
      <w:r w:rsidRPr="00E834E1">
        <w:rPr>
          <w:rStyle w:val="FootnoteTextChar"/>
        </w:rPr>
        <w:t>ActewAGL submitted that it forecast the amount of capital contributions by taking the five-year average of capital contributions as a percentage of gross capex for each connection type and applying this percentage to the forecast capex for each connection type.</w:t>
      </w:r>
    </w:p>
  </w:footnote>
  <w:footnote w:id="62">
    <w:p w:rsidR="00AF5BD6" w:rsidRDefault="00AF5BD6" w:rsidP="0061777C">
      <w:pPr>
        <w:pStyle w:val="FootnoteText"/>
      </w:pPr>
      <w:r>
        <w:rPr>
          <w:rStyle w:val="FootnoteReference"/>
        </w:rPr>
        <w:footnoteRef/>
      </w:r>
      <w:r>
        <w:t xml:space="preserve"> </w:t>
      </w:r>
      <w:r>
        <w:tab/>
        <w:t xml:space="preserve">ActewAGL, </w:t>
      </w:r>
      <w:r w:rsidRPr="00277D80">
        <w:rPr>
          <w:rStyle w:val="AERtextitalic"/>
        </w:rPr>
        <w:t>ActewAGL Distribution response to various information requests</w:t>
      </w:r>
      <w:r>
        <w:t>, 31 July 2015, p. 4.</w:t>
      </w:r>
    </w:p>
  </w:footnote>
  <w:footnote w:id="63">
    <w:p w:rsidR="00AF5BD6" w:rsidRPr="0052161F" w:rsidRDefault="00AF5BD6" w:rsidP="00E834E1">
      <w:pPr>
        <w:pStyle w:val="FootnoteText"/>
      </w:pPr>
      <w:r w:rsidRPr="00E834E1">
        <w:rPr>
          <w:rStyle w:val="AERsuperscript"/>
        </w:rPr>
        <w:footnoteRef/>
      </w:r>
      <w:r w:rsidRPr="00E834E1">
        <w:rPr>
          <w:rStyle w:val="AERsuperscript"/>
        </w:rPr>
        <w:t xml:space="preserve"> </w:t>
      </w:r>
      <w:r>
        <w:tab/>
      </w:r>
      <w:r w:rsidRPr="0052161F">
        <w:t>SGSP (Australia) Trust is owned by State Grid International Development Australia Investment Company Limited (60% shareholding) and Singapore Power</w:t>
      </w:r>
      <w:r>
        <w:t>.</w:t>
      </w:r>
    </w:p>
  </w:footnote>
  <w:footnote w:id="64">
    <w:p w:rsidR="00AF5BD6" w:rsidRDefault="00AF5BD6" w:rsidP="008F0A89">
      <w:pPr>
        <w:pStyle w:val="FootnoteText"/>
      </w:pPr>
      <w:r>
        <w:rPr>
          <w:rStyle w:val="FootnoteReference"/>
        </w:rPr>
        <w:footnoteRef/>
      </w:r>
      <w:r>
        <w:t xml:space="preserve"> </w:t>
      </w:r>
      <w:r>
        <w:tab/>
        <w:t xml:space="preserve">ActewAGL, </w:t>
      </w:r>
      <w:r w:rsidRPr="00277D80">
        <w:rPr>
          <w:rStyle w:val="AERtextitalic"/>
        </w:rPr>
        <w:t>Response to AER information request AER ActewAGL 010</w:t>
      </w:r>
      <w:r>
        <w:t>, 23 July 2015, p. 2.</w:t>
      </w:r>
    </w:p>
  </w:footnote>
  <w:footnote w:id="65">
    <w:p w:rsidR="00AF5BD6" w:rsidRDefault="00AF5BD6" w:rsidP="00152BE6">
      <w:pPr>
        <w:pStyle w:val="FootnoteText"/>
      </w:pPr>
      <w:r>
        <w:rPr>
          <w:rStyle w:val="FootnoteReference"/>
        </w:rPr>
        <w:footnoteRef/>
      </w:r>
      <w:r>
        <w:t xml:space="preserve"> </w:t>
      </w:r>
      <w:r>
        <w:tab/>
      </w:r>
      <w:r w:rsidRPr="001C0C6E">
        <w:t xml:space="preserve">ActewAGL, </w:t>
      </w:r>
      <w:r w:rsidRPr="00E834E1">
        <w:rPr>
          <w:rStyle w:val="Emphasis"/>
        </w:rPr>
        <w:t>Access Arrangement Information 2016-21</w:t>
      </w:r>
      <w:r w:rsidRPr="001C0C6E">
        <w:t>, June 2015, Attachment 6, p. 41</w:t>
      </w:r>
      <w:r>
        <w:t>;</w:t>
      </w:r>
      <w:r w:rsidRPr="001C0C6E">
        <w:t xml:space="preserve"> ActewAGL, </w:t>
      </w:r>
      <w:r w:rsidRPr="00E834E1">
        <w:rPr>
          <w:rStyle w:val="Emphasis"/>
        </w:rPr>
        <w:t>Access Arrangement Information 2016-21</w:t>
      </w:r>
      <w:r w:rsidRPr="001C0C6E">
        <w:t xml:space="preserve">, June 2015, Appendix 5.04 – Operating expenditure step </w:t>
      </w:r>
      <w:proofErr w:type="spellStart"/>
      <w:r w:rsidRPr="001C0C6E">
        <w:t>changes_confidential</w:t>
      </w:r>
      <w:proofErr w:type="spellEnd"/>
      <w:r w:rsidRPr="001C0C6E">
        <w:t>, p. 34.</w:t>
      </w:r>
    </w:p>
  </w:footnote>
  <w:footnote w:id="66">
    <w:p w:rsidR="00AF5BD6" w:rsidRDefault="00AF5BD6">
      <w:pPr>
        <w:pStyle w:val="FootnoteText"/>
      </w:pPr>
      <w:r>
        <w:rPr>
          <w:rStyle w:val="FootnoteReference"/>
        </w:rPr>
        <w:footnoteRef/>
      </w:r>
      <w:r>
        <w:t xml:space="preserve"> </w:t>
      </w:r>
      <w:r>
        <w:tab/>
      </w:r>
      <w:proofErr w:type="gramStart"/>
      <w:r w:rsidRPr="00152BE6">
        <w:t xml:space="preserve">ActewAGL, </w:t>
      </w:r>
      <w:r w:rsidRPr="00E834E1">
        <w:rPr>
          <w:i/>
        </w:rPr>
        <w:t>Response to AER information request AER ActewAGL 029</w:t>
      </w:r>
      <w:r w:rsidRPr="00152BE6">
        <w:t>, received 2 September 2015, p. 2.</w:t>
      </w:r>
      <w:proofErr w:type="gramEnd"/>
    </w:p>
  </w:footnote>
  <w:footnote w:id="67">
    <w:p w:rsidR="00AF5BD6" w:rsidRDefault="00AF5BD6" w:rsidP="002A4DE2">
      <w:pPr>
        <w:pStyle w:val="FootnoteText"/>
      </w:pPr>
      <w:r>
        <w:rPr>
          <w:rStyle w:val="FootnoteReference"/>
        </w:rPr>
        <w:footnoteRef/>
      </w:r>
      <w:r>
        <w:t xml:space="preserve"> </w:t>
      </w:r>
      <w:r>
        <w:tab/>
        <w:t>This department of the ACT Government has responsibility for technical regulation of the gas industry.</w:t>
      </w:r>
    </w:p>
  </w:footnote>
  <w:footnote w:id="68">
    <w:p w:rsidR="00AF5BD6" w:rsidRDefault="00AF5BD6" w:rsidP="002A4DE2">
      <w:pPr>
        <w:pStyle w:val="FootnoteText"/>
      </w:pPr>
      <w:r>
        <w:rPr>
          <w:rStyle w:val="FootnoteReference"/>
        </w:rPr>
        <w:footnoteRef/>
      </w:r>
      <w:r>
        <w:t xml:space="preserve"> </w:t>
      </w:r>
      <w:r>
        <w:tab/>
        <w:t>The Code changes occurred in 2013 and ActewAGL went through a process of updating its GS&amp;I Rules between the 6 September 2013 (when its draft Rules were i</w:t>
      </w:r>
      <w:r w:rsidRPr="005F6EFF">
        <w:t>nitial</w:t>
      </w:r>
      <w:r>
        <w:t>ly</w:t>
      </w:r>
      <w:r w:rsidRPr="005F6EFF">
        <w:t xml:space="preserve"> release</w:t>
      </w:r>
      <w:r>
        <w:t>d</w:t>
      </w:r>
      <w:r w:rsidRPr="005F6EFF">
        <w:t xml:space="preserve"> to industry</w:t>
      </w:r>
      <w:r>
        <w:t xml:space="preserve">) and 6 June 2014 (when final approval was granted by the </w:t>
      </w:r>
      <w:r w:rsidRPr="00903D6E">
        <w:t>Environment and Sustainable Development Directorate</w:t>
      </w:r>
      <w:r>
        <w:t xml:space="preserve">)( ActewAGL, </w:t>
      </w:r>
      <w:r w:rsidRPr="001E72BD">
        <w:t>ActewAGL ACT-Gas-Service-and-Installation-Rules</w:t>
      </w:r>
      <w:r>
        <w:t>.pdf, 6 June 2014, p. cover page).</w:t>
      </w:r>
    </w:p>
  </w:footnote>
  <w:footnote w:id="69">
    <w:p w:rsidR="00AF5BD6" w:rsidRDefault="00AF5BD6" w:rsidP="002A4DE2">
      <w:pPr>
        <w:pStyle w:val="FootnoteText"/>
      </w:pPr>
      <w:r>
        <w:rPr>
          <w:rStyle w:val="FootnoteReference"/>
        </w:rPr>
        <w:footnoteRef/>
      </w:r>
      <w:r>
        <w:t xml:space="preserve"> </w:t>
      </w:r>
      <w:r>
        <w:tab/>
        <w:t xml:space="preserve">AER, </w:t>
      </w:r>
      <w:r w:rsidRPr="00277D80">
        <w:rPr>
          <w:rStyle w:val="AERtextitalic"/>
        </w:rPr>
        <w:t>AER Information request - AER ActewAGL 029 – Compliance to revised technical codes for metering – opex and capex (construction management fee) step change</w:t>
      </w:r>
      <w:r>
        <w:t xml:space="preserve">, 26 August 2015, question </w:t>
      </w:r>
      <w:proofErr w:type="gramStart"/>
      <w:r>
        <w:t>f(</w:t>
      </w:r>
      <w:proofErr w:type="spellStart"/>
      <w:proofErr w:type="gramEnd"/>
      <w:r>
        <w:t>i</w:t>
      </w:r>
      <w:proofErr w:type="spellEnd"/>
      <w:r>
        <w:t>)-(ii).</w:t>
      </w:r>
    </w:p>
  </w:footnote>
  <w:footnote w:id="70">
    <w:p w:rsidR="00AF5BD6" w:rsidRDefault="00AF5BD6" w:rsidP="002A4DE2">
      <w:pPr>
        <w:pStyle w:val="FootnoteText"/>
      </w:pPr>
      <w:r>
        <w:rPr>
          <w:rStyle w:val="FootnoteReference"/>
        </w:rPr>
        <w:footnoteRef/>
      </w:r>
      <w:r>
        <w:t xml:space="preserve"> </w:t>
      </w:r>
      <w:r>
        <w:tab/>
        <w:t xml:space="preserve">ActewAGL, </w:t>
      </w:r>
      <w:r w:rsidRPr="003B1777">
        <w:rPr>
          <w:rStyle w:val="AERtextitalic"/>
        </w:rPr>
        <w:t>Response to AER Information request - AER ActewAGL 029</w:t>
      </w:r>
      <w:r>
        <w:t>, 2 September 2015.</w:t>
      </w:r>
    </w:p>
  </w:footnote>
  <w:footnote w:id="71">
    <w:p w:rsidR="00AF5BD6" w:rsidRDefault="00AF5BD6" w:rsidP="002A4DE2">
      <w:pPr>
        <w:pStyle w:val="FootnoteText"/>
      </w:pPr>
      <w:r>
        <w:rPr>
          <w:rStyle w:val="FootnoteReference"/>
        </w:rPr>
        <w:footnoteRef/>
      </w:r>
      <w:r>
        <w:t xml:space="preserve"> </w:t>
      </w:r>
      <w:r>
        <w:tab/>
      </w:r>
      <w:proofErr w:type="gramStart"/>
      <w:r>
        <w:t xml:space="preserve">ActewAGL, </w:t>
      </w:r>
      <w:r w:rsidRPr="00457EC8">
        <w:rPr>
          <w:rStyle w:val="AERtextitalic"/>
        </w:rPr>
        <w:t>Response to AER Information request - AER ActewAGL 029</w:t>
      </w:r>
      <w:r>
        <w:t>, 2 September 2015, pp. 3–4.</w:t>
      </w:r>
      <w:proofErr w:type="gramEnd"/>
    </w:p>
  </w:footnote>
  <w:footnote w:id="72">
    <w:p w:rsidR="00AF5BD6" w:rsidRDefault="00AF5BD6" w:rsidP="002A4DE2">
      <w:pPr>
        <w:pStyle w:val="FootnoteText"/>
      </w:pPr>
      <w:r>
        <w:rPr>
          <w:rStyle w:val="FootnoteReference"/>
        </w:rPr>
        <w:footnoteRef/>
      </w:r>
      <w:r>
        <w:t xml:space="preserve"> </w:t>
      </w:r>
      <w:r>
        <w:tab/>
        <w:t xml:space="preserve">ActewAGL, </w:t>
      </w:r>
      <w:r w:rsidRPr="003F2695">
        <w:rPr>
          <w:rStyle w:val="AERtextitalic"/>
        </w:rPr>
        <w:t xml:space="preserve">2016–20 access arrangement </w:t>
      </w:r>
      <w:proofErr w:type="gramStart"/>
      <w:r w:rsidRPr="003F2695">
        <w:rPr>
          <w:rStyle w:val="AERtextitalic"/>
        </w:rPr>
        <w:t>period</w:t>
      </w:r>
      <w:proofErr w:type="gramEnd"/>
      <w:r w:rsidRPr="003F2695">
        <w:rPr>
          <w:rStyle w:val="AERtextitalic"/>
        </w:rPr>
        <w:t>: Attachment 6: Capital expenditure</w:t>
      </w:r>
      <w:r>
        <w:t>, June 2015, pp. 47–49.</w:t>
      </w:r>
    </w:p>
  </w:footnote>
  <w:footnote w:id="73">
    <w:p w:rsidR="00AF5BD6" w:rsidRDefault="00AF5BD6" w:rsidP="002A4DE2">
      <w:pPr>
        <w:pStyle w:val="FootnoteText"/>
      </w:pPr>
      <w:r>
        <w:rPr>
          <w:rStyle w:val="FootnoteReference"/>
        </w:rPr>
        <w:footnoteRef/>
      </w:r>
      <w:r>
        <w:t xml:space="preserve"> </w:t>
      </w:r>
      <w:r>
        <w:tab/>
        <w:t xml:space="preserve">ActewAGL, </w:t>
      </w:r>
      <w:r w:rsidRPr="005913A5">
        <w:rPr>
          <w:rStyle w:val="AERtextitalic"/>
        </w:rPr>
        <w:t xml:space="preserve">2016–20 access arrangement </w:t>
      </w:r>
      <w:proofErr w:type="gramStart"/>
      <w:r w:rsidRPr="005913A5">
        <w:rPr>
          <w:rStyle w:val="AERtextitalic"/>
        </w:rPr>
        <w:t>period</w:t>
      </w:r>
      <w:proofErr w:type="gramEnd"/>
      <w:r w:rsidRPr="005913A5">
        <w:rPr>
          <w:rStyle w:val="AERtextitalic"/>
        </w:rPr>
        <w:t>: Attachment 6: Capital expenditure</w:t>
      </w:r>
      <w:r>
        <w:t>, June 2015, p. 48.</w:t>
      </w:r>
    </w:p>
  </w:footnote>
  <w:footnote w:id="74">
    <w:p w:rsidR="00AF5BD6" w:rsidRDefault="00AF5BD6" w:rsidP="00C349F2">
      <w:pPr>
        <w:pStyle w:val="FootnoteText"/>
        <w:tabs>
          <w:tab w:val="left" w:pos="6804"/>
        </w:tabs>
      </w:pPr>
      <w:r>
        <w:rPr>
          <w:rStyle w:val="FootnoteReference"/>
        </w:rPr>
        <w:footnoteRef/>
      </w:r>
      <w:r>
        <w:t xml:space="preserve"> </w:t>
      </w:r>
      <w:r>
        <w:tab/>
        <w:t>NGR, r. 79(1</w:t>
      </w:r>
      <w:proofErr w:type="gramStart"/>
      <w:r>
        <w:t>)(</w:t>
      </w:r>
      <w:proofErr w:type="gramEnd"/>
      <w:r>
        <w:t xml:space="preserve">a), 79(2)(c). </w:t>
      </w:r>
    </w:p>
  </w:footnote>
  <w:footnote w:id="75">
    <w:p w:rsidR="00AF5BD6" w:rsidRDefault="00AF5BD6" w:rsidP="003E72AC">
      <w:pPr>
        <w:pStyle w:val="FootnoteText"/>
      </w:pPr>
      <w:r>
        <w:rPr>
          <w:rStyle w:val="FootnoteReference"/>
        </w:rPr>
        <w:footnoteRef/>
      </w:r>
      <w:r>
        <w:t xml:space="preserve"> </w:t>
      </w:r>
      <w:r>
        <w:tab/>
        <w:t xml:space="preserve">NGR, </w:t>
      </w:r>
      <w:proofErr w:type="spellStart"/>
      <w:proofErr w:type="gramStart"/>
      <w:r>
        <w:t>rr</w:t>
      </w:r>
      <w:proofErr w:type="spellEnd"/>
      <w:proofErr w:type="gramEnd"/>
      <w:r>
        <w:t xml:space="preserve">. </w:t>
      </w:r>
      <w:r w:rsidRPr="00AB71AA">
        <w:t>79(2</w:t>
      </w:r>
      <w:proofErr w:type="gramStart"/>
      <w:r w:rsidRPr="00AB71AA">
        <w:t>)(</w:t>
      </w:r>
      <w:proofErr w:type="gramEnd"/>
      <w:r w:rsidRPr="00AB71AA">
        <w:t>c)(ii)</w:t>
      </w:r>
      <w:r>
        <w:t>, 79(2)(c)</w:t>
      </w:r>
      <w:r w:rsidRPr="00AB71AA">
        <w:t>(iv)</w:t>
      </w:r>
      <w:r>
        <w:t>.</w:t>
      </w:r>
    </w:p>
  </w:footnote>
  <w:footnote w:id="76">
    <w:p w:rsidR="00AF5BD6" w:rsidRDefault="00AF5BD6" w:rsidP="003E72AC">
      <w:pPr>
        <w:pStyle w:val="FootnoteText"/>
      </w:pPr>
      <w:r>
        <w:rPr>
          <w:rStyle w:val="FootnoteReference"/>
        </w:rPr>
        <w:footnoteRef/>
      </w:r>
      <w:r>
        <w:t xml:space="preserve"> </w:t>
      </w:r>
      <w:r>
        <w:tab/>
        <w:t xml:space="preserve">NGR, </w:t>
      </w:r>
      <w:proofErr w:type="spellStart"/>
      <w:proofErr w:type="gramStart"/>
      <w:r>
        <w:t>rr</w:t>
      </w:r>
      <w:proofErr w:type="spellEnd"/>
      <w:proofErr w:type="gramEnd"/>
      <w:r>
        <w:t xml:space="preserve">. </w:t>
      </w:r>
      <w:r w:rsidRPr="00AB71AA">
        <w:t>79(2</w:t>
      </w:r>
      <w:proofErr w:type="gramStart"/>
      <w:r w:rsidRPr="00AB71AA">
        <w:t>)(</w:t>
      </w:r>
      <w:proofErr w:type="gramEnd"/>
      <w:r w:rsidRPr="00AB71AA">
        <w:t>c)(ii)</w:t>
      </w:r>
      <w:r>
        <w:t>, 79(2)(c)</w:t>
      </w:r>
      <w:r w:rsidRPr="00AB71AA">
        <w:t>(iv)</w:t>
      </w:r>
      <w:r>
        <w:t>.</w:t>
      </w:r>
    </w:p>
  </w:footnote>
  <w:footnote w:id="77">
    <w:p w:rsidR="00AF5BD6" w:rsidRDefault="00AF5BD6" w:rsidP="003E72AC">
      <w:pPr>
        <w:pStyle w:val="FootnoteText"/>
      </w:pPr>
      <w:r>
        <w:rPr>
          <w:rStyle w:val="FootnoteReference"/>
        </w:rPr>
        <w:footnoteRef/>
      </w:r>
      <w:r>
        <w:t xml:space="preserve"> </w:t>
      </w:r>
      <w:r>
        <w:tab/>
        <w:t xml:space="preserve">NGR, r. </w:t>
      </w:r>
      <w:r w:rsidRPr="00AB71AA">
        <w:t>79(2</w:t>
      </w:r>
      <w:proofErr w:type="gramStart"/>
      <w:r w:rsidRPr="00AB71AA">
        <w:t>)(</w:t>
      </w:r>
      <w:proofErr w:type="gramEnd"/>
      <w:r w:rsidRPr="00AB71AA">
        <w:t>c)</w:t>
      </w:r>
      <w:r>
        <w:t>.</w:t>
      </w:r>
    </w:p>
  </w:footnote>
  <w:footnote w:id="78">
    <w:p w:rsidR="00AF5BD6" w:rsidRDefault="00AF5BD6" w:rsidP="003E72AC">
      <w:pPr>
        <w:pStyle w:val="FootnoteText"/>
      </w:pPr>
      <w:r>
        <w:rPr>
          <w:rStyle w:val="FootnoteReference"/>
        </w:rPr>
        <w:footnoteRef/>
      </w:r>
      <w:r>
        <w:t xml:space="preserve"> </w:t>
      </w:r>
      <w:r>
        <w:tab/>
      </w:r>
      <w:r w:rsidRPr="00B7059F">
        <w:t>NGR, r. 79(1</w:t>
      </w:r>
      <w:proofErr w:type="gramStart"/>
      <w:r w:rsidRPr="00B7059F">
        <w:t>)(</w:t>
      </w:r>
      <w:proofErr w:type="gramEnd"/>
      <w:r w:rsidRPr="00B7059F">
        <w:t>a).</w:t>
      </w:r>
    </w:p>
  </w:footnote>
  <w:footnote w:id="79">
    <w:p w:rsidR="00AF5BD6" w:rsidRDefault="00AF5BD6" w:rsidP="003E72AC">
      <w:pPr>
        <w:pStyle w:val="FootnoteText"/>
      </w:pPr>
      <w:r>
        <w:rPr>
          <w:rStyle w:val="FootnoteReference"/>
        </w:rPr>
        <w:footnoteRef/>
      </w:r>
      <w:r>
        <w:t xml:space="preserve"> </w:t>
      </w:r>
      <w:r>
        <w:tab/>
      </w:r>
      <w:proofErr w:type="spellStart"/>
      <w:r>
        <w:t>Sleeman</w:t>
      </w:r>
      <w:proofErr w:type="spellEnd"/>
      <w:r>
        <w:t xml:space="preserve"> Consulting, </w:t>
      </w:r>
      <w:r w:rsidRPr="000B0CED">
        <w:rPr>
          <w:rStyle w:val="AERtextitalic"/>
        </w:rPr>
        <w:t>ActewAGL access arrangement 2016–21: Review of capex forecasts for selected projects</w:t>
      </w:r>
      <w:r>
        <w:t>, 18 November 2015.</w:t>
      </w:r>
    </w:p>
  </w:footnote>
  <w:footnote w:id="80">
    <w:p w:rsidR="00AF5BD6" w:rsidRDefault="00AF5BD6" w:rsidP="003E72AC">
      <w:pPr>
        <w:pStyle w:val="FootnoteText"/>
      </w:pPr>
      <w:r>
        <w:rPr>
          <w:rStyle w:val="FootnoteReference"/>
        </w:rPr>
        <w:footnoteRef/>
      </w:r>
      <w:r>
        <w:t xml:space="preserve"> </w:t>
      </w:r>
      <w:r>
        <w:tab/>
      </w:r>
      <w:proofErr w:type="spellStart"/>
      <w:r>
        <w:t>Sleeman</w:t>
      </w:r>
      <w:proofErr w:type="spellEnd"/>
      <w:r>
        <w:t xml:space="preserve"> Consulting, </w:t>
      </w:r>
      <w:r w:rsidRPr="0024187F">
        <w:rPr>
          <w:rStyle w:val="AERtextitalic"/>
        </w:rPr>
        <w:t>ActewAGL access arrangement 2016–21: Review of capex forecasts for selected projects</w:t>
      </w:r>
      <w:r>
        <w:t>, 18 November 2015, section 2.3.</w:t>
      </w:r>
    </w:p>
  </w:footnote>
  <w:footnote w:id="81">
    <w:p w:rsidR="00AF5BD6" w:rsidRDefault="00AF5BD6" w:rsidP="003E72AC">
      <w:pPr>
        <w:pStyle w:val="FootnoteText"/>
      </w:pPr>
      <w:r>
        <w:rPr>
          <w:rStyle w:val="FootnoteReference"/>
        </w:rPr>
        <w:footnoteRef/>
      </w:r>
      <w:r>
        <w:t xml:space="preserve"> </w:t>
      </w:r>
      <w:r>
        <w:tab/>
      </w:r>
      <w:proofErr w:type="spellStart"/>
      <w:r>
        <w:t>Sleeman</w:t>
      </w:r>
      <w:proofErr w:type="spellEnd"/>
      <w:r>
        <w:t xml:space="preserve"> Consulting, </w:t>
      </w:r>
      <w:r w:rsidRPr="0024187F">
        <w:rPr>
          <w:rStyle w:val="AERtextitalic"/>
        </w:rPr>
        <w:t>ActewAGL access arrangement 2016–21: Review of capex forecasts for selected projects</w:t>
      </w:r>
      <w:r>
        <w:t>, 18 November 2015, section 2.3.</w:t>
      </w:r>
    </w:p>
  </w:footnote>
  <w:footnote w:id="82">
    <w:p w:rsidR="00AF5BD6" w:rsidRDefault="00AF5BD6" w:rsidP="00A70E94">
      <w:pPr>
        <w:pStyle w:val="FootnoteText"/>
      </w:pPr>
      <w:r>
        <w:rPr>
          <w:rStyle w:val="FootnoteReference"/>
        </w:rPr>
        <w:footnoteRef/>
      </w:r>
      <w:r>
        <w:t xml:space="preserve"> </w:t>
      </w:r>
      <w:r>
        <w:tab/>
      </w:r>
      <w:proofErr w:type="spellStart"/>
      <w:r>
        <w:t>Sleeman</w:t>
      </w:r>
      <w:proofErr w:type="spellEnd"/>
      <w:r>
        <w:t xml:space="preserve"> Consulting, </w:t>
      </w:r>
      <w:r w:rsidRPr="0024187F">
        <w:rPr>
          <w:rStyle w:val="AERtextitalic"/>
        </w:rPr>
        <w:t>ActewAGL access arrangement 2016–21: Review of capex forecasts for selected projects</w:t>
      </w:r>
      <w:r>
        <w:t>, 18 November 2015, section 2.2.</w:t>
      </w:r>
    </w:p>
  </w:footnote>
  <w:footnote w:id="83">
    <w:p w:rsidR="00AF5BD6" w:rsidRDefault="00AF5BD6" w:rsidP="00A70E94">
      <w:pPr>
        <w:pStyle w:val="FootnoteText"/>
      </w:pPr>
      <w:r>
        <w:rPr>
          <w:rStyle w:val="FootnoteReference"/>
        </w:rPr>
        <w:footnoteRef/>
      </w:r>
      <w:r>
        <w:t xml:space="preserve"> </w:t>
      </w:r>
      <w:r>
        <w:tab/>
      </w:r>
      <w:proofErr w:type="spellStart"/>
      <w:r>
        <w:t>Sleeman</w:t>
      </w:r>
      <w:proofErr w:type="spellEnd"/>
      <w:r>
        <w:t xml:space="preserve"> Consulting, </w:t>
      </w:r>
      <w:r w:rsidRPr="0024187F">
        <w:rPr>
          <w:rStyle w:val="AERtextitalic"/>
        </w:rPr>
        <w:t>ActewAGL access arrangement 2016–21: Review of capex forecasts for selected projects</w:t>
      </w:r>
      <w:r>
        <w:t xml:space="preserve">, 18 November 2015, section 2.2. </w:t>
      </w:r>
      <w:r>
        <w:br/>
        <w:t xml:space="preserve">The </w:t>
      </w:r>
      <w:r w:rsidRPr="00BE3161">
        <w:t>Molonglo Secondary Extension Stage 1</w:t>
      </w:r>
      <w:r>
        <w:t xml:space="preserve"> project is a separate project from the Stage 2 project we consider in this draft decision. ActewAGL forecasts completion of Stage 1 in 2015–16 having also incurred expenditure in 2013–14 and 2014–15.</w:t>
      </w:r>
    </w:p>
  </w:footnote>
  <w:footnote w:id="84">
    <w:p w:rsidR="00AF5BD6" w:rsidRDefault="00AF5BD6" w:rsidP="00A70E94">
      <w:pPr>
        <w:pStyle w:val="FootnoteText"/>
      </w:pPr>
      <w:r>
        <w:rPr>
          <w:rStyle w:val="FootnoteReference"/>
        </w:rPr>
        <w:footnoteRef/>
      </w:r>
      <w:r>
        <w:t xml:space="preserve"> </w:t>
      </w:r>
      <w:r>
        <w:tab/>
      </w:r>
      <w:proofErr w:type="spellStart"/>
      <w:r>
        <w:t>Sleeman</w:t>
      </w:r>
      <w:proofErr w:type="spellEnd"/>
      <w:r>
        <w:t xml:space="preserve"> Consulting, </w:t>
      </w:r>
      <w:r w:rsidRPr="0024187F">
        <w:rPr>
          <w:rStyle w:val="AERtextitalic"/>
        </w:rPr>
        <w:t>ActewAGL access arrangement 2016–21: Review of capex forecasts for selected projects</w:t>
      </w:r>
      <w:r>
        <w:t>, 18 November 2015, section 2.2.</w:t>
      </w:r>
    </w:p>
  </w:footnote>
  <w:footnote w:id="85">
    <w:p w:rsidR="00AF5BD6" w:rsidRDefault="00AF5BD6">
      <w:pPr>
        <w:pStyle w:val="FootnoteText"/>
      </w:pPr>
      <w:r>
        <w:rPr>
          <w:rStyle w:val="FootnoteReference"/>
        </w:rPr>
        <w:footnoteRef/>
      </w:r>
      <w:r>
        <w:t xml:space="preserve"> </w:t>
      </w:r>
      <w:r>
        <w:tab/>
        <w:t>NGR, r. 79(1</w:t>
      </w:r>
      <w:proofErr w:type="gramStart"/>
      <w:r>
        <w:t>)(</w:t>
      </w:r>
      <w:proofErr w:type="gramEnd"/>
      <w:r>
        <w:t>a).</w:t>
      </w:r>
    </w:p>
  </w:footnote>
  <w:footnote w:id="86">
    <w:p w:rsidR="00AF5BD6" w:rsidRDefault="00AF5BD6" w:rsidP="00385B1E">
      <w:pPr>
        <w:pStyle w:val="FootnoteText"/>
      </w:pPr>
      <w:r>
        <w:rPr>
          <w:rStyle w:val="FootnoteReference"/>
        </w:rPr>
        <w:footnoteRef/>
      </w:r>
      <w:r>
        <w:t xml:space="preserve"> </w:t>
      </w:r>
      <w:r>
        <w:tab/>
        <w:t xml:space="preserve">NGR, </w:t>
      </w:r>
      <w:proofErr w:type="spellStart"/>
      <w:proofErr w:type="gramStart"/>
      <w:r>
        <w:t>rr</w:t>
      </w:r>
      <w:proofErr w:type="spellEnd"/>
      <w:proofErr w:type="gramEnd"/>
      <w:r>
        <w:t xml:space="preserve">. </w:t>
      </w:r>
      <w:r w:rsidRPr="00AB71AA">
        <w:t>79(2</w:t>
      </w:r>
      <w:proofErr w:type="gramStart"/>
      <w:r w:rsidRPr="00AB71AA">
        <w:t>)(</w:t>
      </w:r>
      <w:proofErr w:type="gramEnd"/>
      <w:r w:rsidRPr="00AB71AA">
        <w:t>c)(ii)</w:t>
      </w:r>
      <w:r>
        <w:t xml:space="preserve">, </w:t>
      </w:r>
      <w:r w:rsidRPr="00AB71AA">
        <w:t>79(2)(c) (iv)</w:t>
      </w:r>
      <w:r>
        <w:t>.</w:t>
      </w:r>
    </w:p>
  </w:footnote>
  <w:footnote w:id="87">
    <w:p w:rsidR="00AF5BD6" w:rsidRDefault="00AF5BD6" w:rsidP="00385B1E">
      <w:pPr>
        <w:pStyle w:val="FootnoteText"/>
      </w:pPr>
      <w:r>
        <w:rPr>
          <w:rStyle w:val="FootnoteReference"/>
        </w:rPr>
        <w:footnoteRef/>
      </w:r>
      <w:r>
        <w:t xml:space="preserve"> </w:t>
      </w:r>
      <w:r>
        <w:tab/>
      </w:r>
      <w:proofErr w:type="spellStart"/>
      <w:r>
        <w:t>Sleeman</w:t>
      </w:r>
      <w:proofErr w:type="spellEnd"/>
      <w:r>
        <w:t xml:space="preserve"> Consulting, </w:t>
      </w:r>
      <w:r w:rsidRPr="0024187F">
        <w:rPr>
          <w:rStyle w:val="AERtextitalic"/>
        </w:rPr>
        <w:t>ActewAGL access arrangement 2016–21: Review of capex forecasts for selected projects</w:t>
      </w:r>
      <w:r>
        <w:t>, 18 November 2015, section 2.1.</w:t>
      </w:r>
    </w:p>
  </w:footnote>
  <w:footnote w:id="88">
    <w:p w:rsidR="00AF5BD6" w:rsidRDefault="00AF5BD6" w:rsidP="00385B1E">
      <w:pPr>
        <w:pStyle w:val="FootnoteText"/>
      </w:pPr>
      <w:r>
        <w:rPr>
          <w:rStyle w:val="FootnoteReference"/>
        </w:rPr>
        <w:footnoteRef/>
      </w:r>
      <w:r>
        <w:t xml:space="preserve"> </w:t>
      </w:r>
      <w:r>
        <w:tab/>
      </w:r>
      <w:proofErr w:type="spellStart"/>
      <w:r>
        <w:t>Sleeman</w:t>
      </w:r>
      <w:proofErr w:type="spellEnd"/>
      <w:r>
        <w:t xml:space="preserve"> Consulting, </w:t>
      </w:r>
      <w:r w:rsidRPr="0024187F">
        <w:rPr>
          <w:rStyle w:val="AERtextitalic"/>
        </w:rPr>
        <w:t>ActewAGL access arrangement 2016–21: Review of capex forecasts for selected projects</w:t>
      </w:r>
      <w:r>
        <w:t xml:space="preserve">, 18 November 2015, section 2.1. </w:t>
      </w:r>
      <w:proofErr w:type="gramStart"/>
      <w:r>
        <w:t>(Confidential version).</w:t>
      </w:r>
      <w:proofErr w:type="gramEnd"/>
    </w:p>
  </w:footnote>
  <w:footnote w:id="89">
    <w:p w:rsidR="00AF5BD6" w:rsidRDefault="00AF5BD6" w:rsidP="00385B1E">
      <w:pPr>
        <w:pStyle w:val="FootnoteText"/>
      </w:pPr>
      <w:r>
        <w:rPr>
          <w:rStyle w:val="FootnoteReference"/>
        </w:rPr>
        <w:footnoteRef/>
      </w:r>
      <w:r>
        <w:t xml:space="preserve"> </w:t>
      </w:r>
      <w:r>
        <w:tab/>
      </w:r>
      <w:proofErr w:type="spellStart"/>
      <w:r>
        <w:t>Sleeman</w:t>
      </w:r>
      <w:proofErr w:type="spellEnd"/>
      <w:r>
        <w:t xml:space="preserve"> Consulting, </w:t>
      </w:r>
      <w:r w:rsidRPr="0024187F">
        <w:rPr>
          <w:rStyle w:val="AERtextitalic"/>
        </w:rPr>
        <w:t>ActewAGL access arrangement 2016–21: Review of capex forecasts for selected projects</w:t>
      </w:r>
      <w:r>
        <w:t>, 18 November 2015, section 2.1.</w:t>
      </w:r>
    </w:p>
  </w:footnote>
  <w:footnote w:id="90">
    <w:p w:rsidR="00AF5BD6" w:rsidRDefault="00AF5BD6" w:rsidP="001C7F79">
      <w:pPr>
        <w:pStyle w:val="FootnoteText"/>
        <w:tabs>
          <w:tab w:val="left" w:pos="6804"/>
        </w:tabs>
      </w:pPr>
      <w:r>
        <w:rPr>
          <w:rStyle w:val="FootnoteReference"/>
        </w:rPr>
        <w:footnoteRef/>
      </w:r>
      <w:r>
        <w:t xml:space="preserve"> </w:t>
      </w:r>
      <w:r>
        <w:tab/>
        <w:t xml:space="preserve">ActewAGL, </w:t>
      </w:r>
      <w:proofErr w:type="gramStart"/>
      <w:r w:rsidRPr="00390641">
        <w:rPr>
          <w:rStyle w:val="AERtextitalic"/>
        </w:rPr>
        <w:t>201</w:t>
      </w:r>
      <w:r>
        <w:rPr>
          <w:rStyle w:val="AERtextitalic"/>
        </w:rPr>
        <w:t>6–</w:t>
      </w:r>
      <w:r w:rsidRPr="00390641">
        <w:rPr>
          <w:rStyle w:val="AERtextitalic"/>
        </w:rPr>
        <w:t>2</w:t>
      </w:r>
      <w:r>
        <w:rPr>
          <w:rStyle w:val="AERtextitalic"/>
        </w:rPr>
        <w:t>1</w:t>
      </w:r>
      <w:r w:rsidRPr="00390641">
        <w:rPr>
          <w:rStyle w:val="AERtextitalic"/>
        </w:rPr>
        <w:t xml:space="preserve"> Access Arrangement Information</w:t>
      </w:r>
      <w:r>
        <w:t>, June 2015,</w:t>
      </w:r>
      <w:proofErr w:type="gramEnd"/>
      <w:r>
        <w:t xml:space="preserve"> </w:t>
      </w:r>
      <w:r w:rsidRPr="00F763E8">
        <w:t xml:space="preserve">ActewAGL Distribution </w:t>
      </w:r>
      <w:proofErr w:type="spellStart"/>
      <w:r w:rsidRPr="00F763E8">
        <w:t>AAI_Attachment</w:t>
      </w:r>
      <w:proofErr w:type="spellEnd"/>
      <w:r w:rsidRPr="00F763E8">
        <w:t xml:space="preserve"> 6 Capital expenditure</w:t>
      </w:r>
      <w:r>
        <w:t>.pdf, p. 51.</w:t>
      </w:r>
    </w:p>
  </w:footnote>
  <w:footnote w:id="91">
    <w:p w:rsidR="00AF5BD6" w:rsidRDefault="00AF5BD6" w:rsidP="001C7F79">
      <w:pPr>
        <w:pStyle w:val="FootnoteText"/>
        <w:tabs>
          <w:tab w:val="left" w:pos="6804"/>
        </w:tabs>
      </w:pPr>
      <w:r>
        <w:rPr>
          <w:rStyle w:val="FootnoteReference"/>
        </w:rPr>
        <w:footnoteRef/>
      </w:r>
      <w:r>
        <w:t xml:space="preserve"> </w:t>
      </w:r>
      <w:r>
        <w:tab/>
        <w:t xml:space="preserve">NGR, </w:t>
      </w:r>
      <w:proofErr w:type="spellStart"/>
      <w:proofErr w:type="gramStart"/>
      <w:r>
        <w:t>rr</w:t>
      </w:r>
      <w:proofErr w:type="spellEnd"/>
      <w:proofErr w:type="gramEnd"/>
      <w:r>
        <w:t>. 79(1</w:t>
      </w:r>
      <w:proofErr w:type="gramStart"/>
      <w:r>
        <w:t>)(</w:t>
      </w:r>
      <w:proofErr w:type="gramEnd"/>
      <w:r>
        <w:t xml:space="preserve">a), 79(2)(c). </w:t>
      </w:r>
    </w:p>
  </w:footnote>
  <w:footnote w:id="92">
    <w:p w:rsidR="00AF5BD6" w:rsidRDefault="00AF5BD6" w:rsidP="009C5EEA">
      <w:pPr>
        <w:pStyle w:val="FootnoteText"/>
      </w:pPr>
      <w:r>
        <w:rPr>
          <w:rStyle w:val="FootnoteReference"/>
        </w:rPr>
        <w:footnoteRef/>
      </w:r>
      <w:r>
        <w:t xml:space="preserve"> </w:t>
      </w:r>
      <w:r>
        <w:tab/>
      </w:r>
      <w:proofErr w:type="spellStart"/>
      <w:r>
        <w:t>Sleeman</w:t>
      </w:r>
      <w:proofErr w:type="spellEnd"/>
      <w:r>
        <w:t xml:space="preserve"> Consulting, </w:t>
      </w:r>
      <w:r w:rsidRPr="0024187F">
        <w:rPr>
          <w:rStyle w:val="AERtextitalic"/>
        </w:rPr>
        <w:t>ActewAGL access arrangement 2016–21: Review of capex forecasts for selected projects</w:t>
      </w:r>
      <w:r>
        <w:t>, 18 November 2015, section 3.</w:t>
      </w:r>
    </w:p>
  </w:footnote>
  <w:footnote w:id="93">
    <w:p w:rsidR="00AF5BD6" w:rsidRDefault="00AF5BD6" w:rsidP="001C7F79">
      <w:pPr>
        <w:pStyle w:val="FootnoteText"/>
        <w:tabs>
          <w:tab w:val="left" w:pos="6804"/>
        </w:tabs>
      </w:pPr>
      <w:r>
        <w:rPr>
          <w:rStyle w:val="FootnoteReference"/>
        </w:rPr>
        <w:footnoteRef/>
      </w:r>
      <w:r>
        <w:t xml:space="preserve"> </w:t>
      </w:r>
      <w:r>
        <w:tab/>
        <w:t>NGR, r. 79(1</w:t>
      </w:r>
      <w:proofErr w:type="gramStart"/>
      <w:r>
        <w:t>)(</w:t>
      </w:r>
      <w:proofErr w:type="gramEnd"/>
      <w:r>
        <w:t xml:space="preserve">a). </w:t>
      </w:r>
    </w:p>
  </w:footnote>
  <w:footnote w:id="94">
    <w:p w:rsidR="00AF5BD6" w:rsidRDefault="00AF5BD6">
      <w:pPr>
        <w:pStyle w:val="FootnoteText"/>
      </w:pPr>
      <w:r>
        <w:rPr>
          <w:rStyle w:val="FootnoteReference"/>
        </w:rPr>
        <w:footnoteRef/>
      </w:r>
      <w:r>
        <w:t xml:space="preserve"> </w:t>
      </w:r>
      <w:r>
        <w:tab/>
        <w:t xml:space="preserve">NGR, </w:t>
      </w:r>
      <w:proofErr w:type="spellStart"/>
      <w:proofErr w:type="gramStart"/>
      <w:r>
        <w:t>rr</w:t>
      </w:r>
      <w:proofErr w:type="spellEnd"/>
      <w:proofErr w:type="gramEnd"/>
      <w:r>
        <w:t>. 79(2</w:t>
      </w:r>
      <w:proofErr w:type="gramStart"/>
      <w:r>
        <w:t>)(</w:t>
      </w:r>
      <w:proofErr w:type="gramEnd"/>
      <w:r>
        <w:t>c)(</w:t>
      </w:r>
      <w:proofErr w:type="spellStart"/>
      <w:r>
        <w:t>i</w:t>
      </w:r>
      <w:proofErr w:type="spellEnd"/>
      <w:r>
        <w:t xml:space="preserve">)–(iv). </w:t>
      </w:r>
    </w:p>
  </w:footnote>
  <w:footnote w:id="95">
    <w:p w:rsidR="00AF5BD6" w:rsidRDefault="00AF5BD6">
      <w:pPr>
        <w:pStyle w:val="FootnoteText"/>
      </w:pPr>
      <w:r>
        <w:rPr>
          <w:rStyle w:val="FootnoteReference"/>
        </w:rPr>
        <w:footnoteRef/>
      </w:r>
      <w:r>
        <w:t xml:space="preserve"> </w:t>
      </w:r>
      <w:r>
        <w:tab/>
        <w:t xml:space="preserve">This corresponds with public announcements by AGL Energy Limited that, from January 2018, it will source gas from the Bass Strait. </w:t>
      </w:r>
    </w:p>
  </w:footnote>
  <w:footnote w:id="96">
    <w:p w:rsidR="00AF5BD6" w:rsidRDefault="00AF5BD6" w:rsidP="004107DB">
      <w:pPr>
        <w:pStyle w:val="FootnoteText"/>
      </w:pPr>
      <w:r>
        <w:rPr>
          <w:rStyle w:val="FootnoteReference"/>
        </w:rPr>
        <w:footnoteRef/>
      </w:r>
      <w:r>
        <w:t xml:space="preserve"> </w:t>
      </w:r>
      <w:r>
        <w:tab/>
        <w:t xml:space="preserve">ActewAGL, </w:t>
      </w:r>
      <w:r w:rsidRPr="00C432D9">
        <w:rPr>
          <w:i/>
        </w:rPr>
        <w:t xml:space="preserve">Opportunity brief: </w:t>
      </w:r>
      <w:r>
        <w:rPr>
          <w:i/>
        </w:rPr>
        <w:t>Pressure limiting station at Watson CTS outlet</w:t>
      </w:r>
      <w:r w:rsidRPr="00C432D9">
        <w:rPr>
          <w:i/>
        </w:rPr>
        <w:t xml:space="preserve"> (C424-14</w:t>
      </w:r>
      <w:r>
        <w:rPr>
          <w:i/>
        </w:rPr>
        <w:t>6</w:t>
      </w:r>
      <w:r w:rsidRPr="00C432D9">
        <w:rPr>
          <w:i/>
        </w:rPr>
        <w:t>)</w:t>
      </w:r>
      <w:r>
        <w:rPr>
          <w:i/>
        </w:rPr>
        <w:t xml:space="preserve"> (confidential)</w:t>
      </w:r>
      <w:r w:rsidRPr="00C432D9">
        <w:rPr>
          <w:i/>
        </w:rPr>
        <w:t>,</w:t>
      </w:r>
      <w:r>
        <w:t xml:space="preserve"> December 2014. </w:t>
      </w:r>
    </w:p>
  </w:footnote>
  <w:footnote w:id="97">
    <w:p w:rsidR="00AF5BD6" w:rsidRDefault="00AF5BD6" w:rsidP="002D35AE">
      <w:pPr>
        <w:pStyle w:val="FootnoteText"/>
      </w:pPr>
      <w:r>
        <w:rPr>
          <w:rStyle w:val="FootnoteReference"/>
        </w:rPr>
        <w:footnoteRef/>
      </w:r>
      <w:r>
        <w:t xml:space="preserve"> </w:t>
      </w:r>
      <w:r>
        <w:tab/>
      </w:r>
      <w:proofErr w:type="gramStart"/>
      <w:r>
        <w:t xml:space="preserve">ActewAGL, </w:t>
      </w:r>
      <w:r w:rsidRPr="00E14E22">
        <w:rPr>
          <w:i/>
        </w:rPr>
        <w:t xml:space="preserve">Access </w:t>
      </w:r>
      <w:r>
        <w:rPr>
          <w:i/>
        </w:rPr>
        <w:t>a</w:t>
      </w:r>
      <w:r w:rsidRPr="00E14E22">
        <w:rPr>
          <w:i/>
        </w:rPr>
        <w:t xml:space="preserve">rrangement </w:t>
      </w:r>
      <w:r>
        <w:rPr>
          <w:i/>
        </w:rPr>
        <w:t>i</w:t>
      </w:r>
      <w:r w:rsidRPr="00E14E22">
        <w:rPr>
          <w:i/>
        </w:rPr>
        <w:t>nformation</w:t>
      </w:r>
      <w:r>
        <w:t>,</w:t>
      </w:r>
      <w:r w:rsidRPr="00007A3F">
        <w:t xml:space="preserve"> J</w:t>
      </w:r>
      <w:r>
        <w:t>une</w:t>
      </w:r>
      <w:r w:rsidRPr="00007A3F">
        <w:t xml:space="preserve"> 2015</w:t>
      </w:r>
      <w:r>
        <w:t xml:space="preserve">, 2016–21 – </w:t>
      </w:r>
      <w:r w:rsidRPr="003B108B">
        <w:rPr>
          <w:caps/>
        </w:rPr>
        <w:t>public</w:t>
      </w:r>
      <w:r>
        <w:t xml:space="preserve"> Gas Reset RIN MASTER FINAL_revised_6 July2015.xls</w:t>
      </w:r>
      <w:r>
        <w:rPr>
          <w:rStyle w:val="AERtextitalic"/>
        </w:rPr>
        <w:t>.</w:t>
      </w:r>
      <w:proofErr w:type="gramEnd"/>
    </w:p>
  </w:footnote>
  <w:footnote w:id="98">
    <w:p w:rsidR="00AF5BD6" w:rsidRDefault="00AF5BD6" w:rsidP="00A37C72">
      <w:pPr>
        <w:pStyle w:val="FootnoteText"/>
      </w:pPr>
      <w:r>
        <w:rPr>
          <w:rStyle w:val="FootnoteReference"/>
        </w:rPr>
        <w:footnoteRef/>
      </w:r>
      <w:r>
        <w:t xml:space="preserve"> </w:t>
      </w:r>
      <w:r>
        <w:tab/>
        <w:t xml:space="preserve">ActewAGL, </w:t>
      </w:r>
      <w:r w:rsidRPr="00C432D9">
        <w:rPr>
          <w:i/>
        </w:rPr>
        <w:t xml:space="preserve">Opportunity brief: </w:t>
      </w:r>
      <w:r>
        <w:rPr>
          <w:i/>
        </w:rPr>
        <w:t>Pressure limiting station at Watson CTS outlet</w:t>
      </w:r>
      <w:r w:rsidRPr="00C432D9">
        <w:rPr>
          <w:i/>
        </w:rPr>
        <w:t xml:space="preserve"> (C424-14</w:t>
      </w:r>
      <w:r>
        <w:rPr>
          <w:i/>
        </w:rPr>
        <w:t>6</w:t>
      </w:r>
      <w:r w:rsidRPr="00C432D9">
        <w:rPr>
          <w:i/>
        </w:rPr>
        <w:t>)</w:t>
      </w:r>
      <w:r>
        <w:rPr>
          <w:i/>
        </w:rPr>
        <w:t xml:space="preserve"> (confidential)</w:t>
      </w:r>
      <w:r w:rsidRPr="00C432D9">
        <w:rPr>
          <w:i/>
        </w:rPr>
        <w:t>,</w:t>
      </w:r>
      <w:r>
        <w:t xml:space="preserve"> December 2014. </w:t>
      </w:r>
    </w:p>
  </w:footnote>
  <w:footnote w:id="99">
    <w:p w:rsidR="00AF5BD6" w:rsidRDefault="00AF5BD6">
      <w:pPr>
        <w:pStyle w:val="FootnoteText"/>
      </w:pPr>
      <w:r>
        <w:rPr>
          <w:rStyle w:val="FootnoteReference"/>
        </w:rPr>
        <w:footnoteRef/>
      </w:r>
      <w:r>
        <w:t xml:space="preserve"> </w:t>
      </w:r>
      <w:r>
        <w:tab/>
        <w:t xml:space="preserve">ActewAGL, </w:t>
      </w:r>
      <w:r w:rsidRPr="009C5EEA">
        <w:rPr>
          <w:i/>
        </w:rPr>
        <w:t>Response to AER information request 036</w:t>
      </w:r>
      <w:r>
        <w:t xml:space="preserve">, 6 October 2015, p. 1. </w:t>
      </w:r>
    </w:p>
  </w:footnote>
  <w:footnote w:id="100">
    <w:p w:rsidR="00AF5BD6" w:rsidRDefault="00AF5BD6" w:rsidP="009C5EEA">
      <w:pPr>
        <w:pStyle w:val="FootnoteText"/>
      </w:pPr>
      <w:r>
        <w:rPr>
          <w:rStyle w:val="FootnoteReference"/>
        </w:rPr>
        <w:footnoteRef/>
      </w:r>
      <w:r>
        <w:t xml:space="preserve"> </w:t>
      </w:r>
      <w:r>
        <w:tab/>
      </w:r>
      <w:proofErr w:type="spellStart"/>
      <w:r>
        <w:t>Sleeman</w:t>
      </w:r>
      <w:proofErr w:type="spellEnd"/>
      <w:r>
        <w:t xml:space="preserve"> Consulting, </w:t>
      </w:r>
      <w:r w:rsidRPr="0024187F">
        <w:rPr>
          <w:rStyle w:val="AERtextitalic"/>
        </w:rPr>
        <w:t>ActewAGL access arrangement 2016–21: Review of capex forecasts for selected projects</w:t>
      </w:r>
      <w:r>
        <w:t>, 18 November 2015, section 3.2.</w:t>
      </w:r>
    </w:p>
  </w:footnote>
  <w:footnote w:id="101">
    <w:p w:rsidR="00AF5BD6" w:rsidRDefault="00AF5BD6" w:rsidP="009C5EEA">
      <w:pPr>
        <w:pStyle w:val="FootnoteText"/>
      </w:pPr>
      <w:r>
        <w:rPr>
          <w:rStyle w:val="FootnoteReference"/>
        </w:rPr>
        <w:footnoteRef/>
      </w:r>
      <w:r>
        <w:t xml:space="preserve"> </w:t>
      </w:r>
      <w:r>
        <w:tab/>
      </w:r>
      <w:proofErr w:type="spellStart"/>
      <w:r>
        <w:t>Sleeman</w:t>
      </w:r>
      <w:proofErr w:type="spellEnd"/>
      <w:r>
        <w:t xml:space="preserve"> Consulting, </w:t>
      </w:r>
      <w:r w:rsidRPr="0024187F">
        <w:rPr>
          <w:rStyle w:val="AERtextitalic"/>
        </w:rPr>
        <w:t>ActewAGL access arrangement 2016–21: Review of capex forecasts for selected projects</w:t>
      </w:r>
      <w:r>
        <w:t>, 18 November 2015, section 3.2.</w:t>
      </w:r>
    </w:p>
  </w:footnote>
  <w:footnote w:id="102">
    <w:p w:rsidR="00AF5BD6" w:rsidRDefault="00AF5BD6" w:rsidP="00662FC0">
      <w:pPr>
        <w:pStyle w:val="FootnoteText"/>
      </w:pPr>
      <w:r>
        <w:rPr>
          <w:rStyle w:val="FootnoteReference"/>
        </w:rPr>
        <w:footnoteRef/>
      </w:r>
      <w:r>
        <w:t xml:space="preserve"> </w:t>
      </w:r>
      <w:r>
        <w:tab/>
      </w:r>
      <w:proofErr w:type="spellStart"/>
      <w:r>
        <w:t>Sleeman</w:t>
      </w:r>
      <w:proofErr w:type="spellEnd"/>
      <w:r>
        <w:t xml:space="preserve"> Consulting, </w:t>
      </w:r>
      <w:r w:rsidRPr="0024187F">
        <w:rPr>
          <w:rStyle w:val="AERtextitalic"/>
        </w:rPr>
        <w:t>ActewAGL access arrangement 2016–21: Review of capex forecasts for selected projects</w:t>
      </w:r>
      <w:r>
        <w:t>, 18 November 2015, section 3.2.</w:t>
      </w:r>
    </w:p>
  </w:footnote>
  <w:footnote w:id="103">
    <w:p w:rsidR="00AF5BD6" w:rsidRDefault="00AF5BD6" w:rsidP="009C5EEA">
      <w:pPr>
        <w:pStyle w:val="FootnoteText"/>
      </w:pPr>
      <w:r>
        <w:rPr>
          <w:rStyle w:val="FootnoteReference"/>
        </w:rPr>
        <w:footnoteRef/>
      </w:r>
      <w:r>
        <w:t xml:space="preserve"> </w:t>
      </w:r>
      <w:r>
        <w:tab/>
      </w:r>
      <w:proofErr w:type="spellStart"/>
      <w:r>
        <w:t>Sleeman</w:t>
      </w:r>
      <w:proofErr w:type="spellEnd"/>
      <w:r>
        <w:t xml:space="preserve"> Consulting, </w:t>
      </w:r>
      <w:r w:rsidRPr="0024187F">
        <w:rPr>
          <w:rStyle w:val="AERtextitalic"/>
        </w:rPr>
        <w:t>ActewAGL access arrangement 2016–21: Review of capex forecasts for selected projects</w:t>
      </w:r>
      <w:r>
        <w:t>, 18 November 2015, section 4.1.</w:t>
      </w:r>
    </w:p>
  </w:footnote>
  <w:footnote w:id="104">
    <w:p w:rsidR="00AF5BD6" w:rsidRDefault="00AF5BD6">
      <w:pPr>
        <w:pStyle w:val="FootnoteText"/>
      </w:pPr>
      <w:r>
        <w:rPr>
          <w:rStyle w:val="FootnoteReference"/>
        </w:rPr>
        <w:footnoteRef/>
      </w:r>
      <w:r>
        <w:t xml:space="preserve"> </w:t>
      </w:r>
      <w:r>
        <w:tab/>
        <w:t xml:space="preserve">This forecast includes expenditure proposed in the 2015–16 year. </w:t>
      </w:r>
    </w:p>
  </w:footnote>
  <w:footnote w:id="105">
    <w:p w:rsidR="00AF5BD6" w:rsidRDefault="00AF5BD6" w:rsidP="002D35AE">
      <w:pPr>
        <w:pStyle w:val="FootnoteText"/>
      </w:pPr>
      <w:r>
        <w:rPr>
          <w:rStyle w:val="FootnoteReference"/>
        </w:rPr>
        <w:footnoteRef/>
      </w:r>
      <w:r>
        <w:t xml:space="preserve"> </w:t>
      </w:r>
      <w:r>
        <w:tab/>
      </w:r>
      <w:proofErr w:type="gramStart"/>
      <w:r>
        <w:t xml:space="preserve">ActewAGL, </w:t>
      </w:r>
      <w:r w:rsidRPr="00E14E22">
        <w:rPr>
          <w:i/>
        </w:rPr>
        <w:t xml:space="preserve">Access </w:t>
      </w:r>
      <w:r>
        <w:rPr>
          <w:i/>
        </w:rPr>
        <w:t>a</w:t>
      </w:r>
      <w:r w:rsidRPr="00E14E22">
        <w:rPr>
          <w:i/>
        </w:rPr>
        <w:t xml:space="preserve">rrangement </w:t>
      </w:r>
      <w:r>
        <w:rPr>
          <w:i/>
        </w:rPr>
        <w:t>i</w:t>
      </w:r>
      <w:r w:rsidRPr="00E14E22">
        <w:rPr>
          <w:i/>
        </w:rPr>
        <w:t>nformation</w:t>
      </w:r>
      <w:r>
        <w:t>,</w:t>
      </w:r>
      <w:r w:rsidRPr="00007A3F">
        <w:t xml:space="preserve"> J</w:t>
      </w:r>
      <w:r>
        <w:t>une</w:t>
      </w:r>
      <w:r w:rsidRPr="00007A3F">
        <w:t xml:space="preserve"> 2015</w:t>
      </w:r>
      <w:r>
        <w:t xml:space="preserve">, 2016–21 – </w:t>
      </w:r>
      <w:r w:rsidRPr="003B108B">
        <w:rPr>
          <w:caps/>
        </w:rPr>
        <w:t>public</w:t>
      </w:r>
      <w:r>
        <w:t xml:space="preserve"> Gas Reset RIN MASTER FINAL_revised_6 July2015.xls</w:t>
      </w:r>
      <w:r>
        <w:rPr>
          <w:rStyle w:val="AERtextitalic"/>
        </w:rPr>
        <w:t>.</w:t>
      </w:r>
      <w:proofErr w:type="gramEnd"/>
    </w:p>
  </w:footnote>
  <w:footnote w:id="106">
    <w:p w:rsidR="00AF5BD6" w:rsidRDefault="00AF5BD6" w:rsidP="00814F78">
      <w:pPr>
        <w:pStyle w:val="FootnoteText"/>
      </w:pPr>
      <w:r>
        <w:rPr>
          <w:rStyle w:val="FootnoteReference"/>
        </w:rPr>
        <w:footnoteRef/>
      </w:r>
      <w:r>
        <w:t xml:space="preserve"> </w:t>
      </w:r>
      <w:r>
        <w:tab/>
      </w:r>
      <w:proofErr w:type="spellStart"/>
      <w:r>
        <w:t>Sleeman</w:t>
      </w:r>
      <w:proofErr w:type="spellEnd"/>
      <w:r>
        <w:t xml:space="preserve"> Consulting, </w:t>
      </w:r>
      <w:r w:rsidRPr="0024187F">
        <w:rPr>
          <w:rStyle w:val="AERtextitalic"/>
        </w:rPr>
        <w:t>ActewAGL access arrangement 2016–21: Review of capex forecasts for selected projects</w:t>
      </w:r>
      <w:r>
        <w:t>, 18 November 2015, section 3.4.</w:t>
      </w:r>
    </w:p>
  </w:footnote>
  <w:footnote w:id="107">
    <w:p w:rsidR="00AF5BD6" w:rsidRDefault="00AF5BD6" w:rsidP="00662FC0">
      <w:pPr>
        <w:pStyle w:val="FootnoteText"/>
      </w:pPr>
      <w:r>
        <w:rPr>
          <w:rStyle w:val="FootnoteReference"/>
        </w:rPr>
        <w:footnoteRef/>
      </w:r>
      <w:r>
        <w:t xml:space="preserve"> </w:t>
      </w:r>
      <w:r>
        <w:tab/>
      </w:r>
      <w:proofErr w:type="spellStart"/>
      <w:r>
        <w:t>Sleeman</w:t>
      </w:r>
      <w:proofErr w:type="spellEnd"/>
      <w:r>
        <w:t xml:space="preserve"> Consulting, </w:t>
      </w:r>
      <w:r w:rsidRPr="0024187F">
        <w:rPr>
          <w:rStyle w:val="AERtextitalic"/>
        </w:rPr>
        <w:t>ActewAGL access arrangement 2016–21: Review of capex forecasts for selected projects</w:t>
      </w:r>
      <w:r>
        <w:t>, 18 November 2015, section 3.4.</w:t>
      </w:r>
    </w:p>
  </w:footnote>
  <w:footnote w:id="108">
    <w:p w:rsidR="00AF5BD6" w:rsidRDefault="00AF5BD6">
      <w:pPr>
        <w:pStyle w:val="FootnoteText"/>
      </w:pPr>
      <w:r>
        <w:rPr>
          <w:rStyle w:val="FootnoteReference"/>
        </w:rPr>
        <w:footnoteRef/>
      </w:r>
      <w:r>
        <w:t xml:space="preserve"> </w:t>
      </w:r>
      <w:r>
        <w:tab/>
      </w:r>
      <w:proofErr w:type="gramStart"/>
      <w:r>
        <w:t>NGR, r. 79(2).</w:t>
      </w:r>
      <w:proofErr w:type="gramEnd"/>
    </w:p>
  </w:footnote>
  <w:footnote w:id="109">
    <w:p w:rsidR="00AF5BD6" w:rsidRDefault="00AF5BD6" w:rsidP="00376E64">
      <w:pPr>
        <w:pStyle w:val="FootnoteText"/>
      </w:pPr>
      <w:r>
        <w:rPr>
          <w:rStyle w:val="FootnoteReference"/>
        </w:rPr>
        <w:footnoteRef/>
      </w:r>
      <w:r>
        <w:t xml:space="preserve"> </w:t>
      </w:r>
      <w:r>
        <w:tab/>
        <w:t xml:space="preserve">ActewAGL, </w:t>
      </w:r>
      <w:proofErr w:type="gramStart"/>
      <w:r w:rsidRPr="00390641">
        <w:rPr>
          <w:rStyle w:val="AERtextitalic"/>
        </w:rPr>
        <w:t>201</w:t>
      </w:r>
      <w:r>
        <w:rPr>
          <w:rStyle w:val="AERtextitalic"/>
        </w:rPr>
        <w:t>6–</w:t>
      </w:r>
      <w:r w:rsidRPr="00390641">
        <w:rPr>
          <w:rStyle w:val="AERtextitalic"/>
        </w:rPr>
        <w:t>2</w:t>
      </w:r>
      <w:r>
        <w:rPr>
          <w:rStyle w:val="AERtextitalic"/>
        </w:rPr>
        <w:t>1</w:t>
      </w:r>
      <w:r w:rsidRPr="00390641">
        <w:rPr>
          <w:rStyle w:val="AERtextitalic"/>
        </w:rPr>
        <w:t xml:space="preserve"> Access Arrangement Information</w:t>
      </w:r>
      <w:r>
        <w:t>, June 2015,</w:t>
      </w:r>
      <w:proofErr w:type="gramEnd"/>
      <w:r>
        <w:t xml:space="preserve"> </w:t>
      </w:r>
      <w:r w:rsidRPr="00F763E8">
        <w:t xml:space="preserve">ActewAGL Distribution </w:t>
      </w:r>
      <w:proofErr w:type="spellStart"/>
      <w:r w:rsidRPr="00F763E8">
        <w:t>AAI_Attachment</w:t>
      </w:r>
      <w:proofErr w:type="spellEnd"/>
      <w:r w:rsidRPr="00F763E8">
        <w:t xml:space="preserve"> 6 Capital expenditure</w:t>
      </w:r>
      <w:r>
        <w:t>.pdf, p. 52.</w:t>
      </w:r>
    </w:p>
  </w:footnote>
  <w:footnote w:id="110">
    <w:p w:rsidR="00AF5BD6" w:rsidRDefault="00AF5BD6">
      <w:pPr>
        <w:pStyle w:val="FootnoteText"/>
      </w:pPr>
      <w:r>
        <w:rPr>
          <w:rStyle w:val="FootnoteReference"/>
        </w:rPr>
        <w:footnoteRef/>
      </w:r>
      <w:r>
        <w:t xml:space="preserve"> </w:t>
      </w:r>
      <w:r>
        <w:tab/>
        <w:t xml:space="preserve">As we noted in section </w:t>
      </w:r>
      <w:r>
        <w:fldChar w:fldCharType="begin"/>
      </w:r>
      <w:r>
        <w:instrText xml:space="preserve"> REF _Ref434838039 \n \h </w:instrText>
      </w:r>
      <w:r>
        <w:fldChar w:fldCharType="separate"/>
      </w:r>
      <w:r>
        <w:t>6.1</w:t>
      </w:r>
      <w:r>
        <w:fldChar w:fldCharType="end"/>
      </w:r>
      <w:r>
        <w:t xml:space="preserve">, this is not the figure we derived in our modelling once we allocate the construction management fee. We have included this figure as it reflects our adjustment to </w:t>
      </w:r>
      <w:proofErr w:type="spellStart"/>
      <w:r>
        <w:t>ActewAGL’s</w:t>
      </w:r>
      <w:proofErr w:type="spellEnd"/>
      <w:r>
        <w:t xml:space="preserve"> direct, </w:t>
      </w:r>
      <w:proofErr w:type="spellStart"/>
      <w:r>
        <w:t>unescalated</w:t>
      </w:r>
      <w:proofErr w:type="spellEnd"/>
      <w:r>
        <w:t xml:space="preserve"> capex for meter renewal. </w:t>
      </w:r>
    </w:p>
  </w:footnote>
  <w:footnote w:id="111">
    <w:p w:rsidR="00AF5BD6" w:rsidRDefault="00AF5BD6" w:rsidP="002B6514">
      <w:pPr>
        <w:pStyle w:val="FootnoteText"/>
      </w:pPr>
      <w:r>
        <w:rPr>
          <w:rStyle w:val="FootnoteReference"/>
        </w:rPr>
        <w:footnoteRef/>
      </w:r>
      <w:r>
        <w:t xml:space="preserve"> </w:t>
      </w:r>
      <w:r>
        <w:tab/>
        <w:t>NGR, r. 79(1</w:t>
      </w:r>
      <w:proofErr w:type="gramStart"/>
      <w:r>
        <w:t>)(</w:t>
      </w:r>
      <w:proofErr w:type="gramEnd"/>
      <w:r>
        <w:t xml:space="preserve">a). </w:t>
      </w:r>
    </w:p>
  </w:footnote>
  <w:footnote w:id="112">
    <w:p w:rsidR="00AF5BD6" w:rsidRPr="00CD0CB0" w:rsidRDefault="00AF5BD6" w:rsidP="00F64D36">
      <w:pPr>
        <w:pStyle w:val="FootnoteText"/>
      </w:pPr>
      <w:r>
        <w:rPr>
          <w:rStyle w:val="FootnoteReference"/>
        </w:rPr>
        <w:footnoteRef/>
      </w:r>
      <w:r>
        <w:t xml:space="preserve"> </w:t>
      </w:r>
      <w:r>
        <w:tab/>
        <w:t xml:space="preserve">ActewAGL, </w:t>
      </w:r>
      <w:r>
        <w:rPr>
          <w:i/>
        </w:rPr>
        <w:t xml:space="preserve">Overview: Access Arrangement Information for the 2016–21 ACT, Queanbeyan and </w:t>
      </w:r>
      <w:proofErr w:type="spellStart"/>
      <w:r>
        <w:rPr>
          <w:i/>
        </w:rPr>
        <w:t>Palerang</w:t>
      </w:r>
      <w:proofErr w:type="spellEnd"/>
      <w:r>
        <w:rPr>
          <w:i/>
        </w:rPr>
        <w:t xml:space="preserve"> Access Arrangement</w:t>
      </w:r>
      <w:r>
        <w:t>, June 2015, p. 58.</w:t>
      </w:r>
    </w:p>
  </w:footnote>
  <w:footnote w:id="113">
    <w:p w:rsidR="00AF5BD6" w:rsidRDefault="00AF5BD6" w:rsidP="00BE45D1">
      <w:pPr>
        <w:pStyle w:val="FootnoteText"/>
      </w:pPr>
      <w:r>
        <w:rPr>
          <w:rStyle w:val="FootnoteReference"/>
        </w:rPr>
        <w:footnoteRef/>
      </w:r>
      <w:r>
        <w:t xml:space="preserve"> </w:t>
      </w:r>
      <w:r>
        <w:tab/>
        <w:t xml:space="preserve">ActewAGL, </w:t>
      </w:r>
      <w:r>
        <w:rPr>
          <w:i/>
        </w:rPr>
        <w:t xml:space="preserve">Attachment 6: Capital Expenditure: Access Arrangement Information for the 2016–21 ACT, Queanbeyan and </w:t>
      </w:r>
      <w:proofErr w:type="spellStart"/>
      <w:r>
        <w:rPr>
          <w:i/>
        </w:rPr>
        <w:t>Palerang</w:t>
      </w:r>
      <w:proofErr w:type="spellEnd"/>
      <w:r>
        <w:rPr>
          <w:i/>
        </w:rPr>
        <w:t xml:space="preserve"> Access Arrangement</w:t>
      </w:r>
      <w:r>
        <w:t>, June 2015, p. 63.</w:t>
      </w:r>
    </w:p>
  </w:footnote>
  <w:footnote w:id="114">
    <w:p w:rsidR="00AF5BD6" w:rsidRDefault="00AF5BD6">
      <w:pPr>
        <w:pStyle w:val="FootnoteText"/>
      </w:pPr>
      <w:r>
        <w:rPr>
          <w:rStyle w:val="FootnoteReference"/>
        </w:rPr>
        <w:footnoteRef/>
      </w:r>
      <w:r>
        <w:t xml:space="preserve"> </w:t>
      </w:r>
      <w:r>
        <w:tab/>
        <w:t xml:space="preserve">ActewAGL, </w:t>
      </w:r>
      <w:r>
        <w:rPr>
          <w:i/>
        </w:rPr>
        <w:t xml:space="preserve">Attachment 6: Capital Expenditure: Access Arrangement Information for the 2016–21 ACT, Queanbeyan and </w:t>
      </w:r>
      <w:proofErr w:type="spellStart"/>
      <w:r>
        <w:rPr>
          <w:i/>
        </w:rPr>
        <w:t>Palerang</w:t>
      </w:r>
      <w:proofErr w:type="spellEnd"/>
      <w:r>
        <w:rPr>
          <w:i/>
        </w:rPr>
        <w:t xml:space="preserve"> Access Arrangement</w:t>
      </w:r>
      <w:r>
        <w:t>, June 2015, p. 63.</w:t>
      </w:r>
    </w:p>
  </w:footnote>
  <w:footnote w:id="115">
    <w:p w:rsidR="00AF5BD6" w:rsidRDefault="00AF5BD6">
      <w:pPr>
        <w:pStyle w:val="FootnoteText"/>
      </w:pPr>
      <w:r>
        <w:rPr>
          <w:rStyle w:val="FootnoteReference"/>
        </w:rPr>
        <w:footnoteRef/>
      </w:r>
      <w:r>
        <w:t xml:space="preserve"> </w:t>
      </w:r>
      <w:r>
        <w:tab/>
        <w:t xml:space="preserve">NGR, </w:t>
      </w:r>
      <w:proofErr w:type="spellStart"/>
      <w:proofErr w:type="gramStart"/>
      <w:r>
        <w:t>rr</w:t>
      </w:r>
      <w:proofErr w:type="spellEnd"/>
      <w:proofErr w:type="gramEnd"/>
      <w:r>
        <w:t>. 79(1), 79(2</w:t>
      </w:r>
      <w:proofErr w:type="gramStart"/>
      <w:r>
        <w:t>)(</w:t>
      </w:r>
      <w:proofErr w:type="gramEnd"/>
      <w:r>
        <w:t>c)(</w:t>
      </w:r>
      <w:proofErr w:type="spellStart"/>
      <w:r>
        <w:t>i</w:t>
      </w:r>
      <w:proofErr w:type="spellEnd"/>
      <w:r>
        <w:t>), 79(2)(c) (ii).</w:t>
      </w:r>
    </w:p>
  </w:footnote>
  <w:footnote w:id="116">
    <w:p w:rsidR="00AF5BD6" w:rsidRDefault="00AF5BD6" w:rsidP="00BE45D1">
      <w:pPr>
        <w:pStyle w:val="FootnoteText"/>
      </w:pPr>
      <w:r>
        <w:rPr>
          <w:rStyle w:val="FootnoteReference"/>
        </w:rPr>
        <w:footnoteRef/>
      </w:r>
      <w:r>
        <w:t xml:space="preserve"> </w:t>
      </w:r>
      <w:r>
        <w:tab/>
        <w:t xml:space="preserve">ActewAGL, </w:t>
      </w:r>
      <w:r>
        <w:rPr>
          <w:i/>
        </w:rPr>
        <w:t xml:space="preserve">Attachment 6: Capital Expenditure: Access Arrangement Information for the 2016–21 ACT, Queanbeyan and </w:t>
      </w:r>
      <w:proofErr w:type="spellStart"/>
      <w:r>
        <w:rPr>
          <w:i/>
        </w:rPr>
        <w:t>Palerang</w:t>
      </w:r>
      <w:proofErr w:type="spellEnd"/>
      <w:r>
        <w:rPr>
          <w:i/>
        </w:rPr>
        <w:t xml:space="preserve"> Access Arrangement</w:t>
      </w:r>
      <w:r>
        <w:t>, June 2015, p. 62.</w:t>
      </w:r>
    </w:p>
  </w:footnote>
  <w:footnote w:id="117">
    <w:p w:rsidR="00AF5BD6" w:rsidRDefault="00AF5BD6" w:rsidP="00BD3708">
      <w:pPr>
        <w:pStyle w:val="FootnoteText"/>
      </w:pPr>
      <w:r>
        <w:rPr>
          <w:rStyle w:val="FootnoteReference"/>
        </w:rPr>
        <w:footnoteRef/>
      </w:r>
      <w:r>
        <w:t xml:space="preserve"> </w:t>
      </w:r>
      <w:r>
        <w:tab/>
        <w:t xml:space="preserve">ActewAGL, </w:t>
      </w:r>
      <w:proofErr w:type="gramStart"/>
      <w:r w:rsidRPr="00341230">
        <w:rPr>
          <w:rStyle w:val="AERtextitalic"/>
        </w:rPr>
        <w:t>201</w:t>
      </w:r>
      <w:r>
        <w:rPr>
          <w:rStyle w:val="AERtextitalic"/>
        </w:rPr>
        <w:t>6–</w:t>
      </w:r>
      <w:r w:rsidRPr="00341230">
        <w:rPr>
          <w:rStyle w:val="AERtextitalic"/>
        </w:rPr>
        <w:t>20</w:t>
      </w:r>
      <w:r>
        <w:rPr>
          <w:rStyle w:val="AERtextitalic"/>
        </w:rPr>
        <w:t xml:space="preserve"> Access Arrangement Information Attachment 6</w:t>
      </w:r>
      <w:proofErr w:type="gramEnd"/>
      <w:r>
        <w:rPr>
          <w:rStyle w:val="AERtextitalic"/>
        </w:rPr>
        <w:t>: Capital expenditure,</w:t>
      </w:r>
      <w:r w:rsidRPr="00341230">
        <w:t xml:space="preserve"> June 201</w:t>
      </w:r>
      <w:r>
        <w:t>5</w:t>
      </w:r>
      <w:r w:rsidRPr="00341230">
        <w:t xml:space="preserve">, p. </w:t>
      </w:r>
      <w:r>
        <w:t>63</w:t>
      </w:r>
      <w:r w:rsidRPr="00341230">
        <w:t>.</w:t>
      </w:r>
    </w:p>
  </w:footnote>
  <w:footnote w:id="118">
    <w:p w:rsidR="00AF5BD6" w:rsidRDefault="00AF5BD6" w:rsidP="00BD3708">
      <w:pPr>
        <w:pStyle w:val="FootnoteText"/>
      </w:pPr>
      <w:r>
        <w:rPr>
          <w:rStyle w:val="FootnoteReference"/>
        </w:rPr>
        <w:footnoteRef/>
      </w:r>
      <w:r>
        <w:t xml:space="preserve"> </w:t>
      </w:r>
      <w:r>
        <w:tab/>
        <w:t>NGR, r. 79(1</w:t>
      </w:r>
      <w:proofErr w:type="gramStart"/>
      <w:r>
        <w:t>)(</w:t>
      </w:r>
      <w:proofErr w:type="gramEnd"/>
      <w:r>
        <w:t xml:space="preserve">a). </w:t>
      </w:r>
    </w:p>
  </w:footnote>
  <w:footnote w:id="119">
    <w:p w:rsidR="00AF5BD6" w:rsidRDefault="00AF5BD6" w:rsidP="004C0E60">
      <w:pPr>
        <w:pStyle w:val="FootnoteText"/>
      </w:pPr>
      <w:r>
        <w:rPr>
          <w:rStyle w:val="FootnoteReference"/>
        </w:rPr>
        <w:footnoteRef/>
      </w:r>
      <w:r>
        <w:t xml:space="preserve"> </w:t>
      </w:r>
      <w:r>
        <w:tab/>
      </w:r>
      <w:proofErr w:type="gramStart"/>
      <w:r>
        <w:t>NGR, cl. 74(2).</w:t>
      </w:r>
      <w:proofErr w:type="gramEnd"/>
    </w:p>
  </w:footnote>
  <w:footnote w:id="120">
    <w:p w:rsidR="00AF5BD6" w:rsidRDefault="00AF5BD6" w:rsidP="004C0E60">
      <w:pPr>
        <w:pStyle w:val="FootnoteText"/>
      </w:pPr>
      <w:r>
        <w:rPr>
          <w:rStyle w:val="FootnoteReference"/>
        </w:rPr>
        <w:footnoteRef/>
      </w:r>
      <w:r>
        <w:t xml:space="preserve"> </w:t>
      </w:r>
      <w:r>
        <w:tab/>
      </w:r>
      <w:proofErr w:type="gramStart"/>
      <w:r>
        <w:t>NGR</w:t>
      </w:r>
      <w:r w:rsidRPr="00E416DD">
        <w:t>, cl</w:t>
      </w:r>
      <w:r>
        <w:t>. 79</w:t>
      </w:r>
      <w:r w:rsidRPr="00E416DD">
        <w:t>.</w:t>
      </w:r>
      <w:proofErr w:type="gramEnd"/>
    </w:p>
  </w:footnote>
  <w:footnote w:id="121">
    <w:p w:rsidR="00AF5BD6" w:rsidRDefault="00AF5BD6" w:rsidP="004C0E60">
      <w:pPr>
        <w:pStyle w:val="FootnoteText"/>
      </w:pPr>
      <w:r>
        <w:rPr>
          <w:rStyle w:val="FootnoteReference"/>
        </w:rPr>
        <w:footnoteRef/>
      </w:r>
      <w:r>
        <w:t xml:space="preserve"> </w:t>
      </w:r>
      <w:r>
        <w:tab/>
        <w:t xml:space="preserve">ActewAGL, </w:t>
      </w:r>
      <w:proofErr w:type="gramStart"/>
      <w:r w:rsidRPr="00341230">
        <w:rPr>
          <w:rStyle w:val="AERtextitalic"/>
        </w:rPr>
        <w:t>201</w:t>
      </w:r>
      <w:r>
        <w:rPr>
          <w:rStyle w:val="AERtextitalic"/>
        </w:rPr>
        <w:t>6–</w:t>
      </w:r>
      <w:r w:rsidRPr="00341230">
        <w:rPr>
          <w:rStyle w:val="AERtextitalic"/>
        </w:rPr>
        <w:t>20</w:t>
      </w:r>
      <w:r>
        <w:rPr>
          <w:rStyle w:val="AERtextitalic"/>
        </w:rPr>
        <w:t xml:space="preserve"> Access Arrangement Information Attachment 6</w:t>
      </w:r>
      <w:proofErr w:type="gramEnd"/>
      <w:r>
        <w:rPr>
          <w:rStyle w:val="AERtextitalic"/>
        </w:rPr>
        <w:t>: Capital expenditure,</w:t>
      </w:r>
      <w:r w:rsidRPr="00341230">
        <w:t xml:space="preserve"> June 201</w:t>
      </w:r>
      <w:r>
        <w:t>5</w:t>
      </w:r>
      <w:r w:rsidRPr="00341230">
        <w:t xml:space="preserve">, p. </w:t>
      </w:r>
      <w:r>
        <w:t>40</w:t>
      </w:r>
      <w:r w:rsidRPr="00341230">
        <w:t>.</w:t>
      </w:r>
    </w:p>
  </w:footnote>
  <w:footnote w:id="122">
    <w:p w:rsidR="00AF5BD6" w:rsidRDefault="00AF5BD6" w:rsidP="004C0E60">
      <w:pPr>
        <w:pStyle w:val="FootnoteText"/>
      </w:pPr>
      <w:r>
        <w:rPr>
          <w:rStyle w:val="FootnoteReference"/>
        </w:rPr>
        <w:footnoteRef/>
      </w:r>
      <w:r>
        <w:t xml:space="preserve"> </w:t>
      </w:r>
      <w:r>
        <w:tab/>
        <w:t xml:space="preserve">ActewAGL, </w:t>
      </w:r>
      <w:r w:rsidRPr="00DF27C5">
        <w:rPr>
          <w:rStyle w:val="AERtextitalic"/>
        </w:rPr>
        <w:t>Access Arrangement Proposal,</w:t>
      </w:r>
      <w:r>
        <w:t xml:space="preserve"> </w:t>
      </w:r>
      <w:r w:rsidRPr="00DF27C5">
        <w:rPr>
          <w:rStyle w:val="AERtextitalic"/>
        </w:rPr>
        <w:t xml:space="preserve">Appendix </w:t>
      </w:r>
      <w:r>
        <w:rPr>
          <w:rStyle w:val="AERtextitalic"/>
        </w:rPr>
        <w:t>5.03</w:t>
      </w:r>
      <w:r w:rsidRPr="00DF27C5">
        <w:rPr>
          <w:rStyle w:val="AERtextitalic"/>
        </w:rPr>
        <w:t xml:space="preserve"> BIS Shrapnel - </w:t>
      </w:r>
      <w:r>
        <w:rPr>
          <w:rStyle w:val="AERtextitalic"/>
        </w:rPr>
        <w:t>Real</w:t>
      </w:r>
      <w:r w:rsidRPr="00DF27C5">
        <w:rPr>
          <w:rStyle w:val="AERtextitalic"/>
        </w:rPr>
        <w:t xml:space="preserve"> </w:t>
      </w:r>
      <w:r>
        <w:rPr>
          <w:rStyle w:val="AERtextitalic"/>
        </w:rPr>
        <w:t xml:space="preserve">labour and material </w:t>
      </w:r>
      <w:r w:rsidRPr="00DF27C5">
        <w:rPr>
          <w:rStyle w:val="AERtextitalic"/>
        </w:rPr>
        <w:t xml:space="preserve">cost escalation </w:t>
      </w:r>
      <w:r>
        <w:rPr>
          <w:rStyle w:val="AERtextitalic"/>
        </w:rPr>
        <w:t>forecasts to 2020–21</w:t>
      </w:r>
      <w:r>
        <w:t>, February 2015.</w:t>
      </w:r>
    </w:p>
  </w:footnote>
  <w:footnote w:id="123">
    <w:p w:rsidR="00AF5BD6" w:rsidRDefault="00AF5BD6" w:rsidP="004C0E60">
      <w:pPr>
        <w:pStyle w:val="FootnoteText"/>
      </w:pPr>
      <w:r>
        <w:rPr>
          <w:rStyle w:val="FootnoteReference"/>
        </w:rPr>
        <w:footnoteRef/>
      </w:r>
      <w:r>
        <w:t xml:space="preserve"> </w:t>
      </w:r>
      <w:r>
        <w:tab/>
        <w:t xml:space="preserve">ActewAGL, </w:t>
      </w:r>
      <w:proofErr w:type="gramStart"/>
      <w:r w:rsidRPr="00341230">
        <w:rPr>
          <w:rStyle w:val="AERtextitalic"/>
        </w:rPr>
        <w:t>201</w:t>
      </w:r>
      <w:r>
        <w:rPr>
          <w:rStyle w:val="AERtextitalic"/>
        </w:rPr>
        <w:t>6–</w:t>
      </w:r>
      <w:r w:rsidRPr="00341230">
        <w:rPr>
          <w:rStyle w:val="AERtextitalic"/>
        </w:rPr>
        <w:t>20</w:t>
      </w:r>
      <w:r>
        <w:rPr>
          <w:rStyle w:val="AERtextitalic"/>
        </w:rPr>
        <w:t xml:space="preserve"> Access Arrangement Information Attachment 6</w:t>
      </w:r>
      <w:proofErr w:type="gramEnd"/>
      <w:r>
        <w:rPr>
          <w:rStyle w:val="AERtextitalic"/>
        </w:rPr>
        <w:t>: Capital expenditure,</w:t>
      </w:r>
      <w:r w:rsidRPr="00341230">
        <w:t xml:space="preserve"> June 201</w:t>
      </w:r>
      <w:r>
        <w:t>5</w:t>
      </w:r>
      <w:r w:rsidRPr="00341230">
        <w:t>, p</w:t>
      </w:r>
      <w:r>
        <w:t>p</w:t>
      </w:r>
      <w:r w:rsidRPr="00341230">
        <w:t>.</w:t>
      </w:r>
      <w:r>
        <w:t xml:space="preserve"> 5–7.</w:t>
      </w:r>
    </w:p>
  </w:footnote>
  <w:footnote w:id="124">
    <w:p w:rsidR="00AF5BD6" w:rsidRDefault="00AF5BD6" w:rsidP="004C0E60">
      <w:pPr>
        <w:pStyle w:val="FootnoteText"/>
      </w:pPr>
      <w:r>
        <w:rPr>
          <w:rStyle w:val="FootnoteReference"/>
        </w:rPr>
        <w:footnoteRef/>
      </w:r>
      <w:r>
        <w:t xml:space="preserve"> </w:t>
      </w:r>
      <w:r>
        <w:tab/>
        <w:t xml:space="preserve">ActewAGL, </w:t>
      </w:r>
      <w:proofErr w:type="gramStart"/>
      <w:r w:rsidRPr="00341230">
        <w:rPr>
          <w:rStyle w:val="AERtextitalic"/>
        </w:rPr>
        <w:t>201</w:t>
      </w:r>
      <w:r>
        <w:rPr>
          <w:rStyle w:val="AERtextitalic"/>
        </w:rPr>
        <w:t>6–</w:t>
      </w:r>
      <w:r w:rsidRPr="00341230">
        <w:rPr>
          <w:rStyle w:val="AERtextitalic"/>
        </w:rPr>
        <w:t>20</w:t>
      </w:r>
      <w:r>
        <w:rPr>
          <w:rStyle w:val="AERtextitalic"/>
        </w:rPr>
        <w:t xml:space="preserve"> Access Arrangement Information Attachment 6</w:t>
      </w:r>
      <w:proofErr w:type="gramEnd"/>
      <w:r>
        <w:rPr>
          <w:rStyle w:val="AERtextitalic"/>
        </w:rPr>
        <w:t>: Capital expenditure,</w:t>
      </w:r>
      <w:r w:rsidRPr="00341230">
        <w:t xml:space="preserve"> June 201</w:t>
      </w:r>
      <w:r>
        <w:t>5</w:t>
      </w:r>
      <w:r w:rsidRPr="00341230">
        <w:t xml:space="preserve">, p. </w:t>
      </w:r>
      <w:r>
        <w:t>40</w:t>
      </w:r>
      <w:r w:rsidRPr="00341230">
        <w:t>.</w:t>
      </w:r>
    </w:p>
  </w:footnote>
  <w:footnote w:id="125">
    <w:p w:rsidR="00AF5BD6" w:rsidRDefault="00AF5BD6">
      <w:pPr>
        <w:pStyle w:val="FootnoteText"/>
      </w:pPr>
      <w:r>
        <w:rPr>
          <w:rStyle w:val="FootnoteReference"/>
        </w:rPr>
        <w:footnoteRef/>
      </w:r>
      <w:r>
        <w:t xml:space="preserve"> </w:t>
      </w:r>
      <w:r>
        <w:tab/>
        <w:t>NGR, cl. 79(1</w:t>
      </w:r>
      <w:proofErr w:type="gramStart"/>
      <w:r>
        <w:t>)(</w:t>
      </w:r>
      <w:proofErr w:type="gramEnd"/>
      <w:r>
        <w:t>a).</w:t>
      </w:r>
    </w:p>
  </w:footnote>
  <w:footnote w:id="126">
    <w:p w:rsidR="00AF5BD6" w:rsidRDefault="00AF5BD6">
      <w:pPr>
        <w:pStyle w:val="FootnoteText"/>
      </w:pPr>
      <w:r>
        <w:rPr>
          <w:rStyle w:val="FootnoteReference"/>
        </w:rPr>
        <w:footnoteRef/>
      </w:r>
      <w:r>
        <w:t xml:space="preserve"> </w:t>
      </w:r>
      <w:r>
        <w:tab/>
        <w:t xml:space="preserve">AER, </w:t>
      </w:r>
      <w:r w:rsidRPr="005A517B">
        <w:rPr>
          <w:rStyle w:val="AERtextitalic"/>
        </w:rPr>
        <w:t>Better Regulation</w:t>
      </w:r>
      <w:r>
        <w:rPr>
          <w:rStyle w:val="AERtextitalic"/>
        </w:rPr>
        <w:t xml:space="preserve"> -</w:t>
      </w:r>
      <w:r w:rsidRPr="005A517B">
        <w:rPr>
          <w:rStyle w:val="AERtextitalic"/>
        </w:rPr>
        <w:t xml:space="preserve"> Explanatory Statement Expenditure Forecast Assessment Guideline</w:t>
      </w:r>
      <w:r>
        <w:rPr>
          <w:rStyle w:val="AERtextitalic"/>
        </w:rPr>
        <w:t>,</w:t>
      </w:r>
      <w:r>
        <w:t xml:space="preserve"> </w:t>
      </w:r>
      <w:r w:rsidRPr="005A517B">
        <w:t>November 2013</w:t>
      </w:r>
      <w:r>
        <w:t>, pp. 50–51.</w:t>
      </w:r>
    </w:p>
  </w:footnote>
  <w:footnote w:id="127">
    <w:p w:rsidR="00AF5BD6" w:rsidRDefault="00AF5BD6">
      <w:pPr>
        <w:pStyle w:val="FootnoteText"/>
      </w:pPr>
      <w:r>
        <w:rPr>
          <w:rStyle w:val="FootnoteReference"/>
        </w:rPr>
        <w:footnoteRef/>
      </w:r>
      <w:r>
        <w:t xml:space="preserve"> </w:t>
      </w:r>
      <w:r>
        <w:tab/>
        <w:t xml:space="preserve">AER, </w:t>
      </w:r>
      <w:r w:rsidRPr="005A517B">
        <w:rPr>
          <w:rStyle w:val="AERtextitalic"/>
        </w:rPr>
        <w:t>Better Regulation</w:t>
      </w:r>
      <w:r>
        <w:rPr>
          <w:rStyle w:val="AERtextitalic"/>
        </w:rPr>
        <w:t xml:space="preserve"> - </w:t>
      </w:r>
      <w:r w:rsidRPr="005A517B">
        <w:rPr>
          <w:rStyle w:val="AERtextitalic"/>
        </w:rPr>
        <w:t>Explanatory Statement Expenditure Forecast Assessment Guideline</w:t>
      </w:r>
      <w:r>
        <w:t>, November 2013, p. 50.</w:t>
      </w:r>
    </w:p>
  </w:footnote>
  <w:footnote w:id="128">
    <w:p w:rsidR="00AF5BD6" w:rsidRDefault="00AF5BD6">
      <w:pPr>
        <w:pStyle w:val="FootnoteText"/>
      </w:pPr>
      <w:r>
        <w:rPr>
          <w:rStyle w:val="FootnoteReference"/>
        </w:rPr>
        <w:footnoteRef/>
      </w:r>
      <w:r>
        <w:t xml:space="preserve"> </w:t>
      </w:r>
      <w:r>
        <w:tab/>
        <w:t xml:space="preserve">AER, </w:t>
      </w:r>
      <w:r w:rsidRPr="005A517B">
        <w:rPr>
          <w:rStyle w:val="AERtextitalic"/>
        </w:rPr>
        <w:t>Better Regulation</w:t>
      </w:r>
      <w:r>
        <w:rPr>
          <w:rStyle w:val="AERtextitalic"/>
        </w:rPr>
        <w:t xml:space="preserve"> - </w:t>
      </w:r>
      <w:r w:rsidRPr="005A517B">
        <w:rPr>
          <w:rStyle w:val="AERtextitalic"/>
        </w:rPr>
        <w:t>Explanatory Statement Expenditure Forecast Assessment Guideline</w:t>
      </w:r>
      <w:r>
        <w:t>, November 2013, p. 50.</w:t>
      </w:r>
    </w:p>
  </w:footnote>
  <w:footnote w:id="129">
    <w:p w:rsidR="00AF5BD6" w:rsidRDefault="00AF5BD6">
      <w:pPr>
        <w:pStyle w:val="FootnoteText"/>
      </w:pPr>
      <w:r>
        <w:rPr>
          <w:rStyle w:val="FootnoteReference"/>
        </w:rPr>
        <w:footnoteRef/>
      </w:r>
      <w:r>
        <w:t xml:space="preserve"> </w:t>
      </w:r>
      <w:r>
        <w:tab/>
        <w:t xml:space="preserve">BIS Shrapnel, </w:t>
      </w:r>
      <w:r>
        <w:rPr>
          <w:rStyle w:val="AERtextitalic"/>
        </w:rPr>
        <w:t>Real</w:t>
      </w:r>
      <w:r w:rsidRPr="00DF27C5">
        <w:rPr>
          <w:rStyle w:val="AERtextitalic"/>
        </w:rPr>
        <w:t xml:space="preserve"> </w:t>
      </w:r>
      <w:r>
        <w:rPr>
          <w:rStyle w:val="AERtextitalic"/>
        </w:rPr>
        <w:t xml:space="preserve">labour and material </w:t>
      </w:r>
      <w:r w:rsidRPr="00DF27C5">
        <w:rPr>
          <w:rStyle w:val="AERtextitalic"/>
        </w:rPr>
        <w:t xml:space="preserve">cost escalation </w:t>
      </w:r>
      <w:r>
        <w:rPr>
          <w:rStyle w:val="AERtextitalic"/>
        </w:rPr>
        <w:t>forecasts to 2020–21</w:t>
      </w:r>
      <w:r>
        <w:t>, February 2015.</w:t>
      </w:r>
    </w:p>
  </w:footnote>
  <w:footnote w:id="130">
    <w:p w:rsidR="00AF5BD6" w:rsidRDefault="00AF5BD6" w:rsidP="004C0E60">
      <w:pPr>
        <w:pStyle w:val="FootnoteText"/>
      </w:pPr>
      <w:r>
        <w:rPr>
          <w:rStyle w:val="FootnoteReference"/>
        </w:rPr>
        <w:footnoteRef/>
      </w:r>
      <w:r>
        <w:t xml:space="preserve"> </w:t>
      </w:r>
      <w:r>
        <w:tab/>
      </w:r>
      <w:proofErr w:type="gramStart"/>
      <w:r>
        <w:t>NGR, cl. 74(2).</w:t>
      </w:r>
      <w:proofErr w:type="gramEnd"/>
    </w:p>
  </w:footnote>
  <w:footnote w:id="131">
    <w:p w:rsidR="00AF5BD6" w:rsidRDefault="00AF5BD6" w:rsidP="004C0E60">
      <w:pPr>
        <w:pStyle w:val="FootnoteText"/>
      </w:pPr>
      <w:r>
        <w:rPr>
          <w:rStyle w:val="FootnoteReference"/>
        </w:rPr>
        <w:footnoteRef/>
      </w:r>
      <w:r>
        <w:t xml:space="preserve"> </w:t>
      </w:r>
      <w:r>
        <w:tab/>
      </w:r>
      <w:proofErr w:type="gramStart"/>
      <w:r>
        <w:t>NGR, cl. 74(2).</w:t>
      </w:r>
      <w:proofErr w:type="gramEnd"/>
    </w:p>
  </w:footnote>
  <w:footnote w:id="132">
    <w:p w:rsidR="00AF5BD6" w:rsidRDefault="00AF5BD6" w:rsidP="004C0E60">
      <w:pPr>
        <w:pStyle w:val="FootnoteText"/>
      </w:pPr>
      <w:r>
        <w:rPr>
          <w:rStyle w:val="FootnoteReference"/>
        </w:rPr>
        <w:footnoteRef/>
      </w:r>
      <w:r>
        <w:t xml:space="preserve"> </w:t>
      </w:r>
      <w:r>
        <w:tab/>
        <w:t xml:space="preserve">R. </w:t>
      </w:r>
      <w:proofErr w:type="spellStart"/>
      <w:r>
        <w:t>Alquist</w:t>
      </w:r>
      <w:proofErr w:type="spellEnd"/>
      <w:r>
        <w:t xml:space="preserve">, L. Kilian, R. </w:t>
      </w:r>
      <w:proofErr w:type="spellStart"/>
      <w:r>
        <w:t>Vigfusson</w:t>
      </w:r>
      <w:proofErr w:type="spellEnd"/>
      <w:r>
        <w:t xml:space="preserve">, </w:t>
      </w:r>
      <w:r w:rsidRPr="00285F99">
        <w:rPr>
          <w:i/>
        </w:rPr>
        <w:t>Forecasting the Price of Oil</w:t>
      </w:r>
      <w:r>
        <w:t xml:space="preserve">, Board of Governors of the Federal Reserve System, International Finance Discussion Papers, Number 1022, July 2011 (also published as </w:t>
      </w:r>
      <w:proofErr w:type="spellStart"/>
      <w:r>
        <w:t>Alquist</w:t>
      </w:r>
      <w:proofErr w:type="spellEnd"/>
      <w:r>
        <w:t xml:space="preserve">, Ron, Lutz Kilian, and Robert J. </w:t>
      </w:r>
      <w:proofErr w:type="spellStart"/>
      <w:r>
        <w:t>Vigfusson</w:t>
      </w:r>
      <w:proofErr w:type="spellEnd"/>
      <w:r>
        <w:t xml:space="preserve">, 2013, </w:t>
      </w:r>
      <w:r w:rsidRPr="00347401">
        <w:rPr>
          <w:i/>
        </w:rPr>
        <w:t>Forecasting the Price of Oil</w:t>
      </w:r>
      <w:r>
        <w:t xml:space="preserve">, in Handbook of Economic Forecasting, Vol. 2, ed. by Graham Elliott and Allan </w:t>
      </w:r>
      <w:proofErr w:type="spellStart"/>
      <w:r>
        <w:t>Timmermann</w:t>
      </w:r>
      <w:proofErr w:type="spellEnd"/>
      <w:r>
        <w:t xml:space="preserve"> (Amsterdam: North Holland), pp. 68–69 and pp. 427–508) and</w:t>
      </w:r>
      <w:r w:rsidRPr="00E63D8A">
        <w:t xml:space="preserve"> </w:t>
      </w:r>
      <w:r>
        <w:t xml:space="preserve">International Monetary Fund, </w:t>
      </w:r>
      <w:r w:rsidRPr="00053352">
        <w:rPr>
          <w:i/>
        </w:rPr>
        <w:t>World Economic Outlook — Recovery Strengthens, Remains Uneven</w:t>
      </w:r>
      <w:r>
        <w:t>, Washington, April 2014, pp. 25–31.</w:t>
      </w:r>
    </w:p>
  </w:footnote>
  <w:footnote w:id="133">
    <w:p w:rsidR="00AF5BD6" w:rsidRDefault="00AF5BD6" w:rsidP="004C0E60">
      <w:pPr>
        <w:pStyle w:val="FootnoteText"/>
      </w:pPr>
      <w:r>
        <w:rPr>
          <w:rStyle w:val="FootnoteReference"/>
        </w:rPr>
        <w:footnoteRef/>
      </w:r>
      <w:r>
        <w:t xml:space="preserve"> </w:t>
      </w:r>
      <w:r>
        <w:tab/>
        <w:t xml:space="preserve">International Monetary Fund, </w:t>
      </w:r>
      <w:r w:rsidRPr="00053352">
        <w:rPr>
          <w:i/>
        </w:rPr>
        <w:t>World Economic Outlook — Recovery Strengthens, Remains Uneven</w:t>
      </w:r>
      <w:r>
        <w:t xml:space="preserve">, Washington, April 2014, p. 27, Chinn, </w:t>
      </w:r>
      <w:proofErr w:type="spellStart"/>
      <w:r>
        <w:t>Menzie</w:t>
      </w:r>
      <w:proofErr w:type="spellEnd"/>
      <w:r>
        <w:t xml:space="preserve"> D., and Olivier </w:t>
      </w:r>
      <w:proofErr w:type="spellStart"/>
      <w:r>
        <w:t>Coibion</w:t>
      </w:r>
      <w:proofErr w:type="spellEnd"/>
      <w:r>
        <w:t xml:space="preserve">, </w:t>
      </w:r>
      <w:r w:rsidRPr="00201680">
        <w:rPr>
          <w:i/>
        </w:rPr>
        <w:t>The Predictive Content of Commodity Futures</w:t>
      </w:r>
      <w:r>
        <w:t xml:space="preserve">, Journal of Futures Markets, 2014, Volume 34, Issue 7, p. 19 and pp. 607–636 and T. Reeve, R. </w:t>
      </w:r>
      <w:proofErr w:type="spellStart"/>
      <w:r>
        <w:t>Vigfusson</w:t>
      </w:r>
      <w:proofErr w:type="spellEnd"/>
      <w:r>
        <w:t xml:space="preserve">, </w:t>
      </w:r>
      <w:r>
        <w:rPr>
          <w:i/>
        </w:rPr>
        <w:t>Evaluating the Forecasting Performance of Commodity Futures Prices</w:t>
      </w:r>
      <w:r>
        <w:t xml:space="preserve">, Board of Governors of the Federal Reserve System, International Finance Discussion Papers, Number 1025, August 2011, pp. 1 and 10. </w:t>
      </w:r>
    </w:p>
  </w:footnote>
  <w:footnote w:id="134">
    <w:p w:rsidR="00AF5BD6" w:rsidRDefault="00AF5BD6" w:rsidP="004C0E60">
      <w:pPr>
        <w:pStyle w:val="FootnoteText"/>
      </w:pPr>
      <w:r>
        <w:rPr>
          <w:rStyle w:val="FootnoteReference"/>
        </w:rPr>
        <w:footnoteRef/>
      </w:r>
      <w:r>
        <w:t xml:space="preserve"> </w:t>
      </w:r>
      <w:r>
        <w:tab/>
        <w:t xml:space="preserve">R. Meese, K. </w:t>
      </w:r>
      <w:proofErr w:type="spellStart"/>
      <w:r>
        <w:t>Rogoff</w:t>
      </w:r>
      <w:proofErr w:type="spellEnd"/>
      <w:r>
        <w:t xml:space="preserve">, (1983), </w:t>
      </w:r>
      <w:r w:rsidRPr="008D6E7B">
        <w:rPr>
          <w:i/>
        </w:rPr>
        <w:t>Empirical exchange rate models of the seventies: do they fit out of sample?</w:t>
      </w:r>
      <w:r>
        <w:t xml:space="preserve">, Journal of International Economics, 14, B. Rossi, (2013), </w:t>
      </w:r>
      <w:r w:rsidRPr="009A2542">
        <w:rPr>
          <w:i/>
        </w:rPr>
        <w:t>Exchange rate predictability</w:t>
      </w:r>
      <w:r>
        <w:t xml:space="preserve">, Journal of Economic Literature, 51(4), E. </w:t>
      </w:r>
      <w:proofErr w:type="spellStart"/>
      <w:r>
        <w:t>Fama</w:t>
      </w:r>
      <w:proofErr w:type="spellEnd"/>
      <w:r>
        <w:t xml:space="preserve">, (1984), </w:t>
      </w:r>
      <w:r w:rsidRPr="00165F22">
        <w:rPr>
          <w:i/>
        </w:rPr>
        <w:t>Forward and spot exchange rates</w:t>
      </w:r>
      <w:r>
        <w:t xml:space="preserve">, Journal of Monetary Economics, 14, K. </w:t>
      </w:r>
      <w:proofErr w:type="spellStart"/>
      <w:r>
        <w:t>Froot</w:t>
      </w:r>
      <w:proofErr w:type="spellEnd"/>
      <w:r>
        <w:t xml:space="preserve"> and R. </w:t>
      </w:r>
      <w:proofErr w:type="spellStart"/>
      <w:r>
        <w:t>Thaler</w:t>
      </w:r>
      <w:proofErr w:type="spellEnd"/>
      <w:r>
        <w:t xml:space="preserve">, (1990), Anomalies: Foreign exchange, the Journal of Economic Perspectives, Vol. 4, No. 3, CEG, </w:t>
      </w:r>
      <w:r w:rsidRPr="00EC452F">
        <w:rPr>
          <w:i/>
        </w:rPr>
        <w:t>Escalation factors affecting expenditure forecasts</w:t>
      </w:r>
      <w:r>
        <w:t xml:space="preserve">, December 2013, and BIS Shrapnel, </w:t>
      </w:r>
      <w:r w:rsidRPr="00A5308C">
        <w:rPr>
          <w:i/>
        </w:rPr>
        <w:t>Real labour and material cost escalation forecasts to 2019/20, Australia and New South Wales</w:t>
      </w:r>
      <w:r>
        <w:t>, Final report, April 2014.</w:t>
      </w:r>
    </w:p>
  </w:footnote>
  <w:footnote w:id="135">
    <w:p w:rsidR="00AF5BD6" w:rsidRDefault="00AF5BD6" w:rsidP="004C0E60">
      <w:pPr>
        <w:pStyle w:val="FootnoteText"/>
      </w:pPr>
      <w:r>
        <w:rPr>
          <w:rStyle w:val="FootnoteReference"/>
        </w:rPr>
        <w:footnoteRef/>
      </w:r>
      <w:r>
        <w:t xml:space="preserve"> </w:t>
      </w:r>
      <w:r>
        <w:tab/>
        <w:t>NGL, Division 2, cl. 24.</w:t>
      </w:r>
    </w:p>
  </w:footnote>
  <w:footnote w:id="136">
    <w:p w:rsidR="00AF5BD6" w:rsidRDefault="00AF5BD6" w:rsidP="004C0E60">
      <w:pPr>
        <w:pStyle w:val="FootnoteText"/>
      </w:pPr>
      <w:r>
        <w:rPr>
          <w:rStyle w:val="FootnoteReference"/>
        </w:rPr>
        <w:footnoteRef/>
      </w:r>
      <w:r>
        <w:t xml:space="preserve"> </w:t>
      </w:r>
      <w:r>
        <w:tab/>
        <w:t>NGL, Division 2, cl. 24(3).</w:t>
      </w:r>
    </w:p>
  </w:footnote>
  <w:footnote w:id="137">
    <w:p w:rsidR="00AF5BD6" w:rsidRDefault="00AF5BD6" w:rsidP="004C0E60">
      <w:pPr>
        <w:pStyle w:val="FootnoteText"/>
      </w:pPr>
      <w:r>
        <w:rPr>
          <w:rStyle w:val="FootnoteReference"/>
        </w:rPr>
        <w:footnoteRef/>
      </w:r>
      <w:r>
        <w:t xml:space="preserve"> </w:t>
      </w:r>
      <w:r>
        <w:tab/>
        <w:t xml:space="preserve">BIS Shrapnel, </w:t>
      </w:r>
      <w:r>
        <w:rPr>
          <w:rStyle w:val="AERtextitalic"/>
        </w:rPr>
        <w:t>Real</w:t>
      </w:r>
      <w:r w:rsidRPr="00DF27C5">
        <w:rPr>
          <w:rStyle w:val="AERtextitalic"/>
        </w:rPr>
        <w:t xml:space="preserve"> </w:t>
      </w:r>
      <w:r>
        <w:rPr>
          <w:rStyle w:val="AERtextitalic"/>
        </w:rPr>
        <w:t xml:space="preserve">labour and material </w:t>
      </w:r>
      <w:r w:rsidRPr="00DF27C5">
        <w:rPr>
          <w:rStyle w:val="AERtextitalic"/>
        </w:rPr>
        <w:t xml:space="preserve">cost escalation </w:t>
      </w:r>
      <w:r>
        <w:rPr>
          <w:rStyle w:val="AERtextitalic"/>
        </w:rPr>
        <w:t>forecasts to 2020–21</w:t>
      </w:r>
      <w:r>
        <w:t>, February 2015, p. 6.</w:t>
      </w:r>
    </w:p>
  </w:footnote>
  <w:footnote w:id="138">
    <w:p w:rsidR="00AF5BD6" w:rsidRDefault="00AF5BD6" w:rsidP="004C0E60">
      <w:pPr>
        <w:pStyle w:val="FootnoteText"/>
      </w:pPr>
      <w:r>
        <w:rPr>
          <w:rStyle w:val="FootnoteReference"/>
        </w:rPr>
        <w:footnoteRef/>
      </w:r>
      <w:r>
        <w:t xml:space="preserve"> </w:t>
      </w:r>
      <w:r>
        <w:tab/>
        <w:t xml:space="preserve">SKM, </w:t>
      </w:r>
      <w:proofErr w:type="spellStart"/>
      <w:r w:rsidRPr="00306611">
        <w:rPr>
          <w:rStyle w:val="AERtextitalic"/>
        </w:rPr>
        <w:t>TransGrid</w:t>
      </w:r>
      <w:proofErr w:type="spellEnd"/>
      <w:r w:rsidRPr="00306611">
        <w:rPr>
          <w:rStyle w:val="AERtextitalic"/>
        </w:rPr>
        <w:t xml:space="preserve">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 xml:space="preserve">orecast 2013/14 </w:t>
      </w:r>
      <w:r>
        <w:rPr>
          <w:rStyle w:val="AERtextitalic"/>
        </w:rPr>
        <w:t xml:space="preserve">– </w:t>
      </w:r>
      <w:r w:rsidRPr="00306611">
        <w:rPr>
          <w:rStyle w:val="AERtextitalic"/>
        </w:rPr>
        <w:t>2018/19</w:t>
      </w:r>
      <w:r>
        <w:t>, 9 December 2013, p. 10.</w:t>
      </w:r>
    </w:p>
  </w:footnote>
  <w:footnote w:id="139">
    <w:p w:rsidR="00AF5BD6" w:rsidRDefault="00AF5BD6" w:rsidP="004C0E60">
      <w:pPr>
        <w:pStyle w:val="FootnoteText"/>
      </w:pPr>
      <w:r>
        <w:rPr>
          <w:rStyle w:val="FootnoteReference"/>
        </w:rPr>
        <w:footnoteRef/>
      </w:r>
      <w:r>
        <w:t xml:space="preserve"> </w:t>
      </w:r>
      <w:r>
        <w:tab/>
        <w:t xml:space="preserve">BIS Shrapnel, </w:t>
      </w:r>
      <w:r>
        <w:rPr>
          <w:rStyle w:val="AERtextitalic"/>
        </w:rPr>
        <w:t>Real</w:t>
      </w:r>
      <w:r w:rsidRPr="00DF27C5">
        <w:rPr>
          <w:rStyle w:val="AERtextitalic"/>
        </w:rPr>
        <w:t xml:space="preserve"> </w:t>
      </w:r>
      <w:r>
        <w:rPr>
          <w:rStyle w:val="AERtextitalic"/>
        </w:rPr>
        <w:t xml:space="preserve">labour and material </w:t>
      </w:r>
      <w:r w:rsidRPr="00DF27C5">
        <w:rPr>
          <w:rStyle w:val="AERtextitalic"/>
        </w:rPr>
        <w:t xml:space="preserve">cost escalation </w:t>
      </w:r>
      <w:r>
        <w:rPr>
          <w:rStyle w:val="AERtextitalic"/>
        </w:rPr>
        <w:t>forecasts to 2020–21</w:t>
      </w:r>
      <w:r>
        <w:t>, February 2015, p. A-9.</w:t>
      </w:r>
    </w:p>
  </w:footnote>
  <w:footnote w:id="140">
    <w:p w:rsidR="00AF5BD6" w:rsidRDefault="00AF5BD6" w:rsidP="004C0E60">
      <w:pPr>
        <w:pStyle w:val="FootnoteText"/>
      </w:pPr>
      <w:r>
        <w:rPr>
          <w:rStyle w:val="FootnoteReference"/>
        </w:rPr>
        <w:footnoteRef/>
      </w:r>
      <w:r>
        <w:t xml:space="preserve"> </w:t>
      </w:r>
      <w:r>
        <w:tab/>
        <w:t xml:space="preserve">BIS Shrapnel, </w:t>
      </w:r>
      <w:r>
        <w:rPr>
          <w:rStyle w:val="AERtextitalic"/>
        </w:rPr>
        <w:t>Real</w:t>
      </w:r>
      <w:r w:rsidRPr="00DF27C5">
        <w:rPr>
          <w:rStyle w:val="AERtextitalic"/>
        </w:rPr>
        <w:t xml:space="preserve"> </w:t>
      </w:r>
      <w:r>
        <w:rPr>
          <w:rStyle w:val="AERtextitalic"/>
        </w:rPr>
        <w:t xml:space="preserve">labour and material </w:t>
      </w:r>
      <w:r w:rsidRPr="00DF27C5">
        <w:rPr>
          <w:rStyle w:val="AERtextitalic"/>
        </w:rPr>
        <w:t xml:space="preserve">cost escalation </w:t>
      </w:r>
      <w:r>
        <w:rPr>
          <w:rStyle w:val="AERtextitalic"/>
        </w:rPr>
        <w:t>forecasts to 2020–21</w:t>
      </w:r>
      <w:r>
        <w:t>, February 2015, .p. 52.</w:t>
      </w:r>
    </w:p>
  </w:footnote>
  <w:footnote w:id="141">
    <w:p w:rsidR="00AF5BD6" w:rsidRDefault="00AF5BD6">
      <w:pPr>
        <w:pStyle w:val="FootnoteText"/>
      </w:pPr>
      <w:r>
        <w:rPr>
          <w:rStyle w:val="FootnoteReference"/>
        </w:rPr>
        <w:footnoteRef/>
      </w:r>
      <w:r>
        <w:t xml:space="preserve"> </w:t>
      </w:r>
      <w:r>
        <w:tab/>
        <w:t xml:space="preserve">These revenue determinations include networks in New South Wales/ACT (ActewAGL, </w:t>
      </w:r>
      <w:proofErr w:type="spellStart"/>
      <w:r>
        <w:t>Ausgrid</w:t>
      </w:r>
      <w:proofErr w:type="spellEnd"/>
      <w:r>
        <w:t xml:space="preserve">, Endeavour Energy, Essential Energy and </w:t>
      </w:r>
      <w:proofErr w:type="spellStart"/>
      <w:r>
        <w:t>TransGrid</w:t>
      </w:r>
      <w:proofErr w:type="spellEnd"/>
      <w:r>
        <w:t>), Queensland (Energex and Ergon Energy) and South Australia (SA Power Networks).</w:t>
      </w:r>
    </w:p>
  </w:footnote>
  <w:footnote w:id="142">
    <w:p w:rsidR="00AF5BD6" w:rsidRDefault="00AF5BD6" w:rsidP="004C0E60">
      <w:pPr>
        <w:pStyle w:val="FootnoteText"/>
      </w:pPr>
      <w:r>
        <w:rPr>
          <w:rStyle w:val="FootnoteReference"/>
        </w:rPr>
        <w:footnoteRef/>
      </w:r>
      <w:r>
        <w:t xml:space="preserve"> </w:t>
      </w:r>
      <w:r>
        <w:tab/>
        <w:t xml:space="preserve">CEG, </w:t>
      </w:r>
      <w:r w:rsidRPr="00F30906">
        <w:rPr>
          <w:rStyle w:val="AERtextitalic"/>
        </w:rPr>
        <w:t>Escalation factors affecting expenditure forecasts</w:t>
      </w:r>
      <w:r>
        <w:t>, December 2013, p. 3.</w:t>
      </w:r>
    </w:p>
  </w:footnote>
  <w:footnote w:id="143">
    <w:p w:rsidR="00AF5BD6" w:rsidRDefault="00AF5BD6" w:rsidP="004C0E60">
      <w:pPr>
        <w:pStyle w:val="FootnoteText"/>
      </w:pPr>
      <w:r>
        <w:rPr>
          <w:rStyle w:val="FootnoteReference"/>
        </w:rPr>
        <w:footnoteRef/>
      </w:r>
      <w:r>
        <w:t xml:space="preserve"> </w:t>
      </w:r>
      <w:r>
        <w:tab/>
        <w:t xml:space="preserve">CEG, </w:t>
      </w:r>
      <w:r w:rsidRPr="00F30906">
        <w:rPr>
          <w:rStyle w:val="AERtextitalic"/>
        </w:rPr>
        <w:t>Escalation factors affecting expenditure forecasts</w:t>
      </w:r>
      <w:r>
        <w:t>, December 2013, pp. 4–5.</w:t>
      </w:r>
    </w:p>
  </w:footnote>
  <w:footnote w:id="144">
    <w:p w:rsidR="00AF5BD6" w:rsidRDefault="00AF5BD6" w:rsidP="004C0E60">
      <w:pPr>
        <w:pStyle w:val="FootnoteText"/>
      </w:pPr>
      <w:r>
        <w:rPr>
          <w:rStyle w:val="FootnoteReference"/>
        </w:rPr>
        <w:footnoteRef/>
      </w:r>
      <w:r>
        <w:t xml:space="preserve"> </w:t>
      </w:r>
      <w:r>
        <w:tab/>
        <w:t xml:space="preserve">CEG, </w:t>
      </w:r>
      <w:r w:rsidRPr="00F30906">
        <w:rPr>
          <w:rStyle w:val="AERtextitalic"/>
        </w:rPr>
        <w:t>Escalation factors affecting expenditure forecasts</w:t>
      </w:r>
      <w:r>
        <w:t>, December 2013, p. 5.</w:t>
      </w:r>
    </w:p>
  </w:footnote>
  <w:footnote w:id="145">
    <w:p w:rsidR="00AF5BD6" w:rsidRDefault="00AF5BD6" w:rsidP="004C0E60">
      <w:pPr>
        <w:pStyle w:val="FootnoteText"/>
      </w:pPr>
      <w:r>
        <w:rPr>
          <w:rStyle w:val="FootnoteReference"/>
        </w:rPr>
        <w:footnoteRef/>
      </w:r>
      <w:r>
        <w:t xml:space="preserve"> </w:t>
      </w:r>
      <w:r>
        <w:tab/>
      </w:r>
      <w:r w:rsidRPr="00482F44">
        <w:t xml:space="preserve">CEG, </w:t>
      </w:r>
      <w:r w:rsidRPr="007F2DB1">
        <w:rPr>
          <w:rStyle w:val="AERtextitalic"/>
        </w:rPr>
        <w:t>Escalation factors affecting expenditure forecasts</w:t>
      </w:r>
      <w:r w:rsidRPr="00482F44">
        <w:t>, December 2013, p</w:t>
      </w:r>
      <w:r>
        <w:t>p</w:t>
      </w:r>
      <w:r w:rsidRPr="00482F44">
        <w:t>. 5</w:t>
      </w:r>
      <w:r>
        <w:t>–6</w:t>
      </w:r>
      <w:r w:rsidRPr="00482F44">
        <w:t>.</w:t>
      </w:r>
    </w:p>
  </w:footnote>
  <w:footnote w:id="146">
    <w:p w:rsidR="00AF5BD6" w:rsidRDefault="00AF5BD6" w:rsidP="004C0E60">
      <w:pPr>
        <w:pStyle w:val="FootnoteText"/>
      </w:pPr>
      <w:r>
        <w:rPr>
          <w:rStyle w:val="FootnoteReference"/>
        </w:rPr>
        <w:footnoteRef/>
      </w:r>
      <w:r>
        <w:t xml:space="preserve"> </w:t>
      </w:r>
      <w:r>
        <w:tab/>
      </w:r>
      <w:r w:rsidRPr="007F2DB1">
        <w:t xml:space="preserve">CEG, </w:t>
      </w:r>
      <w:r w:rsidRPr="007F2DB1">
        <w:rPr>
          <w:rStyle w:val="AERtextitalic"/>
        </w:rPr>
        <w:t>Escalation factors affecting expenditure forecasts</w:t>
      </w:r>
      <w:r w:rsidRPr="007F2DB1">
        <w:t xml:space="preserve">, December 2013, p. </w:t>
      </w:r>
      <w:r>
        <w:t>13</w:t>
      </w:r>
      <w:r w:rsidRPr="007F2DB1">
        <w:t>.</w:t>
      </w:r>
    </w:p>
  </w:footnote>
  <w:footnote w:id="147">
    <w:p w:rsidR="00AF5BD6" w:rsidRDefault="00AF5BD6" w:rsidP="004C0E60">
      <w:pPr>
        <w:pStyle w:val="FootnoteText"/>
      </w:pPr>
      <w:r>
        <w:rPr>
          <w:rStyle w:val="FootnoteReference"/>
        </w:rPr>
        <w:footnoteRef/>
      </w:r>
      <w:r>
        <w:t xml:space="preserve"> </w:t>
      </w:r>
      <w:r>
        <w:tab/>
        <w:t xml:space="preserve">CEG, </w:t>
      </w:r>
      <w:r w:rsidRPr="007F2DB1">
        <w:rPr>
          <w:rStyle w:val="AERtextitalic"/>
        </w:rPr>
        <w:t>Escalation factors affecting expenditure forecasts</w:t>
      </w:r>
      <w:r w:rsidRPr="007F2DB1">
        <w:t xml:space="preserve">, December 2013, p. </w:t>
      </w:r>
      <w:r>
        <w:t>5</w:t>
      </w:r>
      <w:r w:rsidRPr="007F2DB1">
        <w:t>.</w:t>
      </w:r>
    </w:p>
  </w:footnote>
  <w:footnote w:id="148">
    <w:p w:rsidR="00AF5BD6" w:rsidRDefault="00AF5BD6" w:rsidP="004C0E60">
      <w:pPr>
        <w:pStyle w:val="FootnoteText"/>
      </w:pPr>
      <w:r>
        <w:rPr>
          <w:rStyle w:val="FootnoteReference"/>
        </w:rPr>
        <w:footnoteRef/>
      </w:r>
      <w:r>
        <w:t xml:space="preserve"> </w:t>
      </w:r>
      <w:r>
        <w:tab/>
      </w:r>
      <w:r w:rsidRPr="007F2DB1">
        <w:t xml:space="preserve">CEG, </w:t>
      </w:r>
      <w:r w:rsidRPr="007F2DB1">
        <w:rPr>
          <w:rStyle w:val="AERtextitalic"/>
        </w:rPr>
        <w:t>Escalation factors affecting expenditure forecasts</w:t>
      </w:r>
      <w:r w:rsidRPr="007F2DB1">
        <w:t xml:space="preserve">, December 2013, p. </w:t>
      </w:r>
      <w:r>
        <w:t>19</w:t>
      </w:r>
      <w:r w:rsidRPr="007F2DB1">
        <w:t>.</w:t>
      </w:r>
    </w:p>
  </w:footnote>
  <w:footnote w:id="149">
    <w:p w:rsidR="00AF5BD6" w:rsidRDefault="00AF5BD6" w:rsidP="004C0E60">
      <w:pPr>
        <w:pStyle w:val="FootnoteText"/>
      </w:pPr>
      <w:r>
        <w:rPr>
          <w:rStyle w:val="FootnoteReference"/>
        </w:rPr>
        <w:footnoteRef/>
      </w:r>
      <w:r>
        <w:t xml:space="preserve"> </w:t>
      </w:r>
      <w:r>
        <w:tab/>
      </w:r>
      <w:r w:rsidRPr="007F2DB1">
        <w:t xml:space="preserve">CEG, </w:t>
      </w:r>
      <w:r w:rsidRPr="007F2DB1">
        <w:rPr>
          <w:rStyle w:val="AERtextitalic"/>
        </w:rPr>
        <w:t>Escalation factors affecting expenditure forecasts</w:t>
      </w:r>
      <w:r w:rsidRPr="007F2DB1">
        <w:t xml:space="preserve">, December 2013, p. </w:t>
      </w:r>
      <w:r>
        <w:t>19</w:t>
      </w:r>
      <w:r w:rsidRPr="007F2DB1">
        <w:t>.</w:t>
      </w:r>
    </w:p>
  </w:footnote>
  <w:footnote w:id="150">
    <w:p w:rsidR="00AF5BD6" w:rsidRDefault="00AF5BD6" w:rsidP="004C0E60">
      <w:pPr>
        <w:pStyle w:val="FootnoteText"/>
      </w:pPr>
      <w:r>
        <w:rPr>
          <w:rStyle w:val="FootnoteReference"/>
        </w:rPr>
        <w:footnoteRef/>
      </w:r>
      <w:r>
        <w:t xml:space="preserve"> </w:t>
      </w:r>
      <w:r>
        <w:tab/>
      </w:r>
      <w:r w:rsidRPr="007F2DB1">
        <w:t xml:space="preserve">CEG, </w:t>
      </w:r>
      <w:r w:rsidRPr="007F2DB1">
        <w:rPr>
          <w:rStyle w:val="AERtextitalic"/>
        </w:rPr>
        <w:t>Escalation factors affecting expenditure forecasts</w:t>
      </w:r>
      <w:r w:rsidRPr="007F2DB1">
        <w:t xml:space="preserve">, December 2013, p. </w:t>
      </w:r>
      <w:r>
        <w:t>23</w:t>
      </w:r>
      <w:r w:rsidRPr="007F2DB1">
        <w:t>.</w:t>
      </w:r>
    </w:p>
  </w:footnote>
  <w:footnote w:id="151">
    <w:p w:rsidR="00AF5BD6" w:rsidRDefault="00AF5BD6" w:rsidP="004C0E60">
      <w:pPr>
        <w:pStyle w:val="FootnoteText"/>
      </w:pPr>
      <w:r>
        <w:rPr>
          <w:rStyle w:val="FootnoteReference"/>
        </w:rPr>
        <w:footnoteRef/>
      </w:r>
      <w:r>
        <w:t xml:space="preserve"> </w:t>
      </w:r>
      <w:r>
        <w:tab/>
      </w:r>
      <w:proofErr w:type="gramStart"/>
      <w:r w:rsidRPr="007F2DB1">
        <w:t xml:space="preserve">CEG, </w:t>
      </w:r>
      <w:r w:rsidRPr="007F2DB1">
        <w:rPr>
          <w:rStyle w:val="AERtextitalic"/>
        </w:rPr>
        <w:t>Escalation factors affecting expenditure forecasts</w:t>
      </w:r>
      <w:r w:rsidRPr="007F2DB1">
        <w:t>, December 2013</w:t>
      </w:r>
      <w:r>
        <w:t>, Figures 3, 4 and 5</w:t>
      </w:r>
      <w:r w:rsidRPr="007F2DB1">
        <w:t>, p</w:t>
      </w:r>
      <w:r>
        <w:t>p</w:t>
      </w:r>
      <w:r w:rsidRPr="007F2DB1">
        <w:t xml:space="preserve">. </w:t>
      </w:r>
      <w:r>
        <w:t>23, 25 and 28</w:t>
      </w:r>
      <w:r w:rsidRPr="007F2DB1">
        <w:t>.</w:t>
      </w:r>
      <w:proofErr w:type="gramEnd"/>
    </w:p>
  </w:footnote>
  <w:footnote w:id="152">
    <w:p w:rsidR="00AF5BD6" w:rsidRDefault="00AF5BD6" w:rsidP="004C0E60">
      <w:pPr>
        <w:pStyle w:val="FootnoteText"/>
      </w:pPr>
      <w:r>
        <w:rPr>
          <w:rStyle w:val="FootnoteReference"/>
        </w:rPr>
        <w:footnoteRef/>
      </w:r>
      <w:r>
        <w:t xml:space="preserve"> </w:t>
      </w:r>
      <w:r>
        <w:tab/>
        <w:t xml:space="preserve">SKM, </w:t>
      </w:r>
      <w:proofErr w:type="spellStart"/>
      <w:r w:rsidRPr="00306611">
        <w:rPr>
          <w:rStyle w:val="AERtextitalic"/>
        </w:rPr>
        <w:t>TransGrid</w:t>
      </w:r>
      <w:proofErr w:type="spellEnd"/>
      <w:r w:rsidRPr="00306611">
        <w:rPr>
          <w:rStyle w:val="AERtextitalic"/>
        </w:rPr>
        <w:t xml:space="preserve">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 xml:space="preserve">orecast 2013/14 </w:t>
      </w:r>
      <w:r>
        <w:rPr>
          <w:rStyle w:val="AERtextitalic"/>
        </w:rPr>
        <w:t>–</w:t>
      </w:r>
      <w:r w:rsidRPr="00306611">
        <w:rPr>
          <w:rStyle w:val="AERtextitalic"/>
        </w:rPr>
        <w:t xml:space="preserve"> 2018/19</w:t>
      </w:r>
      <w:r>
        <w:t>, 9 December 2013, p. 4.</w:t>
      </w:r>
    </w:p>
  </w:footnote>
  <w:footnote w:id="153">
    <w:p w:rsidR="00AF5BD6" w:rsidRDefault="00AF5BD6" w:rsidP="004C0E60">
      <w:pPr>
        <w:pStyle w:val="FootnoteText"/>
      </w:pPr>
      <w:r>
        <w:rPr>
          <w:rStyle w:val="FootnoteReference"/>
        </w:rPr>
        <w:footnoteRef/>
      </w:r>
      <w:r>
        <w:t xml:space="preserve"> </w:t>
      </w:r>
      <w:r>
        <w:tab/>
        <w:t xml:space="preserve">SKM, </w:t>
      </w:r>
      <w:proofErr w:type="spellStart"/>
      <w:r w:rsidRPr="00306611">
        <w:rPr>
          <w:rStyle w:val="AERtextitalic"/>
        </w:rPr>
        <w:t>TransGrid</w:t>
      </w:r>
      <w:proofErr w:type="spellEnd"/>
      <w:r w:rsidRPr="00306611">
        <w:rPr>
          <w:rStyle w:val="AERtextitalic"/>
        </w:rPr>
        <w:t xml:space="preserve">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 xml:space="preserve">orecast 2013/14 </w:t>
      </w:r>
      <w:r>
        <w:rPr>
          <w:rStyle w:val="AERtextitalic"/>
        </w:rPr>
        <w:t>–</w:t>
      </w:r>
      <w:r w:rsidRPr="00306611">
        <w:rPr>
          <w:rStyle w:val="AERtextitalic"/>
        </w:rPr>
        <w:t xml:space="preserve"> 2018/19</w:t>
      </w:r>
      <w:r>
        <w:t>, 9 December 2013, p. 8.</w:t>
      </w:r>
    </w:p>
  </w:footnote>
  <w:footnote w:id="154">
    <w:p w:rsidR="00AF5BD6" w:rsidRDefault="00AF5BD6" w:rsidP="004C0E60">
      <w:pPr>
        <w:pStyle w:val="FootnoteText"/>
      </w:pPr>
      <w:r>
        <w:rPr>
          <w:rStyle w:val="FootnoteReference"/>
        </w:rPr>
        <w:footnoteRef/>
      </w:r>
      <w:r>
        <w:t xml:space="preserve"> </w:t>
      </w:r>
      <w:r>
        <w:tab/>
        <w:t xml:space="preserve">SKM, </w:t>
      </w:r>
      <w:proofErr w:type="spellStart"/>
      <w:r w:rsidRPr="00306611">
        <w:rPr>
          <w:rStyle w:val="AERtextitalic"/>
        </w:rPr>
        <w:t>TransGrid</w:t>
      </w:r>
      <w:proofErr w:type="spellEnd"/>
      <w:r w:rsidRPr="00306611">
        <w:rPr>
          <w:rStyle w:val="AERtextitalic"/>
        </w:rPr>
        <w:t xml:space="preserve">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 xml:space="preserve">orecast 2013/14 </w:t>
      </w:r>
      <w:r>
        <w:rPr>
          <w:rStyle w:val="AERtextitalic"/>
        </w:rPr>
        <w:t>–</w:t>
      </w:r>
      <w:r w:rsidRPr="00306611">
        <w:rPr>
          <w:rStyle w:val="AERtextitalic"/>
        </w:rPr>
        <w:t xml:space="preserve"> 2018/19</w:t>
      </w:r>
      <w:r>
        <w:t>, 9 December 2013, p. 9.</w:t>
      </w:r>
    </w:p>
  </w:footnote>
  <w:footnote w:id="155">
    <w:p w:rsidR="00AF5BD6" w:rsidRDefault="00AF5BD6" w:rsidP="004C0E60">
      <w:pPr>
        <w:pStyle w:val="FootnoteText"/>
      </w:pPr>
      <w:r>
        <w:rPr>
          <w:rStyle w:val="FootnoteReference"/>
        </w:rPr>
        <w:footnoteRef/>
      </w:r>
      <w:r>
        <w:t xml:space="preserve"> </w:t>
      </w:r>
      <w:r>
        <w:tab/>
        <w:t xml:space="preserve">SKM, </w:t>
      </w:r>
      <w:proofErr w:type="spellStart"/>
      <w:r w:rsidRPr="00306611">
        <w:rPr>
          <w:rStyle w:val="AERtextitalic"/>
        </w:rPr>
        <w:t>TransGrid</w:t>
      </w:r>
      <w:proofErr w:type="spellEnd"/>
      <w:r w:rsidRPr="00306611">
        <w:rPr>
          <w:rStyle w:val="AERtextitalic"/>
        </w:rPr>
        <w:t xml:space="preserve">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 xml:space="preserve">orecast 2013/14 </w:t>
      </w:r>
      <w:r>
        <w:rPr>
          <w:rStyle w:val="AERtextitalic"/>
        </w:rPr>
        <w:t>–</w:t>
      </w:r>
      <w:r w:rsidRPr="00306611">
        <w:rPr>
          <w:rStyle w:val="AERtextitalic"/>
        </w:rPr>
        <w:t xml:space="preserve"> 2018/19</w:t>
      </w:r>
      <w:r>
        <w:t>, 9 December 2013, p. 12.</w:t>
      </w:r>
    </w:p>
  </w:footnote>
  <w:footnote w:id="156">
    <w:p w:rsidR="00AF5BD6" w:rsidRDefault="00AF5BD6" w:rsidP="004C0E60">
      <w:pPr>
        <w:pStyle w:val="FootnoteText"/>
      </w:pPr>
      <w:r>
        <w:rPr>
          <w:rStyle w:val="FootnoteReference"/>
        </w:rPr>
        <w:footnoteRef/>
      </w:r>
      <w:r>
        <w:t xml:space="preserve"> </w:t>
      </w:r>
      <w:r>
        <w:tab/>
        <w:t xml:space="preserve">SKM, </w:t>
      </w:r>
      <w:proofErr w:type="spellStart"/>
      <w:r w:rsidRPr="00306611">
        <w:rPr>
          <w:rStyle w:val="AERtextitalic"/>
        </w:rPr>
        <w:t>TransGrid</w:t>
      </w:r>
      <w:proofErr w:type="spellEnd"/>
      <w:r w:rsidRPr="00306611">
        <w:rPr>
          <w:rStyle w:val="AERtextitalic"/>
        </w:rPr>
        <w:t xml:space="preserve">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 xml:space="preserve">orecast 2013/14 </w:t>
      </w:r>
      <w:r>
        <w:rPr>
          <w:rStyle w:val="AERtextitalic"/>
        </w:rPr>
        <w:t xml:space="preserve">– </w:t>
      </w:r>
      <w:r w:rsidRPr="00306611">
        <w:rPr>
          <w:rStyle w:val="AERtextitalic"/>
        </w:rPr>
        <w:t>2018/19</w:t>
      </w:r>
      <w:r>
        <w:t>, 9 December 2013, p. 16.</w:t>
      </w:r>
    </w:p>
  </w:footnote>
  <w:footnote w:id="157">
    <w:p w:rsidR="00AF5BD6" w:rsidRDefault="00AF5BD6" w:rsidP="004C0E60">
      <w:pPr>
        <w:pStyle w:val="FootnoteText"/>
      </w:pPr>
      <w:r>
        <w:rPr>
          <w:rStyle w:val="FootnoteReference"/>
        </w:rPr>
        <w:footnoteRef/>
      </w:r>
      <w:r>
        <w:t xml:space="preserve"> </w:t>
      </w:r>
      <w:r>
        <w:tab/>
        <w:t xml:space="preserve">SKM, </w:t>
      </w:r>
      <w:proofErr w:type="spellStart"/>
      <w:r w:rsidRPr="00306611">
        <w:rPr>
          <w:rStyle w:val="AERtextitalic"/>
        </w:rPr>
        <w:t>TransGrid</w:t>
      </w:r>
      <w:proofErr w:type="spellEnd"/>
      <w:r w:rsidRPr="00306611">
        <w:rPr>
          <w:rStyle w:val="AERtextitalic"/>
        </w:rPr>
        <w:t xml:space="preserve">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 xml:space="preserve">orecast 2013/14 </w:t>
      </w:r>
      <w:r>
        <w:rPr>
          <w:rStyle w:val="AERtextitalic"/>
        </w:rPr>
        <w:t>–</w:t>
      </w:r>
      <w:r w:rsidRPr="00306611">
        <w:rPr>
          <w:rStyle w:val="AERtextitalic"/>
        </w:rPr>
        <w:t xml:space="preserve"> 2018/19</w:t>
      </w:r>
      <w:r>
        <w:t>, 9 December 2013, p. 18.</w:t>
      </w:r>
    </w:p>
  </w:footnote>
  <w:footnote w:id="158">
    <w:p w:rsidR="00AF5BD6" w:rsidRDefault="00AF5BD6" w:rsidP="004C0E60">
      <w:pPr>
        <w:pStyle w:val="FootnoteText"/>
      </w:pPr>
      <w:r>
        <w:rPr>
          <w:rStyle w:val="FootnoteReference"/>
        </w:rPr>
        <w:footnoteRef/>
      </w:r>
      <w:r>
        <w:t xml:space="preserve"> </w:t>
      </w:r>
      <w:r>
        <w:tab/>
        <w:t xml:space="preserve">SKM, </w:t>
      </w:r>
      <w:proofErr w:type="spellStart"/>
      <w:r w:rsidRPr="00306611">
        <w:rPr>
          <w:rStyle w:val="AERtextitalic"/>
        </w:rPr>
        <w:t>TransGrid</w:t>
      </w:r>
      <w:proofErr w:type="spellEnd"/>
      <w:r w:rsidRPr="00306611">
        <w:rPr>
          <w:rStyle w:val="AERtextitalic"/>
        </w:rPr>
        <w:t xml:space="preserve">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 xml:space="preserve">orecast 2013/14 </w:t>
      </w:r>
      <w:r>
        <w:rPr>
          <w:rStyle w:val="AERtextitalic"/>
        </w:rPr>
        <w:t>–</w:t>
      </w:r>
      <w:r w:rsidRPr="00306611">
        <w:rPr>
          <w:rStyle w:val="AERtextitalic"/>
        </w:rPr>
        <w:t xml:space="preserve"> 2018/19</w:t>
      </w:r>
      <w:r>
        <w:t>, 9 December 2013, p. 20.</w:t>
      </w:r>
    </w:p>
  </w:footnote>
  <w:footnote w:id="159">
    <w:p w:rsidR="00AF5BD6" w:rsidRDefault="00AF5BD6" w:rsidP="004C0E60">
      <w:pPr>
        <w:pStyle w:val="FootnoteText"/>
      </w:pPr>
      <w:r>
        <w:rPr>
          <w:rStyle w:val="FootnoteReference"/>
        </w:rPr>
        <w:footnoteRef/>
      </w:r>
      <w:r>
        <w:t xml:space="preserve"> </w:t>
      </w:r>
      <w:r>
        <w:tab/>
        <w:t xml:space="preserve">BIS Shrapnel, </w:t>
      </w:r>
      <w:r>
        <w:rPr>
          <w:rStyle w:val="AERtextitalic"/>
        </w:rPr>
        <w:t>Real</w:t>
      </w:r>
      <w:r w:rsidRPr="00DF27C5">
        <w:rPr>
          <w:rStyle w:val="AERtextitalic"/>
        </w:rPr>
        <w:t xml:space="preserve"> </w:t>
      </w:r>
      <w:r>
        <w:rPr>
          <w:rStyle w:val="AERtextitalic"/>
        </w:rPr>
        <w:t xml:space="preserve">labour and material </w:t>
      </w:r>
      <w:r w:rsidRPr="00DF27C5">
        <w:rPr>
          <w:rStyle w:val="AERtextitalic"/>
        </w:rPr>
        <w:t xml:space="preserve">cost escalation </w:t>
      </w:r>
      <w:r>
        <w:rPr>
          <w:rStyle w:val="AERtextitalic"/>
        </w:rPr>
        <w:t>forecasts to 2020–21</w:t>
      </w:r>
      <w:r>
        <w:t>, February 2015, p. 44.</w:t>
      </w:r>
    </w:p>
  </w:footnote>
  <w:footnote w:id="160">
    <w:p w:rsidR="00AF5BD6" w:rsidRDefault="00AF5BD6" w:rsidP="004C0E60">
      <w:pPr>
        <w:pStyle w:val="FootnoteText"/>
      </w:pPr>
      <w:r>
        <w:rPr>
          <w:rStyle w:val="FootnoteReference"/>
        </w:rPr>
        <w:footnoteRef/>
      </w:r>
      <w:r>
        <w:t xml:space="preserve"> </w:t>
      </w:r>
      <w:r>
        <w:tab/>
        <w:t xml:space="preserve">BIS Shrapnel, </w:t>
      </w:r>
      <w:r>
        <w:rPr>
          <w:rStyle w:val="AERtextitalic"/>
        </w:rPr>
        <w:t>Real</w:t>
      </w:r>
      <w:r w:rsidRPr="00DF27C5">
        <w:rPr>
          <w:rStyle w:val="AERtextitalic"/>
        </w:rPr>
        <w:t xml:space="preserve"> </w:t>
      </w:r>
      <w:r>
        <w:rPr>
          <w:rStyle w:val="AERtextitalic"/>
        </w:rPr>
        <w:t xml:space="preserve">labour and material </w:t>
      </w:r>
      <w:r w:rsidRPr="00DF27C5">
        <w:rPr>
          <w:rStyle w:val="AERtextitalic"/>
        </w:rPr>
        <w:t xml:space="preserve">cost escalation </w:t>
      </w:r>
      <w:r>
        <w:rPr>
          <w:rStyle w:val="AERtextitalic"/>
        </w:rPr>
        <w:t>forecasts to 2020–21</w:t>
      </w:r>
      <w:r>
        <w:t xml:space="preserve">, February 2015, p. </w:t>
      </w:r>
      <w:proofErr w:type="gramStart"/>
      <w:r>
        <w:t>iv</w:t>
      </w:r>
      <w:proofErr w:type="gramEnd"/>
      <w:r>
        <w:t>.</w:t>
      </w:r>
    </w:p>
  </w:footnote>
  <w:footnote w:id="161">
    <w:p w:rsidR="00AF5BD6" w:rsidRDefault="00AF5BD6" w:rsidP="004C0E60">
      <w:pPr>
        <w:pStyle w:val="FootnoteText"/>
      </w:pPr>
      <w:r>
        <w:rPr>
          <w:rStyle w:val="FootnoteReference"/>
        </w:rPr>
        <w:footnoteRef/>
      </w:r>
      <w:r>
        <w:t xml:space="preserve"> </w:t>
      </w:r>
      <w:r>
        <w:tab/>
      </w:r>
      <w:proofErr w:type="gramStart"/>
      <w:r>
        <w:t>NGR, r. 74(2).</w:t>
      </w:r>
      <w:proofErr w:type="gramEnd"/>
    </w:p>
  </w:footnote>
  <w:footnote w:id="162">
    <w:p w:rsidR="00AF5BD6" w:rsidRDefault="00AF5BD6" w:rsidP="004C0E60">
      <w:pPr>
        <w:pStyle w:val="FootnoteText"/>
      </w:pPr>
      <w:r>
        <w:rPr>
          <w:rStyle w:val="FootnoteReference"/>
        </w:rPr>
        <w:footnoteRef/>
      </w:r>
      <w:r>
        <w:t xml:space="preserve"> </w:t>
      </w:r>
      <w:r>
        <w:tab/>
      </w:r>
      <w:proofErr w:type="gramStart"/>
      <w:r>
        <w:t>NGR, r. 79(1).</w:t>
      </w:r>
      <w:proofErr w:type="gramEnd"/>
    </w:p>
  </w:footnote>
  <w:footnote w:id="163">
    <w:p w:rsidR="00AF5BD6" w:rsidRDefault="00AF5BD6" w:rsidP="004C0E60">
      <w:pPr>
        <w:pStyle w:val="FootnoteText"/>
      </w:pPr>
      <w:r>
        <w:rPr>
          <w:rStyle w:val="FootnoteReference"/>
        </w:rPr>
        <w:footnoteRef/>
      </w:r>
      <w:r>
        <w:t xml:space="preserve"> </w:t>
      </w:r>
      <w:r>
        <w:tab/>
        <w:t xml:space="preserve">BIS Shrapnel, </w:t>
      </w:r>
      <w:r>
        <w:rPr>
          <w:rStyle w:val="AERtextitalic"/>
        </w:rPr>
        <w:t>Real</w:t>
      </w:r>
      <w:r w:rsidRPr="00DF27C5">
        <w:rPr>
          <w:rStyle w:val="AERtextitalic"/>
        </w:rPr>
        <w:t xml:space="preserve"> </w:t>
      </w:r>
      <w:r>
        <w:rPr>
          <w:rStyle w:val="AERtextitalic"/>
        </w:rPr>
        <w:t xml:space="preserve">labour and material </w:t>
      </w:r>
      <w:r w:rsidRPr="00DF27C5">
        <w:rPr>
          <w:rStyle w:val="AERtextitalic"/>
        </w:rPr>
        <w:t xml:space="preserve">cost escalation </w:t>
      </w:r>
      <w:r>
        <w:rPr>
          <w:rStyle w:val="AERtextitalic"/>
        </w:rPr>
        <w:t>forecasts to 2020–21</w:t>
      </w:r>
      <w:r>
        <w:t>, February 2015, p. 52.</w:t>
      </w:r>
    </w:p>
  </w:footnote>
  <w:footnote w:id="164">
    <w:p w:rsidR="00AF5BD6" w:rsidRDefault="00AF5BD6" w:rsidP="004C0E60">
      <w:pPr>
        <w:pStyle w:val="FootnoteText"/>
      </w:pPr>
      <w:r>
        <w:rPr>
          <w:rStyle w:val="FootnoteReference"/>
        </w:rPr>
        <w:footnoteRef/>
      </w:r>
      <w:r>
        <w:t xml:space="preserve"> </w:t>
      </w:r>
      <w:r>
        <w:tab/>
      </w:r>
      <w:r w:rsidRPr="00FF78C3">
        <w:t xml:space="preserve">CEG, </w:t>
      </w:r>
      <w:r w:rsidRPr="00FF78C3">
        <w:rPr>
          <w:rStyle w:val="AERtextitalic"/>
        </w:rPr>
        <w:t>Escalation factors affecting expenditure forecasts</w:t>
      </w:r>
      <w:r w:rsidRPr="00FF78C3">
        <w:t>, December 2013, pp. 4</w:t>
      </w:r>
      <w:r>
        <w:t>–</w:t>
      </w:r>
      <w:r w:rsidRPr="00FF78C3">
        <w:t>5.</w:t>
      </w:r>
    </w:p>
  </w:footnote>
  <w:footnote w:id="165">
    <w:p w:rsidR="00AF5BD6" w:rsidRDefault="00AF5BD6" w:rsidP="004C0E60">
      <w:pPr>
        <w:pStyle w:val="FootnoteText"/>
      </w:pPr>
      <w:r>
        <w:rPr>
          <w:rStyle w:val="FootnoteReference"/>
        </w:rPr>
        <w:footnoteRef/>
      </w:r>
      <w:r>
        <w:t xml:space="preserve"> </w:t>
      </w:r>
      <w:r>
        <w:tab/>
      </w:r>
      <w:r w:rsidRPr="00FF78C3">
        <w:t xml:space="preserve">CEG, </w:t>
      </w:r>
      <w:r w:rsidRPr="00FF78C3">
        <w:rPr>
          <w:rStyle w:val="AERtextitalic"/>
        </w:rPr>
        <w:t>Escalation factors affecting expenditure forecasts</w:t>
      </w:r>
      <w:r w:rsidRPr="00FF78C3">
        <w:t>, December 2013, p. 13.</w:t>
      </w:r>
    </w:p>
  </w:footnote>
  <w:footnote w:id="166">
    <w:p w:rsidR="00AF5BD6" w:rsidRDefault="00AF5BD6" w:rsidP="004C0E60">
      <w:pPr>
        <w:pStyle w:val="FootnoteText"/>
      </w:pPr>
      <w:r>
        <w:rPr>
          <w:rStyle w:val="FootnoteReference"/>
        </w:rPr>
        <w:footnoteRef/>
      </w:r>
      <w:r>
        <w:t xml:space="preserve"> </w:t>
      </w:r>
      <w:r>
        <w:tab/>
        <w:t xml:space="preserve">BIS Shrapnel, </w:t>
      </w:r>
      <w:r>
        <w:rPr>
          <w:rStyle w:val="AERtextitalic"/>
        </w:rPr>
        <w:t>Real</w:t>
      </w:r>
      <w:r w:rsidRPr="00DF27C5">
        <w:rPr>
          <w:rStyle w:val="AERtextitalic"/>
        </w:rPr>
        <w:t xml:space="preserve"> </w:t>
      </w:r>
      <w:r>
        <w:rPr>
          <w:rStyle w:val="AERtextitalic"/>
        </w:rPr>
        <w:t xml:space="preserve">labour and material </w:t>
      </w:r>
      <w:r w:rsidRPr="00DF27C5">
        <w:rPr>
          <w:rStyle w:val="AERtextitalic"/>
        </w:rPr>
        <w:t xml:space="preserve">cost escalation </w:t>
      </w:r>
      <w:r>
        <w:rPr>
          <w:rStyle w:val="AERtextitalic"/>
        </w:rPr>
        <w:t>forecasts to 2020–21</w:t>
      </w:r>
      <w:r>
        <w:t>, February 2015, p. A-9.</w:t>
      </w:r>
    </w:p>
  </w:footnote>
  <w:footnote w:id="167">
    <w:p w:rsidR="00AF5BD6" w:rsidRDefault="00AF5BD6" w:rsidP="004C0E60">
      <w:pPr>
        <w:pStyle w:val="FootnoteText"/>
      </w:pPr>
      <w:r>
        <w:rPr>
          <w:rStyle w:val="FootnoteReference"/>
        </w:rPr>
        <w:footnoteRef/>
      </w:r>
      <w:r>
        <w:t xml:space="preserve"> </w:t>
      </w:r>
      <w:r>
        <w:tab/>
        <w:t>NGL, Division 2, s. 24(2).</w:t>
      </w:r>
    </w:p>
  </w:footnote>
  <w:footnote w:id="168">
    <w:p w:rsidR="00AF5BD6" w:rsidRDefault="00AF5BD6" w:rsidP="004C0E60">
      <w:pPr>
        <w:pStyle w:val="FootnoteText"/>
      </w:pPr>
      <w:r>
        <w:rPr>
          <w:rStyle w:val="FootnoteReference"/>
        </w:rPr>
        <w:footnoteRef/>
      </w:r>
      <w:r>
        <w:t xml:space="preserve"> </w:t>
      </w:r>
      <w:r>
        <w:tab/>
      </w:r>
      <w:proofErr w:type="gramStart"/>
      <w:r w:rsidRPr="00767916">
        <w:t xml:space="preserve">NGR, </w:t>
      </w:r>
      <w:r>
        <w:t>r.</w:t>
      </w:r>
      <w:r w:rsidRPr="00767916">
        <w:t xml:space="preserve"> 79(1).</w:t>
      </w:r>
      <w:proofErr w:type="gramEnd"/>
    </w:p>
  </w:footnote>
  <w:footnote w:id="169">
    <w:p w:rsidR="00AF5BD6" w:rsidRDefault="00AF5BD6" w:rsidP="00E84B03">
      <w:pPr>
        <w:pStyle w:val="FootnoteText"/>
      </w:pPr>
      <w:r>
        <w:rPr>
          <w:rStyle w:val="FootnoteReference"/>
        </w:rPr>
        <w:footnoteRef/>
      </w:r>
      <w:r>
        <w:t xml:space="preserve"> </w:t>
      </w:r>
      <w:r>
        <w:tab/>
        <w:t xml:space="preserve">AER, </w:t>
      </w:r>
      <w:r w:rsidRPr="007D67DC">
        <w:rPr>
          <w:rStyle w:val="AERtextitalic"/>
        </w:rPr>
        <w:t>AER Information request - AER ActewAGL 004 - Connections - unit rate model - Part 3</w:t>
      </w:r>
      <w:r>
        <w:t>, 14 July 2015, question 2.</w:t>
      </w:r>
    </w:p>
  </w:footnote>
  <w:footnote w:id="170">
    <w:p w:rsidR="00AF5BD6" w:rsidRDefault="00AF5BD6" w:rsidP="00E84B03">
      <w:pPr>
        <w:pStyle w:val="FootnoteText"/>
      </w:pPr>
      <w:r>
        <w:rPr>
          <w:rStyle w:val="FootnoteReference"/>
        </w:rPr>
        <w:footnoteRef/>
      </w:r>
      <w:r>
        <w:t xml:space="preserve"> </w:t>
      </w:r>
      <w:r>
        <w:tab/>
        <w:t xml:space="preserve">ActewAGL, </w:t>
      </w:r>
      <w:r w:rsidRPr="007D67DC">
        <w:rPr>
          <w:rStyle w:val="AERtextitalic"/>
        </w:rPr>
        <w:t>ActewAGL Distribution response to various information requests</w:t>
      </w:r>
      <w:r>
        <w:t>, 31 July 2015, response 1, 2.3, 2.4, 2.5 and 2.6.</w:t>
      </w:r>
    </w:p>
  </w:footnote>
  <w:footnote w:id="171">
    <w:p w:rsidR="00AF5BD6" w:rsidRDefault="00AF5BD6" w:rsidP="00E84B03">
      <w:pPr>
        <w:pStyle w:val="FootnoteText"/>
      </w:pPr>
      <w:r>
        <w:rPr>
          <w:rStyle w:val="FootnoteReference"/>
        </w:rPr>
        <w:footnoteRef/>
      </w:r>
      <w:r>
        <w:t xml:space="preserve"> </w:t>
      </w:r>
      <w:r>
        <w:tab/>
        <w:t xml:space="preserve">ActewAGL, </w:t>
      </w:r>
      <w:r w:rsidRPr="007D67DC">
        <w:rPr>
          <w:rStyle w:val="AERtextitalic"/>
        </w:rPr>
        <w:t>ActewAGL Distribution response to AER ActewAGL 002 Connections unit rate model part 2</w:t>
      </w:r>
      <w:r>
        <w:t>, 20 July 2015, question 7,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BD6" w:rsidRDefault="00B537F9">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AF5BD6">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BD6" w:rsidRDefault="00B537F9">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AA4E0B"/>
    <w:multiLevelType w:val="hybridMultilevel"/>
    <w:tmpl w:val="B260BC5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4F05160"/>
    <w:multiLevelType w:val="hybridMultilevel"/>
    <w:tmpl w:val="0A0A7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B2D16C1"/>
    <w:multiLevelType w:val="hybridMultilevel"/>
    <w:tmpl w:val="58F4E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BD7193A"/>
    <w:multiLevelType w:val="hybridMultilevel"/>
    <w:tmpl w:val="DB061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D72312C"/>
    <w:multiLevelType w:val="hybridMultilevel"/>
    <w:tmpl w:val="91CEF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6054981"/>
    <w:multiLevelType w:val="hybridMultilevel"/>
    <w:tmpl w:val="2E7813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9768F11A"/>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78810DA"/>
    <w:multiLevelType w:val="hybridMultilevel"/>
    <w:tmpl w:val="5A9698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01478BC"/>
    <w:multiLevelType w:val="hybridMultilevel"/>
    <w:tmpl w:val="37A8B5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AAC6DD7"/>
    <w:multiLevelType w:val="multilevel"/>
    <w:tmpl w:val="950A1C52"/>
    <w:lvl w:ilvl="0">
      <w:start w:val="1"/>
      <w:numFmt w:val="none"/>
      <w:lvlText w:val="%1"/>
      <w:lvlJc w:val="left"/>
      <w:pPr>
        <w:tabs>
          <w:tab w:val="num" w:pos="0"/>
        </w:tabs>
        <w:ind w:left="0" w:firstLine="0"/>
      </w:pPr>
    </w:lvl>
    <w:lvl w:ilvl="1">
      <w:start w:val="1"/>
      <w:numFmt w:val="decimal"/>
      <w:lvlText w:val="%1%2"/>
      <w:lvlJc w:val="left"/>
      <w:pPr>
        <w:tabs>
          <w:tab w:val="num" w:pos="0"/>
        </w:tabs>
        <w:ind w:left="0" w:hanging="851"/>
      </w:pPr>
    </w:lvl>
    <w:lvl w:ilvl="2">
      <w:start w:val="1"/>
      <w:numFmt w:val="decimal"/>
      <w:lvlText w:val="%1%2.%3"/>
      <w:lvlJc w:val="left"/>
      <w:pPr>
        <w:tabs>
          <w:tab w:val="num" w:pos="851"/>
        </w:tabs>
        <w:ind w:left="851" w:hanging="851"/>
      </w:pPr>
    </w:lvl>
    <w:lvl w:ilvl="3">
      <w:start w:val="1"/>
      <w:numFmt w:val="decimal"/>
      <w:lvlText w:val="%2.%3.%4"/>
      <w:lvlJc w:val="left"/>
      <w:pPr>
        <w:tabs>
          <w:tab w:val="num" w:pos="0"/>
        </w:tabs>
        <w:ind w:left="0" w:hanging="851"/>
      </w:pPr>
    </w:lvl>
    <w:lvl w:ilvl="4">
      <w:start w:val="1"/>
      <w:numFmt w:val="upperLetter"/>
      <w:lvlRestart w:val="1"/>
      <w:lvlText w:val="%5"/>
      <w:lvlJc w:val="left"/>
      <w:pPr>
        <w:tabs>
          <w:tab w:val="num" w:pos="0"/>
        </w:tabs>
        <w:ind w:left="0" w:hanging="851"/>
      </w:pPr>
    </w:lvl>
    <w:lvl w:ilvl="5">
      <w:start w:val="1"/>
      <w:numFmt w:val="decimal"/>
      <w:lvlText w:val="%5.%6"/>
      <w:lvlJc w:val="left"/>
      <w:pPr>
        <w:tabs>
          <w:tab w:val="num" w:pos="0"/>
        </w:tabs>
        <w:ind w:left="0" w:hanging="851"/>
      </w:pPr>
    </w:lvl>
    <w:lvl w:ilvl="6">
      <w:start w:val="1"/>
      <w:numFmt w:val="decimal"/>
      <w:lvlText w:val="%5.%6.%7"/>
      <w:lvlJc w:val="left"/>
      <w:pPr>
        <w:tabs>
          <w:tab w:val="num" w:pos="0"/>
        </w:tabs>
        <w:ind w:left="0" w:hanging="851"/>
      </w:pPr>
    </w:lvl>
    <w:lvl w:ilvl="7">
      <w:start w:val="1"/>
      <w:numFmt w:val="none"/>
      <w:lvlRestart w:val="0"/>
      <w:lvlText w:val=""/>
      <w:lvlJc w:val="left"/>
      <w:pPr>
        <w:tabs>
          <w:tab w:val="num" w:pos="0"/>
        </w:tabs>
        <w:ind w:left="0" w:firstLine="0"/>
      </w:pPr>
    </w:lvl>
    <w:lvl w:ilvl="8">
      <w:start w:val="1"/>
      <w:numFmt w:val="none"/>
      <w:lvlRestart w:val="0"/>
      <w:lvlText w:val=""/>
      <w:lvlJc w:val="left"/>
      <w:pPr>
        <w:ind w:left="0" w:firstLine="0"/>
      </w:pPr>
    </w:lvl>
  </w:abstractNum>
  <w:abstractNum w:abstractNumId="3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3"/>
  </w:num>
  <w:num w:numId="14">
    <w:abstractNumId w:val="10"/>
  </w:num>
  <w:num w:numId="15">
    <w:abstractNumId w:val="13"/>
  </w:num>
  <w:num w:numId="16">
    <w:abstractNumId w:val="26"/>
  </w:num>
  <w:num w:numId="17">
    <w:abstractNumId w:val="9"/>
  </w:num>
  <w:num w:numId="18">
    <w:abstractNumId w:val="16"/>
  </w:num>
  <w:num w:numId="19">
    <w:abstractNumId w:val="27"/>
  </w:num>
  <w:num w:numId="20">
    <w:abstractNumId w:val="36"/>
  </w:num>
  <w:num w:numId="21">
    <w:abstractNumId w:val="31"/>
  </w:num>
  <w:num w:numId="22">
    <w:abstractNumId w:val="28"/>
  </w:num>
  <w:num w:numId="23">
    <w:abstractNumId w:val="20"/>
  </w:num>
  <w:num w:numId="24">
    <w:abstractNumId w:val="29"/>
  </w:num>
  <w:num w:numId="25">
    <w:abstractNumId w:val="32"/>
  </w:num>
  <w:num w:numId="26">
    <w:abstractNumId w:val="21"/>
  </w:num>
  <w:num w:numId="27">
    <w:abstractNumId w:val="15"/>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4"/>
  </w:num>
  <w:num w:numId="31">
    <w:abstractNumId w:val="30"/>
  </w:num>
  <w:num w:numId="32">
    <w:abstractNumId w:val="35"/>
  </w:num>
  <w:num w:numId="33">
    <w:abstractNumId w:val="14"/>
  </w:num>
  <w:num w:numId="34">
    <w:abstractNumId w:val="17"/>
  </w:num>
  <w:num w:numId="35">
    <w:abstractNumId w:val="37"/>
  </w:num>
  <w:num w:numId="36">
    <w:abstractNumId w:val="18"/>
  </w:num>
  <w:num w:numId="37">
    <w:abstractNumId w:val="22"/>
  </w:num>
  <w:num w:numId="38">
    <w:abstractNumId w:val="25"/>
  </w:num>
  <w:num w:numId="39">
    <w:abstractNumId w:val="19"/>
  </w:num>
  <w:num w:numId="40">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bjTXd8eDIMpj+bIMURVPu2qBW2RHhPIwVpJERIAmKH4=" w:saltValue="ZlcEHuP7MsNlrOVI6FfUs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03722"/>
    <w:rsid w:val="00003BA4"/>
    <w:rsid w:val="00006657"/>
    <w:rsid w:val="00010286"/>
    <w:rsid w:val="000129D5"/>
    <w:rsid w:val="0001551E"/>
    <w:rsid w:val="000156DF"/>
    <w:rsid w:val="00020AAD"/>
    <w:rsid w:val="00021202"/>
    <w:rsid w:val="000216E9"/>
    <w:rsid w:val="00021C2B"/>
    <w:rsid w:val="0002517F"/>
    <w:rsid w:val="00026495"/>
    <w:rsid w:val="0003578C"/>
    <w:rsid w:val="000367F7"/>
    <w:rsid w:val="00036E87"/>
    <w:rsid w:val="000401AF"/>
    <w:rsid w:val="00044CB4"/>
    <w:rsid w:val="00045758"/>
    <w:rsid w:val="00051FE3"/>
    <w:rsid w:val="00054D90"/>
    <w:rsid w:val="00054DB2"/>
    <w:rsid w:val="00060CDC"/>
    <w:rsid w:val="00063247"/>
    <w:rsid w:val="00063F8C"/>
    <w:rsid w:val="0007078F"/>
    <w:rsid w:val="00070F9F"/>
    <w:rsid w:val="0007137B"/>
    <w:rsid w:val="00072085"/>
    <w:rsid w:val="0007514B"/>
    <w:rsid w:val="0008219D"/>
    <w:rsid w:val="0008244C"/>
    <w:rsid w:val="000829C2"/>
    <w:rsid w:val="00082DC2"/>
    <w:rsid w:val="0008375F"/>
    <w:rsid w:val="000849EA"/>
    <w:rsid w:val="00085663"/>
    <w:rsid w:val="00085C2B"/>
    <w:rsid w:val="00085EBF"/>
    <w:rsid w:val="00091B15"/>
    <w:rsid w:val="0009279C"/>
    <w:rsid w:val="0009497F"/>
    <w:rsid w:val="000952A5"/>
    <w:rsid w:val="000A3020"/>
    <w:rsid w:val="000A5C1D"/>
    <w:rsid w:val="000A6C7B"/>
    <w:rsid w:val="000B089C"/>
    <w:rsid w:val="000B0CED"/>
    <w:rsid w:val="000B232C"/>
    <w:rsid w:val="000B785A"/>
    <w:rsid w:val="000B7E64"/>
    <w:rsid w:val="000C2B40"/>
    <w:rsid w:val="000C3B30"/>
    <w:rsid w:val="000C3D48"/>
    <w:rsid w:val="000D06C1"/>
    <w:rsid w:val="000D122C"/>
    <w:rsid w:val="000D1984"/>
    <w:rsid w:val="000D3016"/>
    <w:rsid w:val="000D3A7E"/>
    <w:rsid w:val="000E1819"/>
    <w:rsid w:val="000E3320"/>
    <w:rsid w:val="000E4821"/>
    <w:rsid w:val="000E6C72"/>
    <w:rsid w:val="000E79B5"/>
    <w:rsid w:val="000F0B2B"/>
    <w:rsid w:val="000F3E72"/>
    <w:rsid w:val="000F48B1"/>
    <w:rsid w:val="001047A3"/>
    <w:rsid w:val="00112772"/>
    <w:rsid w:val="0011614A"/>
    <w:rsid w:val="00116475"/>
    <w:rsid w:val="001167BA"/>
    <w:rsid w:val="00116EB2"/>
    <w:rsid w:val="00122353"/>
    <w:rsid w:val="00124609"/>
    <w:rsid w:val="00125537"/>
    <w:rsid w:val="00125C2F"/>
    <w:rsid w:val="00126A4C"/>
    <w:rsid w:val="00127557"/>
    <w:rsid w:val="00127ADF"/>
    <w:rsid w:val="00130FED"/>
    <w:rsid w:val="00137448"/>
    <w:rsid w:val="001376DE"/>
    <w:rsid w:val="00140B52"/>
    <w:rsid w:val="00140E64"/>
    <w:rsid w:val="0014271D"/>
    <w:rsid w:val="00142AB6"/>
    <w:rsid w:val="0014328F"/>
    <w:rsid w:val="0014573B"/>
    <w:rsid w:val="00152BE6"/>
    <w:rsid w:val="0015535C"/>
    <w:rsid w:val="001573E4"/>
    <w:rsid w:val="00160756"/>
    <w:rsid w:val="001612CA"/>
    <w:rsid w:val="00165167"/>
    <w:rsid w:val="00170693"/>
    <w:rsid w:val="0017232E"/>
    <w:rsid w:val="00174102"/>
    <w:rsid w:val="001754EE"/>
    <w:rsid w:val="00176357"/>
    <w:rsid w:val="001778B5"/>
    <w:rsid w:val="00177DD7"/>
    <w:rsid w:val="00180157"/>
    <w:rsid w:val="001815D9"/>
    <w:rsid w:val="001833EF"/>
    <w:rsid w:val="00184965"/>
    <w:rsid w:val="00184C5C"/>
    <w:rsid w:val="00185CB9"/>
    <w:rsid w:val="00186F77"/>
    <w:rsid w:val="001926A4"/>
    <w:rsid w:val="00192AD5"/>
    <w:rsid w:val="00194C50"/>
    <w:rsid w:val="00195E18"/>
    <w:rsid w:val="001A4977"/>
    <w:rsid w:val="001A5E33"/>
    <w:rsid w:val="001B0C8E"/>
    <w:rsid w:val="001B45A0"/>
    <w:rsid w:val="001B574B"/>
    <w:rsid w:val="001B7D00"/>
    <w:rsid w:val="001C0C6E"/>
    <w:rsid w:val="001C1C39"/>
    <w:rsid w:val="001C4095"/>
    <w:rsid w:val="001C71E0"/>
    <w:rsid w:val="001C7F79"/>
    <w:rsid w:val="001D00B7"/>
    <w:rsid w:val="001D055E"/>
    <w:rsid w:val="001D1BF1"/>
    <w:rsid w:val="001D271A"/>
    <w:rsid w:val="001D33B8"/>
    <w:rsid w:val="001D5727"/>
    <w:rsid w:val="001E2F1C"/>
    <w:rsid w:val="001E36C8"/>
    <w:rsid w:val="001E698B"/>
    <w:rsid w:val="001E72BD"/>
    <w:rsid w:val="001E7B4F"/>
    <w:rsid w:val="001F05A4"/>
    <w:rsid w:val="001F09EA"/>
    <w:rsid w:val="001F492E"/>
    <w:rsid w:val="001F6DA3"/>
    <w:rsid w:val="002010BC"/>
    <w:rsid w:val="002016E7"/>
    <w:rsid w:val="00201F98"/>
    <w:rsid w:val="00202E03"/>
    <w:rsid w:val="0020478D"/>
    <w:rsid w:val="0020492C"/>
    <w:rsid w:val="00206E74"/>
    <w:rsid w:val="00212900"/>
    <w:rsid w:val="00215D5A"/>
    <w:rsid w:val="0021636C"/>
    <w:rsid w:val="00217E66"/>
    <w:rsid w:val="002224F9"/>
    <w:rsid w:val="00224DB9"/>
    <w:rsid w:val="002268EC"/>
    <w:rsid w:val="00227DCE"/>
    <w:rsid w:val="0023276C"/>
    <w:rsid w:val="00233775"/>
    <w:rsid w:val="002354B1"/>
    <w:rsid w:val="00251745"/>
    <w:rsid w:val="00253E9E"/>
    <w:rsid w:val="00262A1E"/>
    <w:rsid w:val="00262AC3"/>
    <w:rsid w:val="002636BF"/>
    <w:rsid w:val="00263AC0"/>
    <w:rsid w:val="00264264"/>
    <w:rsid w:val="0026772D"/>
    <w:rsid w:val="00275F50"/>
    <w:rsid w:val="00277292"/>
    <w:rsid w:val="00277D80"/>
    <w:rsid w:val="002850BB"/>
    <w:rsid w:val="002852F5"/>
    <w:rsid w:val="00286874"/>
    <w:rsid w:val="00290C63"/>
    <w:rsid w:val="002929C2"/>
    <w:rsid w:val="00296B65"/>
    <w:rsid w:val="00297C58"/>
    <w:rsid w:val="002A2598"/>
    <w:rsid w:val="002A4C1D"/>
    <w:rsid w:val="002A4DE2"/>
    <w:rsid w:val="002A584E"/>
    <w:rsid w:val="002A7DEF"/>
    <w:rsid w:val="002B1003"/>
    <w:rsid w:val="002B30D3"/>
    <w:rsid w:val="002B421A"/>
    <w:rsid w:val="002B573C"/>
    <w:rsid w:val="002B6514"/>
    <w:rsid w:val="002C233C"/>
    <w:rsid w:val="002C437F"/>
    <w:rsid w:val="002C5478"/>
    <w:rsid w:val="002D1264"/>
    <w:rsid w:val="002D32F5"/>
    <w:rsid w:val="002D35AE"/>
    <w:rsid w:val="002D72E8"/>
    <w:rsid w:val="002E04AA"/>
    <w:rsid w:val="002E7B22"/>
    <w:rsid w:val="002F1E2E"/>
    <w:rsid w:val="002F20D8"/>
    <w:rsid w:val="002F6680"/>
    <w:rsid w:val="002F6D3D"/>
    <w:rsid w:val="002F7986"/>
    <w:rsid w:val="00301B40"/>
    <w:rsid w:val="003029EE"/>
    <w:rsid w:val="0030370B"/>
    <w:rsid w:val="003058C3"/>
    <w:rsid w:val="00305CC8"/>
    <w:rsid w:val="00307F6D"/>
    <w:rsid w:val="00311875"/>
    <w:rsid w:val="003160C2"/>
    <w:rsid w:val="003177A2"/>
    <w:rsid w:val="00320537"/>
    <w:rsid w:val="00322E18"/>
    <w:rsid w:val="0032574A"/>
    <w:rsid w:val="00325FFC"/>
    <w:rsid w:val="003271B5"/>
    <w:rsid w:val="00327A1E"/>
    <w:rsid w:val="003302BB"/>
    <w:rsid w:val="00331264"/>
    <w:rsid w:val="003317B4"/>
    <w:rsid w:val="0033499C"/>
    <w:rsid w:val="00334C8D"/>
    <w:rsid w:val="00343A18"/>
    <w:rsid w:val="00344473"/>
    <w:rsid w:val="00344ECC"/>
    <w:rsid w:val="003518B3"/>
    <w:rsid w:val="003557FC"/>
    <w:rsid w:val="0036213C"/>
    <w:rsid w:val="00364CB9"/>
    <w:rsid w:val="003657AF"/>
    <w:rsid w:val="003660E2"/>
    <w:rsid w:val="0036613B"/>
    <w:rsid w:val="00366673"/>
    <w:rsid w:val="0037067A"/>
    <w:rsid w:val="0037332B"/>
    <w:rsid w:val="0037336C"/>
    <w:rsid w:val="003745D6"/>
    <w:rsid w:val="00376CDA"/>
    <w:rsid w:val="00376E64"/>
    <w:rsid w:val="0038107E"/>
    <w:rsid w:val="00384455"/>
    <w:rsid w:val="003846F1"/>
    <w:rsid w:val="00385A3D"/>
    <w:rsid w:val="00385B1E"/>
    <w:rsid w:val="00390CB0"/>
    <w:rsid w:val="00391480"/>
    <w:rsid w:val="00392FEC"/>
    <w:rsid w:val="003931A7"/>
    <w:rsid w:val="003934C4"/>
    <w:rsid w:val="00394C32"/>
    <w:rsid w:val="003A08C3"/>
    <w:rsid w:val="003A39FC"/>
    <w:rsid w:val="003A5E56"/>
    <w:rsid w:val="003B077F"/>
    <w:rsid w:val="003B108B"/>
    <w:rsid w:val="003B1777"/>
    <w:rsid w:val="003B2303"/>
    <w:rsid w:val="003B3B38"/>
    <w:rsid w:val="003B4105"/>
    <w:rsid w:val="003B484F"/>
    <w:rsid w:val="003B4A20"/>
    <w:rsid w:val="003B7FBA"/>
    <w:rsid w:val="003C037A"/>
    <w:rsid w:val="003C27F3"/>
    <w:rsid w:val="003C546C"/>
    <w:rsid w:val="003D0167"/>
    <w:rsid w:val="003D1656"/>
    <w:rsid w:val="003D2DA2"/>
    <w:rsid w:val="003D3A65"/>
    <w:rsid w:val="003E4E0A"/>
    <w:rsid w:val="003E72AC"/>
    <w:rsid w:val="003E778D"/>
    <w:rsid w:val="003E79B3"/>
    <w:rsid w:val="003F174D"/>
    <w:rsid w:val="003F22AB"/>
    <w:rsid w:val="003F2695"/>
    <w:rsid w:val="003F66E1"/>
    <w:rsid w:val="003F7442"/>
    <w:rsid w:val="00402917"/>
    <w:rsid w:val="00405375"/>
    <w:rsid w:val="004064C5"/>
    <w:rsid w:val="00407B85"/>
    <w:rsid w:val="004107DB"/>
    <w:rsid w:val="00410E66"/>
    <w:rsid w:val="00411A63"/>
    <w:rsid w:val="004147F5"/>
    <w:rsid w:val="00415DB5"/>
    <w:rsid w:val="00415F31"/>
    <w:rsid w:val="00417A92"/>
    <w:rsid w:val="00423A77"/>
    <w:rsid w:val="00424275"/>
    <w:rsid w:val="00433599"/>
    <w:rsid w:val="0043483D"/>
    <w:rsid w:val="0043515F"/>
    <w:rsid w:val="0043653F"/>
    <w:rsid w:val="00442FE8"/>
    <w:rsid w:val="00443D3C"/>
    <w:rsid w:val="00444C1B"/>
    <w:rsid w:val="00450A54"/>
    <w:rsid w:val="00451F70"/>
    <w:rsid w:val="00455A09"/>
    <w:rsid w:val="0045777E"/>
    <w:rsid w:val="00457EC8"/>
    <w:rsid w:val="00471203"/>
    <w:rsid w:val="00474EC7"/>
    <w:rsid w:val="00477EA2"/>
    <w:rsid w:val="00480B4B"/>
    <w:rsid w:val="00485DC4"/>
    <w:rsid w:val="0048701B"/>
    <w:rsid w:val="00487FCF"/>
    <w:rsid w:val="00490AB3"/>
    <w:rsid w:val="004918FF"/>
    <w:rsid w:val="00494D5C"/>
    <w:rsid w:val="00496223"/>
    <w:rsid w:val="004A0227"/>
    <w:rsid w:val="004A1BD5"/>
    <w:rsid w:val="004A1D5E"/>
    <w:rsid w:val="004A3DA2"/>
    <w:rsid w:val="004A43D1"/>
    <w:rsid w:val="004A5C1E"/>
    <w:rsid w:val="004B0B5F"/>
    <w:rsid w:val="004B355D"/>
    <w:rsid w:val="004B3B4C"/>
    <w:rsid w:val="004B4412"/>
    <w:rsid w:val="004C0E60"/>
    <w:rsid w:val="004C348C"/>
    <w:rsid w:val="004C5F88"/>
    <w:rsid w:val="004D109F"/>
    <w:rsid w:val="004D480F"/>
    <w:rsid w:val="004D5250"/>
    <w:rsid w:val="004D52A8"/>
    <w:rsid w:val="004D55BA"/>
    <w:rsid w:val="004D64D2"/>
    <w:rsid w:val="004E0F09"/>
    <w:rsid w:val="004E22EC"/>
    <w:rsid w:val="004E2C45"/>
    <w:rsid w:val="004E5E4A"/>
    <w:rsid w:val="004E695C"/>
    <w:rsid w:val="004F1557"/>
    <w:rsid w:val="004F4857"/>
    <w:rsid w:val="004F5704"/>
    <w:rsid w:val="004F6A0E"/>
    <w:rsid w:val="0050171B"/>
    <w:rsid w:val="00510153"/>
    <w:rsid w:val="00514408"/>
    <w:rsid w:val="00514FAC"/>
    <w:rsid w:val="0052161F"/>
    <w:rsid w:val="00521FD5"/>
    <w:rsid w:val="00522AC1"/>
    <w:rsid w:val="00526DF6"/>
    <w:rsid w:val="00527628"/>
    <w:rsid w:val="00530128"/>
    <w:rsid w:val="00532467"/>
    <w:rsid w:val="00533BC9"/>
    <w:rsid w:val="0053713A"/>
    <w:rsid w:val="00537FD6"/>
    <w:rsid w:val="00540A8B"/>
    <w:rsid w:val="00545ED0"/>
    <w:rsid w:val="00553258"/>
    <w:rsid w:val="00563CA0"/>
    <w:rsid w:val="0056474F"/>
    <w:rsid w:val="00564A4D"/>
    <w:rsid w:val="0056588A"/>
    <w:rsid w:val="0056704C"/>
    <w:rsid w:val="00567BA5"/>
    <w:rsid w:val="00571B35"/>
    <w:rsid w:val="00571D57"/>
    <w:rsid w:val="00571F72"/>
    <w:rsid w:val="0057292C"/>
    <w:rsid w:val="00577A09"/>
    <w:rsid w:val="005829C2"/>
    <w:rsid w:val="00582CEC"/>
    <w:rsid w:val="00584D8F"/>
    <w:rsid w:val="00586819"/>
    <w:rsid w:val="00594121"/>
    <w:rsid w:val="0059541A"/>
    <w:rsid w:val="0059704C"/>
    <w:rsid w:val="00597704"/>
    <w:rsid w:val="005A088F"/>
    <w:rsid w:val="005A0F4B"/>
    <w:rsid w:val="005A17D6"/>
    <w:rsid w:val="005A1F44"/>
    <w:rsid w:val="005A2569"/>
    <w:rsid w:val="005A2B1F"/>
    <w:rsid w:val="005A404D"/>
    <w:rsid w:val="005B082F"/>
    <w:rsid w:val="005B107C"/>
    <w:rsid w:val="005B140A"/>
    <w:rsid w:val="005B1E3C"/>
    <w:rsid w:val="005B3945"/>
    <w:rsid w:val="005B3FB7"/>
    <w:rsid w:val="005B5180"/>
    <w:rsid w:val="005B5FDB"/>
    <w:rsid w:val="005B704A"/>
    <w:rsid w:val="005C070E"/>
    <w:rsid w:val="005C0A7F"/>
    <w:rsid w:val="005C0DBF"/>
    <w:rsid w:val="005C26CC"/>
    <w:rsid w:val="005C4C9C"/>
    <w:rsid w:val="005C7E4F"/>
    <w:rsid w:val="005D0934"/>
    <w:rsid w:val="005D0EE7"/>
    <w:rsid w:val="005D64A3"/>
    <w:rsid w:val="005D7BA2"/>
    <w:rsid w:val="005D7E3E"/>
    <w:rsid w:val="005E05A0"/>
    <w:rsid w:val="005E1C6F"/>
    <w:rsid w:val="005E36C2"/>
    <w:rsid w:val="005E3873"/>
    <w:rsid w:val="005E42E3"/>
    <w:rsid w:val="005E4441"/>
    <w:rsid w:val="005E5216"/>
    <w:rsid w:val="005E5EA6"/>
    <w:rsid w:val="005E7481"/>
    <w:rsid w:val="005F47F7"/>
    <w:rsid w:val="005F59B4"/>
    <w:rsid w:val="005F6A07"/>
    <w:rsid w:val="005F6EFF"/>
    <w:rsid w:val="006004E5"/>
    <w:rsid w:val="006007DE"/>
    <w:rsid w:val="00600B92"/>
    <w:rsid w:val="00601638"/>
    <w:rsid w:val="0060247D"/>
    <w:rsid w:val="006046B5"/>
    <w:rsid w:val="00605257"/>
    <w:rsid w:val="0061015C"/>
    <w:rsid w:val="00610EF9"/>
    <w:rsid w:val="00612F4F"/>
    <w:rsid w:val="00613457"/>
    <w:rsid w:val="00614FC7"/>
    <w:rsid w:val="00615C6B"/>
    <w:rsid w:val="0061777C"/>
    <w:rsid w:val="00621DCE"/>
    <w:rsid w:val="00624226"/>
    <w:rsid w:val="006259A0"/>
    <w:rsid w:val="00625BDB"/>
    <w:rsid w:val="00625F53"/>
    <w:rsid w:val="00631195"/>
    <w:rsid w:val="006318CF"/>
    <w:rsid w:val="00631FBC"/>
    <w:rsid w:val="006325BB"/>
    <w:rsid w:val="00632D6D"/>
    <w:rsid w:val="00633625"/>
    <w:rsid w:val="00634F52"/>
    <w:rsid w:val="00640669"/>
    <w:rsid w:val="00642C3E"/>
    <w:rsid w:val="006460D7"/>
    <w:rsid w:val="00646837"/>
    <w:rsid w:val="006470D3"/>
    <w:rsid w:val="00647EDE"/>
    <w:rsid w:val="0065140C"/>
    <w:rsid w:val="00651C3A"/>
    <w:rsid w:val="00651CB2"/>
    <w:rsid w:val="006560CA"/>
    <w:rsid w:val="0066104A"/>
    <w:rsid w:val="00661D53"/>
    <w:rsid w:val="00662D00"/>
    <w:rsid w:val="00662FC0"/>
    <w:rsid w:val="00663DAD"/>
    <w:rsid w:val="00665649"/>
    <w:rsid w:val="00666935"/>
    <w:rsid w:val="00666F3A"/>
    <w:rsid w:val="006672AA"/>
    <w:rsid w:val="00674EDA"/>
    <w:rsid w:val="00675E20"/>
    <w:rsid w:val="0067657C"/>
    <w:rsid w:val="00676679"/>
    <w:rsid w:val="00676B44"/>
    <w:rsid w:val="006800E5"/>
    <w:rsid w:val="0068099B"/>
    <w:rsid w:val="00680E71"/>
    <w:rsid w:val="00683C89"/>
    <w:rsid w:val="00687798"/>
    <w:rsid w:val="00691D9A"/>
    <w:rsid w:val="0069267B"/>
    <w:rsid w:val="00692A7D"/>
    <w:rsid w:val="0069319F"/>
    <w:rsid w:val="0069463D"/>
    <w:rsid w:val="006A37E3"/>
    <w:rsid w:val="006A3F43"/>
    <w:rsid w:val="006A533F"/>
    <w:rsid w:val="006B2395"/>
    <w:rsid w:val="006B2904"/>
    <w:rsid w:val="006B3BCF"/>
    <w:rsid w:val="006B45A4"/>
    <w:rsid w:val="006B4C01"/>
    <w:rsid w:val="006B4CF9"/>
    <w:rsid w:val="006B5FD4"/>
    <w:rsid w:val="006B6310"/>
    <w:rsid w:val="006B6442"/>
    <w:rsid w:val="006B785B"/>
    <w:rsid w:val="006B7AC8"/>
    <w:rsid w:val="006C09B3"/>
    <w:rsid w:val="006C1736"/>
    <w:rsid w:val="006C377C"/>
    <w:rsid w:val="006C4798"/>
    <w:rsid w:val="006C5E57"/>
    <w:rsid w:val="006D3910"/>
    <w:rsid w:val="006D3BB3"/>
    <w:rsid w:val="006D550F"/>
    <w:rsid w:val="006D5787"/>
    <w:rsid w:val="006D6FDF"/>
    <w:rsid w:val="006D73D3"/>
    <w:rsid w:val="006D7558"/>
    <w:rsid w:val="006E1EC6"/>
    <w:rsid w:val="006E4DB4"/>
    <w:rsid w:val="006F3AD1"/>
    <w:rsid w:val="006F3FC8"/>
    <w:rsid w:val="006F411F"/>
    <w:rsid w:val="0070011E"/>
    <w:rsid w:val="00701CAB"/>
    <w:rsid w:val="00702959"/>
    <w:rsid w:val="007045B7"/>
    <w:rsid w:val="007073F5"/>
    <w:rsid w:val="0070747E"/>
    <w:rsid w:val="00707563"/>
    <w:rsid w:val="00713E86"/>
    <w:rsid w:val="00720D7B"/>
    <w:rsid w:val="00721C87"/>
    <w:rsid w:val="00722467"/>
    <w:rsid w:val="0072348C"/>
    <w:rsid w:val="00724A37"/>
    <w:rsid w:val="007258C1"/>
    <w:rsid w:val="00725F58"/>
    <w:rsid w:val="007303C3"/>
    <w:rsid w:val="00731FEB"/>
    <w:rsid w:val="0073742A"/>
    <w:rsid w:val="00740F26"/>
    <w:rsid w:val="00741C46"/>
    <w:rsid w:val="00741E23"/>
    <w:rsid w:val="007429BE"/>
    <w:rsid w:val="00743223"/>
    <w:rsid w:val="007452ED"/>
    <w:rsid w:val="00746D46"/>
    <w:rsid w:val="00746E01"/>
    <w:rsid w:val="00747EEA"/>
    <w:rsid w:val="007501BE"/>
    <w:rsid w:val="00751A80"/>
    <w:rsid w:val="007566E0"/>
    <w:rsid w:val="00757364"/>
    <w:rsid w:val="00757BDF"/>
    <w:rsid w:val="007609D0"/>
    <w:rsid w:val="00763E5D"/>
    <w:rsid w:val="00765C97"/>
    <w:rsid w:val="00767740"/>
    <w:rsid w:val="007702AC"/>
    <w:rsid w:val="00771B38"/>
    <w:rsid w:val="0077458D"/>
    <w:rsid w:val="00777EE6"/>
    <w:rsid w:val="00781CDF"/>
    <w:rsid w:val="0078272C"/>
    <w:rsid w:val="00782EEA"/>
    <w:rsid w:val="00786F8E"/>
    <w:rsid w:val="0079711B"/>
    <w:rsid w:val="00797C8E"/>
    <w:rsid w:val="007A09F9"/>
    <w:rsid w:val="007A75AC"/>
    <w:rsid w:val="007B06C3"/>
    <w:rsid w:val="007B077F"/>
    <w:rsid w:val="007B186E"/>
    <w:rsid w:val="007B2243"/>
    <w:rsid w:val="007B2C72"/>
    <w:rsid w:val="007C126C"/>
    <w:rsid w:val="007C1499"/>
    <w:rsid w:val="007C1C53"/>
    <w:rsid w:val="007C1EF8"/>
    <w:rsid w:val="007C2D10"/>
    <w:rsid w:val="007C487F"/>
    <w:rsid w:val="007C54C7"/>
    <w:rsid w:val="007C74BB"/>
    <w:rsid w:val="007C7AF7"/>
    <w:rsid w:val="007D2A2A"/>
    <w:rsid w:val="007D456E"/>
    <w:rsid w:val="007D6227"/>
    <w:rsid w:val="007D62D7"/>
    <w:rsid w:val="007D67DC"/>
    <w:rsid w:val="007D770A"/>
    <w:rsid w:val="007D7993"/>
    <w:rsid w:val="007E2CD4"/>
    <w:rsid w:val="007E36FC"/>
    <w:rsid w:val="007E4904"/>
    <w:rsid w:val="007E4CB5"/>
    <w:rsid w:val="007F066B"/>
    <w:rsid w:val="007F0F2D"/>
    <w:rsid w:val="007F187D"/>
    <w:rsid w:val="007F213A"/>
    <w:rsid w:val="007F47B9"/>
    <w:rsid w:val="007F72CF"/>
    <w:rsid w:val="007F75C4"/>
    <w:rsid w:val="007F7D69"/>
    <w:rsid w:val="008033C4"/>
    <w:rsid w:val="00806C88"/>
    <w:rsid w:val="00807E93"/>
    <w:rsid w:val="0081034E"/>
    <w:rsid w:val="00814F78"/>
    <w:rsid w:val="008157B3"/>
    <w:rsid w:val="0081670B"/>
    <w:rsid w:val="008221F2"/>
    <w:rsid w:val="00825985"/>
    <w:rsid w:val="00826802"/>
    <w:rsid w:val="00831F0B"/>
    <w:rsid w:val="008344F6"/>
    <w:rsid w:val="0083510F"/>
    <w:rsid w:val="00835F7C"/>
    <w:rsid w:val="008365C1"/>
    <w:rsid w:val="008408C5"/>
    <w:rsid w:val="00842699"/>
    <w:rsid w:val="008432A3"/>
    <w:rsid w:val="0085082A"/>
    <w:rsid w:val="00851209"/>
    <w:rsid w:val="008512BE"/>
    <w:rsid w:val="00852E11"/>
    <w:rsid w:val="008545F1"/>
    <w:rsid w:val="0085560F"/>
    <w:rsid w:val="0085722A"/>
    <w:rsid w:val="00857EA4"/>
    <w:rsid w:val="008616EC"/>
    <w:rsid w:val="00861803"/>
    <w:rsid w:val="0086216B"/>
    <w:rsid w:val="008624D8"/>
    <w:rsid w:val="00864B35"/>
    <w:rsid w:val="00865C24"/>
    <w:rsid w:val="00866BA0"/>
    <w:rsid w:val="00866FBE"/>
    <w:rsid w:val="008765C8"/>
    <w:rsid w:val="008821EE"/>
    <w:rsid w:val="00882481"/>
    <w:rsid w:val="00882943"/>
    <w:rsid w:val="008837AC"/>
    <w:rsid w:val="00885107"/>
    <w:rsid w:val="00890504"/>
    <w:rsid w:val="00891AB6"/>
    <w:rsid w:val="0089332C"/>
    <w:rsid w:val="00894AAF"/>
    <w:rsid w:val="008A01FA"/>
    <w:rsid w:val="008A2C51"/>
    <w:rsid w:val="008A587D"/>
    <w:rsid w:val="008A7DCC"/>
    <w:rsid w:val="008B2DB4"/>
    <w:rsid w:val="008B35CD"/>
    <w:rsid w:val="008B5FCC"/>
    <w:rsid w:val="008B7544"/>
    <w:rsid w:val="008C3374"/>
    <w:rsid w:val="008C3488"/>
    <w:rsid w:val="008C5486"/>
    <w:rsid w:val="008C5811"/>
    <w:rsid w:val="008C708B"/>
    <w:rsid w:val="008C73ED"/>
    <w:rsid w:val="008C78DE"/>
    <w:rsid w:val="008D007B"/>
    <w:rsid w:val="008D1661"/>
    <w:rsid w:val="008D47D9"/>
    <w:rsid w:val="008D6800"/>
    <w:rsid w:val="008D7343"/>
    <w:rsid w:val="008D79F7"/>
    <w:rsid w:val="008E225B"/>
    <w:rsid w:val="008E2CC9"/>
    <w:rsid w:val="008E4552"/>
    <w:rsid w:val="008E50EC"/>
    <w:rsid w:val="008E7031"/>
    <w:rsid w:val="008E77DE"/>
    <w:rsid w:val="008F07A3"/>
    <w:rsid w:val="008F0A89"/>
    <w:rsid w:val="008F2BB7"/>
    <w:rsid w:val="008F34DD"/>
    <w:rsid w:val="008F7386"/>
    <w:rsid w:val="008F7E24"/>
    <w:rsid w:val="009001B6"/>
    <w:rsid w:val="00900E1B"/>
    <w:rsid w:val="00900F76"/>
    <w:rsid w:val="009016DE"/>
    <w:rsid w:val="00901C3C"/>
    <w:rsid w:val="00903D6E"/>
    <w:rsid w:val="00905A48"/>
    <w:rsid w:val="0091140F"/>
    <w:rsid w:val="00911F1C"/>
    <w:rsid w:val="00912798"/>
    <w:rsid w:val="009147A8"/>
    <w:rsid w:val="009233EE"/>
    <w:rsid w:val="009234D2"/>
    <w:rsid w:val="00923CC1"/>
    <w:rsid w:val="00923E11"/>
    <w:rsid w:val="009272AD"/>
    <w:rsid w:val="009277DC"/>
    <w:rsid w:val="00932C99"/>
    <w:rsid w:val="00942513"/>
    <w:rsid w:val="00942C5B"/>
    <w:rsid w:val="00943E46"/>
    <w:rsid w:val="009460AA"/>
    <w:rsid w:val="009518EE"/>
    <w:rsid w:val="00951978"/>
    <w:rsid w:val="009523E7"/>
    <w:rsid w:val="00952C20"/>
    <w:rsid w:val="009534E0"/>
    <w:rsid w:val="009537C0"/>
    <w:rsid w:val="009546DD"/>
    <w:rsid w:val="00955D0F"/>
    <w:rsid w:val="00961A4A"/>
    <w:rsid w:val="00964913"/>
    <w:rsid w:val="00964D9F"/>
    <w:rsid w:val="00965044"/>
    <w:rsid w:val="009661DE"/>
    <w:rsid w:val="00967228"/>
    <w:rsid w:val="0096792F"/>
    <w:rsid w:val="00975476"/>
    <w:rsid w:val="009761A2"/>
    <w:rsid w:val="00980BFD"/>
    <w:rsid w:val="009831E7"/>
    <w:rsid w:val="00983C25"/>
    <w:rsid w:val="00985461"/>
    <w:rsid w:val="009856B7"/>
    <w:rsid w:val="00985C86"/>
    <w:rsid w:val="00986F65"/>
    <w:rsid w:val="0099192A"/>
    <w:rsid w:val="009951B4"/>
    <w:rsid w:val="009967F3"/>
    <w:rsid w:val="009A5113"/>
    <w:rsid w:val="009A5FC3"/>
    <w:rsid w:val="009A7A02"/>
    <w:rsid w:val="009B082A"/>
    <w:rsid w:val="009B2EC4"/>
    <w:rsid w:val="009B6F84"/>
    <w:rsid w:val="009B74B0"/>
    <w:rsid w:val="009C3CB1"/>
    <w:rsid w:val="009C46CD"/>
    <w:rsid w:val="009C485F"/>
    <w:rsid w:val="009C4D65"/>
    <w:rsid w:val="009C5EEA"/>
    <w:rsid w:val="009C6E5C"/>
    <w:rsid w:val="009D07B3"/>
    <w:rsid w:val="009D3906"/>
    <w:rsid w:val="009D4009"/>
    <w:rsid w:val="009D5941"/>
    <w:rsid w:val="009D6B46"/>
    <w:rsid w:val="009E0E65"/>
    <w:rsid w:val="009E1F0F"/>
    <w:rsid w:val="009E620F"/>
    <w:rsid w:val="009E7028"/>
    <w:rsid w:val="009E730B"/>
    <w:rsid w:val="009F0058"/>
    <w:rsid w:val="009F2CB8"/>
    <w:rsid w:val="009F4940"/>
    <w:rsid w:val="009F5BA1"/>
    <w:rsid w:val="00A01676"/>
    <w:rsid w:val="00A02A88"/>
    <w:rsid w:val="00A0562E"/>
    <w:rsid w:val="00A06085"/>
    <w:rsid w:val="00A0662A"/>
    <w:rsid w:val="00A07263"/>
    <w:rsid w:val="00A0726D"/>
    <w:rsid w:val="00A12808"/>
    <w:rsid w:val="00A151C7"/>
    <w:rsid w:val="00A20926"/>
    <w:rsid w:val="00A213DD"/>
    <w:rsid w:val="00A21560"/>
    <w:rsid w:val="00A24B5C"/>
    <w:rsid w:val="00A31984"/>
    <w:rsid w:val="00A32FBB"/>
    <w:rsid w:val="00A347FA"/>
    <w:rsid w:val="00A373BB"/>
    <w:rsid w:val="00A37C72"/>
    <w:rsid w:val="00A42014"/>
    <w:rsid w:val="00A428EE"/>
    <w:rsid w:val="00A43381"/>
    <w:rsid w:val="00A4478A"/>
    <w:rsid w:val="00A44852"/>
    <w:rsid w:val="00A4650A"/>
    <w:rsid w:val="00A50502"/>
    <w:rsid w:val="00A54F6A"/>
    <w:rsid w:val="00A56B60"/>
    <w:rsid w:val="00A57D04"/>
    <w:rsid w:val="00A60A26"/>
    <w:rsid w:val="00A61598"/>
    <w:rsid w:val="00A70486"/>
    <w:rsid w:val="00A707A2"/>
    <w:rsid w:val="00A70E94"/>
    <w:rsid w:val="00A80FCD"/>
    <w:rsid w:val="00A8179F"/>
    <w:rsid w:val="00A8264A"/>
    <w:rsid w:val="00A82D77"/>
    <w:rsid w:val="00A84A99"/>
    <w:rsid w:val="00A84F46"/>
    <w:rsid w:val="00A871F4"/>
    <w:rsid w:val="00A93ED0"/>
    <w:rsid w:val="00A96DCD"/>
    <w:rsid w:val="00A97615"/>
    <w:rsid w:val="00AA12B9"/>
    <w:rsid w:val="00AA70CF"/>
    <w:rsid w:val="00AB268F"/>
    <w:rsid w:val="00AB2A31"/>
    <w:rsid w:val="00AB3555"/>
    <w:rsid w:val="00AB7386"/>
    <w:rsid w:val="00AC069F"/>
    <w:rsid w:val="00AC1AEF"/>
    <w:rsid w:val="00AC1B2C"/>
    <w:rsid w:val="00AC3264"/>
    <w:rsid w:val="00AD1BBF"/>
    <w:rsid w:val="00AD2733"/>
    <w:rsid w:val="00AD61A3"/>
    <w:rsid w:val="00AE1BF1"/>
    <w:rsid w:val="00AE246C"/>
    <w:rsid w:val="00AE34AF"/>
    <w:rsid w:val="00AE770C"/>
    <w:rsid w:val="00AF0213"/>
    <w:rsid w:val="00AF0DD2"/>
    <w:rsid w:val="00AF3360"/>
    <w:rsid w:val="00AF3890"/>
    <w:rsid w:val="00AF517B"/>
    <w:rsid w:val="00AF5BD6"/>
    <w:rsid w:val="00AF6D44"/>
    <w:rsid w:val="00B015D3"/>
    <w:rsid w:val="00B0209D"/>
    <w:rsid w:val="00B07CEA"/>
    <w:rsid w:val="00B13048"/>
    <w:rsid w:val="00B13C4B"/>
    <w:rsid w:val="00B14AF9"/>
    <w:rsid w:val="00B16A0B"/>
    <w:rsid w:val="00B1716D"/>
    <w:rsid w:val="00B17A1D"/>
    <w:rsid w:val="00B207A0"/>
    <w:rsid w:val="00B2379C"/>
    <w:rsid w:val="00B25EB9"/>
    <w:rsid w:val="00B2724C"/>
    <w:rsid w:val="00B40752"/>
    <w:rsid w:val="00B4425F"/>
    <w:rsid w:val="00B45323"/>
    <w:rsid w:val="00B513B7"/>
    <w:rsid w:val="00B514DD"/>
    <w:rsid w:val="00B51F3F"/>
    <w:rsid w:val="00B52AF0"/>
    <w:rsid w:val="00B537F9"/>
    <w:rsid w:val="00B53FC5"/>
    <w:rsid w:val="00B54761"/>
    <w:rsid w:val="00B55969"/>
    <w:rsid w:val="00B561BD"/>
    <w:rsid w:val="00B56E03"/>
    <w:rsid w:val="00B6029E"/>
    <w:rsid w:val="00B61EDF"/>
    <w:rsid w:val="00B657FA"/>
    <w:rsid w:val="00B66BA3"/>
    <w:rsid w:val="00B7161F"/>
    <w:rsid w:val="00B72762"/>
    <w:rsid w:val="00B72AEC"/>
    <w:rsid w:val="00B73322"/>
    <w:rsid w:val="00B73C9F"/>
    <w:rsid w:val="00B757A6"/>
    <w:rsid w:val="00B75F07"/>
    <w:rsid w:val="00B76164"/>
    <w:rsid w:val="00B77ACC"/>
    <w:rsid w:val="00B8030A"/>
    <w:rsid w:val="00B80620"/>
    <w:rsid w:val="00B8080B"/>
    <w:rsid w:val="00B82223"/>
    <w:rsid w:val="00B86B0E"/>
    <w:rsid w:val="00B87BA5"/>
    <w:rsid w:val="00B87C39"/>
    <w:rsid w:val="00B925E7"/>
    <w:rsid w:val="00B93B16"/>
    <w:rsid w:val="00B94A97"/>
    <w:rsid w:val="00B94DBF"/>
    <w:rsid w:val="00B9562D"/>
    <w:rsid w:val="00B97271"/>
    <w:rsid w:val="00BA4665"/>
    <w:rsid w:val="00BB2215"/>
    <w:rsid w:val="00BB2FB2"/>
    <w:rsid w:val="00BB3304"/>
    <w:rsid w:val="00BB7528"/>
    <w:rsid w:val="00BD2B66"/>
    <w:rsid w:val="00BD310B"/>
    <w:rsid w:val="00BD3210"/>
    <w:rsid w:val="00BD3446"/>
    <w:rsid w:val="00BD3708"/>
    <w:rsid w:val="00BD569F"/>
    <w:rsid w:val="00BE1F1B"/>
    <w:rsid w:val="00BE45D1"/>
    <w:rsid w:val="00BE47B5"/>
    <w:rsid w:val="00BE4D71"/>
    <w:rsid w:val="00BE5934"/>
    <w:rsid w:val="00BE608D"/>
    <w:rsid w:val="00BE7840"/>
    <w:rsid w:val="00BF0ACD"/>
    <w:rsid w:val="00BF31F4"/>
    <w:rsid w:val="00C0018C"/>
    <w:rsid w:val="00C00EBC"/>
    <w:rsid w:val="00C02660"/>
    <w:rsid w:val="00C04223"/>
    <w:rsid w:val="00C04BC9"/>
    <w:rsid w:val="00C24524"/>
    <w:rsid w:val="00C25590"/>
    <w:rsid w:val="00C25E89"/>
    <w:rsid w:val="00C25FA6"/>
    <w:rsid w:val="00C270EC"/>
    <w:rsid w:val="00C326BB"/>
    <w:rsid w:val="00C349F2"/>
    <w:rsid w:val="00C36973"/>
    <w:rsid w:val="00C369CC"/>
    <w:rsid w:val="00C42ACA"/>
    <w:rsid w:val="00C538A9"/>
    <w:rsid w:val="00C53B5A"/>
    <w:rsid w:val="00C54F5A"/>
    <w:rsid w:val="00C5568B"/>
    <w:rsid w:val="00C563C6"/>
    <w:rsid w:val="00C5699E"/>
    <w:rsid w:val="00C569B4"/>
    <w:rsid w:val="00C56A3E"/>
    <w:rsid w:val="00C600B5"/>
    <w:rsid w:val="00C64B28"/>
    <w:rsid w:val="00C67A92"/>
    <w:rsid w:val="00C724FD"/>
    <w:rsid w:val="00C7497E"/>
    <w:rsid w:val="00C81B75"/>
    <w:rsid w:val="00C82B96"/>
    <w:rsid w:val="00C84560"/>
    <w:rsid w:val="00C84A0E"/>
    <w:rsid w:val="00C84F52"/>
    <w:rsid w:val="00C86679"/>
    <w:rsid w:val="00C8693C"/>
    <w:rsid w:val="00C937D6"/>
    <w:rsid w:val="00C950D1"/>
    <w:rsid w:val="00CA0160"/>
    <w:rsid w:val="00CA3A42"/>
    <w:rsid w:val="00CA489E"/>
    <w:rsid w:val="00CA52A2"/>
    <w:rsid w:val="00CB0279"/>
    <w:rsid w:val="00CB11B2"/>
    <w:rsid w:val="00CB49B2"/>
    <w:rsid w:val="00CB623D"/>
    <w:rsid w:val="00CB666B"/>
    <w:rsid w:val="00CB7355"/>
    <w:rsid w:val="00CC7B5C"/>
    <w:rsid w:val="00CC7BAC"/>
    <w:rsid w:val="00CC7F1D"/>
    <w:rsid w:val="00CD532F"/>
    <w:rsid w:val="00CD6BDB"/>
    <w:rsid w:val="00CE0239"/>
    <w:rsid w:val="00CE3CB3"/>
    <w:rsid w:val="00CE484B"/>
    <w:rsid w:val="00CF043B"/>
    <w:rsid w:val="00CF0DEE"/>
    <w:rsid w:val="00CF17B6"/>
    <w:rsid w:val="00CF19D9"/>
    <w:rsid w:val="00CF1AF7"/>
    <w:rsid w:val="00CF3DC9"/>
    <w:rsid w:val="00CF5B50"/>
    <w:rsid w:val="00CF5E8E"/>
    <w:rsid w:val="00CF677E"/>
    <w:rsid w:val="00CF6EDE"/>
    <w:rsid w:val="00D006AE"/>
    <w:rsid w:val="00D01CF0"/>
    <w:rsid w:val="00D01D27"/>
    <w:rsid w:val="00D01EFD"/>
    <w:rsid w:val="00D0442A"/>
    <w:rsid w:val="00D04521"/>
    <w:rsid w:val="00D07098"/>
    <w:rsid w:val="00D1224B"/>
    <w:rsid w:val="00D12D4C"/>
    <w:rsid w:val="00D16568"/>
    <w:rsid w:val="00D17683"/>
    <w:rsid w:val="00D24C8D"/>
    <w:rsid w:val="00D26369"/>
    <w:rsid w:val="00D3099C"/>
    <w:rsid w:val="00D31291"/>
    <w:rsid w:val="00D34BB2"/>
    <w:rsid w:val="00D41CE1"/>
    <w:rsid w:val="00D45694"/>
    <w:rsid w:val="00D570CE"/>
    <w:rsid w:val="00D5771E"/>
    <w:rsid w:val="00D61388"/>
    <w:rsid w:val="00D61A54"/>
    <w:rsid w:val="00D6397D"/>
    <w:rsid w:val="00D64DEA"/>
    <w:rsid w:val="00D70576"/>
    <w:rsid w:val="00D7168E"/>
    <w:rsid w:val="00D71E57"/>
    <w:rsid w:val="00D72D3C"/>
    <w:rsid w:val="00D72F93"/>
    <w:rsid w:val="00D75AA2"/>
    <w:rsid w:val="00D80893"/>
    <w:rsid w:val="00D82E6A"/>
    <w:rsid w:val="00D842A4"/>
    <w:rsid w:val="00D84854"/>
    <w:rsid w:val="00D848B4"/>
    <w:rsid w:val="00D84E74"/>
    <w:rsid w:val="00D87931"/>
    <w:rsid w:val="00D9018D"/>
    <w:rsid w:val="00D92CF1"/>
    <w:rsid w:val="00D92D38"/>
    <w:rsid w:val="00D93828"/>
    <w:rsid w:val="00D950F5"/>
    <w:rsid w:val="00D967EA"/>
    <w:rsid w:val="00DA0670"/>
    <w:rsid w:val="00DA2329"/>
    <w:rsid w:val="00DA232B"/>
    <w:rsid w:val="00DA2AD8"/>
    <w:rsid w:val="00DA2E00"/>
    <w:rsid w:val="00DA4752"/>
    <w:rsid w:val="00DA5EFD"/>
    <w:rsid w:val="00DA61F3"/>
    <w:rsid w:val="00DA6B93"/>
    <w:rsid w:val="00DA7728"/>
    <w:rsid w:val="00DB015B"/>
    <w:rsid w:val="00DB0F93"/>
    <w:rsid w:val="00DB17CB"/>
    <w:rsid w:val="00DB1A67"/>
    <w:rsid w:val="00DB3EB6"/>
    <w:rsid w:val="00DB5074"/>
    <w:rsid w:val="00DB5B21"/>
    <w:rsid w:val="00DB7695"/>
    <w:rsid w:val="00DC036B"/>
    <w:rsid w:val="00DC268B"/>
    <w:rsid w:val="00DC4275"/>
    <w:rsid w:val="00DC7981"/>
    <w:rsid w:val="00DD01D2"/>
    <w:rsid w:val="00DD15E5"/>
    <w:rsid w:val="00DD2EA4"/>
    <w:rsid w:val="00DD4FBF"/>
    <w:rsid w:val="00DD59B2"/>
    <w:rsid w:val="00DE069C"/>
    <w:rsid w:val="00DE1093"/>
    <w:rsid w:val="00DE4EFA"/>
    <w:rsid w:val="00DE5520"/>
    <w:rsid w:val="00DE563D"/>
    <w:rsid w:val="00DE5E2E"/>
    <w:rsid w:val="00DE6AAF"/>
    <w:rsid w:val="00DE772C"/>
    <w:rsid w:val="00DF312A"/>
    <w:rsid w:val="00DF442D"/>
    <w:rsid w:val="00E02BAB"/>
    <w:rsid w:val="00E04818"/>
    <w:rsid w:val="00E06442"/>
    <w:rsid w:val="00E06BCF"/>
    <w:rsid w:val="00E1001C"/>
    <w:rsid w:val="00E15123"/>
    <w:rsid w:val="00E206C0"/>
    <w:rsid w:val="00E23993"/>
    <w:rsid w:val="00E24CFE"/>
    <w:rsid w:val="00E257D6"/>
    <w:rsid w:val="00E25B8C"/>
    <w:rsid w:val="00E310E9"/>
    <w:rsid w:val="00E32389"/>
    <w:rsid w:val="00E35D25"/>
    <w:rsid w:val="00E364F4"/>
    <w:rsid w:val="00E37B1B"/>
    <w:rsid w:val="00E434C3"/>
    <w:rsid w:val="00E43944"/>
    <w:rsid w:val="00E44804"/>
    <w:rsid w:val="00E457C7"/>
    <w:rsid w:val="00E50C19"/>
    <w:rsid w:val="00E51D65"/>
    <w:rsid w:val="00E6177A"/>
    <w:rsid w:val="00E6200B"/>
    <w:rsid w:val="00E64036"/>
    <w:rsid w:val="00E65C85"/>
    <w:rsid w:val="00E66199"/>
    <w:rsid w:val="00E711C7"/>
    <w:rsid w:val="00E71E71"/>
    <w:rsid w:val="00E755EC"/>
    <w:rsid w:val="00E76022"/>
    <w:rsid w:val="00E7624D"/>
    <w:rsid w:val="00E81EA8"/>
    <w:rsid w:val="00E834E1"/>
    <w:rsid w:val="00E84B03"/>
    <w:rsid w:val="00E8604A"/>
    <w:rsid w:val="00E92824"/>
    <w:rsid w:val="00E934B1"/>
    <w:rsid w:val="00EA3D42"/>
    <w:rsid w:val="00EA44B8"/>
    <w:rsid w:val="00EA5222"/>
    <w:rsid w:val="00EA6B1B"/>
    <w:rsid w:val="00EB15AB"/>
    <w:rsid w:val="00EB1A47"/>
    <w:rsid w:val="00EB2321"/>
    <w:rsid w:val="00EB37F2"/>
    <w:rsid w:val="00EB4912"/>
    <w:rsid w:val="00EB545B"/>
    <w:rsid w:val="00EB5BC8"/>
    <w:rsid w:val="00EB606C"/>
    <w:rsid w:val="00EC04F1"/>
    <w:rsid w:val="00EC5214"/>
    <w:rsid w:val="00EC79AA"/>
    <w:rsid w:val="00ED0EC2"/>
    <w:rsid w:val="00ED61F5"/>
    <w:rsid w:val="00ED7323"/>
    <w:rsid w:val="00EE1F6C"/>
    <w:rsid w:val="00EE28F3"/>
    <w:rsid w:val="00EE4EAF"/>
    <w:rsid w:val="00EE50D1"/>
    <w:rsid w:val="00EE710B"/>
    <w:rsid w:val="00EE77FA"/>
    <w:rsid w:val="00EF1256"/>
    <w:rsid w:val="00EF5110"/>
    <w:rsid w:val="00F010E4"/>
    <w:rsid w:val="00F02171"/>
    <w:rsid w:val="00F02492"/>
    <w:rsid w:val="00F0334E"/>
    <w:rsid w:val="00F04B3C"/>
    <w:rsid w:val="00F0733D"/>
    <w:rsid w:val="00F075E1"/>
    <w:rsid w:val="00F10411"/>
    <w:rsid w:val="00F12ED7"/>
    <w:rsid w:val="00F13943"/>
    <w:rsid w:val="00F13B74"/>
    <w:rsid w:val="00F15882"/>
    <w:rsid w:val="00F1635E"/>
    <w:rsid w:val="00F171E0"/>
    <w:rsid w:val="00F17373"/>
    <w:rsid w:val="00F20BD3"/>
    <w:rsid w:val="00F23048"/>
    <w:rsid w:val="00F2526A"/>
    <w:rsid w:val="00F360BC"/>
    <w:rsid w:val="00F36252"/>
    <w:rsid w:val="00F373A5"/>
    <w:rsid w:val="00F377FC"/>
    <w:rsid w:val="00F37D16"/>
    <w:rsid w:val="00F37D65"/>
    <w:rsid w:val="00F37F88"/>
    <w:rsid w:val="00F4378E"/>
    <w:rsid w:val="00F4595F"/>
    <w:rsid w:val="00F45C9D"/>
    <w:rsid w:val="00F47559"/>
    <w:rsid w:val="00F50062"/>
    <w:rsid w:val="00F50E7D"/>
    <w:rsid w:val="00F559B0"/>
    <w:rsid w:val="00F56A2B"/>
    <w:rsid w:val="00F57FF7"/>
    <w:rsid w:val="00F60A1A"/>
    <w:rsid w:val="00F61176"/>
    <w:rsid w:val="00F64C7B"/>
    <w:rsid w:val="00F64D36"/>
    <w:rsid w:val="00F65B25"/>
    <w:rsid w:val="00F676CC"/>
    <w:rsid w:val="00F676DD"/>
    <w:rsid w:val="00F702DC"/>
    <w:rsid w:val="00F71667"/>
    <w:rsid w:val="00F722E6"/>
    <w:rsid w:val="00F73037"/>
    <w:rsid w:val="00F75A26"/>
    <w:rsid w:val="00F763E8"/>
    <w:rsid w:val="00F76706"/>
    <w:rsid w:val="00F768C8"/>
    <w:rsid w:val="00F8065A"/>
    <w:rsid w:val="00F80D94"/>
    <w:rsid w:val="00F81B8D"/>
    <w:rsid w:val="00F825B8"/>
    <w:rsid w:val="00F83FAD"/>
    <w:rsid w:val="00F8653A"/>
    <w:rsid w:val="00F86847"/>
    <w:rsid w:val="00F92349"/>
    <w:rsid w:val="00F952A0"/>
    <w:rsid w:val="00F96062"/>
    <w:rsid w:val="00FA2263"/>
    <w:rsid w:val="00FA2EAF"/>
    <w:rsid w:val="00FA3C7F"/>
    <w:rsid w:val="00FA75FE"/>
    <w:rsid w:val="00FB4402"/>
    <w:rsid w:val="00FB6001"/>
    <w:rsid w:val="00FB60FE"/>
    <w:rsid w:val="00FB74E2"/>
    <w:rsid w:val="00FC04C2"/>
    <w:rsid w:val="00FC4381"/>
    <w:rsid w:val="00FC4A16"/>
    <w:rsid w:val="00FC4D70"/>
    <w:rsid w:val="00FC556E"/>
    <w:rsid w:val="00FC71DC"/>
    <w:rsid w:val="00FC75CA"/>
    <w:rsid w:val="00FD2ED2"/>
    <w:rsid w:val="00FD5614"/>
    <w:rsid w:val="00FD5E78"/>
    <w:rsid w:val="00FD6718"/>
    <w:rsid w:val="00FE027D"/>
    <w:rsid w:val="00FE066C"/>
    <w:rsid w:val="00FE0BE1"/>
    <w:rsid w:val="00FE10BD"/>
    <w:rsid w:val="00FE1DE9"/>
    <w:rsid w:val="00FE36AF"/>
    <w:rsid w:val="00FE39C2"/>
    <w:rsid w:val="00FE3C32"/>
    <w:rsid w:val="00FE64AE"/>
    <w:rsid w:val="00FF49D6"/>
    <w:rsid w:val="00FF50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table" w:customStyle="1" w:styleId="AERtable-numbers1">
    <w:name w:val="AER table - numbers1"/>
    <w:basedOn w:val="TableNormal"/>
    <w:uiPriority w:val="99"/>
    <w:rsid w:val="004C0E60"/>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paragraph" w:customStyle="1" w:styleId="Bulletpoint">
    <w:name w:val="Bullet point"/>
    <w:basedOn w:val="ListBullet"/>
    <w:qFormat/>
    <w:rsid w:val="00614FC7"/>
    <w:pPr>
      <w:numPr>
        <w:numId w:val="0"/>
      </w:numPr>
      <w:ind w:left="340" w:hanging="34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table" w:customStyle="1" w:styleId="AERtable-numbers1">
    <w:name w:val="AER table - numbers1"/>
    <w:basedOn w:val="TableNormal"/>
    <w:uiPriority w:val="99"/>
    <w:rsid w:val="004C0E60"/>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paragraph" w:customStyle="1" w:styleId="Bulletpoint">
    <w:name w:val="Bullet point"/>
    <w:basedOn w:val="ListBullet"/>
    <w:qFormat/>
    <w:rsid w:val="00614FC7"/>
    <w:pPr>
      <w:numPr>
        <w:numId w:val="0"/>
      </w:numPr>
      <w:ind w:left="340" w:hanging="3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1634">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84359418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31769777">
      <w:bodyDiv w:val="1"/>
      <w:marLeft w:val="0"/>
      <w:marRight w:val="0"/>
      <w:marTop w:val="0"/>
      <w:marBottom w:val="0"/>
      <w:divBdr>
        <w:top w:val="none" w:sz="0" w:space="0" w:color="auto"/>
        <w:left w:val="none" w:sz="0" w:space="0" w:color="auto"/>
        <w:bottom w:val="none" w:sz="0" w:space="0" w:color="auto"/>
        <w:right w:val="none" w:sz="0" w:space="0" w:color="auto"/>
      </w:divBdr>
    </w:div>
    <w:div w:id="1293824454">
      <w:bodyDiv w:val="1"/>
      <w:marLeft w:val="0"/>
      <w:marRight w:val="0"/>
      <w:marTop w:val="0"/>
      <w:marBottom w:val="0"/>
      <w:divBdr>
        <w:top w:val="none" w:sz="0" w:space="0" w:color="auto"/>
        <w:left w:val="none" w:sz="0" w:space="0" w:color="auto"/>
        <w:bottom w:val="none" w:sz="0" w:space="0" w:color="auto"/>
        <w:right w:val="none" w:sz="0" w:space="0" w:color="auto"/>
      </w:divBdr>
    </w:div>
    <w:div w:id="1503398158">
      <w:bodyDiv w:val="1"/>
      <w:marLeft w:val="0"/>
      <w:marRight w:val="0"/>
      <w:marTop w:val="0"/>
      <w:marBottom w:val="0"/>
      <w:divBdr>
        <w:top w:val="none" w:sz="0" w:space="0" w:color="auto"/>
        <w:left w:val="none" w:sz="0" w:space="0" w:color="auto"/>
        <w:bottom w:val="none" w:sz="0" w:space="0" w:color="auto"/>
        <w:right w:val="none" w:sz="0" w:space="0" w:color="auto"/>
      </w:divBdr>
    </w:div>
    <w:div w:id="153376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B5E35E-74EF-47C8-8E82-7896F086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31873775</Template>
  <TotalTime>0</TotalTime>
  <Pages>60</Pages>
  <Words>16799</Words>
  <Characters>95755</Characters>
  <Application>Microsoft Office Word</Application>
  <DocSecurity>0</DocSecurity>
  <Lines>797</Lines>
  <Paragraphs>224</Paragraphs>
  <ScaleCrop>false</ScaleCrop>
  <Company/>
  <LinksUpToDate>false</LinksUpToDate>
  <CharactersWithSpaces>112330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2015-11-27T02:27:00Z</dcterms:created>
  <dcterms:modified xsi:type="dcterms:W3CDTF">2015-11-27T02:27:00Z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8563013</vt:lpwstr>
  </property>
</Properties>
</file>