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4C0E9C2" wp14:editId="47D471B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5A2A35">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43063C">
            <w:t>1</w:t>
          </w:r>
          <w:r w:rsidR="00DA4752">
            <w:t xml:space="preserve"> </w:t>
          </w:r>
          <w:r w:rsidR="00415F31">
            <w:rPr>
              <w:rFonts w:cs="Arial"/>
            </w:rPr>
            <w:t>–</w:t>
          </w:r>
          <w:r w:rsidR="00DA4752">
            <w:t xml:space="preserve"> </w:t>
          </w:r>
          <w:r w:rsidR="0043063C">
            <w:t>Services covered by the access arrang</w:t>
          </w:r>
          <w:r w:rsidR="001D0EB2">
            <w:t>e</w:t>
          </w:r>
          <w:bookmarkStart w:id="0" w:name="_GoBack"/>
          <w:bookmarkEnd w:id="0"/>
          <w:r w:rsidR="0043063C">
            <w:t>ment</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35742"/>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5A2A35">
        <w:t xml:space="preserve">the </w:t>
      </w:r>
      <w:r w:rsidR="00CF2C05">
        <w:t>access</w:t>
      </w:r>
      <w:r w:rsidR="00415F31">
        <w:t xml:space="preserve"> </w:t>
      </w:r>
      <w:r w:rsidR="00CF2C05">
        <w:t>arrangement for</w:t>
      </w:r>
      <w:r w:rsidR="00415F31">
        <w:t xml:space="preserve"> </w:t>
      </w:r>
      <w:r w:rsidR="005A2A35">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35743"/>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F02B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35742" w:history="1">
            <w:r w:rsidR="008F02B2" w:rsidRPr="00FB0E7C">
              <w:rPr>
                <w:rStyle w:val="Hyperlink"/>
              </w:rPr>
              <w:t>Note</w:t>
            </w:r>
            <w:r w:rsidR="008F02B2">
              <w:rPr>
                <w:webHidden/>
              </w:rPr>
              <w:tab/>
            </w:r>
            <w:r w:rsidR="008F02B2">
              <w:rPr>
                <w:webHidden/>
              </w:rPr>
              <w:fldChar w:fldCharType="begin"/>
            </w:r>
            <w:r w:rsidR="008F02B2">
              <w:rPr>
                <w:webHidden/>
              </w:rPr>
              <w:instrText xml:space="preserve"> PAGEREF _Toc436035742 \h </w:instrText>
            </w:r>
            <w:r w:rsidR="008F02B2">
              <w:rPr>
                <w:webHidden/>
              </w:rPr>
            </w:r>
            <w:r w:rsidR="008F02B2">
              <w:rPr>
                <w:webHidden/>
              </w:rPr>
              <w:fldChar w:fldCharType="separate"/>
            </w:r>
            <w:r w:rsidR="008F02B2">
              <w:rPr>
                <w:webHidden/>
              </w:rPr>
              <w:t>1-2</w:t>
            </w:r>
            <w:r w:rsidR="008F02B2">
              <w:rPr>
                <w:webHidden/>
              </w:rPr>
              <w:fldChar w:fldCharType="end"/>
            </w:r>
          </w:hyperlink>
        </w:p>
        <w:p w:rsidR="008F02B2" w:rsidRDefault="00E16CC3">
          <w:pPr>
            <w:pStyle w:val="TOC1"/>
            <w:rPr>
              <w:rFonts w:asciiTheme="minorHAnsi" w:eastAsiaTheme="minorEastAsia" w:hAnsiTheme="minorHAnsi"/>
              <w:b w:val="0"/>
              <w:color w:val="auto"/>
              <w:sz w:val="22"/>
              <w:lang w:val="en-AU" w:eastAsia="en-AU"/>
            </w:rPr>
          </w:pPr>
          <w:hyperlink w:anchor="_Toc436035743" w:history="1">
            <w:r w:rsidR="008F02B2" w:rsidRPr="00FB0E7C">
              <w:rPr>
                <w:rStyle w:val="Hyperlink"/>
              </w:rPr>
              <w:t>Contents</w:t>
            </w:r>
            <w:r w:rsidR="008F02B2">
              <w:rPr>
                <w:webHidden/>
              </w:rPr>
              <w:tab/>
            </w:r>
            <w:r w:rsidR="008F02B2">
              <w:rPr>
                <w:webHidden/>
              </w:rPr>
              <w:fldChar w:fldCharType="begin"/>
            </w:r>
            <w:r w:rsidR="008F02B2">
              <w:rPr>
                <w:webHidden/>
              </w:rPr>
              <w:instrText xml:space="preserve"> PAGEREF _Toc436035743 \h </w:instrText>
            </w:r>
            <w:r w:rsidR="008F02B2">
              <w:rPr>
                <w:webHidden/>
              </w:rPr>
            </w:r>
            <w:r w:rsidR="008F02B2">
              <w:rPr>
                <w:webHidden/>
              </w:rPr>
              <w:fldChar w:fldCharType="separate"/>
            </w:r>
            <w:r w:rsidR="008F02B2">
              <w:rPr>
                <w:webHidden/>
              </w:rPr>
              <w:t>1-3</w:t>
            </w:r>
            <w:r w:rsidR="008F02B2">
              <w:rPr>
                <w:webHidden/>
              </w:rPr>
              <w:fldChar w:fldCharType="end"/>
            </w:r>
          </w:hyperlink>
        </w:p>
        <w:p w:rsidR="008F02B2" w:rsidRDefault="00E16CC3">
          <w:pPr>
            <w:pStyle w:val="TOC1"/>
            <w:rPr>
              <w:rFonts w:asciiTheme="minorHAnsi" w:eastAsiaTheme="minorEastAsia" w:hAnsiTheme="minorHAnsi"/>
              <w:b w:val="0"/>
              <w:color w:val="auto"/>
              <w:sz w:val="22"/>
              <w:lang w:val="en-AU" w:eastAsia="en-AU"/>
            </w:rPr>
          </w:pPr>
          <w:hyperlink w:anchor="_Toc436035744" w:history="1">
            <w:r w:rsidR="008F02B2" w:rsidRPr="00FB0E7C">
              <w:rPr>
                <w:rStyle w:val="Hyperlink"/>
              </w:rPr>
              <w:t>Shortened forms</w:t>
            </w:r>
            <w:r w:rsidR="008F02B2">
              <w:rPr>
                <w:webHidden/>
              </w:rPr>
              <w:tab/>
            </w:r>
            <w:r w:rsidR="008F02B2">
              <w:rPr>
                <w:webHidden/>
              </w:rPr>
              <w:fldChar w:fldCharType="begin"/>
            </w:r>
            <w:r w:rsidR="008F02B2">
              <w:rPr>
                <w:webHidden/>
              </w:rPr>
              <w:instrText xml:space="preserve"> PAGEREF _Toc436035744 \h </w:instrText>
            </w:r>
            <w:r w:rsidR="008F02B2">
              <w:rPr>
                <w:webHidden/>
              </w:rPr>
            </w:r>
            <w:r w:rsidR="008F02B2">
              <w:rPr>
                <w:webHidden/>
              </w:rPr>
              <w:fldChar w:fldCharType="separate"/>
            </w:r>
            <w:r w:rsidR="008F02B2">
              <w:rPr>
                <w:webHidden/>
              </w:rPr>
              <w:t>1-4</w:t>
            </w:r>
            <w:r w:rsidR="008F02B2">
              <w:rPr>
                <w:webHidden/>
              </w:rPr>
              <w:fldChar w:fldCharType="end"/>
            </w:r>
          </w:hyperlink>
        </w:p>
        <w:p w:rsidR="008F02B2" w:rsidRDefault="00E16CC3">
          <w:pPr>
            <w:pStyle w:val="TOC1"/>
            <w:rPr>
              <w:rFonts w:asciiTheme="minorHAnsi" w:eastAsiaTheme="minorEastAsia" w:hAnsiTheme="minorHAnsi"/>
              <w:b w:val="0"/>
              <w:color w:val="auto"/>
              <w:sz w:val="22"/>
              <w:lang w:val="en-AU" w:eastAsia="en-AU"/>
            </w:rPr>
          </w:pPr>
          <w:hyperlink w:anchor="_Toc436035745" w:history="1">
            <w:r w:rsidR="008F02B2" w:rsidRPr="00FB0E7C">
              <w:rPr>
                <w:rStyle w:val="Hyperlink"/>
              </w:rPr>
              <w:t>1</w:t>
            </w:r>
            <w:r w:rsidR="008F02B2">
              <w:rPr>
                <w:rFonts w:asciiTheme="minorHAnsi" w:eastAsiaTheme="minorEastAsia" w:hAnsiTheme="minorHAnsi"/>
                <w:b w:val="0"/>
                <w:color w:val="auto"/>
                <w:sz w:val="22"/>
                <w:lang w:val="en-AU" w:eastAsia="en-AU"/>
              </w:rPr>
              <w:tab/>
            </w:r>
            <w:r w:rsidR="008F02B2" w:rsidRPr="00FB0E7C">
              <w:rPr>
                <w:rStyle w:val="Hyperlink"/>
              </w:rPr>
              <w:t>Services covered by the access arrangement</w:t>
            </w:r>
            <w:r w:rsidR="008F02B2">
              <w:rPr>
                <w:webHidden/>
              </w:rPr>
              <w:tab/>
            </w:r>
            <w:r w:rsidR="008F02B2">
              <w:rPr>
                <w:webHidden/>
              </w:rPr>
              <w:fldChar w:fldCharType="begin"/>
            </w:r>
            <w:r w:rsidR="008F02B2">
              <w:rPr>
                <w:webHidden/>
              </w:rPr>
              <w:instrText xml:space="preserve"> PAGEREF _Toc436035745 \h </w:instrText>
            </w:r>
            <w:r w:rsidR="008F02B2">
              <w:rPr>
                <w:webHidden/>
              </w:rPr>
            </w:r>
            <w:r w:rsidR="008F02B2">
              <w:rPr>
                <w:webHidden/>
              </w:rPr>
              <w:fldChar w:fldCharType="separate"/>
            </w:r>
            <w:r w:rsidR="008F02B2">
              <w:rPr>
                <w:webHidden/>
              </w:rPr>
              <w:t>1-6</w:t>
            </w:r>
            <w:r w:rsidR="008F02B2">
              <w:rPr>
                <w:webHidden/>
              </w:rPr>
              <w:fldChar w:fldCharType="end"/>
            </w:r>
          </w:hyperlink>
        </w:p>
        <w:p w:rsidR="008F02B2" w:rsidRDefault="00E16CC3">
          <w:pPr>
            <w:pStyle w:val="TOC2"/>
            <w:rPr>
              <w:rFonts w:asciiTheme="minorHAnsi" w:eastAsiaTheme="minorEastAsia" w:hAnsiTheme="minorHAnsi"/>
              <w:b w:val="0"/>
              <w:color w:val="auto"/>
              <w:sz w:val="22"/>
              <w:lang w:eastAsia="en-AU"/>
            </w:rPr>
          </w:pPr>
          <w:hyperlink w:anchor="_Toc436035746" w:history="1">
            <w:r w:rsidR="008F02B2" w:rsidRPr="00FB0E7C">
              <w:rPr>
                <w:rStyle w:val="Hyperlink"/>
              </w:rPr>
              <w:t>1.1</w:t>
            </w:r>
            <w:r w:rsidR="008F02B2">
              <w:rPr>
                <w:rFonts w:asciiTheme="minorHAnsi" w:eastAsiaTheme="minorEastAsia" w:hAnsiTheme="minorHAnsi"/>
                <w:b w:val="0"/>
                <w:color w:val="auto"/>
                <w:sz w:val="22"/>
                <w:lang w:eastAsia="en-AU"/>
              </w:rPr>
              <w:tab/>
            </w:r>
            <w:r w:rsidR="008F02B2" w:rsidRPr="00FB0E7C">
              <w:rPr>
                <w:rStyle w:val="Hyperlink"/>
              </w:rPr>
              <w:t>Draft decision</w:t>
            </w:r>
            <w:r w:rsidR="008F02B2">
              <w:rPr>
                <w:webHidden/>
              </w:rPr>
              <w:tab/>
            </w:r>
            <w:r w:rsidR="008F02B2">
              <w:rPr>
                <w:webHidden/>
              </w:rPr>
              <w:fldChar w:fldCharType="begin"/>
            </w:r>
            <w:r w:rsidR="008F02B2">
              <w:rPr>
                <w:webHidden/>
              </w:rPr>
              <w:instrText xml:space="preserve"> PAGEREF _Toc436035746 \h </w:instrText>
            </w:r>
            <w:r w:rsidR="008F02B2">
              <w:rPr>
                <w:webHidden/>
              </w:rPr>
            </w:r>
            <w:r w:rsidR="008F02B2">
              <w:rPr>
                <w:webHidden/>
              </w:rPr>
              <w:fldChar w:fldCharType="separate"/>
            </w:r>
            <w:r w:rsidR="008F02B2">
              <w:rPr>
                <w:webHidden/>
              </w:rPr>
              <w:t>1-6</w:t>
            </w:r>
            <w:r w:rsidR="008F02B2">
              <w:rPr>
                <w:webHidden/>
              </w:rPr>
              <w:fldChar w:fldCharType="end"/>
            </w:r>
          </w:hyperlink>
        </w:p>
        <w:p w:rsidR="008F02B2" w:rsidRDefault="00E16CC3">
          <w:pPr>
            <w:pStyle w:val="TOC2"/>
            <w:rPr>
              <w:rFonts w:asciiTheme="minorHAnsi" w:eastAsiaTheme="minorEastAsia" w:hAnsiTheme="minorHAnsi"/>
              <w:b w:val="0"/>
              <w:color w:val="auto"/>
              <w:sz w:val="22"/>
              <w:lang w:eastAsia="en-AU"/>
            </w:rPr>
          </w:pPr>
          <w:hyperlink w:anchor="_Toc436035747" w:history="1">
            <w:r w:rsidR="008F02B2" w:rsidRPr="00FB0E7C">
              <w:rPr>
                <w:rStyle w:val="Hyperlink"/>
              </w:rPr>
              <w:t>1.2</w:t>
            </w:r>
            <w:r w:rsidR="008F02B2">
              <w:rPr>
                <w:rFonts w:asciiTheme="minorHAnsi" w:eastAsiaTheme="minorEastAsia" w:hAnsiTheme="minorHAnsi"/>
                <w:b w:val="0"/>
                <w:color w:val="auto"/>
                <w:sz w:val="22"/>
                <w:lang w:eastAsia="en-AU"/>
              </w:rPr>
              <w:tab/>
            </w:r>
            <w:r w:rsidR="008F02B2" w:rsidRPr="00FB0E7C">
              <w:rPr>
                <w:rStyle w:val="Hyperlink"/>
              </w:rPr>
              <w:t>APT Pipelines (NT) Pty Limited’s proposal</w:t>
            </w:r>
            <w:r w:rsidR="008F02B2">
              <w:rPr>
                <w:webHidden/>
              </w:rPr>
              <w:tab/>
            </w:r>
            <w:r w:rsidR="008F02B2">
              <w:rPr>
                <w:webHidden/>
              </w:rPr>
              <w:fldChar w:fldCharType="begin"/>
            </w:r>
            <w:r w:rsidR="008F02B2">
              <w:rPr>
                <w:webHidden/>
              </w:rPr>
              <w:instrText xml:space="preserve"> PAGEREF _Toc436035747 \h </w:instrText>
            </w:r>
            <w:r w:rsidR="008F02B2">
              <w:rPr>
                <w:webHidden/>
              </w:rPr>
            </w:r>
            <w:r w:rsidR="008F02B2">
              <w:rPr>
                <w:webHidden/>
              </w:rPr>
              <w:fldChar w:fldCharType="separate"/>
            </w:r>
            <w:r w:rsidR="008F02B2">
              <w:rPr>
                <w:webHidden/>
              </w:rPr>
              <w:t>1-6</w:t>
            </w:r>
            <w:r w:rsidR="008F02B2">
              <w:rPr>
                <w:webHidden/>
              </w:rPr>
              <w:fldChar w:fldCharType="end"/>
            </w:r>
          </w:hyperlink>
        </w:p>
        <w:p w:rsidR="008F02B2" w:rsidRDefault="00E16CC3">
          <w:pPr>
            <w:pStyle w:val="TOC2"/>
            <w:rPr>
              <w:rFonts w:asciiTheme="minorHAnsi" w:eastAsiaTheme="minorEastAsia" w:hAnsiTheme="minorHAnsi"/>
              <w:b w:val="0"/>
              <w:color w:val="auto"/>
              <w:sz w:val="22"/>
              <w:lang w:eastAsia="en-AU"/>
            </w:rPr>
          </w:pPr>
          <w:hyperlink w:anchor="_Toc436035748" w:history="1">
            <w:r w:rsidR="008F02B2" w:rsidRPr="00FB0E7C">
              <w:rPr>
                <w:rStyle w:val="Hyperlink"/>
              </w:rPr>
              <w:t>1.3</w:t>
            </w:r>
            <w:r w:rsidR="008F02B2">
              <w:rPr>
                <w:rFonts w:asciiTheme="minorHAnsi" w:eastAsiaTheme="minorEastAsia" w:hAnsiTheme="minorHAnsi"/>
                <w:b w:val="0"/>
                <w:color w:val="auto"/>
                <w:sz w:val="22"/>
                <w:lang w:eastAsia="en-AU"/>
              </w:rPr>
              <w:tab/>
            </w:r>
            <w:r w:rsidR="008F02B2" w:rsidRPr="00FB0E7C">
              <w:rPr>
                <w:rStyle w:val="Hyperlink"/>
              </w:rPr>
              <w:t>AER’s assessment approach</w:t>
            </w:r>
            <w:r w:rsidR="008F02B2">
              <w:rPr>
                <w:webHidden/>
              </w:rPr>
              <w:tab/>
            </w:r>
            <w:r w:rsidR="008F02B2">
              <w:rPr>
                <w:webHidden/>
              </w:rPr>
              <w:fldChar w:fldCharType="begin"/>
            </w:r>
            <w:r w:rsidR="008F02B2">
              <w:rPr>
                <w:webHidden/>
              </w:rPr>
              <w:instrText xml:space="preserve"> PAGEREF _Toc436035748 \h </w:instrText>
            </w:r>
            <w:r w:rsidR="008F02B2">
              <w:rPr>
                <w:webHidden/>
              </w:rPr>
            </w:r>
            <w:r w:rsidR="008F02B2">
              <w:rPr>
                <w:webHidden/>
              </w:rPr>
              <w:fldChar w:fldCharType="separate"/>
            </w:r>
            <w:r w:rsidR="008F02B2">
              <w:rPr>
                <w:webHidden/>
              </w:rPr>
              <w:t>1-6</w:t>
            </w:r>
            <w:r w:rsidR="008F02B2">
              <w:rPr>
                <w:webHidden/>
              </w:rPr>
              <w:fldChar w:fldCharType="end"/>
            </w:r>
          </w:hyperlink>
        </w:p>
        <w:p w:rsidR="008F02B2" w:rsidRDefault="00E16CC3">
          <w:pPr>
            <w:pStyle w:val="TOC2"/>
            <w:rPr>
              <w:rFonts w:asciiTheme="minorHAnsi" w:eastAsiaTheme="minorEastAsia" w:hAnsiTheme="minorHAnsi"/>
              <w:b w:val="0"/>
              <w:color w:val="auto"/>
              <w:sz w:val="22"/>
              <w:lang w:eastAsia="en-AU"/>
            </w:rPr>
          </w:pPr>
          <w:hyperlink w:anchor="_Toc436035749" w:history="1">
            <w:r w:rsidR="008F02B2" w:rsidRPr="00FB0E7C">
              <w:rPr>
                <w:rStyle w:val="Hyperlink"/>
              </w:rPr>
              <w:t>1.4</w:t>
            </w:r>
            <w:r w:rsidR="008F02B2">
              <w:rPr>
                <w:rFonts w:asciiTheme="minorHAnsi" w:eastAsiaTheme="minorEastAsia" w:hAnsiTheme="minorHAnsi"/>
                <w:b w:val="0"/>
                <w:color w:val="auto"/>
                <w:sz w:val="22"/>
                <w:lang w:eastAsia="en-AU"/>
              </w:rPr>
              <w:tab/>
            </w:r>
            <w:r w:rsidR="008F02B2" w:rsidRPr="00FB0E7C">
              <w:rPr>
                <w:rStyle w:val="Hyperlink"/>
              </w:rPr>
              <w:t>Reasons for draft decision</w:t>
            </w:r>
            <w:r w:rsidR="008F02B2">
              <w:rPr>
                <w:webHidden/>
              </w:rPr>
              <w:tab/>
            </w:r>
            <w:r w:rsidR="008F02B2">
              <w:rPr>
                <w:webHidden/>
              </w:rPr>
              <w:fldChar w:fldCharType="begin"/>
            </w:r>
            <w:r w:rsidR="008F02B2">
              <w:rPr>
                <w:webHidden/>
              </w:rPr>
              <w:instrText xml:space="preserve"> PAGEREF _Toc436035749 \h </w:instrText>
            </w:r>
            <w:r w:rsidR="008F02B2">
              <w:rPr>
                <w:webHidden/>
              </w:rPr>
            </w:r>
            <w:r w:rsidR="008F02B2">
              <w:rPr>
                <w:webHidden/>
              </w:rPr>
              <w:fldChar w:fldCharType="separate"/>
            </w:r>
            <w:r w:rsidR="008F02B2">
              <w:rPr>
                <w:webHidden/>
              </w:rPr>
              <w:t>1-7</w:t>
            </w:r>
            <w:r w:rsidR="008F02B2">
              <w:rPr>
                <w:webHidden/>
              </w:rPr>
              <w:fldChar w:fldCharType="end"/>
            </w:r>
          </w:hyperlink>
        </w:p>
        <w:p w:rsidR="008F02B2" w:rsidRDefault="00E16CC3">
          <w:pPr>
            <w:pStyle w:val="TOC3"/>
            <w:rPr>
              <w:rFonts w:asciiTheme="minorHAnsi" w:eastAsiaTheme="minorEastAsia" w:hAnsiTheme="minorHAnsi"/>
              <w:lang w:eastAsia="en-AU"/>
            </w:rPr>
          </w:pPr>
          <w:hyperlink w:anchor="_Toc436035750" w:history="1">
            <w:r w:rsidR="008F02B2" w:rsidRPr="00FB0E7C">
              <w:rPr>
                <w:rStyle w:val="Hyperlink"/>
              </w:rPr>
              <w:t>1.4.1</w:t>
            </w:r>
            <w:r w:rsidR="008F02B2">
              <w:rPr>
                <w:rFonts w:asciiTheme="minorHAnsi" w:eastAsiaTheme="minorEastAsia" w:hAnsiTheme="minorHAnsi"/>
                <w:lang w:eastAsia="en-AU"/>
              </w:rPr>
              <w:tab/>
            </w:r>
            <w:r w:rsidR="008F02B2" w:rsidRPr="00FB0E7C">
              <w:rPr>
                <w:rStyle w:val="Hyperlink"/>
              </w:rPr>
              <w:t>Reference services</w:t>
            </w:r>
            <w:r w:rsidR="008F02B2">
              <w:rPr>
                <w:webHidden/>
              </w:rPr>
              <w:tab/>
            </w:r>
            <w:r w:rsidR="008F02B2">
              <w:rPr>
                <w:webHidden/>
              </w:rPr>
              <w:fldChar w:fldCharType="begin"/>
            </w:r>
            <w:r w:rsidR="008F02B2">
              <w:rPr>
                <w:webHidden/>
              </w:rPr>
              <w:instrText xml:space="preserve"> PAGEREF _Toc436035750 \h </w:instrText>
            </w:r>
            <w:r w:rsidR="008F02B2">
              <w:rPr>
                <w:webHidden/>
              </w:rPr>
            </w:r>
            <w:r w:rsidR="008F02B2">
              <w:rPr>
                <w:webHidden/>
              </w:rPr>
              <w:fldChar w:fldCharType="separate"/>
            </w:r>
            <w:r w:rsidR="008F02B2">
              <w:rPr>
                <w:webHidden/>
              </w:rPr>
              <w:t>1-8</w:t>
            </w:r>
            <w:r w:rsidR="008F02B2">
              <w:rPr>
                <w:webHidden/>
              </w:rPr>
              <w:fldChar w:fldCharType="end"/>
            </w:r>
          </w:hyperlink>
        </w:p>
        <w:p w:rsidR="008F02B2" w:rsidRDefault="00E16CC3">
          <w:pPr>
            <w:pStyle w:val="TOC3"/>
            <w:rPr>
              <w:rFonts w:asciiTheme="minorHAnsi" w:eastAsiaTheme="minorEastAsia" w:hAnsiTheme="minorHAnsi"/>
              <w:lang w:eastAsia="en-AU"/>
            </w:rPr>
          </w:pPr>
          <w:hyperlink w:anchor="_Toc436035751" w:history="1">
            <w:r w:rsidR="008F02B2" w:rsidRPr="00FB0E7C">
              <w:rPr>
                <w:rStyle w:val="Hyperlink"/>
              </w:rPr>
              <w:t>1.4.2</w:t>
            </w:r>
            <w:r w:rsidR="008F02B2">
              <w:rPr>
                <w:rFonts w:asciiTheme="minorHAnsi" w:eastAsiaTheme="minorEastAsia" w:hAnsiTheme="minorHAnsi"/>
                <w:lang w:eastAsia="en-AU"/>
              </w:rPr>
              <w:tab/>
            </w:r>
            <w:r w:rsidR="008F02B2" w:rsidRPr="00FB0E7C">
              <w:rPr>
                <w:rStyle w:val="Hyperlink"/>
              </w:rPr>
              <w:t>Non–reference services</w:t>
            </w:r>
            <w:r w:rsidR="008F02B2">
              <w:rPr>
                <w:webHidden/>
              </w:rPr>
              <w:tab/>
            </w:r>
            <w:r w:rsidR="008F02B2">
              <w:rPr>
                <w:webHidden/>
              </w:rPr>
              <w:fldChar w:fldCharType="begin"/>
            </w:r>
            <w:r w:rsidR="008F02B2">
              <w:rPr>
                <w:webHidden/>
              </w:rPr>
              <w:instrText xml:space="preserve"> PAGEREF _Toc436035751 \h </w:instrText>
            </w:r>
            <w:r w:rsidR="008F02B2">
              <w:rPr>
                <w:webHidden/>
              </w:rPr>
            </w:r>
            <w:r w:rsidR="008F02B2">
              <w:rPr>
                <w:webHidden/>
              </w:rPr>
              <w:fldChar w:fldCharType="separate"/>
            </w:r>
            <w:r w:rsidR="008F02B2">
              <w:rPr>
                <w:webHidden/>
              </w:rPr>
              <w:t>1-8</w:t>
            </w:r>
            <w:r w:rsidR="008F02B2">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35744"/>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135205"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Shortened form</w:t>
            </w:r>
          </w:p>
        </w:tc>
        <w:tc>
          <w:tcPr>
            <w:tcW w:w="5041" w:type="dxa"/>
          </w:tcPr>
          <w:p w:rsidR="00135205" w:rsidRDefault="00135205" w:rsidP="00135205">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AA</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Access Arrangement</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AAI</w:t>
            </w:r>
          </w:p>
        </w:tc>
        <w:tc>
          <w:tcPr>
            <w:tcW w:w="5041" w:type="dxa"/>
          </w:tcPr>
          <w:p w:rsidR="00135205" w:rsidRPr="00135205" w:rsidRDefault="00135205" w:rsidP="00135205">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AER</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AGP</w:t>
            </w:r>
          </w:p>
        </w:tc>
        <w:tc>
          <w:tcPr>
            <w:tcW w:w="5041" w:type="dxa"/>
          </w:tcPr>
          <w:p w:rsidR="00135205" w:rsidRPr="00135205" w:rsidRDefault="00135205" w:rsidP="00135205">
            <w:pPr>
              <w:cnfStyle w:val="000000010000" w:firstRow="0" w:lastRow="0" w:firstColumn="0" w:lastColumn="0" w:oddVBand="0" w:evenVBand="0" w:oddHBand="0" w:evenHBand="1" w:firstRowFirstColumn="0" w:firstRowLastColumn="0" w:lastRowFirstColumn="0" w:lastRowLastColumn="0"/>
            </w:pPr>
            <w:r>
              <w:t>Amadeus Gas Pipeline</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ATO</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Australian Tax Office</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capex</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CAPM</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CESS</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CPI</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DRP</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EBSS</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ERP</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Expenditure Guideline</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gamma</w:t>
            </w:r>
          </w:p>
        </w:tc>
        <w:tc>
          <w:tcPr>
            <w:tcW w:w="5041" w:type="dxa"/>
          </w:tcPr>
          <w:p w:rsidR="00135205" w:rsidRPr="00135205" w:rsidRDefault="00135205" w:rsidP="00135205">
            <w:pPr>
              <w:cnfStyle w:val="000000010000" w:firstRow="0" w:lastRow="0" w:firstColumn="0" w:lastColumn="0" w:oddVBand="0" w:evenVBand="0" w:oddHBand="0" w:evenHBand="1" w:firstRowFirstColumn="0" w:firstRowLastColumn="0" w:lastRowFirstColumn="0" w:lastRowLastColumn="0"/>
            </w:pPr>
            <w:r>
              <w:t>Value of Imputation Credits</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GSL</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Guaranteed Service Level</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MRP</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135205" w:rsidRPr="00F47AAE"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Pr="00F47AAE" w:rsidRDefault="00135205" w:rsidP="00135205">
            <w:pPr>
              <w:numPr>
                <w:ilvl w:val="0"/>
                <w:numId w:val="24"/>
              </w:numPr>
            </w:pPr>
            <w:r w:rsidRPr="00F47AAE">
              <w:t>NEGI</w:t>
            </w:r>
          </w:p>
        </w:tc>
        <w:tc>
          <w:tcPr>
            <w:tcW w:w="5041" w:type="dxa"/>
          </w:tcPr>
          <w:p w:rsidR="00135205" w:rsidRPr="00F47AAE"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rsidRPr="00F47AAE">
              <w:t>north eastern gas interconnector</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NGL</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NGO</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NGR</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NPV</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net present value</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opex</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PFP</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partial factor productivity</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PPI</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PTRM</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RBA</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RFM</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RIN</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RPP</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SLCAPM</w:t>
            </w:r>
          </w:p>
        </w:tc>
        <w:tc>
          <w:tcPr>
            <w:tcW w:w="5041" w:type="dxa"/>
          </w:tcPr>
          <w:p w:rsidR="00135205" w:rsidRDefault="00135205" w:rsidP="00135205">
            <w:pPr>
              <w:numPr>
                <w:ilvl w:val="0"/>
                <w:numId w:val="24"/>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TAB</w:t>
            </w:r>
          </w:p>
        </w:tc>
        <w:tc>
          <w:tcPr>
            <w:tcW w:w="5041" w:type="dxa"/>
          </w:tcPr>
          <w:p w:rsidR="00135205" w:rsidRPr="00135205" w:rsidRDefault="00135205" w:rsidP="00135205">
            <w:pPr>
              <w:cnfStyle w:val="000000000000" w:firstRow="0" w:lastRow="0" w:firstColumn="0" w:lastColumn="0" w:oddVBand="0" w:evenVBand="0" w:oddHBand="0" w:evenHBand="0" w:firstRowFirstColumn="0" w:firstRowLastColumn="0" w:lastRowFirstColumn="0" w:lastRowLastColumn="0"/>
            </w:pPr>
            <w:r>
              <w:t>Tax asset base</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UAFG</w:t>
            </w:r>
          </w:p>
        </w:tc>
        <w:tc>
          <w:tcPr>
            <w:tcW w:w="5041" w:type="dxa"/>
          </w:tcPr>
          <w:p w:rsidR="00135205" w:rsidRPr="00135205" w:rsidRDefault="00135205" w:rsidP="00135205">
            <w:pPr>
              <w:cnfStyle w:val="000000010000" w:firstRow="0" w:lastRow="0" w:firstColumn="0" w:lastColumn="0" w:oddVBand="0" w:evenVBand="0" w:oddHBand="0" w:evenHBand="1" w:firstRowFirstColumn="0" w:firstRowLastColumn="0" w:lastRowFirstColumn="0" w:lastRowLastColumn="0"/>
            </w:pPr>
            <w:r>
              <w:t>Unaccounted for gas</w:t>
            </w:r>
          </w:p>
        </w:tc>
      </w:tr>
      <w:tr w:rsidR="00135205" w:rsidTr="000C0557">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WACC</w:t>
            </w:r>
          </w:p>
        </w:tc>
        <w:tc>
          <w:tcPr>
            <w:tcW w:w="5041" w:type="dxa"/>
          </w:tcPr>
          <w:p w:rsidR="00135205" w:rsidRDefault="00135205" w:rsidP="00135205">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135205"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135205" w:rsidRDefault="00135205" w:rsidP="00135205">
            <w:pPr>
              <w:numPr>
                <w:ilvl w:val="0"/>
                <w:numId w:val="24"/>
              </w:numPr>
            </w:pPr>
            <w:r>
              <w:t>WPI</w:t>
            </w:r>
          </w:p>
        </w:tc>
        <w:tc>
          <w:tcPr>
            <w:tcW w:w="5041" w:type="dxa"/>
          </w:tcPr>
          <w:p w:rsidR="00135205" w:rsidRPr="00135205" w:rsidRDefault="00135205" w:rsidP="00135205">
            <w:pPr>
              <w:cnfStyle w:val="000000010000" w:firstRow="0" w:lastRow="0" w:firstColumn="0" w:lastColumn="0" w:oddVBand="0" w:evenVBand="0" w:oddHBand="0" w:evenHBand="1" w:firstRowFirstColumn="0" w:firstRowLastColumn="0" w:lastRowFirstColumn="0" w:lastRowLastColumn="0"/>
            </w:pPr>
            <w:r>
              <w:t xml:space="preserve">Wage </w:t>
            </w:r>
            <w:r w:rsidRPr="00135205">
              <w:t>Price Index</w:t>
            </w:r>
          </w:p>
        </w:tc>
      </w:tr>
    </w:tbl>
    <w:p w:rsidR="00135205" w:rsidRPr="00135205" w:rsidRDefault="00135205" w:rsidP="00135205"/>
    <w:p w:rsidR="00DE563D" w:rsidRDefault="0043063C" w:rsidP="0043063C">
      <w:pPr>
        <w:pStyle w:val="Heading1"/>
      </w:pPr>
      <w:bookmarkStart w:id="10" w:name="_Toc436035745"/>
      <w:r>
        <w:t>Services covered by the access arrangement</w:t>
      </w:r>
      <w:bookmarkEnd w:id="10"/>
    </w:p>
    <w:p w:rsidR="00167BB9" w:rsidRDefault="00167BB9" w:rsidP="00167BB9">
      <w:r>
        <w:t>The NGR requires the access arrangement to identify:</w:t>
      </w:r>
    </w:p>
    <w:p w:rsidR="00167BB9" w:rsidRDefault="00167BB9" w:rsidP="00167BB9">
      <w:pPr>
        <w:pStyle w:val="AERbulletlistfirststyle"/>
      </w:pPr>
      <w:r>
        <w:t>the pipeline which the access arrangement relates to, and</w:t>
      </w:r>
    </w:p>
    <w:p w:rsidR="00167BB9" w:rsidRPr="00167BB9" w:rsidRDefault="00167BB9" w:rsidP="00167BB9">
      <w:pPr>
        <w:pStyle w:val="AERbulletlistfirststyle"/>
      </w:pPr>
      <w:proofErr w:type="gramStart"/>
      <w:r>
        <w:t>the</w:t>
      </w:r>
      <w:proofErr w:type="gramEnd"/>
      <w:r>
        <w:t xml:space="preserve"> services which </w:t>
      </w:r>
      <w:r w:rsidRPr="00167BB9">
        <w:t xml:space="preserve">APT Pipelines (NT) Pty Limited (APTNT) </w:t>
      </w:r>
      <w:r>
        <w:t>proposes to offer to provide by means of that pipeline.</w:t>
      </w:r>
      <w:r>
        <w:rPr>
          <w:rStyle w:val="FootnoteReference"/>
        </w:rPr>
        <w:footnoteReference w:id="1"/>
      </w:r>
    </w:p>
    <w:p w:rsidR="009A5113" w:rsidRDefault="00CF2C05" w:rsidP="009A5113">
      <w:pPr>
        <w:pStyle w:val="Heading2"/>
      </w:pPr>
      <w:bookmarkStart w:id="11" w:name="_Toc408404320"/>
      <w:bookmarkStart w:id="12" w:name="_Toc436035746"/>
      <w:r>
        <w:t>Draft</w:t>
      </w:r>
      <w:r w:rsidR="009A5113" w:rsidRPr="0074565D">
        <w:t xml:space="preserve"> decision</w:t>
      </w:r>
      <w:bookmarkEnd w:id="11"/>
      <w:bookmarkEnd w:id="12"/>
    </w:p>
    <w:p w:rsidR="00167BB9" w:rsidRPr="00167BB9" w:rsidRDefault="00167BB9" w:rsidP="00167BB9">
      <w:r>
        <w:t>We accept APTNT’s proposal as it is compliant with the NGR.</w:t>
      </w:r>
      <w:r>
        <w:rPr>
          <w:rStyle w:val="FootnoteReference"/>
        </w:rPr>
        <w:footnoteReference w:id="2"/>
      </w:r>
    </w:p>
    <w:p w:rsidR="009A5113" w:rsidRDefault="00ED5A08" w:rsidP="00ED5A08">
      <w:pPr>
        <w:pStyle w:val="Heading2"/>
      </w:pPr>
      <w:bookmarkStart w:id="13" w:name="_Toc436035747"/>
      <w:r w:rsidRPr="00ED5A08">
        <w:t>APT Pipelines (NT) Pty Limited</w:t>
      </w:r>
      <w:r w:rsidR="00C275C4">
        <w:t>’</w:t>
      </w:r>
      <w:r w:rsidR="00C85A52">
        <w:t>s</w:t>
      </w:r>
      <w:r w:rsidR="005C0A7F">
        <w:t xml:space="preserve"> proposal</w:t>
      </w:r>
      <w:bookmarkEnd w:id="13"/>
    </w:p>
    <w:p w:rsidR="00167BB9" w:rsidRDefault="00167BB9" w:rsidP="00167BB9">
      <w:r>
        <w:t>APTNT propose</w:t>
      </w:r>
      <w:r w:rsidR="00AC167B">
        <w:t>d</w:t>
      </w:r>
      <w:r>
        <w:t xml:space="preserve"> </w:t>
      </w:r>
      <w:r w:rsidR="00887A6C">
        <w:t xml:space="preserve">to offer the following services on its network over the 2016–21 access arrangement </w:t>
      </w:r>
      <w:proofErr w:type="gramStart"/>
      <w:r w:rsidR="00887A6C">
        <w:t>period</w:t>
      </w:r>
      <w:proofErr w:type="gramEnd"/>
      <w:r w:rsidR="00887A6C">
        <w:t>:</w:t>
      </w:r>
    </w:p>
    <w:p w:rsidR="00887A6C" w:rsidRDefault="00887A6C" w:rsidP="00887A6C">
      <w:pPr>
        <w:pStyle w:val="AERbulletlistfirststyle"/>
      </w:pPr>
      <w:r>
        <w:t>the firm service as the only reference service</w:t>
      </w:r>
    </w:p>
    <w:p w:rsidR="00887A6C" w:rsidRDefault="00887A6C" w:rsidP="00887A6C">
      <w:pPr>
        <w:pStyle w:val="AERbulletlistfirststyle"/>
      </w:pPr>
      <w:r>
        <w:t>the non</w:t>
      </w:r>
      <w:r>
        <w:noBreakHyphen/>
        <w:t>reference services:</w:t>
      </w:r>
    </w:p>
    <w:p w:rsidR="00887A6C" w:rsidRDefault="00887A6C" w:rsidP="00887A6C">
      <w:pPr>
        <w:pStyle w:val="AERbulletlistsecondstyle"/>
      </w:pPr>
      <w:r>
        <w:t>interruptible service</w:t>
      </w:r>
    </w:p>
    <w:p w:rsidR="00887A6C" w:rsidRPr="00167BB9" w:rsidRDefault="00887A6C" w:rsidP="00887A6C">
      <w:pPr>
        <w:pStyle w:val="AERbulletlistsecondstyle"/>
      </w:pPr>
      <w:proofErr w:type="gramStart"/>
      <w:r>
        <w:t>negotiated</w:t>
      </w:r>
      <w:proofErr w:type="gramEnd"/>
      <w:r>
        <w:t xml:space="preserve"> services.</w:t>
      </w:r>
      <w:r>
        <w:rPr>
          <w:rStyle w:val="FootnoteReference"/>
        </w:rPr>
        <w:footnoteReference w:id="3"/>
      </w:r>
    </w:p>
    <w:p w:rsidR="009A5113" w:rsidRDefault="009A5113" w:rsidP="009A5113">
      <w:pPr>
        <w:pStyle w:val="Heading2"/>
      </w:pPr>
      <w:bookmarkStart w:id="14" w:name="_Toc408404322"/>
      <w:bookmarkStart w:id="15" w:name="_Toc436035748"/>
      <w:r w:rsidRPr="0074565D">
        <w:t>AER’s assessment approach</w:t>
      </w:r>
      <w:bookmarkEnd w:id="14"/>
      <w:bookmarkEnd w:id="15"/>
    </w:p>
    <w:p w:rsidR="00AC167B" w:rsidRDefault="005A2A98" w:rsidP="00AC167B">
      <w:r w:rsidRPr="005A2A98">
        <w:t xml:space="preserve">APT Pipelines (NT) Pty Limited </w:t>
      </w:r>
      <w:r w:rsidR="00AC167B">
        <w:t>is required</w:t>
      </w:r>
      <w:r w:rsidR="00DF726B">
        <w:t xml:space="preserve"> by the NGR</w:t>
      </w:r>
      <w:r w:rsidR="00AC167B">
        <w:t xml:space="preserve"> to specify all reference services in its access arrangement proposal.</w:t>
      </w:r>
      <w:r w:rsidR="00971BCC">
        <w:rPr>
          <w:rStyle w:val="FootnoteReference"/>
        </w:rPr>
        <w:footnoteReference w:id="4"/>
      </w:r>
      <w:r w:rsidR="00AC167B">
        <w:t xml:space="preserve"> A reference service is a pipeline service that is likely to be sought by </w:t>
      </w:r>
      <w:r w:rsidR="00A677B7">
        <w:t xml:space="preserve">a </w:t>
      </w:r>
      <w:r w:rsidR="00AC167B">
        <w:t>significant part of the market. A pipeline services is a:</w:t>
      </w:r>
    </w:p>
    <w:p w:rsidR="00AC167B" w:rsidRDefault="00AC167B" w:rsidP="00AC167B">
      <w:pPr>
        <w:pStyle w:val="AERbulletlistfirststyle"/>
      </w:pPr>
      <w:r>
        <w:t>service provided by means of a pipeline, including a:</w:t>
      </w:r>
    </w:p>
    <w:p w:rsidR="00AC167B" w:rsidRDefault="00AC167B" w:rsidP="00AC167B">
      <w:pPr>
        <w:pStyle w:val="AERbulletlistsecondstyle"/>
      </w:pPr>
      <w:r>
        <w:t>haulage service</w:t>
      </w:r>
    </w:p>
    <w:p w:rsidR="00AC167B" w:rsidRDefault="00AC167B" w:rsidP="00AC167B">
      <w:pPr>
        <w:pStyle w:val="AERbulletlistsecondstyle"/>
      </w:pPr>
      <w:r>
        <w:t>service facilitating the interconnection of pipelines</w:t>
      </w:r>
    </w:p>
    <w:p w:rsidR="00AC167B" w:rsidRDefault="00AC167B" w:rsidP="00AC167B">
      <w:pPr>
        <w:pStyle w:val="AERbulletlistfirststyle"/>
      </w:pPr>
      <w:proofErr w:type="gramStart"/>
      <w:r>
        <w:t>service</w:t>
      </w:r>
      <w:proofErr w:type="gramEnd"/>
      <w:r>
        <w:t xml:space="preserve"> ancillary to </w:t>
      </w:r>
      <w:r w:rsidR="00606441">
        <w:t xml:space="preserve">either of the above listed </w:t>
      </w:r>
      <w:r>
        <w:t>services.</w:t>
      </w:r>
    </w:p>
    <w:p w:rsidR="00AC167B" w:rsidRDefault="00DF726B" w:rsidP="00AC167B">
      <w:r>
        <w:t>APT Pipelines (NT) Pty Limited’s proposed</w:t>
      </w:r>
      <w:r w:rsidR="00AC167B">
        <w:t xml:space="preserve"> reference service</w:t>
      </w:r>
      <w:r>
        <w:t xml:space="preserve"> is also required to</w:t>
      </w:r>
      <w:r w:rsidR="00AC167B">
        <w:t xml:space="preserve"> be consistent with the National Gas Objective.</w:t>
      </w:r>
      <w:r w:rsidR="00AC167B">
        <w:rPr>
          <w:rStyle w:val="FootnoteReference"/>
        </w:rPr>
        <w:footnoteReference w:id="5"/>
      </w:r>
      <w:r w:rsidR="00AC167B">
        <w:t xml:space="preserve"> </w:t>
      </w:r>
    </w:p>
    <w:p w:rsidR="00AC167B" w:rsidRDefault="00AC167B" w:rsidP="00AC167B">
      <w:r>
        <w:t>Our approach to assessing these requirements is to identify:</w:t>
      </w:r>
    </w:p>
    <w:p w:rsidR="00AC167B" w:rsidRDefault="00AC167B" w:rsidP="00CE24B0">
      <w:pPr>
        <w:pStyle w:val="AERbulletlistfirststyle"/>
      </w:pPr>
      <w:r>
        <w:t xml:space="preserve">the covered pipeline under the </w:t>
      </w:r>
      <w:r w:rsidR="00DF726B">
        <w:t>current</w:t>
      </w:r>
      <w:r>
        <w:t xml:space="preserve"> access arrangement</w:t>
      </w:r>
    </w:p>
    <w:p w:rsidR="00AC167B" w:rsidRDefault="00AC167B" w:rsidP="00CE24B0">
      <w:pPr>
        <w:pStyle w:val="AERbulletlistfirststyle"/>
      </w:pPr>
      <w:proofErr w:type="gramStart"/>
      <w:r>
        <w:t>any</w:t>
      </w:r>
      <w:proofErr w:type="gramEnd"/>
      <w:r>
        <w:t xml:space="preserve"> extensions or expansions that were completed during the earlier access arrangement and which are taken to be ‘covered’ under that access arrangement’s extension and expansion requirements.</w:t>
      </w:r>
    </w:p>
    <w:p w:rsidR="00AC167B" w:rsidRPr="00AC167B" w:rsidRDefault="00AC167B" w:rsidP="00AC167B">
      <w:r>
        <w:t>The next step is to review the service provider’s description of the pipeline services and reference services.</w:t>
      </w:r>
    </w:p>
    <w:p w:rsidR="009A5113" w:rsidRDefault="009A5113" w:rsidP="009A5113">
      <w:pPr>
        <w:pStyle w:val="Heading2"/>
      </w:pPr>
      <w:bookmarkStart w:id="16" w:name="_Toc408404324"/>
      <w:bookmarkStart w:id="17" w:name="_Toc436035749"/>
      <w:r w:rsidRPr="0074565D">
        <w:t xml:space="preserve">Reasons for </w:t>
      </w:r>
      <w:r w:rsidR="00CF2C05">
        <w:t>draft</w:t>
      </w:r>
      <w:r w:rsidR="00651CB2" w:rsidRPr="0074565D">
        <w:t xml:space="preserve"> </w:t>
      </w:r>
      <w:r w:rsidRPr="0074565D">
        <w:t>decision</w:t>
      </w:r>
      <w:bookmarkEnd w:id="16"/>
      <w:bookmarkEnd w:id="17"/>
    </w:p>
    <w:p w:rsidR="00887A6C" w:rsidRDefault="00487B6B" w:rsidP="00887A6C">
      <w:r>
        <w:t xml:space="preserve">Our assessment considers </w:t>
      </w:r>
      <w:r w:rsidR="00887A6C">
        <w:t xml:space="preserve">APTNT has complied with the NGR’s service requirements as outlined </w:t>
      </w:r>
      <w:r w:rsidR="005C7FF7">
        <w:t xml:space="preserve">in </w:t>
      </w:r>
      <w:r w:rsidR="005F2640">
        <w:fldChar w:fldCharType="begin"/>
      </w:r>
      <w:r w:rsidR="005F2640">
        <w:instrText xml:space="preserve"> REF _Ref434249556 \h </w:instrText>
      </w:r>
      <w:r w:rsidR="005F2640">
        <w:fldChar w:fldCharType="separate"/>
      </w:r>
      <w:r w:rsidR="00D87DF0">
        <w:t xml:space="preserve">Table </w:t>
      </w:r>
      <w:r w:rsidR="00D87DF0">
        <w:rPr>
          <w:noProof/>
        </w:rPr>
        <w:t>1</w:t>
      </w:r>
      <w:r w:rsidR="00D87DF0">
        <w:t>.</w:t>
      </w:r>
      <w:r w:rsidR="00D87DF0">
        <w:rPr>
          <w:noProof/>
        </w:rPr>
        <w:t>1</w:t>
      </w:r>
      <w:r w:rsidR="005F2640">
        <w:fldChar w:fldCharType="end"/>
      </w:r>
      <w:r w:rsidR="00FD23CA">
        <w:t xml:space="preserve"> and </w:t>
      </w:r>
      <w:r>
        <w:t xml:space="preserve">section </w:t>
      </w:r>
      <w:r>
        <w:fldChar w:fldCharType="begin"/>
      </w:r>
      <w:r>
        <w:instrText xml:space="preserve"> REF _Ref434848041 \r \h </w:instrText>
      </w:r>
      <w:r>
        <w:fldChar w:fldCharType="separate"/>
      </w:r>
      <w:r w:rsidR="00D87DF0">
        <w:t>1.4.1</w:t>
      </w:r>
      <w:r>
        <w:fldChar w:fldCharType="end"/>
      </w:r>
      <w:r>
        <w:t>. We note APTNT’s proposed reference service for the 2016–21 access arrangement is generally consistent with th</w:t>
      </w:r>
      <w:r w:rsidR="00B663C9">
        <w:t>e reference service</w:t>
      </w:r>
      <w:r>
        <w:t xml:space="preserve"> we found compliant with the NGR for the current access arrangement.</w:t>
      </w:r>
    </w:p>
    <w:p w:rsidR="00887A6C" w:rsidRDefault="00887A6C" w:rsidP="00887A6C">
      <w:pPr>
        <w:pStyle w:val="Caption"/>
      </w:pPr>
      <w:bookmarkStart w:id="18" w:name="_Ref434249556"/>
      <w:proofErr w:type="gramStart"/>
      <w:r>
        <w:t xml:space="preserve">Table </w:t>
      </w:r>
      <w:proofErr w:type="gramEnd"/>
      <w:r w:rsidR="00135205">
        <w:fldChar w:fldCharType="begin"/>
      </w:r>
      <w:r w:rsidR="00135205">
        <w:instrText xml:space="preserve"> STYLEREF 1 \s </w:instrText>
      </w:r>
      <w:r w:rsidR="00135205">
        <w:fldChar w:fldCharType="separate"/>
      </w:r>
      <w:r w:rsidR="00D87DF0">
        <w:rPr>
          <w:noProof/>
        </w:rPr>
        <w:t>1</w:t>
      </w:r>
      <w:r w:rsidR="00135205">
        <w:rPr>
          <w:noProof/>
        </w:rPr>
        <w:fldChar w:fldCharType="end"/>
      </w:r>
      <w:proofErr w:type="gramStart"/>
      <w:r>
        <w:t>.</w:t>
      </w:r>
      <w:proofErr w:type="gramEnd"/>
      <w:r>
        <w:fldChar w:fldCharType="begin"/>
      </w:r>
      <w:r>
        <w:instrText xml:space="preserve"> SEQ Table \* ARABIC \s 1 </w:instrText>
      </w:r>
      <w:r>
        <w:fldChar w:fldCharType="separate"/>
      </w:r>
      <w:r w:rsidR="00D87DF0">
        <w:rPr>
          <w:noProof/>
        </w:rPr>
        <w:t>1</w:t>
      </w:r>
      <w:r>
        <w:fldChar w:fldCharType="end"/>
      </w:r>
      <w:bookmarkEnd w:id="18"/>
      <w:r>
        <w:tab/>
        <w:t>Assessment of APTNT’s compliance with the NGR</w:t>
      </w:r>
    </w:p>
    <w:tbl>
      <w:tblPr>
        <w:tblStyle w:val="AERtable-text0"/>
        <w:tblW w:w="0" w:type="auto"/>
        <w:tblLook w:val="04A0" w:firstRow="1" w:lastRow="0" w:firstColumn="1" w:lastColumn="0" w:noHBand="0" w:noVBand="1"/>
      </w:tblPr>
      <w:tblGrid>
        <w:gridCol w:w="5211"/>
        <w:gridCol w:w="3482"/>
      </w:tblGrid>
      <w:tr w:rsidR="00887A6C" w:rsidTr="00D83C34">
        <w:trPr>
          <w:cnfStyle w:val="100000000000" w:firstRow="1" w:lastRow="0" w:firstColumn="0" w:lastColumn="0" w:oddVBand="0" w:evenVBand="0" w:oddHBand="0" w:evenHBand="0" w:firstRowFirstColumn="0" w:firstRowLastColumn="0" w:lastRowFirstColumn="0" w:lastRowLastColumn="0"/>
        </w:trPr>
        <w:tc>
          <w:tcPr>
            <w:tcW w:w="5211" w:type="dxa"/>
          </w:tcPr>
          <w:p w:rsidR="00887A6C" w:rsidRDefault="00AC167B" w:rsidP="00887A6C">
            <w:r>
              <w:t>NGR requirements</w:t>
            </w:r>
          </w:p>
        </w:tc>
        <w:tc>
          <w:tcPr>
            <w:tcW w:w="3482" w:type="dxa"/>
          </w:tcPr>
          <w:p w:rsidR="00887A6C" w:rsidRDefault="00AC167B" w:rsidP="00887A6C">
            <w:r>
              <w:t>AER assessment</w:t>
            </w:r>
          </w:p>
        </w:tc>
      </w:tr>
      <w:tr w:rsidR="00887A6C" w:rsidTr="00D83C34">
        <w:tc>
          <w:tcPr>
            <w:tcW w:w="5211" w:type="dxa"/>
          </w:tcPr>
          <w:p w:rsidR="00887A6C" w:rsidRDefault="00FD23CA" w:rsidP="00887A6C">
            <w:r>
              <w:t>A full access arrangement must:</w:t>
            </w:r>
          </w:p>
        </w:tc>
        <w:tc>
          <w:tcPr>
            <w:tcW w:w="3482" w:type="dxa"/>
          </w:tcPr>
          <w:p w:rsidR="00887A6C" w:rsidRDefault="00887A6C" w:rsidP="00887A6C"/>
        </w:tc>
      </w:tr>
      <w:tr w:rsidR="00887A6C" w:rsidTr="00D83C34">
        <w:trPr>
          <w:cnfStyle w:val="000000010000" w:firstRow="0" w:lastRow="0" w:firstColumn="0" w:lastColumn="0" w:oddVBand="0" w:evenVBand="0" w:oddHBand="0" w:evenHBand="1" w:firstRowFirstColumn="0" w:firstRowLastColumn="0" w:lastRowFirstColumn="0" w:lastRowLastColumn="0"/>
        </w:trPr>
        <w:tc>
          <w:tcPr>
            <w:tcW w:w="5211" w:type="dxa"/>
          </w:tcPr>
          <w:p w:rsidR="00887A6C" w:rsidRDefault="00D83C34" w:rsidP="00887A6C">
            <w:r>
              <w:t>identify the pipeline to which the access arrangement relates and include a reference to a website at which a description of the pipeline can be inspected—NGR clause 48</w:t>
            </w:r>
            <w:r w:rsidR="00191695">
              <w:t>(</w:t>
            </w:r>
            <w:r>
              <w:t>1</w:t>
            </w:r>
            <w:r w:rsidR="00191695">
              <w:t>)</w:t>
            </w:r>
            <w:r>
              <w:t xml:space="preserve">(a) </w:t>
            </w:r>
          </w:p>
        </w:tc>
        <w:tc>
          <w:tcPr>
            <w:tcW w:w="3482" w:type="dxa"/>
          </w:tcPr>
          <w:p w:rsidR="00887A6C" w:rsidRDefault="008E1110" w:rsidP="00887A6C">
            <w:r>
              <w:t>Compliant. Section</w:t>
            </w:r>
            <w:r w:rsidR="00D83C34">
              <w:t xml:space="preserve"> 1</w:t>
            </w:r>
            <w:r w:rsidR="00D87DF0">
              <w:t>.1</w:t>
            </w:r>
            <w:r w:rsidR="00D83C34">
              <w:t xml:space="preserve"> of the AGP access arrangement proposal.</w:t>
            </w:r>
          </w:p>
        </w:tc>
      </w:tr>
      <w:tr w:rsidR="00887A6C" w:rsidTr="00D83C34">
        <w:tc>
          <w:tcPr>
            <w:tcW w:w="5211" w:type="dxa"/>
          </w:tcPr>
          <w:p w:rsidR="00887A6C" w:rsidRDefault="00D83C34" w:rsidP="00191695">
            <w:r w:rsidRPr="00D83C34">
              <w:t>describe the pipeline services the service provider propose to offer to provide by means of the pipeline — NGR clause 48</w:t>
            </w:r>
            <w:r w:rsidR="00191695">
              <w:t>(</w:t>
            </w:r>
            <w:r w:rsidRPr="00D83C34">
              <w:t>1</w:t>
            </w:r>
            <w:r w:rsidR="00191695">
              <w:t>)</w:t>
            </w:r>
            <w:r w:rsidRPr="00D83C34">
              <w:t>(b)</w:t>
            </w:r>
          </w:p>
        </w:tc>
        <w:tc>
          <w:tcPr>
            <w:tcW w:w="3482" w:type="dxa"/>
          </w:tcPr>
          <w:p w:rsidR="00887A6C" w:rsidRDefault="008E1110" w:rsidP="00887A6C">
            <w:r>
              <w:t>Compliant. Section</w:t>
            </w:r>
            <w:r w:rsidR="00D83C34">
              <w:t xml:space="preserve"> 2 of the AGP access arrangement proposal.</w:t>
            </w:r>
          </w:p>
        </w:tc>
      </w:tr>
      <w:tr w:rsidR="00887A6C" w:rsidTr="00D83C34">
        <w:trPr>
          <w:cnfStyle w:val="000000010000" w:firstRow="0" w:lastRow="0" w:firstColumn="0" w:lastColumn="0" w:oddVBand="0" w:evenVBand="0" w:oddHBand="0" w:evenHBand="1" w:firstRowFirstColumn="0" w:firstRowLastColumn="0" w:lastRowFirstColumn="0" w:lastRowLastColumn="0"/>
        </w:trPr>
        <w:tc>
          <w:tcPr>
            <w:tcW w:w="5211" w:type="dxa"/>
          </w:tcPr>
          <w:p w:rsidR="00887A6C" w:rsidRDefault="00D83C34" w:rsidP="00191695">
            <w:r w:rsidRPr="00D83C34">
              <w:t>specify the reference services — NGR 48</w:t>
            </w:r>
            <w:r w:rsidR="00191695">
              <w:t>(</w:t>
            </w:r>
            <w:r w:rsidRPr="00D83C34">
              <w:t>1</w:t>
            </w:r>
            <w:r w:rsidR="00191695">
              <w:t>)</w:t>
            </w:r>
            <w:r w:rsidRPr="00D83C34">
              <w:t>(c)</w:t>
            </w:r>
          </w:p>
        </w:tc>
        <w:tc>
          <w:tcPr>
            <w:tcW w:w="3482" w:type="dxa"/>
          </w:tcPr>
          <w:p w:rsidR="00887A6C" w:rsidRDefault="008E1110" w:rsidP="00887A6C">
            <w:r>
              <w:t>Compliant. Section</w:t>
            </w:r>
            <w:r w:rsidR="00D83C34" w:rsidRPr="00D83C34">
              <w:t xml:space="preserve"> 2</w:t>
            </w:r>
            <w:r w:rsidR="00D87DF0">
              <w:t>.3</w:t>
            </w:r>
            <w:r w:rsidR="00D83C34" w:rsidRPr="00D83C34">
              <w:t xml:space="preserve"> of the AGP access arrangement proposal.</w:t>
            </w:r>
          </w:p>
        </w:tc>
      </w:tr>
      <w:tr w:rsidR="00887A6C" w:rsidTr="00D83C34">
        <w:tc>
          <w:tcPr>
            <w:tcW w:w="5211" w:type="dxa"/>
          </w:tcPr>
          <w:p w:rsidR="00D83C34" w:rsidRDefault="00D83C34" w:rsidP="00D83C34">
            <w:r>
              <w:t>specify for each reference service:</w:t>
            </w:r>
          </w:p>
          <w:p w:rsidR="00D83C34" w:rsidRDefault="00D83C34" w:rsidP="00D83C34">
            <w:r>
              <w:t>(i) the reference tariff; and</w:t>
            </w:r>
          </w:p>
          <w:p w:rsidR="00D83C34" w:rsidRDefault="00D83C34" w:rsidP="00D83C34">
            <w:r>
              <w:t>(ii) the other terms and conditions on which the reference service will be provided</w:t>
            </w:r>
          </w:p>
          <w:p w:rsidR="00887A6C" w:rsidRDefault="00191695" w:rsidP="00D83C34">
            <w:r>
              <w:t>— NGR clause 48(</w:t>
            </w:r>
            <w:r w:rsidR="00D83C34">
              <w:t>1</w:t>
            </w:r>
            <w:r>
              <w:t>)</w:t>
            </w:r>
            <w:r w:rsidR="00D83C34">
              <w:t>(d)</w:t>
            </w:r>
          </w:p>
        </w:tc>
        <w:tc>
          <w:tcPr>
            <w:tcW w:w="3482" w:type="dxa"/>
          </w:tcPr>
          <w:p w:rsidR="00887A6C" w:rsidRDefault="008E1110" w:rsidP="00887A6C">
            <w:r>
              <w:t>Compliant. Section</w:t>
            </w:r>
            <w:r w:rsidR="00D83C34">
              <w:t>s</w:t>
            </w:r>
            <w:r w:rsidR="00D83C34" w:rsidRPr="00D83C34">
              <w:t xml:space="preserve"> 2</w:t>
            </w:r>
            <w:r w:rsidR="00D87DF0">
              <w:t>.3.4</w:t>
            </w:r>
            <w:r w:rsidR="00D83C34">
              <w:t xml:space="preserve"> &amp; 4</w:t>
            </w:r>
            <w:r w:rsidR="00D87DF0">
              <w:t>.1</w:t>
            </w:r>
            <w:r w:rsidR="00D83C34">
              <w:t xml:space="preserve"> and Schedule</w:t>
            </w:r>
            <w:r w:rsidR="00D87DF0">
              <w:t>s</w:t>
            </w:r>
            <w:r w:rsidR="00D83C34">
              <w:t xml:space="preserve"> 1</w:t>
            </w:r>
            <w:r w:rsidR="00D87DF0">
              <w:t xml:space="preserve"> &amp; 3</w:t>
            </w:r>
            <w:r w:rsidR="00D83C34" w:rsidRPr="00D83C34">
              <w:t xml:space="preserve"> of the AGP access arrangement proposal.</w:t>
            </w:r>
          </w:p>
        </w:tc>
      </w:tr>
      <w:tr w:rsidR="00887A6C" w:rsidTr="00D83C34">
        <w:trPr>
          <w:cnfStyle w:val="000000010000" w:firstRow="0" w:lastRow="0" w:firstColumn="0" w:lastColumn="0" w:oddVBand="0" w:evenVBand="0" w:oddHBand="0" w:evenHBand="1" w:firstRowFirstColumn="0" w:firstRowLastColumn="0" w:lastRowFirstColumn="0" w:lastRowLastColumn="0"/>
        </w:trPr>
        <w:tc>
          <w:tcPr>
            <w:tcW w:w="5211" w:type="dxa"/>
          </w:tcPr>
          <w:p w:rsidR="00887A6C" w:rsidRDefault="00D83C34" w:rsidP="00191695">
            <w:r w:rsidRPr="00D83C34">
              <w:t>if the access arrangement is to contain queuing requirements – set out the queuing requirements — NGR clause 48</w:t>
            </w:r>
            <w:r w:rsidR="00191695">
              <w:t>(</w:t>
            </w:r>
            <w:r w:rsidRPr="00D83C34">
              <w:t>1</w:t>
            </w:r>
            <w:r w:rsidR="00191695">
              <w:t>)</w:t>
            </w:r>
            <w:r w:rsidRPr="00D83C34">
              <w:t>(e)</w:t>
            </w:r>
          </w:p>
        </w:tc>
        <w:tc>
          <w:tcPr>
            <w:tcW w:w="3482" w:type="dxa"/>
          </w:tcPr>
          <w:p w:rsidR="00887A6C" w:rsidRDefault="008E1110" w:rsidP="008E1110">
            <w:r>
              <w:t>Compliant. Section</w:t>
            </w:r>
            <w:r w:rsidRPr="00D83C34">
              <w:t xml:space="preserve"> </w:t>
            </w:r>
            <w:r>
              <w:t>6</w:t>
            </w:r>
            <w:r w:rsidRPr="00D83C34">
              <w:t xml:space="preserve"> of the AGP access arrangement proposal.</w:t>
            </w:r>
          </w:p>
        </w:tc>
      </w:tr>
      <w:tr w:rsidR="00887A6C" w:rsidTr="00D83C34">
        <w:tc>
          <w:tcPr>
            <w:tcW w:w="5211" w:type="dxa"/>
          </w:tcPr>
          <w:p w:rsidR="00887A6C" w:rsidRDefault="008E1110" w:rsidP="00191695">
            <w:r w:rsidRPr="008E1110">
              <w:t>set out the capacity trading requirements — NGR clause 4</w:t>
            </w:r>
            <w:r w:rsidR="00D176B8">
              <w:t>8</w:t>
            </w:r>
            <w:r w:rsidR="00191695">
              <w:t>(</w:t>
            </w:r>
            <w:r w:rsidRPr="008E1110">
              <w:t>1</w:t>
            </w:r>
            <w:r w:rsidR="00191695">
              <w:t>)</w:t>
            </w:r>
            <w:r w:rsidRPr="008E1110">
              <w:t>(f)</w:t>
            </w:r>
          </w:p>
        </w:tc>
        <w:tc>
          <w:tcPr>
            <w:tcW w:w="3482" w:type="dxa"/>
          </w:tcPr>
          <w:p w:rsidR="00887A6C" w:rsidRDefault="008E1110" w:rsidP="008E1110">
            <w:r>
              <w:t>Compliant. Section 5</w:t>
            </w:r>
            <w:r w:rsidRPr="008E1110">
              <w:t xml:space="preserve"> of the AGP access arrangement proposal.</w:t>
            </w:r>
          </w:p>
        </w:tc>
      </w:tr>
      <w:tr w:rsidR="00887A6C" w:rsidTr="00D83C34">
        <w:trPr>
          <w:cnfStyle w:val="000000010000" w:firstRow="0" w:lastRow="0" w:firstColumn="0" w:lastColumn="0" w:oddVBand="0" w:evenVBand="0" w:oddHBand="0" w:evenHBand="1" w:firstRowFirstColumn="0" w:firstRowLastColumn="0" w:lastRowFirstColumn="0" w:lastRowLastColumn="0"/>
        </w:trPr>
        <w:tc>
          <w:tcPr>
            <w:tcW w:w="5211" w:type="dxa"/>
          </w:tcPr>
          <w:p w:rsidR="00887A6C" w:rsidRDefault="008E1110" w:rsidP="00191695">
            <w:r w:rsidRPr="008E1110">
              <w:t>set out the extension and expansion requirements — NGR</w:t>
            </w:r>
            <w:r>
              <w:t> clause </w:t>
            </w:r>
            <w:r w:rsidRPr="008E1110">
              <w:t>48</w:t>
            </w:r>
            <w:r w:rsidR="00191695">
              <w:t>(</w:t>
            </w:r>
            <w:r w:rsidRPr="008E1110">
              <w:t>1</w:t>
            </w:r>
            <w:r w:rsidR="00191695">
              <w:t>)</w:t>
            </w:r>
            <w:r w:rsidRPr="008E1110">
              <w:t>(g)</w:t>
            </w:r>
          </w:p>
        </w:tc>
        <w:tc>
          <w:tcPr>
            <w:tcW w:w="3482" w:type="dxa"/>
          </w:tcPr>
          <w:p w:rsidR="00887A6C" w:rsidRDefault="008E1110" w:rsidP="00887A6C">
            <w:r w:rsidRPr="008E1110">
              <w:t>Compliant. Section 7 of the AGP access arrangement proposal.</w:t>
            </w:r>
          </w:p>
        </w:tc>
      </w:tr>
      <w:tr w:rsidR="00887A6C" w:rsidTr="00D83C34">
        <w:tc>
          <w:tcPr>
            <w:tcW w:w="5211" w:type="dxa"/>
          </w:tcPr>
          <w:p w:rsidR="00887A6C" w:rsidRDefault="008E1110" w:rsidP="00191695">
            <w:r w:rsidRPr="008E1110">
              <w:t>state the terms and conditions for charging receipt and delivery points — NGR clause 48</w:t>
            </w:r>
            <w:r w:rsidR="00191695">
              <w:t>(</w:t>
            </w:r>
            <w:r w:rsidRPr="008E1110">
              <w:t>1</w:t>
            </w:r>
            <w:r w:rsidR="00191695">
              <w:t>)</w:t>
            </w:r>
            <w:r w:rsidRPr="008E1110">
              <w:t>(h)</w:t>
            </w:r>
          </w:p>
        </w:tc>
        <w:tc>
          <w:tcPr>
            <w:tcW w:w="3482" w:type="dxa"/>
          </w:tcPr>
          <w:p w:rsidR="00887A6C" w:rsidRDefault="008E1110" w:rsidP="00887A6C">
            <w:r>
              <w:t>Compliant. Section 4</w:t>
            </w:r>
            <w:r w:rsidR="00D87DF0">
              <w:t xml:space="preserve"> &amp; 5</w:t>
            </w:r>
            <w:r>
              <w:t xml:space="preserve"> and Schedule 3 </w:t>
            </w:r>
            <w:r w:rsidRPr="008E1110">
              <w:t>of the AGP access arrangement proposal.</w:t>
            </w:r>
          </w:p>
        </w:tc>
      </w:tr>
      <w:tr w:rsidR="00887A6C" w:rsidTr="008E1110">
        <w:trPr>
          <w:cnfStyle w:val="000000010000" w:firstRow="0" w:lastRow="0" w:firstColumn="0" w:lastColumn="0" w:oddVBand="0" w:evenVBand="0" w:oddHBand="0" w:evenHBand="1" w:firstRowFirstColumn="0" w:firstRowLastColumn="0" w:lastRowFirstColumn="0" w:lastRowLastColumn="0"/>
          <w:trHeight w:val="303"/>
        </w:trPr>
        <w:tc>
          <w:tcPr>
            <w:tcW w:w="5211" w:type="dxa"/>
          </w:tcPr>
          <w:p w:rsidR="00887A6C" w:rsidRDefault="008E1110" w:rsidP="008E1110">
            <w:r w:rsidRPr="008E1110">
              <w:t>if there is to be a review submission date – state the review submission date and the revision commencement date — NGR</w:t>
            </w:r>
            <w:r>
              <w:t> </w:t>
            </w:r>
            <w:r w:rsidRPr="008E1110">
              <w:t>clause</w:t>
            </w:r>
            <w:r>
              <w:t> </w:t>
            </w:r>
            <w:r w:rsidR="00191695">
              <w:t>48(</w:t>
            </w:r>
            <w:r w:rsidRPr="008E1110">
              <w:t>1</w:t>
            </w:r>
            <w:r w:rsidR="00191695">
              <w:t>)</w:t>
            </w:r>
            <w:r w:rsidRPr="008E1110">
              <w:t>(</w:t>
            </w:r>
            <w:proofErr w:type="spellStart"/>
            <w:r w:rsidRPr="008E1110">
              <w:t>i</w:t>
            </w:r>
            <w:proofErr w:type="spellEnd"/>
            <w:r w:rsidRPr="008E1110">
              <w:t>)</w:t>
            </w:r>
          </w:p>
        </w:tc>
        <w:tc>
          <w:tcPr>
            <w:tcW w:w="3482" w:type="dxa"/>
          </w:tcPr>
          <w:p w:rsidR="00887A6C" w:rsidRDefault="008E1110" w:rsidP="008E1110">
            <w:r w:rsidRPr="008E1110">
              <w:t xml:space="preserve">Compliant. Section </w:t>
            </w:r>
            <w:r>
              <w:t>1</w:t>
            </w:r>
            <w:r w:rsidR="00D87DF0">
              <w:t>.6</w:t>
            </w:r>
            <w:r w:rsidRPr="008E1110">
              <w:t xml:space="preserve"> of the AGP access arrangement proposal.</w:t>
            </w:r>
          </w:p>
        </w:tc>
      </w:tr>
      <w:tr w:rsidR="00887A6C" w:rsidTr="00D83C34">
        <w:tc>
          <w:tcPr>
            <w:tcW w:w="5211" w:type="dxa"/>
          </w:tcPr>
          <w:p w:rsidR="00887A6C" w:rsidRDefault="008E1110" w:rsidP="00191695">
            <w:r w:rsidRPr="008E1110">
              <w:t>if there is to be an expire date – state the expiry date — NGR 48</w:t>
            </w:r>
            <w:r w:rsidR="00191695">
              <w:t>(</w:t>
            </w:r>
            <w:r w:rsidRPr="008E1110">
              <w:t>1</w:t>
            </w:r>
            <w:r w:rsidR="00191695">
              <w:t>)</w:t>
            </w:r>
            <w:r w:rsidRPr="008E1110">
              <w:t>(j)</w:t>
            </w:r>
          </w:p>
        </w:tc>
        <w:tc>
          <w:tcPr>
            <w:tcW w:w="3482" w:type="dxa"/>
          </w:tcPr>
          <w:p w:rsidR="00887A6C" w:rsidRDefault="008E1110" w:rsidP="00887A6C">
            <w:r>
              <w:t>Not applicable.</w:t>
            </w:r>
          </w:p>
        </w:tc>
      </w:tr>
    </w:tbl>
    <w:p w:rsidR="00887A6C" w:rsidRPr="00887A6C" w:rsidRDefault="00FD23CA" w:rsidP="00FD23CA">
      <w:pPr>
        <w:pStyle w:val="AERtablesource"/>
      </w:pPr>
      <w:r>
        <w:t>S</w:t>
      </w:r>
      <w:r w:rsidR="00F31772">
        <w:t>ource:</w:t>
      </w:r>
      <w:r w:rsidR="00F31772">
        <w:tab/>
        <w:t>AER analysis; NGR clause 48(</w:t>
      </w:r>
      <w:r>
        <w:t>1</w:t>
      </w:r>
      <w:r w:rsidR="00F31772">
        <w:t>)</w:t>
      </w:r>
      <w:r>
        <w:t xml:space="preserve">; APTNT, </w:t>
      </w:r>
      <w:r w:rsidRPr="00AC167B">
        <w:rPr>
          <w:rStyle w:val="AERtextitalic"/>
        </w:rPr>
        <w:t>Access arrangement for the Amadeus Gas Pipeline: 1 July 2016 to 30 June 2021</w:t>
      </w:r>
      <w:r>
        <w:t>, August 2015.</w:t>
      </w:r>
    </w:p>
    <w:p w:rsidR="00887A6C" w:rsidRDefault="00FD23CA" w:rsidP="00FD23CA">
      <w:pPr>
        <w:pStyle w:val="Heading3"/>
      </w:pPr>
      <w:bookmarkStart w:id="19" w:name="_Ref434848041"/>
      <w:bookmarkStart w:id="20" w:name="_Toc436035750"/>
      <w:r>
        <w:t>Reference services</w:t>
      </w:r>
      <w:bookmarkEnd w:id="19"/>
      <w:bookmarkEnd w:id="20"/>
    </w:p>
    <w:p w:rsidR="007C3698" w:rsidRDefault="00CC53A7" w:rsidP="00FD23CA">
      <w:r>
        <w:t xml:space="preserve">We accept APTNT’s </w:t>
      </w:r>
      <w:r w:rsidR="00FA35EF">
        <w:t>proposed reference service</w:t>
      </w:r>
      <w:r w:rsidR="007C3698">
        <w:t xml:space="preserve"> (the</w:t>
      </w:r>
      <w:r w:rsidR="00FA35EF">
        <w:t xml:space="preserve"> </w:t>
      </w:r>
      <w:r w:rsidR="007C3698">
        <w:t xml:space="preserve">firm service) as </w:t>
      </w:r>
      <w:r w:rsidR="00FA35EF">
        <w:t>we consider it will be sought by a significant part of the market.</w:t>
      </w:r>
      <w:r w:rsidR="00FA35EF">
        <w:rPr>
          <w:rStyle w:val="FootnoteReference"/>
        </w:rPr>
        <w:footnoteReference w:id="6"/>
      </w:r>
      <w:r w:rsidR="007C3698">
        <w:t xml:space="preserve"> </w:t>
      </w:r>
      <w:r w:rsidR="007C3698" w:rsidRPr="007C3698">
        <w:t xml:space="preserve">This means </w:t>
      </w:r>
      <w:r w:rsidR="007C3698">
        <w:t xml:space="preserve">it </w:t>
      </w:r>
      <w:r w:rsidR="007C3698" w:rsidRPr="007C3698">
        <w:t>must be covered by the access arrangement.</w:t>
      </w:r>
    </w:p>
    <w:p w:rsidR="005C7FF7" w:rsidRDefault="007C3698" w:rsidP="00887A6C">
      <w:r>
        <w:t>As noted by APTNT, 100 per cent of the firm capacity is contracted on the pipeline.</w:t>
      </w:r>
      <w:r>
        <w:rPr>
          <w:rStyle w:val="FootnoteReference"/>
        </w:rPr>
        <w:footnoteReference w:id="7"/>
      </w:r>
      <w:r>
        <w:t xml:space="preserve"> </w:t>
      </w:r>
      <w:r w:rsidR="00887A6C">
        <w:t xml:space="preserve">After two </w:t>
      </w:r>
      <w:proofErr w:type="gramStart"/>
      <w:r w:rsidR="00887A6C">
        <w:t>access</w:t>
      </w:r>
      <w:proofErr w:type="gramEnd"/>
      <w:r w:rsidR="00887A6C">
        <w:t xml:space="preserve"> arrangement periods characterised by significant operational changes, the period covered by this decision reflects a transition to more stable operating and commercial conditions</w:t>
      </w:r>
      <w:r w:rsidR="00CC53A7">
        <w:t xml:space="preserve">. </w:t>
      </w:r>
      <w:r w:rsidR="00E45C76">
        <w:t>The</w:t>
      </w:r>
      <w:r w:rsidR="00887A6C">
        <w:t xml:space="preserve"> contractual arrangements for the</w:t>
      </w:r>
      <w:r w:rsidR="005A2A98" w:rsidRPr="005A2A98">
        <w:t xml:space="preserve"> Amadeus Gas Pipeline</w:t>
      </w:r>
      <w:r w:rsidR="00887A6C">
        <w:t xml:space="preserve"> </w:t>
      </w:r>
      <w:r w:rsidR="005A2A98">
        <w:t>(</w:t>
      </w:r>
      <w:r w:rsidR="00E45C76">
        <w:t>AGP</w:t>
      </w:r>
      <w:r w:rsidR="005A2A98">
        <w:t>)</w:t>
      </w:r>
      <w:r w:rsidR="00E45C76">
        <w:t xml:space="preserve"> </w:t>
      </w:r>
      <w:r w:rsidR="00887A6C">
        <w:t xml:space="preserve">pipeline are well established.  </w:t>
      </w:r>
    </w:p>
    <w:p w:rsidR="009E1409" w:rsidRDefault="008F3961" w:rsidP="00887A6C">
      <w:r>
        <w:t xml:space="preserve">The only uncertainty during the 2016–21 access arrangement </w:t>
      </w:r>
      <w:proofErr w:type="gramStart"/>
      <w:r>
        <w:t>period</w:t>
      </w:r>
      <w:proofErr w:type="gramEnd"/>
      <w:r>
        <w:t xml:space="preserve"> which could impact on the reference services is the </w:t>
      </w:r>
      <w:r w:rsidR="00887A6C">
        <w:t>anticipated connection of the new North East Gas Interconnector</w:t>
      </w:r>
      <w:r w:rsidR="0075210A">
        <w:t xml:space="preserve"> (NEGI)</w:t>
      </w:r>
      <w:r w:rsidR="00887A6C">
        <w:t xml:space="preserve"> to the AGP</w:t>
      </w:r>
      <w:r>
        <w:t xml:space="preserve">. </w:t>
      </w:r>
      <w:r w:rsidR="009E1409" w:rsidRPr="009E1409">
        <w:t xml:space="preserve">As discussed in </w:t>
      </w:r>
      <w:r w:rsidR="009E1409">
        <w:t>the draft decision</w:t>
      </w:r>
      <w:r w:rsidR="009E1409" w:rsidRPr="009E1409">
        <w:t xml:space="preserve"> overview (and further in attachment 12), </w:t>
      </w:r>
      <w:r w:rsidR="009E1409">
        <w:t>r</w:t>
      </w:r>
      <w:r w:rsidR="009E1409" w:rsidRPr="009E1409">
        <w:t>ather than speculate what this uncertainty will mean for the AGP</w:t>
      </w:r>
      <w:r w:rsidR="009E1409">
        <w:t>,</w:t>
      </w:r>
      <w:r w:rsidR="009E1409" w:rsidRPr="009E1409">
        <w:t xml:space="preserve"> our draft decision requires</w:t>
      </w:r>
      <w:r w:rsidR="00D419DC">
        <w:t xml:space="preserve"> APTNT to include</w:t>
      </w:r>
      <w:r w:rsidR="009E1409" w:rsidRPr="009E1409">
        <w:t xml:space="preserve"> a trigger for acceleration of the review submission date</w:t>
      </w:r>
      <w:r w:rsidR="009E1409">
        <w:t>. This trigger</w:t>
      </w:r>
      <w:r w:rsidR="009E1409" w:rsidRPr="009E1409">
        <w:t xml:space="preserve"> will allow APTNT, stakeholders and us to consider the implications of the NEGI for the access arrangement as a whole, when sufficient information becomes available. </w:t>
      </w:r>
    </w:p>
    <w:p w:rsidR="006C2FD3" w:rsidRDefault="00FE314D" w:rsidP="006C2FD3">
      <w:pPr>
        <w:pStyle w:val="Heading3"/>
      </w:pPr>
      <w:bookmarkStart w:id="21" w:name="_Toc436035751"/>
      <w:r>
        <w:t>Non–</w:t>
      </w:r>
      <w:r w:rsidR="006C2FD3">
        <w:t>reference services</w:t>
      </w:r>
      <w:bookmarkEnd w:id="21"/>
    </w:p>
    <w:p w:rsidR="00E45C76" w:rsidRDefault="00586B77" w:rsidP="00872A7C">
      <w:r>
        <w:t xml:space="preserve">APTNT </w:t>
      </w:r>
      <w:r w:rsidR="007F74FA">
        <w:t>propose</w:t>
      </w:r>
      <w:r w:rsidR="00872A7C">
        <w:t>d</w:t>
      </w:r>
      <w:r w:rsidR="007F74FA">
        <w:t xml:space="preserve"> to offer the following non</w:t>
      </w:r>
      <w:r w:rsidR="007F74FA">
        <w:noBreakHyphen/>
        <w:t>reference services:</w:t>
      </w:r>
      <w:r w:rsidR="00E45C76">
        <w:t xml:space="preserve"> </w:t>
      </w:r>
    </w:p>
    <w:p w:rsidR="000D276D" w:rsidRDefault="00E45C76" w:rsidP="007F74FA">
      <w:pPr>
        <w:pStyle w:val="AERbulletlistfirststyle"/>
      </w:pPr>
      <w:r>
        <w:t>interruptible service</w:t>
      </w:r>
      <w:r w:rsidR="007F74FA">
        <w:t>—</w:t>
      </w:r>
      <w:r w:rsidR="000D276D">
        <w:t>a</w:t>
      </w:r>
      <w:r w:rsidR="00B663C9">
        <w:t xml:space="preserve"> gas transport</w:t>
      </w:r>
      <w:r w:rsidR="000D276D">
        <w:t xml:space="preserve"> </w:t>
      </w:r>
      <w:r w:rsidR="007F74FA">
        <w:t>service from any receipt point to any deliver</w:t>
      </w:r>
      <w:r w:rsidR="00B663C9">
        <w:t>y</w:t>
      </w:r>
      <w:r w:rsidR="007F74FA">
        <w:t xml:space="preserve"> point on the </w:t>
      </w:r>
      <w:r w:rsidR="000D276D">
        <w:t>AGP</w:t>
      </w:r>
      <w:r w:rsidR="007F74FA">
        <w:t>, where APTNT is entitle</w:t>
      </w:r>
      <w:r w:rsidR="00A677B7">
        <w:t>d</w:t>
      </w:r>
      <w:r w:rsidR="007F74FA">
        <w:t xml:space="preserve"> to cease</w:t>
      </w:r>
      <w:r w:rsidR="000D276D">
        <w:t xml:space="preserve"> (or interrupt) the</w:t>
      </w:r>
      <w:r w:rsidR="007F74FA">
        <w:t xml:space="preserve"> recei</w:t>
      </w:r>
      <w:r w:rsidR="00B663C9">
        <w:t>pt</w:t>
      </w:r>
      <w:r w:rsidR="000D276D">
        <w:t xml:space="preserve"> of</w:t>
      </w:r>
      <w:r w:rsidR="007F74FA">
        <w:t xml:space="preserve"> gas from, or deliver</w:t>
      </w:r>
      <w:r w:rsidR="00B663C9">
        <w:t>y</w:t>
      </w:r>
      <w:r w:rsidR="000D276D">
        <w:t xml:space="preserve"> of</w:t>
      </w:r>
      <w:r w:rsidR="007F74FA">
        <w:t xml:space="preserve"> gas to, the user when</w:t>
      </w:r>
      <w:r w:rsidR="000D276D">
        <w:t>:</w:t>
      </w:r>
    </w:p>
    <w:p w:rsidR="000D276D" w:rsidRDefault="007F74FA" w:rsidP="00B663C9">
      <w:pPr>
        <w:pStyle w:val="AERbulletlistsecondstyle"/>
      </w:pPr>
      <w:r>
        <w:t xml:space="preserve">the pipeline capacity is constrained/curtailed, or </w:t>
      </w:r>
    </w:p>
    <w:p w:rsidR="00E45C76" w:rsidRDefault="007F74FA" w:rsidP="00B663C9">
      <w:pPr>
        <w:pStyle w:val="AERbulletlistsecondstyle"/>
      </w:pPr>
      <w:r>
        <w:t>to meet the capacity requirements of other users of the firm service</w:t>
      </w:r>
    </w:p>
    <w:p w:rsidR="00E45C76" w:rsidRDefault="00E45C76" w:rsidP="007F74FA">
      <w:pPr>
        <w:pStyle w:val="AERbulletlistfirststyle"/>
      </w:pPr>
      <w:proofErr w:type="gramStart"/>
      <w:r>
        <w:t>negotiated</w:t>
      </w:r>
      <w:proofErr w:type="gramEnd"/>
      <w:r>
        <w:t xml:space="preserve"> service</w:t>
      </w:r>
      <w:r w:rsidR="007F74FA">
        <w:t>—</w:t>
      </w:r>
      <w:r w:rsidR="000D276D">
        <w:t xml:space="preserve">a </w:t>
      </w:r>
      <w:r w:rsidR="007F74FA">
        <w:t>service negotiated to meet the needs of a user which differ from those of the firm or interruptible service, including potential as available services.</w:t>
      </w:r>
      <w:r w:rsidR="007F74FA">
        <w:rPr>
          <w:rStyle w:val="FootnoteReference"/>
        </w:rPr>
        <w:footnoteReference w:id="8"/>
      </w:r>
    </w:p>
    <w:p w:rsidR="006C2FD3" w:rsidRPr="00474EC7" w:rsidRDefault="00586B77" w:rsidP="00586B77">
      <w:r>
        <w:t xml:space="preserve">The AER </w:t>
      </w:r>
      <w:r w:rsidR="00490145">
        <w:t>agrees</w:t>
      </w:r>
      <w:r>
        <w:t xml:space="preserve"> that </w:t>
      </w:r>
      <w:r w:rsidR="00872A7C">
        <w:t>the above</w:t>
      </w:r>
      <w:r>
        <w:t xml:space="preserve"> services </w:t>
      </w:r>
      <w:r w:rsidR="00872A7C">
        <w:t>are non-reference services as they are</w:t>
      </w:r>
      <w:r>
        <w:t xml:space="preserve"> not likely to be sought by a significant part of the market and should </w:t>
      </w:r>
      <w:r w:rsidR="002249DA">
        <w:t xml:space="preserve">not </w:t>
      </w:r>
      <w:r>
        <w:t>be specified as a reference service.</w:t>
      </w:r>
      <w:r>
        <w:rPr>
          <w:rStyle w:val="FootnoteReference"/>
        </w:rPr>
        <w:footnoteReference w:id="9"/>
      </w:r>
      <w:r>
        <w:t xml:space="preserve">  </w:t>
      </w:r>
    </w:p>
    <w:sectPr w:rsidR="006C2FD3"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E16CC3">
          <w:rPr>
            <w:noProof/>
          </w:rPr>
          <w:t>1-3</w:t>
        </w:r>
        <w:r w:rsidRPr="00CA52A2">
          <w:fldChar w:fldCharType="end"/>
        </w:r>
        <w:r w:rsidRPr="00CA52A2">
          <w:t xml:space="preserve">          Attachment </w:t>
        </w:r>
        <w:r w:rsidR="0043063C">
          <w:t>1</w:t>
        </w:r>
        <w:r w:rsidR="00CF6EDE">
          <w:t xml:space="preserve"> </w:t>
        </w:r>
        <w:r w:rsidR="006553B6" w:rsidRPr="00CA52A2">
          <w:t xml:space="preserve">– </w:t>
        </w:r>
        <w:r w:rsidR="0043063C">
          <w:t>Services covered by the access arrangement</w:t>
        </w:r>
        <w:r w:rsidR="00EA2300">
          <w:t xml:space="preserve"> </w:t>
        </w:r>
        <w:r w:rsidRPr="00CA52A2">
          <w:t xml:space="preserve">| </w:t>
        </w:r>
        <w:r w:rsidR="00CF2C05">
          <w:t xml:space="preserve">Draft decision: </w:t>
        </w:r>
        <w:r w:rsidR="000D64F2">
          <w:t>Amadeu</w:t>
        </w:r>
        <w:r w:rsidR="00C275C4">
          <w:t>s</w:t>
        </w:r>
        <w:r w:rsidR="005A2A35">
          <w:t xml:space="preserve"> Gas Pipeline </w:t>
        </w:r>
        <w:r w:rsidR="00CF2C05">
          <w:t>Access Arrangement</w:t>
        </w:r>
        <w:r w:rsidR="001B7D00">
          <w:t xml:space="preserve"> 2016</w:t>
        </w:r>
        <w:r w:rsidRPr="00CA52A2">
          <w:t>–</w:t>
        </w:r>
        <w:r w:rsidR="001B7D00">
          <w:t>2</w:t>
        </w:r>
        <w:r w:rsidR="00EE77FA">
          <w:t>1</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167BB9" w:rsidRDefault="00167BB9">
      <w:pPr>
        <w:pStyle w:val="FootnoteText"/>
      </w:pPr>
      <w:r>
        <w:rPr>
          <w:rStyle w:val="FootnoteReference"/>
        </w:rPr>
        <w:footnoteRef/>
      </w:r>
      <w:r>
        <w:t xml:space="preserve"> </w:t>
      </w:r>
      <w:r>
        <w:tab/>
        <w:t xml:space="preserve">NGR, </w:t>
      </w:r>
      <w:proofErr w:type="spellStart"/>
      <w:proofErr w:type="gramStart"/>
      <w:r>
        <w:t>r</w:t>
      </w:r>
      <w:r w:rsidR="005F2640">
        <w:t>r</w:t>
      </w:r>
      <w:proofErr w:type="spellEnd"/>
      <w:proofErr w:type="gramEnd"/>
      <w:r>
        <w:t>. 48(1</w:t>
      </w:r>
      <w:proofErr w:type="gramStart"/>
      <w:r>
        <w:t>)(</w:t>
      </w:r>
      <w:proofErr w:type="gramEnd"/>
      <w:r>
        <w:t>a)</w:t>
      </w:r>
      <w:r w:rsidR="005F2640">
        <w:t>, 48(1)</w:t>
      </w:r>
      <w:r>
        <w:t>(b).</w:t>
      </w:r>
    </w:p>
  </w:footnote>
  <w:footnote w:id="2">
    <w:p w:rsidR="00167BB9" w:rsidRDefault="00167BB9" w:rsidP="00167BB9">
      <w:pPr>
        <w:pStyle w:val="FootnoteText"/>
      </w:pPr>
      <w:r>
        <w:rPr>
          <w:rStyle w:val="FootnoteReference"/>
        </w:rPr>
        <w:footnoteRef/>
      </w:r>
      <w:r>
        <w:t xml:space="preserve"> </w:t>
      </w:r>
      <w:r>
        <w:tab/>
      </w:r>
      <w:proofErr w:type="gramStart"/>
      <w:r>
        <w:t>NGR, r. 48(1).</w:t>
      </w:r>
      <w:proofErr w:type="gramEnd"/>
    </w:p>
  </w:footnote>
  <w:footnote w:id="3">
    <w:p w:rsidR="00887A6C" w:rsidRDefault="00887A6C">
      <w:pPr>
        <w:pStyle w:val="FootnoteText"/>
      </w:pPr>
      <w:r>
        <w:rPr>
          <w:rStyle w:val="FootnoteReference"/>
        </w:rPr>
        <w:footnoteRef/>
      </w:r>
      <w:r>
        <w:t xml:space="preserve"> </w:t>
      </w:r>
      <w:r>
        <w:tab/>
      </w:r>
      <w:r w:rsidR="00FD23CA">
        <w:t>APTNT</w:t>
      </w:r>
      <w:r w:rsidR="00AC167B">
        <w:t xml:space="preserve">, </w:t>
      </w:r>
      <w:r w:rsidR="00AC167B" w:rsidRPr="00AC167B">
        <w:rPr>
          <w:rStyle w:val="AERtextitalic"/>
        </w:rPr>
        <w:t>Access arrangement for the Amadeus Gas Pipeline: 1 July 2016 to 30 June 2021</w:t>
      </w:r>
      <w:r w:rsidR="00AC167B">
        <w:t>, August 2015, cl</w:t>
      </w:r>
      <w:r w:rsidR="005F2640">
        <w:t>.</w:t>
      </w:r>
      <w:r w:rsidR="00AC167B">
        <w:t xml:space="preserve"> 2; APTNT, </w:t>
      </w:r>
      <w:r w:rsidR="00AC167B">
        <w:rPr>
          <w:i/>
        </w:rPr>
        <w:t xml:space="preserve">Amadeus Gas Pipeline access arrangement revision proposal submission, </w:t>
      </w:r>
      <w:r w:rsidR="00AC167B">
        <w:t>August 2015, pp. 23–24.</w:t>
      </w:r>
    </w:p>
  </w:footnote>
  <w:footnote w:id="4">
    <w:p w:rsidR="00971BCC" w:rsidRDefault="00971BCC">
      <w:pPr>
        <w:pStyle w:val="FootnoteText"/>
      </w:pPr>
      <w:r>
        <w:rPr>
          <w:rStyle w:val="FootnoteReference"/>
        </w:rPr>
        <w:footnoteRef/>
      </w:r>
      <w:r>
        <w:t xml:space="preserve"> </w:t>
      </w:r>
      <w:r>
        <w:tab/>
      </w:r>
      <w:proofErr w:type="gramStart"/>
      <w:r>
        <w:t>NGR, r. 48.</w:t>
      </w:r>
      <w:proofErr w:type="gramEnd"/>
    </w:p>
  </w:footnote>
  <w:footnote w:id="5">
    <w:p w:rsidR="00AC167B" w:rsidRDefault="00AC167B" w:rsidP="00CE24B0">
      <w:pPr>
        <w:pStyle w:val="FootnoteText"/>
        <w:tabs>
          <w:tab w:val="left" w:pos="1861"/>
        </w:tabs>
      </w:pPr>
      <w:r>
        <w:rPr>
          <w:rStyle w:val="FootnoteReference"/>
        </w:rPr>
        <w:footnoteRef/>
      </w:r>
      <w:r>
        <w:t xml:space="preserve"> </w:t>
      </w:r>
      <w:r>
        <w:tab/>
      </w:r>
      <w:proofErr w:type="gramStart"/>
      <w:r w:rsidRPr="00AC167B">
        <w:t>NGR, r. 100(a).</w:t>
      </w:r>
      <w:proofErr w:type="gramEnd"/>
      <w:r w:rsidR="00CE24B0">
        <w:tab/>
      </w:r>
    </w:p>
  </w:footnote>
  <w:footnote w:id="6">
    <w:p w:rsidR="00FA35EF" w:rsidRDefault="00FA35EF">
      <w:pPr>
        <w:pStyle w:val="FootnoteText"/>
      </w:pPr>
      <w:r>
        <w:rPr>
          <w:rStyle w:val="FootnoteReference"/>
        </w:rPr>
        <w:footnoteRef/>
      </w:r>
      <w:r>
        <w:t xml:space="preserve"> </w:t>
      </w:r>
      <w:r>
        <w:tab/>
      </w:r>
      <w:proofErr w:type="gramStart"/>
      <w:r>
        <w:t>NGR, r. 101(2).</w:t>
      </w:r>
      <w:proofErr w:type="gramEnd"/>
    </w:p>
  </w:footnote>
  <w:footnote w:id="7">
    <w:p w:rsidR="007C3698" w:rsidRDefault="007C3698">
      <w:pPr>
        <w:pStyle w:val="FootnoteText"/>
      </w:pPr>
      <w:r>
        <w:rPr>
          <w:rStyle w:val="FootnoteReference"/>
        </w:rPr>
        <w:footnoteRef/>
      </w:r>
      <w:r>
        <w:t xml:space="preserve"> </w:t>
      </w:r>
      <w:r>
        <w:tab/>
      </w:r>
      <w:proofErr w:type="gramStart"/>
      <w:r>
        <w:t xml:space="preserve">APTNT, </w:t>
      </w:r>
      <w:r>
        <w:rPr>
          <w:i/>
        </w:rPr>
        <w:t xml:space="preserve">Amadeus Gas Pipeline access arrangement revision proposal submission, </w:t>
      </w:r>
      <w:r>
        <w:t>August 2015, pp. 23–24</w:t>
      </w:r>
      <w:r w:rsidR="007F74FA">
        <w:t>.</w:t>
      </w:r>
      <w:proofErr w:type="gramEnd"/>
    </w:p>
  </w:footnote>
  <w:footnote w:id="8">
    <w:p w:rsidR="007F74FA" w:rsidRDefault="007F74FA">
      <w:pPr>
        <w:pStyle w:val="FootnoteText"/>
      </w:pPr>
      <w:r>
        <w:rPr>
          <w:rStyle w:val="FootnoteReference"/>
        </w:rPr>
        <w:footnoteRef/>
      </w:r>
      <w:r>
        <w:t xml:space="preserve"> </w:t>
      </w:r>
      <w:r>
        <w:tab/>
      </w:r>
      <w:proofErr w:type="gramStart"/>
      <w:r>
        <w:t xml:space="preserve">APTNT, </w:t>
      </w:r>
      <w:r>
        <w:rPr>
          <w:i/>
        </w:rPr>
        <w:t xml:space="preserve">Amadeus Gas Pipeline access arrangement revision proposal submission, </w:t>
      </w:r>
      <w:r>
        <w:t>August 2015, p. 23.</w:t>
      </w:r>
      <w:proofErr w:type="gramEnd"/>
    </w:p>
  </w:footnote>
  <w:footnote w:id="9">
    <w:p w:rsidR="00586B77" w:rsidRDefault="00586B77" w:rsidP="00586B77">
      <w:pPr>
        <w:pStyle w:val="FootnoteText"/>
      </w:pPr>
      <w:r>
        <w:rPr>
          <w:rStyle w:val="FootnoteReference"/>
        </w:rPr>
        <w:footnoteRef/>
      </w:r>
      <w:r>
        <w:t xml:space="preserve"> </w:t>
      </w:r>
      <w:r>
        <w:tab/>
      </w:r>
      <w:proofErr w:type="gramStart"/>
      <w:r>
        <w:t xml:space="preserve">NGR, r. </w:t>
      </w:r>
      <w:r w:rsidR="009E22A3">
        <w:t>101.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E16CC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E16CC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7823C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2jDksrGGnjQ/UA7C8ddQESCSI+9hjLITO2ZF4atCQ=" w:saltValue="osqbYgzrKrOw1VjkumDNX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21202"/>
    <w:rsid w:val="00021C2B"/>
    <w:rsid w:val="0002517F"/>
    <w:rsid w:val="00026495"/>
    <w:rsid w:val="0003578C"/>
    <w:rsid w:val="000401AF"/>
    <w:rsid w:val="00060D7C"/>
    <w:rsid w:val="00063247"/>
    <w:rsid w:val="00070F9F"/>
    <w:rsid w:val="0007137B"/>
    <w:rsid w:val="00085663"/>
    <w:rsid w:val="00085EBF"/>
    <w:rsid w:val="00091B15"/>
    <w:rsid w:val="000A3020"/>
    <w:rsid w:val="000A6C7B"/>
    <w:rsid w:val="000C2B40"/>
    <w:rsid w:val="000D06C1"/>
    <w:rsid w:val="000D122C"/>
    <w:rsid w:val="000D276D"/>
    <w:rsid w:val="000D3016"/>
    <w:rsid w:val="000D64F2"/>
    <w:rsid w:val="000E1819"/>
    <w:rsid w:val="000E4821"/>
    <w:rsid w:val="000E6C72"/>
    <w:rsid w:val="000F0B2B"/>
    <w:rsid w:val="000F3E72"/>
    <w:rsid w:val="000F48B1"/>
    <w:rsid w:val="00103A67"/>
    <w:rsid w:val="00116EB2"/>
    <w:rsid w:val="00124609"/>
    <w:rsid w:val="00126A4C"/>
    <w:rsid w:val="00135205"/>
    <w:rsid w:val="001427DD"/>
    <w:rsid w:val="00142AB6"/>
    <w:rsid w:val="0014573B"/>
    <w:rsid w:val="001573E4"/>
    <w:rsid w:val="00160756"/>
    <w:rsid w:val="00167BB9"/>
    <w:rsid w:val="0017232E"/>
    <w:rsid w:val="00174102"/>
    <w:rsid w:val="001754EE"/>
    <w:rsid w:val="00180157"/>
    <w:rsid w:val="00185CB9"/>
    <w:rsid w:val="00186F77"/>
    <w:rsid w:val="00191695"/>
    <w:rsid w:val="001926A4"/>
    <w:rsid w:val="00192AD5"/>
    <w:rsid w:val="001B45A0"/>
    <w:rsid w:val="001B7D00"/>
    <w:rsid w:val="001D055E"/>
    <w:rsid w:val="001D0EB2"/>
    <w:rsid w:val="001F05A4"/>
    <w:rsid w:val="001F492E"/>
    <w:rsid w:val="001F6DA3"/>
    <w:rsid w:val="002010BC"/>
    <w:rsid w:val="002016E7"/>
    <w:rsid w:val="00201F98"/>
    <w:rsid w:val="00202E03"/>
    <w:rsid w:val="0020478D"/>
    <w:rsid w:val="0020492C"/>
    <w:rsid w:val="00205A33"/>
    <w:rsid w:val="002249DA"/>
    <w:rsid w:val="00224DB9"/>
    <w:rsid w:val="00227DCE"/>
    <w:rsid w:val="0023276C"/>
    <w:rsid w:val="00233775"/>
    <w:rsid w:val="00251745"/>
    <w:rsid w:val="00263AC0"/>
    <w:rsid w:val="00264264"/>
    <w:rsid w:val="0026772D"/>
    <w:rsid w:val="00286874"/>
    <w:rsid w:val="00290C63"/>
    <w:rsid w:val="00296B65"/>
    <w:rsid w:val="002A126B"/>
    <w:rsid w:val="002A7DEF"/>
    <w:rsid w:val="002B1003"/>
    <w:rsid w:val="002B573C"/>
    <w:rsid w:val="002C233C"/>
    <w:rsid w:val="002D72E8"/>
    <w:rsid w:val="002E7B22"/>
    <w:rsid w:val="002F4731"/>
    <w:rsid w:val="002F7986"/>
    <w:rsid w:val="00301B40"/>
    <w:rsid w:val="003029EE"/>
    <w:rsid w:val="0030370B"/>
    <w:rsid w:val="00305CC8"/>
    <w:rsid w:val="00307F6D"/>
    <w:rsid w:val="003177A2"/>
    <w:rsid w:val="003271B5"/>
    <w:rsid w:val="00327A1E"/>
    <w:rsid w:val="00331264"/>
    <w:rsid w:val="00334C8D"/>
    <w:rsid w:val="00342761"/>
    <w:rsid w:val="00343A18"/>
    <w:rsid w:val="00344473"/>
    <w:rsid w:val="003518B3"/>
    <w:rsid w:val="00352319"/>
    <w:rsid w:val="00373280"/>
    <w:rsid w:val="003846F1"/>
    <w:rsid w:val="003931A7"/>
    <w:rsid w:val="003B484F"/>
    <w:rsid w:val="003B7FBA"/>
    <w:rsid w:val="003F174D"/>
    <w:rsid w:val="003F7442"/>
    <w:rsid w:val="00415F31"/>
    <w:rsid w:val="00423348"/>
    <w:rsid w:val="00423A77"/>
    <w:rsid w:val="0043063C"/>
    <w:rsid w:val="0045777E"/>
    <w:rsid w:val="00474EC7"/>
    <w:rsid w:val="00475456"/>
    <w:rsid w:val="00480B4B"/>
    <w:rsid w:val="00485DC4"/>
    <w:rsid w:val="00487B6B"/>
    <w:rsid w:val="00490145"/>
    <w:rsid w:val="004A43D1"/>
    <w:rsid w:val="004B355D"/>
    <w:rsid w:val="004B4412"/>
    <w:rsid w:val="004C0383"/>
    <w:rsid w:val="004C348C"/>
    <w:rsid w:val="004D55BA"/>
    <w:rsid w:val="004E22EC"/>
    <w:rsid w:val="004F6A0E"/>
    <w:rsid w:val="00530128"/>
    <w:rsid w:val="00532467"/>
    <w:rsid w:val="00537FD6"/>
    <w:rsid w:val="00564A4D"/>
    <w:rsid w:val="0056588A"/>
    <w:rsid w:val="00567BA5"/>
    <w:rsid w:val="00571B35"/>
    <w:rsid w:val="00571D57"/>
    <w:rsid w:val="00577A09"/>
    <w:rsid w:val="005829C2"/>
    <w:rsid w:val="00584D8F"/>
    <w:rsid w:val="00586819"/>
    <w:rsid w:val="00586B77"/>
    <w:rsid w:val="0059704C"/>
    <w:rsid w:val="005A2A35"/>
    <w:rsid w:val="005A2A98"/>
    <w:rsid w:val="005A404D"/>
    <w:rsid w:val="005B1E3C"/>
    <w:rsid w:val="005B3FB7"/>
    <w:rsid w:val="005B704A"/>
    <w:rsid w:val="005C0A7F"/>
    <w:rsid w:val="005C26CC"/>
    <w:rsid w:val="005C4C9C"/>
    <w:rsid w:val="005C7FF7"/>
    <w:rsid w:val="005D7BA2"/>
    <w:rsid w:val="005E36C2"/>
    <w:rsid w:val="005F2640"/>
    <w:rsid w:val="006007DE"/>
    <w:rsid w:val="00601638"/>
    <w:rsid w:val="00606441"/>
    <w:rsid w:val="00610EF9"/>
    <w:rsid w:val="00612F4F"/>
    <w:rsid w:val="00615C6B"/>
    <w:rsid w:val="0062129E"/>
    <w:rsid w:val="00621DCE"/>
    <w:rsid w:val="00632D6D"/>
    <w:rsid w:val="00642C3E"/>
    <w:rsid w:val="00651C3A"/>
    <w:rsid w:val="00651CB2"/>
    <w:rsid w:val="006553B6"/>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2FD3"/>
    <w:rsid w:val="006C4798"/>
    <w:rsid w:val="006D550F"/>
    <w:rsid w:val="006F3AD1"/>
    <w:rsid w:val="006F3FC8"/>
    <w:rsid w:val="0070011E"/>
    <w:rsid w:val="00701CAB"/>
    <w:rsid w:val="00707563"/>
    <w:rsid w:val="0072348C"/>
    <w:rsid w:val="00724A37"/>
    <w:rsid w:val="007303C3"/>
    <w:rsid w:val="00741C46"/>
    <w:rsid w:val="00741E23"/>
    <w:rsid w:val="007429BE"/>
    <w:rsid w:val="00743223"/>
    <w:rsid w:val="00746E01"/>
    <w:rsid w:val="00747EEA"/>
    <w:rsid w:val="0075210A"/>
    <w:rsid w:val="00757364"/>
    <w:rsid w:val="00757BDF"/>
    <w:rsid w:val="007609D0"/>
    <w:rsid w:val="00763E5D"/>
    <w:rsid w:val="00767740"/>
    <w:rsid w:val="00777EE6"/>
    <w:rsid w:val="00782EEA"/>
    <w:rsid w:val="007B186E"/>
    <w:rsid w:val="007B2C72"/>
    <w:rsid w:val="007C1C53"/>
    <w:rsid w:val="007C3698"/>
    <w:rsid w:val="007C74BB"/>
    <w:rsid w:val="007D456E"/>
    <w:rsid w:val="007E4904"/>
    <w:rsid w:val="007E4CB5"/>
    <w:rsid w:val="007F066B"/>
    <w:rsid w:val="007F213A"/>
    <w:rsid w:val="007F74FA"/>
    <w:rsid w:val="007F75C4"/>
    <w:rsid w:val="008033C4"/>
    <w:rsid w:val="00806C88"/>
    <w:rsid w:val="0081034E"/>
    <w:rsid w:val="008221F2"/>
    <w:rsid w:val="00825985"/>
    <w:rsid w:val="008344F6"/>
    <w:rsid w:val="0083510F"/>
    <w:rsid w:val="008408C5"/>
    <w:rsid w:val="00851209"/>
    <w:rsid w:val="0085722A"/>
    <w:rsid w:val="00864B35"/>
    <w:rsid w:val="00872A7C"/>
    <w:rsid w:val="00882481"/>
    <w:rsid w:val="008837AC"/>
    <w:rsid w:val="00884CDB"/>
    <w:rsid w:val="00887A6C"/>
    <w:rsid w:val="008A587D"/>
    <w:rsid w:val="008B35CD"/>
    <w:rsid w:val="008B5FCC"/>
    <w:rsid w:val="008B7544"/>
    <w:rsid w:val="008C3374"/>
    <w:rsid w:val="008C5486"/>
    <w:rsid w:val="008C5970"/>
    <w:rsid w:val="008C708B"/>
    <w:rsid w:val="008D1661"/>
    <w:rsid w:val="008D6800"/>
    <w:rsid w:val="008E1110"/>
    <w:rsid w:val="008E7031"/>
    <w:rsid w:val="008E77DE"/>
    <w:rsid w:val="008F02B2"/>
    <w:rsid w:val="008F07A3"/>
    <w:rsid w:val="008F34DD"/>
    <w:rsid w:val="008F3961"/>
    <w:rsid w:val="009001B6"/>
    <w:rsid w:val="00900E1B"/>
    <w:rsid w:val="00901C3C"/>
    <w:rsid w:val="00914D8C"/>
    <w:rsid w:val="009233EE"/>
    <w:rsid w:val="009272AD"/>
    <w:rsid w:val="009277DC"/>
    <w:rsid w:val="009460AA"/>
    <w:rsid w:val="00951978"/>
    <w:rsid w:val="00961A4A"/>
    <w:rsid w:val="009661DE"/>
    <w:rsid w:val="00971BCC"/>
    <w:rsid w:val="00983C25"/>
    <w:rsid w:val="009856B7"/>
    <w:rsid w:val="00985C86"/>
    <w:rsid w:val="009A2EC3"/>
    <w:rsid w:val="009A5113"/>
    <w:rsid w:val="009A5FC3"/>
    <w:rsid w:val="009B6F84"/>
    <w:rsid w:val="009B74B0"/>
    <w:rsid w:val="009D3906"/>
    <w:rsid w:val="009D6B46"/>
    <w:rsid w:val="009E1409"/>
    <w:rsid w:val="009E22A3"/>
    <w:rsid w:val="009F4940"/>
    <w:rsid w:val="009F5BA1"/>
    <w:rsid w:val="00A02A88"/>
    <w:rsid w:val="00A0562E"/>
    <w:rsid w:val="00A06085"/>
    <w:rsid w:val="00A0726D"/>
    <w:rsid w:val="00A32FBB"/>
    <w:rsid w:val="00A428EE"/>
    <w:rsid w:val="00A4478A"/>
    <w:rsid w:val="00A44852"/>
    <w:rsid w:val="00A4650A"/>
    <w:rsid w:val="00A50502"/>
    <w:rsid w:val="00A55DEC"/>
    <w:rsid w:val="00A57D04"/>
    <w:rsid w:val="00A60A26"/>
    <w:rsid w:val="00A61598"/>
    <w:rsid w:val="00A677B7"/>
    <w:rsid w:val="00A84A99"/>
    <w:rsid w:val="00A84F46"/>
    <w:rsid w:val="00A871F4"/>
    <w:rsid w:val="00AC167B"/>
    <w:rsid w:val="00AC1B2C"/>
    <w:rsid w:val="00AC3264"/>
    <w:rsid w:val="00AE1BF1"/>
    <w:rsid w:val="00AF0DD2"/>
    <w:rsid w:val="00B0209D"/>
    <w:rsid w:val="00B07CEA"/>
    <w:rsid w:val="00B13048"/>
    <w:rsid w:val="00B1716D"/>
    <w:rsid w:val="00B17A1D"/>
    <w:rsid w:val="00B207A0"/>
    <w:rsid w:val="00B40CAA"/>
    <w:rsid w:val="00B514DD"/>
    <w:rsid w:val="00B51F3F"/>
    <w:rsid w:val="00B52AF0"/>
    <w:rsid w:val="00B561BD"/>
    <w:rsid w:val="00B56E03"/>
    <w:rsid w:val="00B61EDF"/>
    <w:rsid w:val="00B663C9"/>
    <w:rsid w:val="00B757A6"/>
    <w:rsid w:val="00B8080B"/>
    <w:rsid w:val="00B82223"/>
    <w:rsid w:val="00B87BA5"/>
    <w:rsid w:val="00B87C39"/>
    <w:rsid w:val="00B9562D"/>
    <w:rsid w:val="00BA4665"/>
    <w:rsid w:val="00BB2FB2"/>
    <w:rsid w:val="00BB3304"/>
    <w:rsid w:val="00BB3FD7"/>
    <w:rsid w:val="00BB7528"/>
    <w:rsid w:val="00BD310B"/>
    <w:rsid w:val="00BD3446"/>
    <w:rsid w:val="00BE1F1B"/>
    <w:rsid w:val="00BE47B5"/>
    <w:rsid w:val="00C04223"/>
    <w:rsid w:val="00C25FA6"/>
    <w:rsid w:val="00C275C4"/>
    <w:rsid w:val="00C42ACA"/>
    <w:rsid w:val="00C538A9"/>
    <w:rsid w:val="00C53B5A"/>
    <w:rsid w:val="00C54F5A"/>
    <w:rsid w:val="00C569B4"/>
    <w:rsid w:val="00C56A3E"/>
    <w:rsid w:val="00C67A92"/>
    <w:rsid w:val="00C7497E"/>
    <w:rsid w:val="00C81ADA"/>
    <w:rsid w:val="00C84560"/>
    <w:rsid w:val="00C84F52"/>
    <w:rsid w:val="00C85A52"/>
    <w:rsid w:val="00C86679"/>
    <w:rsid w:val="00CA42AD"/>
    <w:rsid w:val="00CA489E"/>
    <w:rsid w:val="00CA52A2"/>
    <w:rsid w:val="00CB0279"/>
    <w:rsid w:val="00CB666B"/>
    <w:rsid w:val="00CC53A7"/>
    <w:rsid w:val="00CC7F1D"/>
    <w:rsid w:val="00CE24B0"/>
    <w:rsid w:val="00CE484B"/>
    <w:rsid w:val="00CF0DEE"/>
    <w:rsid w:val="00CF2C05"/>
    <w:rsid w:val="00CF6EDE"/>
    <w:rsid w:val="00D006AE"/>
    <w:rsid w:val="00D01CF0"/>
    <w:rsid w:val="00D01EFD"/>
    <w:rsid w:val="00D0442A"/>
    <w:rsid w:val="00D17683"/>
    <w:rsid w:val="00D176B8"/>
    <w:rsid w:val="00D4081D"/>
    <w:rsid w:val="00D419DC"/>
    <w:rsid w:val="00D45694"/>
    <w:rsid w:val="00D61388"/>
    <w:rsid w:val="00D61A54"/>
    <w:rsid w:val="00D62151"/>
    <w:rsid w:val="00D64DEA"/>
    <w:rsid w:val="00D7168E"/>
    <w:rsid w:val="00D71E57"/>
    <w:rsid w:val="00D75AA2"/>
    <w:rsid w:val="00D80893"/>
    <w:rsid w:val="00D83C34"/>
    <w:rsid w:val="00D84854"/>
    <w:rsid w:val="00D848B4"/>
    <w:rsid w:val="00D87DF0"/>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DF726B"/>
    <w:rsid w:val="00E04818"/>
    <w:rsid w:val="00E06442"/>
    <w:rsid w:val="00E06BCF"/>
    <w:rsid w:val="00E1001C"/>
    <w:rsid w:val="00E16CC3"/>
    <w:rsid w:val="00E201E7"/>
    <w:rsid w:val="00E23993"/>
    <w:rsid w:val="00E257D6"/>
    <w:rsid w:val="00E25B8C"/>
    <w:rsid w:val="00E45C76"/>
    <w:rsid w:val="00E51D65"/>
    <w:rsid w:val="00E6200B"/>
    <w:rsid w:val="00E65C85"/>
    <w:rsid w:val="00E66199"/>
    <w:rsid w:val="00E711C7"/>
    <w:rsid w:val="00E755EC"/>
    <w:rsid w:val="00E7624D"/>
    <w:rsid w:val="00EA2300"/>
    <w:rsid w:val="00EA3D42"/>
    <w:rsid w:val="00EA6B1B"/>
    <w:rsid w:val="00EB5BC8"/>
    <w:rsid w:val="00EB606C"/>
    <w:rsid w:val="00EB7D24"/>
    <w:rsid w:val="00EC04F1"/>
    <w:rsid w:val="00ED0EC2"/>
    <w:rsid w:val="00ED5A08"/>
    <w:rsid w:val="00ED7323"/>
    <w:rsid w:val="00EE28F3"/>
    <w:rsid w:val="00EE50D1"/>
    <w:rsid w:val="00EE77FA"/>
    <w:rsid w:val="00EF5110"/>
    <w:rsid w:val="00F0334E"/>
    <w:rsid w:val="00F10411"/>
    <w:rsid w:val="00F1268A"/>
    <w:rsid w:val="00F15882"/>
    <w:rsid w:val="00F171E0"/>
    <w:rsid w:val="00F20BD3"/>
    <w:rsid w:val="00F2526A"/>
    <w:rsid w:val="00F31772"/>
    <w:rsid w:val="00F373A5"/>
    <w:rsid w:val="00F47559"/>
    <w:rsid w:val="00F61176"/>
    <w:rsid w:val="00F633EC"/>
    <w:rsid w:val="00F64C7B"/>
    <w:rsid w:val="00F65B25"/>
    <w:rsid w:val="00F676DD"/>
    <w:rsid w:val="00F71667"/>
    <w:rsid w:val="00F75A26"/>
    <w:rsid w:val="00F76706"/>
    <w:rsid w:val="00F768C8"/>
    <w:rsid w:val="00F81B8D"/>
    <w:rsid w:val="00F83FAD"/>
    <w:rsid w:val="00F8653A"/>
    <w:rsid w:val="00F92349"/>
    <w:rsid w:val="00F952A0"/>
    <w:rsid w:val="00FA35EF"/>
    <w:rsid w:val="00FA3C7F"/>
    <w:rsid w:val="00FB4402"/>
    <w:rsid w:val="00FB60FE"/>
    <w:rsid w:val="00FB74E2"/>
    <w:rsid w:val="00FC71DC"/>
    <w:rsid w:val="00FD23CA"/>
    <w:rsid w:val="00FD2ED2"/>
    <w:rsid w:val="00FD51A2"/>
    <w:rsid w:val="00FD5614"/>
    <w:rsid w:val="00FD5E78"/>
    <w:rsid w:val="00FE0BE1"/>
    <w:rsid w:val="00FE1DE9"/>
    <w:rsid w:val="00FE314D"/>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6C2A30-9FA9-4325-99AA-0842C723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5EBA6D1</Template>
  <TotalTime>0</TotalTime>
  <Pages>9</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2015-11-23T22:17:00Z</dcterms:created>
  <dcterms:modified xsi:type="dcterms:W3CDTF">2015-11-23T22:17:00Z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8432661</vt:lpwstr>
  </property>
</Properties>
</file>