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408ABB6" wp14:editId="2BB01E4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13</w:t>
          </w:r>
          <w:r w:rsidR="00DA4752">
            <w:t xml:space="preserve"> </w:t>
          </w:r>
          <w:r w:rsidR="00415F31">
            <w:rPr>
              <w:rFonts w:cs="Arial"/>
            </w:rPr>
            <w:t>–</w:t>
          </w:r>
          <w:r w:rsidR="00DA4752">
            <w:t xml:space="preserve"> </w:t>
          </w:r>
          <w:r w:rsidR="00A06085">
            <w:t>Demand</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509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509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355EF" w:rsidRDefault="009355EF">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5091" w:history="1">
            <w:r w:rsidRPr="000D654C">
              <w:rPr>
                <w:rStyle w:val="Hyperlink"/>
              </w:rPr>
              <w:t>Note</w:t>
            </w:r>
            <w:r>
              <w:rPr>
                <w:webHidden/>
              </w:rPr>
              <w:tab/>
            </w:r>
            <w:r>
              <w:rPr>
                <w:webHidden/>
              </w:rPr>
              <w:fldChar w:fldCharType="begin"/>
            </w:r>
            <w:r>
              <w:rPr>
                <w:webHidden/>
              </w:rPr>
              <w:instrText xml:space="preserve"> PAGEREF _Toc436045091 \h </w:instrText>
            </w:r>
            <w:r>
              <w:rPr>
                <w:webHidden/>
              </w:rPr>
            </w:r>
            <w:r>
              <w:rPr>
                <w:webHidden/>
              </w:rPr>
              <w:fldChar w:fldCharType="separate"/>
            </w:r>
            <w:r>
              <w:rPr>
                <w:webHidden/>
              </w:rPr>
              <w:t>13-2</w:t>
            </w:r>
            <w:r>
              <w:rPr>
                <w:webHidden/>
              </w:rPr>
              <w:fldChar w:fldCharType="end"/>
            </w:r>
          </w:hyperlink>
        </w:p>
        <w:p w:rsidR="009355EF" w:rsidRDefault="009355EF">
          <w:pPr>
            <w:pStyle w:val="TOC1"/>
            <w:rPr>
              <w:rFonts w:asciiTheme="minorHAnsi" w:eastAsiaTheme="minorEastAsia" w:hAnsiTheme="minorHAnsi"/>
              <w:b w:val="0"/>
              <w:color w:val="auto"/>
              <w:sz w:val="22"/>
              <w:lang w:val="en-AU" w:eastAsia="en-AU"/>
            </w:rPr>
          </w:pPr>
          <w:hyperlink w:anchor="_Toc436045092" w:history="1">
            <w:r w:rsidRPr="000D654C">
              <w:rPr>
                <w:rStyle w:val="Hyperlink"/>
              </w:rPr>
              <w:t>Contents</w:t>
            </w:r>
            <w:r>
              <w:rPr>
                <w:webHidden/>
              </w:rPr>
              <w:tab/>
            </w:r>
            <w:r>
              <w:rPr>
                <w:webHidden/>
              </w:rPr>
              <w:fldChar w:fldCharType="begin"/>
            </w:r>
            <w:r>
              <w:rPr>
                <w:webHidden/>
              </w:rPr>
              <w:instrText xml:space="preserve"> PAGEREF _Toc436045092 \h </w:instrText>
            </w:r>
            <w:r>
              <w:rPr>
                <w:webHidden/>
              </w:rPr>
            </w:r>
            <w:r>
              <w:rPr>
                <w:webHidden/>
              </w:rPr>
              <w:fldChar w:fldCharType="separate"/>
            </w:r>
            <w:r>
              <w:rPr>
                <w:webHidden/>
              </w:rPr>
              <w:t>13-3</w:t>
            </w:r>
            <w:r>
              <w:rPr>
                <w:webHidden/>
              </w:rPr>
              <w:fldChar w:fldCharType="end"/>
            </w:r>
          </w:hyperlink>
        </w:p>
        <w:p w:rsidR="009355EF" w:rsidRDefault="009355EF">
          <w:pPr>
            <w:pStyle w:val="TOC1"/>
            <w:rPr>
              <w:rFonts w:asciiTheme="minorHAnsi" w:eastAsiaTheme="minorEastAsia" w:hAnsiTheme="minorHAnsi"/>
              <w:b w:val="0"/>
              <w:color w:val="auto"/>
              <w:sz w:val="22"/>
              <w:lang w:val="en-AU" w:eastAsia="en-AU"/>
            </w:rPr>
          </w:pPr>
          <w:hyperlink w:anchor="_Toc436045093" w:history="1">
            <w:r w:rsidRPr="000D654C">
              <w:rPr>
                <w:rStyle w:val="Hyperlink"/>
              </w:rPr>
              <w:t>Shortened forms</w:t>
            </w:r>
            <w:r>
              <w:rPr>
                <w:webHidden/>
              </w:rPr>
              <w:tab/>
            </w:r>
            <w:r>
              <w:rPr>
                <w:webHidden/>
              </w:rPr>
              <w:fldChar w:fldCharType="begin"/>
            </w:r>
            <w:r>
              <w:rPr>
                <w:webHidden/>
              </w:rPr>
              <w:instrText xml:space="preserve"> PAGEREF _Toc436045093 \h </w:instrText>
            </w:r>
            <w:r>
              <w:rPr>
                <w:webHidden/>
              </w:rPr>
            </w:r>
            <w:r>
              <w:rPr>
                <w:webHidden/>
              </w:rPr>
              <w:fldChar w:fldCharType="separate"/>
            </w:r>
            <w:r>
              <w:rPr>
                <w:webHidden/>
              </w:rPr>
              <w:t>13-4</w:t>
            </w:r>
            <w:r>
              <w:rPr>
                <w:webHidden/>
              </w:rPr>
              <w:fldChar w:fldCharType="end"/>
            </w:r>
          </w:hyperlink>
        </w:p>
        <w:p w:rsidR="009355EF" w:rsidRDefault="009355EF">
          <w:pPr>
            <w:pStyle w:val="TOC1"/>
            <w:rPr>
              <w:rFonts w:asciiTheme="minorHAnsi" w:eastAsiaTheme="minorEastAsia" w:hAnsiTheme="minorHAnsi"/>
              <w:b w:val="0"/>
              <w:color w:val="auto"/>
              <w:sz w:val="22"/>
              <w:lang w:val="en-AU" w:eastAsia="en-AU"/>
            </w:rPr>
          </w:pPr>
          <w:hyperlink w:anchor="_Toc436045094" w:history="1">
            <w:r w:rsidRPr="000D654C">
              <w:rPr>
                <w:rStyle w:val="Hyperlink"/>
              </w:rPr>
              <w:t>13</w:t>
            </w:r>
            <w:r>
              <w:rPr>
                <w:rFonts w:asciiTheme="minorHAnsi" w:eastAsiaTheme="minorEastAsia" w:hAnsiTheme="minorHAnsi"/>
                <w:b w:val="0"/>
                <w:color w:val="auto"/>
                <w:sz w:val="22"/>
                <w:lang w:val="en-AU" w:eastAsia="en-AU"/>
              </w:rPr>
              <w:tab/>
            </w:r>
            <w:r w:rsidRPr="000D654C">
              <w:rPr>
                <w:rStyle w:val="Hyperlink"/>
              </w:rPr>
              <w:t>Demand</w:t>
            </w:r>
            <w:r>
              <w:rPr>
                <w:webHidden/>
              </w:rPr>
              <w:tab/>
            </w:r>
            <w:r>
              <w:rPr>
                <w:webHidden/>
              </w:rPr>
              <w:fldChar w:fldCharType="begin"/>
            </w:r>
            <w:r>
              <w:rPr>
                <w:webHidden/>
              </w:rPr>
              <w:instrText xml:space="preserve"> PAGEREF _Toc436045094 \h </w:instrText>
            </w:r>
            <w:r>
              <w:rPr>
                <w:webHidden/>
              </w:rPr>
            </w:r>
            <w:r>
              <w:rPr>
                <w:webHidden/>
              </w:rPr>
              <w:fldChar w:fldCharType="separate"/>
            </w:r>
            <w:r>
              <w:rPr>
                <w:webHidden/>
              </w:rPr>
              <w:t>13-6</w:t>
            </w:r>
            <w:r>
              <w:rPr>
                <w:webHidden/>
              </w:rPr>
              <w:fldChar w:fldCharType="end"/>
            </w:r>
          </w:hyperlink>
        </w:p>
        <w:p w:rsidR="009355EF" w:rsidRDefault="009355EF">
          <w:pPr>
            <w:pStyle w:val="TOC2"/>
            <w:tabs>
              <w:tab w:val="left" w:pos="1276"/>
            </w:tabs>
            <w:rPr>
              <w:rFonts w:asciiTheme="minorHAnsi" w:eastAsiaTheme="minorEastAsia" w:hAnsiTheme="minorHAnsi"/>
              <w:b w:val="0"/>
              <w:color w:val="auto"/>
              <w:sz w:val="22"/>
              <w:lang w:eastAsia="en-AU"/>
            </w:rPr>
          </w:pPr>
          <w:hyperlink w:anchor="_Toc436045095" w:history="1">
            <w:r w:rsidRPr="000D654C">
              <w:rPr>
                <w:rStyle w:val="Hyperlink"/>
              </w:rPr>
              <w:t>13.1</w:t>
            </w:r>
            <w:r>
              <w:rPr>
                <w:rFonts w:asciiTheme="minorHAnsi" w:eastAsiaTheme="minorEastAsia" w:hAnsiTheme="minorHAnsi"/>
                <w:b w:val="0"/>
                <w:color w:val="auto"/>
                <w:sz w:val="22"/>
                <w:lang w:eastAsia="en-AU"/>
              </w:rPr>
              <w:tab/>
            </w:r>
            <w:r w:rsidRPr="000D654C">
              <w:rPr>
                <w:rStyle w:val="Hyperlink"/>
              </w:rPr>
              <w:t>Draft decision</w:t>
            </w:r>
            <w:r>
              <w:rPr>
                <w:webHidden/>
              </w:rPr>
              <w:tab/>
            </w:r>
            <w:r>
              <w:rPr>
                <w:webHidden/>
              </w:rPr>
              <w:fldChar w:fldCharType="begin"/>
            </w:r>
            <w:r>
              <w:rPr>
                <w:webHidden/>
              </w:rPr>
              <w:instrText xml:space="preserve"> PAGEREF _Toc436045095 \h </w:instrText>
            </w:r>
            <w:r>
              <w:rPr>
                <w:webHidden/>
              </w:rPr>
            </w:r>
            <w:r>
              <w:rPr>
                <w:webHidden/>
              </w:rPr>
              <w:fldChar w:fldCharType="separate"/>
            </w:r>
            <w:r>
              <w:rPr>
                <w:webHidden/>
              </w:rPr>
              <w:t>13-6</w:t>
            </w:r>
            <w:r>
              <w:rPr>
                <w:webHidden/>
              </w:rPr>
              <w:fldChar w:fldCharType="end"/>
            </w:r>
          </w:hyperlink>
        </w:p>
        <w:p w:rsidR="009355EF" w:rsidRDefault="009355EF">
          <w:pPr>
            <w:pStyle w:val="TOC2"/>
            <w:tabs>
              <w:tab w:val="left" w:pos="1276"/>
            </w:tabs>
            <w:rPr>
              <w:rFonts w:asciiTheme="minorHAnsi" w:eastAsiaTheme="minorEastAsia" w:hAnsiTheme="minorHAnsi"/>
              <w:b w:val="0"/>
              <w:color w:val="auto"/>
              <w:sz w:val="22"/>
              <w:lang w:eastAsia="en-AU"/>
            </w:rPr>
          </w:pPr>
          <w:hyperlink w:anchor="_Toc436045096" w:history="1">
            <w:r w:rsidRPr="000D654C">
              <w:rPr>
                <w:rStyle w:val="Hyperlink"/>
              </w:rPr>
              <w:t>13.2</w:t>
            </w:r>
            <w:r>
              <w:rPr>
                <w:rFonts w:asciiTheme="minorHAnsi" w:eastAsiaTheme="minorEastAsia" w:hAnsiTheme="minorHAnsi"/>
                <w:b w:val="0"/>
                <w:color w:val="auto"/>
                <w:sz w:val="22"/>
                <w:lang w:eastAsia="en-AU"/>
              </w:rPr>
              <w:tab/>
            </w:r>
            <w:r w:rsidRPr="000D654C">
              <w:rPr>
                <w:rStyle w:val="Hyperlink"/>
              </w:rPr>
              <w:t>APTNT’s proposal</w:t>
            </w:r>
            <w:r>
              <w:rPr>
                <w:webHidden/>
              </w:rPr>
              <w:tab/>
            </w:r>
            <w:r>
              <w:rPr>
                <w:webHidden/>
              </w:rPr>
              <w:fldChar w:fldCharType="begin"/>
            </w:r>
            <w:r>
              <w:rPr>
                <w:webHidden/>
              </w:rPr>
              <w:instrText xml:space="preserve"> PAGEREF _Toc436045096 \h </w:instrText>
            </w:r>
            <w:r>
              <w:rPr>
                <w:webHidden/>
              </w:rPr>
            </w:r>
            <w:r>
              <w:rPr>
                <w:webHidden/>
              </w:rPr>
              <w:fldChar w:fldCharType="separate"/>
            </w:r>
            <w:r>
              <w:rPr>
                <w:webHidden/>
              </w:rPr>
              <w:t>13-6</w:t>
            </w:r>
            <w:r>
              <w:rPr>
                <w:webHidden/>
              </w:rPr>
              <w:fldChar w:fldCharType="end"/>
            </w:r>
          </w:hyperlink>
        </w:p>
        <w:p w:rsidR="009355EF" w:rsidRDefault="009355EF">
          <w:pPr>
            <w:pStyle w:val="TOC2"/>
            <w:tabs>
              <w:tab w:val="left" w:pos="1276"/>
            </w:tabs>
            <w:rPr>
              <w:rFonts w:asciiTheme="minorHAnsi" w:eastAsiaTheme="minorEastAsia" w:hAnsiTheme="minorHAnsi"/>
              <w:b w:val="0"/>
              <w:color w:val="auto"/>
              <w:sz w:val="22"/>
              <w:lang w:eastAsia="en-AU"/>
            </w:rPr>
          </w:pPr>
          <w:hyperlink w:anchor="_Toc436045097" w:history="1">
            <w:r w:rsidRPr="000D654C">
              <w:rPr>
                <w:rStyle w:val="Hyperlink"/>
              </w:rPr>
              <w:t>13.3</w:t>
            </w:r>
            <w:r>
              <w:rPr>
                <w:rFonts w:asciiTheme="minorHAnsi" w:eastAsiaTheme="minorEastAsia" w:hAnsiTheme="minorHAnsi"/>
                <w:b w:val="0"/>
                <w:color w:val="auto"/>
                <w:sz w:val="22"/>
                <w:lang w:eastAsia="en-AU"/>
              </w:rPr>
              <w:tab/>
            </w:r>
            <w:r w:rsidRPr="000D654C">
              <w:rPr>
                <w:rStyle w:val="Hyperlink"/>
              </w:rPr>
              <w:t>Assessment approach</w:t>
            </w:r>
            <w:r>
              <w:rPr>
                <w:webHidden/>
              </w:rPr>
              <w:tab/>
            </w:r>
            <w:r>
              <w:rPr>
                <w:webHidden/>
              </w:rPr>
              <w:fldChar w:fldCharType="begin"/>
            </w:r>
            <w:r>
              <w:rPr>
                <w:webHidden/>
              </w:rPr>
              <w:instrText xml:space="preserve"> PAGEREF _Toc436045097 \h </w:instrText>
            </w:r>
            <w:r>
              <w:rPr>
                <w:webHidden/>
              </w:rPr>
            </w:r>
            <w:r>
              <w:rPr>
                <w:webHidden/>
              </w:rPr>
              <w:fldChar w:fldCharType="separate"/>
            </w:r>
            <w:r>
              <w:rPr>
                <w:webHidden/>
              </w:rPr>
              <w:t>13-6</w:t>
            </w:r>
            <w:r>
              <w:rPr>
                <w:webHidden/>
              </w:rPr>
              <w:fldChar w:fldCharType="end"/>
            </w:r>
          </w:hyperlink>
        </w:p>
        <w:p w:rsidR="009355EF" w:rsidRDefault="009355EF">
          <w:pPr>
            <w:pStyle w:val="TOC3"/>
            <w:rPr>
              <w:rFonts w:asciiTheme="minorHAnsi" w:eastAsiaTheme="minorEastAsia" w:hAnsiTheme="minorHAnsi"/>
              <w:lang w:eastAsia="en-AU"/>
            </w:rPr>
          </w:pPr>
          <w:hyperlink w:anchor="_Toc436045098" w:history="1">
            <w:r w:rsidRPr="000D654C">
              <w:rPr>
                <w:rStyle w:val="Hyperlink"/>
              </w:rPr>
              <w:t>13.3.1</w:t>
            </w:r>
            <w:r>
              <w:rPr>
                <w:rFonts w:asciiTheme="minorHAnsi" w:eastAsiaTheme="minorEastAsia" w:hAnsiTheme="minorHAnsi"/>
                <w:lang w:eastAsia="en-AU"/>
              </w:rPr>
              <w:tab/>
            </w:r>
            <w:r w:rsidRPr="000D654C">
              <w:rPr>
                <w:rStyle w:val="Hyperlink"/>
              </w:rPr>
              <w:t>Interrelationships</w:t>
            </w:r>
            <w:r>
              <w:rPr>
                <w:webHidden/>
              </w:rPr>
              <w:tab/>
            </w:r>
            <w:r>
              <w:rPr>
                <w:webHidden/>
              </w:rPr>
              <w:fldChar w:fldCharType="begin"/>
            </w:r>
            <w:r>
              <w:rPr>
                <w:webHidden/>
              </w:rPr>
              <w:instrText xml:space="preserve"> PAGEREF _Toc436045098 \h </w:instrText>
            </w:r>
            <w:r>
              <w:rPr>
                <w:webHidden/>
              </w:rPr>
            </w:r>
            <w:r>
              <w:rPr>
                <w:webHidden/>
              </w:rPr>
              <w:fldChar w:fldCharType="separate"/>
            </w:r>
            <w:r>
              <w:rPr>
                <w:webHidden/>
              </w:rPr>
              <w:t>13-7</w:t>
            </w:r>
            <w:r>
              <w:rPr>
                <w:webHidden/>
              </w:rPr>
              <w:fldChar w:fldCharType="end"/>
            </w:r>
          </w:hyperlink>
        </w:p>
        <w:p w:rsidR="009355EF" w:rsidRDefault="009355EF">
          <w:pPr>
            <w:pStyle w:val="TOC2"/>
            <w:tabs>
              <w:tab w:val="left" w:pos="1276"/>
            </w:tabs>
            <w:rPr>
              <w:rFonts w:asciiTheme="minorHAnsi" w:eastAsiaTheme="minorEastAsia" w:hAnsiTheme="minorHAnsi"/>
              <w:b w:val="0"/>
              <w:color w:val="auto"/>
              <w:sz w:val="22"/>
              <w:lang w:eastAsia="en-AU"/>
            </w:rPr>
          </w:pPr>
          <w:hyperlink w:anchor="_Toc436045099" w:history="1">
            <w:r w:rsidRPr="000D654C">
              <w:rPr>
                <w:rStyle w:val="Hyperlink"/>
              </w:rPr>
              <w:t>13.4</w:t>
            </w:r>
            <w:r>
              <w:rPr>
                <w:rFonts w:asciiTheme="minorHAnsi" w:eastAsiaTheme="minorEastAsia" w:hAnsiTheme="minorHAnsi"/>
                <w:b w:val="0"/>
                <w:color w:val="auto"/>
                <w:sz w:val="22"/>
                <w:lang w:eastAsia="en-AU"/>
              </w:rPr>
              <w:tab/>
            </w:r>
            <w:r w:rsidRPr="000D654C">
              <w:rPr>
                <w:rStyle w:val="Hyperlink"/>
              </w:rPr>
              <w:t>Reasons for draft decision</w:t>
            </w:r>
            <w:r>
              <w:rPr>
                <w:webHidden/>
              </w:rPr>
              <w:tab/>
            </w:r>
            <w:r>
              <w:rPr>
                <w:webHidden/>
              </w:rPr>
              <w:fldChar w:fldCharType="begin"/>
            </w:r>
            <w:r>
              <w:rPr>
                <w:webHidden/>
              </w:rPr>
              <w:instrText xml:space="preserve"> PAGEREF _Toc436045099 \h </w:instrText>
            </w:r>
            <w:r>
              <w:rPr>
                <w:webHidden/>
              </w:rPr>
            </w:r>
            <w:r>
              <w:rPr>
                <w:webHidden/>
              </w:rPr>
              <w:fldChar w:fldCharType="separate"/>
            </w:r>
            <w:r>
              <w:rPr>
                <w:webHidden/>
              </w:rPr>
              <w:t>13-8</w:t>
            </w:r>
            <w:r>
              <w:rPr>
                <w:webHidden/>
              </w:rPr>
              <w:fldChar w:fldCharType="end"/>
            </w:r>
          </w:hyperlink>
        </w:p>
        <w:p w:rsidR="009355EF" w:rsidRDefault="009355EF">
          <w:pPr>
            <w:pStyle w:val="TOC3"/>
            <w:rPr>
              <w:rFonts w:asciiTheme="minorHAnsi" w:eastAsiaTheme="minorEastAsia" w:hAnsiTheme="minorHAnsi"/>
              <w:lang w:eastAsia="en-AU"/>
            </w:rPr>
          </w:pPr>
          <w:hyperlink w:anchor="_Toc436045100" w:history="1">
            <w:r w:rsidRPr="000D654C">
              <w:rPr>
                <w:rStyle w:val="Hyperlink"/>
              </w:rPr>
              <w:t>13.4.1</w:t>
            </w:r>
            <w:r>
              <w:rPr>
                <w:rFonts w:asciiTheme="minorHAnsi" w:eastAsiaTheme="minorEastAsia" w:hAnsiTheme="minorHAnsi"/>
                <w:lang w:eastAsia="en-AU"/>
              </w:rPr>
              <w:tab/>
            </w:r>
            <w:r w:rsidRPr="000D654C">
              <w:rPr>
                <w:rStyle w:val="Hyperlink"/>
              </w:rPr>
              <w:t>Forecast methodology and assumptions</w:t>
            </w:r>
            <w:r>
              <w:rPr>
                <w:webHidden/>
              </w:rPr>
              <w:tab/>
            </w:r>
            <w:r>
              <w:rPr>
                <w:webHidden/>
              </w:rPr>
              <w:fldChar w:fldCharType="begin"/>
            </w:r>
            <w:r>
              <w:rPr>
                <w:webHidden/>
              </w:rPr>
              <w:instrText xml:space="preserve"> PAGEREF _Toc436045100 \h </w:instrText>
            </w:r>
            <w:r>
              <w:rPr>
                <w:webHidden/>
              </w:rPr>
            </w:r>
            <w:r>
              <w:rPr>
                <w:webHidden/>
              </w:rPr>
              <w:fldChar w:fldCharType="separate"/>
            </w:r>
            <w:r>
              <w:rPr>
                <w:webHidden/>
              </w:rPr>
              <w:t>13-8</w:t>
            </w:r>
            <w:r>
              <w:rPr>
                <w:webHidden/>
              </w:rPr>
              <w:fldChar w:fldCharType="end"/>
            </w:r>
          </w:hyperlink>
        </w:p>
        <w:p w:rsidR="009355EF" w:rsidRDefault="009355EF">
          <w:pPr>
            <w:pStyle w:val="TOC3"/>
            <w:rPr>
              <w:rFonts w:asciiTheme="minorHAnsi" w:eastAsiaTheme="minorEastAsia" w:hAnsiTheme="minorHAnsi"/>
              <w:lang w:eastAsia="en-AU"/>
            </w:rPr>
          </w:pPr>
          <w:hyperlink w:anchor="_Toc436045101" w:history="1">
            <w:r w:rsidRPr="000D654C">
              <w:rPr>
                <w:rStyle w:val="Hyperlink"/>
              </w:rPr>
              <w:t>13.4.2</w:t>
            </w:r>
            <w:r>
              <w:rPr>
                <w:rFonts w:asciiTheme="minorHAnsi" w:eastAsiaTheme="minorEastAsia" w:hAnsiTheme="minorHAnsi"/>
                <w:lang w:eastAsia="en-AU"/>
              </w:rPr>
              <w:tab/>
            </w:r>
            <w:r w:rsidRPr="000D654C">
              <w:rPr>
                <w:rStyle w:val="Hyperlink"/>
              </w:rPr>
              <w:t>Minimum, maximum and average demand</w:t>
            </w:r>
            <w:r>
              <w:rPr>
                <w:webHidden/>
              </w:rPr>
              <w:tab/>
            </w:r>
            <w:r>
              <w:rPr>
                <w:webHidden/>
              </w:rPr>
              <w:fldChar w:fldCharType="begin"/>
            </w:r>
            <w:r>
              <w:rPr>
                <w:webHidden/>
              </w:rPr>
              <w:instrText xml:space="preserve"> PAGEREF _Toc436045101 \h </w:instrText>
            </w:r>
            <w:r>
              <w:rPr>
                <w:webHidden/>
              </w:rPr>
            </w:r>
            <w:r>
              <w:rPr>
                <w:webHidden/>
              </w:rPr>
              <w:fldChar w:fldCharType="separate"/>
            </w:r>
            <w:r>
              <w:rPr>
                <w:webHidden/>
              </w:rPr>
              <w:t>13-9</w:t>
            </w:r>
            <w:r>
              <w:rPr>
                <w:webHidden/>
              </w:rPr>
              <w:fldChar w:fldCharType="end"/>
            </w:r>
          </w:hyperlink>
        </w:p>
        <w:p w:rsidR="009355EF" w:rsidRDefault="009355EF">
          <w:pPr>
            <w:pStyle w:val="TOC3"/>
            <w:rPr>
              <w:rFonts w:asciiTheme="minorHAnsi" w:eastAsiaTheme="minorEastAsia" w:hAnsiTheme="minorHAnsi"/>
              <w:lang w:eastAsia="en-AU"/>
            </w:rPr>
          </w:pPr>
          <w:hyperlink w:anchor="_Toc436045102" w:history="1">
            <w:r w:rsidRPr="000D654C">
              <w:rPr>
                <w:rStyle w:val="Hyperlink"/>
              </w:rPr>
              <w:t>13.4.3</w:t>
            </w:r>
            <w:r>
              <w:rPr>
                <w:rFonts w:asciiTheme="minorHAnsi" w:eastAsiaTheme="minorEastAsia" w:hAnsiTheme="minorHAnsi"/>
                <w:lang w:eastAsia="en-AU"/>
              </w:rPr>
              <w:tab/>
            </w:r>
            <w:r w:rsidRPr="000D654C">
              <w:rPr>
                <w:rStyle w:val="Hyperlink"/>
              </w:rPr>
              <w:t>Forecast pipeline capacity and utilisation</w:t>
            </w:r>
            <w:r>
              <w:rPr>
                <w:webHidden/>
              </w:rPr>
              <w:tab/>
            </w:r>
            <w:r>
              <w:rPr>
                <w:webHidden/>
              </w:rPr>
              <w:fldChar w:fldCharType="begin"/>
            </w:r>
            <w:r>
              <w:rPr>
                <w:webHidden/>
              </w:rPr>
              <w:instrText xml:space="preserve"> PAGEREF _Toc436045102 \h </w:instrText>
            </w:r>
            <w:r>
              <w:rPr>
                <w:webHidden/>
              </w:rPr>
            </w:r>
            <w:r>
              <w:rPr>
                <w:webHidden/>
              </w:rPr>
              <w:fldChar w:fldCharType="separate"/>
            </w:r>
            <w:r>
              <w:rPr>
                <w:webHidden/>
              </w:rPr>
              <w:t>13-9</w:t>
            </w:r>
            <w:r>
              <w:rPr>
                <w:webHidden/>
              </w:rPr>
              <w:fldChar w:fldCharType="end"/>
            </w:r>
          </w:hyperlink>
        </w:p>
        <w:p w:rsidR="009355EF" w:rsidRDefault="009355EF">
          <w:pPr>
            <w:pStyle w:val="TOC3"/>
            <w:rPr>
              <w:rFonts w:asciiTheme="minorHAnsi" w:eastAsiaTheme="minorEastAsia" w:hAnsiTheme="minorHAnsi"/>
              <w:lang w:eastAsia="en-AU"/>
            </w:rPr>
          </w:pPr>
          <w:hyperlink w:anchor="_Toc436045103" w:history="1">
            <w:r w:rsidRPr="000D654C">
              <w:rPr>
                <w:rStyle w:val="Hyperlink"/>
              </w:rPr>
              <w:t>13.4.4</w:t>
            </w:r>
            <w:r>
              <w:rPr>
                <w:rFonts w:asciiTheme="minorHAnsi" w:eastAsiaTheme="minorEastAsia" w:hAnsiTheme="minorHAnsi"/>
                <w:lang w:eastAsia="en-AU"/>
              </w:rPr>
              <w:tab/>
            </w:r>
            <w:r w:rsidRPr="000D654C">
              <w:rPr>
                <w:rStyle w:val="Hyperlink"/>
              </w:rPr>
              <w:t>Demand forecasts</w:t>
            </w:r>
            <w:r>
              <w:rPr>
                <w:webHidden/>
              </w:rPr>
              <w:tab/>
            </w:r>
            <w:r>
              <w:rPr>
                <w:webHidden/>
              </w:rPr>
              <w:fldChar w:fldCharType="begin"/>
            </w:r>
            <w:r>
              <w:rPr>
                <w:webHidden/>
              </w:rPr>
              <w:instrText xml:space="preserve"> PAGEREF _Toc436045103 \h </w:instrText>
            </w:r>
            <w:r>
              <w:rPr>
                <w:webHidden/>
              </w:rPr>
            </w:r>
            <w:r>
              <w:rPr>
                <w:webHidden/>
              </w:rPr>
              <w:fldChar w:fldCharType="separate"/>
            </w:r>
            <w:r>
              <w:rPr>
                <w:webHidden/>
              </w:rPr>
              <w:t>13-9</w:t>
            </w:r>
            <w:r>
              <w:rPr>
                <w:webHidden/>
              </w:rPr>
              <w:fldChar w:fldCharType="end"/>
            </w:r>
          </w:hyperlink>
        </w:p>
        <w:p w:rsidR="009355EF" w:rsidRDefault="009355EF">
          <w:pPr>
            <w:pStyle w:val="TOC3"/>
            <w:rPr>
              <w:rFonts w:asciiTheme="minorHAnsi" w:eastAsiaTheme="minorEastAsia" w:hAnsiTheme="minorHAnsi"/>
              <w:lang w:eastAsia="en-AU"/>
            </w:rPr>
          </w:pPr>
          <w:hyperlink w:anchor="_Toc436045104" w:history="1">
            <w:r w:rsidRPr="000D654C">
              <w:rPr>
                <w:rStyle w:val="Hyperlink"/>
              </w:rPr>
              <w:t>13.4.5</w:t>
            </w:r>
            <w:r>
              <w:rPr>
                <w:rFonts w:asciiTheme="minorHAnsi" w:eastAsiaTheme="minorEastAsia" w:hAnsiTheme="minorHAnsi"/>
                <w:lang w:eastAsia="en-AU"/>
              </w:rPr>
              <w:tab/>
            </w:r>
            <w:r w:rsidRPr="000D654C">
              <w:rPr>
                <w:rStyle w:val="Hyperlink"/>
              </w:rPr>
              <w:t>Forecast user numbers</w:t>
            </w:r>
            <w:r>
              <w:rPr>
                <w:webHidden/>
              </w:rPr>
              <w:tab/>
            </w:r>
            <w:r>
              <w:rPr>
                <w:webHidden/>
              </w:rPr>
              <w:fldChar w:fldCharType="begin"/>
            </w:r>
            <w:r>
              <w:rPr>
                <w:webHidden/>
              </w:rPr>
              <w:instrText xml:space="preserve"> PAGEREF _Toc436045104 \h </w:instrText>
            </w:r>
            <w:r>
              <w:rPr>
                <w:webHidden/>
              </w:rPr>
            </w:r>
            <w:r>
              <w:rPr>
                <w:webHidden/>
              </w:rPr>
              <w:fldChar w:fldCharType="separate"/>
            </w:r>
            <w:r>
              <w:rPr>
                <w:webHidden/>
              </w:rPr>
              <w:t>13-13</w:t>
            </w:r>
            <w:r>
              <w:rPr>
                <w:webHidden/>
              </w:rPr>
              <w:fldChar w:fldCharType="end"/>
            </w:r>
          </w:hyperlink>
        </w:p>
        <w:p w:rsidR="00DE563D" w:rsidRDefault="009355EF" w:rsidP="009355EF">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36045093"/>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265E90" w:rsidTr="00265E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Shortened form</w:t>
            </w:r>
          </w:p>
        </w:tc>
        <w:tc>
          <w:tcPr>
            <w:tcW w:w="5041" w:type="dxa"/>
            <w:tcBorders>
              <w:top w:val="nil"/>
              <w:left w:val="nil"/>
              <w:bottom w:val="nil"/>
              <w:right w:val="nil"/>
            </w:tcBorders>
            <w:hideMark/>
          </w:tcPr>
          <w:p w:rsidR="00265E90" w:rsidRPr="00265E90" w:rsidRDefault="00265E90" w:rsidP="00265E90">
            <w:pPr>
              <w:numPr>
                <w:ilvl w:val="0"/>
                <w:numId w:val="24"/>
              </w:numPr>
              <w:cnfStyle w:val="100000000000" w:firstRow="1" w:lastRow="0" w:firstColumn="0" w:lastColumn="0" w:oddVBand="0" w:evenVBand="0" w:oddHBand="0" w:evenHBand="0" w:firstRowFirstColumn="0" w:firstRowLastColumn="0" w:lastRowFirstColumn="0" w:lastRowLastColumn="0"/>
            </w:pPr>
            <w:r w:rsidRPr="00265E90">
              <w:t>Extended form</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AA</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Access Arrangement</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AAI</w:t>
            </w:r>
          </w:p>
        </w:tc>
        <w:tc>
          <w:tcPr>
            <w:tcW w:w="5041" w:type="dxa"/>
            <w:tcBorders>
              <w:top w:val="nil"/>
              <w:left w:val="nil"/>
              <w:bottom w:val="nil"/>
              <w:right w:val="nil"/>
            </w:tcBorders>
            <w:hideMark/>
          </w:tcPr>
          <w:p w:rsidR="00265E90" w:rsidRPr="00265E90" w:rsidRDefault="00265E90" w:rsidP="00265E90">
            <w:pPr>
              <w:cnfStyle w:val="000000010000" w:firstRow="0" w:lastRow="0" w:firstColumn="0" w:lastColumn="0" w:oddVBand="0" w:evenVBand="0" w:oddHBand="0" w:evenHBand="1" w:firstRowFirstColumn="0" w:firstRowLastColumn="0" w:lastRowFirstColumn="0" w:lastRowLastColumn="0"/>
            </w:pPr>
            <w:r w:rsidRPr="00265E90">
              <w:t>Access Arrangement Information</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AER</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Australian Energy Regulator</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AGP</w:t>
            </w:r>
          </w:p>
        </w:tc>
        <w:tc>
          <w:tcPr>
            <w:tcW w:w="5041" w:type="dxa"/>
            <w:tcBorders>
              <w:top w:val="nil"/>
              <w:left w:val="nil"/>
              <w:bottom w:val="nil"/>
              <w:right w:val="nil"/>
            </w:tcBorders>
            <w:hideMark/>
          </w:tcPr>
          <w:p w:rsidR="00265E90" w:rsidRPr="00265E90" w:rsidRDefault="00265E90" w:rsidP="00265E90">
            <w:pPr>
              <w:cnfStyle w:val="000000010000" w:firstRow="0" w:lastRow="0" w:firstColumn="0" w:lastColumn="0" w:oddVBand="0" w:evenVBand="0" w:oddHBand="0" w:evenHBand="1" w:firstRowFirstColumn="0" w:firstRowLastColumn="0" w:lastRowFirstColumn="0" w:lastRowLastColumn="0"/>
            </w:pPr>
            <w:r w:rsidRPr="00265E90">
              <w:t>Amadeus Gas Pipeline</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ATO</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Australian Tax Office</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capex</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capital expenditure</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CAPM</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capital asset pricing model</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CESS</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Capital Expenditure Sharing Scheme</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CPI</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consumer price index</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DRP</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debt risk premium</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EBSS</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Efficiency Benefit Sharing Scheme</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ERP</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equity risk premium</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Expenditure Guideline</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Expenditure Forecast Assessment Guideline</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gamma</w:t>
            </w:r>
          </w:p>
        </w:tc>
        <w:tc>
          <w:tcPr>
            <w:tcW w:w="5041" w:type="dxa"/>
            <w:tcBorders>
              <w:top w:val="nil"/>
              <w:left w:val="nil"/>
              <w:bottom w:val="nil"/>
              <w:right w:val="nil"/>
            </w:tcBorders>
            <w:hideMark/>
          </w:tcPr>
          <w:p w:rsidR="00265E90" w:rsidRPr="00265E90" w:rsidRDefault="00265E90" w:rsidP="00265E90">
            <w:pPr>
              <w:cnfStyle w:val="000000010000" w:firstRow="0" w:lastRow="0" w:firstColumn="0" w:lastColumn="0" w:oddVBand="0" w:evenVBand="0" w:oddHBand="0" w:evenHBand="1" w:firstRowFirstColumn="0" w:firstRowLastColumn="0" w:lastRowFirstColumn="0" w:lastRowLastColumn="0"/>
            </w:pPr>
            <w:r w:rsidRPr="00265E90">
              <w:t>Value of Imputation Credits</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GSL</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Guaranteed Service Level</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MRP</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market risk premium</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NEGI</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north eastern gas interconnector</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NGL</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national gas law</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NGO</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national gas objective</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NGR</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national gas rules</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NPV</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net present value</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opex</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operating expenditure</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PFP</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partial factor productivity</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PPI</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partial performance indicators</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PTRM</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post-tax revenue model</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RBA</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Reserve Bank of Australia</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RFM</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roll forward model</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RIN</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regulatory information notice</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RPP</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revenue and pricing principles</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SLCAPM</w:t>
            </w:r>
          </w:p>
        </w:tc>
        <w:tc>
          <w:tcPr>
            <w:tcW w:w="5041" w:type="dxa"/>
            <w:tcBorders>
              <w:top w:val="nil"/>
              <w:left w:val="nil"/>
              <w:bottom w:val="nil"/>
              <w:right w:val="nil"/>
            </w:tcBorders>
            <w:hideMark/>
          </w:tcPr>
          <w:p w:rsidR="00265E90" w:rsidRPr="00265E90" w:rsidRDefault="00265E90" w:rsidP="00265E90">
            <w:pPr>
              <w:numPr>
                <w:ilvl w:val="0"/>
                <w:numId w:val="24"/>
              </w:numPr>
              <w:cnfStyle w:val="000000010000" w:firstRow="0" w:lastRow="0" w:firstColumn="0" w:lastColumn="0" w:oddVBand="0" w:evenVBand="0" w:oddHBand="0" w:evenHBand="1" w:firstRowFirstColumn="0" w:firstRowLastColumn="0" w:lastRowFirstColumn="0" w:lastRowLastColumn="0"/>
            </w:pPr>
            <w:r w:rsidRPr="00265E90">
              <w:t>Sharpe-</w:t>
            </w:r>
            <w:proofErr w:type="spellStart"/>
            <w:r w:rsidRPr="00265E90">
              <w:t>Lintner</w:t>
            </w:r>
            <w:proofErr w:type="spellEnd"/>
            <w:r w:rsidRPr="00265E90">
              <w:t xml:space="preserve"> capital asset pricing model</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TAB</w:t>
            </w:r>
          </w:p>
        </w:tc>
        <w:tc>
          <w:tcPr>
            <w:tcW w:w="5041" w:type="dxa"/>
            <w:tcBorders>
              <w:top w:val="nil"/>
              <w:left w:val="nil"/>
              <w:bottom w:val="nil"/>
              <w:right w:val="nil"/>
            </w:tcBorders>
            <w:hideMark/>
          </w:tcPr>
          <w:p w:rsidR="00265E90" w:rsidRPr="00265E90" w:rsidRDefault="00265E90" w:rsidP="00265E90">
            <w:pPr>
              <w:cnfStyle w:val="000000000000" w:firstRow="0" w:lastRow="0" w:firstColumn="0" w:lastColumn="0" w:oddVBand="0" w:evenVBand="0" w:oddHBand="0" w:evenHBand="0" w:firstRowFirstColumn="0" w:firstRowLastColumn="0" w:lastRowFirstColumn="0" w:lastRowLastColumn="0"/>
            </w:pPr>
            <w:r w:rsidRPr="00265E90">
              <w:t>Tax asset base</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UAFG</w:t>
            </w:r>
          </w:p>
        </w:tc>
        <w:tc>
          <w:tcPr>
            <w:tcW w:w="5041" w:type="dxa"/>
            <w:tcBorders>
              <w:top w:val="nil"/>
              <w:left w:val="nil"/>
              <w:bottom w:val="nil"/>
              <w:right w:val="nil"/>
            </w:tcBorders>
            <w:hideMark/>
          </w:tcPr>
          <w:p w:rsidR="00265E90" w:rsidRPr="00265E90" w:rsidRDefault="00265E90" w:rsidP="00265E90">
            <w:pPr>
              <w:cnfStyle w:val="000000010000" w:firstRow="0" w:lastRow="0" w:firstColumn="0" w:lastColumn="0" w:oddVBand="0" w:evenVBand="0" w:oddHBand="0" w:evenHBand="1" w:firstRowFirstColumn="0" w:firstRowLastColumn="0" w:lastRowFirstColumn="0" w:lastRowLastColumn="0"/>
            </w:pPr>
            <w:r w:rsidRPr="00265E90">
              <w:t>Unaccounted for gas</w:t>
            </w:r>
          </w:p>
        </w:tc>
      </w:tr>
      <w:tr w:rsidR="00265E90" w:rsidTr="00265E9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65E90" w:rsidRPr="00265E90" w:rsidRDefault="00265E90" w:rsidP="00265E90">
            <w:pPr>
              <w:numPr>
                <w:ilvl w:val="0"/>
                <w:numId w:val="24"/>
              </w:numPr>
            </w:pPr>
            <w:r w:rsidRPr="00265E90">
              <w:t>WACC</w:t>
            </w:r>
          </w:p>
        </w:tc>
        <w:tc>
          <w:tcPr>
            <w:tcW w:w="5041" w:type="dxa"/>
            <w:tcBorders>
              <w:top w:val="nil"/>
              <w:left w:val="nil"/>
              <w:bottom w:val="nil"/>
              <w:right w:val="nil"/>
            </w:tcBorders>
            <w:hideMark/>
          </w:tcPr>
          <w:p w:rsidR="00265E90" w:rsidRPr="00265E90" w:rsidRDefault="00265E90" w:rsidP="00265E90">
            <w:pPr>
              <w:numPr>
                <w:ilvl w:val="0"/>
                <w:numId w:val="24"/>
              </w:numPr>
              <w:cnfStyle w:val="000000000000" w:firstRow="0" w:lastRow="0" w:firstColumn="0" w:lastColumn="0" w:oddVBand="0" w:evenVBand="0" w:oddHBand="0" w:evenHBand="0" w:firstRowFirstColumn="0" w:firstRowLastColumn="0" w:lastRowFirstColumn="0" w:lastRowLastColumn="0"/>
            </w:pPr>
            <w:r w:rsidRPr="00265E90">
              <w:t>weighted average cost of capital</w:t>
            </w:r>
          </w:p>
        </w:tc>
      </w:tr>
      <w:tr w:rsidR="00265E90" w:rsidTr="00265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265E90" w:rsidRPr="00265E90" w:rsidRDefault="00265E90" w:rsidP="00265E90">
            <w:pPr>
              <w:numPr>
                <w:ilvl w:val="0"/>
                <w:numId w:val="24"/>
              </w:numPr>
            </w:pPr>
            <w:r w:rsidRPr="00265E90">
              <w:t>WPI</w:t>
            </w:r>
          </w:p>
        </w:tc>
        <w:tc>
          <w:tcPr>
            <w:tcW w:w="5041" w:type="dxa"/>
            <w:tcBorders>
              <w:top w:val="nil"/>
              <w:left w:val="nil"/>
              <w:bottom w:val="single" w:sz="4" w:space="0" w:color="365F91"/>
              <w:right w:val="nil"/>
            </w:tcBorders>
            <w:hideMark/>
          </w:tcPr>
          <w:p w:rsidR="00265E90" w:rsidRPr="00265E90" w:rsidRDefault="00265E90" w:rsidP="00265E90">
            <w:pPr>
              <w:cnfStyle w:val="000000010000" w:firstRow="0" w:lastRow="0" w:firstColumn="0" w:lastColumn="0" w:oddVBand="0" w:evenVBand="0" w:oddHBand="0" w:evenHBand="1" w:firstRowFirstColumn="0" w:firstRowLastColumn="0" w:lastRowFirstColumn="0" w:lastRowLastColumn="0"/>
            </w:pPr>
            <w:r w:rsidRPr="00265E90">
              <w:t>Wage Price Index</w:t>
            </w:r>
          </w:p>
        </w:tc>
      </w:tr>
    </w:tbl>
    <w:p w:rsidR="00265E90" w:rsidRPr="00265E90" w:rsidRDefault="00265E90" w:rsidP="00265E90"/>
    <w:p w:rsidR="00DE563D" w:rsidRDefault="00205A33" w:rsidP="00EE77FA">
      <w:pPr>
        <w:pStyle w:val="Heading1"/>
      </w:pPr>
      <w:bookmarkStart w:id="10" w:name="_Toc436045094"/>
      <w:r>
        <w:t>Demand</w:t>
      </w:r>
      <w:bookmarkEnd w:id="10"/>
    </w:p>
    <w:p w:rsidR="00815CAC" w:rsidRPr="00815CAC" w:rsidRDefault="00815CAC" w:rsidP="00815CAC">
      <w:r>
        <w:t xml:space="preserve">This attachment sets out the AER's assessment of the demand forecasts proposed by APTNT for its Northern Territory gas transmission network </w:t>
      </w:r>
      <w:r w:rsidR="007A7002">
        <w:t xml:space="preserve">(Amadeus Gas Pipeline) </w:t>
      </w:r>
      <w:r>
        <w:t xml:space="preserve">for the </w:t>
      </w:r>
      <w:r w:rsidRPr="002A6688">
        <w:t>2016–</w:t>
      </w:r>
      <w:r>
        <w:t xml:space="preserve">21 access arrangement </w:t>
      </w:r>
      <w:proofErr w:type="gramStart"/>
      <w:r>
        <w:t>period</w:t>
      </w:r>
      <w:proofErr w:type="gramEnd"/>
      <w:r>
        <w:t xml:space="preserve">. Demand is an important input into the derivation of APTNT's </w:t>
      </w:r>
      <w:r w:rsidR="00320869">
        <w:t xml:space="preserve">proposed </w:t>
      </w:r>
      <w:r>
        <w:t>reference tariff</w:t>
      </w:r>
      <w:r w:rsidR="006F1F83">
        <w:t>.</w:t>
      </w:r>
    </w:p>
    <w:p w:rsidR="009A5113" w:rsidRDefault="00CF2C05" w:rsidP="009A5113">
      <w:pPr>
        <w:pStyle w:val="Heading2"/>
      </w:pPr>
      <w:bookmarkStart w:id="11" w:name="_Toc408404320"/>
      <w:bookmarkStart w:id="12" w:name="_Toc436045095"/>
      <w:r>
        <w:t>Draft</w:t>
      </w:r>
      <w:r w:rsidR="009A5113" w:rsidRPr="0074565D">
        <w:t xml:space="preserve"> decision</w:t>
      </w:r>
      <w:bookmarkEnd w:id="11"/>
      <w:bookmarkEnd w:id="12"/>
    </w:p>
    <w:p w:rsidR="00815CAC" w:rsidRDefault="00815CAC" w:rsidP="00815CAC">
      <w:r>
        <w:t xml:space="preserve">We </w:t>
      </w:r>
      <w:r w:rsidR="006D22F2">
        <w:t xml:space="preserve">are satisfied that APTNT’s </w:t>
      </w:r>
      <w:r>
        <w:t>proposed demand forecasts comply with r</w:t>
      </w:r>
      <w:r w:rsidR="008C1610">
        <w:t>ule</w:t>
      </w:r>
      <w:r>
        <w:t xml:space="preserve"> 74(2) of the N</w:t>
      </w:r>
      <w:r w:rsidR="008C1610">
        <w:t xml:space="preserve">ational </w:t>
      </w:r>
      <w:r>
        <w:t>G</w:t>
      </w:r>
      <w:r w:rsidR="008C1610">
        <w:t xml:space="preserve">as </w:t>
      </w:r>
      <w:r>
        <w:t>R</w:t>
      </w:r>
      <w:r w:rsidR="008C1610">
        <w:t>ules (NGR)</w:t>
      </w:r>
      <w:r>
        <w:t xml:space="preserve">. </w:t>
      </w:r>
    </w:p>
    <w:p w:rsidR="00815CAC" w:rsidRPr="00815CAC" w:rsidRDefault="00815CAC" w:rsidP="00815CAC">
      <w:r>
        <w:t>The reasons for our decision are discussed below.</w:t>
      </w:r>
    </w:p>
    <w:p w:rsidR="009A5113" w:rsidRDefault="003F572D" w:rsidP="009A5113">
      <w:pPr>
        <w:pStyle w:val="Heading2"/>
      </w:pPr>
      <w:bookmarkStart w:id="13" w:name="_Toc436045096"/>
      <w:r>
        <w:t>APTNT’s</w:t>
      </w:r>
      <w:r w:rsidR="005C0A7F">
        <w:t xml:space="preserve"> proposal</w:t>
      </w:r>
      <w:bookmarkEnd w:id="13"/>
    </w:p>
    <w:p w:rsidR="003717D8" w:rsidRDefault="00815CAC" w:rsidP="00815CAC">
      <w:r>
        <w:t>APTNT prepared its own demand forecasts based on</w:t>
      </w:r>
      <w:r w:rsidR="003717D8">
        <w:t>:</w:t>
      </w:r>
      <w:r w:rsidR="003717D8">
        <w:rPr>
          <w:rStyle w:val="FootnoteReference"/>
        </w:rPr>
        <w:footnoteReference w:id="1"/>
      </w:r>
    </w:p>
    <w:p w:rsidR="003717D8" w:rsidRDefault="003717D8" w:rsidP="003717D8">
      <w:pPr>
        <w:pStyle w:val="AERbulletlistfirststyle"/>
      </w:pPr>
      <w:r>
        <w:t>historic trends in gas volumes and maximum demand for each delivery point; and</w:t>
      </w:r>
    </w:p>
    <w:p w:rsidR="003717D8" w:rsidRDefault="003717D8" w:rsidP="003717D8">
      <w:pPr>
        <w:pStyle w:val="AERbulletlistfirststyle"/>
      </w:pPr>
      <w:proofErr w:type="gramStart"/>
      <w:r>
        <w:t>the</w:t>
      </w:r>
      <w:proofErr w:type="gramEnd"/>
      <w:r>
        <w:t xml:space="preserve"> </w:t>
      </w:r>
      <w:r w:rsidR="00320869">
        <w:t xml:space="preserve">relevant </w:t>
      </w:r>
      <w:r>
        <w:t xml:space="preserve">drivers for </w:t>
      </w:r>
      <w:r w:rsidR="00ED3474">
        <w:t xml:space="preserve">expected </w:t>
      </w:r>
      <w:r>
        <w:t>gas demand for each delivery point.</w:t>
      </w:r>
    </w:p>
    <w:p w:rsidR="003717D8" w:rsidRDefault="00A90AA4" w:rsidP="00815CAC">
      <w:r>
        <w:t xml:space="preserve">APTNT submitted that </w:t>
      </w:r>
      <w:r w:rsidR="00B02961">
        <w:t xml:space="preserve">forecast total gas demand </w:t>
      </w:r>
      <w:r w:rsidR="00DA6F94">
        <w:t xml:space="preserve">(GJ) </w:t>
      </w:r>
      <w:r>
        <w:t>is expected to g</w:t>
      </w:r>
      <w:r w:rsidR="00B02961">
        <w:t xml:space="preserve">row by </w:t>
      </w:r>
      <w:r w:rsidR="008749E0">
        <w:t>approximately</w:t>
      </w:r>
      <w:r w:rsidR="00B02961">
        <w:t xml:space="preserve"> 1.7 per cent per annum over the access arrangement period.</w:t>
      </w:r>
      <w:r w:rsidR="00DA6F94">
        <w:rPr>
          <w:rStyle w:val="FootnoteReference"/>
        </w:rPr>
        <w:footnoteReference w:id="2"/>
      </w:r>
      <w:r w:rsidR="00156DCC">
        <w:t xml:space="preserve"> </w:t>
      </w:r>
      <w:r w:rsidR="00085F93">
        <w:t>APTNT submitted that this forecast has been de</w:t>
      </w:r>
      <w:r w:rsidR="00AD7B56">
        <w:t>rived by developing a bottom up forecast for each delivery point, taking into account the unique characteristics of each del</w:t>
      </w:r>
      <w:r w:rsidR="001B3F62">
        <w:t xml:space="preserve">ivery point that drive demand. </w:t>
      </w:r>
      <w:r w:rsidR="00AD7B56">
        <w:t>APTNT further submitted that this combined forecast was then checked against available demand information from the user.</w:t>
      </w:r>
      <w:r w:rsidR="00DA6F94">
        <w:rPr>
          <w:rStyle w:val="FootnoteReference"/>
        </w:rPr>
        <w:footnoteReference w:id="3"/>
      </w:r>
      <w:r w:rsidR="0029724D">
        <w:t xml:space="preserve"> </w:t>
      </w:r>
    </w:p>
    <w:p w:rsidR="00B02961" w:rsidRDefault="00B02961" w:rsidP="00B02961">
      <w:pPr>
        <w:pStyle w:val="Heading2"/>
      </w:pPr>
      <w:bookmarkStart w:id="14" w:name="_Toc436045097"/>
      <w:r>
        <w:t>Assessment approach</w:t>
      </w:r>
      <w:bookmarkEnd w:id="14"/>
    </w:p>
    <w:p w:rsidR="00B02961" w:rsidRDefault="00B02961" w:rsidP="00B02961">
      <w:r>
        <w:t>The NGR require a</w:t>
      </w:r>
      <w:r w:rsidR="00BF0CD7">
        <w:t>ccess arrangement information for a</w:t>
      </w:r>
      <w:r>
        <w:t xml:space="preserve"> full access arrangement proposal for a </w:t>
      </w:r>
      <w:r w:rsidR="00DA6F94">
        <w:t>transmission</w:t>
      </w:r>
      <w:r>
        <w:t xml:space="preserve"> pipeline to include</w:t>
      </w:r>
      <w:r w:rsidR="00BF0CD7">
        <w:t>:</w:t>
      </w:r>
    </w:p>
    <w:p w:rsidR="00B02961" w:rsidRDefault="00BC42EF" w:rsidP="00B02961">
      <w:pPr>
        <w:pStyle w:val="AERbulletlistfirststyle"/>
      </w:pPr>
      <w:r>
        <w:t>u</w:t>
      </w:r>
      <w:r w:rsidR="00996BAF">
        <w:t xml:space="preserve">sage of the pipeline over the earlier access arrangement period showing </w:t>
      </w:r>
      <w:r w:rsidR="00B02961">
        <w:t>minimum, maximum and average demand</w:t>
      </w:r>
      <w:r w:rsidR="00996BAF">
        <w:t xml:space="preserve"> for each receipt and delivery point</w:t>
      </w:r>
      <w:r w:rsidR="00B02961">
        <w:t xml:space="preserve">; and </w:t>
      </w:r>
      <w:r w:rsidR="00996BAF">
        <w:t>user</w:t>
      </w:r>
      <w:r w:rsidR="00B02961">
        <w:t xml:space="preserve"> numbers </w:t>
      </w:r>
      <w:r w:rsidR="00996BAF">
        <w:t>for each receipt and delivery point</w:t>
      </w:r>
      <w:r w:rsidR="00DA6F94">
        <w:rPr>
          <w:rStyle w:val="FootnoteReference"/>
        </w:rPr>
        <w:footnoteReference w:id="4"/>
      </w:r>
    </w:p>
    <w:p w:rsidR="00B02961" w:rsidRDefault="00B02961" w:rsidP="00B02961">
      <w:pPr>
        <w:pStyle w:val="AERbulletlistfirststyle"/>
      </w:pPr>
      <w:proofErr w:type="gramStart"/>
      <w:r>
        <w:t>to</w:t>
      </w:r>
      <w:proofErr w:type="gramEnd"/>
      <w:r>
        <w:t xml:space="preserve"> the extent that it is practicable to forecast pipeline capacity and utilisation of pipeline capacity</w:t>
      </w:r>
      <w:r w:rsidR="006D22F2">
        <w:t xml:space="preserve"> </w:t>
      </w:r>
      <w:r>
        <w:t>over the acce</w:t>
      </w:r>
      <w:r w:rsidR="00A90AA4">
        <w:t>ss arrangement period</w:t>
      </w:r>
      <w:r>
        <w:t>, a forecast of pipeline capacity and utilisation of pipeline</w:t>
      </w:r>
      <w:r w:rsidR="006D22F2">
        <w:t xml:space="preserve"> </w:t>
      </w:r>
      <w:r>
        <w:t>capacity over that period and the basis on which</w:t>
      </w:r>
      <w:r w:rsidR="00DA6F94">
        <w:t xml:space="preserve"> the forecast has been derived.</w:t>
      </w:r>
      <w:r w:rsidR="00DA6F94">
        <w:rPr>
          <w:rStyle w:val="FootnoteReference"/>
        </w:rPr>
        <w:footnoteReference w:id="5"/>
      </w:r>
    </w:p>
    <w:p w:rsidR="00B02961" w:rsidRDefault="00B02961" w:rsidP="00B02961">
      <w:r>
        <w:t>The NGR also requir</w:t>
      </w:r>
      <w:r w:rsidR="00DA6F94">
        <w:t>e that forecasts and estimates:</w:t>
      </w:r>
      <w:r w:rsidR="00DA6F94">
        <w:rPr>
          <w:rStyle w:val="FootnoteReference"/>
        </w:rPr>
        <w:footnoteReference w:id="6"/>
      </w:r>
    </w:p>
    <w:p w:rsidR="00B02961" w:rsidRDefault="00B02961" w:rsidP="006D22F2">
      <w:pPr>
        <w:pStyle w:val="AERbulletlistfirststyle"/>
      </w:pPr>
      <w:r>
        <w:t>are arrived at on a reasonable basis</w:t>
      </w:r>
    </w:p>
    <w:p w:rsidR="00B02961" w:rsidRDefault="00B02961" w:rsidP="006D22F2">
      <w:pPr>
        <w:pStyle w:val="AERbulletlistfirststyle"/>
      </w:pPr>
      <w:proofErr w:type="gramStart"/>
      <w:r>
        <w:t>represent</w:t>
      </w:r>
      <w:proofErr w:type="gramEnd"/>
      <w:r>
        <w:t xml:space="preserve"> the best forecast or estimate possible in the circumstances.</w:t>
      </w:r>
    </w:p>
    <w:p w:rsidR="006D22F2" w:rsidRDefault="00B02961" w:rsidP="006D22F2">
      <w:r>
        <w:t>We consider that there are two important considerations in assessing whether demand forecasts are</w:t>
      </w:r>
      <w:r w:rsidR="006D22F2">
        <w:t xml:space="preserve"> </w:t>
      </w:r>
      <w:r>
        <w:t>arrived at on a reasonable basis and whether they r</w:t>
      </w:r>
      <w:r w:rsidR="006D22F2">
        <w:t>epresent the best forecasts possible in the circumstances.</w:t>
      </w:r>
      <w:r w:rsidR="008749E0">
        <w:rPr>
          <w:rStyle w:val="FootnoteReference"/>
        </w:rPr>
        <w:footnoteReference w:id="7"/>
      </w:r>
      <w:r w:rsidR="008749E0">
        <w:rPr>
          <w:rStyle w:val="AERsuperscript"/>
        </w:rPr>
        <w:t xml:space="preserve"> </w:t>
      </w:r>
      <w:r w:rsidR="006D22F2">
        <w:t>These are:</w:t>
      </w:r>
    </w:p>
    <w:p w:rsidR="00CD19EE" w:rsidRDefault="006D22F2" w:rsidP="006D22F2">
      <w:pPr>
        <w:pStyle w:val="AERbulletlistfirststyle"/>
      </w:pPr>
      <w:r>
        <w:t>the appropriateness of the forecast methodology – this involves consideration of how the demand</w:t>
      </w:r>
      <w:r w:rsidR="00CD19EE">
        <w:t xml:space="preserve"> </w:t>
      </w:r>
      <w:r>
        <w:t>forecast has been developed</w:t>
      </w:r>
      <w:r w:rsidR="00CD19EE">
        <w:t>; and</w:t>
      </w:r>
    </w:p>
    <w:p w:rsidR="006D22F2" w:rsidRDefault="006D22F2" w:rsidP="006D22F2">
      <w:pPr>
        <w:pStyle w:val="AERbulletlistfirststyle"/>
      </w:pPr>
      <w:proofErr w:type="gramStart"/>
      <w:r>
        <w:t>whether</w:t>
      </w:r>
      <w:proofErr w:type="gramEnd"/>
      <w:r>
        <w:t xml:space="preserve"> or not relevant factors have been taken into account</w:t>
      </w:r>
      <w:r w:rsidR="00996BAF">
        <w:t xml:space="preserve"> in developing the demand forecasts</w:t>
      </w:r>
      <w:r>
        <w:t>.</w:t>
      </w:r>
    </w:p>
    <w:p w:rsidR="006D22F2" w:rsidRDefault="006D22F2" w:rsidP="006D22F2">
      <w:pPr>
        <w:pStyle w:val="AERbulletlistfirststyle"/>
        <w:numPr>
          <w:ilvl w:val="0"/>
          <w:numId w:val="0"/>
        </w:numPr>
      </w:pPr>
      <w:r>
        <w:t xml:space="preserve">To determine whether APTNT's proposed demand forecasts are arrived at on a reasonable basis and are the best possible forecasts in the circumstances, we reviewed the data </w:t>
      </w:r>
      <w:r w:rsidR="00CD19EE">
        <w:t xml:space="preserve">inputs </w:t>
      </w:r>
      <w:r>
        <w:t>used to implement the forecasting methodology</w:t>
      </w:r>
      <w:r w:rsidR="00BA0731">
        <w:t>.</w:t>
      </w:r>
    </w:p>
    <w:p w:rsidR="006D22F2" w:rsidRDefault="006D22F2" w:rsidP="006D22F2">
      <w:r>
        <w:t xml:space="preserve">In making </w:t>
      </w:r>
      <w:r w:rsidR="003457F9">
        <w:t xml:space="preserve">our </w:t>
      </w:r>
      <w:r>
        <w:t>draft decision, we relied on:</w:t>
      </w:r>
    </w:p>
    <w:p w:rsidR="006D22F2" w:rsidRDefault="006D22F2" w:rsidP="006D22F2">
      <w:pPr>
        <w:pStyle w:val="AERbulletlistfirststyle"/>
      </w:pPr>
      <w:r>
        <w:t>information provided by APTNT as part of its proposed access arrangement;, and</w:t>
      </w:r>
    </w:p>
    <w:p w:rsidR="00B02961" w:rsidRPr="00B02961" w:rsidRDefault="006D22F2" w:rsidP="006D22F2">
      <w:pPr>
        <w:pStyle w:val="AERbulletlistfirststyle"/>
      </w:pPr>
      <w:proofErr w:type="gramStart"/>
      <w:r>
        <w:t>information</w:t>
      </w:r>
      <w:proofErr w:type="gramEnd"/>
      <w:r>
        <w:t xml:space="preserve"> </w:t>
      </w:r>
      <w:r w:rsidR="003457F9">
        <w:t xml:space="preserve">provided in response </w:t>
      </w:r>
      <w:r>
        <w:t>to the regulatory information notice (RIN).</w:t>
      </w:r>
    </w:p>
    <w:p w:rsidR="005C0A7F" w:rsidRDefault="005C0A7F" w:rsidP="005C0A7F">
      <w:pPr>
        <w:pStyle w:val="Heading3"/>
      </w:pPr>
      <w:bookmarkStart w:id="15" w:name="_Toc436045098"/>
      <w:r>
        <w:t>Interrelationships</w:t>
      </w:r>
      <w:bookmarkEnd w:id="15"/>
    </w:p>
    <w:p w:rsidR="006D22F2" w:rsidRDefault="003666F2" w:rsidP="003666F2">
      <w:r>
        <w:t>Tariff prices depend on estimates o</w:t>
      </w:r>
      <w:r w:rsidR="00D608F6">
        <w:t xml:space="preserve">n forecast </w:t>
      </w:r>
      <w:r w:rsidR="00F07967">
        <w:t xml:space="preserve">total demand (GJ/day). </w:t>
      </w:r>
      <w:r>
        <w:t>Changes in these forecasts will translate into changed tariff prices. In simple terms, tariff prices are determ</w:t>
      </w:r>
      <w:r w:rsidR="00F07967">
        <w:t xml:space="preserve">ined by cost divided by </w:t>
      </w:r>
      <w:r w:rsidR="003130C9">
        <w:t xml:space="preserve">total </w:t>
      </w:r>
      <w:r w:rsidR="00F07967">
        <w:t>demand</w:t>
      </w:r>
      <w:r w:rsidR="00BA0731">
        <w:t xml:space="preserve"> (GJ/day)</w:t>
      </w:r>
      <w:r>
        <w:t xml:space="preserve">, such that </w:t>
      </w:r>
      <w:r w:rsidR="00F07967">
        <w:t>an increase in forecast demand</w:t>
      </w:r>
      <w:r>
        <w:t xml:space="preserve"> has the effect of</w:t>
      </w:r>
      <w:r w:rsidR="00F07967">
        <w:t xml:space="preserve"> </w:t>
      </w:r>
      <w:r>
        <w:t>reducing the tariff price</w:t>
      </w:r>
      <w:r w:rsidR="00F42E08">
        <w:t xml:space="preserve"> and vice versa</w:t>
      </w:r>
      <w:r>
        <w:t>.</w:t>
      </w:r>
    </w:p>
    <w:p w:rsidR="006A7CB9" w:rsidRDefault="00347114" w:rsidP="003666F2">
      <w:r>
        <w:t xml:space="preserve">The demand forecasts also affect capital and operating expenditure linked to </w:t>
      </w:r>
      <w:r w:rsidR="00F42E08">
        <w:t>increased network capacity. However, APTNT has not proposed to increase the capacity of the network during the access arrangement period.</w:t>
      </w:r>
    </w:p>
    <w:p w:rsidR="003457F9" w:rsidRDefault="00F42E08" w:rsidP="003666F2">
      <w:r>
        <w:t xml:space="preserve">AGL and Santos raised concerns </w:t>
      </w:r>
      <w:r w:rsidR="00E97242">
        <w:t>regarding proposals to connect the A</w:t>
      </w:r>
      <w:r w:rsidR="00461B0F">
        <w:t xml:space="preserve">madeus </w:t>
      </w:r>
      <w:r w:rsidR="00E97242">
        <w:t>G</w:t>
      </w:r>
      <w:r w:rsidR="00461B0F">
        <w:t xml:space="preserve">as </w:t>
      </w:r>
      <w:r w:rsidR="00E97242">
        <w:t>P</w:t>
      </w:r>
      <w:r w:rsidR="00461B0F">
        <w:t>ipeline (AGP)</w:t>
      </w:r>
      <w:r w:rsidR="00E97242">
        <w:t xml:space="preserve"> to the east coast gas market. In particular, AGL raised concerns that gas flows on the AGP are likely to increase with the connection of the N</w:t>
      </w:r>
      <w:r w:rsidR="006A7CB9">
        <w:t xml:space="preserve">orth </w:t>
      </w:r>
      <w:r w:rsidR="00E97242">
        <w:t>E</w:t>
      </w:r>
      <w:r w:rsidR="006A7CB9">
        <w:t xml:space="preserve">ast </w:t>
      </w:r>
      <w:r w:rsidR="00E97242">
        <w:t>G</w:t>
      </w:r>
      <w:r w:rsidR="006A7CB9">
        <w:t xml:space="preserve">as </w:t>
      </w:r>
      <w:r w:rsidR="00E97242">
        <w:t>I</w:t>
      </w:r>
      <w:r w:rsidR="006A7CB9">
        <w:t>nterconnector</w:t>
      </w:r>
      <w:r w:rsidR="00E97242">
        <w:t xml:space="preserve"> </w:t>
      </w:r>
      <w:r w:rsidR="006A7CB9">
        <w:t xml:space="preserve">(NEGI) </w:t>
      </w:r>
      <w:r w:rsidR="00E97242">
        <w:t>such that the initial tariffs set out in the access arrangement are likely to overcharge users on the AGP</w:t>
      </w:r>
      <w:r w:rsidR="00E97242">
        <w:rPr>
          <w:rStyle w:val="FootnoteReference"/>
        </w:rPr>
        <w:footnoteReference w:id="8"/>
      </w:r>
      <w:r w:rsidR="00E97242">
        <w:t xml:space="preserve">. </w:t>
      </w:r>
      <w:r w:rsidR="00D36FCC">
        <w:t>Jemena also submitted that the NEGI would increase demand on the AGP and suggested that this additional demand should be accounted for in the demand forecasts or other regulatory mechanism should be considered to address this issue (e.g. pass through provisions, the form of control or the length of the access arrangement period).</w:t>
      </w:r>
      <w:r w:rsidR="00D36FCC">
        <w:rPr>
          <w:rStyle w:val="FootnoteReference"/>
        </w:rPr>
        <w:footnoteReference w:id="9"/>
      </w:r>
      <w:r w:rsidR="00D36FCC">
        <w:t xml:space="preserve"> </w:t>
      </w:r>
    </w:p>
    <w:p w:rsidR="00F91F55" w:rsidRPr="006D22F2" w:rsidRDefault="00F91F55" w:rsidP="003666F2">
      <w:r w:rsidRPr="00F91F55">
        <w:t>We recognise that the connection of the NEGI to the AGP may impact on future demand on the AGP. We also agree with APNTNT that there is not sufficient information to reliably forecast the impact of the NEGI on the demand forecasts, given the degree of uncertainty as to the implications of the NEGI for the AGP. We do, however, consider there is merit in providing for a further review of the access arrangement when the implications of the NEGI for services provided on the AGP are more certain. Our draft decision therefore requires a trigger for acceleration of the review submission date, which will allow APTNT, stakeholders and us to consider the implications of the NEGI for the access arrangement as a whole. This is discussed in attachment 12.</w:t>
      </w:r>
    </w:p>
    <w:p w:rsidR="009A5113" w:rsidRDefault="009A5113" w:rsidP="009A5113">
      <w:pPr>
        <w:pStyle w:val="Heading2"/>
      </w:pPr>
      <w:bookmarkStart w:id="16" w:name="_Toc408404324"/>
      <w:bookmarkStart w:id="17" w:name="_Toc436045099"/>
      <w:r w:rsidRPr="0074565D">
        <w:t xml:space="preserve">Reasons for </w:t>
      </w:r>
      <w:r w:rsidR="00CF2C05">
        <w:t>draft</w:t>
      </w:r>
      <w:r w:rsidR="00651CB2" w:rsidRPr="0074565D">
        <w:t xml:space="preserve"> </w:t>
      </w:r>
      <w:r w:rsidRPr="0074565D">
        <w:t>decision</w:t>
      </w:r>
      <w:bookmarkEnd w:id="16"/>
      <w:bookmarkEnd w:id="17"/>
      <w:r w:rsidRPr="0074565D">
        <w:t xml:space="preserve"> </w:t>
      </w:r>
    </w:p>
    <w:p w:rsidR="00AD7B56" w:rsidRDefault="00AD7B56" w:rsidP="00085F93">
      <w:r>
        <w:t>We are satisfied that APTNT</w:t>
      </w:r>
      <w:r w:rsidR="00085F93">
        <w:t>'s forecasting methodology</w:t>
      </w:r>
      <w:r>
        <w:t xml:space="preserve"> and</w:t>
      </w:r>
      <w:r w:rsidR="00085F93">
        <w:t xml:space="preserve"> the assumptions app</w:t>
      </w:r>
      <w:r>
        <w:t>lied</w:t>
      </w:r>
      <w:r w:rsidR="00085F93">
        <w:t xml:space="preserve"> are arrived at on a reasonable basis</w:t>
      </w:r>
      <w:r w:rsidR="006A7CB9">
        <w:t xml:space="preserve">. </w:t>
      </w:r>
      <w:r>
        <w:t xml:space="preserve">We also propose to </w:t>
      </w:r>
      <w:r w:rsidR="009C691D">
        <w:t xml:space="preserve">accept APTNT’s demand forecasts and forecast for capacity utilisation are </w:t>
      </w:r>
      <w:r w:rsidR="003457F9">
        <w:t xml:space="preserve">arrived at on a </w:t>
      </w:r>
      <w:r w:rsidR="009C691D">
        <w:t>reasonable</w:t>
      </w:r>
      <w:r w:rsidR="003457F9">
        <w:t xml:space="preserve"> basis</w:t>
      </w:r>
      <w:r w:rsidR="009C691D">
        <w:t xml:space="preserve">. As such we consider that APTNT’s demand forecasts </w:t>
      </w:r>
      <w:r w:rsidR="00085F93">
        <w:t>represent the best estimate possible in the circumstances.</w:t>
      </w:r>
      <w:r w:rsidR="009C691D">
        <w:rPr>
          <w:rStyle w:val="FootnoteReference"/>
        </w:rPr>
        <w:footnoteReference w:id="10"/>
      </w:r>
      <w:r w:rsidR="00085F93">
        <w:t xml:space="preserve"> </w:t>
      </w:r>
    </w:p>
    <w:p w:rsidR="009C691D" w:rsidRDefault="00085F93" w:rsidP="00085F93">
      <w:r>
        <w:t>A summary of our reasons is below.</w:t>
      </w:r>
    </w:p>
    <w:p w:rsidR="009C691D" w:rsidRDefault="009C691D" w:rsidP="009C691D">
      <w:pPr>
        <w:pStyle w:val="Heading3"/>
      </w:pPr>
      <w:bookmarkStart w:id="18" w:name="_Toc436045100"/>
      <w:r>
        <w:t>Forecast methodology and assumptions</w:t>
      </w:r>
      <w:bookmarkEnd w:id="18"/>
    </w:p>
    <w:p w:rsidR="009C691D" w:rsidRDefault="009C691D" w:rsidP="00085F93">
      <w:r>
        <w:t xml:space="preserve">We consider that the demand forecast methodology and assumptions adopted by APTNT </w:t>
      </w:r>
      <w:r w:rsidR="003457F9">
        <w:t xml:space="preserve">were arrived at on a </w:t>
      </w:r>
      <w:r>
        <w:t xml:space="preserve">reasonable </w:t>
      </w:r>
      <w:r w:rsidR="003457F9">
        <w:t xml:space="preserve">basis </w:t>
      </w:r>
      <w:r w:rsidR="00C36F19">
        <w:t xml:space="preserve">in accordance with the NGR </w:t>
      </w:r>
      <w:r>
        <w:t>for the following reasons:</w:t>
      </w:r>
      <w:r w:rsidR="00C36F19">
        <w:rPr>
          <w:rStyle w:val="FootnoteReference"/>
        </w:rPr>
        <w:footnoteReference w:id="11"/>
      </w:r>
    </w:p>
    <w:p w:rsidR="009C691D" w:rsidRPr="00EA38F3" w:rsidRDefault="00156DCC" w:rsidP="009C691D">
      <w:pPr>
        <w:pStyle w:val="AERbulletlistfirststyle"/>
      </w:pPr>
      <w:r>
        <w:t>t</w:t>
      </w:r>
      <w:r w:rsidR="009C691D">
        <w:t xml:space="preserve">he </w:t>
      </w:r>
      <w:r w:rsidR="005C6218" w:rsidRPr="00EA38F3">
        <w:t>expected</w:t>
      </w:r>
      <w:r w:rsidR="009C691D" w:rsidRPr="00EA38F3">
        <w:t xml:space="preserve"> </w:t>
      </w:r>
      <w:r w:rsidR="00A923BF" w:rsidRPr="00EA38F3">
        <w:t xml:space="preserve">average </w:t>
      </w:r>
      <w:r w:rsidR="009C691D" w:rsidRPr="00EA38F3">
        <w:t>demand for each delivery point is based on an analysis of historic trends in gas volumes and key drivers of demand for each delivery point</w:t>
      </w:r>
    </w:p>
    <w:p w:rsidR="00C36F19" w:rsidRDefault="00156DCC" w:rsidP="009C691D">
      <w:pPr>
        <w:pStyle w:val="AERbulletlistfirststyle"/>
      </w:pPr>
      <w:proofErr w:type="gramStart"/>
      <w:r w:rsidRPr="00EA38F3">
        <w:t>a</w:t>
      </w:r>
      <w:r w:rsidR="009C691D" w:rsidRPr="00EA38F3">
        <w:t>nalysis</w:t>
      </w:r>
      <w:proofErr w:type="gramEnd"/>
      <w:r w:rsidR="009C691D" w:rsidRPr="00EA38F3">
        <w:t xml:space="preserve"> of the maximum demand</w:t>
      </w:r>
      <w:r w:rsidR="009C691D">
        <w:t xml:space="preserve"> at each delivery point has taken into account </w:t>
      </w:r>
      <w:r w:rsidR="00A923BF">
        <w:t xml:space="preserve">observed historical maximums and </w:t>
      </w:r>
      <w:r w:rsidR="009C691D">
        <w:t xml:space="preserve">the nature of demand at each delivery point (e.g. </w:t>
      </w:r>
      <w:r w:rsidR="00A923BF">
        <w:t>the demand</w:t>
      </w:r>
      <w:r w:rsidR="00C36F19">
        <w:t xml:space="preserve"> requirements of the user and whether their demand profile is likely to change over the forecast period).</w:t>
      </w:r>
    </w:p>
    <w:p w:rsidR="00CD19EE" w:rsidRDefault="00156DCC" w:rsidP="00C36F19">
      <w:pPr>
        <w:pStyle w:val="AERbulletlistfirststyle"/>
      </w:pPr>
      <w:proofErr w:type="gramStart"/>
      <w:r>
        <w:t>t</w:t>
      </w:r>
      <w:r w:rsidR="00C36F19">
        <w:t>he</w:t>
      </w:r>
      <w:proofErr w:type="gramEnd"/>
      <w:r w:rsidR="00C36F19">
        <w:t xml:space="preserve"> bottom up consideration of demand at each delivery point is </w:t>
      </w:r>
      <w:r w:rsidR="003457F9">
        <w:t>reasonable</w:t>
      </w:r>
      <w:r w:rsidR="00C36F19">
        <w:t xml:space="preserve"> as appropriate consideration has then been given to factors that may cause </w:t>
      </w:r>
      <w:r w:rsidR="00DA6F94">
        <w:t xml:space="preserve">the </w:t>
      </w:r>
      <w:r w:rsidR="00C36F19">
        <w:t>future demand growth rate at each delivery point to differ from observed trends.</w:t>
      </w:r>
    </w:p>
    <w:p w:rsidR="00147E70" w:rsidRDefault="00147E70" w:rsidP="00147E70">
      <w:pPr>
        <w:pStyle w:val="AERbulletlistfirststyle"/>
        <w:numPr>
          <w:ilvl w:val="0"/>
          <w:numId w:val="0"/>
        </w:numPr>
      </w:pPr>
      <w:r>
        <w:t>Further, we note that in relation to total demand (</w:t>
      </w:r>
      <w:r w:rsidR="00EA38F3">
        <w:t xml:space="preserve">GJ </w:t>
      </w:r>
      <w:r>
        <w:t>volume), APTNT’s actual demand is expected to be closely aligned with forecast demand</w:t>
      </w:r>
      <w:r w:rsidR="006A7CB9">
        <w:t xml:space="preserve"> in the current access arrangement period</w:t>
      </w:r>
      <w:r>
        <w:t>, which supports the reliability of APTNT’s forecast methodology and assumptions.</w:t>
      </w:r>
      <w:r w:rsidR="00EA38F3">
        <w:rPr>
          <w:rStyle w:val="FootnoteReference"/>
        </w:rPr>
        <w:footnoteReference w:id="12"/>
      </w:r>
    </w:p>
    <w:p w:rsidR="00CD19EE" w:rsidRDefault="00CD19EE" w:rsidP="00CD19EE">
      <w:pPr>
        <w:pStyle w:val="Heading3"/>
      </w:pPr>
      <w:bookmarkStart w:id="19" w:name="_Toc436045101"/>
      <w:r>
        <w:t>Minimum, maximum and average demand</w:t>
      </w:r>
      <w:bookmarkEnd w:id="19"/>
    </w:p>
    <w:p w:rsidR="00C36F19" w:rsidRPr="00DF1D9A" w:rsidRDefault="00182467" w:rsidP="00182467">
      <w:r>
        <w:t xml:space="preserve">Under the NGR, APTNT’s access arrangement information </w:t>
      </w:r>
      <w:r w:rsidR="003338A2">
        <w:t xml:space="preserve">(AAI) </w:t>
      </w:r>
      <w:r>
        <w:t xml:space="preserve">must include minimum, maximum and average demand for </w:t>
      </w:r>
      <w:r w:rsidR="003457F9">
        <w:t xml:space="preserve">each receipt or delivery point for </w:t>
      </w:r>
      <w:r>
        <w:t>the earlier access arrangement</w:t>
      </w:r>
      <w:r w:rsidR="003338A2">
        <w:t>.</w:t>
      </w:r>
      <w:r w:rsidR="003338A2">
        <w:rPr>
          <w:rStyle w:val="FootnoteReference"/>
        </w:rPr>
        <w:footnoteReference w:id="13"/>
      </w:r>
      <w:r>
        <w:t xml:space="preserve"> We consider that the information contained within the AAI satisfies the requirement of r</w:t>
      </w:r>
      <w:r w:rsidR="008C1610">
        <w:t>ule</w:t>
      </w:r>
      <w:r>
        <w:t xml:space="preserve"> 72(1</w:t>
      </w:r>
      <w:proofErr w:type="gramStart"/>
      <w:r>
        <w:t>)(</w:t>
      </w:r>
      <w:proofErr w:type="gramEnd"/>
      <w:r>
        <w:t>a)(iii)(A) of the NGR</w:t>
      </w:r>
      <w:r w:rsidR="003338A2">
        <w:t>.</w:t>
      </w:r>
      <w:r w:rsidR="003338A2">
        <w:rPr>
          <w:rStyle w:val="FootnoteReference"/>
        </w:rPr>
        <w:footnoteReference w:id="14"/>
      </w:r>
      <w:r>
        <w:t xml:space="preserve"> We also consider that the</w:t>
      </w:r>
      <w:r w:rsidR="00ED3474">
        <w:t xml:space="preserve"> </w:t>
      </w:r>
      <w:r w:rsidR="003457F9">
        <w:t>inclusion of user</w:t>
      </w:r>
      <w:r>
        <w:t xml:space="preserve"> numbers </w:t>
      </w:r>
      <w:r w:rsidR="003457F9">
        <w:t xml:space="preserve">for each receipt or delivery point </w:t>
      </w:r>
      <w:r>
        <w:t>as shown in the access arrangement information satisfy the requirement of r</w:t>
      </w:r>
      <w:r w:rsidR="008C1610">
        <w:t>ule</w:t>
      </w:r>
      <w:r>
        <w:t xml:space="preserve"> 72(1)(a)(iii)(B) of the NGR.</w:t>
      </w:r>
      <w:r w:rsidR="00EA38F3">
        <w:rPr>
          <w:rStyle w:val="FootnoteReference"/>
        </w:rPr>
        <w:footnoteReference w:id="15"/>
      </w:r>
    </w:p>
    <w:p w:rsidR="00ED3474" w:rsidRDefault="00ED3474" w:rsidP="00ED3474">
      <w:pPr>
        <w:pStyle w:val="Heading3"/>
      </w:pPr>
      <w:bookmarkStart w:id="20" w:name="_Toc436045102"/>
      <w:r>
        <w:t>Forecast pipeline capacity and utilisation</w:t>
      </w:r>
      <w:bookmarkEnd w:id="20"/>
    </w:p>
    <w:p w:rsidR="004C6A30" w:rsidRDefault="00ED3474" w:rsidP="004C6A30">
      <w:r>
        <w:t>Rule 72(1</w:t>
      </w:r>
      <w:proofErr w:type="gramStart"/>
      <w:r>
        <w:t>)(</w:t>
      </w:r>
      <w:proofErr w:type="gramEnd"/>
      <w:r>
        <w:t xml:space="preserve">d) of the NGR requires that, to the extent </w:t>
      </w:r>
      <w:r w:rsidR="003457F9">
        <w:t xml:space="preserve">it is </w:t>
      </w:r>
      <w:r>
        <w:t>practicable</w:t>
      </w:r>
      <w:r w:rsidR="003457F9">
        <w:t xml:space="preserve"> to forecast pipeline capacity over the access arrangement period</w:t>
      </w:r>
      <w:r>
        <w:t>, the access arrangement information should include forecast pipeline capacity and utilisation of pipeline capacity over the access arrangement period.</w:t>
      </w:r>
      <w:r w:rsidR="004C6A30">
        <w:t xml:space="preserve"> We consider the information contained within the AAI satisfies the requi</w:t>
      </w:r>
      <w:r w:rsidR="00B04B4C">
        <w:t xml:space="preserve">rement of </w:t>
      </w:r>
      <w:r w:rsidR="008C1610">
        <w:t xml:space="preserve">rule </w:t>
      </w:r>
      <w:r w:rsidR="00B04B4C">
        <w:t>72(1</w:t>
      </w:r>
      <w:proofErr w:type="gramStart"/>
      <w:r w:rsidR="00B04B4C">
        <w:t>)(</w:t>
      </w:r>
      <w:proofErr w:type="gramEnd"/>
      <w:r w:rsidR="00B04B4C">
        <w:t xml:space="preserve">d) of the NGR. </w:t>
      </w:r>
      <w:r w:rsidR="004C6A30">
        <w:t>We have formed this view on the basis that:</w:t>
      </w:r>
      <w:r w:rsidR="00DF1D9A">
        <w:rPr>
          <w:rStyle w:val="FootnoteReference"/>
        </w:rPr>
        <w:footnoteReference w:id="16"/>
      </w:r>
    </w:p>
    <w:p w:rsidR="00ED3474" w:rsidRDefault="004C6A30" w:rsidP="004C6A30">
      <w:pPr>
        <w:pStyle w:val="AERbulletlistfirststyle"/>
      </w:pPr>
      <w:r>
        <w:t>the capacity forecast has taken into account aggregated contracted demand on the pipeline</w:t>
      </w:r>
      <w:r w:rsidR="00DF1D9A">
        <w:t xml:space="preserve"> </w:t>
      </w:r>
      <w:r>
        <w:t>taking into account and any additional capacity that can be delivered within the physical and contractual constraints of the pipeline</w:t>
      </w:r>
      <w:r w:rsidR="00DF1D9A">
        <w:t>; and</w:t>
      </w:r>
    </w:p>
    <w:p w:rsidR="00DF1D9A" w:rsidRDefault="00DF1D9A" w:rsidP="004C6A30">
      <w:pPr>
        <w:pStyle w:val="AERbulletlistfirststyle"/>
      </w:pPr>
      <w:proofErr w:type="gramStart"/>
      <w:r>
        <w:t>utilisation</w:t>
      </w:r>
      <w:proofErr w:type="gramEnd"/>
      <w:r>
        <w:t xml:space="preserve"> is based on forecast average delivery volumes and the capacity of the pipeline and uses estimates of non-coincident demand based on recent data, where annual growth in non-coincident demand is reasonably assumed to match forecast volume growth.</w:t>
      </w:r>
    </w:p>
    <w:p w:rsidR="00C36F19" w:rsidRDefault="00C36F19" w:rsidP="00C36F19">
      <w:pPr>
        <w:pStyle w:val="Heading3"/>
      </w:pPr>
      <w:bookmarkStart w:id="21" w:name="_Toc436045103"/>
      <w:r>
        <w:t>Demand forecasts</w:t>
      </w:r>
      <w:bookmarkEnd w:id="21"/>
    </w:p>
    <w:p w:rsidR="00DA0BCC" w:rsidRDefault="00EA38F3" w:rsidP="00DA0BCC">
      <w:pPr>
        <w:pStyle w:val="HeadingBoldBlue"/>
      </w:pPr>
      <w:bookmarkStart w:id="22" w:name="_Toc435445269"/>
      <w:bookmarkStart w:id="23" w:name="_Toc435454216"/>
      <w:r>
        <w:t>Total demand (</w:t>
      </w:r>
      <w:r w:rsidR="004E2A4C">
        <w:t>G</w:t>
      </w:r>
      <w:r w:rsidR="003338A2">
        <w:t xml:space="preserve">J </w:t>
      </w:r>
      <w:r>
        <w:t>volumes</w:t>
      </w:r>
      <w:r w:rsidR="00DA0BCC">
        <w:t>)</w:t>
      </w:r>
      <w:bookmarkEnd w:id="22"/>
      <w:bookmarkEnd w:id="23"/>
    </w:p>
    <w:p w:rsidR="00147E70" w:rsidRDefault="00147E70" w:rsidP="00147E70">
      <w:r>
        <w:t>In aggregate APTNT has forecast total volumes</w:t>
      </w:r>
      <w:r w:rsidR="00EA38F3">
        <w:t xml:space="preserve"> (GJ)</w:t>
      </w:r>
      <w:r>
        <w:t xml:space="preserve"> to grow by around 1.8 p</w:t>
      </w:r>
      <w:r w:rsidR="008C1610">
        <w:t>er cent per annum over the 2016–</w:t>
      </w:r>
      <w:r>
        <w:t xml:space="preserve">21 access arrangement </w:t>
      </w:r>
      <w:proofErr w:type="gramStart"/>
      <w:r>
        <w:t>period</w:t>
      </w:r>
      <w:proofErr w:type="gramEnd"/>
      <w:r>
        <w:t>.</w:t>
      </w:r>
      <w:r>
        <w:rPr>
          <w:rStyle w:val="FootnoteReference"/>
        </w:rPr>
        <w:footnoteReference w:id="17"/>
      </w:r>
      <w:r>
        <w:t xml:space="preserve"> This compares to 2 per cent per annum</w:t>
      </w:r>
      <w:r w:rsidR="008C1610">
        <w:t>, estimated over the 2011–</w:t>
      </w:r>
      <w:r w:rsidR="00EA38F3">
        <w:t>16</w:t>
      </w:r>
      <w:r>
        <w:t xml:space="preserve"> access arrangement period.</w:t>
      </w:r>
      <w:r>
        <w:rPr>
          <w:rStyle w:val="FootnoteReference"/>
        </w:rPr>
        <w:footnoteReference w:id="18"/>
      </w:r>
      <w:r>
        <w:t xml:space="preserve"> </w:t>
      </w:r>
      <w:r w:rsidR="00B04B4C">
        <w:fldChar w:fldCharType="begin"/>
      </w:r>
      <w:r w:rsidR="00B04B4C">
        <w:instrText xml:space="preserve"> REF Figure \h </w:instrText>
      </w:r>
      <w:r w:rsidR="00B04B4C">
        <w:fldChar w:fldCharType="separate"/>
      </w:r>
      <w:r w:rsidR="008C1610" w:rsidRPr="00C56A01">
        <w:t>Figure</w:t>
      </w:r>
      <w:r w:rsidR="008C1610">
        <w:t xml:space="preserve"> 13.1</w:t>
      </w:r>
      <w:r w:rsidR="008C1610" w:rsidRPr="00C56A01">
        <w:t xml:space="preserve"> </w:t>
      </w:r>
      <w:r w:rsidR="00B04B4C">
        <w:fldChar w:fldCharType="end"/>
      </w:r>
      <w:r>
        <w:t xml:space="preserve">shows </w:t>
      </w:r>
      <w:r w:rsidR="006A7CB9">
        <w:t xml:space="preserve">actual/estimated volumes </w:t>
      </w:r>
      <w:r>
        <w:t>compared to the forecast.</w:t>
      </w:r>
    </w:p>
    <w:p w:rsidR="00147E70" w:rsidRPr="00C56A01" w:rsidRDefault="00EA38F3" w:rsidP="00C56A01">
      <w:pPr>
        <w:pStyle w:val="Caption"/>
      </w:pPr>
      <w:bookmarkStart w:id="24" w:name="Figure"/>
      <w:r w:rsidRPr="00C56A01">
        <w:t>Figure</w:t>
      </w:r>
      <w:r w:rsidR="005B4D33">
        <w:t xml:space="preserve"> 13.1</w:t>
      </w:r>
      <w:r w:rsidR="003029A5" w:rsidRPr="00C56A01">
        <w:t xml:space="preserve"> </w:t>
      </w:r>
      <w:bookmarkEnd w:id="24"/>
      <w:r w:rsidR="003029A5" w:rsidRPr="00C56A01">
        <w:t>Actual</w:t>
      </w:r>
      <w:r w:rsidR="0017480F" w:rsidRPr="00C56A01">
        <w:t>/estimated</w:t>
      </w:r>
      <w:r w:rsidR="003029A5" w:rsidRPr="00C56A01">
        <w:t xml:space="preserve"> and forecast total demand (TJ/a)</w:t>
      </w:r>
    </w:p>
    <w:p w:rsidR="00147E70" w:rsidRDefault="00923CFC" w:rsidP="00147E70">
      <w:r w:rsidRPr="00923CFC">
        <w:rPr>
          <w:noProof/>
          <w:lang w:eastAsia="en-AU"/>
        </w:rPr>
        <w:drawing>
          <wp:inline distT="0" distB="0" distL="0" distR="0" wp14:anchorId="042149C8" wp14:editId="0C182DFD">
            <wp:extent cx="5273749" cy="289894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6513" cy="2900469"/>
                    </a:xfrm>
                    <a:prstGeom prst="rect">
                      <a:avLst/>
                    </a:prstGeom>
                    <a:noFill/>
                    <a:ln>
                      <a:noFill/>
                    </a:ln>
                  </pic:spPr>
                </pic:pic>
              </a:graphicData>
            </a:graphic>
          </wp:inline>
        </w:drawing>
      </w:r>
    </w:p>
    <w:p w:rsidR="00147E70" w:rsidRDefault="003029A5" w:rsidP="009B5DC8">
      <w:pPr>
        <w:pStyle w:val="AERtablesource"/>
      </w:pPr>
      <w:r>
        <w:t xml:space="preserve">Source: </w:t>
      </w:r>
      <w:r w:rsidR="005B5408">
        <w:tab/>
      </w:r>
      <w:r>
        <w:t xml:space="preserve">APA Group, </w:t>
      </w:r>
      <w:r w:rsidRPr="00B04B4C">
        <w:rPr>
          <w:rStyle w:val="Emphasis"/>
        </w:rPr>
        <w:t xml:space="preserve">Amadeus Gas Pipeline, </w:t>
      </w:r>
      <w:r w:rsidR="004E2A4C" w:rsidRPr="00B04B4C">
        <w:rPr>
          <w:rStyle w:val="Emphasis"/>
        </w:rPr>
        <w:t xml:space="preserve">Response to </w:t>
      </w:r>
      <w:r w:rsidRPr="00B04B4C">
        <w:rPr>
          <w:rStyle w:val="Emphasis"/>
        </w:rPr>
        <w:t xml:space="preserve">Regulatory Information Notice, template </w:t>
      </w:r>
      <w:r w:rsidR="004E2A4C" w:rsidRPr="00B04B4C">
        <w:rPr>
          <w:rStyle w:val="Emphasis"/>
        </w:rPr>
        <w:t xml:space="preserve">12 - </w:t>
      </w:r>
      <w:r w:rsidRPr="00B04B4C">
        <w:rPr>
          <w:rStyle w:val="Emphasis"/>
        </w:rPr>
        <w:t>demand</w:t>
      </w:r>
      <w:r>
        <w:t>, August 2015</w:t>
      </w:r>
      <w:r w:rsidR="00B04B4C">
        <w:t>.</w:t>
      </w:r>
    </w:p>
    <w:p w:rsidR="00DA0BCC" w:rsidRDefault="00156DCC" w:rsidP="009A539D">
      <w:r>
        <w:t xml:space="preserve">In assessing APTNT’s proposed </w:t>
      </w:r>
      <w:r w:rsidR="00DA0BCC">
        <w:t>total gas volume</w:t>
      </w:r>
      <w:r>
        <w:t xml:space="preserve"> forecasts </w:t>
      </w:r>
      <w:r w:rsidR="00923CFC">
        <w:t>(TJ</w:t>
      </w:r>
      <w:r w:rsidR="00C30637">
        <w:t>)</w:t>
      </w:r>
      <w:r w:rsidR="00147E70">
        <w:t>,</w:t>
      </w:r>
      <w:r w:rsidR="00C30637">
        <w:t xml:space="preserve"> </w:t>
      </w:r>
      <w:r>
        <w:t xml:space="preserve">we have considered APTNT’s forecasts at each delivery point on the pipeline and compared these with historic </w:t>
      </w:r>
      <w:r w:rsidR="00BA47EE">
        <w:t>volumes</w:t>
      </w:r>
      <w:r>
        <w:t xml:space="preserve"> at </w:t>
      </w:r>
      <w:r w:rsidR="00B74AC5">
        <w:t>each delivery point</w:t>
      </w:r>
      <w:r>
        <w:t xml:space="preserve">. </w:t>
      </w:r>
      <w:r w:rsidR="009B5DC8">
        <w:t>In undertaking this assessment w</w:t>
      </w:r>
      <w:r w:rsidR="00391BF0">
        <w:t>e recognise that g</w:t>
      </w:r>
      <w:r w:rsidR="00C30637">
        <w:t xml:space="preserve">iven the </w:t>
      </w:r>
      <w:r w:rsidR="00BA47EE">
        <w:t xml:space="preserve">nature of the </w:t>
      </w:r>
      <w:r w:rsidR="00C30637">
        <w:t xml:space="preserve">end use of the gas at each delivery point, the actual and forecast </w:t>
      </w:r>
      <w:r w:rsidR="00DA0BCC">
        <w:t>volume</w:t>
      </w:r>
      <w:r w:rsidR="00C30637">
        <w:t xml:space="preserve"> </w:t>
      </w:r>
      <w:r w:rsidR="00923CFC">
        <w:t>growth</w:t>
      </w:r>
      <w:r w:rsidR="00DA0BCC">
        <w:t xml:space="preserve"> </w:t>
      </w:r>
      <w:r w:rsidR="00C30637">
        <w:t>differ</w:t>
      </w:r>
      <w:r w:rsidR="00923CFC">
        <w:t>s</w:t>
      </w:r>
      <w:r w:rsidR="00C30637">
        <w:t xml:space="preserve"> </w:t>
      </w:r>
      <w:r w:rsidR="00923CFC">
        <w:t xml:space="preserve">between </w:t>
      </w:r>
      <w:r w:rsidR="00C30637">
        <w:t>each delivery point</w:t>
      </w:r>
      <w:r w:rsidR="00DA0BCC">
        <w:t xml:space="preserve">. </w:t>
      </w:r>
      <w:r w:rsidR="0029724D">
        <w:t xml:space="preserve">We also </w:t>
      </w:r>
      <w:r w:rsidR="00147E70">
        <w:t>note</w:t>
      </w:r>
      <w:r w:rsidR="0029724D">
        <w:t xml:space="preserve"> that i</w:t>
      </w:r>
      <w:r w:rsidR="00DA0BCC">
        <w:t>n some</w:t>
      </w:r>
      <w:r w:rsidR="00C30637">
        <w:t xml:space="preserve"> instances actual gas delivered at each delivery point has varied </w:t>
      </w:r>
      <w:r w:rsidR="00DA0BCC">
        <w:t xml:space="preserve">significantly </w:t>
      </w:r>
      <w:r w:rsidR="00C30637">
        <w:t>from year to year</w:t>
      </w:r>
      <w:r w:rsidR="00BA47EE">
        <w:t xml:space="preserve"> as the </w:t>
      </w:r>
      <w:r w:rsidR="00DA0BCC">
        <w:t xml:space="preserve">end use </w:t>
      </w:r>
      <w:r w:rsidR="00BA47EE">
        <w:t xml:space="preserve">of gas </w:t>
      </w:r>
      <w:r w:rsidR="00B74AC5">
        <w:t>can be volatile (</w:t>
      </w:r>
      <w:r w:rsidR="00474DA9">
        <w:t>for example,</w:t>
      </w:r>
      <w:r w:rsidR="00B74AC5">
        <w:t xml:space="preserve"> where </w:t>
      </w:r>
      <w:r w:rsidR="00461C29">
        <w:t xml:space="preserve">end </w:t>
      </w:r>
      <w:r w:rsidR="00B74AC5">
        <w:t>use is</w:t>
      </w:r>
      <w:r w:rsidR="00DA0BCC">
        <w:t xml:space="preserve"> for electricity generation peaking load</w:t>
      </w:r>
      <w:r w:rsidR="00B74AC5">
        <w:t>)</w:t>
      </w:r>
      <w:r w:rsidR="00DA0BCC">
        <w:t>.</w:t>
      </w:r>
    </w:p>
    <w:p w:rsidR="0029724D" w:rsidRDefault="00461C29" w:rsidP="0029724D">
      <w:r>
        <w:t>W</w:t>
      </w:r>
      <w:r w:rsidR="0029724D">
        <w:t xml:space="preserve">e have focused on the Channel Island, Weddell and Alice Springs delivery points as </w:t>
      </w:r>
      <w:r w:rsidR="00BA47EE">
        <w:t>volumes</w:t>
      </w:r>
      <w:r w:rsidR="0029724D">
        <w:t xml:space="preserve"> at these locations constitute around </w:t>
      </w:r>
      <w:r w:rsidR="00461B0F">
        <w:t>78</w:t>
      </w:r>
      <w:r w:rsidR="0029724D">
        <w:t xml:space="preserve"> per cent of the total </w:t>
      </w:r>
      <w:r w:rsidR="00BA47EE">
        <w:t xml:space="preserve">volume </w:t>
      </w:r>
      <w:r w:rsidR="0029724D">
        <w:t>forecast</w:t>
      </w:r>
      <w:r w:rsidR="00923CFC">
        <w:t xml:space="preserve"> (TJ</w:t>
      </w:r>
      <w:r w:rsidR="0029724D">
        <w:t>).</w:t>
      </w:r>
      <w:r w:rsidR="004E2A4C">
        <w:rPr>
          <w:rStyle w:val="FootnoteReference"/>
        </w:rPr>
        <w:footnoteReference w:id="19"/>
      </w:r>
      <w:r w:rsidR="0029724D">
        <w:t xml:space="preserve"> These delivery points supply gas for local electricity generation for domestic, commercial and industrial end users.</w:t>
      </w:r>
      <w:r w:rsidR="0029724D">
        <w:rPr>
          <w:rStyle w:val="FootnoteReference"/>
        </w:rPr>
        <w:footnoteReference w:id="20"/>
      </w:r>
      <w:r w:rsidR="0029724D">
        <w:t xml:space="preserve"> As stated by APTNT the usage of gas related to electricity generation is likely to follow trends in projections of electricity usage that are affected by electricity demand drivers such as:</w:t>
      </w:r>
      <w:r w:rsidR="0029724D">
        <w:rPr>
          <w:rStyle w:val="FootnoteReference"/>
        </w:rPr>
        <w:footnoteReference w:id="21"/>
      </w:r>
    </w:p>
    <w:p w:rsidR="0029724D" w:rsidRDefault="0029724D" w:rsidP="0029724D">
      <w:pPr>
        <w:pStyle w:val="AERbulletlistfirststyle"/>
      </w:pPr>
      <w:r>
        <w:t>appliance use and efficiency; and</w:t>
      </w:r>
    </w:p>
    <w:p w:rsidR="0029724D" w:rsidRDefault="00BA47EE" w:rsidP="0029724D">
      <w:pPr>
        <w:pStyle w:val="AERbulletlistfirststyle"/>
      </w:pPr>
      <w:proofErr w:type="gramStart"/>
      <w:r>
        <w:t>population</w:t>
      </w:r>
      <w:proofErr w:type="gramEnd"/>
      <w:r>
        <w:t xml:space="preserve"> growth</w:t>
      </w:r>
      <w:r w:rsidR="0029724D">
        <w:t>.</w:t>
      </w:r>
    </w:p>
    <w:p w:rsidR="005F0183" w:rsidRDefault="0029724D" w:rsidP="009A539D">
      <w:r>
        <w:t xml:space="preserve">APTNT’s </w:t>
      </w:r>
      <w:r w:rsidR="00D066B7">
        <w:t>slightly lower</w:t>
      </w:r>
      <w:r w:rsidR="00DA0BCC">
        <w:t xml:space="preserve"> </w:t>
      </w:r>
      <w:r w:rsidR="00D066B7">
        <w:t>forecast</w:t>
      </w:r>
      <w:r w:rsidR="00DA0BCC">
        <w:t xml:space="preserve"> annual growth rate </w:t>
      </w:r>
      <w:r>
        <w:t>for</w:t>
      </w:r>
      <w:r w:rsidR="00147E70">
        <w:t xml:space="preserve"> </w:t>
      </w:r>
      <w:r w:rsidR="00867CF6">
        <w:t>total</w:t>
      </w:r>
      <w:r w:rsidR="00147E70">
        <w:t xml:space="preserve"> </w:t>
      </w:r>
      <w:r w:rsidR="00BA47EE">
        <w:t>volume</w:t>
      </w:r>
      <w:r w:rsidR="00147E70">
        <w:t xml:space="preserve"> </w:t>
      </w:r>
      <w:r w:rsidR="00923CFC">
        <w:t xml:space="preserve">(TJ) </w:t>
      </w:r>
      <w:r w:rsidR="00461C29">
        <w:t xml:space="preserve">for the AGP </w:t>
      </w:r>
      <w:r w:rsidR="00147E70">
        <w:t>over</w:t>
      </w:r>
      <w:r w:rsidR="008C1610">
        <w:t xml:space="preserve"> the 2016–</w:t>
      </w:r>
      <w:r>
        <w:t xml:space="preserve">21 access arrangement period </w:t>
      </w:r>
      <w:r w:rsidR="00DA0BCC">
        <w:t>is consistent with:</w:t>
      </w:r>
    </w:p>
    <w:p w:rsidR="00DA0BCC" w:rsidRDefault="00D066B7" w:rsidP="00D066B7">
      <w:pPr>
        <w:pStyle w:val="AERbulletlistfirststyle"/>
      </w:pPr>
      <w:r>
        <w:t>The increased use of more efficient electricity generation units at the Weddell deliver</w:t>
      </w:r>
      <w:r w:rsidR="005C6218">
        <w:t>y</w:t>
      </w:r>
      <w:r>
        <w:t xml:space="preserve"> point and the displacement of some </w:t>
      </w:r>
      <w:r w:rsidR="005C6218">
        <w:t>electricity</w:t>
      </w:r>
      <w:r>
        <w:t xml:space="preserve"> generation</w:t>
      </w:r>
      <w:r w:rsidR="000F723D">
        <w:t xml:space="preserve"> base</w:t>
      </w:r>
      <w:r>
        <w:t xml:space="preserve"> load at the Channel Island delivery point</w:t>
      </w:r>
      <w:r w:rsidR="009B5DC8">
        <w:t>.</w:t>
      </w:r>
    </w:p>
    <w:p w:rsidR="00DA0BCC" w:rsidRDefault="00D066B7" w:rsidP="009A539D">
      <w:pPr>
        <w:pStyle w:val="AERbulletlistfirststyle"/>
      </w:pPr>
      <w:r>
        <w:t xml:space="preserve">The </w:t>
      </w:r>
      <w:r w:rsidR="000F723D">
        <w:t xml:space="preserve">expected continuation of relatively stable demand at the Channel Island delivery point from the </w:t>
      </w:r>
      <w:r>
        <w:t>replacement of older electricity generation units at the Channel Island delivery point with</w:t>
      </w:r>
      <w:r w:rsidR="00063A92">
        <w:t xml:space="preserve"> more effective u</w:t>
      </w:r>
      <w:r w:rsidR="00812B03">
        <w:t>nits</w:t>
      </w:r>
      <w:r w:rsidR="009B5DC8">
        <w:t>.</w:t>
      </w:r>
    </w:p>
    <w:p w:rsidR="00DD1C15" w:rsidRPr="003338A2" w:rsidRDefault="00DD1C15" w:rsidP="009A539D">
      <w:pPr>
        <w:pStyle w:val="AERbulletlistfirststyle"/>
      </w:pPr>
      <w:r>
        <w:t xml:space="preserve">An initial reduction in the usage forecast at the Alice Springs delivery point below historical demand to reflect </w:t>
      </w:r>
      <w:r w:rsidR="000B0360">
        <w:t xml:space="preserve">a change in gas supply arrangements with the </w:t>
      </w:r>
      <w:r w:rsidR="000B0360" w:rsidRPr="003338A2">
        <w:t>development of an alternative gas source</w:t>
      </w:r>
      <w:r w:rsidR="009B5DC8" w:rsidRPr="003338A2">
        <w:t>.</w:t>
      </w:r>
    </w:p>
    <w:p w:rsidR="005F0183" w:rsidRPr="00C5122C" w:rsidRDefault="008168E7" w:rsidP="008168E7">
      <w:pPr>
        <w:pStyle w:val="AERbulletlistfirststyle"/>
      </w:pPr>
      <w:r w:rsidRPr="003338A2">
        <w:t>Expected</w:t>
      </w:r>
      <w:r>
        <w:t xml:space="preserve"> </w:t>
      </w:r>
      <w:r w:rsidR="00640812">
        <w:t xml:space="preserve">lower usage from </w:t>
      </w:r>
      <w:r>
        <w:t xml:space="preserve">slower population growth and </w:t>
      </w:r>
      <w:r w:rsidRPr="00C5122C">
        <w:t xml:space="preserve">economic growth in the Northern Territory </w:t>
      </w:r>
      <w:r w:rsidR="00BA47EE" w:rsidRPr="00C5122C">
        <w:t>co</w:t>
      </w:r>
      <w:r w:rsidR="008C1610">
        <w:t>mpared to the 2011–</w:t>
      </w:r>
      <w:r w:rsidR="00BA47EE" w:rsidRPr="00C5122C">
        <w:t xml:space="preserve">16 </w:t>
      </w:r>
      <w:r w:rsidRPr="00C5122C">
        <w:t xml:space="preserve">arrangement period as set out in </w:t>
      </w:r>
      <w:r w:rsidR="00265E90">
        <w:fldChar w:fldCharType="begin"/>
      </w:r>
      <w:r w:rsidR="00265E90">
        <w:instrText xml:space="preserve"> REF Table </w:instrText>
      </w:r>
      <w:r w:rsidR="00265E90">
        <w:fldChar w:fldCharType="separate"/>
      </w:r>
      <w:r w:rsidR="008C1610">
        <w:t>Table 13.1</w:t>
      </w:r>
      <w:r w:rsidR="00265E90">
        <w:fldChar w:fldCharType="end"/>
      </w:r>
      <w:r w:rsidR="00393646">
        <w:t>.</w:t>
      </w:r>
    </w:p>
    <w:p w:rsidR="005F0183" w:rsidRDefault="00C5122C" w:rsidP="008168E7">
      <w:pPr>
        <w:pStyle w:val="Caption"/>
      </w:pPr>
      <w:bookmarkStart w:id="25" w:name="Table"/>
      <w:r>
        <w:t>Table 13.1</w:t>
      </w:r>
      <w:bookmarkEnd w:id="25"/>
      <w:r w:rsidR="008168E7">
        <w:t xml:space="preserve"> NT G</w:t>
      </w:r>
      <w:r w:rsidR="00436ECD">
        <w:t xml:space="preserve">ross </w:t>
      </w:r>
      <w:r w:rsidR="008168E7">
        <w:t>S</w:t>
      </w:r>
      <w:r w:rsidR="00436ECD">
        <w:t>t</w:t>
      </w:r>
      <w:r w:rsidR="00821004">
        <w:t>at</w:t>
      </w:r>
      <w:r w:rsidR="00436ECD">
        <w:t xml:space="preserve">e </w:t>
      </w:r>
      <w:r w:rsidR="008168E7">
        <w:t>P</w:t>
      </w:r>
      <w:r w:rsidR="00436ECD">
        <w:t>roduct</w:t>
      </w:r>
      <w:r w:rsidR="008168E7">
        <w:t xml:space="preserve"> and population growth</w:t>
      </w:r>
      <w:r w:rsidR="0042205D">
        <w:t xml:space="preserve"> (% change)</w:t>
      </w:r>
    </w:p>
    <w:tbl>
      <w:tblPr>
        <w:tblStyle w:val="AERtable-text1"/>
        <w:tblW w:w="0" w:type="auto"/>
        <w:tblInd w:w="0" w:type="dxa"/>
        <w:tblLayout w:type="fixed"/>
        <w:tblLook w:val="04A0" w:firstRow="1" w:lastRow="0" w:firstColumn="1" w:lastColumn="0" w:noHBand="0" w:noVBand="1"/>
      </w:tblPr>
      <w:tblGrid>
        <w:gridCol w:w="1101"/>
        <w:gridCol w:w="629"/>
        <w:gridCol w:w="760"/>
        <w:gridCol w:w="760"/>
        <w:gridCol w:w="881"/>
        <w:gridCol w:w="761"/>
        <w:gridCol w:w="760"/>
        <w:gridCol w:w="761"/>
        <w:gridCol w:w="760"/>
        <w:gridCol w:w="760"/>
        <w:gridCol w:w="760"/>
      </w:tblGrid>
      <w:tr w:rsidR="004A0A5E" w:rsidTr="004A0A5E">
        <w:trPr>
          <w:cnfStyle w:val="100000000000" w:firstRow="1" w:lastRow="0" w:firstColumn="0" w:lastColumn="0" w:oddVBand="0" w:evenVBand="0" w:oddHBand="0" w:evenHBand="0" w:firstRowFirstColumn="0" w:firstRowLastColumn="0" w:lastRowFirstColumn="0" w:lastRowLastColumn="0"/>
        </w:trPr>
        <w:tc>
          <w:tcPr>
            <w:tcW w:w="1101" w:type="dxa"/>
          </w:tcPr>
          <w:p w:rsidR="004A0A5E" w:rsidRDefault="004A0A5E" w:rsidP="009038ED"/>
        </w:tc>
        <w:tc>
          <w:tcPr>
            <w:tcW w:w="629" w:type="dxa"/>
          </w:tcPr>
          <w:p w:rsidR="004A0A5E" w:rsidRDefault="004A0A5E" w:rsidP="009038ED">
            <w:pPr>
              <w:jc w:val="center"/>
            </w:pPr>
            <w:r>
              <w:t>2012</w:t>
            </w:r>
          </w:p>
        </w:tc>
        <w:tc>
          <w:tcPr>
            <w:tcW w:w="760" w:type="dxa"/>
          </w:tcPr>
          <w:p w:rsidR="004A0A5E" w:rsidRDefault="004A0A5E" w:rsidP="009038ED">
            <w:pPr>
              <w:jc w:val="center"/>
            </w:pPr>
            <w:r>
              <w:t>2013</w:t>
            </w:r>
          </w:p>
        </w:tc>
        <w:tc>
          <w:tcPr>
            <w:tcW w:w="760" w:type="dxa"/>
          </w:tcPr>
          <w:p w:rsidR="004A0A5E" w:rsidRDefault="004A0A5E" w:rsidP="009038ED">
            <w:pPr>
              <w:jc w:val="center"/>
            </w:pPr>
            <w:r>
              <w:t>2014</w:t>
            </w:r>
          </w:p>
        </w:tc>
        <w:tc>
          <w:tcPr>
            <w:tcW w:w="881" w:type="dxa"/>
          </w:tcPr>
          <w:p w:rsidR="004A0A5E" w:rsidRDefault="004A0A5E" w:rsidP="009038ED">
            <w:pPr>
              <w:jc w:val="center"/>
            </w:pPr>
            <w:r>
              <w:t>2015</w:t>
            </w:r>
          </w:p>
        </w:tc>
        <w:tc>
          <w:tcPr>
            <w:tcW w:w="761" w:type="dxa"/>
          </w:tcPr>
          <w:p w:rsidR="004A0A5E" w:rsidRDefault="004A0A5E" w:rsidP="009038ED">
            <w:pPr>
              <w:jc w:val="center"/>
            </w:pPr>
            <w:r>
              <w:t>2016</w:t>
            </w:r>
          </w:p>
        </w:tc>
        <w:tc>
          <w:tcPr>
            <w:tcW w:w="760" w:type="dxa"/>
          </w:tcPr>
          <w:p w:rsidR="004A0A5E" w:rsidRDefault="004A0A5E" w:rsidP="009038ED">
            <w:pPr>
              <w:jc w:val="center"/>
            </w:pPr>
            <w:r>
              <w:t>2017</w:t>
            </w:r>
          </w:p>
        </w:tc>
        <w:tc>
          <w:tcPr>
            <w:tcW w:w="761" w:type="dxa"/>
          </w:tcPr>
          <w:p w:rsidR="004A0A5E" w:rsidRDefault="004A0A5E" w:rsidP="009038ED">
            <w:pPr>
              <w:jc w:val="center"/>
            </w:pPr>
            <w:r>
              <w:t>2018</w:t>
            </w:r>
          </w:p>
        </w:tc>
        <w:tc>
          <w:tcPr>
            <w:tcW w:w="760" w:type="dxa"/>
          </w:tcPr>
          <w:p w:rsidR="004A0A5E" w:rsidRDefault="004A0A5E" w:rsidP="009038ED">
            <w:pPr>
              <w:jc w:val="center"/>
            </w:pPr>
            <w:r>
              <w:t>2019</w:t>
            </w:r>
          </w:p>
        </w:tc>
        <w:tc>
          <w:tcPr>
            <w:tcW w:w="760" w:type="dxa"/>
          </w:tcPr>
          <w:p w:rsidR="004A0A5E" w:rsidRDefault="004A0A5E" w:rsidP="009038ED">
            <w:pPr>
              <w:jc w:val="center"/>
            </w:pPr>
            <w:r>
              <w:t>2020</w:t>
            </w:r>
          </w:p>
        </w:tc>
        <w:tc>
          <w:tcPr>
            <w:tcW w:w="760" w:type="dxa"/>
          </w:tcPr>
          <w:p w:rsidR="004A0A5E" w:rsidRDefault="004A0A5E" w:rsidP="009038ED">
            <w:pPr>
              <w:jc w:val="center"/>
            </w:pPr>
            <w:r>
              <w:t>2021</w:t>
            </w:r>
          </w:p>
        </w:tc>
      </w:tr>
      <w:tr w:rsidR="004A0A5E" w:rsidTr="004A0A5E">
        <w:tc>
          <w:tcPr>
            <w:tcW w:w="1101" w:type="dxa"/>
          </w:tcPr>
          <w:p w:rsidR="004A0A5E" w:rsidRDefault="004A0A5E" w:rsidP="009038ED">
            <w:r>
              <w:t>GSP</w:t>
            </w:r>
          </w:p>
        </w:tc>
        <w:tc>
          <w:tcPr>
            <w:tcW w:w="629" w:type="dxa"/>
          </w:tcPr>
          <w:p w:rsidR="004A0A5E" w:rsidRDefault="004A0A5E" w:rsidP="009038ED">
            <w:pPr>
              <w:jc w:val="center"/>
            </w:pPr>
            <w:r>
              <w:t>4.2</w:t>
            </w:r>
          </w:p>
        </w:tc>
        <w:tc>
          <w:tcPr>
            <w:tcW w:w="760" w:type="dxa"/>
          </w:tcPr>
          <w:p w:rsidR="004A0A5E" w:rsidRDefault="004A0A5E" w:rsidP="009038ED">
            <w:pPr>
              <w:jc w:val="center"/>
            </w:pPr>
            <w:r>
              <w:t>4.3</w:t>
            </w:r>
          </w:p>
        </w:tc>
        <w:tc>
          <w:tcPr>
            <w:tcW w:w="760" w:type="dxa"/>
          </w:tcPr>
          <w:p w:rsidR="004A0A5E" w:rsidRDefault="004A0A5E" w:rsidP="009038ED">
            <w:pPr>
              <w:jc w:val="center"/>
            </w:pPr>
            <w:r>
              <w:t>6.5</w:t>
            </w:r>
          </w:p>
        </w:tc>
        <w:tc>
          <w:tcPr>
            <w:tcW w:w="881" w:type="dxa"/>
          </w:tcPr>
          <w:p w:rsidR="004A0A5E" w:rsidRDefault="004A0A5E" w:rsidP="009038ED">
            <w:pPr>
              <w:jc w:val="center"/>
            </w:pPr>
            <w:r>
              <w:t>4.5</w:t>
            </w:r>
          </w:p>
        </w:tc>
        <w:tc>
          <w:tcPr>
            <w:tcW w:w="761" w:type="dxa"/>
          </w:tcPr>
          <w:p w:rsidR="004A0A5E" w:rsidRDefault="004A0A5E" w:rsidP="009038ED">
            <w:pPr>
              <w:jc w:val="center"/>
            </w:pPr>
            <w:r>
              <w:t>4.5</w:t>
            </w:r>
          </w:p>
        </w:tc>
        <w:tc>
          <w:tcPr>
            <w:tcW w:w="760" w:type="dxa"/>
          </w:tcPr>
          <w:p w:rsidR="004A0A5E" w:rsidRDefault="004A0A5E" w:rsidP="009038ED">
            <w:pPr>
              <w:jc w:val="center"/>
            </w:pPr>
            <w:r>
              <w:t>4.5</w:t>
            </w:r>
          </w:p>
        </w:tc>
        <w:tc>
          <w:tcPr>
            <w:tcW w:w="761" w:type="dxa"/>
          </w:tcPr>
          <w:p w:rsidR="004A0A5E" w:rsidRDefault="004A0A5E" w:rsidP="009038ED">
            <w:pPr>
              <w:jc w:val="center"/>
            </w:pPr>
            <w:r>
              <w:t>3.0</w:t>
            </w:r>
          </w:p>
        </w:tc>
        <w:tc>
          <w:tcPr>
            <w:tcW w:w="760" w:type="dxa"/>
          </w:tcPr>
          <w:p w:rsidR="004A0A5E" w:rsidRDefault="004A0A5E" w:rsidP="009038ED">
            <w:pPr>
              <w:jc w:val="center"/>
            </w:pPr>
            <w:r>
              <w:t>3.0</w:t>
            </w:r>
          </w:p>
        </w:tc>
        <w:tc>
          <w:tcPr>
            <w:tcW w:w="760" w:type="dxa"/>
          </w:tcPr>
          <w:p w:rsidR="004A0A5E" w:rsidRDefault="004A0A5E" w:rsidP="009038ED">
            <w:pPr>
              <w:jc w:val="center"/>
            </w:pPr>
            <w:r>
              <w:t>3.0</w:t>
            </w:r>
          </w:p>
        </w:tc>
        <w:tc>
          <w:tcPr>
            <w:tcW w:w="760" w:type="dxa"/>
          </w:tcPr>
          <w:p w:rsidR="004A0A5E" w:rsidRDefault="004A0A5E" w:rsidP="009038ED">
            <w:pPr>
              <w:jc w:val="center"/>
            </w:pPr>
            <w:r>
              <w:t>3.0</w:t>
            </w:r>
          </w:p>
        </w:tc>
      </w:tr>
      <w:tr w:rsidR="004A0A5E" w:rsidTr="004A0A5E">
        <w:trPr>
          <w:cnfStyle w:val="000000010000" w:firstRow="0" w:lastRow="0" w:firstColumn="0" w:lastColumn="0" w:oddVBand="0" w:evenVBand="0" w:oddHBand="0" w:evenHBand="1" w:firstRowFirstColumn="0" w:firstRowLastColumn="0" w:lastRowFirstColumn="0" w:lastRowLastColumn="0"/>
        </w:trPr>
        <w:tc>
          <w:tcPr>
            <w:tcW w:w="1101" w:type="dxa"/>
          </w:tcPr>
          <w:p w:rsidR="004A0A5E" w:rsidRDefault="004A0A5E" w:rsidP="009038ED">
            <w:r>
              <w:t>Population</w:t>
            </w:r>
          </w:p>
        </w:tc>
        <w:tc>
          <w:tcPr>
            <w:tcW w:w="629" w:type="dxa"/>
          </w:tcPr>
          <w:p w:rsidR="004A0A5E" w:rsidRDefault="004A0A5E" w:rsidP="009038ED">
            <w:pPr>
              <w:jc w:val="center"/>
            </w:pPr>
            <w:r>
              <w:t>1.9</w:t>
            </w:r>
          </w:p>
        </w:tc>
        <w:tc>
          <w:tcPr>
            <w:tcW w:w="760" w:type="dxa"/>
          </w:tcPr>
          <w:p w:rsidR="004A0A5E" w:rsidRDefault="004A0A5E" w:rsidP="009038ED">
            <w:pPr>
              <w:jc w:val="center"/>
            </w:pPr>
            <w:r>
              <w:t>2.0</w:t>
            </w:r>
          </w:p>
        </w:tc>
        <w:tc>
          <w:tcPr>
            <w:tcW w:w="760" w:type="dxa"/>
          </w:tcPr>
          <w:p w:rsidR="004A0A5E" w:rsidRDefault="004A0A5E" w:rsidP="009038ED">
            <w:pPr>
              <w:jc w:val="center"/>
            </w:pPr>
            <w:r>
              <w:t>1.7</w:t>
            </w:r>
          </w:p>
        </w:tc>
        <w:tc>
          <w:tcPr>
            <w:tcW w:w="881" w:type="dxa"/>
          </w:tcPr>
          <w:p w:rsidR="004A0A5E" w:rsidRDefault="004A0A5E" w:rsidP="009038ED">
            <w:pPr>
              <w:jc w:val="center"/>
            </w:pPr>
            <w:r>
              <w:t>1.7</w:t>
            </w:r>
          </w:p>
        </w:tc>
        <w:tc>
          <w:tcPr>
            <w:tcW w:w="761" w:type="dxa"/>
          </w:tcPr>
          <w:p w:rsidR="004A0A5E" w:rsidRDefault="004A0A5E" w:rsidP="009038ED">
            <w:pPr>
              <w:jc w:val="center"/>
            </w:pPr>
            <w:r>
              <w:t>1.7</w:t>
            </w:r>
          </w:p>
        </w:tc>
        <w:tc>
          <w:tcPr>
            <w:tcW w:w="760" w:type="dxa"/>
          </w:tcPr>
          <w:p w:rsidR="004A0A5E" w:rsidRDefault="004A0A5E" w:rsidP="009038ED">
            <w:pPr>
              <w:jc w:val="center"/>
            </w:pPr>
            <w:r>
              <w:t>1.7</w:t>
            </w:r>
          </w:p>
        </w:tc>
        <w:tc>
          <w:tcPr>
            <w:tcW w:w="761" w:type="dxa"/>
          </w:tcPr>
          <w:p w:rsidR="004A0A5E" w:rsidRDefault="004A0A5E" w:rsidP="009038ED">
            <w:pPr>
              <w:jc w:val="center"/>
            </w:pPr>
            <w:r>
              <w:t>1.7</w:t>
            </w:r>
          </w:p>
        </w:tc>
        <w:tc>
          <w:tcPr>
            <w:tcW w:w="760" w:type="dxa"/>
          </w:tcPr>
          <w:p w:rsidR="004A0A5E" w:rsidRDefault="004A0A5E" w:rsidP="009038ED">
            <w:pPr>
              <w:jc w:val="center"/>
            </w:pPr>
            <w:r>
              <w:t>1.7</w:t>
            </w:r>
          </w:p>
        </w:tc>
        <w:tc>
          <w:tcPr>
            <w:tcW w:w="760" w:type="dxa"/>
          </w:tcPr>
          <w:p w:rsidR="004A0A5E" w:rsidRDefault="004A0A5E" w:rsidP="009038ED">
            <w:pPr>
              <w:jc w:val="center"/>
            </w:pPr>
            <w:r>
              <w:t>n/a</w:t>
            </w:r>
          </w:p>
        </w:tc>
        <w:tc>
          <w:tcPr>
            <w:tcW w:w="760" w:type="dxa"/>
          </w:tcPr>
          <w:p w:rsidR="004A0A5E" w:rsidRDefault="004A0A5E" w:rsidP="009038ED">
            <w:pPr>
              <w:jc w:val="center"/>
            </w:pPr>
            <w:r>
              <w:t>n/a</w:t>
            </w:r>
          </w:p>
        </w:tc>
      </w:tr>
    </w:tbl>
    <w:p w:rsidR="008168E7" w:rsidRDefault="0042205D" w:rsidP="0042205D">
      <w:pPr>
        <w:pStyle w:val="AERtablesource"/>
      </w:pPr>
      <w:r>
        <w:t xml:space="preserve">Source: </w:t>
      </w:r>
      <w:r w:rsidR="005B5408">
        <w:tab/>
      </w:r>
      <w:hyperlink r:id="rId13" w:history="1">
        <w:r w:rsidRPr="0042205D">
          <w:t>www.budget.nt.gov.au</w:t>
        </w:r>
      </w:hyperlink>
      <w:r w:rsidRPr="0042205D">
        <w:t xml:space="preserve">; </w:t>
      </w:r>
      <w:hyperlink r:id="rId14" w:history="1">
        <w:r w:rsidRPr="0042205D">
          <w:t>www.treasury.nt.gov.au/Economy/population</w:t>
        </w:r>
      </w:hyperlink>
      <w:r w:rsidR="0017480F">
        <w:t xml:space="preserve"> projections/Pages/default/</w:t>
      </w:r>
      <w:proofErr w:type="spellStart"/>
      <w:r w:rsidR="0017480F">
        <w:t>aspe</w:t>
      </w:r>
      <w:r w:rsidRPr="0042205D">
        <w:t>x</w:t>
      </w:r>
      <w:proofErr w:type="spellEnd"/>
    </w:p>
    <w:p w:rsidR="004A0A5E" w:rsidRPr="004A0A5E" w:rsidRDefault="004A0A5E" w:rsidP="004A0A5E">
      <w:pPr>
        <w:pStyle w:val="AERtablesource"/>
      </w:pPr>
      <w:r>
        <w:t xml:space="preserve">Note: </w:t>
      </w:r>
      <w:r w:rsidR="005B5408">
        <w:tab/>
      </w:r>
      <w:r>
        <w:t>(</w:t>
      </w:r>
      <w:proofErr w:type="gramStart"/>
      <w:r>
        <w:t>n/a</w:t>
      </w:r>
      <w:proofErr w:type="gramEnd"/>
      <w:r>
        <w:t>) not available</w:t>
      </w:r>
      <w:r w:rsidR="005B5408">
        <w:t>.</w:t>
      </w:r>
    </w:p>
    <w:p w:rsidR="008168E7" w:rsidRDefault="008168E7" w:rsidP="009A539D">
      <w:r>
        <w:t xml:space="preserve">On the basis that the evidence </w:t>
      </w:r>
      <w:r w:rsidR="00461C29">
        <w:t xml:space="preserve">outlined above </w:t>
      </w:r>
      <w:r>
        <w:t xml:space="preserve">suggests that </w:t>
      </w:r>
      <w:r w:rsidR="00640812">
        <w:t xml:space="preserve">growth in </w:t>
      </w:r>
      <w:r w:rsidR="00867CF6">
        <w:t>aggregate</w:t>
      </w:r>
      <w:r w:rsidR="00461C29">
        <w:t xml:space="preserve"> </w:t>
      </w:r>
      <w:r w:rsidR="00867CF6">
        <w:t xml:space="preserve">total </w:t>
      </w:r>
      <w:r w:rsidR="00461C29">
        <w:t>gas volumes</w:t>
      </w:r>
      <w:r w:rsidR="008C1610">
        <w:t xml:space="preserve"> will be lower over the 2016–</w:t>
      </w:r>
      <w:r>
        <w:t>21 access arrangement period, we consider that the total demand forecasts have been arrived at on a reasonable basis and represent the best possible forecast in the circumstances</w:t>
      </w:r>
      <w:r w:rsidR="0042205D">
        <w:t>.</w:t>
      </w:r>
    </w:p>
    <w:p w:rsidR="007A7F63" w:rsidRDefault="007A7F63" w:rsidP="007A7F63">
      <w:pPr>
        <w:pStyle w:val="HeadingBoldBlue"/>
      </w:pPr>
      <w:bookmarkStart w:id="26" w:name="_Toc435445270"/>
      <w:bookmarkStart w:id="27" w:name="_Toc435454217"/>
      <w:r>
        <w:t>Maximum demand</w:t>
      </w:r>
      <w:r w:rsidR="003338A2">
        <w:t xml:space="preserve"> (GJ/day)</w:t>
      </w:r>
      <w:bookmarkEnd w:id="26"/>
      <w:bookmarkEnd w:id="27"/>
    </w:p>
    <w:p w:rsidR="009038ED" w:rsidRDefault="009038ED" w:rsidP="005F727F">
      <w:r>
        <w:t xml:space="preserve">APTNT submitted </w:t>
      </w:r>
      <w:r w:rsidR="003338A2">
        <w:t xml:space="preserve">(as </w:t>
      </w:r>
      <w:r w:rsidR="003338A2" w:rsidRPr="00C5122C">
        <w:t xml:space="preserve">summarised in </w:t>
      </w:r>
      <w:r w:rsidR="00490D61">
        <w:fldChar w:fldCharType="begin"/>
      </w:r>
      <w:r w:rsidR="00490D61">
        <w:instrText xml:space="preserve"> REF Tables </w:instrText>
      </w:r>
      <w:r w:rsidR="00490D61">
        <w:fldChar w:fldCharType="separate"/>
      </w:r>
      <w:r w:rsidR="008C1610">
        <w:t>Table 13.2</w:t>
      </w:r>
      <w:r w:rsidR="00490D61">
        <w:fldChar w:fldCharType="end"/>
      </w:r>
      <w:r w:rsidR="003338A2" w:rsidRPr="00C5122C">
        <w:t xml:space="preserve">) </w:t>
      </w:r>
      <w:r w:rsidRPr="00C5122C">
        <w:t>that</w:t>
      </w:r>
      <w:r>
        <w:t xml:space="preserve"> it has adopted a number of approaches to forecast maximum demand depending on the nature of demand at each deliver point as follows:</w:t>
      </w:r>
    </w:p>
    <w:p w:rsidR="009038ED" w:rsidRDefault="00C5122C" w:rsidP="009355EF">
      <w:pPr>
        <w:pStyle w:val="Tabletitle"/>
        <w:keepNext/>
      </w:pPr>
      <w:bookmarkStart w:id="28" w:name="Tables"/>
      <w:r>
        <w:t>Table 13.2</w:t>
      </w:r>
      <w:r w:rsidR="008C39F0">
        <w:t xml:space="preserve"> </w:t>
      </w:r>
      <w:bookmarkEnd w:id="28"/>
      <w:r w:rsidR="008C39F0">
        <w:t>Maximum daily demand forecasting approach by delivery point</w:t>
      </w:r>
    </w:p>
    <w:tbl>
      <w:tblPr>
        <w:tblStyle w:val="AERtable-text1"/>
        <w:tblW w:w="0" w:type="auto"/>
        <w:tblInd w:w="0" w:type="dxa"/>
        <w:tblLayout w:type="fixed"/>
        <w:tblLook w:val="04A0" w:firstRow="1" w:lastRow="0" w:firstColumn="1" w:lastColumn="0" w:noHBand="0" w:noVBand="1"/>
      </w:tblPr>
      <w:tblGrid>
        <w:gridCol w:w="2093"/>
        <w:gridCol w:w="6520"/>
      </w:tblGrid>
      <w:tr w:rsidR="009038ED" w:rsidTr="00B04B4C">
        <w:trPr>
          <w:cnfStyle w:val="100000000000" w:firstRow="1" w:lastRow="0" w:firstColumn="0" w:lastColumn="0" w:oddVBand="0" w:evenVBand="0" w:oddHBand="0" w:evenHBand="0" w:firstRowFirstColumn="0" w:firstRowLastColumn="0" w:lastRowFirstColumn="0" w:lastRowLastColumn="0"/>
          <w:tblHeader/>
        </w:trPr>
        <w:tc>
          <w:tcPr>
            <w:tcW w:w="2093" w:type="dxa"/>
          </w:tcPr>
          <w:p w:rsidR="009038ED" w:rsidRDefault="009038ED" w:rsidP="009355EF">
            <w:pPr>
              <w:keepNext/>
            </w:pPr>
            <w:r>
              <w:t>Delivery point</w:t>
            </w:r>
          </w:p>
        </w:tc>
        <w:tc>
          <w:tcPr>
            <w:tcW w:w="6520" w:type="dxa"/>
          </w:tcPr>
          <w:p w:rsidR="009038ED" w:rsidRDefault="00810070" w:rsidP="009355EF">
            <w:pPr>
              <w:keepNext/>
            </w:pPr>
            <w:r>
              <w:t>Forecasting approach</w:t>
            </w:r>
          </w:p>
        </w:tc>
      </w:tr>
      <w:tr w:rsidR="009038ED" w:rsidTr="008F16B3">
        <w:tc>
          <w:tcPr>
            <w:tcW w:w="2093" w:type="dxa"/>
          </w:tcPr>
          <w:p w:rsidR="009038ED" w:rsidRDefault="009038ED" w:rsidP="009355EF">
            <w:pPr>
              <w:keepNext/>
            </w:pPr>
            <w:r>
              <w:t>Te</w:t>
            </w:r>
            <w:r w:rsidR="00923CFC">
              <w:t>nnant C</w:t>
            </w:r>
            <w:r w:rsidR="00810070">
              <w:t>reek, Pine Creek and Elliot</w:t>
            </w:r>
          </w:p>
        </w:tc>
        <w:tc>
          <w:tcPr>
            <w:tcW w:w="6520" w:type="dxa"/>
          </w:tcPr>
          <w:p w:rsidR="009038ED" w:rsidRDefault="00810070" w:rsidP="009355EF">
            <w:pPr>
              <w:keepNext/>
            </w:pPr>
            <w:r>
              <w:t>APTNT has forecast maximum daily demand in line with gas requirements to fuel the maximum output of electricity generators installed at these sites.</w:t>
            </w:r>
          </w:p>
        </w:tc>
      </w:tr>
      <w:tr w:rsidR="009038ED" w:rsidTr="008F16B3">
        <w:trPr>
          <w:cnfStyle w:val="000000010000" w:firstRow="0" w:lastRow="0" w:firstColumn="0" w:lastColumn="0" w:oddVBand="0" w:evenVBand="0" w:oddHBand="0" w:evenHBand="1" w:firstRowFirstColumn="0" w:firstRowLastColumn="0" w:lastRowFirstColumn="0" w:lastRowLastColumn="0"/>
        </w:trPr>
        <w:tc>
          <w:tcPr>
            <w:tcW w:w="2093" w:type="dxa"/>
          </w:tcPr>
          <w:p w:rsidR="009038ED" w:rsidRDefault="00810070" w:rsidP="009355EF">
            <w:pPr>
              <w:keepNext/>
            </w:pPr>
            <w:proofErr w:type="spellStart"/>
            <w:r>
              <w:t>Townend</w:t>
            </w:r>
            <w:proofErr w:type="spellEnd"/>
            <w:r>
              <w:t xml:space="preserve"> Road</w:t>
            </w:r>
          </w:p>
        </w:tc>
        <w:tc>
          <w:tcPr>
            <w:tcW w:w="6520" w:type="dxa"/>
          </w:tcPr>
          <w:p w:rsidR="009038ED" w:rsidRDefault="00810070" w:rsidP="009355EF">
            <w:pPr>
              <w:keepNext/>
            </w:pPr>
            <w:r>
              <w:t>APTNT has forecast maximum daily demand based on plant design and is not expected to grow over the forecast period.</w:t>
            </w:r>
          </w:p>
        </w:tc>
      </w:tr>
      <w:tr w:rsidR="00810070" w:rsidTr="008F16B3">
        <w:tc>
          <w:tcPr>
            <w:tcW w:w="2093" w:type="dxa"/>
          </w:tcPr>
          <w:p w:rsidR="00810070" w:rsidRDefault="00810070" w:rsidP="009355EF">
            <w:pPr>
              <w:keepNext/>
            </w:pPr>
            <w:r>
              <w:t>Darwin City Gate</w:t>
            </w:r>
          </w:p>
        </w:tc>
        <w:tc>
          <w:tcPr>
            <w:tcW w:w="6520" w:type="dxa"/>
          </w:tcPr>
          <w:p w:rsidR="00810070" w:rsidRDefault="00810070" w:rsidP="009355EF">
            <w:pPr>
              <w:keepNext/>
            </w:pPr>
            <w:r>
              <w:t>APTNT has forecast maximum daily demand based on historical values without forecast growth, in line with the characteristics of load at this site.</w:t>
            </w:r>
          </w:p>
        </w:tc>
      </w:tr>
      <w:tr w:rsidR="00810070" w:rsidTr="008F16B3">
        <w:trPr>
          <w:cnfStyle w:val="000000010000" w:firstRow="0" w:lastRow="0" w:firstColumn="0" w:lastColumn="0" w:oddVBand="0" w:evenVBand="0" w:oddHBand="0" w:evenHBand="1" w:firstRowFirstColumn="0" w:firstRowLastColumn="0" w:lastRowFirstColumn="0" w:lastRowLastColumn="0"/>
        </w:trPr>
        <w:tc>
          <w:tcPr>
            <w:tcW w:w="2093" w:type="dxa"/>
          </w:tcPr>
          <w:p w:rsidR="00810070" w:rsidRDefault="00810070" w:rsidP="009355EF">
            <w:pPr>
              <w:keepNext/>
            </w:pPr>
            <w:r>
              <w:t>Daly Waters</w:t>
            </w:r>
          </w:p>
        </w:tc>
        <w:tc>
          <w:tcPr>
            <w:tcW w:w="6520" w:type="dxa"/>
          </w:tcPr>
          <w:p w:rsidR="00810070" w:rsidRDefault="00810070" w:rsidP="009355EF">
            <w:pPr>
              <w:keepNext/>
            </w:pPr>
            <w:r>
              <w:t xml:space="preserve">APTNT has forecast maximum daily demand </w:t>
            </w:r>
            <w:r w:rsidR="008C39F0">
              <w:t xml:space="preserve">to reflect the recent expansion at the MacArthur River lead, silver and zinc mine, without further forecast growth over the forecast period. </w:t>
            </w:r>
          </w:p>
        </w:tc>
      </w:tr>
      <w:tr w:rsidR="00B74AC5" w:rsidTr="008F16B3">
        <w:tc>
          <w:tcPr>
            <w:tcW w:w="2093" w:type="dxa"/>
          </w:tcPr>
          <w:p w:rsidR="00B74AC5" w:rsidRDefault="00B74AC5" w:rsidP="009355EF">
            <w:pPr>
              <w:keepNext/>
            </w:pPr>
            <w:r>
              <w:t>Pine Creek</w:t>
            </w:r>
          </w:p>
        </w:tc>
        <w:tc>
          <w:tcPr>
            <w:tcW w:w="6520" w:type="dxa"/>
          </w:tcPr>
          <w:p w:rsidR="00B74AC5" w:rsidRDefault="00B74AC5" w:rsidP="009355EF">
            <w:pPr>
              <w:keepNext/>
            </w:pPr>
            <w:r>
              <w:t>APTNT has forecast maximum daily demand based on historical values without forecast growth.</w:t>
            </w:r>
          </w:p>
        </w:tc>
      </w:tr>
      <w:tr w:rsidR="008C39F0" w:rsidTr="008F16B3">
        <w:trPr>
          <w:cnfStyle w:val="000000010000" w:firstRow="0" w:lastRow="0" w:firstColumn="0" w:lastColumn="0" w:oddVBand="0" w:evenVBand="0" w:oddHBand="0" w:evenHBand="1" w:firstRowFirstColumn="0" w:firstRowLastColumn="0" w:lastRowFirstColumn="0" w:lastRowLastColumn="0"/>
        </w:trPr>
        <w:tc>
          <w:tcPr>
            <w:tcW w:w="2093" w:type="dxa"/>
          </w:tcPr>
          <w:p w:rsidR="008C39F0" w:rsidRDefault="008C39F0" w:rsidP="009355EF">
            <w:pPr>
              <w:keepNext/>
            </w:pPr>
            <w:r>
              <w:t>Katherine and Alice Springs</w:t>
            </w:r>
          </w:p>
        </w:tc>
        <w:tc>
          <w:tcPr>
            <w:tcW w:w="6520" w:type="dxa"/>
          </w:tcPr>
          <w:p w:rsidR="008C39F0" w:rsidRDefault="008C39F0" w:rsidP="009355EF">
            <w:pPr>
              <w:keepNext/>
            </w:pPr>
            <w:r>
              <w:t xml:space="preserve">APTNT has forecast maximum daily demand based on historic observed demand growing at the same rate as forecast volumes over the forecast period.  </w:t>
            </w:r>
          </w:p>
        </w:tc>
      </w:tr>
      <w:tr w:rsidR="008C39F0" w:rsidTr="008F16B3">
        <w:tc>
          <w:tcPr>
            <w:tcW w:w="2093" w:type="dxa"/>
          </w:tcPr>
          <w:p w:rsidR="008C39F0" w:rsidRDefault="008C39F0" w:rsidP="009355EF">
            <w:pPr>
              <w:keepNext/>
            </w:pPr>
            <w:r>
              <w:t>Weddell and Channel Island</w:t>
            </w:r>
          </w:p>
        </w:tc>
        <w:tc>
          <w:tcPr>
            <w:tcW w:w="6520" w:type="dxa"/>
          </w:tcPr>
          <w:p w:rsidR="008C39F0" w:rsidRDefault="008C39F0" w:rsidP="009355EF">
            <w:pPr>
              <w:keepNext/>
            </w:pPr>
            <w:r>
              <w:t>APTNT has forecast maximum daily demand at the start of the forecast period based on observed historical maximum daily demands at each delivery point. This demand is then forecast to grow at the same rate as forecast volumes for these delivery points over the forecast period (2.2 per cent per annum).</w:t>
            </w:r>
          </w:p>
        </w:tc>
      </w:tr>
    </w:tbl>
    <w:p w:rsidR="009038ED" w:rsidRDefault="008C39F0" w:rsidP="008C39F0">
      <w:pPr>
        <w:pStyle w:val="AERtablesource"/>
      </w:pPr>
      <w:r>
        <w:t xml:space="preserve">Source: </w:t>
      </w:r>
      <w:r w:rsidR="005B5408">
        <w:tab/>
      </w:r>
      <w:r>
        <w:t xml:space="preserve">APA Group, </w:t>
      </w:r>
      <w:r w:rsidRPr="00B04B4C">
        <w:rPr>
          <w:rStyle w:val="Emphasis"/>
        </w:rPr>
        <w:t>Amadeus Gas Pipeline, Access Arrangement Revision Proposal, Submission</w:t>
      </w:r>
      <w:r>
        <w:t>, August 2015, p.</w:t>
      </w:r>
      <w:r w:rsidR="005B5408">
        <w:t xml:space="preserve"> </w:t>
      </w:r>
      <w:r>
        <w:t>49</w:t>
      </w:r>
      <w:r w:rsidR="00B04B4C">
        <w:t>.</w:t>
      </w:r>
    </w:p>
    <w:p w:rsidR="00640812" w:rsidRDefault="007B6C52" w:rsidP="009B7343">
      <w:r>
        <w:t xml:space="preserve">We note that APTNT </w:t>
      </w:r>
      <w:r w:rsidR="00D06055">
        <w:t xml:space="preserve">has taken into account the gas usage characteristics and drivers of demand at each delivery point. </w:t>
      </w:r>
      <w:r w:rsidR="009B7343">
        <w:t xml:space="preserve">We also note </w:t>
      </w:r>
      <w:r w:rsidR="0017480F">
        <w:t xml:space="preserve">as outlined </w:t>
      </w:r>
      <w:r w:rsidR="0017480F" w:rsidRPr="00C5122C">
        <w:t xml:space="preserve">in </w:t>
      </w:r>
      <w:r w:rsidR="00265E90">
        <w:fldChar w:fldCharType="begin"/>
      </w:r>
      <w:r w:rsidR="00265E90">
        <w:instrText xml:space="preserve"> REF Tables </w:instrText>
      </w:r>
      <w:r w:rsidR="00265E90">
        <w:fldChar w:fldCharType="separate"/>
      </w:r>
      <w:r w:rsidR="008C1610">
        <w:t>Table 13.2</w:t>
      </w:r>
      <w:r w:rsidR="00265E90">
        <w:fldChar w:fldCharType="end"/>
      </w:r>
      <w:r w:rsidR="0017480F">
        <w:t xml:space="preserve"> </w:t>
      </w:r>
      <w:r w:rsidR="009B7343">
        <w:t xml:space="preserve">that APTNT </w:t>
      </w:r>
      <w:r w:rsidR="00B04908">
        <w:t xml:space="preserve">in forecasting maximum demand </w:t>
      </w:r>
      <w:r w:rsidR="009B7343">
        <w:t xml:space="preserve">has assumed that </w:t>
      </w:r>
      <w:r w:rsidR="0017480F">
        <w:t xml:space="preserve">for some delivery points </w:t>
      </w:r>
      <w:r w:rsidR="009B7343">
        <w:t xml:space="preserve">there is a </w:t>
      </w:r>
      <w:r w:rsidR="00EF1B7A">
        <w:t>positive</w:t>
      </w:r>
      <w:r w:rsidR="009B7343">
        <w:t xml:space="preserve"> </w:t>
      </w:r>
      <w:r w:rsidR="00874CD0">
        <w:t>relationship</w:t>
      </w:r>
      <w:r w:rsidR="009B7343">
        <w:t xml:space="preserve"> between forecast </w:t>
      </w:r>
      <w:r w:rsidR="00EF1B7A">
        <w:t xml:space="preserve">growth in </w:t>
      </w:r>
      <w:r w:rsidR="009B7343">
        <w:t xml:space="preserve">maximum demand and </w:t>
      </w:r>
      <w:r w:rsidR="00EF1B7A">
        <w:t xml:space="preserve">growth in </w:t>
      </w:r>
      <w:r w:rsidR="009B7343">
        <w:t>forecast volumes</w:t>
      </w:r>
      <w:r w:rsidR="00684C16">
        <w:t xml:space="preserve"> (average daily demand)</w:t>
      </w:r>
      <w:r w:rsidR="009B7343">
        <w:t xml:space="preserve">. </w:t>
      </w:r>
      <w:r w:rsidR="00B04908">
        <w:t>A</w:t>
      </w:r>
      <w:r w:rsidR="009B7343">
        <w:t xml:space="preserve"> review of past trends </w:t>
      </w:r>
      <w:r w:rsidR="00B04908">
        <w:t>indicates that typically there is a</w:t>
      </w:r>
      <w:r w:rsidR="009B7343">
        <w:t xml:space="preserve"> </w:t>
      </w:r>
      <w:r w:rsidR="00B04908">
        <w:t xml:space="preserve">positive </w:t>
      </w:r>
      <w:r w:rsidR="00874CD0">
        <w:t>correlation</w:t>
      </w:r>
      <w:r w:rsidR="00B04908">
        <w:t xml:space="preserve"> between </w:t>
      </w:r>
      <w:r w:rsidR="009B7343">
        <w:t>maximum demand and volumes as assumed by APTNT.</w:t>
      </w:r>
      <w:r w:rsidR="00B04908">
        <w:t xml:space="preserve"> However, a review of past trends indicates that the annual growth in maximum demand and volumes are not necessarily consistent.</w:t>
      </w:r>
    </w:p>
    <w:p w:rsidR="00585A4E" w:rsidRDefault="00B04908" w:rsidP="007B6C52">
      <w:r>
        <w:t xml:space="preserve">To test </w:t>
      </w:r>
      <w:r w:rsidR="007B011C">
        <w:t xml:space="preserve">the reliability of </w:t>
      </w:r>
      <w:r>
        <w:t xml:space="preserve">APTNT’s assumption that historical maximum demand will grow at the same rate as forecast </w:t>
      </w:r>
      <w:r w:rsidR="004C0C43">
        <w:t xml:space="preserve">annual </w:t>
      </w:r>
      <w:r w:rsidR="007B011C">
        <w:t xml:space="preserve">volumes we have </w:t>
      </w:r>
      <w:r w:rsidR="001E009C">
        <w:t>compared</w:t>
      </w:r>
      <w:r w:rsidR="007B011C">
        <w:t xml:space="preserve"> past maximum demand </w:t>
      </w:r>
      <w:r w:rsidR="003338A2">
        <w:t xml:space="preserve">annual </w:t>
      </w:r>
      <w:r w:rsidR="007B011C">
        <w:t>growth rates</w:t>
      </w:r>
      <w:r w:rsidR="001E009C">
        <w:t xml:space="preserve"> with the forecast maximum demand annual growth rates</w:t>
      </w:r>
      <w:r w:rsidR="007B011C">
        <w:t>.</w:t>
      </w:r>
      <w:r>
        <w:t xml:space="preserve"> </w:t>
      </w:r>
      <w:r w:rsidR="007B6C52">
        <w:t>In aggregate across all delivery points, APTNT has forecast maximum demand to increase by 2 p</w:t>
      </w:r>
      <w:r w:rsidR="008C1610">
        <w:t>er cent per annum over the 2016–</w:t>
      </w:r>
      <w:r w:rsidR="007B6C52">
        <w:t xml:space="preserve">21 access arrangement </w:t>
      </w:r>
      <w:proofErr w:type="gramStart"/>
      <w:r w:rsidR="007B6C52">
        <w:t>period</w:t>
      </w:r>
      <w:proofErr w:type="gramEnd"/>
      <w:r w:rsidR="007B6C52">
        <w:t>. This compares</w:t>
      </w:r>
      <w:r>
        <w:t xml:space="preserve"> to zero </w:t>
      </w:r>
      <w:r w:rsidR="00640812">
        <w:t>annual average growth estimated over the 2011</w:t>
      </w:r>
      <w:r w:rsidR="008C1610">
        <w:t>–</w:t>
      </w:r>
      <w:r w:rsidR="00640812">
        <w:t xml:space="preserve">16 </w:t>
      </w:r>
      <w:r w:rsidR="007B6C52">
        <w:t xml:space="preserve">access arrangement. However, growth in </w:t>
      </w:r>
      <w:r w:rsidR="007A7136">
        <w:t xml:space="preserve">aggregate </w:t>
      </w:r>
      <w:r w:rsidR="00640812">
        <w:t xml:space="preserve">maximum </w:t>
      </w:r>
      <w:r w:rsidR="007B6C52">
        <w:t>demand is estimated to be 4 pe</w:t>
      </w:r>
      <w:r>
        <w:t xml:space="preserve">r cent per annum </w:t>
      </w:r>
      <w:r w:rsidR="00C5122C">
        <w:t>over</w:t>
      </w:r>
      <w:r w:rsidR="008C1610">
        <w:t xml:space="preserve"> the 2011–</w:t>
      </w:r>
      <w:r>
        <w:t>16</w:t>
      </w:r>
      <w:r w:rsidR="007B6C52">
        <w:t xml:space="preserve"> access arrangement </w:t>
      </w:r>
      <w:proofErr w:type="gramStart"/>
      <w:r w:rsidR="007B6C52">
        <w:t>period</w:t>
      </w:r>
      <w:proofErr w:type="gramEnd"/>
      <w:r w:rsidR="007B6C52">
        <w:t xml:space="preserve"> if the step decrease </w:t>
      </w:r>
      <w:r w:rsidR="007A7136">
        <w:t xml:space="preserve">in </w:t>
      </w:r>
      <w:r w:rsidR="003338A2">
        <w:t xml:space="preserve">maximum </w:t>
      </w:r>
      <w:r w:rsidR="007A7136">
        <w:t xml:space="preserve">demand </w:t>
      </w:r>
      <w:r w:rsidR="008C1610">
        <w:t>between 2010–</w:t>
      </w:r>
      <w:r w:rsidR="007B6C52">
        <w:t>11 and 2011</w:t>
      </w:r>
      <w:r w:rsidR="008C1610">
        <w:t>–</w:t>
      </w:r>
      <w:r w:rsidR="007B6C52">
        <w:t>12 is excluded</w:t>
      </w:r>
      <w:r w:rsidR="007A7136">
        <w:t>.</w:t>
      </w:r>
      <w:r w:rsidR="007B011C">
        <w:rPr>
          <w:rStyle w:val="FootnoteReference"/>
        </w:rPr>
        <w:footnoteReference w:id="22"/>
      </w:r>
      <w:r w:rsidR="004C0C43">
        <w:t xml:space="preserve"> </w:t>
      </w:r>
      <w:r w:rsidR="00B04B4C">
        <w:fldChar w:fldCharType="begin"/>
      </w:r>
      <w:r w:rsidR="00B04B4C">
        <w:instrText xml:space="preserve"> REF Figures \h </w:instrText>
      </w:r>
      <w:r w:rsidR="00B04B4C">
        <w:fldChar w:fldCharType="separate"/>
      </w:r>
      <w:r w:rsidR="008C1610">
        <w:t>Figure 13.2</w:t>
      </w:r>
      <w:r w:rsidR="00B04B4C">
        <w:fldChar w:fldCharType="end"/>
      </w:r>
      <w:r w:rsidR="00B04B4C">
        <w:t xml:space="preserve"> </w:t>
      </w:r>
      <w:r w:rsidR="0017480F">
        <w:t>shows</w:t>
      </w:r>
      <w:r w:rsidR="004C0C43">
        <w:t xml:space="preserve"> APTNT’s actual/estimated annual </w:t>
      </w:r>
      <w:r w:rsidR="0017480F">
        <w:t>maximum demand com</w:t>
      </w:r>
      <w:r w:rsidR="004C0C43">
        <w:t xml:space="preserve">pared to forecast annual maximum </w:t>
      </w:r>
      <w:r w:rsidR="0017480F">
        <w:t>demand.</w:t>
      </w:r>
    </w:p>
    <w:p w:rsidR="0017480F" w:rsidRDefault="004C0C43" w:rsidP="0017480F">
      <w:pPr>
        <w:pStyle w:val="Caption"/>
      </w:pPr>
      <w:bookmarkStart w:id="29" w:name="Figures"/>
      <w:r>
        <w:t>Figure 13.2</w:t>
      </w:r>
      <w:bookmarkEnd w:id="29"/>
      <w:r w:rsidR="0017480F">
        <w:t xml:space="preserve"> Actual/estimated and forecast maximum </w:t>
      </w:r>
      <w:proofErr w:type="gramStart"/>
      <w:r w:rsidR="0017480F">
        <w:t>demand</w:t>
      </w:r>
      <w:proofErr w:type="gramEnd"/>
      <w:r w:rsidR="0017480F">
        <w:t xml:space="preserve"> (TJ/d)</w:t>
      </w:r>
    </w:p>
    <w:p w:rsidR="0017480F" w:rsidRDefault="00923CFC" w:rsidP="007B6C52">
      <w:r w:rsidRPr="00923CFC">
        <w:rPr>
          <w:noProof/>
          <w:lang w:eastAsia="en-AU"/>
        </w:rPr>
        <w:drawing>
          <wp:inline distT="0" distB="0" distL="0" distR="0" wp14:anchorId="39275036" wp14:editId="343CFE3C">
            <wp:extent cx="5273749" cy="2881424"/>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9129" cy="2889827"/>
                    </a:xfrm>
                    <a:prstGeom prst="rect">
                      <a:avLst/>
                    </a:prstGeom>
                    <a:noFill/>
                    <a:ln>
                      <a:noFill/>
                    </a:ln>
                  </pic:spPr>
                </pic:pic>
              </a:graphicData>
            </a:graphic>
          </wp:inline>
        </w:drawing>
      </w:r>
    </w:p>
    <w:p w:rsidR="00847887" w:rsidRDefault="00847887" w:rsidP="004E2A4C">
      <w:pPr>
        <w:pStyle w:val="AERtablesource"/>
      </w:pPr>
      <w:r>
        <w:t xml:space="preserve">Source: </w:t>
      </w:r>
      <w:r w:rsidR="005B5408">
        <w:tab/>
      </w:r>
      <w:r>
        <w:t xml:space="preserve">APA Group, </w:t>
      </w:r>
      <w:r w:rsidR="004E2A4C" w:rsidRPr="00B04B4C">
        <w:rPr>
          <w:rStyle w:val="Emphasis"/>
        </w:rPr>
        <w:t>Amadeus Gas Pipeline, Response to Regulatory Information Notice, template 12 – demand</w:t>
      </w:r>
      <w:r w:rsidR="004E2A4C">
        <w:t>, August 2015</w:t>
      </w:r>
      <w:r w:rsidR="00B04B4C">
        <w:t>.</w:t>
      </w:r>
    </w:p>
    <w:p w:rsidR="007B6C52" w:rsidRDefault="007E42F4" w:rsidP="007B6C52">
      <w:r>
        <w:t xml:space="preserve">Given the </w:t>
      </w:r>
      <w:r w:rsidR="00BD0920">
        <w:t xml:space="preserve">observed </w:t>
      </w:r>
      <w:r>
        <w:t>volatility associated with short term trends re</w:t>
      </w:r>
      <w:r w:rsidR="00640812">
        <w:t xml:space="preserve">garding </w:t>
      </w:r>
      <w:r w:rsidR="004C0C43">
        <w:t xml:space="preserve">annual </w:t>
      </w:r>
      <w:r w:rsidR="00640812">
        <w:t xml:space="preserve">growth in maximum </w:t>
      </w:r>
      <w:r>
        <w:t xml:space="preserve">demand we have had regard to the long term trend. </w:t>
      </w:r>
      <w:r w:rsidR="009B7343">
        <w:t>Overall</w:t>
      </w:r>
      <w:r w:rsidR="007A7136">
        <w:t xml:space="preserve"> APTNT’s proposed forecast </w:t>
      </w:r>
      <w:r w:rsidR="00640812">
        <w:t xml:space="preserve">annual growth in maximum </w:t>
      </w:r>
      <w:r w:rsidR="00461C29">
        <w:t xml:space="preserve">demand </w:t>
      </w:r>
      <w:r w:rsidR="007A7136">
        <w:t>is consistent with th</w:t>
      </w:r>
      <w:r w:rsidR="00461C29">
        <w:t xml:space="preserve">e long term </w:t>
      </w:r>
      <w:r w:rsidR="00640812">
        <w:t xml:space="preserve">annual </w:t>
      </w:r>
      <w:r w:rsidR="004C0C43">
        <w:t xml:space="preserve">growth </w:t>
      </w:r>
      <w:r w:rsidR="00585A4E">
        <w:t>of 2.</w:t>
      </w:r>
      <w:r w:rsidR="00640812">
        <w:t>4 per cent per annum</w:t>
      </w:r>
      <w:r w:rsidR="004C0C43">
        <w:t xml:space="preserve"> for maximum demand</w:t>
      </w:r>
      <w:r w:rsidR="00640812">
        <w:t xml:space="preserve">. On this basis </w:t>
      </w:r>
      <w:r w:rsidR="00461C29">
        <w:t xml:space="preserve">we consider that the aggregate </w:t>
      </w:r>
      <w:r w:rsidR="00640812">
        <w:t xml:space="preserve">maximum </w:t>
      </w:r>
      <w:r w:rsidR="00585A4E">
        <w:t>demand forecasts have been arrived at on a reasonable basis and represent the best forecasts possible in the circumstances.</w:t>
      </w:r>
    </w:p>
    <w:p w:rsidR="00344D08" w:rsidRDefault="00344D08" w:rsidP="000A1E7C">
      <w:pPr>
        <w:pStyle w:val="Heading3"/>
      </w:pPr>
      <w:bookmarkStart w:id="30" w:name="_Toc436045104"/>
      <w:r>
        <w:t>Forecast user numbers</w:t>
      </w:r>
      <w:bookmarkEnd w:id="30"/>
    </w:p>
    <w:p w:rsidR="004D1A96" w:rsidRDefault="008414FC" w:rsidP="004D1A96">
      <w:r>
        <w:t>We accept APTNT’s for</w:t>
      </w:r>
      <w:r w:rsidR="008C1610">
        <w:t>ecast user numbers for the 2016–</w:t>
      </w:r>
      <w:r>
        <w:t>21 access arrangement period</w:t>
      </w:r>
      <w:r w:rsidR="00F73895">
        <w:t xml:space="preserve"> and those forecasts have been arrived at on a reasonable basis</w:t>
      </w:r>
      <w:r>
        <w:t xml:space="preserve">. </w:t>
      </w:r>
      <w:r w:rsidR="004D1A96">
        <w:t>APTNT has submitted that there is no basis for assuming that there will be additional users on the AGP at each delivery point.</w:t>
      </w:r>
      <w:r w:rsidR="004D1A96">
        <w:rPr>
          <w:rStyle w:val="FootnoteReference"/>
        </w:rPr>
        <w:footnoteReference w:id="23"/>
      </w:r>
      <w:r w:rsidR="00B04B4C">
        <w:t xml:space="preserve"> </w:t>
      </w:r>
      <w:r w:rsidR="004D1A96">
        <w:t>APTNT submitted that:</w:t>
      </w:r>
      <w:r w:rsidR="00D7645E">
        <w:rPr>
          <w:rStyle w:val="FootnoteReference"/>
        </w:rPr>
        <w:footnoteReference w:id="24"/>
      </w:r>
    </w:p>
    <w:p w:rsidR="00344D08" w:rsidRDefault="008C1610" w:rsidP="004D1A96">
      <w:pPr>
        <w:pStyle w:val="AERbulletlistfirststyle"/>
      </w:pPr>
      <w:proofErr w:type="gramStart"/>
      <w:r>
        <w:t>similar</w:t>
      </w:r>
      <w:proofErr w:type="gramEnd"/>
      <w:r>
        <w:t xml:space="preserve"> to the 2011–</w:t>
      </w:r>
      <w:r w:rsidR="004D1A96">
        <w:t>16 access arrangement period, the capacity of the AGP is again expected to be fully contracted for the 2016</w:t>
      </w:r>
      <w:r>
        <w:t>–</w:t>
      </w:r>
      <w:r w:rsidR="004D1A96">
        <w:t>21 access arrangement period.</w:t>
      </w:r>
    </w:p>
    <w:p w:rsidR="004D1A96" w:rsidRDefault="00D7645E" w:rsidP="004D1A96">
      <w:pPr>
        <w:pStyle w:val="AERbulletlistfirststyle"/>
      </w:pPr>
      <w:r>
        <w:t>t</w:t>
      </w:r>
      <w:r w:rsidR="004D1A96">
        <w:t>here are no identified opportunities for additional supply of gas outside the prevailing firm co</w:t>
      </w:r>
      <w:r>
        <w:t>nt</w:t>
      </w:r>
      <w:r w:rsidR="004D1A96">
        <w:t>r</w:t>
      </w:r>
      <w:r>
        <w:t>a</w:t>
      </w:r>
      <w:r w:rsidR="004D1A96">
        <w:t>ct, and therefore no prospects of additional users on the AGP; and</w:t>
      </w:r>
    </w:p>
    <w:p w:rsidR="004D1A96" w:rsidRDefault="00D7645E" w:rsidP="004D1A96">
      <w:pPr>
        <w:pStyle w:val="AERbulletlistfirststyle"/>
      </w:pPr>
      <w:r>
        <w:t>i</w:t>
      </w:r>
      <w:r w:rsidR="004D1A96">
        <w:t>n the past, users other than the foundation shipper</w:t>
      </w:r>
      <w:r>
        <w:t xml:space="preserve"> have only contracted for short periods of time associated with the limited availability of firm contracting arrangements and the nature of the users, which are generally short term mining operations.</w:t>
      </w:r>
    </w:p>
    <w:p w:rsidR="00B61EDF" w:rsidRDefault="00D7645E" w:rsidP="00A923BF">
      <w:r>
        <w:t xml:space="preserve">We accept that as the AGP is expected to be fully contracted for the access arrangement period such that the likelihood of additional users is limited. </w:t>
      </w:r>
      <w:r w:rsidR="00D64275">
        <w:t xml:space="preserve">We recognise that others users in addition to the foundation shipper have contracted for short periods (on a non-firm basis). However, given the expected contractual arrangements, we consider that it is unlikely that there will be additional users demanding significant </w:t>
      </w:r>
      <w:r w:rsidR="008C1610">
        <w:t>quantities of gas over the 2016–</w:t>
      </w:r>
      <w:r w:rsidR="00D64275">
        <w:t xml:space="preserve">21 access arrangement </w:t>
      </w:r>
      <w:proofErr w:type="gramStart"/>
      <w:r w:rsidR="00D64275">
        <w:t>period</w:t>
      </w:r>
      <w:proofErr w:type="gramEnd"/>
      <w:r w:rsidR="00D64275">
        <w:t>.</w:t>
      </w:r>
    </w:p>
    <w:sectPr w:rsidR="00B61EDF" w:rsidSect="00B757A6">
      <w:headerReference w:type="even" r:id="rId16"/>
      <w:footerReference w:type="even" r:id="rId17"/>
      <w:footerReference w:type="default" r:id="rId18"/>
      <w:headerReference w:type="first" r:id="rId19"/>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490D61">
          <w:rPr>
            <w:noProof/>
          </w:rPr>
          <w:t>13-3</w:t>
        </w:r>
        <w:r w:rsidRPr="00CA52A2">
          <w:fldChar w:fldCharType="end"/>
        </w:r>
        <w:r w:rsidRPr="00CA52A2">
          <w:t xml:space="preserve">        Attachment </w:t>
        </w:r>
        <w:r>
          <w:t xml:space="preserve">13 </w:t>
        </w:r>
        <w:r w:rsidRPr="00CA52A2">
          <w:t xml:space="preserve">– </w:t>
        </w:r>
        <w:r>
          <w:t xml:space="preserve">Demand </w:t>
        </w:r>
        <w:r w:rsidRPr="00CA52A2">
          <w:t xml:space="preserve">| </w:t>
        </w:r>
        <w:r>
          <w:t>Draft decision: Amadeus Gas Pipeline 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393646" w:rsidRDefault="00393646">
      <w:pPr>
        <w:pStyle w:val="FootnoteText"/>
      </w:pPr>
      <w:r>
        <w:rPr>
          <w:rStyle w:val="FootnoteReference"/>
        </w:rPr>
        <w:footnoteRef/>
      </w:r>
      <w:r>
        <w:t xml:space="preserve"> </w:t>
      </w:r>
      <w:r>
        <w:tab/>
        <w:t xml:space="preserve">APA Group, </w:t>
      </w:r>
      <w:r w:rsidRPr="00B04B4C">
        <w:rPr>
          <w:rStyle w:val="Emphasis"/>
        </w:rPr>
        <w:t>Amadeus Gas Pipeline, Access Arrangement Revision Proposal, Submission</w:t>
      </w:r>
      <w:r>
        <w:t>, August 2015, p.</w:t>
      </w:r>
      <w:r w:rsidR="005B5408">
        <w:t xml:space="preserve"> </w:t>
      </w:r>
      <w:r>
        <w:t>48</w:t>
      </w:r>
      <w:r w:rsidR="00B04B4C">
        <w:t>.</w:t>
      </w:r>
    </w:p>
  </w:footnote>
  <w:footnote w:id="2">
    <w:p w:rsidR="00393646" w:rsidRDefault="00393646">
      <w:pPr>
        <w:pStyle w:val="FootnoteText"/>
      </w:pPr>
      <w:r>
        <w:rPr>
          <w:rStyle w:val="FootnoteReference"/>
        </w:rPr>
        <w:footnoteRef/>
      </w:r>
      <w:r>
        <w:t xml:space="preserve"> </w:t>
      </w:r>
      <w:r>
        <w:tab/>
        <w:t xml:space="preserve">APA Group, </w:t>
      </w:r>
      <w:r w:rsidRPr="00B04B4C">
        <w:rPr>
          <w:rStyle w:val="Emphasis"/>
        </w:rPr>
        <w:t>Amadeus Gas Pipeline, Access Arrangement Revision Proposal</w:t>
      </w:r>
      <w:r>
        <w:t xml:space="preserve">, </w:t>
      </w:r>
      <w:r w:rsidRPr="009355EF">
        <w:rPr>
          <w:rStyle w:val="Emphasis"/>
        </w:rPr>
        <w:t>Submission</w:t>
      </w:r>
      <w:r>
        <w:t>, August 2015, p.</w:t>
      </w:r>
      <w:r w:rsidR="005B5408">
        <w:t xml:space="preserve"> </w:t>
      </w:r>
      <w:r>
        <w:t>50</w:t>
      </w:r>
      <w:r w:rsidR="00B04B4C">
        <w:t>.</w:t>
      </w:r>
    </w:p>
  </w:footnote>
  <w:footnote w:id="3">
    <w:p w:rsidR="00393646" w:rsidRDefault="00393646">
      <w:pPr>
        <w:pStyle w:val="FootnoteText"/>
      </w:pPr>
      <w:r>
        <w:rPr>
          <w:rStyle w:val="FootnoteReference"/>
        </w:rPr>
        <w:footnoteRef/>
      </w:r>
      <w:r>
        <w:t xml:space="preserve"> </w:t>
      </w:r>
      <w:r>
        <w:tab/>
        <w:t xml:space="preserve">APA Group, </w:t>
      </w:r>
      <w:r w:rsidRPr="00B04B4C">
        <w:rPr>
          <w:rStyle w:val="Emphasis"/>
        </w:rPr>
        <w:t>Amadeus Gas Pipeline, Access Arrangement Revision Proposal</w:t>
      </w:r>
      <w:r>
        <w:t xml:space="preserve">, </w:t>
      </w:r>
      <w:r w:rsidRPr="009355EF">
        <w:rPr>
          <w:rStyle w:val="Emphasis"/>
        </w:rPr>
        <w:t>Submission</w:t>
      </w:r>
      <w:r>
        <w:t>, August 2015, p.</w:t>
      </w:r>
      <w:r w:rsidR="005B5408">
        <w:t xml:space="preserve"> </w:t>
      </w:r>
      <w:r>
        <w:t>50</w:t>
      </w:r>
      <w:r w:rsidR="00B04B4C">
        <w:t>.</w:t>
      </w:r>
    </w:p>
  </w:footnote>
  <w:footnote w:id="4">
    <w:p w:rsidR="00393646" w:rsidRDefault="00393646">
      <w:pPr>
        <w:pStyle w:val="FootnoteText"/>
      </w:pPr>
      <w:r>
        <w:rPr>
          <w:rStyle w:val="FootnoteReference"/>
        </w:rPr>
        <w:footnoteRef/>
      </w:r>
      <w:r>
        <w:t xml:space="preserve"> </w:t>
      </w:r>
      <w:r>
        <w:tab/>
        <w:t>NGR, r.</w:t>
      </w:r>
      <w:r w:rsidR="005B5408">
        <w:t xml:space="preserve"> </w:t>
      </w:r>
      <w:r>
        <w:t>72(1</w:t>
      </w:r>
      <w:proofErr w:type="gramStart"/>
      <w:r>
        <w:t>)(</w:t>
      </w:r>
      <w:proofErr w:type="gramEnd"/>
      <w:r>
        <w:t>a)(iii)</w:t>
      </w:r>
      <w:r w:rsidR="00B04B4C">
        <w:t>.</w:t>
      </w:r>
    </w:p>
  </w:footnote>
  <w:footnote w:id="5">
    <w:p w:rsidR="00393646" w:rsidRDefault="00393646">
      <w:pPr>
        <w:pStyle w:val="FootnoteText"/>
      </w:pPr>
      <w:r>
        <w:rPr>
          <w:rStyle w:val="FootnoteReference"/>
        </w:rPr>
        <w:footnoteRef/>
      </w:r>
      <w:r>
        <w:t xml:space="preserve"> </w:t>
      </w:r>
      <w:r>
        <w:tab/>
        <w:t>NGR, r.</w:t>
      </w:r>
      <w:r w:rsidR="005B5408">
        <w:t xml:space="preserve"> </w:t>
      </w:r>
      <w:r>
        <w:t>72(1</w:t>
      </w:r>
      <w:proofErr w:type="gramStart"/>
      <w:r>
        <w:t>)(</w:t>
      </w:r>
      <w:proofErr w:type="gramEnd"/>
      <w:r>
        <w:t>d)</w:t>
      </w:r>
      <w:r w:rsidR="00B04B4C">
        <w:t>.</w:t>
      </w:r>
    </w:p>
  </w:footnote>
  <w:footnote w:id="6">
    <w:p w:rsidR="00393646" w:rsidRDefault="00393646">
      <w:pPr>
        <w:pStyle w:val="FootnoteText"/>
      </w:pPr>
      <w:r>
        <w:rPr>
          <w:rStyle w:val="FootnoteReference"/>
        </w:rPr>
        <w:footnoteRef/>
      </w:r>
      <w:r>
        <w:t xml:space="preserve"> </w:t>
      </w:r>
      <w:r>
        <w:tab/>
      </w:r>
      <w:proofErr w:type="gramStart"/>
      <w:r>
        <w:t>NGR, r.</w:t>
      </w:r>
      <w:r w:rsidR="005B5408">
        <w:t xml:space="preserve"> </w:t>
      </w:r>
      <w:r>
        <w:t>74(2)</w:t>
      </w:r>
      <w:r w:rsidR="00B04B4C">
        <w:t>.</w:t>
      </w:r>
      <w:proofErr w:type="gramEnd"/>
    </w:p>
  </w:footnote>
  <w:footnote w:id="7">
    <w:p w:rsidR="00393646" w:rsidRDefault="00393646">
      <w:pPr>
        <w:pStyle w:val="FootnoteText"/>
      </w:pPr>
      <w:r>
        <w:rPr>
          <w:rStyle w:val="FootnoteReference"/>
        </w:rPr>
        <w:footnoteRef/>
      </w:r>
      <w:r>
        <w:t xml:space="preserve"> </w:t>
      </w:r>
      <w:r>
        <w:tab/>
      </w:r>
      <w:proofErr w:type="gramStart"/>
      <w:r>
        <w:t>NGR, r.</w:t>
      </w:r>
      <w:r w:rsidR="005B5408">
        <w:t xml:space="preserve"> </w:t>
      </w:r>
      <w:r>
        <w:t>74(2)</w:t>
      </w:r>
      <w:r w:rsidR="00B04B4C">
        <w:t>.</w:t>
      </w:r>
      <w:proofErr w:type="gramEnd"/>
    </w:p>
  </w:footnote>
  <w:footnote w:id="8">
    <w:p w:rsidR="00393646" w:rsidRDefault="00393646">
      <w:pPr>
        <w:pStyle w:val="FootnoteText"/>
      </w:pPr>
      <w:r>
        <w:rPr>
          <w:rStyle w:val="FootnoteReference"/>
        </w:rPr>
        <w:footnoteRef/>
      </w:r>
      <w:r>
        <w:t xml:space="preserve"> </w:t>
      </w:r>
      <w:r>
        <w:tab/>
        <w:t xml:space="preserve">AGL, </w:t>
      </w:r>
      <w:r w:rsidRPr="00B04B4C">
        <w:rPr>
          <w:rStyle w:val="Emphasis"/>
        </w:rPr>
        <w:t>Submission on Amadeus Gas Pipeline, Access Arrangement Revision Proposal</w:t>
      </w:r>
      <w:r>
        <w:t>, 2 September 2015, p.</w:t>
      </w:r>
      <w:r w:rsidR="005B5408">
        <w:t xml:space="preserve"> </w:t>
      </w:r>
      <w:r>
        <w:t xml:space="preserve">2; Santos, </w:t>
      </w:r>
      <w:r w:rsidRPr="00B04B4C">
        <w:rPr>
          <w:rStyle w:val="Emphasis"/>
        </w:rPr>
        <w:t>Submission on Amadeus Gas Pipeline, Access Arrangement Revision Proposal</w:t>
      </w:r>
      <w:r>
        <w:t>, 2 September 2015, p.</w:t>
      </w:r>
      <w:r w:rsidR="005B5408">
        <w:t xml:space="preserve"> </w:t>
      </w:r>
      <w:r>
        <w:t>1</w:t>
      </w:r>
      <w:r w:rsidR="00B04B4C">
        <w:t>.</w:t>
      </w:r>
    </w:p>
  </w:footnote>
  <w:footnote w:id="9">
    <w:p w:rsidR="00393646" w:rsidRDefault="00393646">
      <w:pPr>
        <w:pStyle w:val="FootnoteText"/>
      </w:pPr>
      <w:r>
        <w:rPr>
          <w:rStyle w:val="FootnoteReference"/>
        </w:rPr>
        <w:footnoteRef/>
      </w:r>
      <w:r>
        <w:t xml:space="preserve"> </w:t>
      </w:r>
      <w:r>
        <w:tab/>
        <w:t xml:space="preserve">Jemena, </w:t>
      </w:r>
      <w:r w:rsidRPr="00B04B4C">
        <w:rPr>
          <w:rStyle w:val="Emphasis"/>
        </w:rPr>
        <w:t>Submission on Amadeus Gas Pipeline, Access Arrangement Revision Proposal</w:t>
      </w:r>
      <w:r>
        <w:t>, 31 August 2015, p.</w:t>
      </w:r>
      <w:r w:rsidR="005B5408">
        <w:t xml:space="preserve"> </w:t>
      </w:r>
      <w:r>
        <w:t>1</w:t>
      </w:r>
      <w:r w:rsidR="00B04B4C">
        <w:t>.</w:t>
      </w:r>
    </w:p>
  </w:footnote>
  <w:footnote w:id="10">
    <w:p w:rsidR="00393646" w:rsidRDefault="00393646">
      <w:pPr>
        <w:pStyle w:val="FootnoteText"/>
      </w:pPr>
      <w:r>
        <w:rPr>
          <w:rStyle w:val="FootnoteReference"/>
        </w:rPr>
        <w:footnoteRef/>
      </w:r>
      <w:r>
        <w:t xml:space="preserve"> </w:t>
      </w:r>
      <w:r>
        <w:tab/>
      </w:r>
      <w:proofErr w:type="gramStart"/>
      <w:r>
        <w:t>NGR, r.</w:t>
      </w:r>
      <w:r w:rsidR="005B5408">
        <w:t xml:space="preserve"> </w:t>
      </w:r>
      <w:r>
        <w:t>74(2)</w:t>
      </w:r>
      <w:r w:rsidR="00B04B4C">
        <w:t>.</w:t>
      </w:r>
      <w:proofErr w:type="gramEnd"/>
    </w:p>
  </w:footnote>
  <w:footnote w:id="11">
    <w:p w:rsidR="00393646" w:rsidRDefault="00393646">
      <w:pPr>
        <w:pStyle w:val="FootnoteText"/>
      </w:pPr>
      <w:r>
        <w:rPr>
          <w:rStyle w:val="FootnoteReference"/>
        </w:rPr>
        <w:footnoteRef/>
      </w:r>
      <w:r>
        <w:t xml:space="preserve"> </w:t>
      </w:r>
      <w:r>
        <w:tab/>
        <w:t xml:space="preserve">NGR </w:t>
      </w:r>
      <w:proofErr w:type="spellStart"/>
      <w:proofErr w:type="gramStart"/>
      <w:r>
        <w:t>r</w:t>
      </w:r>
      <w:r w:rsidR="00B04B4C">
        <w:t>r</w:t>
      </w:r>
      <w:proofErr w:type="spellEnd"/>
      <w:proofErr w:type="gramEnd"/>
      <w:r>
        <w:t>.</w:t>
      </w:r>
      <w:r w:rsidR="005B5408">
        <w:t xml:space="preserve"> </w:t>
      </w:r>
      <w:r>
        <w:t>74(1)</w:t>
      </w:r>
      <w:r w:rsidR="00B04B4C">
        <w:t xml:space="preserve">, </w:t>
      </w:r>
      <w:r>
        <w:t>74(2</w:t>
      </w:r>
      <w:proofErr w:type="gramStart"/>
      <w:r>
        <w:t>)(</w:t>
      </w:r>
      <w:proofErr w:type="gramEnd"/>
      <w:r>
        <w:t>a)</w:t>
      </w:r>
      <w:r w:rsidR="00B04B4C">
        <w:t>.</w:t>
      </w:r>
    </w:p>
  </w:footnote>
  <w:footnote w:id="12">
    <w:p w:rsidR="00393646" w:rsidRDefault="00393646">
      <w:pPr>
        <w:pStyle w:val="FootnoteText"/>
      </w:pPr>
      <w:r>
        <w:rPr>
          <w:rStyle w:val="FootnoteReference"/>
        </w:rPr>
        <w:footnoteRef/>
      </w:r>
      <w:r>
        <w:t xml:space="preserve"> </w:t>
      </w:r>
      <w:r>
        <w:tab/>
        <w:t>The annual average variation between</w:t>
      </w:r>
      <w:r w:rsidR="00C81568">
        <w:t xml:space="preserve"> actual</w:t>
      </w:r>
      <w:r>
        <w:t xml:space="preserve"> total gas volumes (GJ) and forecast is estimated to be wi</w:t>
      </w:r>
      <w:r w:rsidR="008C1610">
        <w:t>thin one per cent over the 2011–</w:t>
      </w:r>
      <w:r>
        <w:t xml:space="preserve">16 access arrangement </w:t>
      </w:r>
      <w:proofErr w:type="gramStart"/>
      <w:r>
        <w:t>period</w:t>
      </w:r>
      <w:proofErr w:type="gramEnd"/>
      <w:r>
        <w:t xml:space="preserve">. </w:t>
      </w:r>
    </w:p>
  </w:footnote>
  <w:footnote w:id="13">
    <w:p w:rsidR="00393646" w:rsidRDefault="00393646">
      <w:pPr>
        <w:pStyle w:val="FootnoteText"/>
      </w:pPr>
      <w:r>
        <w:rPr>
          <w:rStyle w:val="FootnoteReference"/>
        </w:rPr>
        <w:footnoteRef/>
      </w:r>
      <w:r>
        <w:t xml:space="preserve"> </w:t>
      </w:r>
      <w:r>
        <w:tab/>
        <w:t>NGR, r.</w:t>
      </w:r>
      <w:r w:rsidR="005B5408">
        <w:t xml:space="preserve"> </w:t>
      </w:r>
      <w:r>
        <w:t>72(1</w:t>
      </w:r>
      <w:proofErr w:type="gramStart"/>
      <w:r>
        <w:t>)(</w:t>
      </w:r>
      <w:proofErr w:type="gramEnd"/>
      <w:r>
        <w:t>a)(iii)(A)</w:t>
      </w:r>
      <w:r w:rsidR="00B04B4C">
        <w:t>.</w:t>
      </w:r>
    </w:p>
  </w:footnote>
  <w:footnote w:id="14">
    <w:p w:rsidR="00393646" w:rsidRDefault="00393646">
      <w:pPr>
        <w:pStyle w:val="FootnoteText"/>
      </w:pPr>
      <w:r>
        <w:rPr>
          <w:rStyle w:val="FootnoteReference"/>
        </w:rPr>
        <w:footnoteRef/>
      </w:r>
      <w:r>
        <w:t xml:space="preserve"> </w:t>
      </w:r>
      <w:r>
        <w:tab/>
        <w:t>APA Group</w:t>
      </w:r>
      <w:r w:rsidR="008C1610">
        <w:rPr>
          <w:rStyle w:val="Emphasis"/>
        </w:rPr>
        <w:t>, 2016–</w:t>
      </w:r>
      <w:r w:rsidRPr="00B04B4C">
        <w:rPr>
          <w:rStyle w:val="Emphasis"/>
        </w:rPr>
        <w:t>21 Access Arrangement Informatio</w:t>
      </w:r>
      <w:r>
        <w:t>n, August 2015, pp.</w:t>
      </w:r>
      <w:r w:rsidR="005B5408">
        <w:t xml:space="preserve"> </w:t>
      </w:r>
      <w:r>
        <w:t>4-6</w:t>
      </w:r>
      <w:r w:rsidR="00B04B4C">
        <w:t>.</w:t>
      </w:r>
    </w:p>
  </w:footnote>
  <w:footnote w:id="15">
    <w:p w:rsidR="00393646" w:rsidRDefault="00393646">
      <w:pPr>
        <w:pStyle w:val="FootnoteText"/>
      </w:pPr>
      <w:r>
        <w:rPr>
          <w:rStyle w:val="FootnoteReference"/>
        </w:rPr>
        <w:footnoteRef/>
      </w:r>
      <w:r>
        <w:t xml:space="preserve"> </w:t>
      </w:r>
      <w:r>
        <w:tab/>
        <w:t xml:space="preserve">APA Group, </w:t>
      </w:r>
      <w:r w:rsidR="008C1610">
        <w:rPr>
          <w:rStyle w:val="Emphasis"/>
        </w:rPr>
        <w:t>2016–</w:t>
      </w:r>
      <w:r w:rsidRPr="00B04B4C">
        <w:rPr>
          <w:rStyle w:val="Emphasis"/>
        </w:rPr>
        <w:t>21 Access Arrangement Information</w:t>
      </w:r>
      <w:r>
        <w:t>, August 2015, p.</w:t>
      </w:r>
      <w:r w:rsidR="005B5408">
        <w:t xml:space="preserve"> </w:t>
      </w:r>
      <w:r>
        <w:t>7</w:t>
      </w:r>
      <w:r w:rsidR="00B04B4C">
        <w:t>.</w:t>
      </w:r>
    </w:p>
  </w:footnote>
  <w:footnote w:id="16">
    <w:p w:rsidR="00393646" w:rsidRDefault="00393646">
      <w:pPr>
        <w:pStyle w:val="FootnoteText"/>
      </w:pPr>
      <w:r>
        <w:rPr>
          <w:rStyle w:val="FootnoteReference"/>
        </w:rPr>
        <w:footnoteRef/>
      </w:r>
      <w:r>
        <w:t xml:space="preserve"> </w:t>
      </w:r>
      <w:r>
        <w:tab/>
        <w:t xml:space="preserve">APA Group, </w:t>
      </w:r>
      <w:r w:rsidRPr="00B04B4C">
        <w:rPr>
          <w:rStyle w:val="Emphasis"/>
        </w:rPr>
        <w:t>Amadeus Gas Pipeline, Access Arrangement Revision Proposal, Submission</w:t>
      </w:r>
      <w:r>
        <w:t>, August 2015, pp.</w:t>
      </w:r>
      <w:r w:rsidR="005B5408">
        <w:t xml:space="preserve"> </w:t>
      </w:r>
      <w:r>
        <w:t>48-49</w:t>
      </w:r>
      <w:r w:rsidR="00B04B4C">
        <w:t>.</w:t>
      </w:r>
    </w:p>
  </w:footnote>
  <w:footnote w:id="17">
    <w:p w:rsidR="00393646" w:rsidRDefault="00393646" w:rsidP="00147E70">
      <w:pPr>
        <w:pStyle w:val="FootnoteText"/>
      </w:pPr>
      <w:r>
        <w:rPr>
          <w:rStyle w:val="FootnoteReference"/>
        </w:rPr>
        <w:footnoteRef/>
      </w:r>
      <w:r>
        <w:t xml:space="preserve"> </w:t>
      </w:r>
      <w:r>
        <w:tab/>
      </w:r>
      <w:r w:rsidR="00BC2FAF">
        <w:t xml:space="preserve">This calculation was derived from </w:t>
      </w:r>
      <w:r>
        <w:t xml:space="preserve">APA Group, </w:t>
      </w:r>
      <w:r w:rsidRPr="002A6688">
        <w:rPr>
          <w:rStyle w:val="Emphasis"/>
        </w:rPr>
        <w:t>Regulatory Information Notice response</w:t>
      </w:r>
      <w:r>
        <w:t>, August 2015, template 12- Demand</w:t>
      </w:r>
      <w:r w:rsidR="00B04B4C">
        <w:t>.</w:t>
      </w:r>
    </w:p>
  </w:footnote>
  <w:footnote w:id="18">
    <w:p w:rsidR="00393646" w:rsidRDefault="00393646" w:rsidP="00147E70">
      <w:pPr>
        <w:pStyle w:val="FootnoteText"/>
      </w:pPr>
      <w:r>
        <w:rPr>
          <w:rStyle w:val="FootnoteReference"/>
        </w:rPr>
        <w:footnoteRef/>
      </w:r>
      <w:r>
        <w:t xml:space="preserve"> </w:t>
      </w:r>
      <w:r>
        <w:tab/>
        <w:t>This calculation includes an estimate for total gas volum</w:t>
      </w:r>
      <w:r w:rsidR="008C1610">
        <w:t>es in 2015–</w:t>
      </w:r>
      <w:r>
        <w:t>16.</w:t>
      </w:r>
    </w:p>
  </w:footnote>
  <w:footnote w:id="19">
    <w:p w:rsidR="00393646" w:rsidRDefault="00393646" w:rsidP="004E2A4C">
      <w:pPr>
        <w:pStyle w:val="FootnoteText"/>
      </w:pPr>
      <w:r>
        <w:rPr>
          <w:rStyle w:val="FootnoteReference"/>
        </w:rPr>
        <w:footnoteRef/>
      </w:r>
      <w:r>
        <w:t xml:space="preserve"> </w:t>
      </w:r>
      <w:r>
        <w:tab/>
        <w:t>This calculation is based on actual 2014</w:t>
      </w:r>
      <w:r w:rsidR="008C1610">
        <w:t>–</w:t>
      </w:r>
      <w:r>
        <w:t>15 data in the AAI.</w:t>
      </w:r>
    </w:p>
  </w:footnote>
  <w:footnote w:id="20">
    <w:p w:rsidR="00393646" w:rsidRDefault="00393646" w:rsidP="0029724D">
      <w:pPr>
        <w:pStyle w:val="FootnoteText"/>
      </w:pPr>
      <w:r>
        <w:rPr>
          <w:rStyle w:val="FootnoteReference"/>
        </w:rPr>
        <w:footnoteRef/>
      </w:r>
      <w:r>
        <w:t xml:space="preserve"> </w:t>
      </w:r>
      <w:r>
        <w:tab/>
        <w:t xml:space="preserve">APA Group, </w:t>
      </w:r>
      <w:r w:rsidRPr="00B04B4C">
        <w:rPr>
          <w:rStyle w:val="Emphasis"/>
        </w:rPr>
        <w:t>Amadeus Gas Pipeline, Access Arrangement Revision Proposal, Submission</w:t>
      </w:r>
      <w:r>
        <w:t>, August 2015, pp.</w:t>
      </w:r>
      <w:r w:rsidR="005B5408">
        <w:t xml:space="preserve"> </w:t>
      </w:r>
      <w:r>
        <w:t>46-47</w:t>
      </w:r>
      <w:r w:rsidR="00B04B4C">
        <w:t>.</w:t>
      </w:r>
    </w:p>
  </w:footnote>
  <w:footnote w:id="21">
    <w:p w:rsidR="00393646" w:rsidRDefault="00393646" w:rsidP="0029724D">
      <w:pPr>
        <w:pStyle w:val="FootnoteText"/>
      </w:pPr>
      <w:r>
        <w:rPr>
          <w:rStyle w:val="FootnoteReference"/>
        </w:rPr>
        <w:footnoteRef/>
      </w:r>
      <w:r>
        <w:t xml:space="preserve"> </w:t>
      </w:r>
      <w:r>
        <w:tab/>
        <w:t xml:space="preserve">APA Group, </w:t>
      </w:r>
      <w:r w:rsidRPr="00B04B4C">
        <w:rPr>
          <w:rStyle w:val="Emphasis"/>
        </w:rPr>
        <w:t>Amadeus Gas Pipeline, Access Arrangement Revision Proposal, Submission</w:t>
      </w:r>
      <w:r>
        <w:t>, August 2015, p.</w:t>
      </w:r>
      <w:r w:rsidR="005B5408">
        <w:t xml:space="preserve"> </w:t>
      </w:r>
      <w:r>
        <w:t>46</w:t>
      </w:r>
      <w:r w:rsidR="00B04B4C">
        <w:t>.</w:t>
      </w:r>
    </w:p>
  </w:footnote>
  <w:footnote w:id="22">
    <w:p w:rsidR="00393646" w:rsidRDefault="00393646">
      <w:pPr>
        <w:pStyle w:val="FootnoteText"/>
      </w:pPr>
      <w:r>
        <w:rPr>
          <w:rStyle w:val="FootnoteReference"/>
        </w:rPr>
        <w:footnoteRef/>
      </w:r>
      <w:r>
        <w:t xml:space="preserve"> </w:t>
      </w:r>
      <w:r>
        <w:tab/>
        <w:t>These calculations include APTNT’s m</w:t>
      </w:r>
      <w:r w:rsidR="008C1610">
        <w:t>aximum demand estimate for 2015–</w:t>
      </w:r>
      <w:r>
        <w:t>16.</w:t>
      </w:r>
      <w:r w:rsidR="00B04B4C">
        <w:t xml:space="preserve"> </w:t>
      </w:r>
      <w:r w:rsidR="001C17E7">
        <w:t>Note there was a step decrease in maximum demand at the Channel Isl</w:t>
      </w:r>
      <w:r w:rsidR="008C1610">
        <w:t>and delivery point between 2010–11 and 2011–</w:t>
      </w:r>
      <w:r w:rsidR="001C17E7">
        <w:t>12.</w:t>
      </w:r>
    </w:p>
  </w:footnote>
  <w:footnote w:id="23">
    <w:p w:rsidR="00393646" w:rsidRDefault="00393646">
      <w:pPr>
        <w:pStyle w:val="FootnoteText"/>
      </w:pPr>
      <w:r>
        <w:rPr>
          <w:rStyle w:val="FootnoteReference"/>
        </w:rPr>
        <w:footnoteRef/>
      </w:r>
      <w:r>
        <w:t xml:space="preserve"> </w:t>
      </w:r>
      <w:r>
        <w:tab/>
        <w:t xml:space="preserve">APA Group, </w:t>
      </w:r>
      <w:r w:rsidRPr="00B04B4C">
        <w:rPr>
          <w:rStyle w:val="Emphasis"/>
        </w:rPr>
        <w:t>Amadeus Gas Pipeline, Access Arrangement Revision Proposal, Submission</w:t>
      </w:r>
      <w:r>
        <w:t>, August 2015, p.</w:t>
      </w:r>
      <w:r w:rsidR="005B5408">
        <w:t xml:space="preserve"> </w:t>
      </w:r>
      <w:r>
        <w:t>56</w:t>
      </w:r>
      <w:r w:rsidR="00B04B4C">
        <w:t>.</w:t>
      </w:r>
    </w:p>
  </w:footnote>
  <w:footnote w:id="24">
    <w:p w:rsidR="00393646" w:rsidRDefault="00393646">
      <w:pPr>
        <w:pStyle w:val="FootnoteText"/>
      </w:pPr>
      <w:r>
        <w:rPr>
          <w:rStyle w:val="FootnoteReference"/>
        </w:rPr>
        <w:footnoteRef/>
      </w:r>
      <w:r>
        <w:t xml:space="preserve"> </w:t>
      </w:r>
      <w:r>
        <w:tab/>
        <w:t xml:space="preserve">APA Group, </w:t>
      </w:r>
      <w:r w:rsidRPr="00B04B4C">
        <w:rPr>
          <w:rStyle w:val="Emphasis"/>
        </w:rPr>
        <w:t>Amadeus Gas Pipeline, Access Arrangement Revision Proposal, Submission</w:t>
      </w:r>
      <w:r>
        <w:t>, August 2015, p.</w:t>
      </w:r>
      <w:r w:rsidR="005B5408">
        <w:t xml:space="preserve"> </w:t>
      </w:r>
      <w:r>
        <w:t>56</w:t>
      </w:r>
      <w:r w:rsidR="00B04B4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490D6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490D6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3104E6F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eKbogzZQzMJi61vqRdoH9n6AVUrPJlu9utDWoXyRU=" w:saltValue="YhytdhDcxnf/WjfT9MNjH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4633"/>
    <w:rsid w:val="00010286"/>
    <w:rsid w:val="00021202"/>
    <w:rsid w:val="00021C2B"/>
    <w:rsid w:val="0002517F"/>
    <w:rsid w:val="00026495"/>
    <w:rsid w:val="0003578C"/>
    <w:rsid w:val="000401AF"/>
    <w:rsid w:val="00041DDA"/>
    <w:rsid w:val="00063247"/>
    <w:rsid w:val="00063A92"/>
    <w:rsid w:val="00070F9F"/>
    <w:rsid w:val="0007137B"/>
    <w:rsid w:val="00085663"/>
    <w:rsid w:val="00085EBF"/>
    <w:rsid w:val="00085F93"/>
    <w:rsid w:val="00091B15"/>
    <w:rsid w:val="000A1E7C"/>
    <w:rsid w:val="000A3020"/>
    <w:rsid w:val="000A6C7B"/>
    <w:rsid w:val="000B0360"/>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B3F62"/>
    <w:rsid w:val="001B45A0"/>
    <w:rsid w:val="001B45C0"/>
    <w:rsid w:val="001B6F2E"/>
    <w:rsid w:val="001B7D00"/>
    <w:rsid w:val="001C17E7"/>
    <w:rsid w:val="001D055E"/>
    <w:rsid w:val="001E009C"/>
    <w:rsid w:val="001E5FE2"/>
    <w:rsid w:val="001F05A4"/>
    <w:rsid w:val="001F492E"/>
    <w:rsid w:val="001F6DA3"/>
    <w:rsid w:val="002010BC"/>
    <w:rsid w:val="002016E7"/>
    <w:rsid w:val="00201F98"/>
    <w:rsid w:val="00202E03"/>
    <w:rsid w:val="0020478D"/>
    <w:rsid w:val="0020492C"/>
    <w:rsid w:val="00205A33"/>
    <w:rsid w:val="0022444D"/>
    <w:rsid w:val="00224DB9"/>
    <w:rsid w:val="00227DCE"/>
    <w:rsid w:val="0023276C"/>
    <w:rsid w:val="00233775"/>
    <w:rsid w:val="00251745"/>
    <w:rsid w:val="00263AC0"/>
    <w:rsid w:val="00264264"/>
    <w:rsid w:val="00265E90"/>
    <w:rsid w:val="0026772D"/>
    <w:rsid w:val="00277554"/>
    <w:rsid w:val="00286874"/>
    <w:rsid w:val="00290C63"/>
    <w:rsid w:val="00296B65"/>
    <w:rsid w:val="0029724D"/>
    <w:rsid w:val="002A6688"/>
    <w:rsid w:val="002A7DEF"/>
    <w:rsid w:val="002B1003"/>
    <w:rsid w:val="002B573C"/>
    <w:rsid w:val="002C233C"/>
    <w:rsid w:val="002D72E8"/>
    <w:rsid w:val="002E7B22"/>
    <w:rsid w:val="002F7986"/>
    <w:rsid w:val="00301B40"/>
    <w:rsid w:val="003029A5"/>
    <w:rsid w:val="003029EE"/>
    <w:rsid w:val="0030370B"/>
    <w:rsid w:val="00305CC8"/>
    <w:rsid w:val="00307F6D"/>
    <w:rsid w:val="003130C9"/>
    <w:rsid w:val="003177A2"/>
    <w:rsid w:val="00320869"/>
    <w:rsid w:val="003271B5"/>
    <w:rsid w:val="00327A1E"/>
    <w:rsid w:val="00331264"/>
    <w:rsid w:val="003338A2"/>
    <w:rsid w:val="00334C8D"/>
    <w:rsid w:val="0033548E"/>
    <w:rsid w:val="00343A18"/>
    <w:rsid w:val="00344473"/>
    <w:rsid w:val="00344D08"/>
    <w:rsid w:val="003457F9"/>
    <w:rsid w:val="00347114"/>
    <w:rsid w:val="003518B3"/>
    <w:rsid w:val="003578CD"/>
    <w:rsid w:val="003666F2"/>
    <w:rsid w:val="00367D70"/>
    <w:rsid w:val="003717D8"/>
    <w:rsid w:val="003846F1"/>
    <w:rsid w:val="003903D4"/>
    <w:rsid w:val="00391BF0"/>
    <w:rsid w:val="003931A7"/>
    <w:rsid w:val="00393646"/>
    <w:rsid w:val="003B484F"/>
    <w:rsid w:val="003B7FBA"/>
    <w:rsid w:val="003F174D"/>
    <w:rsid w:val="003F572D"/>
    <w:rsid w:val="003F7442"/>
    <w:rsid w:val="004046D6"/>
    <w:rsid w:val="00415F31"/>
    <w:rsid w:val="0042205D"/>
    <w:rsid w:val="00423A77"/>
    <w:rsid w:val="00436ECD"/>
    <w:rsid w:val="00452473"/>
    <w:rsid w:val="0045777E"/>
    <w:rsid w:val="00461B0F"/>
    <w:rsid w:val="00461C29"/>
    <w:rsid w:val="00474DA9"/>
    <w:rsid w:val="00474EC7"/>
    <w:rsid w:val="00480B4B"/>
    <w:rsid w:val="00485DC4"/>
    <w:rsid w:val="00490D61"/>
    <w:rsid w:val="004A0A5E"/>
    <w:rsid w:val="004A43D1"/>
    <w:rsid w:val="004B355D"/>
    <w:rsid w:val="004B4412"/>
    <w:rsid w:val="004C0C43"/>
    <w:rsid w:val="004C348C"/>
    <w:rsid w:val="004C6A30"/>
    <w:rsid w:val="004D1A96"/>
    <w:rsid w:val="004D55BA"/>
    <w:rsid w:val="004E22EC"/>
    <w:rsid w:val="004E2A4C"/>
    <w:rsid w:val="004F6A0E"/>
    <w:rsid w:val="00530128"/>
    <w:rsid w:val="00532467"/>
    <w:rsid w:val="00537FD6"/>
    <w:rsid w:val="00564A4D"/>
    <w:rsid w:val="0056588A"/>
    <w:rsid w:val="00567BA5"/>
    <w:rsid w:val="00571B35"/>
    <w:rsid w:val="00571D57"/>
    <w:rsid w:val="00577A09"/>
    <w:rsid w:val="005829C2"/>
    <w:rsid w:val="00584D8F"/>
    <w:rsid w:val="00585A4E"/>
    <w:rsid w:val="00586819"/>
    <w:rsid w:val="0059704C"/>
    <w:rsid w:val="005A404D"/>
    <w:rsid w:val="005B1E3C"/>
    <w:rsid w:val="005B3FB7"/>
    <w:rsid w:val="005B4D33"/>
    <w:rsid w:val="005B5408"/>
    <w:rsid w:val="005B704A"/>
    <w:rsid w:val="005C0A7F"/>
    <w:rsid w:val="005C26CC"/>
    <w:rsid w:val="005C4C9C"/>
    <w:rsid w:val="005C6218"/>
    <w:rsid w:val="005D7BA2"/>
    <w:rsid w:val="005E36C2"/>
    <w:rsid w:val="005F0183"/>
    <w:rsid w:val="005F727F"/>
    <w:rsid w:val="006007DE"/>
    <w:rsid w:val="00601638"/>
    <w:rsid w:val="00610EF9"/>
    <w:rsid w:val="00612F4F"/>
    <w:rsid w:val="00615C6B"/>
    <w:rsid w:val="00620DC3"/>
    <w:rsid w:val="00621DCE"/>
    <w:rsid w:val="00632D6D"/>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550F"/>
    <w:rsid w:val="006E3F76"/>
    <w:rsid w:val="006F1F83"/>
    <w:rsid w:val="006F3AD1"/>
    <w:rsid w:val="006F3FC8"/>
    <w:rsid w:val="006F6183"/>
    <w:rsid w:val="0070011E"/>
    <w:rsid w:val="00701CAB"/>
    <w:rsid w:val="00707563"/>
    <w:rsid w:val="0072348C"/>
    <w:rsid w:val="00724A37"/>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7002"/>
    <w:rsid w:val="007A7136"/>
    <w:rsid w:val="007A7F63"/>
    <w:rsid w:val="007B011C"/>
    <w:rsid w:val="007B186E"/>
    <w:rsid w:val="007B2C72"/>
    <w:rsid w:val="007B6C52"/>
    <w:rsid w:val="007C1C53"/>
    <w:rsid w:val="007C35A5"/>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A587D"/>
    <w:rsid w:val="008B35CD"/>
    <w:rsid w:val="008B5FCC"/>
    <w:rsid w:val="008B7544"/>
    <w:rsid w:val="008C1610"/>
    <w:rsid w:val="008C3374"/>
    <w:rsid w:val="008C39F0"/>
    <w:rsid w:val="008C5486"/>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355EF"/>
    <w:rsid w:val="009460AA"/>
    <w:rsid w:val="0094641C"/>
    <w:rsid w:val="00951978"/>
    <w:rsid w:val="0095747F"/>
    <w:rsid w:val="00961115"/>
    <w:rsid w:val="00961A4A"/>
    <w:rsid w:val="009661DE"/>
    <w:rsid w:val="00983C25"/>
    <w:rsid w:val="009856B7"/>
    <w:rsid w:val="00985C86"/>
    <w:rsid w:val="00996BAF"/>
    <w:rsid w:val="009972D8"/>
    <w:rsid w:val="009A4FAA"/>
    <w:rsid w:val="009A5113"/>
    <w:rsid w:val="009A539D"/>
    <w:rsid w:val="009A5FC3"/>
    <w:rsid w:val="009B5DC8"/>
    <w:rsid w:val="009B6F84"/>
    <w:rsid w:val="009B7343"/>
    <w:rsid w:val="009B74B0"/>
    <w:rsid w:val="009C691D"/>
    <w:rsid w:val="009D3906"/>
    <w:rsid w:val="009D6B46"/>
    <w:rsid w:val="009F4940"/>
    <w:rsid w:val="009F5BA1"/>
    <w:rsid w:val="00A02A88"/>
    <w:rsid w:val="00A0562E"/>
    <w:rsid w:val="00A06085"/>
    <w:rsid w:val="00A0726D"/>
    <w:rsid w:val="00A16596"/>
    <w:rsid w:val="00A32FBB"/>
    <w:rsid w:val="00A428EE"/>
    <w:rsid w:val="00A4478A"/>
    <w:rsid w:val="00A44852"/>
    <w:rsid w:val="00A4650A"/>
    <w:rsid w:val="00A50502"/>
    <w:rsid w:val="00A57D04"/>
    <w:rsid w:val="00A60A26"/>
    <w:rsid w:val="00A61598"/>
    <w:rsid w:val="00A84A99"/>
    <w:rsid w:val="00A84F46"/>
    <w:rsid w:val="00A871F4"/>
    <w:rsid w:val="00A90AA4"/>
    <w:rsid w:val="00A923BF"/>
    <w:rsid w:val="00AB47E1"/>
    <w:rsid w:val="00AC1B2C"/>
    <w:rsid w:val="00AC3264"/>
    <w:rsid w:val="00AD3884"/>
    <w:rsid w:val="00AD7B56"/>
    <w:rsid w:val="00AE1BF1"/>
    <w:rsid w:val="00AF0DD2"/>
    <w:rsid w:val="00B0209D"/>
    <w:rsid w:val="00B02961"/>
    <w:rsid w:val="00B04908"/>
    <w:rsid w:val="00B04B4C"/>
    <w:rsid w:val="00B07CEA"/>
    <w:rsid w:val="00B13048"/>
    <w:rsid w:val="00B1716D"/>
    <w:rsid w:val="00B17A1D"/>
    <w:rsid w:val="00B207A0"/>
    <w:rsid w:val="00B40CAA"/>
    <w:rsid w:val="00B514DD"/>
    <w:rsid w:val="00B51F3F"/>
    <w:rsid w:val="00B52AF0"/>
    <w:rsid w:val="00B561BD"/>
    <w:rsid w:val="00B56E03"/>
    <w:rsid w:val="00B61EDF"/>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4223"/>
    <w:rsid w:val="00C25FA6"/>
    <w:rsid w:val="00C275C4"/>
    <w:rsid w:val="00C30637"/>
    <w:rsid w:val="00C36F19"/>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2ABF"/>
    <w:rsid w:val="00CA2C1D"/>
    <w:rsid w:val="00CA489E"/>
    <w:rsid w:val="00CA52A2"/>
    <w:rsid w:val="00CB0279"/>
    <w:rsid w:val="00CB666B"/>
    <w:rsid w:val="00CC7F1D"/>
    <w:rsid w:val="00CD19EE"/>
    <w:rsid w:val="00CE484B"/>
    <w:rsid w:val="00CE4900"/>
    <w:rsid w:val="00CF0DEE"/>
    <w:rsid w:val="00CF2C05"/>
    <w:rsid w:val="00CF6EDE"/>
    <w:rsid w:val="00D006AE"/>
    <w:rsid w:val="00D01CF0"/>
    <w:rsid w:val="00D01EFD"/>
    <w:rsid w:val="00D0442A"/>
    <w:rsid w:val="00D06055"/>
    <w:rsid w:val="00D066B7"/>
    <w:rsid w:val="00D17683"/>
    <w:rsid w:val="00D349B4"/>
    <w:rsid w:val="00D36FCC"/>
    <w:rsid w:val="00D45694"/>
    <w:rsid w:val="00D608F6"/>
    <w:rsid w:val="00D60EFF"/>
    <w:rsid w:val="00D61388"/>
    <w:rsid w:val="00D61A54"/>
    <w:rsid w:val="00D64275"/>
    <w:rsid w:val="00D64DEA"/>
    <w:rsid w:val="00D7168E"/>
    <w:rsid w:val="00D71E57"/>
    <w:rsid w:val="00D75AA2"/>
    <w:rsid w:val="00D7645E"/>
    <w:rsid w:val="00D80893"/>
    <w:rsid w:val="00D84854"/>
    <w:rsid w:val="00D848B4"/>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23993"/>
    <w:rsid w:val="00E257D6"/>
    <w:rsid w:val="00E25B8C"/>
    <w:rsid w:val="00E3544F"/>
    <w:rsid w:val="00E51D65"/>
    <w:rsid w:val="00E6200B"/>
    <w:rsid w:val="00E65C85"/>
    <w:rsid w:val="00E66199"/>
    <w:rsid w:val="00E711C7"/>
    <w:rsid w:val="00E7494F"/>
    <w:rsid w:val="00E755EC"/>
    <w:rsid w:val="00E7624D"/>
    <w:rsid w:val="00E97242"/>
    <w:rsid w:val="00EA38F3"/>
    <w:rsid w:val="00EA3D42"/>
    <w:rsid w:val="00EA6B1B"/>
    <w:rsid w:val="00EB5BC8"/>
    <w:rsid w:val="00EB606C"/>
    <w:rsid w:val="00EC04F1"/>
    <w:rsid w:val="00EC1B2B"/>
    <w:rsid w:val="00EC32E5"/>
    <w:rsid w:val="00ED0EC2"/>
    <w:rsid w:val="00ED3474"/>
    <w:rsid w:val="00ED7323"/>
    <w:rsid w:val="00EE28F3"/>
    <w:rsid w:val="00EE50D1"/>
    <w:rsid w:val="00EE77FA"/>
    <w:rsid w:val="00EE7A83"/>
    <w:rsid w:val="00EF1B7A"/>
    <w:rsid w:val="00EF5110"/>
    <w:rsid w:val="00F0209E"/>
    <w:rsid w:val="00F0334E"/>
    <w:rsid w:val="00F07967"/>
    <w:rsid w:val="00F10411"/>
    <w:rsid w:val="00F15882"/>
    <w:rsid w:val="00F171E0"/>
    <w:rsid w:val="00F20BD3"/>
    <w:rsid w:val="00F2526A"/>
    <w:rsid w:val="00F35081"/>
    <w:rsid w:val="00F373A5"/>
    <w:rsid w:val="00F42E08"/>
    <w:rsid w:val="00F47559"/>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B1BF3"/>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47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get.nt.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reasury.nt.gov.au/Economy/popul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3A4DB1-D40F-4E89-94D9-1B607BC8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2B14F3C1</Template>
  <TotalTime>0</TotalTime>
  <Pages>15</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2015-11-23T01:29:00Z</dcterms:created>
  <dcterms:modified xsi:type="dcterms:W3CDTF">2015-11-23T01:29:00Z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8432071</vt:lpwstr>
  </property>
</Properties>
</file>