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2F1EA9">
          <w:pPr>
            <w:pStyle w:val="AERbodytextnospacecentre"/>
          </w:pPr>
          <w:r w:rsidRPr="00290C63">
            <w:rPr>
              <w:noProof/>
              <w:lang w:eastAsia="en-AU"/>
            </w:rPr>
            <w:drawing>
              <wp:anchor distT="0" distB="0" distL="114300" distR="114300" simplePos="0" relativeHeight="251659264" behindDoc="1" locked="0" layoutInCell="1" allowOverlap="1" wp14:anchorId="2A365197" wp14:editId="00E4CD2D">
                <wp:simplePos x="0" y="0"/>
                <wp:positionH relativeFrom="column">
                  <wp:posOffset>-1104900</wp:posOffset>
                </wp:positionH>
                <wp:positionV relativeFrom="paragraph">
                  <wp:posOffset>-851535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767D44">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A126B">
            <w:t>2</w:t>
          </w:r>
          <w:r w:rsidR="00DA4752">
            <w:t xml:space="preserve"> </w:t>
          </w:r>
          <w:r w:rsidR="00415F31">
            <w:rPr>
              <w:rFonts w:cs="Arial"/>
            </w:rPr>
            <w:t>–</w:t>
          </w:r>
          <w:r w:rsidR="00DA4752">
            <w:t xml:space="preserve"> </w:t>
          </w:r>
          <w:r w:rsidR="002A126B">
            <w:t>Capital base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3674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767D44">
        <w:t>the</w:t>
      </w:r>
      <w:r w:rsidR="00415F31">
        <w:t xml:space="preserve"> </w:t>
      </w:r>
      <w:r w:rsidR="00CF2C05">
        <w:t>access</w:t>
      </w:r>
      <w:r w:rsidR="00415F31">
        <w:t xml:space="preserve"> </w:t>
      </w:r>
      <w:r w:rsidR="00CF2C05">
        <w:t>arrangement for</w:t>
      </w:r>
      <w:r w:rsidR="00415F31">
        <w:t xml:space="preserve"> </w:t>
      </w:r>
      <w:r w:rsidR="00767D44">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3674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F12E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36741" w:history="1">
            <w:r w:rsidR="009F12EC" w:rsidRPr="001459E8">
              <w:rPr>
                <w:rStyle w:val="Hyperlink"/>
              </w:rPr>
              <w:t>Note</w:t>
            </w:r>
            <w:r w:rsidR="009F12EC">
              <w:rPr>
                <w:webHidden/>
              </w:rPr>
              <w:tab/>
            </w:r>
            <w:r w:rsidR="009F12EC">
              <w:rPr>
                <w:webHidden/>
              </w:rPr>
              <w:fldChar w:fldCharType="begin"/>
            </w:r>
            <w:r w:rsidR="009F12EC">
              <w:rPr>
                <w:webHidden/>
              </w:rPr>
              <w:instrText xml:space="preserve"> PAGEREF _Toc436036741 \h </w:instrText>
            </w:r>
            <w:r w:rsidR="009F12EC">
              <w:rPr>
                <w:webHidden/>
              </w:rPr>
            </w:r>
            <w:r w:rsidR="009F12EC">
              <w:rPr>
                <w:webHidden/>
              </w:rPr>
              <w:fldChar w:fldCharType="separate"/>
            </w:r>
            <w:r w:rsidR="009F12EC">
              <w:rPr>
                <w:webHidden/>
              </w:rPr>
              <w:t>2-2</w:t>
            </w:r>
            <w:r w:rsidR="009F12EC">
              <w:rPr>
                <w:webHidden/>
              </w:rPr>
              <w:fldChar w:fldCharType="end"/>
            </w:r>
          </w:hyperlink>
        </w:p>
        <w:p w:rsidR="009F12EC" w:rsidRDefault="00777F95">
          <w:pPr>
            <w:pStyle w:val="TOC1"/>
            <w:rPr>
              <w:rFonts w:asciiTheme="minorHAnsi" w:eastAsiaTheme="minorEastAsia" w:hAnsiTheme="minorHAnsi"/>
              <w:b w:val="0"/>
              <w:color w:val="auto"/>
              <w:sz w:val="22"/>
              <w:lang w:val="en-AU" w:eastAsia="en-AU"/>
            </w:rPr>
          </w:pPr>
          <w:hyperlink w:anchor="_Toc436036742" w:history="1">
            <w:r w:rsidR="009F12EC" w:rsidRPr="001459E8">
              <w:rPr>
                <w:rStyle w:val="Hyperlink"/>
              </w:rPr>
              <w:t>Contents</w:t>
            </w:r>
            <w:r w:rsidR="009F12EC">
              <w:rPr>
                <w:webHidden/>
              </w:rPr>
              <w:tab/>
            </w:r>
            <w:r w:rsidR="009F12EC">
              <w:rPr>
                <w:webHidden/>
              </w:rPr>
              <w:fldChar w:fldCharType="begin"/>
            </w:r>
            <w:r w:rsidR="009F12EC">
              <w:rPr>
                <w:webHidden/>
              </w:rPr>
              <w:instrText xml:space="preserve"> PAGEREF _Toc436036742 \h </w:instrText>
            </w:r>
            <w:r w:rsidR="009F12EC">
              <w:rPr>
                <w:webHidden/>
              </w:rPr>
            </w:r>
            <w:r w:rsidR="009F12EC">
              <w:rPr>
                <w:webHidden/>
              </w:rPr>
              <w:fldChar w:fldCharType="separate"/>
            </w:r>
            <w:r w:rsidR="009F12EC">
              <w:rPr>
                <w:webHidden/>
              </w:rPr>
              <w:t>2-3</w:t>
            </w:r>
            <w:r w:rsidR="009F12EC">
              <w:rPr>
                <w:webHidden/>
              </w:rPr>
              <w:fldChar w:fldCharType="end"/>
            </w:r>
          </w:hyperlink>
        </w:p>
        <w:p w:rsidR="009F12EC" w:rsidRDefault="00777F95">
          <w:pPr>
            <w:pStyle w:val="TOC1"/>
            <w:rPr>
              <w:rFonts w:asciiTheme="minorHAnsi" w:eastAsiaTheme="minorEastAsia" w:hAnsiTheme="minorHAnsi"/>
              <w:b w:val="0"/>
              <w:color w:val="auto"/>
              <w:sz w:val="22"/>
              <w:lang w:val="en-AU" w:eastAsia="en-AU"/>
            </w:rPr>
          </w:pPr>
          <w:hyperlink w:anchor="_Toc436036743" w:history="1">
            <w:r w:rsidR="009F12EC" w:rsidRPr="001459E8">
              <w:rPr>
                <w:rStyle w:val="Hyperlink"/>
              </w:rPr>
              <w:t>Shortened forms</w:t>
            </w:r>
            <w:r w:rsidR="009F12EC">
              <w:rPr>
                <w:webHidden/>
              </w:rPr>
              <w:tab/>
            </w:r>
            <w:r w:rsidR="009F12EC">
              <w:rPr>
                <w:webHidden/>
              </w:rPr>
              <w:fldChar w:fldCharType="begin"/>
            </w:r>
            <w:r w:rsidR="009F12EC">
              <w:rPr>
                <w:webHidden/>
              </w:rPr>
              <w:instrText xml:space="preserve"> PAGEREF _Toc436036743 \h </w:instrText>
            </w:r>
            <w:r w:rsidR="009F12EC">
              <w:rPr>
                <w:webHidden/>
              </w:rPr>
            </w:r>
            <w:r w:rsidR="009F12EC">
              <w:rPr>
                <w:webHidden/>
              </w:rPr>
              <w:fldChar w:fldCharType="separate"/>
            </w:r>
            <w:r w:rsidR="009F12EC">
              <w:rPr>
                <w:webHidden/>
              </w:rPr>
              <w:t>2-4</w:t>
            </w:r>
            <w:r w:rsidR="009F12EC">
              <w:rPr>
                <w:webHidden/>
              </w:rPr>
              <w:fldChar w:fldCharType="end"/>
            </w:r>
          </w:hyperlink>
        </w:p>
        <w:p w:rsidR="009F12EC" w:rsidRDefault="00777F95">
          <w:pPr>
            <w:pStyle w:val="TOC1"/>
            <w:rPr>
              <w:rFonts w:asciiTheme="minorHAnsi" w:eastAsiaTheme="minorEastAsia" w:hAnsiTheme="minorHAnsi"/>
              <w:b w:val="0"/>
              <w:color w:val="auto"/>
              <w:sz w:val="22"/>
              <w:lang w:val="en-AU" w:eastAsia="en-AU"/>
            </w:rPr>
          </w:pPr>
          <w:hyperlink w:anchor="_Toc436036744" w:history="1">
            <w:r w:rsidR="009F12EC" w:rsidRPr="001459E8">
              <w:rPr>
                <w:rStyle w:val="Hyperlink"/>
              </w:rPr>
              <w:t>2</w:t>
            </w:r>
            <w:r w:rsidR="009F12EC">
              <w:rPr>
                <w:rFonts w:asciiTheme="minorHAnsi" w:eastAsiaTheme="minorEastAsia" w:hAnsiTheme="minorHAnsi"/>
                <w:b w:val="0"/>
                <w:color w:val="auto"/>
                <w:sz w:val="22"/>
                <w:lang w:val="en-AU" w:eastAsia="en-AU"/>
              </w:rPr>
              <w:tab/>
            </w:r>
            <w:r w:rsidR="009F12EC" w:rsidRPr="001459E8">
              <w:rPr>
                <w:rStyle w:val="Hyperlink"/>
              </w:rPr>
              <w:t>Capital base</w:t>
            </w:r>
            <w:r w:rsidR="009F12EC">
              <w:rPr>
                <w:webHidden/>
              </w:rPr>
              <w:tab/>
            </w:r>
            <w:r w:rsidR="009F12EC">
              <w:rPr>
                <w:webHidden/>
              </w:rPr>
              <w:fldChar w:fldCharType="begin"/>
            </w:r>
            <w:r w:rsidR="009F12EC">
              <w:rPr>
                <w:webHidden/>
              </w:rPr>
              <w:instrText xml:space="preserve"> PAGEREF _Toc436036744 \h </w:instrText>
            </w:r>
            <w:r w:rsidR="009F12EC">
              <w:rPr>
                <w:webHidden/>
              </w:rPr>
            </w:r>
            <w:r w:rsidR="009F12EC">
              <w:rPr>
                <w:webHidden/>
              </w:rPr>
              <w:fldChar w:fldCharType="separate"/>
            </w:r>
            <w:r w:rsidR="009F12EC">
              <w:rPr>
                <w:webHidden/>
              </w:rPr>
              <w:t>2-6</w:t>
            </w:r>
            <w:r w:rsidR="009F12EC">
              <w:rPr>
                <w:webHidden/>
              </w:rPr>
              <w:fldChar w:fldCharType="end"/>
            </w:r>
          </w:hyperlink>
        </w:p>
        <w:p w:rsidR="009F12EC" w:rsidRDefault="00777F95">
          <w:pPr>
            <w:pStyle w:val="TOC2"/>
            <w:rPr>
              <w:rFonts w:asciiTheme="minorHAnsi" w:eastAsiaTheme="minorEastAsia" w:hAnsiTheme="minorHAnsi"/>
              <w:b w:val="0"/>
              <w:color w:val="auto"/>
              <w:sz w:val="22"/>
              <w:lang w:eastAsia="en-AU"/>
            </w:rPr>
          </w:pPr>
          <w:hyperlink w:anchor="_Toc436036745" w:history="1">
            <w:r w:rsidR="009F12EC" w:rsidRPr="001459E8">
              <w:rPr>
                <w:rStyle w:val="Hyperlink"/>
              </w:rPr>
              <w:t>2.1</w:t>
            </w:r>
            <w:r w:rsidR="009F12EC">
              <w:rPr>
                <w:rFonts w:asciiTheme="minorHAnsi" w:eastAsiaTheme="minorEastAsia" w:hAnsiTheme="minorHAnsi"/>
                <w:b w:val="0"/>
                <w:color w:val="auto"/>
                <w:sz w:val="22"/>
                <w:lang w:eastAsia="en-AU"/>
              </w:rPr>
              <w:tab/>
            </w:r>
            <w:r w:rsidR="009F12EC" w:rsidRPr="001459E8">
              <w:rPr>
                <w:rStyle w:val="Hyperlink"/>
              </w:rPr>
              <w:t>Draft decision</w:t>
            </w:r>
            <w:r w:rsidR="009F12EC">
              <w:rPr>
                <w:webHidden/>
              </w:rPr>
              <w:tab/>
            </w:r>
            <w:r w:rsidR="009F12EC">
              <w:rPr>
                <w:webHidden/>
              </w:rPr>
              <w:fldChar w:fldCharType="begin"/>
            </w:r>
            <w:r w:rsidR="009F12EC">
              <w:rPr>
                <w:webHidden/>
              </w:rPr>
              <w:instrText xml:space="preserve"> PAGEREF _Toc436036745 \h </w:instrText>
            </w:r>
            <w:r w:rsidR="009F12EC">
              <w:rPr>
                <w:webHidden/>
              </w:rPr>
            </w:r>
            <w:r w:rsidR="009F12EC">
              <w:rPr>
                <w:webHidden/>
              </w:rPr>
              <w:fldChar w:fldCharType="separate"/>
            </w:r>
            <w:r w:rsidR="009F12EC">
              <w:rPr>
                <w:webHidden/>
              </w:rPr>
              <w:t>2-6</w:t>
            </w:r>
            <w:r w:rsidR="009F12EC">
              <w:rPr>
                <w:webHidden/>
              </w:rPr>
              <w:fldChar w:fldCharType="end"/>
            </w:r>
          </w:hyperlink>
        </w:p>
        <w:p w:rsidR="009F12EC" w:rsidRDefault="00777F95">
          <w:pPr>
            <w:pStyle w:val="TOC2"/>
            <w:rPr>
              <w:rFonts w:asciiTheme="minorHAnsi" w:eastAsiaTheme="minorEastAsia" w:hAnsiTheme="minorHAnsi"/>
              <w:b w:val="0"/>
              <w:color w:val="auto"/>
              <w:sz w:val="22"/>
              <w:lang w:eastAsia="en-AU"/>
            </w:rPr>
          </w:pPr>
          <w:hyperlink w:anchor="_Toc436036746" w:history="1">
            <w:r w:rsidR="009F12EC" w:rsidRPr="001459E8">
              <w:rPr>
                <w:rStyle w:val="Hyperlink"/>
              </w:rPr>
              <w:t>2.2</w:t>
            </w:r>
            <w:r w:rsidR="009F12EC">
              <w:rPr>
                <w:rFonts w:asciiTheme="minorHAnsi" w:eastAsiaTheme="minorEastAsia" w:hAnsiTheme="minorHAnsi"/>
                <w:b w:val="0"/>
                <w:color w:val="auto"/>
                <w:sz w:val="22"/>
                <w:lang w:eastAsia="en-AU"/>
              </w:rPr>
              <w:tab/>
            </w:r>
            <w:r w:rsidR="009F12EC" w:rsidRPr="001459E8">
              <w:rPr>
                <w:rStyle w:val="Hyperlink"/>
              </w:rPr>
              <w:t>APTNT's proposal</w:t>
            </w:r>
            <w:r w:rsidR="009F12EC">
              <w:rPr>
                <w:webHidden/>
              </w:rPr>
              <w:tab/>
            </w:r>
            <w:r w:rsidR="009F12EC">
              <w:rPr>
                <w:webHidden/>
              </w:rPr>
              <w:fldChar w:fldCharType="begin"/>
            </w:r>
            <w:r w:rsidR="009F12EC">
              <w:rPr>
                <w:webHidden/>
              </w:rPr>
              <w:instrText xml:space="preserve"> PAGEREF _Toc436036746 \h </w:instrText>
            </w:r>
            <w:r w:rsidR="009F12EC">
              <w:rPr>
                <w:webHidden/>
              </w:rPr>
            </w:r>
            <w:r w:rsidR="009F12EC">
              <w:rPr>
                <w:webHidden/>
              </w:rPr>
              <w:fldChar w:fldCharType="separate"/>
            </w:r>
            <w:r w:rsidR="009F12EC">
              <w:rPr>
                <w:webHidden/>
              </w:rPr>
              <w:t>2-7</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47" w:history="1">
            <w:r w:rsidR="009F12EC" w:rsidRPr="001459E8">
              <w:rPr>
                <w:rStyle w:val="Hyperlink"/>
              </w:rPr>
              <w:t>2.2.1</w:t>
            </w:r>
            <w:r w:rsidR="009F12EC">
              <w:rPr>
                <w:rFonts w:asciiTheme="minorHAnsi" w:eastAsiaTheme="minorEastAsia" w:hAnsiTheme="minorHAnsi"/>
                <w:lang w:eastAsia="en-AU"/>
              </w:rPr>
              <w:tab/>
            </w:r>
            <w:r w:rsidR="009F12EC" w:rsidRPr="001459E8">
              <w:rPr>
                <w:rStyle w:val="Hyperlink"/>
              </w:rPr>
              <w:t>Opening capital base as at 1 July 2016</w:t>
            </w:r>
            <w:r w:rsidR="009F12EC">
              <w:rPr>
                <w:webHidden/>
              </w:rPr>
              <w:tab/>
            </w:r>
            <w:r w:rsidR="009F12EC">
              <w:rPr>
                <w:webHidden/>
              </w:rPr>
              <w:fldChar w:fldCharType="begin"/>
            </w:r>
            <w:r w:rsidR="009F12EC">
              <w:rPr>
                <w:webHidden/>
              </w:rPr>
              <w:instrText xml:space="preserve"> PAGEREF _Toc436036747 \h </w:instrText>
            </w:r>
            <w:r w:rsidR="009F12EC">
              <w:rPr>
                <w:webHidden/>
              </w:rPr>
            </w:r>
            <w:r w:rsidR="009F12EC">
              <w:rPr>
                <w:webHidden/>
              </w:rPr>
              <w:fldChar w:fldCharType="separate"/>
            </w:r>
            <w:r w:rsidR="009F12EC">
              <w:rPr>
                <w:webHidden/>
              </w:rPr>
              <w:t>2-8</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48" w:history="1">
            <w:r w:rsidR="009F12EC" w:rsidRPr="001459E8">
              <w:rPr>
                <w:rStyle w:val="Hyperlink"/>
              </w:rPr>
              <w:t>2.2.2</w:t>
            </w:r>
            <w:r w:rsidR="009F12EC">
              <w:rPr>
                <w:rFonts w:asciiTheme="minorHAnsi" w:eastAsiaTheme="minorEastAsia" w:hAnsiTheme="minorHAnsi"/>
                <w:lang w:eastAsia="en-AU"/>
              </w:rPr>
              <w:tab/>
            </w:r>
            <w:r w:rsidR="009F12EC" w:rsidRPr="001459E8">
              <w:rPr>
                <w:rStyle w:val="Hyperlink"/>
              </w:rPr>
              <w:t>Projected capital base over the 2016–21 access arrangement period</w:t>
            </w:r>
            <w:r w:rsidR="009F12EC">
              <w:rPr>
                <w:webHidden/>
              </w:rPr>
              <w:tab/>
            </w:r>
            <w:r w:rsidR="009F12EC">
              <w:rPr>
                <w:webHidden/>
              </w:rPr>
              <w:fldChar w:fldCharType="begin"/>
            </w:r>
            <w:r w:rsidR="009F12EC">
              <w:rPr>
                <w:webHidden/>
              </w:rPr>
              <w:instrText xml:space="preserve"> PAGEREF _Toc436036748 \h </w:instrText>
            </w:r>
            <w:r w:rsidR="009F12EC">
              <w:rPr>
                <w:webHidden/>
              </w:rPr>
            </w:r>
            <w:r w:rsidR="009F12EC">
              <w:rPr>
                <w:webHidden/>
              </w:rPr>
              <w:fldChar w:fldCharType="separate"/>
            </w:r>
            <w:r w:rsidR="009F12EC">
              <w:rPr>
                <w:webHidden/>
              </w:rPr>
              <w:t>2-8</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49" w:history="1">
            <w:r w:rsidR="009F12EC" w:rsidRPr="001459E8">
              <w:rPr>
                <w:rStyle w:val="Hyperlink"/>
              </w:rPr>
              <w:t>2.2.3</w:t>
            </w:r>
            <w:r w:rsidR="009F12EC">
              <w:rPr>
                <w:rFonts w:asciiTheme="minorHAnsi" w:eastAsiaTheme="minorEastAsia" w:hAnsiTheme="minorHAnsi"/>
                <w:lang w:eastAsia="en-AU"/>
              </w:rPr>
              <w:tab/>
            </w:r>
            <w:r w:rsidR="009F12EC" w:rsidRPr="001459E8">
              <w:rPr>
                <w:rStyle w:val="Hyperlink"/>
              </w:rPr>
              <w:t>Capital base at the commencement of the 2021–26 access arrangement period</w:t>
            </w:r>
            <w:r w:rsidR="009F12EC">
              <w:rPr>
                <w:webHidden/>
              </w:rPr>
              <w:tab/>
            </w:r>
            <w:r w:rsidR="009F12EC">
              <w:rPr>
                <w:webHidden/>
              </w:rPr>
              <w:fldChar w:fldCharType="begin"/>
            </w:r>
            <w:r w:rsidR="009F12EC">
              <w:rPr>
                <w:webHidden/>
              </w:rPr>
              <w:instrText xml:space="preserve"> PAGEREF _Toc436036749 \h </w:instrText>
            </w:r>
            <w:r w:rsidR="009F12EC">
              <w:rPr>
                <w:webHidden/>
              </w:rPr>
            </w:r>
            <w:r w:rsidR="009F12EC">
              <w:rPr>
                <w:webHidden/>
              </w:rPr>
              <w:fldChar w:fldCharType="separate"/>
            </w:r>
            <w:r w:rsidR="009F12EC">
              <w:rPr>
                <w:webHidden/>
              </w:rPr>
              <w:t>2-9</w:t>
            </w:r>
            <w:r w:rsidR="009F12EC">
              <w:rPr>
                <w:webHidden/>
              </w:rPr>
              <w:fldChar w:fldCharType="end"/>
            </w:r>
          </w:hyperlink>
        </w:p>
        <w:p w:rsidR="009F12EC" w:rsidRDefault="00777F95">
          <w:pPr>
            <w:pStyle w:val="TOC2"/>
            <w:rPr>
              <w:rFonts w:asciiTheme="minorHAnsi" w:eastAsiaTheme="minorEastAsia" w:hAnsiTheme="minorHAnsi"/>
              <w:b w:val="0"/>
              <w:color w:val="auto"/>
              <w:sz w:val="22"/>
              <w:lang w:eastAsia="en-AU"/>
            </w:rPr>
          </w:pPr>
          <w:hyperlink w:anchor="_Toc436036750" w:history="1">
            <w:r w:rsidR="009F12EC" w:rsidRPr="001459E8">
              <w:rPr>
                <w:rStyle w:val="Hyperlink"/>
              </w:rPr>
              <w:t>2.3</w:t>
            </w:r>
            <w:r w:rsidR="009F12EC">
              <w:rPr>
                <w:rFonts w:asciiTheme="minorHAnsi" w:eastAsiaTheme="minorEastAsia" w:hAnsiTheme="minorHAnsi"/>
                <w:b w:val="0"/>
                <w:color w:val="auto"/>
                <w:sz w:val="22"/>
                <w:lang w:eastAsia="en-AU"/>
              </w:rPr>
              <w:tab/>
            </w:r>
            <w:r w:rsidR="009F12EC" w:rsidRPr="001459E8">
              <w:rPr>
                <w:rStyle w:val="Hyperlink"/>
              </w:rPr>
              <w:t>AER’s assessment approach</w:t>
            </w:r>
            <w:r w:rsidR="009F12EC">
              <w:rPr>
                <w:webHidden/>
              </w:rPr>
              <w:tab/>
            </w:r>
            <w:r w:rsidR="009F12EC">
              <w:rPr>
                <w:webHidden/>
              </w:rPr>
              <w:fldChar w:fldCharType="begin"/>
            </w:r>
            <w:r w:rsidR="009F12EC">
              <w:rPr>
                <w:webHidden/>
              </w:rPr>
              <w:instrText xml:space="preserve"> PAGEREF _Toc436036750 \h </w:instrText>
            </w:r>
            <w:r w:rsidR="009F12EC">
              <w:rPr>
                <w:webHidden/>
              </w:rPr>
            </w:r>
            <w:r w:rsidR="009F12EC">
              <w:rPr>
                <w:webHidden/>
              </w:rPr>
              <w:fldChar w:fldCharType="separate"/>
            </w:r>
            <w:r w:rsidR="009F12EC">
              <w:rPr>
                <w:webHidden/>
              </w:rPr>
              <w:t>2-9</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51" w:history="1">
            <w:r w:rsidR="009F12EC" w:rsidRPr="001459E8">
              <w:rPr>
                <w:rStyle w:val="Hyperlink"/>
              </w:rPr>
              <w:t>2.3.1</w:t>
            </w:r>
            <w:r w:rsidR="009F12EC">
              <w:rPr>
                <w:rFonts w:asciiTheme="minorHAnsi" w:eastAsiaTheme="minorEastAsia" w:hAnsiTheme="minorHAnsi"/>
                <w:lang w:eastAsia="en-AU"/>
              </w:rPr>
              <w:tab/>
            </w:r>
            <w:r w:rsidR="009F12EC" w:rsidRPr="001459E8">
              <w:rPr>
                <w:rStyle w:val="Hyperlink"/>
              </w:rPr>
              <w:t>Interrelationships</w:t>
            </w:r>
            <w:r w:rsidR="009F12EC">
              <w:rPr>
                <w:webHidden/>
              </w:rPr>
              <w:tab/>
            </w:r>
            <w:r w:rsidR="009F12EC">
              <w:rPr>
                <w:webHidden/>
              </w:rPr>
              <w:fldChar w:fldCharType="begin"/>
            </w:r>
            <w:r w:rsidR="009F12EC">
              <w:rPr>
                <w:webHidden/>
              </w:rPr>
              <w:instrText xml:space="preserve"> PAGEREF _Toc436036751 \h </w:instrText>
            </w:r>
            <w:r w:rsidR="009F12EC">
              <w:rPr>
                <w:webHidden/>
              </w:rPr>
            </w:r>
            <w:r w:rsidR="009F12EC">
              <w:rPr>
                <w:webHidden/>
              </w:rPr>
              <w:fldChar w:fldCharType="separate"/>
            </w:r>
            <w:r w:rsidR="009F12EC">
              <w:rPr>
                <w:webHidden/>
              </w:rPr>
              <w:t>2-10</w:t>
            </w:r>
            <w:r w:rsidR="009F12EC">
              <w:rPr>
                <w:webHidden/>
              </w:rPr>
              <w:fldChar w:fldCharType="end"/>
            </w:r>
          </w:hyperlink>
        </w:p>
        <w:p w:rsidR="009F12EC" w:rsidRDefault="00777F95">
          <w:pPr>
            <w:pStyle w:val="TOC2"/>
            <w:rPr>
              <w:rFonts w:asciiTheme="minorHAnsi" w:eastAsiaTheme="minorEastAsia" w:hAnsiTheme="minorHAnsi"/>
              <w:b w:val="0"/>
              <w:color w:val="auto"/>
              <w:sz w:val="22"/>
              <w:lang w:eastAsia="en-AU"/>
            </w:rPr>
          </w:pPr>
          <w:hyperlink w:anchor="_Toc436036752" w:history="1">
            <w:r w:rsidR="009F12EC" w:rsidRPr="001459E8">
              <w:rPr>
                <w:rStyle w:val="Hyperlink"/>
              </w:rPr>
              <w:t>2.4</w:t>
            </w:r>
            <w:r w:rsidR="009F12EC">
              <w:rPr>
                <w:rFonts w:asciiTheme="minorHAnsi" w:eastAsiaTheme="minorEastAsia" w:hAnsiTheme="minorHAnsi"/>
                <w:b w:val="0"/>
                <w:color w:val="auto"/>
                <w:sz w:val="22"/>
                <w:lang w:eastAsia="en-AU"/>
              </w:rPr>
              <w:tab/>
            </w:r>
            <w:r w:rsidR="009F12EC" w:rsidRPr="001459E8">
              <w:rPr>
                <w:rStyle w:val="Hyperlink"/>
              </w:rPr>
              <w:t>Reasons for draft decision</w:t>
            </w:r>
            <w:r w:rsidR="009F12EC">
              <w:rPr>
                <w:webHidden/>
              </w:rPr>
              <w:tab/>
            </w:r>
            <w:r w:rsidR="009F12EC">
              <w:rPr>
                <w:webHidden/>
              </w:rPr>
              <w:fldChar w:fldCharType="begin"/>
            </w:r>
            <w:r w:rsidR="009F12EC">
              <w:rPr>
                <w:webHidden/>
              </w:rPr>
              <w:instrText xml:space="preserve"> PAGEREF _Toc436036752 \h </w:instrText>
            </w:r>
            <w:r w:rsidR="009F12EC">
              <w:rPr>
                <w:webHidden/>
              </w:rPr>
            </w:r>
            <w:r w:rsidR="009F12EC">
              <w:rPr>
                <w:webHidden/>
              </w:rPr>
              <w:fldChar w:fldCharType="separate"/>
            </w:r>
            <w:r w:rsidR="009F12EC">
              <w:rPr>
                <w:webHidden/>
              </w:rPr>
              <w:t>2-12</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53" w:history="1">
            <w:r w:rsidR="009F12EC" w:rsidRPr="001459E8">
              <w:rPr>
                <w:rStyle w:val="Hyperlink"/>
              </w:rPr>
              <w:t>2.4.1</w:t>
            </w:r>
            <w:r w:rsidR="009F12EC">
              <w:rPr>
                <w:rFonts w:asciiTheme="minorHAnsi" w:eastAsiaTheme="minorEastAsia" w:hAnsiTheme="minorHAnsi"/>
                <w:lang w:eastAsia="en-AU"/>
              </w:rPr>
              <w:tab/>
            </w:r>
            <w:r w:rsidR="009F12EC" w:rsidRPr="001459E8">
              <w:rPr>
                <w:rStyle w:val="Hyperlink"/>
              </w:rPr>
              <w:t>Roll forward of capital base during the 2011–16 access arrangement period</w:t>
            </w:r>
            <w:r w:rsidR="009F12EC">
              <w:rPr>
                <w:webHidden/>
              </w:rPr>
              <w:tab/>
            </w:r>
            <w:r w:rsidR="009F12EC">
              <w:rPr>
                <w:webHidden/>
              </w:rPr>
              <w:fldChar w:fldCharType="begin"/>
            </w:r>
            <w:r w:rsidR="009F12EC">
              <w:rPr>
                <w:webHidden/>
              </w:rPr>
              <w:instrText xml:space="preserve"> PAGEREF _Toc436036753 \h </w:instrText>
            </w:r>
            <w:r w:rsidR="009F12EC">
              <w:rPr>
                <w:webHidden/>
              </w:rPr>
            </w:r>
            <w:r w:rsidR="009F12EC">
              <w:rPr>
                <w:webHidden/>
              </w:rPr>
              <w:fldChar w:fldCharType="separate"/>
            </w:r>
            <w:r w:rsidR="009F12EC">
              <w:rPr>
                <w:webHidden/>
              </w:rPr>
              <w:t>2-12</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54" w:history="1">
            <w:r w:rsidR="009F12EC" w:rsidRPr="001459E8">
              <w:rPr>
                <w:rStyle w:val="Hyperlink"/>
              </w:rPr>
              <w:t>2.4.2</w:t>
            </w:r>
            <w:r w:rsidR="009F12EC">
              <w:rPr>
                <w:rFonts w:asciiTheme="minorHAnsi" w:eastAsiaTheme="minorEastAsia" w:hAnsiTheme="minorHAnsi"/>
                <w:lang w:eastAsia="en-AU"/>
              </w:rPr>
              <w:tab/>
            </w:r>
            <w:r w:rsidR="009F12EC" w:rsidRPr="001459E8">
              <w:rPr>
                <w:rStyle w:val="Hyperlink"/>
              </w:rPr>
              <w:t>Projected capital base during the 2016–21 access arrangement period</w:t>
            </w:r>
            <w:r w:rsidR="009F12EC">
              <w:rPr>
                <w:webHidden/>
              </w:rPr>
              <w:tab/>
            </w:r>
            <w:r w:rsidR="009F12EC">
              <w:rPr>
                <w:webHidden/>
              </w:rPr>
              <w:fldChar w:fldCharType="begin"/>
            </w:r>
            <w:r w:rsidR="009F12EC">
              <w:rPr>
                <w:webHidden/>
              </w:rPr>
              <w:instrText xml:space="preserve"> PAGEREF _Toc436036754 \h </w:instrText>
            </w:r>
            <w:r w:rsidR="009F12EC">
              <w:rPr>
                <w:webHidden/>
              </w:rPr>
            </w:r>
            <w:r w:rsidR="009F12EC">
              <w:rPr>
                <w:webHidden/>
              </w:rPr>
              <w:fldChar w:fldCharType="separate"/>
            </w:r>
            <w:r w:rsidR="009F12EC">
              <w:rPr>
                <w:webHidden/>
              </w:rPr>
              <w:t>2-15</w:t>
            </w:r>
            <w:r w:rsidR="009F12EC">
              <w:rPr>
                <w:webHidden/>
              </w:rPr>
              <w:fldChar w:fldCharType="end"/>
            </w:r>
          </w:hyperlink>
        </w:p>
        <w:p w:rsidR="009F12EC" w:rsidRDefault="00777F95">
          <w:pPr>
            <w:pStyle w:val="TOC3"/>
            <w:rPr>
              <w:rFonts w:asciiTheme="minorHAnsi" w:eastAsiaTheme="minorEastAsia" w:hAnsiTheme="minorHAnsi"/>
              <w:lang w:eastAsia="en-AU"/>
            </w:rPr>
          </w:pPr>
          <w:hyperlink w:anchor="_Toc436036755" w:history="1">
            <w:r w:rsidR="009F12EC" w:rsidRPr="001459E8">
              <w:rPr>
                <w:rStyle w:val="Hyperlink"/>
              </w:rPr>
              <w:t>2.4.3</w:t>
            </w:r>
            <w:r w:rsidR="009F12EC">
              <w:rPr>
                <w:rFonts w:asciiTheme="minorHAnsi" w:eastAsiaTheme="minorEastAsia" w:hAnsiTheme="minorHAnsi"/>
                <w:lang w:eastAsia="en-AU"/>
              </w:rPr>
              <w:tab/>
            </w:r>
            <w:r w:rsidR="009F12EC" w:rsidRPr="001459E8">
              <w:rPr>
                <w:rStyle w:val="Hyperlink"/>
              </w:rPr>
              <w:t>Capital base at the commencement of the 2021–26 access arrangement period</w:t>
            </w:r>
            <w:r w:rsidR="009F12EC">
              <w:rPr>
                <w:webHidden/>
              </w:rPr>
              <w:tab/>
            </w:r>
            <w:r w:rsidR="009F12EC">
              <w:rPr>
                <w:webHidden/>
              </w:rPr>
              <w:fldChar w:fldCharType="begin"/>
            </w:r>
            <w:r w:rsidR="009F12EC">
              <w:rPr>
                <w:webHidden/>
              </w:rPr>
              <w:instrText xml:space="preserve"> PAGEREF _Toc436036755 \h </w:instrText>
            </w:r>
            <w:r w:rsidR="009F12EC">
              <w:rPr>
                <w:webHidden/>
              </w:rPr>
            </w:r>
            <w:r w:rsidR="009F12EC">
              <w:rPr>
                <w:webHidden/>
              </w:rPr>
              <w:fldChar w:fldCharType="separate"/>
            </w:r>
            <w:r w:rsidR="009F12EC">
              <w:rPr>
                <w:webHidden/>
              </w:rPr>
              <w:t>2-15</w:t>
            </w:r>
            <w:r w:rsidR="009F12EC">
              <w:rPr>
                <w:webHidden/>
              </w:rPr>
              <w:fldChar w:fldCharType="end"/>
            </w:r>
          </w:hyperlink>
        </w:p>
        <w:p w:rsidR="009F12EC" w:rsidRDefault="00777F95">
          <w:pPr>
            <w:pStyle w:val="TOC2"/>
            <w:rPr>
              <w:rFonts w:asciiTheme="minorHAnsi" w:eastAsiaTheme="minorEastAsia" w:hAnsiTheme="minorHAnsi"/>
              <w:b w:val="0"/>
              <w:color w:val="auto"/>
              <w:sz w:val="22"/>
              <w:lang w:eastAsia="en-AU"/>
            </w:rPr>
          </w:pPr>
          <w:hyperlink w:anchor="_Toc436036756" w:history="1">
            <w:r w:rsidR="009F12EC" w:rsidRPr="001459E8">
              <w:rPr>
                <w:rStyle w:val="Hyperlink"/>
              </w:rPr>
              <w:t>2.5</w:t>
            </w:r>
            <w:r w:rsidR="009F12EC">
              <w:rPr>
                <w:rFonts w:asciiTheme="minorHAnsi" w:eastAsiaTheme="minorEastAsia" w:hAnsiTheme="minorHAnsi"/>
                <w:b w:val="0"/>
                <w:color w:val="auto"/>
                <w:sz w:val="22"/>
                <w:lang w:eastAsia="en-AU"/>
              </w:rPr>
              <w:tab/>
            </w:r>
            <w:r w:rsidR="009F12EC" w:rsidRPr="001459E8">
              <w:rPr>
                <w:rStyle w:val="Hyperlink"/>
              </w:rPr>
              <w:t>Revisions</w:t>
            </w:r>
            <w:r w:rsidR="009F12EC">
              <w:rPr>
                <w:webHidden/>
              </w:rPr>
              <w:tab/>
            </w:r>
            <w:r w:rsidR="009F12EC">
              <w:rPr>
                <w:webHidden/>
              </w:rPr>
              <w:fldChar w:fldCharType="begin"/>
            </w:r>
            <w:r w:rsidR="009F12EC">
              <w:rPr>
                <w:webHidden/>
              </w:rPr>
              <w:instrText xml:space="preserve"> PAGEREF _Toc436036756 \h </w:instrText>
            </w:r>
            <w:r w:rsidR="009F12EC">
              <w:rPr>
                <w:webHidden/>
              </w:rPr>
            </w:r>
            <w:r w:rsidR="009F12EC">
              <w:rPr>
                <w:webHidden/>
              </w:rPr>
              <w:fldChar w:fldCharType="separate"/>
            </w:r>
            <w:r w:rsidR="009F12EC">
              <w:rPr>
                <w:webHidden/>
              </w:rPr>
              <w:t>2-16</w:t>
            </w:r>
            <w:r w:rsidR="009F12EC">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7" w:name="_Toc404700925"/>
      <w:bookmarkStart w:id="8" w:name="_Toc436036743"/>
      <w:r>
        <w:lastRenderedPageBreak/>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8E2E9B"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Shortened form</w:t>
            </w:r>
          </w:p>
        </w:tc>
        <w:tc>
          <w:tcPr>
            <w:tcW w:w="5041" w:type="dxa"/>
          </w:tcPr>
          <w:p w:rsidR="008E2E9B" w:rsidRDefault="008E2E9B" w:rsidP="008E2E9B">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AA</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Access Arrangement</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AAI</w:t>
            </w:r>
          </w:p>
        </w:tc>
        <w:tc>
          <w:tcPr>
            <w:tcW w:w="5041" w:type="dxa"/>
          </w:tcPr>
          <w:p w:rsidR="008E2E9B" w:rsidRDefault="008E2E9B" w:rsidP="000C0557">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AER</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AGP</w:t>
            </w:r>
          </w:p>
        </w:tc>
        <w:tc>
          <w:tcPr>
            <w:tcW w:w="5041" w:type="dxa"/>
          </w:tcPr>
          <w:p w:rsidR="008E2E9B" w:rsidRDefault="008E2E9B" w:rsidP="000C0557">
            <w:pPr>
              <w:cnfStyle w:val="000000010000" w:firstRow="0" w:lastRow="0" w:firstColumn="0" w:lastColumn="0" w:oddVBand="0" w:evenVBand="0" w:oddHBand="0" w:evenHBand="1" w:firstRowFirstColumn="0" w:firstRowLastColumn="0" w:lastRowFirstColumn="0" w:lastRowLastColumn="0"/>
            </w:pPr>
            <w:r>
              <w:t>Amadeus Gas Pipeline</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ATO</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Australian Tax Office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capex</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CAPM</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CESS</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CPI</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DRP</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EBSS</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ERP</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Expenditure Guideline</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gamma</w:t>
            </w:r>
          </w:p>
        </w:tc>
        <w:tc>
          <w:tcPr>
            <w:tcW w:w="5041" w:type="dxa"/>
          </w:tcPr>
          <w:p w:rsidR="008E2E9B" w:rsidRDefault="008E2E9B" w:rsidP="000C0557">
            <w:pPr>
              <w:cnfStyle w:val="000000010000" w:firstRow="0" w:lastRow="0" w:firstColumn="0" w:lastColumn="0" w:oddVBand="0" w:evenVBand="0" w:oddHBand="0" w:evenHBand="1" w:firstRowFirstColumn="0" w:firstRowLastColumn="0" w:lastRowFirstColumn="0" w:lastRowLastColumn="0"/>
            </w:pPr>
            <w:r>
              <w:t>Value of Imputation Credits</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GSL</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Guaranteed Service Level</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MRP</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8E2E9B" w:rsidRPr="00F47AAE"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Pr="00F47AAE" w:rsidRDefault="008E2E9B" w:rsidP="008E2E9B">
            <w:pPr>
              <w:numPr>
                <w:ilvl w:val="0"/>
                <w:numId w:val="24"/>
              </w:numPr>
            </w:pPr>
            <w:r w:rsidRPr="00F47AAE">
              <w:t>NEGI</w:t>
            </w:r>
          </w:p>
        </w:tc>
        <w:tc>
          <w:tcPr>
            <w:tcW w:w="5041" w:type="dxa"/>
          </w:tcPr>
          <w:p w:rsidR="008E2E9B" w:rsidRPr="00F47AAE"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rsidRPr="00F47AAE">
              <w:t>north eastern gas interconnector</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NGL</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NGO</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NGR</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NPV</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net present value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opex</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PFP</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partial factor productivity</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PPI</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PTRM</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RBA</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RFM</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RIN</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RPP</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SLCAPM</w:t>
            </w:r>
          </w:p>
        </w:tc>
        <w:tc>
          <w:tcPr>
            <w:tcW w:w="5041" w:type="dxa"/>
          </w:tcPr>
          <w:p w:rsidR="008E2E9B" w:rsidRDefault="008E2E9B" w:rsidP="008E2E9B">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TAB</w:t>
            </w:r>
          </w:p>
        </w:tc>
        <w:tc>
          <w:tcPr>
            <w:tcW w:w="5041" w:type="dxa"/>
          </w:tcPr>
          <w:p w:rsidR="008E2E9B" w:rsidRDefault="008E2E9B" w:rsidP="000C0557">
            <w:pPr>
              <w:cnfStyle w:val="000000000000" w:firstRow="0" w:lastRow="0" w:firstColumn="0" w:lastColumn="0" w:oddVBand="0" w:evenVBand="0" w:oddHBand="0" w:evenHBand="0" w:firstRowFirstColumn="0" w:firstRowLastColumn="0" w:lastRowFirstColumn="0" w:lastRowLastColumn="0"/>
            </w:pPr>
            <w:r>
              <w:t>Tax asset base</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UAFG</w:t>
            </w:r>
          </w:p>
        </w:tc>
        <w:tc>
          <w:tcPr>
            <w:tcW w:w="5041" w:type="dxa"/>
          </w:tcPr>
          <w:p w:rsidR="008E2E9B" w:rsidRDefault="008E2E9B" w:rsidP="000C0557">
            <w:pPr>
              <w:cnfStyle w:val="000000010000" w:firstRow="0" w:lastRow="0" w:firstColumn="0" w:lastColumn="0" w:oddVBand="0" w:evenVBand="0" w:oddHBand="0" w:evenHBand="1" w:firstRowFirstColumn="0" w:firstRowLastColumn="0" w:lastRowFirstColumn="0" w:lastRowLastColumn="0"/>
            </w:pPr>
            <w:r>
              <w:t>Unaccounted for gas</w:t>
            </w:r>
          </w:p>
        </w:tc>
      </w:tr>
      <w:tr w:rsidR="008E2E9B" w:rsidTr="000C0557">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lastRenderedPageBreak/>
              <w:t>WACC</w:t>
            </w:r>
          </w:p>
        </w:tc>
        <w:tc>
          <w:tcPr>
            <w:tcW w:w="5041" w:type="dxa"/>
          </w:tcPr>
          <w:p w:rsidR="008E2E9B" w:rsidRDefault="008E2E9B" w:rsidP="008E2E9B">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8E2E9B"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E2E9B" w:rsidRDefault="008E2E9B" w:rsidP="008E2E9B">
            <w:pPr>
              <w:numPr>
                <w:ilvl w:val="0"/>
                <w:numId w:val="24"/>
              </w:numPr>
            </w:pPr>
            <w:r>
              <w:t>WPI</w:t>
            </w:r>
          </w:p>
        </w:tc>
        <w:tc>
          <w:tcPr>
            <w:tcW w:w="5041" w:type="dxa"/>
          </w:tcPr>
          <w:p w:rsidR="008E2E9B" w:rsidRDefault="008E2E9B" w:rsidP="000C0557">
            <w:pPr>
              <w:cnfStyle w:val="000000010000" w:firstRow="0" w:lastRow="0" w:firstColumn="0" w:lastColumn="0" w:oddVBand="0" w:evenVBand="0" w:oddHBand="0" w:evenHBand="1" w:firstRowFirstColumn="0" w:firstRowLastColumn="0" w:lastRowFirstColumn="0" w:lastRowLastColumn="0"/>
            </w:pPr>
            <w:r>
              <w:t>Wage Price Index</w:t>
            </w:r>
          </w:p>
        </w:tc>
      </w:tr>
    </w:tbl>
    <w:p w:rsidR="008E2E9B" w:rsidRPr="008E2E9B" w:rsidRDefault="008E2E9B" w:rsidP="008E2E9B"/>
    <w:p w:rsidR="00DE563D" w:rsidRDefault="002A126B" w:rsidP="002A126B">
      <w:pPr>
        <w:pStyle w:val="Heading1"/>
      </w:pPr>
      <w:bookmarkStart w:id="9" w:name="_Toc436036744"/>
      <w:r>
        <w:lastRenderedPageBreak/>
        <w:t>Capital base</w:t>
      </w:r>
      <w:bookmarkEnd w:id="9"/>
    </w:p>
    <w:p w:rsidR="000408CA" w:rsidRDefault="000408CA" w:rsidP="008B71B7">
      <w:r>
        <w:t>The capital base roll forward accounts for the value of APTNT's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t xml:space="preserve">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0408CA" w:rsidRDefault="000408CA" w:rsidP="008B71B7">
      <w:r>
        <w:t>We are</w:t>
      </w:r>
      <w:r w:rsidRPr="00B61433">
        <w:t xml:space="preserve"> required to make a decision on </w:t>
      </w:r>
      <w:r>
        <w:t>APTNT's</w:t>
      </w:r>
      <w:r w:rsidRPr="00B61433">
        <w:t xml:space="preserve"> opening</w:t>
      </w:r>
      <w:r>
        <w:t xml:space="preserve"> capital base as at 1 July 2016 for the </w:t>
      </w:r>
      <w:r w:rsidR="00BD690B">
        <w:t>2016–21</w:t>
      </w:r>
      <w:r>
        <w:t xml:space="preserve"> access arrangement period. We are also required to make a decision</w:t>
      </w:r>
      <w:r w:rsidRPr="00B61433">
        <w:t xml:space="preserve"> </w:t>
      </w:r>
      <w:r>
        <w:t>on APTNT's projected capital base for</w:t>
      </w:r>
      <w:r w:rsidRPr="00B61433">
        <w:t xml:space="preserve"> the </w:t>
      </w:r>
      <w:r w:rsidR="00BD690B">
        <w:t>2016–21</w:t>
      </w:r>
      <w:r>
        <w:t xml:space="preserve"> access arrangement period.</w:t>
      </w:r>
      <w:r w:rsidRPr="00B61433">
        <w:t xml:space="preserve"> </w:t>
      </w:r>
      <w:r>
        <w:t>This attachment presents our draft decision on these matters.</w:t>
      </w:r>
    </w:p>
    <w:p w:rsidR="009A5113" w:rsidRDefault="00CF2C05" w:rsidP="008B71B7">
      <w:pPr>
        <w:pStyle w:val="Heading2"/>
      </w:pPr>
      <w:bookmarkStart w:id="10" w:name="_Toc408404320"/>
      <w:bookmarkStart w:id="11" w:name="_Toc436036745"/>
      <w:r>
        <w:t>Draft</w:t>
      </w:r>
      <w:r w:rsidR="009A5113" w:rsidRPr="0074565D">
        <w:t xml:space="preserve"> decision</w:t>
      </w:r>
      <w:bookmarkEnd w:id="10"/>
      <w:bookmarkEnd w:id="11"/>
    </w:p>
    <w:p w:rsidR="000408CA" w:rsidRDefault="000408CA" w:rsidP="008B71B7">
      <w:r w:rsidRPr="003A2B63">
        <w:t xml:space="preserve">We </w:t>
      </w:r>
      <w:r w:rsidR="00C0739D">
        <w:t xml:space="preserve">do not </w:t>
      </w:r>
      <w:r w:rsidRPr="003A2B63">
        <w:t xml:space="preserve">approve </w:t>
      </w:r>
      <w:r>
        <w:t>APTNT</w:t>
      </w:r>
      <w:r w:rsidRPr="003A2B63">
        <w:t>'s proposed opening capital base of $</w:t>
      </w:r>
      <w:r>
        <w:t xml:space="preserve">120.6 </w:t>
      </w:r>
      <w:r w:rsidRPr="003A2B63">
        <w:t>million</w:t>
      </w:r>
      <w:r>
        <w:t xml:space="preserve"> ($nominal)</w:t>
      </w:r>
      <w:r w:rsidRPr="003A2B63">
        <w:t xml:space="preserve"> as at </w:t>
      </w:r>
      <w:r>
        <w:t>1 July 2016.</w:t>
      </w:r>
      <w:r w:rsidR="007F7FF9">
        <w:t xml:space="preserve"> This is because we have made several amendments to APTNT’s proposed roll forward model (RFM) to correct some input</w:t>
      </w:r>
      <w:r w:rsidR="007F6B3A">
        <w:t xml:space="preserve"> errors.</w:t>
      </w:r>
      <w:r w:rsidR="00EF4166">
        <w:t xml:space="preserve"> We also updated the conforming capex </w:t>
      </w:r>
      <w:r w:rsidR="001374C2">
        <w:t>estimate</w:t>
      </w:r>
      <w:r w:rsidR="00EF4166">
        <w:t xml:space="preserve"> </w:t>
      </w:r>
      <w:r w:rsidR="001374C2">
        <w:t>for 2015–16</w:t>
      </w:r>
      <w:r w:rsidR="00EF4166">
        <w:t>, as discussed in attachment 6.</w:t>
      </w:r>
    </w:p>
    <w:p w:rsidR="00A31D00" w:rsidRDefault="000408CA" w:rsidP="008B71B7">
      <w:r>
        <w:t>We determine</w:t>
      </w:r>
      <w:r w:rsidRPr="00F73C2D">
        <w:t xml:space="preserve"> an opening capital base of </w:t>
      </w:r>
      <w:r w:rsidRPr="00B406D4">
        <w:rPr>
          <w:rStyle w:val="AERbody"/>
          <w:rFonts w:eastAsia="Calibri"/>
        </w:rPr>
        <w:t>$</w:t>
      </w:r>
      <w:r w:rsidR="00AC7992">
        <w:rPr>
          <w:rStyle w:val="AERbody"/>
          <w:rFonts w:eastAsia="Calibri"/>
        </w:rPr>
        <w:t>112</w:t>
      </w:r>
      <w:bookmarkStart w:id="12" w:name="_GoBack"/>
      <w:bookmarkEnd w:id="12"/>
      <w:r w:rsidR="00AC7992">
        <w:rPr>
          <w:rStyle w:val="AERbody"/>
          <w:rFonts w:eastAsia="Calibri"/>
        </w:rPr>
        <w:t>.</w:t>
      </w:r>
      <w:r w:rsidR="00CB1CA6">
        <w:rPr>
          <w:rStyle w:val="AERbody"/>
          <w:rFonts w:eastAsia="Calibri"/>
        </w:rPr>
        <w:t>2</w:t>
      </w:r>
      <w:r>
        <w:rPr>
          <w:rStyle w:val="AERbody"/>
          <w:rFonts w:eastAsia="Calibri"/>
        </w:rPr>
        <w:t xml:space="preserve"> </w:t>
      </w:r>
      <w:r w:rsidRPr="00B406D4">
        <w:rPr>
          <w:rStyle w:val="AERbody"/>
          <w:rFonts w:eastAsia="Calibri"/>
        </w:rPr>
        <w:t>million</w:t>
      </w:r>
      <w:r w:rsidRPr="00F73C2D">
        <w:t xml:space="preserve"> </w:t>
      </w:r>
      <w:r>
        <w:t>($nominal) as at 1 July 2016</w:t>
      </w:r>
      <w:r w:rsidRPr="00F73C2D">
        <w:t xml:space="preserve">, which is </w:t>
      </w:r>
      <w:r>
        <w:t>$</w:t>
      </w:r>
      <w:r w:rsidR="00AC7992">
        <w:t>8</w:t>
      </w:r>
      <w:r w:rsidR="00CB1CA6">
        <w:t>.</w:t>
      </w:r>
      <w:r w:rsidR="001537D6">
        <w:t>4</w:t>
      </w:r>
      <w:r w:rsidRPr="00F73C2D">
        <w:t xml:space="preserve"> million </w:t>
      </w:r>
      <w:r w:rsidRPr="00254619">
        <w:t>($nominal)</w:t>
      </w:r>
      <w:r>
        <w:t xml:space="preserve"> </w:t>
      </w:r>
      <w:r w:rsidRPr="00F73C2D">
        <w:t>less than that proposed by</w:t>
      </w:r>
      <w:r>
        <w:t xml:space="preserve"> APTNT</w:t>
      </w:r>
      <w:r w:rsidR="00AC7992">
        <w:t xml:space="preserve">, a reduction of </w:t>
      </w:r>
      <w:r w:rsidR="00CB1CA6">
        <w:t>7</w:t>
      </w:r>
      <w:r w:rsidR="005C0905">
        <w:t>.0</w:t>
      </w:r>
      <w:r w:rsidR="005A3C0D">
        <w:t> </w:t>
      </w:r>
      <w:r w:rsidR="00AC7992">
        <w:t>per cent.</w:t>
      </w:r>
      <w:r w:rsidR="001A53D5">
        <w:t xml:space="preserve"> </w:t>
      </w:r>
    </w:p>
    <w:p w:rsidR="000408CA" w:rsidRPr="00A31D00" w:rsidRDefault="000408CA" w:rsidP="008B71B7">
      <w:pPr>
        <w:rPr>
          <w:szCs w:val="24"/>
        </w:rPr>
      </w:pPr>
      <w:r>
        <w:fldChar w:fldCharType="begin"/>
      </w:r>
      <w:r>
        <w:instrText xml:space="preserve"> REF _Ref404157003 \h </w:instrText>
      </w:r>
      <w:r w:rsidR="008B71B7">
        <w:instrText xml:space="preserve"> \* MERGEFORMAT </w:instrText>
      </w:r>
      <w:r>
        <w:fldChar w:fldCharType="separate"/>
      </w:r>
      <w:r w:rsidR="009C59AE">
        <w:t xml:space="preserve">Table </w:t>
      </w:r>
      <w:r w:rsidR="009C59AE">
        <w:rPr>
          <w:noProof/>
        </w:rPr>
        <w:t>2.1</w:t>
      </w:r>
      <w:r>
        <w:fldChar w:fldCharType="end"/>
      </w:r>
      <w:r>
        <w:t xml:space="preserve"> </w:t>
      </w:r>
      <w:r w:rsidRPr="00F73C2D">
        <w:t xml:space="preserve">summarises </w:t>
      </w:r>
      <w:r>
        <w:t>our</w:t>
      </w:r>
      <w:r w:rsidRPr="00F73C2D">
        <w:t xml:space="preserve"> draft dec</w:t>
      </w:r>
      <w:r>
        <w:t>ision on the roll forward of APTNT's</w:t>
      </w:r>
      <w:r w:rsidRPr="00F73C2D">
        <w:t xml:space="preserve"> capital base during the </w:t>
      </w:r>
      <w:r w:rsidR="00BD690B">
        <w:t>2011–16</w:t>
      </w:r>
      <w:r w:rsidRPr="00F73C2D">
        <w:t xml:space="preserve"> access arrangement period. </w:t>
      </w:r>
    </w:p>
    <w:p w:rsidR="000408CA" w:rsidRDefault="000408CA" w:rsidP="000402C3">
      <w:pPr>
        <w:pStyle w:val="Caption"/>
      </w:pPr>
      <w:bookmarkStart w:id="13" w:name="_Ref404157003"/>
      <w:bookmarkStart w:id="14" w:name="_Ref328756976"/>
      <w:r>
        <w:lastRenderedPageBreak/>
        <w:t xml:space="preserve">Table </w:t>
      </w:r>
      <w:fldSimple w:instr=" STYLEREF 1 \s ">
        <w:r w:rsidR="009C59AE">
          <w:rPr>
            <w:noProof/>
          </w:rPr>
          <w:t>2</w:t>
        </w:r>
      </w:fldSimple>
      <w:r w:rsidR="00E42B78">
        <w:rPr>
          <w:noProof/>
        </w:rPr>
        <w:t>.</w:t>
      </w:r>
      <w:fldSimple w:instr=" SEQ Table \* ARABIC \s 1 ">
        <w:r w:rsidR="009C59AE">
          <w:rPr>
            <w:noProof/>
          </w:rPr>
          <w:t>1</w:t>
        </w:r>
      </w:fldSimple>
      <w:bookmarkEnd w:id="13"/>
      <w:r>
        <w:tab/>
        <w:t xml:space="preserve">AER's draft decision on APTNT's capital base roll forward for the </w:t>
      </w:r>
      <w:r w:rsidR="00BD690B">
        <w:t>2011–16</w:t>
      </w:r>
      <w:r>
        <w:t xml:space="preserve"> access arrangement period ($million, nominal)</w:t>
      </w:r>
    </w:p>
    <w:tbl>
      <w:tblPr>
        <w:tblStyle w:val="AERtable-numbers"/>
        <w:tblW w:w="8727" w:type="dxa"/>
        <w:tblLayout w:type="fixed"/>
        <w:tblLook w:val="04A0" w:firstRow="1" w:lastRow="0" w:firstColumn="1" w:lastColumn="0" w:noHBand="0" w:noVBand="1"/>
      </w:tblPr>
      <w:tblGrid>
        <w:gridCol w:w="3388"/>
        <w:gridCol w:w="1067"/>
        <w:gridCol w:w="1068"/>
        <w:gridCol w:w="1068"/>
        <w:gridCol w:w="1068"/>
        <w:gridCol w:w="1068"/>
      </w:tblGrid>
      <w:tr w:rsidR="000408CA" w:rsidRPr="00CE62E5" w:rsidTr="00CE62E5">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388" w:type="dxa"/>
            <w:noWrap/>
          </w:tcPr>
          <w:p w:rsidR="000408CA" w:rsidRPr="00CE62E5" w:rsidRDefault="000408CA" w:rsidP="00A871D5">
            <w:pPr>
              <w:pStyle w:val="AERtabletextleft"/>
              <w:keepNext/>
              <w:rPr>
                <w:sz w:val="16"/>
                <w:szCs w:val="16"/>
              </w:rPr>
            </w:pPr>
          </w:p>
        </w:tc>
        <w:tc>
          <w:tcPr>
            <w:tcW w:w="1067" w:type="dxa"/>
            <w:noWrap/>
          </w:tcPr>
          <w:p w:rsidR="000408CA" w:rsidRPr="00CE62E5" w:rsidRDefault="000408CA" w:rsidP="00A871D5">
            <w:pPr>
              <w:pStyle w:val="AERtabletextleft"/>
              <w:keepNex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2011–12</w:t>
            </w:r>
          </w:p>
        </w:tc>
        <w:tc>
          <w:tcPr>
            <w:tcW w:w="1068" w:type="dxa"/>
            <w:noWrap/>
          </w:tcPr>
          <w:p w:rsidR="000408CA" w:rsidRPr="00CE62E5" w:rsidRDefault="000408CA" w:rsidP="00A871D5">
            <w:pPr>
              <w:pStyle w:val="AERtabletextleft"/>
              <w:keepNex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2012–13</w:t>
            </w:r>
          </w:p>
        </w:tc>
        <w:tc>
          <w:tcPr>
            <w:tcW w:w="1068" w:type="dxa"/>
            <w:noWrap/>
          </w:tcPr>
          <w:p w:rsidR="000408CA" w:rsidRPr="00CE62E5" w:rsidRDefault="000408CA" w:rsidP="00A871D5">
            <w:pPr>
              <w:pStyle w:val="AERtabletextleft"/>
              <w:keepNex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2013–14</w:t>
            </w:r>
          </w:p>
        </w:tc>
        <w:tc>
          <w:tcPr>
            <w:tcW w:w="1068" w:type="dxa"/>
            <w:noWrap/>
          </w:tcPr>
          <w:p w:rsidR="000408CA" w:rsidRPr="00CE62E5" w:rsidRDefault="000408CA" w:rsidP="00A871D5">
            <w:pPr>
              <w:pStyle w:val="AERtabletextleft"/>
              <w:keepNex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2014–15</w:t>
            </w:r>
          </w:p>
        </w:tc>
        <w:tc>
          <w:tcPr>
            <w:tcW w:w="1068" w:type="dxa"/>
            <w:noWrap/>
          </w:tcPr>
          <w:p w:rsidR="000408CA" w:rsidRPr="00CE62E5" w:rsidRDefault="000408CA" w:rsidP="00A871D5">
            <w:pPr>
              <w:pStyle w:val="AERtabletextleft"/>
              <w:keepNext/>
              <w:cnfStyle w:val="100000000000" w:firstRow="1" w:lastRow="0" w:firstColumn="0" w:lastColumn="0" w:oddVBand="0" w:evenVBand="0" w:oddHBand="0" w:evenHBand="0" w:firstRowFirstColumn="0" w:firstRowLastColumn="0" w:lastRowFirstColumn="0" w:lastRowLastColumn="0"/>
              <w:rPr>
                <w:rStyle w:val="AERsuperscript"/>
                <w:rFonts w:eastAsiaTheme="minorHAnsi" w:cstheme="minorBidi"/>
                <w:bCs/>
                <w:color w:val="076A92" w:themeColor="text1"/>
                <w:szCs w:val="16"/>
                <w:vertAlign w:val="baseline"/>
                <w:lang w:eastAsia="en-US"/>
              </w:rPr>
            </w:pPr>
            <w:r w:rsidRPr="00CE62E5">
              <w:rPr>
                <w:rStyle w:val="AERsuperscript"/>
                <w:szCs w:val="16"/>
                <w:vertAlign w:val="baseline"/>
              </w:rPr>
              <w:t>2015–16</w:t>
            </w:r>
          </w:p>
        </w:tc>
      </w:tr>
      <w:tr w:rsidR="00AC7992" w:rsidRPr="00995B8F" w:rsidTr="00CE62E5">
        <w:trPr>
          <w:trHeight w:val="377"/>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Opening capital base</w:t>
            </w:r>
          </w:p>
        </w:tc>
        <w:tc>
          <w:tcPr>
            <w:tcW w:w="1067"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92.1</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92.7</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106.1</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w:t>
            </w:r>
            <w:r w:rsidR="00CB1CA6">
              <w:rPr>
                <w:rFonts w:cs="Arial"/>
                <w:color w:val="000000"/>
                <w:sz w:val="16"/>
                <w:szCs w:val="16"/>
              </w:rPr>
              <w:t>6</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w:t>
            </w:r>
            <w:r w:rsidR="00CB1CA6">
              <w:rPr>
                <w:rFonts w:cs="Arial"/>
                <w:color w:val="000000"/>
                <w:sz w:val="16"/>
                <w:szCs w:val="16"/>
              </w:rPr>
              <w:t>4</w:t>
            </w:r>
          </w:p>
        </w:tc>
      </w:tr>
      <w:tr w:rsidR="00AC7992" w:rsidRPr="00995B8F" w:rsidTr="00CE62E5">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Net capex</w:t>
            </w:r>
          </w:p>
        </w:tc>
        <w:tc>
          <w:tcPr>
            <w:tcW w:w="1067"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4.3</w:t>
            </w: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16.5</w:t>
            </w: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4.0</w:t>
            </w: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4.2</w:t>
            </w: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8.2</w:t>
            </w:r>
          </w:p>
        </w:tc>
      </w:tr>
      <w:tr w:rsidR="00AC7992" w:rsidRPr="00995B8F" w:rsidTr="00CE62E5">
        <w:trPr>
          <w:trHeight w:val="375"/>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 xml:space="preserve">Indexation of </w:t>
            </w:r>
            <w:r w:rsidR="002A6718">
              <w:rPr>
                <w:sz w:val="16"/>
                <w:szCs w:val="16"/>
              </w:rPr>
              <w:t>capital base</w:t>
            </w:r>
          </w:p>
        </w:tc>
        <w:tc>
          <w:tcPr>
            <w:tcW w:w="1067"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1.5</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2.3</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3.1</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2.7</w:t>
            </w:r>
          </w:p>
        </w:tc>
      </w:tr>
      <w:tr w:rsidR="00AC7992" w:rsidRPr="00995B8F" w:rsidTr="00CE62E5">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Depreciation</w:t>
            </w:r>
          </w:p>
        </w:tc>
        <w:tc>
          <w:tcPr>
            <w:tcW w:w="1067"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–5.1</w:t>
            </w:r>
          </w:p>
        </w:tc>
        <w:tc>
          <w:tcPr>
            <w:tcW w:w="1068"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–5.4</w:t>
            </w:r>
          </w:p>
        </w:tc>
        <w:tc>
          <w:tcPr>
            <w:tcW w:w="1068"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–5.6</w:t>
            </w:r>
          </w:p>
        </w:tc>
        <w:tc>
          <w:tcPr>
            <w:tcW w:w="1068"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–5.9</w:t>
            </w:r>
          </w:p>
        </w:tc>
        <w:tc>
          <w:tcPr>
            <w:tcW w:w="1068"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–3.4</w:t>
            </w:r>
          </w:p>
        </w:tc>
      </w:tr>
      <w:tr w:rsidR="00AC7992" w:rsidRPr="00995B8F" w:rsidTr="00CE62E5">
        <w:trPr>
          <w:trHeight w:val="411"/>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 xml:space="preserve">Closing capital base </w:t>
            </w:r>
          </w:p>
        </w:tc>
        <w:tc>
          <w:tcPr>
            <w:tcW w:w="1067"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92.7</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106.1</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w:t>
            </w:r>
            <w:r w:rsidR="00CB1CA6">
              <w:rPr>
                <w:rFonts w:cs="Arial"/>
                <w:color w:val="000000"/>
                <w:sz w:val="16"/>
                <w:szCs w:val="16"/>
              </w:rPr>
              <w:t>6</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w:t>
            </w:r>
            <w:r w:rsidR="00CB1CA6">
              <w:rPr>
                <w:rFonts w:cs="Arial"/>
                <w:color w:val="000000"/>
                <w:sz w:val="16"/>
                <w:szCs w:val="16"/>
              </w:rPr>
              <w:t>4</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11</w:t>
            </w:r>
            <w:r w:rsidR="00CB1CA6">
              <w:rPr>
                <w:rFonts w:cs="Arial"/>
                <w:color w:val="000000"/>
                <w:sz w:val="16"/>
                <w:szCs w:val="16"/>
              </w:rPr>
              <w:t>4</w:t>
            </w:r>
            <w:r>
              <w:rPr>
                <w:rFonts w:cs="Arial"/>
                <w:color w:val="000000"/>
                <w:sz w:val="16"/>
                <w:szCs w:val="16"/>
              </w:rPr>
              <w:t>.</w:t>
            </w:r>
            <w:r w:rsidR="00CB1CA6">
              <w:rPr>
                <w:rFonts w:cs="Arial"/>
                <w:color w:val="000000"/>
                <w:sz w:val="16"/>
                <w:szCs w:val="16"/>
              </w:rPr>
              <w:t>9</w:t>
            </w:r>
          </w:p>
        </w:tc>
      </w:tr>
      <w:tr w:rsidR="00AC7992" w:rsidRPr="00995B8F" w:rsidTr="00CE62E5">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sz w:val="16"/>
                <w:szCs w:val="16"/>
              </w:rPr>
            </w:pPr>
            <w:r w:rsidRPr="00CE62E5">
              <w:rPr>
                <w:sz w:val="16"/>
                <w:szCs w:val="16"/>
              </w:rPr>
              <w:t>Adjustment for difference between estimated and actual capital expenditure in 2010–11</w:t>
            </w:r>
            <w:r w:rsidR="00BA094D" w:rsidRPr="00BA094D">
              <w:rPr>
                <w:rStyle w:val="AERsuperscript"/>
              </w:rPr>
              <w:t>a</w:t>
            </w:r>
          </w:p>
        </w:tc>
        <w:tc>
          <w:tcPr>
            <w:tcW w:w="1067"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p>
        </w:tc>
        <w:tc>
          <w:tcPr>
            <w:tcW w:w="1068" w:type="dxa"/>
            <w:noWrap/>
          </w:tcPr>
          <w:p w:rsidR="00AC7992" w:rsidRPr="001C5019" w:rsidRDefault="00AC7992"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p>
        </w:tc>
        <w:tc>
          <w:tcPr>
            <w:tcW w:w="1068" w:type="dxa"/>
            <w:noWrap/>
          </w:tcPr>
          <w:p w:rsidR="00AC7992" w:rsidRPr="001C5019" w:rsidRDefault="00CB1CA6" w:rsidP="00A871D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AC7992">
              <w:rPr>
                <w:rFonts w:cs="Arial"/>
                <w:color w:val="000000"/>
                <w:sz w:val="16"/>
                <w:szCs w:val="16"/>
              </w:rPr>
              <w:t>2.7</w:t>
            </w:r>
          </w:p>
        </w:tc>
      </w:tr>
      <w:tr w:rsidR="00AC7992" w:rsidRPr="00CE62E5" w:rsidTr="00CE62E5">
        <w:trPr>
          <w:trHeight w:val="290"/>
        </w:trPr>
        <w:tc>
          <w:tcPr>
            <w:cnfStyle w:val="001000000000" w:firstRow="0" w:lastRow="0" w:firstColumn="1" w:lastColumn="0" w:oddVBand="0" w:evenVBand="0" w:oddHBand="0" w:evenHBand="0" w:firstRowFirstColumn="0" w:firstRowLastColumn="0" w:lastRowFirstColumn="0" w:lastRowLastColumn="0"/>
            <w:tcW w:w="3388" w:type="dxa"/>
            <w:noWrap/>
          </w:tcPr>
          <w:p w:rsidR="00AC7992" w:rsidRPr="00CE62E5" w:rsidRDefault="00AC7992" w:rsidP="00A871D5">
            <w:pPr>
              <w:pStyle w:val="AERtabletextleft"/>
              <w:keepNext/>
              <w:rPr>
                <w:rStyle w:val="Strong"/>
                <w:sz w:val="16"/>
              </w:rPr>
            </w:pPr>
            <w:r w:rsidRPr="00CE62E5">
              <w:rPr>
                <w:rStyle w:val="Strong"/>
                <w:sz w:val="16"/>
              </w:rPr>
              <w:t>Opening capital base at 1 July 2016</w:t>
            </w:r>
          </w:p>
        </w:tc>
        <w:tc>
          <w:tcPr>
            <w:tcW w:w="1067"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color w:val="000000"/>
                <w:sz w:val="16"/>
                <w:szCs w:val="16"/>
              </w:rPr>
              <w:t> </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color w:val="000000"/>
                <w:sz w:val="16"/>
                <w:szCs w:val="16"/>
              </w:rPr>
              <w:t> </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color w:val="000000"/>
                <w:sz w:val="16"/>
                <w:szCs w:val="16"/>
              </w:rPr>
              <w:t> </w:t>
            </w:r>
          </w:p>
        </w:tc>
        <w:tc>
          <w:tcPr>
            <w:tcW w:w="1068" w:type="dxa"/>
            <w:noWrap/>
          </w:tcPr>
          <w:p w:rsidR="00AC7992" w:rsidRPr="001C5019"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color w:val="000000"/>
                <w:sz w:val="16"/>
                <w:szCs w:val="16"/>
              </w:rPr>
              <w:t> </w:t>
            </w:r>
          </w:p>
        </w:tc>
        <w:tc>
          <w:tcPr>
            <w:tcW w:w="1068" w:type="dxa"/>
            <w:noWrap/>
          </w:tcPr>
          <w:p w:rsidR="00AC7992" w:rsidRPr="0001504F" w:rsidRDefault="00AC7992" w:rsidP="00A871D5">
            <w:pPr>
              <w:pStyle w:val="AERtabletextleft"/>
              <w:keepNext/>
              <w:cnfStyle w:val="000000000000" w:firstRow="0" w:lastRow="0" w:firstColumn="0" w:lastColumn="0" w:oddVBand="0" w:evenVBand="0" w:oddHBand="0" w:evenHBand="0" w:firstRowFirstColumn="0" w:firstRowLastColumn="0" w:lastRowFirstColumn="0" w:lastRowLastColumn="0"/>
              <w:rPr>
                <w:rStyle w:val="Strong"/>
                <w:b w:val="0"/>
                <w:sz w:val="16"/>
                <w:szCs w:val="16"/>
              </w:rPr>
            </w:pPr>
            <w:r w:rsidRPr="0001504F">
              <w:rPr>
                <w:rFonts w:cs="Arial"/>
                <w:b/>
                <w:color w:val="000000"/>
                <w:sz w:val="16"/>
                <w:szCs w:val="16"/>
              </w:rPr>
              <w:t>112.</w:t>
            </w:r>
            <w:r w:rsidR="00CB1CA6" w:rsidRPr="0001504F">
              <w:rPr>
                <w:rFonts w:cs="Arial"/>
                <w:b/>
                <w:color w:val="000000"/>
                <w:sz w:val="16"/>
                <w:szCs w:val="16"/>
              </w:rPr>
              <w:t>2</w:t>
            </w:r>
          </w:p>
        </w:tc>
      </w:tr>
    </w:tbl>
    <w:bookmarkEnd w:id="14"/>
    <w:p w:rsidR="00BA094D" w:rsidRDefault="000408CA" w:rsidP="00A871D5">
      <w:pPr>
        <w:pStyle w:val="AERtablesource"/>
        <w:keepNext/>
        <w:rPr>
          <w:rFonts w:eastAsia="Calibri"/>
        </w:rPr>
      </w:pPr>
      <w:r w:rsidRPr="00F73C2D">
        <w:rPr>
          <w:rFonts w:eastAsia="Calibri"/>
        </w:rPr>
        <w:t xml:space="preserve">Source: </w:t>
      </w:r>
      <w:r w:rsidRPr="00F73C2D">
        <w:rPr>
          <w:rFonts w:eastAsia="Calibri"/>
        </w:rPr>
        <w:tab/>
        <w:t>AER analysis.</w:t>
      </w:r>
      <w:r w:rsidR="00BA094D">
        <w:rPr>
          <w:rFonts w:eastAsia="Calibri"/>
        </w:rPr>
        <w:t xml:space="preserve"> </w:t>
      </w:r>
    </w:p>
    <w:p w:rsidR="00BA094D" w:rsidRPr="00A61057" w:rsidRDefault="00BA094D" w:rsidP="00BA094D">
      <w:pPr>
        <w:pStyle w:val="AERtablesource"/>
        <w:rPr>
          <w:rFonts w:eastAsia="Calibri"/>
        </w:rPr>
      </w:pPr>
      <w:r>
        <w:rPr>
          <w:rFonts w:eastAsia="Calibri"/>
        </w:rPr>
        <w:t xml:space="preserve">(a) </w:t>
      </w:r>
      <w:r>
        <w:rPr>
          <w:rFonts w:eastAsia="Calibri"/>
        </w:rPr>
        <w:tab/>
        <w:t>Comprising the difference between the actual and estimated capex for 2010–11 and the return on that difference.</w:t>
      </w:r>
    </w:p>
    <w:p w:rsidR="000408CA" w:rsidRPr="00103B25" w:rsidRDefault="000408CA" w:rsidP="008B71B7">
      <w:pPr>
        <w:rPr>
          <w:rStyle w:val="AERbody"/>
          <w:rFonts w:eastAsia="Calibri"/>
        </w:rPr>
      </w:pPr>
      <w:bookmarkStart w:id="15" w:name="_Ref398891994"/>
      <w:r w:rsidRPr="00103B25">
        <w:rPr>
          <w:rStyle w:val="AERbody"/>
          <w:rFonts w:eastAsia="Calibri"/>
        </w:rPr>
        <w:t xml:space="preserve">We </w:t>
      </w:r>
      <w:r w:rsidR="00B23541">
        <w:rPr>
          <w:rStyle w:val="AERbody"/>
          <w:rFonts w:eastAsia="Calibri"/>
        </w:rPr>
        <w:t xml:space="preserve">do not </w:t>
      </w:r>
      <w:r w:rsidRPr="00103B25">
        <w:rPr>
          <w:rStyle w:val="AERbody"/>
          <w:rFonts w:eastAsia="Calibri"/>
        </w:rPr>
        <w:t xml:space="preserve">approve </w:t>
      </w:r>
      <w:r>
        <w:rPr>
          <w:rStyle w:val="AERbody"/>
          <w:rFonts w:eastAsia="Calibri"/>
        </w:rPr>
        <w:t>APTNT</w:t>
      </w:r>
      <w:r w:rsidRPr="00103B25">
        <w:rPr>
          <w:rStyle w:val="AERbody"/>
          <w:rFonts w:eastAsia="Calibri"/>
        </w:rPr>
        <w:t xml:space="preserve">'s proposed roll forward of its projected capital base across the </w:t>
      </w:r>
      <w:r w:rsidR="00BD690B">
        <w:rPr>
          <w:rStyle w:val="AERbody"/>
          <w:rFonts w:eastAsia="Calibri"/>
        </w:rPr>
        <w:t>2016–21</w:t>
      </w:r>
      <w:r w:rsidRPr="00103B25">
        <w:rPr>
          <w:rStyle w:val="AERbody"/>
          <w:rFonts w:eastAsia="Calibri"/>
        </w:rPr>
        <w:t xml:space="preserve"> </w:t>
      </w:r>
      <w:r w:rsidR="00A31D00">
        <w:rPr>
          <w:rStyle w:val="AERbody"/>
          <w:rFonts w:eastAsia="Calibri"/>
        </w:rPr>
        <w:t xml:space="preserve">access arrangement </w:t>
      </w:r>
      <w:r w:rsidRPr="00103B25">
        <w:rPr>
          <w:rStyle w:val="AERbody"/>
          <w:rFonts w:eastAsia="Calibri"/>
        </w:rPr>
        <w:t xml:space="preserve">period, and do not approve its closing capital base at </w:t>
      </w:r>
      <w:r>
        <w:rPr>
          <w:rStyle w:val="AERbody"/>
          <w:rFonts w:eastAsia="Calibri"/>
        </w:rPr>
        <w:t>30 June 2021</w:t>
      </w:r>
      <w:r w:rsidRPr="00103B25">
        <w:rPr>
          <w:rStyle w:val="AERbody"/>
          <w:rFonts w:eastAsia="Calibri"/>
        </w:rPr>
        <w:t xml:space="preserve"> of $</w:t>
      </w:r>
      <w:r>
        <w:rPr>
          <w:rStyle w:val="AERbody"/>
          <w:rFonts w:eastAsia="Calibri"/>
        </w:rPr>
        <w:t xml:space="preserve">142.6 million ($nominal). </w:t>
      </w:r>
      <w:r w:rsidRPr="00103B25">
        <w:rPr>
          <w:rStyle w:val="AERbody"/>
          <w:rFonts w:eastAsia="Calibri"/>
        </w:rPr>
        <w:t xml:space="preserve">This is because we have not approved </w:t>
      </w:r>
      <w:r>
        <w:rPr>
          <w:rStyle w:val="AERbody"/>
          <w:rFonts w:eastAsia="Calibri"/>
        </w:rPr>
        <w:t>APTNT</w:t>
      </w:r>
      <w:r w:rsidRPr="00103B25">
        <w:rPr>
          <w:rStyle w:val="AERbody"/>
          <w:rFonts w:eastAsia="Calibri"/>
        </w:rPr>
        <w:t>'s proposed inputs to the projected capital base roll forward, specifically the opening capital base</w:t>
      </w:r>
      <w:r w:rsidR="00A31D00">
        <w:rPr>
          <w:rStyle w:val="AERbody"/>
          <w:rFonts w:eastAsia="Calibri"/>
        </w:rPr>
        <w:t xml:space="preserve"> (section </w:t>
      </w:r>
      <w:r w:rsidR="00B27827">
        <w:rPr>
          <w:rStyle w:val="AERbody"/>
          <w:rFonts w:eastAsia="Calibri"/>
        </w:rPr>
        <w:fldChar w:fldCharType="begin"/>
      </w:r>
      <w:r w:rsidR="00B27827">
        <w:rPr>
          <w:rStyle w:val="AERbody"/>
          <w:rFonts w:eastAsia="Calibri"/>
        </w:rPr>
        <w:instrText xml:space="preserve"> REF _Ref433037826 \r \h </w:instrText>
      </w:r>
      <w:r w:rsidR="00B27827">
        <w:rPr>
          <w:rStyle w:val="AERbody"/>
          <w:rFonts w:eastAsia="Calibri"/>
        </w:rPr>
      </w:r>
      <w:r w:rsidR="00B27827">
        <w:rPr>
          <w:rStyle w:val="AERbody"/>
          <w:rFonts w:eastAsia="Calibri"/>
        </w:rPr>
        <w:fldChar w:fldCharType="separate"/>
      </w:r>
      <w:r w:rsidR="009C59AE">
        <w:rPr>
          <w:rStyle w:val="AERbody"/>
          <w:rFonts w:eastAsia="Calibri"/>
        </w:rPr>
        <w:t>2.4.1</w:t>
      </w:r>
      <w:r w:rsidR="00B27827">
        <w:rPr>
          <w:rStyle w:val="AERbody"/>
          <w:rFonts w:eastAsia="Calibri"/>
        </w:rPr>
        <w:fldChar w:fldCharType="end"/>
      </w:r>
      <w:r w:rsidR="00A31D00">
        <w:rPr>
          <w:rStyle w:val="AERbody"/>
          <w:rFonts w:eastAsia="Calibri"/>
        </w:rPr>
        <w:t>)</w:t>
      </w:r>
      <w:r w:rsidRPr="00103B25">
        <w:rPr>
          <w:rStyle w:val="AERbody"/>
          <w:rFonts w:eastAsia="Calibri"/>
        </w:rPr>
        <w:t>, depreciation</w:t>
      </w:r>
      <w:r w:rsidR="00A31D00">
        <w:rPr>
          <w:rStyle w:val="AERbody"/>
          <w:rFonts w:eastAsia="Calibri"/>
        </w:rPr>
        <w:t xml:space="preserve"> (attachment </w:t>
      </w:r>
      <w:r w:rsidR="00FE288F">
        <w:rPr>
          <w:rStyle w:val="AERbody"/>
          <w:rFonts w:eastAsia="Calibri"/>
        </w:rPr>
        <w:t>5</w:t>
      </w:r>
      <w:r w:rsidR="00A31D00">
        <w:rPr>
          <w:rStyle w:val="AERbody"/>
          <w:rFonts w:eastAsia="Calibri"/>
        </w:rPr>
        <w:t>)</w:t>
      </w:r>
      <w:r w:rsidR="006A4066">
        <w:rPr>
          <w:rStyle w:val="AERbody"/>
          <w:rFonts w:eastAsia="Calibri"/>
        </w:rPr>
        <w:t xml:space="preserve"> and </w:t>
      </w:r>
      <w:r w:rsidR="006A4066" w:rsidRPr="00103B25">
        <w:rPr>
          <w:rStyle w:val="AERbody"/>
          <w:rFonts w:eastAsia="Calibri"/>
        </w:rPr>
        <w:t>forecast capex</w:t>
      </w:r>
      <w:r w:rsidR="006A4066">
        <w:rPr>
          <w:rStyle w:val="AERbody"/>
          <w:rFonts w:eastAsia="Calibri"/>
        </w:rPr>
        <w:t xml:space="preserve"> (attachment 6).</w:t>
      </w:r>
      <w:r w:rsidR="006A4066" w:rsidRPr="00103B25">
        <w:rPr>
          <w:rStyle w:val="AERbody"/>
          <w:rFonts w:eastAsia="Calibri"/>
        </w:rPr>
        <w:t xml:space="preserve"> </w:t>
      </w:r>
      <w:r w:rsidRPr="00103B25">
        <w:rPr>
          <w:rStyle w:val="AERbody"/>
          <w:rFonts w:eastAsia="Calibri"/>
        </w:rPr>
        <w:t xml:space="preserve">Based on our approved amounts for these inputs, we determine a projected closing capital base of </w:t>
      </w:r>
      <w:r w:rsidR="00B52609" w:rsidRPr="00103B25">
        <w:rPr>
          <w:rStyle w:val="AERbody"/>
          <w:rFonts w:eastAsia="Calibri"/>
        </w:rPr>
        <w:t>$</w:t>
      </w:r>
      <w:r w:rsidR="00B52609">
        <w:rPr>
          <w:rStyle w:val="AERbody"/>
          <w:rFonts w:eastAsia="Calibri"/>
        </w:rPr>
        <w:t>1</w:t>
      </w:r>
      <w:r w:rsidR="00BA094D">
        <w:rPr>
          <w:rStyle w:val="AERbody"/>
          <w:rFonts w:eastAsia="Calibri"/>
        </w:rPr>
        <w:t>35.8</w:t>
      </w:r>
      <w:r w:rsidR="00B52609" w:rsidRPr="00103B25">
        <w:rPr>
          <w:rStyle w:val="AERbody"/>
          <w:rFonts w:eastAsia="Calibri"/>
        </w:rPr>
        <w:t xml:space="preserve"> </w:t>
      </w:r>
      <w:r w:rsidRPr="00103B25">
        <w:rPr>
          <w:rStyle w:val="AERbody"/>
          <w:rFonts w:eastAsia="Calibri"/>
        </w:rPr>
        <w:t xml:space="preserve">million ($nominal) as at </w:t>
      </w:r>
      <w:r>
        <w:rPr>
          <w:rStyle w:val="AERbody"/>
          <w:rFonts w:eastAsia="Calibri"/>
        </w:rPr>
        <w:t>30 June 2021</w:t>
      </w:r>
      <w:r w:rsidRPr="00103B25">
        <w:rPr>
          <w:rStyle w:val="AERbody"/>
          <w:rFonts w:eastAsia="Calibri"/>
        </w:rPr>
        <w:t xml:space="preserve">. This is </w:t>
      </w:r>
      <w:r w:rsidR="00B52609" w:rsidRPr="00103B25">
        <w:rPr>
          <w:rStyle w:val="AERbody"/>
          <w:rFonts w:eastAsia="Calibri"/>
        </w:rPr>
        <w:t>$</w:t>
      </w:r>
      <w:r w:rsidR="00BA094D">
        <w:rPr>
          <w:rStyle w:val="AERbody"/>
          <w:rFonts w:eastAsia="Calibri"/>
        </w:rPr>
        <w:t>6</w:t>
      </w:r>
      <w:r w:rsidR="00B52609">
        <w:rPr>
          <w:rStyle w:val="AERbody"/>
          <w:rFonts w:eastAsia="Calibri"/>
        </w:rPr>
        <w:t>.8</w:t>
      </w:r>
      <w:r w:rsidR="00B52609" w:rsidRPr="00103B25">
        <w:rPr>
          <w:rStyle w:val="AERbody"/>
          <w:rFonts w:eastAsia="Calibri"/>
        </w:rPr>
        <w:t> </w:t>
      </w:r>
      <w:r w:rsidRPr="00103B25">
        <w:rPr>
          <w:rStyle w:val="AERbody"/>
          <w:rFonts w:eastAsia="Calibri"/>
        </w:rPr>
        <w:t xml:space="preserve">million ($nominal) less than that proposed by </w:t>
      </w:r>
      <w:r>
        <w:rPr>
          <w:rStyle w:val="AERbody"/>
          <w:rFonts w:eastAsia="Calibri"/>
        </w:rPr>
        <w:t>APTNT</w:t>
      </w:r>
      <w:r w:rsidRPr="00103B25">
        <w:rPr>
          <w:rStyle w:val="AERbody"/>
          <w:rFonts w:eastAsia="Calibri"/>
        </w:rPr>
        <w:t xml:space="preserve">, a reduction of </w:t>
      </w:r>
      <w:r w:rsidR="00BA094D">
        <w:rPr>
          <w:rStyle w:val="AERbody"/>
          <w:rFonts w:eastAsia="Calibri"/>
        </w:rPr>
        <w:t>4.8</w:t>
      </w:r>
      <w:r w:rsidR="00B52609" w:rsidRPr="00103B25">
        <w:rPr>
          <w:rStyle w:val="AERbody"/>
          <w:rFonts w:eastAsia="Calibri"/>
        </w:rPr>
        <w:t> </w:t>
      </w:r>
      <w:r w:rsidRPr="00103B25">
        <w:rPr>
          <w:rStyle w:val="AERbody"/>
          <w:rFonts w:eastAsia="Calibri"/>
        </w:rPr>
        <w:t xml:space="preserve">per cent. </w:t>
      </w:r>
    </w:p>
    <w:p w:rsidR="000408CA" w:rsidRPr="00103B25" w:rsidRDefault="000408CA" w:rsidP="008B71B7">
      <w:pPr>
        <w:rPr>
          <w:rStyle w:val="AERbody"/>
          <w:rFonts w:eastAsia="Calibri"/>
        </w:rPr>
      </w:pPr>
      <w:r>
        <w:rPr>
          <w:rStyle w:val="AERbody"/>
          <w:rFonts w:eastAsia="Calibri"/>
        </w:rPr>
        <w:fldChar w:fldCharType="begin"/>
      </w:r>
      <w:r>
        <w:rPr>
          <w:rStyle w:val="AERbody"/>
          <w:rFonts w:eastAsia="Calibri"/>
        </w:rPr>
        <w:instrText xml:space="preserve"> REF _Ref404703901 \h </w:instrText>
      </w:r>
      <w:r w:rsidR="008B71B7">
        <w:rPr>
          <w:rStyle w:val="AERbody"/>
          <w:rFonts w:eastAsia="Calibri"/>
        </w:rPr>
        <w:instrText xml:space="preserve"> \* MERGEFORMAT </w:instrText>
      </w:r>
      <w:r>
        <w:rPr>
          <w:rStyle w:val="AERbody"/>
          <w:rFonts w:eastAsia="Calibri"/>
        </w:rPr>
      </w:r>
      <w:r>
        <w:rPr>
          <w:rStyle w:val="AERbody"/>
          <w:rFonts w:eastAsia="Calibri"/>
        </w:rPr>
        <w:fldChar w:fldCharType="separate"/>
      </w:r>
      <w:r w:rsidR="009C59AE">
        <w:t xml:space="preserve">Table </w:t>
      </w:r>
      <w:r w:rsidR="009C59AE">
        <w:rPr>
          <w:noProof/>
        </w:rPr>
        <w:t>2.2</w:t>
      </w:r>
      <w:r>
        <w:rPr>
          <w:rStyle w:val="AERbody"/>
          <w:rFonts w:eastAsia="Calibri"/>
        </w:rPr>
        <w:fldChar w:fldCharType="end"/>
      </w:r>
      <w:r>
        <w:rPr>
          <w:rStyle w:val="AERbody"/>
          <w:rFonts w:eastAsia="Calibri"/>
        </w:rPr>
        <w:t xml:space="preserve"> </w:t>
      </w:r>
      <w:r w:rsidRPr="00103B25">
        <w:rPr>
          <w:rStyle w:val="AERbody"/>
          <w:rFonts w:eastAsia="Calibri"/>
        </w:rPr>
        <w:t xml:space="preserve">sets out the projected roll forward of the capital base during the </w:t>
      </w:r>
      <w:r w:rsidR="00BD690B">
        <w:rPr>
          <w:rStyle w:val="AERbody"/>
          <w:rFonts w:eastAsia="Calibri"/>
        </w:rPr>
        <w:t>2016–21</w:t>
      </w:r>
      <w:r w:rsidRPr="00103B25">
        <w:rPr>
          <w:rStyle w:val="AERbody"/>
          <w:rFonts w:eastAsia="Calibri"/>
        </w:rPr>
        <w:t xml:space="preserve"> access arrangement period.</w:t>
      </w:r>
    </w:p>
    <w:p w:rsidR="000408CA" w:rsidRPr="00D94A48" w:rsidRDefault="000408CA" w:rsidP="000408CA">
      <w:pPr>
        <w:pStyle w:val="Caption"/>
      </w:pPr>
      <w:bookmarkStart w:id="16" w:name="_Ref404703901"/>
      <w:r>
        <w:t xml:space="preserve">Table </w:t>
      </w:r>
      <w:fldSimple w:instr=" STYLEREF 1 \s ">
        <w:r w:rsidR="009C59AE">
          <w:rPr>
            <w:noProof/>
          </w:rPr>
          <w:t>2</w:t>
        </w:r>
      </w:fldSimple>
      <w:r w:rsidR="00E42B78">
        <w:rPr>
          <w:noProof/>
        </w:rPr>
        <w:t>.</w:t>
      </w:r>
      <w:fldSimple w:instr=" SEQ Table \* ARABIC \s 1 ">
        <w:r w:rsidR="009C59AE">
          <w:rPr>
            <w:noProof/>
          </w:rPr>
          <w:t>2</w:t>
        </w:r>
      </w:fldSimple>
      <w:bookmarkEnd w:id="15"/>
      <w:bookmarkEnd w:id="16"/>
      <w:r>
        <w:tab/>
      </w:r>
      <w:r w:rsidRPr="00D94A48">
        <w:t xml:space="preserve">AER's draft decision on projected capital base roll forward for the </w:t>
      </w:r>
      <w:r w:rsidR="00BD690B">
        <w:t>2016–21</w:t>
      </w:r>
      <w:r w:rsidRPr="00D94A48">
        <w:t xml:space="preserve"> access arrangement period ($million, nominal)</w:t>
      </w:r>
      <w:bookmarkStart w:id="17" w:name="_Ref328757042"/>
    </w:p>
    <w:tbl>
      <w:tblPr>
        <w:tblStyle w:val="AERtable-numbers"/>
        <w:tblW w:w="8755" w:type="dxa"/>
        <w:tblLayout w:type="fixed"/>
        <w:tblLook w:val="04A0" w:firstRow="1" w:lastRow="0" w:firstColumn="1" w:lastColumn="0" w:noHBand="0" w:noVBand="1"/>
      </w:tblPr>
      <w:tblGrid>
        <w:gridCol w:w="2802"/>
        <w:gridCol w:w="1190"/>
        <w:gridCol w:w="1191"/>
        <w:gridCol w:w="1190"/>
        <w:gridCol w:w="1191"/>
        <w:gridCol w:w="1191"/>
      </w:tblGrid>
      <w:tr w:rsidR="000408CA" w:rsidRPr="00CE62E5" w:rsidTr="009156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tcPr>
          <w:p w:rsidR="000408CA" w:rsidRPr="00CE62E5" w:rsidRDefault="000408CA" w:rsidP="00CE62E5">
            <w:pPr>
              <w:pStyle w:val="AERtabletextleft"/>
              <w:rPr>
                <w:sz w:val="16"/>
              </w:rPr>
            </w:pPr>
          </w:p>
        </w:tc>
        <w:tc>
          <w:tcPr>
            <w:tcW w:w="1190" w:type="dxa"/>
            <w:noWrap/>
          </w:tcPr>
          <w:p w:rsidR="000408CA" w:rsidRPr="00CE62E5" w:rsidRDefault="000408CA" w:rsidP="00CE62E5">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2016–17</w:t>
            </w:r>
          </w:p>
        </w:tc>
        <w:tc>
          <w:tcPr>
            <w:tcW w:w="1191" w:type="dxa"/>
            <w:noWrap/>
          </w:tcPr>
          <w:p w:rsidR="000408CA" w:rsidRPr="00CE62E5" w:rsidRDefault="000408CA" w:rsidP="00CE62E5">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2017–18</w:t>
            </w:r>
          </w:p>
        </w:tc>
        <w:tc>
          <w:tcPr>
            <w:tcW w:w="1190" w:type="dxa"/>
            <w:noWrap/>
          </w:tcPr>
          <w:p w:rsidR="000408CA" w:rsidRPr="00CE62E5" w:rsidRDefault="000408CA" w:rsidP="00CE62E5">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2018–19</w:t>
            </w:r>
          </w:p>
        </w:tc>
        <w:tc>
          <w:tcPr>
            <w:tcW w:w="1191" w:type="dxa"/>
            <w:noWrap/>
          </w:tcPr>
          <w:p w:rsidR="000408CA" w:rsidRPr="00CE62E5" w:rsidRDefault="000408CA" w:rsidP="00CE62E5">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2019–20</w:t>
            </w:r>
          </w:p>
        </w:tc>
        <w:tc>
          <w:tcPr>
            <w:tcW w:w="1191" w:type="dxa"/>
            <w:noWrap/>
          </w:tcPr>
          <w:p w:rsidR="000408CA" w:rsidRPr="00CE62E5" w:rsidRDefault="000408CA" w:rsidP="00CE62E5">
            <w:pPr>
              <w:pStyle w:val="AERtabletextleft"/>
              <w:cnfStyle w:val="100000000000" w:firstRow="1" w:lastRow="0" w:firstColumn="0" w:lastColumn="0" w:oddVBand="0" w:evenVBand="0" w:oddHBand="0" w:evenHBand="0" w:firstRowFirstColumn="0" w:firstRowLastColumn="0" w:lastRowFirstColumn="0" w:lastRowLastColumn="0"/>
              <w:rPr>
                <w:rStyle w:val="AERsuperscript"/>
                <w:sz w:val="20"/>
                <w:vertAlign w:val="baseline"/>
              </w:rPr>
            </w:pPr>
            <w:r w:rsidRPr="00CE62E5">
              <w:rPr>
                <w:rStyle w:val="AERsuperscript"/>
                <w:vertAlign w:val="baseline"/>
              </w:rPr>
              <w:t>2020–21</w:t>
            </w:r>
          </w:p>
        </w:tc>
      </w:tr>
      <w:tr w:rsidR="00B52609" w:rsidRPr="00CE62E5" w:rsidTr="009156A9">
        <w:trPr>
          <w:trHeight w:val="349"/>
        </w:trPr>
        <w:tc>
          <w:tcPr>
            <w:cnfStyle w:val="001000000000" w:firstRow="0" w:lastRow="0" w:firstColumn="1" w:lastColumn="0" w:oddVBand="0" w:evenVBand="0" w:oddHBand="0" w:evenHBand="0" w:firstRowFirstColumn="0" w:firstRowLastColumn="0" w:lastRowFirstColumn="0" w:lastRowLastColumn="0"/>
            <w:tcW w:w="2802" w:type="dxa"/>
            <w:noWrap/>
          </w:tcPr>
          <w:p w:rsidR="00B52609" w:rsidRPr="00CE62E5" w:rsidRDefault="00B52609" w:rsidP="00CE62E5">
            <w:pPr>
              <w:pStyle w:val="AERtabletextleft"/>
              <w:rPr>
                <w:sz w:val="16"/>
              </w:rPr>
            </w:pPr>
            <w:r w:rsidRPr="00CE62E5">
              <w:rPr>
                <w:sz w:val="16"/>
              </w:rPr>
              <w:t>Opening capital base</w:t>
            </w:r>
          </w:p>
        </w:tc>
        <w:tc>
          <w:tcPr>
            <w:tcW w:w="1190"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112.</w:t>
            </w:r>
            <w:r w:rsidR="00BA094D">
              <w:rPr>
                <w:rFonts w:cs="Arial"/>
                <w:color w:val="000000"/>
                <w:sz w:val="16"/>
                <w:szCs w:val="16"/>
              </w:rPr>
              <w:t>2</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120.</w:t>
            </w:r>
            <w:r w:rsidR="00BA094D">
              <w:rPr>
                <w:rFonts w:cs="Arial"/>
                <w:color w:val="000000"/>
                <w:sz w:val="16"/>
                <w:szCs w:val="16"/>
              </w:rPr>
              <w:t>7</w:t>
            </w:r>
          </w:p>
        </w:tc>
        <w:tc>
          <w:tcPr>
            <w:tcW w:w="1190"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w:t>
            </w:r>
            <w:r w:rsidR="00BA094D">
              <w:rPr>
                <w:rFonts w:cs="Arial"/>
                <w:color w:val="000000"/>
                <w:sz w:val="16"/>
                <w:szCs w:val="16"/>
              </w:rPr>
              <w:t>4</w:t>
            </w:r>
            <w:r>
              <w:rPr>
                <w:rFonts w:cs="Arial"/>
                <w:color w:val="000000"/>
                <w:sz w:val="16"/>
                <w:szCs w:val="16"/>
              </w:rPr>
              <w:t>.</w:t>
            </w:r>
            <w:r w:rsidR="00BA094D">
              <w:rPr>
                <w:rFonts w:cs="Arial"/>
                <w:color w:val="000000"/>
                <w:sz w:val="16"/>
                <w:szCs w:val="16"/>
              </w:rPr>
              <w:t>7</w:t>
            </w:r>
          </w:p>
        </w:tc>
        <w:tc>
          <w:tcPr>
            <w:tcW w:w="1191" w:type="dxa"/>
            <w:noWrap/>
          </w:tcPr>
          <w:p w:rsidR="00B52609" w:rsidRPr="00CE62E5" w:rsidRDefault="00BA094D"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128</w:t>
            </w:r>
            <w:r w:rsidR="00B52609">
              <w:rPr>
                <w:rFonts w:cs="Arial"/>
                <w:color w:val="000000"/>
                <w:sz w:val="16"/>
                <w:szCs w:val="16"/>
              </w:rPr>
              <w:t>.</w:t>
            </w:r>
            <w:r>
              <w:rPr>
                <w:rFonts w:cs="Arial"/>
                <w:color w:val="000000"/>
                <w:sz w:val="16"/>
                <w:szCs w:val="16"/>
              </w:rPr>
              <w:t>4</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w:t>
            </w:r>
            <w:r w:rsidR="00BA094D">
              <w:rPr>
                <w:rFonts w:cs="Arial"/>
                <w:color w:val="000000"/>
                <w:sz w:val="16"/>
                <w:szCs w:val="16"/>
              </w:rPr>
              <w:t>3</w:t>
            </w:r>
            <w:r>
              <w:rPr>
                <w:rFonts w:cs="Arial"/>
                <w:color w:val="000000"/>
                <w:sz w:val="16"/>
                <w:szCs w:val="16"/>
              </w:rPr>
              <w:t>2.</w:t>
            </w:r>
            <w:r w:rsidR="00BA094D">
              <w:rPr>
                <w:rFonts w:cs="Arial"/>
                <w:color w:val="000000"/>
                <w:sz w:val="16"/>
                <w:szCs w:val="16"/>
              </w:rPr>
              <w:t>1</w:t>
            </w:r>
          </w:p>
        </w:tc>
      </w:tr>
      <w:tr w:rsidR="00B52609" w:rsidRPr="00CE62E5" w:rsidTr="009156A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02" w:type="dxa"/>
            <w:noWrap/>
          </w:tcPr>
          <w:p w:rsidR="00B52609" w:rsidRPr="00CE62E5" w:rsidRDefault="00B52609" w:rsidP="00CE62E5">
            <w:pPr>
              <w:pStyle w:val="AERtabletextleft"/>
              <w:rPr>
                <w:sz w:val="16"/>
              </w:rPr>
            </w:pPr>
            <w:r w:rsidRPr="00CE62E5">
              <w:rPr>
                <w:sz w:val="16"/>
              </w:rPr>
              <w:t xml:space="preserve">Net capex </w:t>
            </w:r>
          </w:p>
        </w:tc>
        <w:tc>
          <w:tcPr>
            <w:tcW w:w="1190" w:type="dxa"/>
            <w:noWrap/>
          </w:tcPr>
          <w:p w:rsidR="00B52609" w:rsidRPr="00CE62E5" w:rsidRDefault="00B52609"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9.3</w:t>
            </w:r>
          </w:p>
        </w:tc>
        <w:tc>
          <w:tcPr>
            <w:tcW w:w="1191" w:type="dxa"/>
            <w:noWrap/>
          </w:tcPr>
          <w:p w:rsidR="00B52609" w:rsidRPr="00CE62E5" w:rsidRDefault="00B52609"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4.9</w:t>
            </w:r>
          </w:p>
        </w:tc>
        <w:tc>
          <w:tcPr>
            <w:tcW w:w="1190" w:type="dxa"/>
            <w:noWrap/>
          </w:tcPr>
          <w:p w:rsidR="00B52609" w:rsidRPr="00CE62E5" w:rsidRDefault="00B52609"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4.7</w:t>
            </w:r>
          </w:p>
        </w:tc>
        <w:tc>
          <w:tcPr>
            <w:tcW w:w="1191" w:type="dxa"/>
            <w:noWrap/>
          </w:tcPr>
          <w:p w:rsidR="00B52609" w:rsidRPr="00CE62E5" w:rsidRDefault="00B52609"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4.9</w:t>
            </w:r>
          </w:p>
        </w:tc>
        <w:tc>
          <w:tcPr>
            <w:tcW w:w="1191" w:type="dxa"/>
            <w:noWrap/>
          </w:tcPr>
          <w:p w:rsidR="00B52609" w:rsidRPr="00CE62E5" w:rsidRDefault="00B52609"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5.1</w:t>
            </w:r>
          </w:p>
        </w:tc>
      </w:tr>
      <w:tr w:rsidR="00B52609" w:rsidRPr="00CE62E5" w:rsidTr="009156A9">
        <w:trPr>
          <w:trHeight w:val="418"/>
        </w:trPr>
        <w:tc>
          <w:tcPr>
            <w:cnfStyle w:val="001000000000" w:firstRow="0" w:lastRow="0" w:firstColumn="1" w:lastColumn="0" w:oddVBand="0" w:evenVBand="0" w:oddHBand="0" w:evenHBand="0" w:firstRowFirstColumn="0" w:firstRowLastColumn="0" w:lastRowFirstColumn="0" w:lastRowLastColumn="0"/>
            <w:tcW w:w="2802" w:type="dxa"/>
            <w:noWrap/>
          </w:tcPr>
          <w:p w:rsidR="00B52609" w:rsidRPr="00CE62E5" w:rsidRDefault="00B52609" w:rsidP="002A6718">
            <w:pPr>
              <w:pStyle w:val="AERtabletextleft"/>
              <w:rPr>
                <w:sz w:val="16"/>
              </w:rPr>
            </w:pPr>
            <w:r w:rsidRPr="00CE62E5">
              <w:rPr>
                <w:sz w:val="16"/>
              </w:rPr>
              <w:t xml:space="preserve">Indexation of </w:t>
            </w:r>
            <w:r w:rsidR="002A6718">
              <w:rPr>
                <w:sz w:val="16"/>
              </w:rPr>
              <w:t>capital base</w:t>
            </w:r>
          </w:p>
        </w:tc>
        <w:tc>
          <w:tcPr>
            <w:tcW w:w="1190" w:type="dxa"/>
            <w:noWrap/>
          </w:tcPr>
          <w:p w:rsidR="00B52609" w:rsidRPr="00CE62E5" w:rsidRDefault="00B52609" w:rsidP="00CE62E5">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2.8</w:t>
            </w:r>
          </w:p>
        </w:tc>
        <w:tc>
          <w:tcPr>
            <w:tcW w:w="1191" w:type="dxa"/>
            <w:noWrap/>
          </w:tcPr>
          <w:p w:rsidR="00B52609" w:rsidRPr="00CE62E5" w:rsidRDefault="00B52609" w:rsidP="00CE62E5">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3.0</w:t>
            </w:r>
          </w:p>
        </w:tc>
        <w:tc>
          <w:tcPr>
            <w:tcW w:w="1190" w:type="dxa"/>
            <w:noWrap/>
          </w:tcPr>
          <w:p w:rsidR="00B52609" w:rsidRPr="00CE62E5" w:rsidRDefault="00B52609" w:rsidP="00CE62E5">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3.1</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3.</w:t>
            </w:r>
            <w:r w:rsidR="00BA094D">
              <w:rPr>
                <w:rFonts w:cs="Arial"/>
                <w:color w:val="000000"/>
                <w:sz w:val="16"/>
                <w:szCs w:val="16"/>
              </w:rPr>
              <w:t>2</w:t>
            </w:r>
          </w:p>
        </w:tc>
        <w:tc>
          <w:tcPr>
            <w:tcW w:w="1191" w:type="dxa"/>
            <w:noWrap/>
          </w:tcPr>
          <w:p w:rsidR="00B52609" w:rsidRPr="00CE62E5" w:rsidRDefault="00BA094D"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3.3</w:t>
            </w:r>
          </w:p>
        </w:tc>
      </w:tr>
      <w:tr w:rsidR="00B52609" w:rsidRPr="00CE62E5" w:rsidTr="009156A9">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802" w:type="dxa"/>
            <w:noWrap/>
          </w:tcPr>
          <w:p w:rsidR="00B52609" w:rsidRPr="00CE62E5" w:rsidRDefault="00B52609" w:rsidP="00CE62E5">
            <w:pPr>
              <w:pStyle w:val="AERtabletextleft"/>
              <w:rPr>
                <w:sz w:val="16"/>
              </w:rPr>
            </w:pPr>
            <w:r w:rsidRPr="00CE62E5">
              <w:rPr>
                <w:sz w:val="16"/>
              </w:rPr>
              <w:t>Depreciation</w:t>
            </w:r>
          </w:p>
        </w:tc>
        <w:tc>
          <w:tcPr>
            <w:tcW w:w="1190" w:type="dxa"/>
            <w:noWrap/>
          </w:tcPr>
          <w:p w:rsidR="00B52609" w:rsidRPr="00CE62E5" w:rsidRDefault="00BA094D" w:rsidP="00BA094D">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–3</w:t>
            </w:r>
            <w:r w:rsidR="00B52609">
              <w:rPr>
                <w:rFonts w:cs="Arial"/>
                <w:color w:val="000000"/>
                <w:sz w:val="16"/>
                <w:szCs w:val="16"/>
              </w:rPr>
              <w:t>.</w:t>
            </w:r>
            <w:r>
              <w:rPr>
                <w:rFonts w:cs="Arial"/>
                <w:color w:val="000000"/>
                <w:sz w:val="16"/>
                <w:szCs w:val="16"/>
              </w:rPr>
              <w:t>5</w:t>
            </w:r>
          </w:p>
        </w:tc>
        <w:tc>
          <w:tcPr>
            <w:tcW w:w="1191" w:type="dxa"/>
            <w:noWrap/>
          </w:tcPr>
          <w:p w:rsidR="00B52609" w:rsidRPr="00CE62E5" w:rsidRDefault="00BA094D" w:rsidP="00BA094D">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–3.9</w:t>
            </w:r>
          </w:p>
        </w:tc>
        <w:tc>
          <w:tcPr>
            <w:tcW w:w="1190" w:type="dxa"/>
            <w:noWrap/>
          </w:tcPr>
          <w:p w:rsidR="00B52609" w:rsidRPr="00CE62E5" w:rsidRDefault="00BA094D" w:rsidP="00CE62E5">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w:t>
            </w:r>
            <w:r w:rsidR="00B52609">
              <w:rPr>
                <w:rFonts w:cs="Arial"/>
                <w:color w:val="000000"/>
                <w:sz w:val="16"/>
                <w:szCs w:val="16"/>
              </w:rPr>
              <w:t>.1</w:t>
            </w:r>
          </w:p>
        </w:tc>
        <w:tc>
          <w:tcPr>
            <w:tcW w:w="1191" w:type="dxa"/>
            <w:noWrap/>
          </w:tcPr>
          <w:p w:rsidR="00B52609" w:rsidRPr="00CE62E5" w:rsidRDefault="00BA094D" w:rsidP="00BA094D">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w:t>
            </w:r>
            <w:r w:rsidR="00B52609">
              <w:rPr>
                <w:rFonts w:cs="Arial"/>
                <w:color w:val="000000"/>
                <w:sz w:val="16"/>
                <w:szCs w:val="16"/>
              </w:rPr>
              <w:t>4</w:t>
            </w:r>
          </w:p>
        </w:tc>
        <w:tc>
          <w:tcPr>
            <w:tcW w:w="1191" w:type="dxa"/>
            <w:noWrap/>
          </w:tcPr>
          <w:p w:rsidR="00B52609" w:rsidRPr="00CE62E5" w:rsidRDefault="00BA094D" w:rsidP="00BA094D">
            <w:pPr>
              <w:pStyle w:val="AERtabletextleft"/>
              <w:cnfStyle w:val="000000010000" w:firstRow="0" w:lastRow="0" w:firstColumn="0" w:lastColumn="0" w:oddVBand="0" w:evenVBand="0" w:oddHBand="0" w:evenHBand="1" w:firstRowFirstColumn="0" w:firstRowLastColumn="0" w:lastRowFirstColumn="0" w:lastRowLastColumn="0"/>
              <w:rPr>
                <w:sz w:val="16"/>
              </w:rPr>
            </w:pPr>
            <w:r>
              <w:rPr>
                <w:rFonts w:cs="Arial"/>
                <w:color w:val="000000"/>
                <w:sz w:val="16"/>
                <w:szCs w:val="16"/>
              </w:rPr>
              <w:t>–4.7</w:t>
            </w:r>
          </w:p>
        </w:tc>
      </w:tr>
      <w:tr w:rsidR="00B52609" w:rsidRPr="00CE62E5" w:rsidTr="009156A9">
        <w:trPr>
          <w:trHeight w:val="422"/>
        </w:trPr>
        <w:tc>
          <w:tcPr>
            <w:cnfStyle w:val="001000000000" w:firstRow="0" w:lastRow="0" w:firstColumn="1" w:lastColumn="0" w:oddVBand="0" w:evenVBand="0" w:oddHBand="0" w:evenHBand="0" w:firstRowFirstColumn="0" w:firstRowLastColumn="0" w:lastRowFirstColumn="0" w:lastRowLastColumn="0"/>
            <w:tcW w:w="2802" w:type="dxa"/>
            <w:noWrap/>
          </w:tcPr>
          <w:p w:rsidR="00B52609" w:rsidRPr="00CE62E5" w:rsidRDefault="00B52609" w:rsidP="00CE62E5">
            <w:pPr>
              <w:pStyle w:val="AERtabletextleft"/>
              <w:rPr>
                <w:sz w:val="16"/>
              </w:rPr>
            </w:pPr>
            <w:r w:rsidRPr="00CE62E5">
              <w:rPr>
                <w:sz w:val="16"/>
              </w:rPr>
              <w:t>Closing capital base</w:t>
            </w:r>
          </w:p>
        </w:tc>
        <w:tc>
          <w:tcPr>
            <w:tcW w:w="1190"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120.</w:t>
            </w:r>
            <w:r w:rsidR="00BA094D">
              <w:rPr>
                <w:rFonts w:cs="Arial"/>
                <w:color w:val="000000"/>
                <w:sz w:val="16"/>
                <w:szCs w:val="16"/>
              </w:rPr>
              <w:t>7</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w:t>
            </w:r>
            <w:r w:rsidR="00BA094D">
              <w:rPr>
                <w:rFonts w:cs="Arial"/>
                <w:color w:val="000000"/>
                <w:sz w:val="16"/>
                <w:szCs w:val="16"/>
              </w:rPr>
              <w:t>4</w:t>
            </w:r>
            <w:r>
              <w:rPr>
                <w:rFonts w:cs="Arial"/>
                <w:color w:val="000000"/>
                <w:sz w:val="16"/>
                <w:szCs w:val="16"/>
              </w:rPr>
              <w:t>.</w:t>
            </w:r>
            <w:r w:rsidR="00BA094D">
              <w:rPr>
                <w:rFonts w:cs="Arial"/>
                <w:color w:val="000000"/>
                <w:sz w:val="16"/>
                <w:szCs w:val="16"/>
              </w:rPr>
              <w:t>7</w:t>
            </w:r>
          </w:p>
        </w:tc>
        <w:tc>
          <w:tcPr>
            <w:tcW w:w="1190"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12</w:t>
            </w:r>
            <w:r w:rsidR="00BA094D">
              <w:rPr>
                <w:rFonts w:cs="Arial"/>
                <w:color w:val="000000"/>
                <w:sz w:val="16"/>
                <w:szCs w:val="16"/>
              </w:rPr>
              <w:t>8</w:t>
            </w:r>
            <w:r>
              <w:rPr>
                <w:rFonts w:cs="Arial"/>
                <w:color w:val="000000"/>
                <w:sz w:val="16"/>
                <w:szCs w:val="16"/>
              </w:rPr>
              <w:t>.</w:t>
            </w:r>
            <w:r w:rsidR="00BA094D">
              <w:rPr>
                <w:rFonts w:cs="Arial"/>
                <w:color w:val="000000"/>
                <w:sz w:val="16"/>
                <w:szCs w:val="16"/>
              </w:rPr>
              <w:t>4</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w:t>
            </w:r>
            <w:r w:rsidR="00BA094D">
              <w:rPr>
                <w:rFonts w:cs="Arial"/>
                <w:color w:val="000000"/>
                <w:sz w:val="16"/>
                <w:szCs w:val="16"/>
              </w:rPr>
              <w:t>3</w:t>
            </w:r>
            <w:r>
              <w:rPr>
                <w:rFonts w:cs="Arial"/>
                <w:color w:val="000000"/>
                <w:sz w:val="16"/>
                <w:szCs w:val="16"/>
              </w:rPr>
              <w:t>2.</w:t>
            </w:r>
            <w:r w:rsidR="00BA094D">
              <w:rPr>
                <w:rFonts w:cs="Arial"/>
                <w:color w:val="000000"/>
                <w:sz w:val="16"/>
                <w:szCs w:val="16"/>
              </w:rPr>
              <w:t>1</w:t>
            </w:r>
          </w:p>
        </w:tc>
        <w:tc>
          <w:tcPr>
            <w:tcW w:w="1191" w:type="dxa"/>
            <w:noWrap/>
          </w:tcPr>
          <w:p w:rsidR="00B52609" w:rsidRPr="00CE62E5" w:rsidRDefault="00B52609" w:rsidP="00BA094D">
            <w:pPr>
              <w:pStyle w:val="AERtabletextleft"/>
              <w:cnfStyle w:val="000000000000" w:firstRow="0" w:lastRow="0" w:firstColumn="0" w:lastColumn="0" w:oddVBand="0" w:evenVBand="0" w:oddHBand="0" w:evenHBand="0" w:firstRowFirstColumn="0" w:firstRowLastColumn="0" w:lastRowFirstColumn="0" w:lastRowLastColumn="0"/>
              <w:rPr>
                <w:sz w:val="16"/>
              </w:rPr>
            </w:pPr>
            <w:r>
              <w:rPr>
                <w:rFonts w:cs="Arial"/>
                <w:color w:val="000000"/>
                <w:sz w:val="16"/>
                <w:szCs w:val="16"/>
              </w:rPr>
              <w:t>1</w:t>
            </w:r>
            <w:r w:rsidR="00BA094D">
              <w:rPr>
                <w:rFonts w:cs="Arial"/>
                <w:color w:val="000000"/>
                <w:sz w:val="16"/>
                <w:szCs w:val="16"/>
              </w:rPr>
              <w:t>35</w:t>
            </w:r>
            <w:r>
              <w:rPr>
                <w:rFonts w:cs="Arial"/>
                <w:color w:val="000000"/>
                <w:sz w:val="16"/>
                <w:szCs w:val="16"/>
              </w:rPr>
              <w:t>.8</w:t>
            </w:r>
          </w:p>
        </w:tc>
      </w:tr>
    </w:tbl>
    <w:bookmarkEnd w:id="17"/>
    <w:p w:rsidR="000408CA" w:rsidRPr="00F73C2D" w:rsidRDefault="000408CA" w:rsidP="000408CA">
      <w:pPr>
        <w:pStyle w:val="AERtablesource"/>
        <w:rPr>
          <w:rFonts w:eastAsia="Calibri"/>
        </w:rPr>
      </w:pPr>
      <w:r w:rsidRPr="00F73C2D">
        <w:rPr>
          <w:rFonts w:eastAsia="Calibri"/>
        </w:rPr>
        <w:t xml:space="preserve">Source: </w:t>
      </w:r>
      <w:r w:rsidRPr="00F73C2D">
        <w:rPr>
          <w:rFonts w:eastAsia="Calibri"/>
        </w:rPr>
        <w:tab/>
        <w:t>AER analysis.</w:t>
      </w:r>
    </w:p>
    <w:p w:rsidR="008B71B7" w:rsidRPr="008B71B7" w:rsidRDefault="000408CA" w:rsidP="008B71B7">
      <w:pPr>
        <w:pStyle w:val="Heading2"/>
      </w:pPr>
      <w:bookmarkStart w:id="18" w:name="_Toc334608501"/>
      <w:bookmarkStart w:id="19" w:name="_Toc334608733"/>
      <w:bookmarkStart w:id="20" w:name="_Toc404157796"/>
      <w:bookmarkStart w:id="21" w:name="_Toc404158159"/>
      <w:bookmarkStart w:id="22" w:name="_Toc404256798"/>
      <w:bookmarkStart w:id="23" w:name="_Toc436036746"/>
      <w:r w:rsidRPr="008B71B7">
        <w:t>APTNT's proposal</w:t>
      </w:r>
      <w:bookmarkEnd w:id="18"/>
      <w:bookmarkEnd w:id="19"/>
      <w:bookmarkEnd w:id="20"/>
      <w:bookmarkEnd w:id="21"/>
      <w:bookmarkEnd w:id="22"/>
      <w:bookmarkEnd w:id="23"/>
    </w:p>
    <w:p w:rsidR="00F219B2" w:rsidRPr="00451AB4" w:rsidRDefault="00F219B2" w:rsidP="00F219B2">
      <w:r>
        <w:t xml:space="preserve">APTNT’s proposal outlined its opening capital base at 1 July 2016, projected capital base over the 2016–21 access arrangement period, and the depreciation approach for </w:t>
      </w:r>
      <w:r>
        <w:lastRenderedPageBreak/>
        <w:t>determining the opening capital base at 1 July 2021 at the next access arrangement review.</w:t>
      </w:r>
    </w:p>
    <w:p w:rsidR="00FF0F44" w:rsidRDefault="00FF0F44" w:rsidP="00FF0F44">
      <w:pPr>
        <w:pStyle w:val="Heading3"/>
      </w:pPr>
      <w:bookmarkStart w:id="24" w:name="_Toc436036747"/>
      <w:bookmarkStart w:id="25" w:name="_Toc429575467"/>
      <w:r>
        <w:t>Opening capital base as at 1 July 2016</w:t>
      </w:r>
      <w:bookmarkEnd w:id="24"/>
    </w:p>
    <w:p w:rsidR="00FF0F44" w:rsidRDefault="00FF0F44" w:rsidP="00FF0F44">
      <w:r>
        <w:t>APTNT</w:t>
      </w:r>
      <w:r w:rsidRPr="00F03FC9">
        <w:t xml:space="preserve"> proposed </w:t>
      </w:r>
      <w:r>
        <w:t>a</w:t>
      </w:r>
      <w:r w:rsidRPr="00F03FC9">
        <w:t xml:space="preserve">n opening capital base as at </w:t>
      </w:r>
      <w:r>
        <w:t xml:space="preserve">1 July 2016 </w:t>
      </w:r>
      <w:r w:rsidRPr="00F03FC9">
        <w:t>of $</w:t>
      </w:r>
      <w:r>
        <w:t xml:space="preserve">120.6 </w:t>
      </w:r>
      <w:r w:rsidRPr="00F03FC9">
        <w:t>million</w:t>
      </w:r>
      <w:r>
        <w:t xml:space="preserve"> </w:t>
      </w:r>
      <w:r w:rsidRPr="00254619">
        <w:t>($nominal)</w:t>
      </w:r>
      <w:r w:rsidRPr="00F03FC9">
        <w:t xml:space="preserve">. </w:t>
      </w:r>
      <w:r>
        <w:t>This amount</w:t>
      </w:r>
      <w:r w:rsidRPr="00A573AD">
        <w:t xml:space="preserve"> </w:t>
      </w:r>
      <w:r>
        <w:t>is calculated by rolling</w:t>
      </w:r>
      <w:r w:rsidRPr="00A573AD">
        <w:t xml:space="preserve"> forward </w:t>
      </w:r>
      <w:r>
        <w:t xml:space="preserve">the </w:t>
      </w:r>
      <w:r w:rsidRPr="00A573AD">
        <w:t xml:space="preserve">opening capital base </w:t>
      </w:r>
      <w:r>
        <w:t xml:space="preserve">as at 1 July 2011 </w:t>
      </w:r>
      <w:r w:rsidRPr="00A573AD">
        <w:t>of $</w:t>
      </w:r>
      <w:r>
        <w:t xml:space="preserve">91.8 </w:t>
      </w:r>
      <w:r w:rsidRPr="00A573AD">
        <w:t xml:space="preserve">million </w:t>
      </w:r>
      <w:r w:rsidRPr="00254619">
        <w:t>($nominal)</w:t>
      </w:r>
      <w:r>
        <w:t xml:space="preserve"> by adding actual net capex, removing approved forecast depreciation and adding inflation indexation on the opening capital base in each year of the 2011–16 access arrangement period.</w:t>
      </w:r>
      <w:r w:rsidRPr="00F73C2D">
        <w:rPr>
          <w:rStyle w:val="FootnoteReference"/>
        </w:rPr>
        <w:footnoteReference w:id="2"/>
      </w:r>
    </w:p>
    <w:p w:rsidR="00FF0F44" w:rsidRDefault="00FF0F44" w:rsidP="00FF0F44">
      <w:r>
        <w:t xml:space="preserve">APTNT’s proposed capital base roll forward during the 2011–16 access arrangement period is shown in </w:t>
      </w:r>
      <w:r>
        <w:fldChar w:fldCharType="begin"/>
      </w:r>
      <w:r>
        <w:instrText xml:space="preserve"> REF _Ref435427706 \h </w:instrText>
      </w:r>
      <w:r>
        <w:fldChar w:fldCharType="separate"/>
      </w:r>
      <w:r w:rsidR="009C59AE">
        <w:t xml:space="preserve">Table </w:t>
      </w:r>
      <w:r w:rsidR="009C59AE">
        <w:rPr>
          <w:noProof/>
        </w:rPr>
        <w:t>2.3</w:t>
      </w:r>
      <w:r>
        <w:fldChar w:fldCharType="end"/>
      </w:r>
      <w:r>
        <w:t>.</w:t>
      </w:r>
    </w:p>
    <w:p w:rsidR="00FF0F44" w:rsidRDefault="00FF0F44" w:rsidP="00FF0F44">
      <w:pPr>
        <w:pStyle w:val="Caption"/>
      </w:pPr>
      <w:bookmarkStart w:id="26" w:name="_Ref435427706"/>
      <w:r>
        <w:t xml:space="preserve">Table </w:t>
      </w:r>
      <w:fldSimple w:instr=" STYLEREF 1 \s ">
        <w:r w:rsidR="009C59AE">
          <w:rPr>
            <w:noProof/>
          </w:rPr>
          <w:t>2</w:t>
        </w:r>
      </w:fldSimple>
      <w:r>
        <w:rPr>
          <w:noProof/>
        </w:rPr>
        <w:t>.</w:t>
      </w:r>
      <w:fldSimple w:instr=" SEQ Table \* ARABIC \s 1 ">
        <w:r w:rsidR="009C59AE">
          <w:rPr>
            <w:noProof/>
          </w:rPr>
          <w:t>3</w:t>
        </w:r>
      </w:fldSimple>
      <w:bookmarkEnd w:id="26"/>
      <w:r>
        <w:tab/>
        <w:t>APTNT</w:t>
      </w:r>
      <w:r w:rsidRPr="00585B5C">
        <w:t xml:space="preserve">'s proposed capital base roll forward during the </w:t>
      </w:r>
      <w:r>
        <w:t>2011–16</w:t>
      </w:r>
      <w:r w:rsidRPr="00585B5C">
        <w:t xml:space="preserve"> access arrangement period ($million, nominal)</w:t>
      </w:r>
    </w:p>
    <w:tbl>
      <w:tblPr>
        <w:tblStyle w:val="AERtable-numbers"/>
        <w:tblW w:w="8786" w:type="dxa"/>
        <w:tblLook w:val="04A0" w:firstRow="1" w:lastRow="0" w:firstColumn="1" w:lastColumn="0" w:noHBand="0" w:noVBand="1"/>
      </w:tblPr>
      <w:tblGrid>
        <w:gridCol w:w="3340"/>
        <w:gridCol w:w="1089"/>
        <w:gridCol w:w="1089"/>
        <w:gridCol w:w="1089"/>
        <w:gridCol w:w="1089"/>
        <w:gridCol w:w="1090"/>
      </w:tblGrid>
      <w:tr w:rsidR="00FF0F44" w:rsidRPr="00CE62E5" w:rsidTr="000402C3">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Details</w:t>
            </w:r>
          </w:p>
        </w:tc>
        <w:tc>
          <w:tcPr>
            <w:tcW w:w="1089" w:type="dxa"/>
          </w:tcPr>
          <w:p w:rsidR="00FF0F44" w:rsidRPr="00CE62E5" w:rsidRDefault="00FF0F44" w:rsidP="000402C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2011–12</w:t>
            </w:r>
          </w:p>
        </w:tc>
        <w:tc>
          <w:tcPr>
            <w:tcW w:w="1089" w:type="dxa"/>
          </w:tcPr>
          <w:p w:rsidR="00FF0F44" w:rsidRPr="00CE62E5" w:rsidRDefault="00FF0F44" w:rsidP="000402C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2012–13</w:t>
            </w:r>
          </w:p>
        </w:tc>
        <w:tc>
          <w:tcPr>
            <w:tcW w:w="1089" w:type="dxa"/>
          </w:tcPr>
          <w:p w:rsidR="00FF0F44" w:rsidRPr="00CE62E5" w:rsidRDefault="00FF0F44" w:rsidP="000402C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2013–14</w:t>
            </w:r>
          </w:p>
        </w:tc>
        <w:tc>
          <w:tcPr>
            <w:tcW w:w="1089" w:type="dxa"/>
          </w:tcPr>
          <w:p w:rsidR="00FF0F44" w:rsidRPr="00CE62E5" w:rsidRDefault="00FF0F44" w:rsidP="000402C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2014–15</w:t>
            </w:r>
          </w:p>
        </w:tc>
        <w:tc>
          <w:tcPr>
            <w:tcW w:w="1090" w:type="dxa"/>
          </w:tcPr>
          <w:p w:rsidR="00FF0F44" w:rsidRPr="00CE62E5" w:rsidRDefault="00FF0F44" w:rsidP="000402C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2015–16</w:t>
            </w:r>
          </w:p>
        </w:tc>
      </w:tr>
      <w:tr w:rsidR="00FF0F44" w:rsidRPr="00CE62E5" w:rsidTr="000402C3">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Opening capital base</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91.8</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92.6</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106.0</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107.7</w:t>
            </w:r>
          </w:p>
        </w:tc>
        <w:tc>
          <w:tcPr>
            <w:tcW w:w="1090"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107.7</w:t>
            </w:r>
          </w:p>
        </w:tc>
      </w:tr>
      <w:tr w:rsidR="00FF0F44" w:rsidRPr="00CE62E5" w:rsidTr="000402C3">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 xml:space="preserve">Net capex </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4.3</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16.5</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4.0</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4.2</w:t>
            </w:r>
          </w:p>
        </w:tc>
        <w:tc>
          <w:tcPr>
            <w:tcW w:w="1090"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15.5</w:t>
            </w:r>
          </w:p>
        </w:tc>
      </w:tr>
      <w:tr w:rsidR="00FF0F44" w:rsidRPr="00CE62E5" w:rsidTr="000402C3">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Indexation of</w:t>
            </w:r>
            <w:r>
              <w:rPr>
                <w:sz w:val="16"/>
                <w:szCs w:val="16"/>
              </w:rPr>
              <w:t xml:space="preserve"> capital base</w:t>
            </w:r>
            <w:r w:rsidRPr="00CE62E5">
              <w:rPr>
                <w:sz w:val="16"/>
                <w:szCs w:val="16"/>
              </w:rPr>
              <w:t xml:space="preserve"> </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1.5</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2.3</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3.1</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w:t>
            </w:r>
          </w:p>
        </w:tc>
        <w:tc>
          <w:tcPr>
            <w:tcW w:w="1090"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2.7</w:t>
            </w:r>
          </w:p>
        </w:tc>
      </w:tr>
      <w:tr w:rsidR="00FF0F44" w:rsidRPr="00CE62E5" w:rsidTr="000402C3">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 xml:space="preserve">Depreciation </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–5.0</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–5.4</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–5.5</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–5.5</w:t>
            </w:r>
          </w:p>
        </w:tc>
        <w:tc>
          <w:tcPr>
            <w:tcW w:w="1090"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–3.1</w:t>
            </w:r>
          </w:p>
        </w:tc>
      </w:tr>
      <w:tr w:rsidR="00FF0F44" w:rsidRPr="00CE62E5" w:rsidTr="000402C3">
        <w:trPr>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Closing capital base</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92.6</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106.0</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107.7</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107.7</w:t>
            </w:r>
          </w:p>
        </w:tc>
        <w:tc>
          <w:tcPr>
            <w:tcW w:w="1090"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122.9</w:t>
            </w:r>
          </w:p>
        </w:tc>
      </w:tr>
      <w:tr w:rsidR="00FF0F44" w:rsidRPr="00CE62E5" w:rsidTr="000402C3">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40" w:type="dxa"/>
            <w:hideMark/>
          </w:tcPr>
          <w:p w:rsidR="00FF0F44" w:rsidRPr="00CE62E5" w:rsidRDefault="00FF0F44" w:rsidP="000402C3">
            <w:pPr>
              <w:pStyle w:val="AERtabletextleft"/>
              <w:rPr>
                <w:sz w:val="16"/>
                <w:szCs w:val="16"/>
              </w:rPr>
            </w:pPr>
            <w:r w:rsidRPr="00CE62E5">
              <w:rPr>
                <w:sz w:val="16"/>
                <w:szCs w:val="16"/>
              </w:rPr>
              <w:t>Adjustment for 2010–11 capex</w:t>
            </w:r>
            <w:r w:rsidRPr="00A61057">
              <w:rPr>
                <w:rStyle w:val="AERsuperscript"/>
              </w:rPr>
              <w:t>a</w:t>
            </w: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p>
        </w:tc>
        <w:tc>
          <w:tcPr>
            <w:tcW w:w="1089"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p>
        </w:tc>
        <w:tc>
          <w:tcPr>
            <w:tcW w:w="1090" w:type="dxa"/>
          </w:tcPr>
          <w:p w:rsidR="00FF0F44" w:rsidRPr="00CE62E5" w:rsidRDefault="00FF0F44" w:rsidP="000402C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–2.3</w:t>
            </w:r>
          </w:p>
        </w:tc>
      </w:tr>
      <w:tr w:rsidR="00FF0F44" w:rsidRPr="00CE62E5" w:rsidTr="000402C3">
        <w:trPr>
          <w:trHeight w:val="428"/>
        </w:trPr>
        <w:tc>
          <w:tcPr>
            <w:cnfStyle w:val="001000000000" w:firstRow="0" w:lastRow="0" w:firstColumn="1" w:lastColumn="0" w:oddVBand="0" w:evenVBand="0" w:oddHBand="0" w:evenHBand="0" w:firstRowFirstColumn="0" w:firstRowLastColumn="0" w:lastRowFirstColumn="0" w:lastRowLastColumn="0"/>
            <w:tcW w:w="3340" w:type="dxa"/>
          </w:tcPr>
          <w:p w:rsidR="00FF0F44" w:rsidRPr="00CE62E5" w:rsidRDefault="00FF0F44" w:rsidP="000402C3">
            <w:pPr>
              <w:pStyle w:val="AERtabletextleft"/>
              <w:rPr>
                <w:rStyle w:val="Strong"/>
                <w:sz w:val="16"/>
                <w:szCs w:val="16"/>
              </w:rPr>
            </w:pPr>
            <w:r w:rsidRPr="00CE62E5">
              <w:rPr>
                <w:rStyle w:val="Strong"/>
                <w:sz w:val="16"/>
                <w:szCs w:val="16"/>
              </w:rPr>
              <w:t>Opening capital base at 1 July 2016</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b/>
                <w:bCs/>
                <w:color w:val="000000"/>
                <w:sz w:val="16"/>
                <w:szCs w:val="16"/>
              </w:rPr>
              <w:t> </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b/>
                <w:bCs/>
                <w:color w:val="000000"/>
                <w:sz w:val="16"/>
                <w:szCs w:val="16"/>
              </w:rPr>
              <w:t> </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b/>
                <w:bCs/>
                <w:color w:val="000000"/>
                <w:sz w:val="16"/>
                <w:szCs w:val="16"/>
              </w:rPr>
              <w:t> </w:t>
            </w:r>
          </w:p>
        </w:tc>
        <w:tc>
          <w:tcPr>
            <w:tcW w:w="1089"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b/>
                <w:bCs/>
                <w:color w:val="000000"/>
                <w:sz w:val="16"/>
                <w:szCs w:val="16"/>
              </w:rPr>
              <w:t> </w:t>
            </w:r>
          </w:p>
        </w:tc>
        <w:tc>
          <w:tcPr>
            <w:tcW w:w="1090" w:type="dxa"/>
          </w:tcPr>
          <w:p w:rsidR="00FF0F44" w:rsidRPr="00CE62E5" w:rsidRDefault="00FF0F44" w:rsidP="000402C3">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Fonts w:cs="Arial"/>
                <w:b/>
                <w:bCs/>
                <w:color w:val="000000"/>
                <w:sz w:val="16"/>
                <w:szCs w:val="16"/>
              </w:rPr>
              <w:t>120.6</w:t>
            </w:r>
          </w:p>
        </w:tc>
      </w:tr>
    </w:tbl>
    <w:p w:rsidR="00FF0F44" w:rsidRDefault="00FF0F44" w:rsidP="00FF0F44">
      <w:pPr>
        <w:pStyle w:val="AERtablesource"/>
        <w:rPr>
          <w:rFonts w:eastAsia="Calibri"/>
        </w:rPr>
      </w:pPr>
      <w:r>
        <w:rPr>
          <w:rFonts w:eastAsia="Calibri"/>
        </w:rPr>
        <w:t xml:space="preserve">Source: </w:t>
      </w:r>
      <w:r>
        <w:rPr>
          <w:rFonts w:eastAsia="Calibri"/>
        </w:rPr>
        <w:tab/>
        <w:t>APTNT</w:t>
      </w:r>
      <w:r w:rsidRPr="00F73C2D">
        <w:rPr>
          <w:rFonts w:eastAsia="Calibri"/>
        </w:rPr>
        <w:t>,</w:t>
      </w:r>
      <w:r>
        <w:rPr>
          <w:rFonts w:eastAsia="Calibri"/>
        </w:rPr>
        <w:t xml:space="preserve"> </w:t>
      </w:r>
      <w:r>
        <w:rPr>
          <w:rStyle w:val="AERtextitalic"/>
          <w:rFonts w:eastAsia="Calibri"/>
        </w:rPr>
        <w:t>Proposed RFM</w:t>
      </w:r>
      <w:r>
        <w:rPr>
          <w:rFonts w:eastAsia="Calibri"/>
        </w:rPr>
        <w:t xml:space="preserve">, August 2015. </w:t>
      </w:r>
    </w:p>
    <w:p w:rsidR="00FF0F44" w:rsidRPr="00A61057" w:rsidRDefault="00FF0F44" w:rsidP="00FF0F44">
      <w:pPr>
        <w:pStyle w:val="AERtablesource"/>
        <w:rPr>
          <w:rFonts w:eastAsia="Calibri"/>
        </w:rPr>
      </w:pPr>
      <w:r>
        <w:rPr>
          <w:rFonts w:eastAsia="Calibri"/>
        </w:rPr>
        <w:t xml:space="preserve">(a) </w:t>
      </w:r>
      <w:r>
        <w:rPr>
          <w:rFonts w:eastAsia="Calibri"/>
        </w:rPr>
        <w:tab/>
        <w:t>Comprising the difference between the actual and estimated capex for 2010–11 and the return on that difference.</w:t>
      </w:r>
    </w:p>
    <w:p w:rsidR="00E35A78" w:rsidRDefault="00E35A78" w:rsidP="00EE312A">
      <w:pPr>
        <w:pStyle w:val="Heading3"/>
        <w:keepNext/>
      </w:pPr>
      <w:bookmarkStart w:id="27" w:name="_Toc436036748"/>
      <w:r w:rsidRPr="003B67F0">
        <w:t>Projected capital base over the 2016–21 access arrangement period</w:t>
      </w:r>
      <w:bookmarkEnd w:id="25"/>
      <w:bookmarkEnd w:id="27"/>
    </w:p>
    <w:p w:rsidR="00E35A78" w:rsidRDefault="00E35A78" w:rsidP="00A61057">
      <w:r>
        <w:t>APTNT</w:t>
      </w:r>
      <w:r w:rsidRPr="00F60627">
        <w:t xml:space="preserve"> proposed a projected closing capital base as at </w:t>
      </w:r>
      <w:r>
        <w:t>30 June 2021</w:t>
      </w:r>
      <w:r w:rsidRPr="00F60627">
        <w:t xml:space="preserve"> of $</w:t>
      </w:r>
      <w:r>
        <w:t>142.6</w:t>
      </w:r>
      <w:r w:rsidRPr="00F60627">
        <w:t xml:space="preserve"> million ($nominal). </w:t>
      </w:r>
      <w:r>
        <w:t xml:space="preserve">APTNT determined this value by adjusting the closing value at 30 June 2016 for </w:t>
      </w:r>
      <w:r w:rsidR="00CF722E">
        <w:t xml:space="preserve">depreciation (attachment 5), </w:t>
      </w:r>
      <w:r>
        <w:t xml:space="preserve">forecast net capex (attachment 6) and inflation (attachment 3). </w:t>
      </w:r>
      <w:r w:rsidRPr="00F60627">
        <w:t xml:space="preserve">The projected roll forward of the capital base during the </w:t>
      </w:r>
      <w:r>
        <w:t>2016–21</w:t>
      </w:r>
      <w:r w:rsidRPr="00F60627">
        <w:t xml:space="preserve"> access arrangement period is shown in</w:t>
      </w:r>
      <w:r>
        <w:t xml:space="preserve"> </w:t>
      </w:r>
      <w:r>
        <w:fldChar w:fldCharType="begin"/>
      </w:r>
      <w:r>
        <w:instrText xml:space="preserve"> REF _Ref398219730 \h  \* MERGEFORMAT </w:instrText>
      </w:r>
      <w:r>
        <w:fldChar w:fldCharType="separate"/>
      </w:r>
      <w:r w:rsidR="009C59AE">
        <w:t xml:space="preserve">Table </w:t>
      </w:r>
      <w:r w:rsidR="009C59AE">
        <w:rPr>
          <w:noProof/>
        </w:rPr>
        <w:t>2.4</w:t>
      </w:r>
      <w:r>
        <w:fldChar w:fldCharType="end"/>
      </w:r>
      <w:r w:rsidRPr="00F60627">
        <w:t xml:space="preserve">. </w:t>
      </w:r>
    </w:p>
    <w:p w:rsidR="000F707A" w:rsidRDefault="000F707A">
      <w:pPr>
        <w:pStyle w:val="Caption"/>
      </w:pPr>
      <w:bookmarkStart w:id="28" w:name="_Ref398219730"/>
      <w:bookmarkStart w:id="29" w:name="_Ref329098245"/>
      <w:r>
        <w:lastRenderedPageBreak/>
        <w:t xml:space="preserve">Table </w:t>
      </w:r>
      <w:fldSimple w:instr=" STYLEREF 1 \s ">
        <w:r w:rsidR="009C59AE">
          <w:rPr>
            <w:noProof/>
          </w:rPr>
          <w:t>2</w:t>
        </w:r>
      </w:fldSimple>
      <w:r w:rsidR="00FF0F44">
        <w:t>.</w:t>
      </w:r>
      <w:fldSimple w:instr=" SEQ Table \* ARABIC \s 1 ">
        <w:r w:rsidR="009C59AE">
          <w:rPr>
            <w:noProof/>
          </w:rPr>
          <w:t>4</w:t>
        </w:r>
      </w:fldSimple>
      <w:bookmarkEnd w:id="28"/>
      <w:r>
        <w:tab/>
        <w:t>APTNT'</w:t>
      </w:r>
      <w:r w:rsidRPr="00302937">
        <w:t xml:space="preserve">s proposed projected capital base roll forward during the </w:t>
      </w:r>
      <w:r>
        <w:t>2016–21</w:t>
      </w:r>
      <w:r w:rsidRPr="00302937">
        <w:t xml:space="preserve"> access arrangement period ($million, nominal)</w:t>
      </w:r>
      <w:bookmarkEnd w:id="29"/>
    </w:p>
    <w:tbl>
      <w:tblPr>
        <w:tblStyle w:val="AERtable-numbers"/>
        <w:tblW w:w="8755" w:type="dxa"/>
        <w:tblLook w:val="04A0" w:firstRow="1" w:lastRow="0" w:firstColumn="1" w:lastColumn="0" w:noHBand="0" w:noVBand="1"/>
      </w:tblPr>
      <w:tblGrid>
        <w:gridCol w:w="3340"/>
        <w:gridCol w:w="1083"/>
        <w:gridCol w:w="1083"/>
        <w:gridCol w:w="1083"/>
        <w:gridCol w:w="1083"/>
        <w:gridCol w:w="1083"/>
      </w:tblGrid>
      <w:tr w:rsidR="000F707A" w:rsidRPr="00CE62E5" w:rsidTr="009156A9">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0" w:type="dxa"/>
            <w:hideMark/>
          </w:tcPr>
          <w:p w:rsidR="000F707A" w:rsidRPr="00CE62E5" w:rsidRDefault="000F707A" w:rsidP="009F12EC">
            <w:pPr>
              <w:pStyle w:val="AERtabletextleft"/>
              <w:keepNext/>
              <w:rPr>
                <w:sz w:val="16"/>
                <w:szCs w:val="16"/>
              </w:rPr>
            </w:pPr>
            <w:r w:rsidRPr="00CE62E5">
              <w:rPr>
                <w:sz w:val="16"/>
                <w:szCs w:val="16"/>
              </w:rPr>
              <w:t>Details</w:t>
            </w:r>
          </w:p>
        </w:tc>
        <w:tc>
          <w:tcPr>
            <w:tcW w:w="1083" w:type="dxa"/>
          </w:tcPr>
          <w:p w:rsidR="000F707A" w:rsidRPr="00CE62E5" w:rsidRDefault="000F707A" w:rsidP="009F12EC">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2016–17</w:t>
            </w:r>
          </w:p>
        </w:tc>
        <w:tc>
          <w:tcPr>
            <w:tcW w:w="1083" w:type="dxa"/>
          </w:tcPr>
          <w:p w:rsidR="000F707A" w:rsidRPr="00CE62E5" w:rsidRDefault="000F707A" w:rsidP="009F12EC">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2017–18</w:t>
            </w:r>
          </w:p>
        </w:tc>
        <w:tc>
          <w:tcPr>
            <w:tcW w:w="1083" w:type="dxa"/>
          </w:tcPr>
          <w:p w:rsidR="000F707A" w:rsidRPr="00CE62E5" w:rsidRDefault="000F707A" w:rsidP="009F12EC">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2018–19</w:t>
            </w:r>
          </w:p>
        </w:tc>
        <w:tc>
          <w:tcPr>
            <w:tcW w:w="1083" w:type="dxa"/>
          </w:tcPr>
          <w:p w:rsidR="000F707A" w:rsidRPr="00CE62E5" w:rsidRDefault="000F707A" w:rsidP="009F12EC">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2019–20</w:t>
            </w:r>
          </w:p>
        </w:tc>
        <w:tc>
          <w:tcPr>
            <w:tcW w:w="1083" w:type="dxa"/>
          </w:tcPr>
          <w:p w:rsidR="000F707A" w:rsidRPr="00CE62E5" w:rsidRDefault="000F707A" w:rsidP="009F12EC">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CE62E5">
              <w:rPr>
                <w:sz w:val="16"/>
                <w:szCs w:val="16"/>
              </w:rPr>
              <w:t>2020–21</w:t>
            </w:r>
          </w:p>
        </w:tc>
      </w:tr>
      <w:tr w:rsidR="00384EFE" w:rsidRPr="00CE62E5" w:rsidTr="009156A9">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384EFE" w:rsidRPr="00CE62E5" w:rsidRDefault="00384EFE" w:rsidP="005B258D">
            <w:pPr>
              <w:pStyle w:val="AERtabletextleft"/>
              <w:rPr>
                <w:sz w:val="16"/>
                <w:szCs w:val="16"/>
              </w:rPr>
            </w:pPr>
            <w:r w:rsidRPr="00CE62E5">
              <w:rPr>
                <w:sz w:val="16"/>
                <w:szCs w:val="16"/>
              </w:rPr>
              <w:t>Opening capital base</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120.6</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140.2</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141.0</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141.3</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141.5</w:t>
            </w:r>
          </w:p>
        </w:tc>
      </w:tr>
      <w:tr w:rsidR="00384EFE" w:rsidRPr="00CE62E5" w:rsidTr="009156A9">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384EFE" w:rsidRPr="00CE62E5" w:rsidRDefault="00384EFE" w:rsidP="005B258D">
            <w:pPr>
              <w:pStyle w:val="AERtabletextleft"/>
              <w:rPr>
                <w:sz w:val="16"/>
                <w:szCs w:val="16"/>
              </w:rPr>
            </w:pPr>
            <w:r w:rsidRPr="00CE62E5">
              <w:rPr>
                <w:sz w:val="16"/>
                <w:szCs w:val="16"/>
              </w:rPr>
              <w:t>Net capex</w:t>
            </w:r>
          </w:p>
        </w:tc>
        <w:tc>
          <w:tcPr>
            <w:tcW w:w="1083" w:type="dxa"/>
          </w:tcPr>
          <w:p w:rsidR="00384EFE" w:rsidRPr="00CE62E5" w:rsidRDefault="00384EFE"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21.4</w:t>
            </w:r>
          </w:p>
        </w:tc>
        <w:tc>
          <w:tcPr>
            <w:tcW w:w="1083" w:type="dxa"/>
          </w:tcPr>
          <w:p w:rsidR="00384EFE" w:rsidRPr="00CE62E5" w:rsidRDefault="00384EFE"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2.7</w:t>
            </w:r>
          </w:p>
        </w:tc>
        <w:tc>
          <w:tcPr>
            <w:tcW w:w="1083" w:type="dxa"/>
          </w:tcPr>
          <w:p w:rsidR="00384EFE" w:rsidRPr="00CE62E5" w:rsidRDefault="00384EFE"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2.5</w:t>
            </w:r>
          </w:p>
        </w:tc>
        <w:tc>
          <w:tcPr>
            <w:tcW w:w="1083" w:type="dxa"/>
          </w:tcPr>
          <w:p w:rsidR="00384EFE" w:rsidRPr="00CE62E5" w:rsidRDefault="00384EFE"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2.7</w:t>
            </w:r>
          </w:p>
        </w:tc>
        <w:tc>
          <w:tcPr>
            <w:tcW w:w="1083" w:type="dxa"/>
          </w:tcPr>
          <w:p w:rsidR="00384EFE" w:rsidRPr="00CE62E5" w:rsidRDefault="00384EFE"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2.8</w:t>
            </w:r>
          </w:p>
        </w:tc>
      </w:tr>
      <w:tr w:rsidR="00384EFE" w:rsidRPr="00CE62E5" w:rsidTr="009156A9">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384EFE" w:rsidRPr="00CE62E5" w:rsidRDefault="00384EFE" w:rsidP="002A6718">
            <w:pPr>
              <w:pStyle w:val="AERtabletextleft"/>
              <w:rPr>
                <w:sz w:val="16"/>
                <w:szCs w:val="16"/>
              </w:rPr>
            </w:pPr>
            <w:r w:rsidRPr="00CE62E5">
              <w:rPr>
                <w:sz w:val="16"/>
                <w:szCs w:val="16"/>
              </w:rPr>
              <w:t xml:space="preserve">Indexation of </w:t>
            </w:r>
            <w:r w:rsidR="002A6718">
              <w:rPr>
                <w:sz w:val="16"/>
                <w:szCs w:val="16"/>
              </w:rPr>
              <w:t>capital base</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3.0</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3.5</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3.5</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3.5</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3.5</w:t>
            </w:r>
          </w:p>
        </w:tc>
      </w:tr>
      <w:tr w:rsidR="00384EFE" w:rsidRPr="00CE62E5" w:rsidTr="009156A9">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384EFE" w:rsidRPr="00CE62E5" w:rsidRDefault="00384EFE" w:rsidP="005B258D">
            <w:pPr>
              <w:pStyle w:val="AERtabletextleft"/>
              <w:rPr>
                <w:sz w:val="16"/>
                <w:szCs w:val="16"/>
              </w:rPr>
            </w:pPr>
            <w:r w:rsidRPr="00CE62E5">
              <w:rPr>
                <w:sz w:val="16"/>
                <w:szCs w:val="16"/>
              </w:rPr>
              <w:t>Depreciation</w:t>
            </w:r>
          </w:p>
        </w:tc>
        <w:tc>
          <w:tcPr>
            <w:tcW w:w="1083" w:type="dxa"/>
          </w:tcPr>
          <w:p w:rsidR="00384EFE" w:rsidRPr="00CE62E5" w:rsidRDefault="00BA094D"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384EFE">
              <w:rPr>
                <w:rFonts w:cs="Arial"/>
                <w:color w:val="000000"/>
                <w:sz w:val="16"/>
                <w:szCs w:val="16"/>
              </w:rPr>
              <w:t>4.9</w:t>
            </w:r>
          </w:p>
        </w:tc>
        <w:tc>
          <w:tcPr>
            <w:tcW w:w="1083" w:type="dxa"/>
          </w:tcPr>
          <w:p w:rsidR="00384EFE" w:rsidRPr="00CE62E5" w:rsidRDefault="00BA094D"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384EFE">
              <w:rPr>
                <w:rFonts w:cs="Arial"/>
                <w:color w:val="000000"/>
                <w:sz w:val="16"/>
                <w:szCs w:val="16"/>
              </w:rPr>
              <w:t>5.4</w:t>
            </w:r>
          </w:p>
        </w:tc>
        <w:tc>
          <w:tcPr>
            <w:tcW w:w="1083" w:type="dxa"/>
          </w:tcPr>
          <w:p w:rsidR="00384EFE" w:rsidRPr="00CE62E5" w:rsidRDefault="00BA094D"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384EFE">
              <w:rPr>
                <w:rFonts w:cs="Arial"/>
                <w:color w:val="000000"/>
                <w:sz w:val="16"/>
                <w:szCs w:val="16"/>
              </w:rPr>
              <w:t>5.7</w:t>
            </w:r>
          </w:p>
        </w:tc>
        <w:tc>
          <w:tcPr>
            <w:tcW w:w="1083" w:type="dxa"/>
          </w:tcPr>
          <w:p w:rsidR="00384EFE" w:rsidRPr="00CE62E5" w:rsidRDefault="00BA094D"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384EFE">
              <w:rPr>
                <w:rFonts w:cs="Arial"/>
                <w:color w:val="000000"/>
                <w:sz w:val="16"/>
                <w:szCs w:val="16"/>
              </w:rPr>
              <w:t>6.0</w:t>
            </w:r>
          </w:p>
        </w:tc>
        <w:tc>
          <w:tcPr>
            <w:tcW w:w="1083" w:type="dxa"/>
          </w:tcPr>
          <w:p w:rsidR="00384EFE" w:rsidRPr="00CE62E5" w:rsidRDefault="00BA094D" w:rsidP="005B258D">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rFonts w:cs="Arial"/>
                <w:color w:val="000000"/>
                <w:sz w:val="16"/>
                <w:szCs w:val="16"/>
              </w:rPr>
              <w:t>–</w:t>
            </w:r>
            <w:r w:rsidR="00384EFE">
              <w:rPr>
                <w:rFonts w:cs="Arial"/>
                <w:color w:val="000000"/>
                <w:sz w:val="16"/>
                <w:szCs w:val="16"/>
              </w:rPr>
              <w:t>5.3</w:t>
            </w:r>
          </w:p>
        </w:tc>
      </w:tr>
      <w:tr w:rsidR="00384EFE" w:rsidRPr="00CE62E5" w:rsidTr="009156A9">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384EFE" w:rsidRPr="00CE62E5" w:rsidRDefault="00384EFE" w:rsidP="005B258D">
            <w:pPr>
              <w:pStyle w:val="AERtabletextleft"/>
              <w:rPr>
                <w:sz w:val="16"/>
                <w:szCs w:val="16"/>
              </w:rPr>
            </w:pPr>
            <w:r w:rsidRPr="00CE62E5">
              <w:rPr>
                <w:sz w:val="16"/>
                <w:szCs w:val="16"/>
              </w:rPr>
              <w:t>Closing capital base</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140.2</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141.0</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141.3</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141.5</w:t>
            </w:r>
          </w:p>
        </w:tc>
        <w:tc>
          <w:tcPr>
            <w:tcW w:w="1083" w:type="dxa"/>
          </w:tcPr>
          <w:p w:rsidR="00384EFE" w:rsidRPr="00CE62E5" w:rsidRDefault="00384EFE" w:rsidP="005B258D">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142.6</w:t>
            </w:r>
          </w:p>
        </w:tc>
      </w:tr>
    </w:tbl>
    <w:p w:rsidR="000F707A" w:rsidRPr="00F60627" w:rsidRDefault="000F707A" w:rsidP="000F707A">
      <w:pPr>
        <w:pStyle w:val="AERtablesource"/>
        <w:rPr>
          <w:rFonts w:eastAsia="Calibri"/>
        </w:rPr>
      </w:pPr>
      <w:r w:rsidRPr="00F60627">
        <w:rPr>
          <w:rFonts w:eastAsia="Calibri"/>
        </w:rPr>
        <w:t xml:space="preserve">Source: </w:t>
      </w:r>
      <w:r w:rsidRPr="00F60627">
        <w:rPr>
          <w:rFonts w:eastAsia="Calibri"/>
        </w:rPr>
        <w:tab/>
      </w:r>
      <w:r>
        <w:rPr>
          <w:rFonts w:eastAsia="Calibri"/>
        </w:rPr>
        <w:t>APTNT</w:t>
      </w:r>
      <w:r>
        <w:t xml:space="preserve">, </w:t>
      </w:r>
      <w:r w:rsidR="00386BDB">
        <w:rPr>
          <w:rStyle w:val="AERtextitalic"/>
        </w:rPr>
        <w:t>Proposed PTRM</w:t>
      </w:r>
      <w:r>
        <w:t>, August 2015</w:t>
      </w:r>
      <w:r w:rsidR="003430F2">
        <w:t>.</w:t>
      </w:r>
    </w:p>
    <w:p w:rsidR="00A1515A" w:rsidRDefault="00A1515A" w:rsidP="00EE312A">
      <w:pPr>
        <w:pStyle w:val="Heading3"/>
        <w:keepNext/>
      </w:pPr>
      <w:bookmarkStart w:id="30" w:name="_Toc429575468"/>
      <w:bookmarkStart w:id="31" w:name="_Toc436036749"/>
      <w:r>
        <w:t>Capital base at the commencement of the 2021–26 access arrangement period</w:t>
      </w:r>
      <w:bookmarkEnd w:id="30"/>
      <w:bookmarkEnd w:id="31"/>
    </w:p>
    <w:p w:rsidR="00B74E1F" w:rsidRDefault="00A1515A" w:rsidP="00B74E1F">
      <w:r>
        <w:t>APTNT proposed to use forecast depreciation to determine the opening capital base as at 1 July 2021.</w:t>
      </w:r>
      <w:r w:rsidR="00B74E1F" w:rsidRPr="00F73C2D">
        <w:rPr>
          <w:rStyle w:val="FootnoteReference"/>
        </w:rPr>
        <w:footnoteReference w:id="3"/>
      </w:r>
    </w:p>
    <w:p w:rsidR="009A5113" w:rsidRDefault="009A5113" w:rsidP="009A5113">
      <w:pPr>
        <w:pStyle w:val="Heading2"/>
      </w:pPr>
      <w:bookmarkStart w:id="32" w:name="_Toc408404322"/>
      <w:bookmarkStart w:id="33" w:name="_Toc436036750"/>
      <w:r w:rsidRPr="0074565D">
        <w:t>AER’s assessment approach</w:t>
      </w:r>
      <w:bookmarkEnd w:id="32"/>
      <w:bookmarkEnd w:id="33"/>
    </w:p>
    <w:p w:rsidR="000408CA" w:rsidRPr="00F73C2D" w:rsidRDefault="000408CA" w:rsidP="008B71B7">
      <w:r>
        <w:t>Our</w:t>
      </w:r>
      <w:r w:rsidRPr="00F73C2D">
        <w:t xml:space="preserve"> approach to assessing </w:t>
      </w:r>
      <w:r>
        <w:t>APTNT's</w:t>
      </w:r>
      <w:r w:rsidRPr="00F73C2D">
        <w:t xml:space="preserve"> projected capital base is consistent with that adopted in previous gas </w:t>
      </w:r>
      <w:r w:rsidR="009156A9">
        <w:t xml:space="preserve">transmission </w:t>
      </w:r>
      <w:r w:rsidRPr="00F73C2D">
        <w:t>decisions made under the NGR.</w:t>
      </w:r>
      <w:r w:rsidRPr="00F73C2D">
        <w:rPr>
          <w:rStyle w:val="FootnoteReference"/>
          <w:rFonts w:eastAsia="Calibri"/>
        </w:rPr>
        <w:footnoteReference w:id="4"/>
      </w:r>
      <w:r w:rsidRPr="00F73C2D">
        <w:t xml:space="preserve"> In accordance with r</w:t>
      </w:r>
      <w:r>
        <w:t>ule</w:t>
      </w:r>
      <w:r w:rsidRPr="00F73C2D">
        <w:t xml:space="preserve"> 77(2) and </w:t>
      </w:r>
      <w:r>
        <w:t xml:space="preserve">rule </w:t>
      </w:r>
      <w:r w:rsidRPr="00F73C2D">
        <w:t xml:space="preserve">78 of the NGR, </w:t>
      </w:r>
      <w:r>
        <w:t>we</w:t>
      </w:r>
      <w:r w:rsidRPr="00F73C2D">
        <w:t xml:space="preserve"> applied three steps to calculate the projected capital base:</w:t>
      </w:r>
    </w:p>
    <w:p w:rsidR="000408CA" w:rsidRPr="008B71B7" w:rsidRDefault="000408CA" w:rsidP="008B71B7">
      <w:pPr>
        <w:pStyle w:val="AERbulletlistfirststyle"/>
      </w:pPr>
      <w:r w:rsidRPr="008B71B7">
        <w:t xml:space="preserve">First, we confirm the value of the opening capital base for the first year of the </w:t>
      </w:r>
      <w:r w:rsidR="00BD690B" w:rsidRPr="008B71B7">
        <w:t>2011–16</w:t>
      </w:r>
      <w:r w:rsidRPr="008B71B7">
        <w:t xml:space="preserve"> access arrangement period (in this case, 1 </w:t>
      </w:r>
      <w:r w:rsidR="006A6157">
        <w:t>July</w:t>
      </w:r>
      <w:r w:rsidRPr="008B71B7">
        <w:t xml:space="preserve"> 2011). Typically, this includes making an adjustment to account for any difference between actual and estimated capex in the final year of the previous access arrangement period (in this case, 2010–11). This </w:t>
      </w:r>
      <w:r w:rsidR="006A6157" w:rsidRPr="008B71B7">
        <w:t>adjus</w:t>
      </w:r>
      <w:r w:rsidR="006A6157">
        <w:t>t</w:t>
      </w:r>
      <w:r w:rsidR="006A6157" w:rsidRPr="008B71B7">
        <w:t>ment</w:t>
      </w:r>
      <w:r w:rsidRPr="008B71B7">
        <w:t xml:space="preserve"> is also subject to any changes made in our assessment of conforming capex for that year. </w:t>
      </w:r>
    </w:p>
    <w:p w:rsidR="000408CA" w:rsidRPr="008B71B7" w:rsidRDefault="000408CA" w:rsidP="008B71B7">
      <w:pPr>
        <w:pStyle w:val="AERbulletlistfirststyle"/>
      </w:pPr>
      <w:r w:rsidRPr="008B71B7">
        <w:t xml:space="preserve">Second, the opening capital base as at 1 </w:t>
      </w:r>
      <w:r w:rsidR="006A6157">
        <w:t>July</w:t>
      </w:r>
      <w:r w:rsidRPr="008B71B7">
        <w:t xml:space="preserve"> 2011 is rolled forward to determine the closing capital base as at 30 June 2016. This closing capital base is also used as the value of the opening capital base for the access arrangement period as at 1 July 2016. This involves:</w:t>
      </w:r>
      <w:r w:rsidRPr="00B74E1F">
        <w:rPr>
          <w:rStyle w:val="AERsuperscript"/>
        </w:rPr>
        <w:footnoteReference w:id="5"/>
      </w:r>
    </w:p>
    <w:p w:rsidR="000408CA" w:rsidRPr="008B71B7" w:rsidRDefault="000408CA" w:rsidP="008B71B7">
      <w:pPr>
        <w:pStyle w:val="AERbulletlistsecondstyle"/>
      </w:pPr>
      <w:r w:rsidRPr="008B71B7">
        <w:t xml:space="preserve">adding conforming actual capex for each year—this requires assessing the capex and determining that it is consistent with the provisions of the </w:t>
      </w:r>
      <w:r w:rsidR="00BD690B" w:rsidRPr="008B71B7">
        <w:t>2011–16</w:t>
      </w:r>
      <w:r w:rsidRPr="008B71B7">
        <w:t xml:space="preserve"> access arrangement and data from audited annual reporting regulatory </w:t>
      </w:r>
      <w:r w:rsidRPr="008B71B7">
        <w:lastRenderedPageBreak/>
        <w:t>information notices, as well as the definition of 'conforming capital expenditure' in the NGR</w:t>
      </w:r>
      <w:r w:rsidRPr="00620996">
        <w:rPr>
          <w:rStyle w:val="AERsuperscript"/>
          <w:rFonts w:cs="Times New Roman"/>
        </w:rPr>
        <w:footnoteReference w:id="6"/>
      </w:r>
    </w:p>
    <w:p w:rsidR="000408CA" w:rsidRPr="008B71B7" w:rsidRDefault="000408CA" w:rsidP="008B71B7">
      <w:pPr>
        <w:pStyle w:val="AERbulletlistsecondstyle"/>
      </w:pPr>
      <w:r w:rsidRPr="008B71B7">
        <w:t xml:space="preserve">removing forecast depreciation for each year based on the approach approved for the </w:t>
      </w:r>
      <w:r w:rsidR="00BD690B" w:rsidRPr="008B71B7">
        <w:t>2011–16</w:t>
      </w:r>
      <w:r w:rsidRPr="008B71B7">
        <w:t xml:space="preserve"> access arrangement</w:t>
      </w:r>
    </w:p>
    <w:p w:rsidR="000408CA" w:rsidRPr="008B71B7" w:rsidRDefault="000408CA" w:rsidP="008B71B7">
      <w:pPr>
        <w:pStyle w:val="AERbulletlistsecondstyle"/>
      </w:pPr>
      <w:r w:rsidRPr="008B71B7">
        <w:t xml:space="preserve">removing any capital contributions during the </w:t>
      </w:r>
      <w:r w:rsidR="00BD690B" w:rsidRPr="008B71B7">
        <w:t>2011–16</w:t>
      </w:r>
      <w:r w:rsidRPr="008B71B7">
        <w:t xml:space="preserve"> access arrangement period</w:t>
      </w:r>
    </w:p>
    <w:p w:rsidR="000408CA" w:rsidRPr="008B71B7" w:rsidRDefault="000408CA" w:rsidP="008B71B7">
      <w:pPr>
        <w:pStyle w:val="AERbulletlistsecondstyle"/>
      </w:pPr>
      <w:r w:rsidRPr="008B71B7">
        <w:t xml:space="preserve">adding any speculative capex or redundant assets that will be reused during the </w:t>
      </w:r>
      <w:r w:rsidR="00BD690B" w:rsidRPr="008B71B7">
        <w:t>2016–21</w:t>
      </w:r>
      <w:r w:rsidRPr="008B71B7">
        <w:t xml:space="preserve"> access arrangement period</w:t>
      </w:r>
    </w:p>
    <w:p w:rsidR="000408CA" w:rsidRPr="008B71B7" w:rsidRDefault="000408CA" w:rsidP="008B71B7">
      <w:pPr>
        <w:pStyle w:val="AERbulletlistsecondstyle"/>
      </w:pPr>
      <w:r w:rsidRPr="008B71B7">
        <w:t xml:space="preserve">removing any redundant assets and disposals during the </w:t>
      </w:r>
      <w:r w:rsidR="00BD690B" w:rsidRPr="008B71B7">
        <w:t>2011–16</w:t>
      </w:r>
      <w:r w:rsidRPr="008B71B7">
        <w:t xml:space="preserve"> access arrangement period</w:t>
      </w:r>
    </w:p>
    <w:p w:rsidR="000408CA" w:rsidRPr="008B71B7" w:rsidRDefault="000408CA" w:rsidP="008B71B7">
      <w:pPr>
        <w:pStyle w:val="AERbulletlistsecondstyle"/>
      </w:pPr>
      <w:r w:rsidRPr="008B71B7">
        <w:t>indexing the roll forward each year for actual inflation.</w:t>
      </w:r>
    </w:p>
    <w:p w:rsidR="000408CA" w:rsidRPr="008B71B7" w:rsidRDefault="000408CA" w:rsidP="008B71B7">
      <w:pPr>
        <w:pStyle w:val="AERbulletlistfirststyle"/>
      </w:pPr>
      <w:r w:rsidRPr="008B71B7">
        <w:t xml:space="preserve">Third, the capital base is projected over the </w:t>
      </w:r>
      <w:r w:rsidR="00BD690B" w:rsidRPr="008B71B7">
        <w:t>2016–21</w:t>
      </w:r>
      <w:r w:rsidRPr="008B71B7">
        <w:t xml:space="preserve"> access arrangement period by rolling forward the opening capital base as at 1 July 2016 to 30 June 2021. This involves performing the following on the opening capital base:</w:t>
      </w:r>
      <w:r w:rsidRPr="00620996">
        <w:rPr>
          <w:rStyle w:val="AERsuperscript"/>
        </w:rPr>
        <w:footnoteReference w:id="7"/>
      </w:r>
    </w:p>
    <w:p w:rsidR="000408CA" w:rsidRPr="008B71B7" w:rsidRDefault="000408CA" w:rsidP="008B71B7">
      <w:pPr>
        <w:pStyle w:val="AERbulletlistsecondstyle"/>
      </w:pPr>
      <w:r w:rsidRPr="008B71B7">
        <w:t>adding forecast conforming capex for each year</w:t>
      </w:r>
    </w:p>
    <w:p w:rsidR="000408CA" w:rsidRPr="008B71B7" w:rsidRDefault="000408CA" w:rsidP="008B71B7">
      <w:pPr>
        <w:pStyle w:val="AERbulletlistsecondstyle"/>
      </w:pPr>
      <w:r w:rsidRPr="008B71B7">
        <w:t>removing forecast depreciation for each year</w:t>
      </w:r>
    </w:p>
    <w:p w:rsidR="00A006B0" w:rsidRDefault="000408CA" w:rsidP="000408CA">
      <w:pPr>
        <w:pStyle w:val="AERbulletlistsecondstyle"/>
      </w:pPr>
      <w:r w:rsidRPr="008B71B7">
        <w:t xml:space="preserve">removing the forecast value of assets to be disposed of during the </w:t>
      </w:r>
      <w:r w:rsidR="00BD690B" w:rsidRPr="008B71B7">
        <w:t>2016–21</w:t>
      </w:r>
      <w:r w:rsidRPr="008B71B7">
        <w:t xml:space="preserve"> access arrangement period</w:t>
      </w:r>
    </w:p>
    <w:p w:rsidR="000408CA" w:rsidRPr="000408CA" w:rsidRDefault="000408CA" w:rsidP="000408CA">
      <w:pPr>
        <w:pStyle w:val="AERbulletlistsecondstyle"/>
      </w:pPr>
      <w:r w:rsidRPr="00A006B0">
        <w:rPr>
          <w:rFonts w:eastAsia="Calibri"/>
        </w:rPr>
        <w:t>indexing the capital base of the roll forward each year</w:t>
      </w:r>
      <w:r w:rsidR="00EE0759">
        <w:rPr>
          <w:rFonts w:eastAsia="Calibri"/>
        </w:rPr>
        <w:t xml:space="preserve"> for forecast inflation.</w:t>
      </w:r>
    </w:p>
    <w:p w:rsidR="005C0A7F" w:rsidRDefault="005C0A7F" w:rsidP="005C0A7F">
      <w:pPr>
        <w:pStyle w:val="Heading3"/>
      </w:pPr>
      <w:bookmarkStart w:id="34" w:name="_Toc436036751"/>
      <w:r>
        <w:t>Interrelationships</w:t>
      </w:r>
      <w:bookmarkEnd w:id="34"/>
    </w:p>
    <w:p w:rsidR="000408CA" w:rsidRPr="00255314" w:rsidRDefault="000408CA" w:rsidP="008B71B7">
      <w:r w:rsidRPr="00255314">
        <w:t xml:space="preserve">The </w:t>
      </w:r>
      <w:r>
        <w:t>level of the capital base</w:t>
      </w:r>
      <w:r w:rsidRPr="00255314">
        <w:t xml:space="preserve"> </w:t>
      </w:r>
      <w:r>
        <w:t xml:space="preserve">substantially impacts the service provider's revenue and the price consumers pay. It </w:t>
      </w:r>
      <w:r w:rsidRPr="00255314">
        <w:t>is an input into the determination of the return on capital and depreciation (return of capital) allowances.</w:t>
      </w:r>
      <w:r w:rsidRPr="00255314">
        <w:rPr>
          <w:rStyle w:val="FootnoteReference"/>
        </w:rPr>
        <w:footnoteReference w:id="8"/>
      </w:r>
      <w:r w:rsidRPr="00255314">
        <w:t xml:space="preserve"> Factors that influence the </w:t>
      </w:r>
      <w:r>
        <w:t>capital base</w:t>
      </w:r>
      <w:r w:rsidRPr="00255314">
        <w:t xml:space="preserve"> will therefore flow through to these building block components and the annual building block revenue requirement. Other things being equal, a higher </w:t>
      </w:r>
      <w:r>
        <w:t>capital base</w:t>
      </w:r>
      <w:r w:rsidRPr="00255314">
        <w:t xml:space="preserve"> increases both the return on capital and depreciation allowances</w:t>
      </w:r>
      <w:r>
        <w:t>. In turn, it increases the service provider's revenue, and prices for its services</w:t>
      </w:r>
      <w:r w:rsidRPr="00255314">
        <w:t>.</w:t>
      </w:r>
    </w:p>
    <w:p w:rsidR="000408CA" w:rsidRPr="00255314" w:rsidRDefault="000408CA" w:rsidP="008B71B7">
      <w:r w:rsidRPr="00255314">
        <w:t xml:space="preserve">The </w:t>
      </w:r>
      <w:r>
        <w:t>capital base</w:t>
      </w:r>
      <w:r w:rsidRPr="00255314">
        <w:t xml:space="preserve"> is determined by various factors, including;</w:t>
      </w:r>
    </w:p>
    <w:p w:rsidR="000408CA" w:rsidRPr="008B71B7" w:rsidRDefault="000408CA" w:rsidP="008B71B7">
      <w:pPr>
        <w:pStyle w:val="AERbulletlistfirststyle"/>
      </w:pPr>
      <w:r w:rsidRPr="008B71B7">
        <w:t>the opening capital base (meaning the value of existing assets at the beginning of the access arrangement period)</w:t>
      </w:r>
    </w:p>
    <w:p w:rsidR="000408CA" w:rsidRPr="008B71B7" w:rsidRDefault="000408CA" w:rsidP="008B71B7">
      <w:pPr>
        <w:pStyle w:val="AERbulletlistfirststyle"/>
      </w:pPr>
      <w:r w:rsidRPr="008B71B7">
        <w:t>net capex</w:t>
      </w:r>
      <w:r w:rsidRPr="00B74E1F">
        <w:rPr>
          <w:rStyle w:val="AERsuperscript"/>
        </w:rPr>
        <w:footnoteReference w:id="9"/>
      </w:r>
    </w:p>
    <w:p w:rsidR="000408CA" w:rsidRPr="008B71B7" w:rsidRDefault="000408CA" w:rsidP="008B71B7">
      <w:pPr>
        <w:pStyle w:val="AERbulletlistfirststyle"/>
      </w:pPr>
      <w:r w:rsidRPr="008B71B7">
        <w:t>depreciation</w:t>
      </w:r>
    </w:p>
    <w:p w:rsidR="000408CA" w:rsidRPr="008B71B7" w:rsidRDefault="000408CA" w:rsidP="008B71B7">
      <w:pPr>
        <w:pStyle w:val="AERbulletlistfirststyle"/>
      </w:pPr>
      <w:r w:rsidRPr="008B71B7">
        <w:t>indexation adjustment – so the capital base is presented in nominal terms, consistent with the rate of return.</w:t>
      </w:r>
    </w:p>
    <w:p w:rsidR="000408CA" w:rsidRPr="005970EA" w:rsidRDefault="000408CA" w:rsidP="005970EA">
      <w:pPr>
        <w:rPr>
          <w:rStyle w:val="AERbody"/>
        </w:rPr>
      </w:pPr>
      <w:r w:rsidRPr="005970EA">
        <w:rPr>
          <w:rStyle w:val="AERbody"/>
        </w:rPr>
        <w:lastRenderedPageBreak/>
        <w:t xml:space="preserve">The opening capital base depends on the value of existing assets as well as actual conforming net capex, actual inflation outcomes and depreciation in the past. </w:t>
      </w:r>
    </w:p>
    <w:p w:rsidR="000408CA" w:rsidRPr="005970EA" w:rsidRDefault="000408CA" w:rsidP="005970EA">
      <w:pPr>
        <w:rPr>
          <w:rStyle w:val="AERbody"/>
        </w:rPr>
      </w:pPr>
      <w:r w:rsidRPr="005970EA">
        <w:rPr>
          <w:rStyle w:val="AERbody"/>
        </w:rPr>
        <w:t xml:space="preserve">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 </w:t>
      </w:r>
    </w:p>
    <w:p w:rsidR="000408CA" w:rsidRPr="005970EA" w:rsidRDefault="000408CA" w:rsidP="005970EA">
      <w:pPr>
        <w:rPr>
          <w:rStyle w:val="AERbody"/>
        </w:rPr>
      </w:pPr>
      <w:r w:rsidRPr="005970EA">
        <w:rPr>
          <w:rStyle w:val="AERbody"/>
        </w:rPr>
        <w:t>Depreciation reduces the capital base. The depreciation allowance depends on the size of the opening capital base and the forecast net capex. By convention, the indexation adjustment is also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p>
    <w:p w:rsidR="000408CA" w:rsidRPr="005970EA" w:rsidRDefault="00EE312A" w:rsidP="005970EA">
      <w:pPr>
        <w:rPr>
          <w:rStyle w:val="AERbody"/>
        </w:rPr>
      </w:pPr>
      <w:r>
        <w:rPr>
          <w:rStyle w:val="AERbody"/>
        </w:rPr>
        <w:fldChar w:fldCharType="begin"/>
      </w:r>
      <w:r>
        <w:rPr>
          <w:rStyle w:val="AERbody"/>
        </w:rPr>
        <w:instrText xml:space="preserve"> REF _Ref435428100 \h </w:instrText>
      </w:r>
      <w:r>
        <w:rPr>
          <w:rStyle w:val="AERbody"/>
        </w:rPr>
      </w:r>
      <w:r>
        <w:rPr>
          <w:rStyle w:val="AERbody"/>
        </w:rPr>
        <w:fldChar w:fldCharType="separate"/>
      </w:r>
      <w:r w:rsidR="009C59AE">
        <w:t xml:space="preserve">Figure </w:t>
      </w:r>
      <w:r w:rsidR="009C59AE">
        <w:rPr>
          <w:noProof/>
        </w:rPr>
        <w:t>2</w:t>
      </w:r>
      <w:r w:rsidR="009C59AE">
        <w:t>.</w:t>
      </w:r>
      <w:r w:rsidR="009C59AE">
        <w:rPr>
          <w:noProof/>
        </w:rPr>
        <w:t>1</w:t>
      </w:r>
      <w:r>
        <w:rPr>
          <w:rStyle w:val="AERbody"/>
        </w:rPr>
        <w:fldChar w:fldCharType="end"/>
      </w:r>
      <w:r w:rsidR="000408CA" w:rsidRPr="005970EA">
        <w:rPr>
          <w:rStyle w:val="AERbody"/>
        </w:rPr>
        <w:t xml:space="preserve"> shows the key drivers of the change in the capital base over the </w:t>
      </w:r>
      <w:r w:rsidR="00BD690B" w:rsidRPr="005970EA">
        <w:rPr>
          <w:rStyle w:val="AERbody"/>
        </w:rPr>
        <w:t>2016–21</w:t>
      </w:r>
      <w:r w:rsidR="000408CA" w:rsidRPr="005970EA">
        <w:rPr>
          <w:rStyle w:val="AERbody"/>
        </w:rPr>
        <w:t xml:space="preserve"> access arrangement period as proposed by APTNT. Overall, the closing capital base at the end of the </w:t>
      </w:r>
      <w:r w:rsidR="00BD690B" w:rsidRPr="005970EA">
        <w:rPr>
          <w:rStyle w:val="AERbody"/>
        </w:rPr>
        <w:t>2016–21</w:t>
      </w:r>
      <w:r w:rsidR="000408CA" w:rsidRPr="005970EA">
        <w:rPr>
          <w:rStyle w:val="AERbody"/>
        </w:rPr>
        <w:t xml:space="preserve"> </w:t>
      </w:r>
      <w:r w:rsidR="00E42B78">
        <w:rPr>
          <w:rStyle w:val="AERbody"/>
        </w:rPr>
        <w:t>access arrangement</w:t>
      </w:r>
      <w:r w:rsidR="000408CA" w:rsidRPr="005970EA">
        <w:rPr>
          <w:rStyle w:val="AERbody"/>
        </w:rPr>
        <w:t xml:space="preserve"> period would be 1</w:t>
      </w:r>
      <w:r w:rsidR="00476602">
        <w:rPr>
          <w:rStyle w:val="AERbody"/>
        </w:rPr>
        <w:t>8</w:t>
      </w:r>
      <w:r w:rsidR="00442B3F">
        <w:rPr>
          <w:rStyle w:val="AERbody"/>
        </w:rPr>
        <w:t>.2</w:t>
      </w:r>
      <w:r w:rsidR="000408CA" w:rsidRPr="005970EA">
        <w:rPr>
          <w:rStyle w:val="AERbody"/>
        </w:rPr>
        <w:t xml:space="preserve"> per cent higher than the opening capital base at the start of that period based on the proposal, in nominal terms. The proposed forecast net capex increases the capital base by about </w:t>
      </w:r>
      <w:r w:rsidR="00476602">
        <w:rPr>
          <w:rStyle w:val="AERbody"/>
        </w:rPr>
        <w:t>2</w:t>
      </w:r>
      <w:r w:rsidR="00442B3F">
        <w:rPr>
          <w:rStyle w:val="AERbody"/>
        </w:rPr>
        <w:t>6.7</w:t>
      </w:r>
      <w:r w:rsidR="000408CA" w:rsidRPr="005970EA">
        <w:rPr>
          <w:rStyle w:val="AERbody"/>
        </w:rPr>
        <w:t xml:space="preserve"> per cent, while forecast inflation increases it by about 1</w:t>
      </w:r>
      <w:r w:rsidR="00476602">
        <w:rPr>
          <w:rStyle w:val="AERbody"/>
        </w:rPr>
        <w:t>4</w:t>
      </w:r>
      <w:r w:rsidR="00442B3F">
        <w:rPr>
          <w:rStyle w:val="AERbody"/>
        </w:rPr>
        <w:t>.2</w:t>
      </w:r>
      <w:r w:rsidR="000408CA" w:rsidRPr="005970EA">
        <w:rPr>
          <w:rStyle w:val="AERbody"/>
        </w:rPr>
        <w:t xml:space="preserve"> per cent. Forecast depreciation, on the other hand, reduces the capital base by about 2</w:t>
      </w:r>
      <w:r w:rsidR="00442B3F">
        <w:rPr>
          <w:rStyle w:val="AERbody"/>
        </w:rPr>
        <w:t>2.6</w:t>
      </w:r>
      <w:r w:rsidR="000408CA" w:rsidRPr="005970EA">
        <w:rPr>
          <w:rStyle w:val="AERbody"/>
        </w:rPr>
        <w:t xml:space="preserve"> per cent. </w:t>
      </w:r>
    </w:p>
    <w:p w:rsidR="000408CA" w:rsidRPr="005970EA" w:rsidRDefault="000408CA" w:rsidP="005970EA">
      <w:pPr>
        <w:rPr>
          <w:rStyle w:val="AERbody"/>
        </w:rPr>
      </w:pPr>
      <w:r w:rsidRPr="005970EA">
        <w:rPr>
          <w:rStyle w:val="AERbody"/>
        </w:rPr>
        <w:t xml:space="preserve">The capital base would rise </w:t>
      </w:r>
      <w:r w:rsidR="00032E6D">
        <w:rPr>
          <w:rStyle w:val="AERbody"/>
        </w:rPr>
        <w:t xml:space="preserve">by 7.1 per cent </w:t>
      </w:r>
      <w:r w:rsidRPr="005970EA">
        <w:rPr>
          <w:rStyle w:val="AERbody"/>
        </w:rPr>
        <w:t xml:space="preserve">in real terms over the </w:t>
      </w:r>
      <w:r w:rsidR="00BD690B" w:rsidRPr="005970EA">
        <w:rPr>
          <w:rStyle w:val="AERbody"/>
        </w:rPr>
        <w:t>2016–21</w:t>
      </w:r>
      <w:r w:rsidRPr="005970EA">
        <w:rPr>
          <w:rStyle w:val="AERbody"/>
        </w:rPr>
        <w:t xml:space="preserve"> </w:t>
      </w:r>
      <w:r w:rsidR="00E42B78">
        <w:rPr>
          <w:rStyle w:val="AERbody"/>
        </w:rPr>
        <w:t>access arrangement</w:t>
      </w:r>
      <w:r w:rsidRPr="005970EA">
        <w:rPr>
          <w:rStyle w:val="AERbody"/>
        </w:rPr>
        <w:t xml:space="preserve"> period based on APTNT's proposal. The depreciation amount also largely depends on the opening capital base (which in turn depends on capex).</w:t>
      </w:r>
      <w:r w:rsidR="00DA518F">
        <w:rPr>
          <w:rStyle w:val="AERbody"/>
        </w:rPr>
        <w:t xml:space="preserve"> </w:t>
      </w:r>
      <w:r w:rsidRPr="005970EA">
        <w:rPr>
          <w:rStyle w:val="AERbody"/>
        </w:rPr>
        <w:fldChar w:fldCharType="begin"/>
      </w:r>
      <w:r w:rsidRPr="005970EA">
        <w:rPr>
          <w:rStyle w:val="AERbody"/>
        </w:rPr>
        <w:instrText xml:space="preserve"> REF _Ref404157407 \h </w:instrText>
      </w:r>
      <w:r w:rsidR="008B71B7" w:rsidRPr="005970EA">
        <w:rPr>
          <w:rStyle w:val="AERbody"/>
        </w:rPr>
        <w:instrText xml:space="preserve"> \* MERGEFORMAT </w:instrText>
      </w:r>
      <w:r w:rsidRPr="005970EA">
        <w:rPr>
          <w:rStyle w:val="AERbody"/>
        </w:rPr>
      </w:r>
      <w:r w:rsidRPr="005970EA">
        <w:rPr>
          <w:rStyle w:val="AERbody"/>
        </w:rPr>
        <w:fldChar w:fldCharType="separate"/>
      </w:r>
      <w:r w:rsidR="00DA518F">
        <w:rPr>
          <w:noProof/>
        </w:rPr>
        <w:fldChar w:fldCharType="begin"/>
      </w:r>
      <w:r w:rsidR="00DA518F">
        <w:instrText xml:space="preserve"> REF _Ref435428100 \h </w:instrText>
      </w:r>
      <w:r w:rsidR="00DA518F">
        <w:rPr>
          <w:noProof/>
        </w:rPr>
      </w:r>
      <w:r w:rsidR="00DA518F">
        <w:rPr>
          <w:noProof/>
        </w:rPr>
        <w:fldChar w:fldCharType="separate"/>
      </w:r>
      <w:r w:rsidR="00DA518F">
        <w:t xml:space="preserve">Figure </w:t>
      </w:r>
      <w:r w:rsidR="00DA518F">
        <w:rPr>
          <w:noProof/>
        </w:rPr>
        <w:t>2</w:t>
      </w:r>
      <w:r w:rsidR="00DA518F">
        <w:t>.</w:t>
      </w:r>
      <w:r w:rsidR="00DA518F">
        <w:rPr>
          <w:noProof/>
        </w:rPr>
        <w:t>1</w:t>
      </w:r>
      <w:r w:rsidR="00DA518F">
        <w:rPr>
          <w:noProof/>
        </w:rPr>
        <w:fldChar w:fldCharType="end"/>
      </w:r>
      <w:r w:rsidRPr="005970EA">
        <w:rPr>
          <w:rStyle w:val="AERbody"/>
        </w:rPr>
        <w:fldChar w:fldCharType="end"/>
      </w:r>
      <w:r w:rsidRPr="005970EA">
        <w:rPr>
          <w:rStyle w:val="AERbody"/>
        </w:rPr>
        <w:t xml:space="preserve"> shows forecast net capex is the largest driver of the increase in the capital base</w:t>
      </w:r>
      <w:r w:rsidR="00084E79">
        <w:rPr>
          <w:rStyle w:val="AERbody"/>
        </w:rPr>
        <w:t>.</w:t>
      </w:r>
      <w:r w:rsidRPr="005970EA">
        <w:rPr>
          <w:rStyle w:val="AERbody"/>
        </w:rPr>
        <w:t xml:space="preserve"> Refer to attachment 6 for the discussion on forecast capex.</w:t>
      </w:r>
      <w:bookmarkStart w:id="35" w:name="_Ref404157407"/>
      <w:bookmarkStart w:id="36" w:name="_Ref398273927"/>
      <w:r w:rsidRPr="005970EA">
        <w:rPr>
          <w:rStyle w:val="AERbody"/>
        </w:rPr>
        <w:t xml:space="preserve"> </w:t>
      </w:r>
    </w:p>
    <w:p w:rsidR="005A3C0D" w:rsidRPr="009C59AE" w:rsidRDefault="00AB3C32" w:rsidP="00EE312A">
      <w:r w:rsidRPr="00255314">
        <w:t xml:space="preserve">A </w:t>
      </w:r>
      <w:r>
        <w:t>ten</w:t>
      </w:r>
      <w:r w:rsidRPr="00255314">
        <w:t xml:space="preserve"> per cent increase in the </w:t>
      </w:r>
      <w:r>
        <w:t>opening capital base</w:t>
      </w:r>
      <w:r w:rsidRPr="00255314">
        <w:t xml:space="preserve"> </w:t>
      </w:r>
      <w:r w:rsidRPr="00785ED3">
        <w:rPr>
          <w:rStyle w:val="AERbody"/>
        </w:rPr>
        <w:t xml:space="preserve">causes revenues to increase by about </w:t>
      </w:r>
      <w:r w:rsidR="009C59AE">
        <w:rPr>
          <w:rStyle w:val="AERbody"/>
        </w:rPr>
        <w:t>five</w:t>
      </w:r>
      <w:r w:rsidR="00385D66">
        <w:rPr>
          <w:rStyle w:val="AERbody"/>
        </w:rPr>
        <w:t> </w:t>
      </w:r>
      <w:r w:rsidRPr="00785ED3">
        <w:rPr>
          <w:rStyle w:val="AERbody"/>
        </w:rPr>
        <w:t>per cent. However, the impact on revenues of the annual change in capital base depends on the source of the capital base change, as some drivers affect more than one building block cost.</w:t>
      </w:r>
      <w:r>
        <w:rPr>
          <w:rStyle w:val="FootnoteReference"/>
        </w:rPr>
        <w:footnoteReference w:id="10"/>
      </w:r>
      <w:r w:rsidRPr="00255314">
        <w:t xml:space="preserve"> </w:t>
      </w:r>
    </w:p>
    <w:p w:rsidR="000408CA" w:rsidRDefault="000408CA" w:rsidP="00AB3C32">
      <w:pPr>
        <w:pStyle w:val="Caption"/>
        <w:rPr>
          <w:rStyle w:val="AERtexthighlight"/>
        </w:rPr>
      </w:pPr>
      <w:bookmarkStart w:id="37" w:name="_Ref435428100"/>
      <w:r>
        <w:lastRenderedPageBreak/>
        <w:t xml:space="preserve">Figure </w:t>
      </w:r>
      <w:fldSimple w:instr=" STYLEREF 1 \s ">
        <w:r w:rsidR="009C59AE">
          <w:rPr>
            <w:noProof/>
          </w:rPr>
          <w:t>2</w:t>
        </w:r>
      </w:fldSimple>
      <w:r w:rsidR="00EE312A">
        <w:t>.</w:t>
      </w:r>
      <w:fldSimple w:instr=" SEQ Figure \* ARABIC \s 1 ">
        <w:r w:rsidR="009C59AE">
          <w:rPr>
            <w:noProof/>
          </w:rPr>
          <w:t>1</w:t>
        </w:r>
      </w:fldSimple>
      <w:bookmarkEnd w:id="35"/>
      <w:bookmarkEnd w:id="37"/>
      <w:r>
        <w:tab/>
      </w:r>
      <w:r w:rsidR="001C25A2">
        <w:t>Key drivers of changes in the capital base</w:t>
      </w:r>
      <w:r w:rsidRPr="00585B5C">
        <w:t xml:space="preserve"> ($ million, nominal)</w:t>
      </w:r>
      <w:bookmarkEnd w:id="36"/>
    </w:p>
    <w:p w:rsidR="00384EFE" w:rsidRDefault="00384EFE" w:rsidP="000408CA">
      <w:pPr>
        <w:pStyle w:val="AERtablesource"/>
        <w:ind w:left="0" w:firstLine="0"/>
      </w:pPr>
      <w:r>
        <w:rPr>
          <w:noProof/>
          <w:lang w:eastAsia="en-AU"/>
        </w:rPr>
        <w:drawing>
          <wp:inline distT="0" distB="0" distL="0" distR="0" wp14:anchorId="7D0399EB" wp14:editId="0E34BECA">
            <wp:extent cx="5382895" cy="3444436"/>
            <wp:effectExtent l="0" t="0" r="825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08CA" w:rsidRPr="00255314" w:rsidRDefault="000408CA" w:rsidP="000408CA">
      <w:pPr>
        <w:pStyle w:val="AERtablesource"/>
        <w:ind w:left="0" w:firstLine="0"/>
      </w:pPr>
      <w:r>
        <w:t xml:space="preserve">Source: </w:t>
      </w:r>
      <w:r>
        <w:tab/>
        <w:t>AER analysis</w:t>
      </w:r>
      <w:r w:rsidR="00EE0759">
        <w:t>.</w:t>
      </w:r>
      <w:r>
        <w:t xml:space="preserve"> </w:t>
      </w:r>
    </w:p>
    <w:p w:rsidR="009A5113" w:rsidRPr="0074565D" w:rsidRDefault="009A5113" w:rsidP="009A5113">
      <w:pPr>
        <w:pStyle w:val="Heading2"/>
      </w:pPr>
      <w:bookmarkStart w:id="38" w:name="_Toc408404324"/>
      <w:bookmarkStart w:id="39" w:name="_Toc436036752"/>
      <w:r w:rsidRPr="0074565D">
        <w:t xml:space="preserve">Reasons for </w:t>
      </w:r>
      <w:r w:rsidR="00CF2C05">
        <w:t>draft</w:t>
      </w:r>
      <w:r w:rsidR="00651CB2" w:rsidRPr="0074565D">
        <w:t xml:space="preserve"> </w:t>
      </w:r>
      <w:r w:rsidRPr="0074565D">
        <w:t>decision</w:t>
      </w:r>
      <w:bookmarkEnd w:id="38"/>
      <w:bookmarkEnd w:id="39"/>
      <w:r w:rsidRPr="0074565D">
        <w:t xml:space="preserve"> </w:t>
      </w:r>
    </w:p>
    <w:p w:rsidR="00AB3C32" w:rsidRDefault="000408CA" w:rsidP="00AB3C32">
      <w:pPr>
        <w:rPr>
          <w:rStyle w:val="AERbody"/>
          <w:rFonts w:cs="Times New Roman"/>
        </w:rPr>
      </w:pPr>
      <w:r>
        <w:t xml:space="preserve">We do not </w:t>
      </w:r>
      <w:r w:rsidRPr="00785ED3">
        <w:rPr>
          <w:rStyle w:val="AERbody"/>
        </w:rPr>
        <w:t xml:space="preserve">approve </w:t>
      </w:r>
      <w:r>
        <w:rPr>
          <w:rStyle w:val="AERbody"/>
        </w:rPr>
        <w:t>APTNT</w:t>
      </w:r>
      <w:r w:rsidRPr="00785ED3">
        <w:rPr>
          <w:rStyle w:val="AERbody"/>
        </w:rPr>
        <w:t>'s proposed opening capital base of $</w:t>
      </w:r>
      <w:r>
        <w:rPr>
          <w:rStyle w:val="AERbody"/>
        </w:rPr>
        <w:t>120.6</w:t>
      </w:r>
      <w:r w:rsidRPr="00785ED3">
        <w:rPr>
          <w:rStyle w:val="AERbody"/>
        </w:rPr>
        <w:t xml:space="preserve"> million ($nominal) as at </w:t>
      </w:r>
      <w:r>
        <w:rPr>
          <w:rStyle w:val="AERbody"/>
        </w:rPr>
        <w:t>1 July 2016</w:t>
      </w:r>
      <w:r w:rsidRPr="00785ED3">
        <w:rPr>
          <w:rStyle w:val="AERbody"/>
        </w:rPr>
        <w:t>. We have instead determined an opening capital base value of $</w:t>
      </w:r>
      <w:r w:rsidR="00385D66">
        <w:rPr>
          <w:rStyle w:val="AERbody"/>
        </w:rPr>
        <w:t>112.</w:t>
      </w:r>
      <w:r w:rsidR="00916F54">
        <w:rPr>
          <w:rStyle w:val="AERbody"/>
        </w:rPr>
        <w:t>2</w:t>
      </w:r>
      <w:r w:rsidRPr="00785ED3">
        <w:rPr>
          <w:rStyle w:val="AERbody"/>
        </w:rPr>
        <w:t xml:space="preserve"> million ($nominal) as at </w:t>
      </w:r>
      <w:r>
        <w:rPr>
          <w:rStyle w:val="AERbody"/>
        </w:rPr>
        <w:t>1 July 2016</w:t>
      </w:r>
      <w:r w:rsidRPr="00785ED3">
        <w:rPr>
          <w:rStyle w:val="AERbody"/>
        </w:rPr>
        <w:t>, a reduction of $</w:t>
      </w:r>
      <w:r w:rsidR="00385D66">
        <w:rPr>
          <w:rStyle w:val="AERbody"/>
        </w:rPr>
        <w:t>8</w:t>
      </w:r>
      <w:r w:rsidR="00916F54">
        <w:rPr>
          <w:rStyle w:val="AERbody"/>
        </w:rPr>
        <w:t>.4</w:t>
      </w:r>
      <w:r w:rsidRPr="00785ED3">
        <w:rPr>
          <w:rStyle w:val="AERbody"/>
        </w:rPr>
        <w:t xml:space="preserve"> million ($nominal)</w:t>
      </w:r>
      <w:r w:rsidR="00B80E1E">
        <w:rPr>
          <w:rStyle w:val="AERbody"/>
        </w:rPr>
        <w:t xml:space="preserve"> (or </w:t>
      </w:r>
      <w:r w:rsidR="00916F54">
        <w:rPr>
          <w:rStyle w:val="AERbody"/>
        </w:rPr>
        <w:t>7</w:t>
      </w:r>
      <w:r w:rsidR="00B065EE">
        <w:rPr>
          <w:rStyle w:val="AERbody"/>
        </w:rPr>
        <w:t>.0</w:t>
      </w:r>
      <w:r w:rsidR="00385D66">
        <w:rPr>
          <w:rStyle w:val="AERbody"/>
        </w:rPr>
        <w:t xml:space="preserve"> </w:t>
      </w:r>
      <w:r w:rsidR="00B80E1E">
        <w:rPr>
          <w:rStyle w:val="AERbody"/>
        </w:rPr>
        <w:t>per cent)</w:t>
      </w:r>
      <w:r w:rsidRPr="00785ED3">
        <w:rPr>
          <w:rStyle w:val="AERbody"/>
        </w:rPr>
        <w:t xml:space="preserve">. </w:t>
      </w:r>
      <w:r w:rsidR="00AB3C32">
        <w:rPr>
          <w:rStyle w:val="AERbody"/>
          <w:rFonts w:cs="Times New Roman"/>
        </w:rPr>
        <w:t>This is due to the amendments we made in the proposed RFM for correcting some input errors.</w:t>
      </w:r>
    </w:p>
    <w:p w:rsidR="000408CA" w:rsidRDefault="000408CA" w:rsidP="005970EA">
      <w:pPr>
        <w:rPr>
          <w:rStyle w:val="AERbody"/>
        </w:rPr>
      </w:pPr>
      <w:r w:rsidRPr="00785ED3">
        <w:rPr>
          <w:rStyle w:val="AERbody"/>
        </w:rPr>
        <w:t>We also do not</w:t>
      </w:r>
      <w:r>
        <w:rPr>
          <w:rStyle w:val="AERbody"/>
        </w:rPr>
        <w:t xml:space="preserve"> </w:t>
      </w:r>
      <w:r w:rsidRPr="00785ED3">
        <w:rPr>
          <w:rStyle w:val="AERbody"/>
        </w:rPr>
        <w:t xml:space="preserve">approve </w:t>
      </w:r>
      <w:r>
        <w:rPr>
          <w:rStyle w:val="AERbody"/>
        </w:rPr>
        <w:t>APTNT</w:t>
      </w:r>
      <w:r w:rsidRPr="00785ED3">
        <w:rPr>
          <w:rStyle w:val="AERbody"/>
        </w:rPr>
        <w:t>'s projected closing capital base of $</w:t>
      </w:r>
      <w:r>
        <w:rPr>
          <w:rStyle w:val="AERbody"/>
        </w:rPr>
        <w:t xml:space="preserve">142.6 </w:t>
      </w:r>
      <w:r w:rsidRPr="00785ED3">
        <w:rPr>
          <w:rStyle w:val="AERbody"/>
        </w:rPr>
        <w:t xml:space="preserve">million ($nominal) as at </w:t>
      </w:r>
      <w:r>
        <w:rPr>
          <w:rStyle w:val="AERbody"/>
        </w:rPr>
        <w:t>30 June 2021</w:t>
      </w:r>
      <w:r w:rsidRPr="00785ED3">
        <w:rPr>
          <w:rStyle w:val="AERbody"/>
        </w:rPr>
        <w:t xml:space="preserve">. We instead determine a closing capital base of </w:t>
      </w:r>
      <w:r w:rsidR="00385D66" w:rsidRPr="00785ED3">
        <w:rPr>
          <w:rStyle w:val="AERbody"/>
        </w:rPr>
        <w:t>$</w:t>
      </w:r>
      <w:r w:rsidR="00385D66">
        <w:rPr>
          <w:rStyle w:val="AERbody"/>
        </w:rPr>
        <w:t>1</w:t>
      </w:r>
      <w:r w:rsidR="00916F54">
        <w:rPr>
          <w:rStyle w:val="AERbody"/>
        </w:rPr>
        <w:t>35.8</w:t>
      </w:r>
      <w:r w:rsidR="00385D66" w:rsidRPr="00785ED3">
        <w:rPr>
          <w:rStyle w:val="AERbody"/>
        </w:rPr>
        <w:t xml:space="preserve"> </w:t>
      </w:r>
      <w:r w:rsidRPr="00785ED3">
        <w:rPr>
          <w:rStyle w:val="AERbody"/>
        </w:rPr>
        <w:t xml:space="preserve">million ($nominal) as at </w:t>
      </w:r>
      <w:r>
        <w:rPr>
          <w:rStyle w:val="AERbody"/>
        </w:rPr>
        <w:t>30 June 2021</w:t>
      </w:r>
      <w:r w:rsidRPr="00785ED3">
        <w:rPr>
          <w:rStyle w:val="AERbody"/>
        </w:rPr>
        <w:t xml:space="preserve">, a reduction of </w:t>
      </w:r>
      <w:r w:rsidR="00385D66" w:rsidRPr="00785ED3">
        <w:rPr>
          <w:rStyle w:val="AERbody"/>
        </w:rPr>
        <w:t>$</w:t>
      </w:r>
      <w:r w:rsidR="00916F54">
        <w:rPr>
          <w:rStyle w:val="AERbody"/>
        </w:rPr>
        <w:t>6</w:t>
      </w:r>
      <w:r w:rsidR="00385D66">
        <w:rPr>
          <w:rStyle w:val="AERbody"/>
        </w:rPr>
        <w:t>.8</w:t>
      </w:r>
      <w:r w:rsidR="00385D66" w:rsidRPr="00785ED3">
        <w:rPr>
          <w:rStyle w:val="AERbody"/>
        </w:rPr>
        <w:t xml:space="preserve"> </w:t>
      </w:r>
      <w:r w:rsidRPr="00785ED3">
        <w:rPr>
          <w:rStyle w:val="AERbody"/>
        </w:rPr>
        <w:t xml:space="preserve">million ($nominal) or </w:t>
      </w:r>
      <w:r w:rsidR="00916F54">
        <w:rPr>
          <w:rStyle w:val="AERbody"/>
        </w:rPr>
        <w:t>4.8</w:t>
      </w:r>
      <w:r w:rsidR="00385D66">
        <w:rPr>
          <w:rStyle w:val="AERbody"/>
        </w:rPr>
        <w:t> </w:t>
      </w:r>
      <w:r w:rsidRPr="00785ED3">
        <w:rPr>
          <w:rStyle w:val="AERbody"/>
        </w:rPr>
        <w:t>per cent from the proposed value.</w:t>
      </w:r>
      <w:r w:rsidRPr="0029204C">
        <w:rPr>
          <w:rStyle w:val="AERbody"/>
        </w:rPr>
        <w:t xml:space="preserve"> </w:t>
      </w:r>
      <w:r w:rsidRPr="00785ED3">
        <w:rPr>
          <w:rStyle w:val="AERbody"/>
        </w:rPr>
        <w:t xml:space="preserve">The main reasons for the reduction are our adjustments to </w:t>
      </w:r>
      <w:r w:rsidR="00AB3C32">
        <w:rPr>
          <w:rStyle w:val="AERbody"/>
        </w:rPr>
        <w:t>the</w:t>
      </w:r>
      <w:r w:rsidRPr="00785ED3">
        <w:rPr>
          <w:rStyle w:val="AERbody"/>
        </w:rPr>
        <w:t xml:space="preserve"> opening capital base as at </w:t>
      </w:r>
      <w:r>
        <w:rPr>
          <w:rStyle w:val="AERbody"/>
        </w:rPr>
        <w:t>1 July 2016</w:t>
      </w:r>
      <w:r w:rsidR="00916F54">
        <w:rPr>
          <w:rStyle w:val="AERbody"/>
        </w:rPr>
        <w:t xml:space="preserve"> (section </w:t>
      </w:r>
      <w:r w:rsidR="00250DCF">
        <w:rPr>
          <w:rStyle w:val="AERbody"/>
        </w:rPr>
        <w:fldChar w:fldCharType="begin"/>
      </w:r>
      <w:r w:rsidR="00250DCF">
        <w:rPr>
          <w:rStyle w:val="AERbody"/>
        </w:rPr>
        <w:instrText xml:space="preserve"> REF _Ref435609144 \r \h </w:instrText>
      </w:r>
      <w:r w:rsidR="00250DCF">
        <w:rPr>
          <w:rStyle w:val="AERbody"/>
        </w:rPr>
      </w:r>
      <w:r w:rsidR="00250DCF">
        <w:rPr>
          <w:rStyle w:val="AERbody"/>
        </w:rPr>
        <w:fldChar w:fldCharType="separate"/>
      </w:r>
      <w:r w:rsidR="00250DCF">
        <w:rPr>
          <w:rStyle w:val="AERbody"/>
        </w:rPr>
        <w:t>2.4.1</w:t>
      </w:r>
      <w:r w:rsidR="00250DCF">
        <w:rPr>
          <w:rStyle w:val="AERbody"/>
        </w:rPr>
        <w:fldChar w:fldCharType="end"/>
      </w:r>
      <w:r w:rsidRPr="00785ED3">
        <w:rPr>
          <w:rStyle w:val="AERbody"/>
        </w:rPr>
        <w:t xml:space="preserve">), </w:t>
      </w:r>
      <w:r w:rsidR="00B80E1E" w:rsidRPr="00785ED3">
        <w:rPr>
          <w:rStyle w:val="AERbody"/>
        </w:rPr>
        <w:t>forecast depreciation (attachment 5)</w:t>
      </w:r>
      <w:r w:rsidR="00B80E1E">
        <w:rPr>
          <w:rStyle w:val="AERbody"/>
        </w:rPr>
        <w:t xml:space="preserve"> and </w:t>
      </w:r>
      <w:r w:rsidRPr="00785ED3">
        <w:rPr>
          <w:rStyle w:val="AERbody"/>
        </w:rPr>
        <w:t>forecast net capex (attachment 6).</w:t>
      </w:r>
      <w:r w:rsidRPr="0029204C">
        <w:rPr>
          <w:rStyle w:val="AERbody"/>
        </w:rPr>
        <w:t xml:space="preserve"> </w:t>
      </w:r>
    </w:p>
    <w:p w:rsidR="000408CA" w:rsidRDefault="000408CA" w:rsidP="008B71B7">
      <w:r>
        <w:t>We are satisfied each of these amendments is necessary having regard to the requirements of the NGR. The reasons for our decision are discussed below.</w:t>
      </w:r>
    </w:p>
    <w:p w:rsidR="000408CA" w:rsidRPr="00D52049" w:rsidRDefault="000408CA" w:rsidP="00D52049">
      <w:pPr>
        <w:pStyle w:val="Heading3"/>
      </w:pPr>
      <w:bookmarkStart w:id="40" w:name="_Toc404157804"/>
      <w:bookmarkStart w:id="41" w:name="_Toc404158167"/>
      <w:bookmarkStart w:id="42" w:name="_Toc404256806"/>
      <w:bookmarkStart w:id="43" w:name="_Ref433037826"/>
      <w:bookmarkStart w:id="44" w:name="_Ref435609144"/>
      <w:bookmarkStart w:id="45" w:name="_Toc436036753"/>
      <w:r w:rsidRPr="00D52049">
        <w:t xml:space="preserve">Roll forward of capital base during the </w:t>
      </w:r>
      <w:r w:rsidR="00BD690B" w:rsidRPr="00D52049">
        <w:t>2011–16</w:t>
      </w:r>
      <w:r w:rsidRPr="00D52049">
        <w:t xml:space="preserve"> access arrangement period</w:t>
      </w:r>
      <w:bookmarkEnd w:id="40"/>
      <w:bookmarkEnd w:id="41"/>
      <w:bookmarkEnd w:id="42"/>
      <w:bookmarkEnd w:id="43"/>
      <w:bookmarkEnd w:id="44"/>
      <w:bookmarkEnd w:id="45"/>
    </w:p>
    <w:p w:rsidR="000408CA" w:rsidRDefault="000408CA" w:rsidP="008B71B7">
      <w:r w:rsidRPr="00335523">
        <w:t xml:space="preserve">To determine the opening </w:t>
      </w:r>
      <w:r>
        <w:t>capital base</w:t>
      </w:r>
      <w:r w:rsidRPr="00335523">
        <w:t xml:space="preserve"> as at </w:t>
      </w:r>
      <w:r>
        <w:t>1 July 2016</w:t>
      </w:r>
      <w:r w:rsidR="00F82912">
        <w:t>,</w:t>
      </w:r>
      <w:r w:rsidRPr="00335523">
        <w:t xml:space="preserve"> we have</w:t>
      </w:r>
      <w:r>
        <w:t xml:space="preserve"> assessed APTNT's proposed</w:t>
      </w:r>
      <w:r w:rsidRPr="00335523">
        <w:t xml:space="preserve"> roll forward </w:t>
      </w:r>
      <w:r>
        <w:t>of its</w:t>
      </w:r>
      <w:r w:rsidRPr="00335523">
        <w:t xml:space="preserve"> </w:t>
      </w:r>
      <w:r>
        <w:t xml:space="preserve">capital base </w:t>
      </w:r>
      <w:r w:rsidRPr="00335523">
        <w:t xml:space="preserve">over the </w:t>
      </w:r>
      <w:r w:rsidR="00BD690B">
        <w:t>2011–16</w:t>
      </w:r>
      <w:r w:rsidRPr="00335523">
        <w:t xml:space="preserve"> </w:t>
      </w:r>
      <w:r>
        <w:t>access arrangement period</w:t>
      </w:r>
      <w:r w:rsidRPr="00335523">
        <w:t xml:space="preserve">. </w:t>
      </w:r>
      <w:r>
        <w:t>As part of this</w:t>
      </w:r>
      <w:r w:rsidR="005438A5">
        <w:t xml:space="preserve"> </w:t>
      </w:r>
      <w:r w:rsidR="0032311F">
        <w:t>assessment</w:t>
      </w:r>
      <w:r>
        <w:t xml:space="preserve">, we reviewed the following key </w:t>
      </w:r>
      <w:r w:rsidR="00F760E7">
        <w:t xml:space="preserve">inputs </w:t>
      </w:r>
      <w:r>
        <w:t>to the capital base roll forward:</w:t>
      </w:r>
    </w:p>
    <w:p w:rsidR="000408CA" w:rsidRPr="008B71B7" w:rsidRDefault="000408CA" w:rsidP="008B71B7">
      <w:pPr>
        <w:pStyle w:val="AERbulletlistfirststyle"/>
      </w:pPr>
      <w:r w:rsidRPr="008B71B7">
        <w:t>adjustment for actual capex in 2010–11</w:t>
      </w:r>
      <w:r w:rsidR="009679BD">
        <w:t>(including an assessment of the inputs used to calculate this adjustment)</w:t>
      </w:r>
    </w:p>
    <w:p w:rsidR="000408CA" w:rsidRPr="008B71B7" w:rsidRDefault="000408CA" w:rsidP="008B71B7">
      <w:pPr>
        <w:pStyle w:val="AERbulletlistfirststyle"/>
      </w:pPr>
      <w:r w:rsidRPr="008B71B7">
        <w:lastRenderedPageBreak/>
        <w:t xml:space="preserve">conforming capex in the </w:t>
      </w:r>
      <w:r w:rsidR="00BD690B" w:rsidRPr="008B71B7">
        <w:t>2011–16</w:t>
      </w:r>
      <w:r w:rsidRPr="008B71B7">
        <w:t xml:space="preserve"> access arrangement period</w:t>
      </w:r>
    </w:p>
    <w:p w:rsidR="00F760E7" w:rsidRDefault="000408CA" w:rsidP="008B71B7">
      <w:pPr>
        <w:pStyle w:val="AERbulletlistfirststyle"/>
      </w:pPr>
      <w:r w:rsidRPr="008B71B7">
        <w:t xml:space="preserve">depreciation amounts in the </w:t>
      </w:r>
      <w:r w:rsidR="00BD690B" w:rsidRPr="008B71B7">
        <w:t>2011–16</w:t>
      </w:r>
      <w:r w:rsidRPr="008B71B7">
        <w:t xml:space="preserve"> access arrangement period</w:t>
      </w:r>
    </w:p>
    <w:p w:rsidR="00F760E7" w:rsidRDefault="00823C48" w:rsidP="009156A9">
      <w:pPr>
        <w:pStyle w:val="AERbulletlistfirststyle"/>
      </w:pPr>
      <w:r>
        <w:t xml:space="preserve">actual </w:t>
      </w:r>
      <w:r w:rsidR="00E428A8">
        <w:t xml:space="preserve">inflation </w:t>
      </w:r>
      <w:r w:rsidR="00E619ED">
        <w:t>from 2009–10 to 201</w:t>
      </w:r>
      <w:r w:rsidR="00E428A8">
        <w:t>4</w:t>
      </w:r>
      <w:r w:rsidR="00E619ED">
        <w:t>–1</w:t>
      </w:r>
      <w:r w:rsidR="00E428A8">
        <w:t>5 and forecast inflation for 2015–16</w:t>
      </w:r>
      <w:r w:rsidR="003430F2">
        <w:t>.</w:t>
      </w:r>
    </w:p>
    <w:p w:rsidR="00A8323E" w:rsidRDefault="00A01855" w:rsidP="00A8323E">
      <w:r>
        <w:t xml:space="preserve">We found </w:t>
      </w:r>
      <w:r w:rsidR="00F760E7">
        <w:t xml:space="preserve">some of the </w:t>
      </w:r>
      <w:r w:rsidR="00496936">
        <w:t xml:space="preserve">input </w:t>
      </w:r>
      <w:r>
        <w:t xml:space="preserve">values </w:t>
      </w:r>
      <w:r w:rsidR="005570DC">
        <w:t xml:space="preserve">in APTNT’s proposed RFM </w:t>
      </w:r>
      <w:r>
        <w:t>are inconsistent with relevant data sources such as ABS data and the 2011–16 decision models</w:t>
      </w:r>
      <w:r w:rsidR="005570DC">
        <w:t>. Therefore</w:t>
      </w:r>
      <w:r w:rsidR="00BC14ED">
        <w:t>,</w:t>
      </w:r>
      <w:r w:rsidR="005570DC">
        <w:t xml:space="preserve"> we </w:t>
      </w:r>
      <w:r w:rsidR="00496936">
        <w:t xml:space="preserve">amended </w:t>
      </w:r>
      <w:r w:rsidR="000D074A">
        <w:t>them</w:t>
      </w:r>
      <w:r w:rsidR="00496936">
        <w:t xml:space="preserve"> in the RFM </w:t>
      </w:r>
      <w:r w:rsidR="00BC14ED">
        <w:t>to provide the correct values</w:t>
      </w:r>
      <w:r w:rsidR="00F760E7">
        <w:t>.</w:t>
      </w:r>
      <w:r w:rsidR="008F59C6">
        <w:t xml:space="preserve"> </w:t>
      </w:r>
      <w:r w:rsidR="00A8323E">
        <w:t>We have discussed the input errors with APTNT. APTNT</w:t>
      </w:r>
      <w:r w:rsidR="00495918">
        <w:t xml:space="preserve"> largely</w:t>
      </w:r>
      <w:r w:rsidR="00A8323E">
        <w:t xml:space="preserve"> agreed with our amendments</w:t>
      </w:r>
      <w:r w:rsidR="00495918">
        <w:t>.</w:t>
      </w:r>
      <w:r w:rsidR="00A8323E">
        <w:rPr>
          <w:rStyle w:val="FootnoteReference"/>
        </w:rPr>
        <w:footnoteReference w:id="11"/>
      </w:r>
    </w:p>
    <w:p w:rsidR="005570DC" w:rsidRPr="00563F9E" w:rsidDel="00BB22CA" w:rsidRDefault="005570DC" w:rsidP="005570DC">
      <w:r>
        <w:t xml:space="preserve">Our amendments to the </w:t>
      </w:r>
      <w:r w:rsidR="008F59C6">
        <w:t xml:space="preserve">APTNT’s proposed </w:t>
      </w:r>
      <w:r>
        <w:t>inputs are discussed further below</w:t>
      </w:r>
      <w:r w:rsidRPr="00563F9E" w:rsidDel="00BB22CA">
        <w:t>.</w:t>
      </w:r>
    </w:p>
    <w:p w:rsidR="000408CA" w:rsidRDefault="000408CA" w:rsidP="000408CA">
      <w:pPr>
        <w:pStyle w:val="HeadingBoldBlue"/>
        <w:keepNext/>
        <w:numPr>
          <w:ilvl w:val="0"/>
          <w:numId w:val="24"/>
        </w:numPr>
        <w:tabs>
          <w:tab w:val="clear" w:pos="1021"/>
        </w:tabs>
        <w:spacing w:before="120" w:after="120" w:line="288" w:lineRule="auto"/>
        <w:outlineLvl w:val="9"/>
        <w:rPr>
          <w:rFonts w:eastAsia="Calibri"/>
        </w:rPr>
      </w:pPr>
      <w:r>
        <w:rPr>
          <w:rFonts w:eastAsia="Calibri"/>
        </w:rPr>
        <w:t xml:space="preserve">Adjustment for actual capex in 2010–11 </w:t>
      </w:r>
    </w:p>
    <w:p w:rsidR="00A01855" w:rsidRDefault="00A01855" w:rsidP="008B71B7">
      <w:r>
        <w:t xml:space="preserve">APTNT proposed to remove $2.3 million ($nominal) from its capital base </w:t>
      </w:r>
      <w:r w:rsidR="00893DFB">
        <w:t>to adjust for the difference between estimated and actual capex for 2010–11. We accept APTNT’s proposed</w:t>
      </w:r>
      <w:r w:rsidR="007E1BE9">
        <w:t xml:space="preserve"> approach</w:t>
      </w:r>
      <w:r w:rsidR="00893DFB">
        <w:t xml:space="preserve"> to adjusting its capital base for actual capex in 2010–11. APTNT’s proposal used the AER’s RFM for electricity service providers, which provides for </w:t>
      </w:r>
      <w:r w:rsidR="000D4D20">
        <w:t>the adjustment of the difference between estimated and actual capex for 2010–11</w:t>
      </w:r>
      <w:r w:rsidR="00893DFB">
        <w:t>. Under the RFM, the capital base is adjusted for the difference between estimated and actual capex for the final year of the previous access arrangement period (in this case 2010–11) and the accumulated return on capital associated with that difference.</w:t>
      </w:r>
      <w:r w:rsidR="00893DFB">
        <w:rPr>
          <w:rStyle w:val="FootnoteReference"/>
        </w:rPr>
        <w:footnoteReference w:id="12"/>
      </w:r>
    </w:p>
    <w:p w:rsidR="00F04DE6" w:rsidRDefault="00893DFB" w:rsidP="00F04DE6">
      <w:r>
        <w:t xml:space="preserve">In accepting the proposed approach, we </w:t>
      </w:r>
      <w:r w:rsidR="00F04DE6">
        <w:t xml:space="preserve">have </w:t>
      </w:r>
      <w:r w:rsidR="00933D2C">
        <w:t>changed</w:t>
      </w:r>
      <w:r w:rsidR="00F04DE6">
        <w:t xml:space="preserve"> the amount removed from the capital base to $2.7 million ($nominal)</w:t>
      </w:r>
      <w:r w:rsidR="00933D2C">
        <w:t xml:space="preserve"> from the proposed $2.3 million ($nominal)</w:t>
      </w:r>
      <w:r w:rsidR="00F04DE6">
        <w:t>. This reflect</w:t>
      </w:r>
      <w:r w:rsidR="00933D2C">
        <w:t>s</w:t>
      </w:r>
      <w:r w:rsidR="00F04DE6">
        <w:t xml:space="preserve"> the </w:t>
      </w:r>
      <w:r w:rsidR="00933D2C">
        <w:t>amendments</w:t>
      </w:r>
      <w:r w:rsidR="00F04DE6">
        <w:t xml:space="preserve"> we made to the inputs</w:t>
      </w:r>
      <w:r w:rsidR="00823C48">
        <w:t xml:space="preserve"> used to calculate this adjustment</w:t>
      </w:r>
      <w:r w:rsidR="00F04DE6">
        <w:t xml:space="preserve"> in the proposed RFM. </w:t>
      </w:r>
      <w:r w:rsidR="00737520">
        <w:t>These amendments</w:t>
      </w:r>
      <w:r w:rsidR="00F04DE6">
        <w:t xml:space="preserve"> are:</w:t>
      </w:r>
    </w:p>
    <w:p w:rsidR="00F04DE6" w:rsidRDefault="002633AE" w:rsidP="009156A9">
      <w:pPr>
        <w:pStyle w:val="AERbulletlistfirststyle"/>
      </w:pPr>
      <w:r>
        <w:t>2010–11 forecast net capex</w:t>
      </w:r>
      <w:r w:rsidR="00737520">
        <w:t xml:space="preserve"> inputs</w:t>
      </w:r>
      <w:r w:rsidR="00BC14ED">
        <w:t>—</w:t>
      </w:r>
      <w:r w:rsidR="00737520">
        <w:t>We have changed the proposed inputs to reflect</w:t>
      </w:r>
      <w:r w:rsidR="009B33E8">
        <w:t xml:space="preserve"> the approved </w:t>
      </w:r>
      <w:r w:rsidR="00737520">
        <w:t xml:space="preserve">2010–11 forecast </w:t>
      </w:r>
      <w:r w:rsidR="009B33E8">
        <w:t>net capex values with the half year rate of return adjustment</w:t>
      </w:r>
      <w:r w:rsidR="00737520">
        <w:t xml:space="preserve"> as required by the RFM</w:t>
      </w:r>
      <w:r w:rsidR="00BC14ED">
        <w:t xml:space="preserve"> and consistent with the values in the 2011–16 decision models</w:t>
      </w:r>
      <w:r w:rsidR="009B33E8">
        <w:t xml:space="preserve">. </w:t>
      </w:r>
      <w:r w:rsidR="00737520">
        <w:t>APTNT</w:t>
      </w:r>
      <w:r w:rsidR="009B33E8">
        <w:t xml:space="preserve"> </w:t>
      </w:r>
      <w:r w:rsidR="00737520">
        <w:t xml:space="preserve">used the unadjusted values in </w:t>
      </w:r>
      <w:r w:rsidR="00BC14ED">
        <w:t>its</w:t>
      </w:r>
      <w:r w:rsidR="00737520">
        <w:t xml:space="preserve"> proposed RFM</w:t>
      </w:r>
      <w:r w:rsidR="009B33E8">
        <w:t>.</w:t>
      </w:r>
      <w:r w:rsidRPr="001374C2">
        <w:rPr>
          <w:vertAlign w:val="superscript"/>
        </w:rPr>
        <w:t xml:space="preserve"> </w:t>
      </w:r>
    </w:p>
    <w:p w:rsidR="009E62CB" w:rsidRDefault="00A7311B" w:rsidP="009156A9">
      <w:pPr>
        <w:pStyle w:val="AERbulletlistfirststyle"/>
      </w:pPr>
      <w:r>
        <w:t>F</w:t>
      </w:r>
      <w:r w:rsidR="009E62CB" w:rsidRPr="00D3091C">
        <w:t>orecas</w:t>
      </w:r>
      <w:r w:rsidR="009E62CB" w:rsidRPr="009E7ECF">
        <w:t xml:space="preserve">t </w:t>
      </w:r>
      <w:r w:rsidR="00FD2A06" w:rsidRPr="003D2219">
        <w:t>inflation</w:t>
      </w:r>
      <w:r w:rsidR="009E62CB" w:rsidRPr="003D2219">
        <w:t xml:space="preserve"> </w:t>
      </w:r>
      <w:r>
        <w:t xml:space="preserve">for 2010–11 </w:t>
      </w:r>
      <w:r w:rsidR="009E62CB" w:rsidRPr="00D3091C">
        <w:t>and rate of return</w:t>
      </w:r>
      <w:r w:rsidR="009E62CB" w:rsidRPr="009E7ECF">
        <w:t xml:space="preserve"> for 2010–11 and 2011–12</w:t>
      </w:r>
      <w:r w:rsidR="00737520">
        <w:t xml:space="preserve"> inputs</w:t>
      </w:r>
      <w:r w:rsidR="00BC14ED">
        <w:t>—</w:t>
      </w:r>
      <w:r w:rsidR="00737520">
        <w:t xml:space="preserve">We have changed the proposed inputs to be consistent with the approved values in the </w:t>
      </w:r>
      <w:r w:rsidR="00035C5B">
        <w:t xml:space="preserve">2011–16 decision models. The proposed values </w:t>
      </w:r>
      <w:r w:rsidR="00B54CA9">
        <w:t>did</w:t>
      </w:r>
      <w:r w:rsidR="00035C5B">
        <w:t xml:space="preserve"> not </w:t>
      </w:r>
      <w:r w:rsidR="00B54CA9">
        <w:t>reconcile</w:t>
      </w:r>
      <w:r w:rsidR="00035C5B">
        <w:t xml:space="preserve"> with</w:t>
      </w:r>
      <w:r w:rsidR="00737520">
        <w:t xml:space="preserve"> </w:t>
      </w:r>
      <w:r w:rsidR="00CF7BED">
        <w:t>the approved</w:t>
      </w:r>
      <w:r w:rsidR="00035C5B">
        <w:t xml:space="preserve"> values.</w:t>
      </w:r>
    </w:p>
    <w:p w:rsidR="000408CA" w:rsidRPr="00F73C2D" w:rsidRDefault="000408CA" w:rsidP="000408CA">
      <w:pPr>
        <w:pStyle w:val="HeadingBoldBlue"/>
        <w:keepNext/>
        <w:numPr>
          <w:ilvl w:val="0"/>
          <w:numId w:val="24"/>
        </w:numPr>
        <w:tabs>
          <w:tab w:val="clear" w:pos="1021"/>
        </w:tabs>
        <w:spacing w:before="120" w:after="120" w:line="288" w:lineRule="auto"/>
        <w:outlineLvl w:val="9"/>
      </w:pPr>
      <w:bookmarkStart w:id="46" w:name="_Ref333306080"/>
      <w:r w:rsidRPr="00302937">
        <w:t xml:space="preserve">Conforming capital expenditure in the </w:t>
      </w:r>
      <w:r w:rsidR="00BD690B">
        <w:t>2011–16</w:t>
      </w:r>
      <w:r w:rsidRPr="00302937">
        <w:t xml:space="preserve"> access arrangement period</w:t>
      </w:r>
      <w:bookmarkEnd w:id="46"/>
    </w:p>
    <w:p w:rsidR="000408CA" w:rsidRPr="00F73C2D" w:rsidRDefault="000408CA" w:rsidP="008B71B7">
      <w:r>
        <w:t>Our</w:t>
      </w:r>
      <w:r w:rsidRPr="00F73C2D">
        <w:t xml:space="preserve"> assessment of conforming capex is set out in</w:t>
      </w:r>
      <w:r w:rsidRPr="00785ED3">
        <w:rPr>
          <w:rStyle w:val="AERbody"/>
          <w:rFonts w:eastAsia="Calibri"/>
        </w:rPr>
        <w:t xml:space="preserve"> </w:t>
      </w:r>
      <w:r w:rsidR="00A967C5">
        <w:rPr>
          <w:rStyle w:val="AERbody"/>
          <w:rFonts w:eastAsia="Calibri"/>
        </w:rPr>
        <w:t xml:space="preserve">capex </w:t>
      </w:r>
      <w:r w:rsidRPr="00785ED3">
        <w:rPr>
          <w:rStyle w:val="AERbody"/>
          <w:rFonts w:eastAsia="Calibri"/>
        </w:rPr>
        <w:t>attachment 6. In</w:t>
      </w:r>
      <w:r w:rsidRPr="00F73C2D">
        <w:t xml:space="preserve"> determining the opening capital base as at </w:t>
      </w:r>
      <w:r>
        <w:t>1 July 2016</w:t>
      </w:r>
      <w:r w:rsidRPr="00F73C2D">
        <w:t xml:space="preserve">, </w:t>
      </w:r>
      <w:r w:rsidR="00A967C5">
        <w:t>we</w:t>
      </w:r>
      <w:r w:rsidRPr="00F73C2D">
        <w:t xml:space="preserve"> assessed whether </w:t>
      </w:r>
      <w:r>
        <w:t>APTNT</w:t>
      </w:r>
      <w:r w:rsidRPr="00F73C2D">
        <w:t xml:space="preserve">'s proposed capex amounts for the </w:t>
      </w:r>
      <w:r w:rsidR="00BD690B">
        <w:t>2011–16</w:t>
      </w:r>
      <w:r w:rsidRPr="00F73C2D">
        <w:t xml:space="preserve"> access arrangement are properly accounted for in the capital base roll forward. </w:t>
      </w:r>
    </w:p>
    <w:p w:rsidR="003718B2" w:rsidRDefault="000408CA" w:rsidP="008B71B7">
      <w:r w:rsidRPr="00EF4166">
        <w:lastRenderedPageBreak/>
        <w:t xml:space="preserve">We accept that APTNT's proposed capex for the </w:t>
      </w:r>
      <w:r w:rsidR="00BD690B" w:rsidRPr="00EF4166">
        <w:t>2011–16</w:t>
      </w:r>
      <w:r w:rsidRPr="00EF4166">
        <w:t xml:space="preserve"> access arrangement period is properly included in the capital base roll forward and is consistent with the requirements of the NGR.</w:t>
      </w:r>
      <w:r w:rsidRPr="00EF4166">
        <w:rPr>
          <w:rStyle w:val="FootnoteReference"/>
          <w:rFonts w:eastAsia="Calibri"/>
        </w:rPr>
        <w:footnoteReference w:id="13"/>
      </w:r>
      <w:r w:rsidRPr="00EF4166">
        <w:t xml:space="preserve"> </w:t>
      </w:r>
      <w:r w:rsidR="00EF4166" w:rsidRPr="00EF4166">
        <w:t>However</w:t>
      </w:r>
      <w:r w:rsidR="00EF4166">
        <w:t>,</w:t>
      </w:r>
      <w:r w:rsidR="00EF4166" w:rsidRPr="00EF4166">
        <w:t xml:space="preserve"> we have updated the input</w:t>
      </w:r>
      <w:r w:rsidR="00EF4166">
        <w:t xml:space="preserve">s to the </w:t>
      </w:r>
      <w:r w:rsidR="001374C2">
        <w:t xml:space="preserve">proposed </w:t>
      </w:r>
      <w:r w:rsidR="00EF4166">
        <w:t>R</w:t>
      </w:r>
      <w:r w:rsidR="001374C2">
        <w:t>F</w:t>
      </w:r>
      <w:r w:rsidR="00EF4166">
        <w:t>M</w:t>
      </w:r>
      <w:r w:rsidR="00EF4166" w:rsidRPr="00EF4166">
        <w:t xml:space="preserve"> to reflect our adjustment to the proposed conforming capex for 2015–16</w:t>
      </w:r>
      <w:r w:rsidR="003C4F50">
        <w:t xml:space="preserve">. This is because </w:t>
      </w:r>
      <w:r w:rsidR="003C4F50" w:rsidRPr="00975794">
        <w:t>we consider that $7.0 million of APTNT’s estimated capex for the belowground station pipework recoating project in 2015</w:t>
      </w:r>
      <w:r w:rsidR="00916F54">
        <w:t>–</w:t>
      </w:r>
      <w:r w:rsidR="003C4F50" w:rsidRPr="00975794">
        <w:t xml:space="preserve">16 should be deferred to the </w:t>
      </w:r>
      <w:r w:rsidR="003C4F50">
        <w:t>2016–21</w:t>
      </w:r>
      <w:r w:rsidR="003C4F50" w:rsidRPr="00975794">
        <w:t xml:space="preserve"> access arrangement period</w:t>
      </w:r>
      <w:r w:rsidR="003C4F50">
        <w:t xml:space="preserve"> </w:t>
      </w:r>
      <w:r w:rsidR="00EF4166" w:rsidRPr="00EF4166">
        <w:t xml:space="preserve">as discussed in </w:t>
      </w:r>
      <w:r w:rsidR="00FA7DE5">
        <w:t xml:space="preserve">capex </w:t>
      </w:r>
      <w:r w:rsidR="00EF4166" w:rsidRPr="00EF4166">
        <w:t xml:space="preserve">attachment 6. </w:t>
      </w:r>
    </w:p>
    <w:p w:rsidR="003718B2" w:rsidRDefault="003718B2" w:rsidP="003718B2">
      <w:r>
        <w:t>We</w:t>
      </w:r>
      <w:r>
        <w:rPr>
          <w:color w:val="1F497D"/>
        </w:rPr>
        <w:t xml:space="preserve"> </w:t>
      </w:r>
      <w:r>
        <w:t>note that the proposed capex for 2015–16 is an estimate. We expect APTNT may provide revised 2015–16 capex estimates based on more up to date information in its revised proposal. We will undertake the assessment of whether the actual 2015–16 amounts are conforming capex as part of the next access arrangement determination.</w:t>
      </w:r>
    </w:p>
    <w:p w:rsidR="000408CA" w:rsidRPr="007B228C" w:rsidRDefault="000408CA" w:rsidP="000408CA">
      <w:pPr>
        <w:pStyle w:val="HeadingBoldBlue"/>
        <w:keepNext/>
        <w:numPr>
          <w:ilvl w:val="0"/>
          <w:numId w:val="24"/>
        </w:numPr>
        <w:tabs>
          <w:tab w:val="clear" w:pos="1021"/>
        </w:tabs>
        <w:spacing w:before="120" w:after="120" w:line="288" w:lineRule="auto"/>
        <w:outlineLvl w:val="9"/>
        <w:rPr>
          <w:rFonts w:eastAsia="Calibri"/>
        </w:rPr>
      </w:pPr>
      <w:r w:rsidRPr="007B228C">
        <w:rPr>
          <w:rFonts w:eastAsia="Calibri"/>
        </w:rPr>
        <w:t xml:space="preserve">Depreciation used in the </w:t>
      </w:r>
      <w:r w:rsidR="00BD690B">
        <w:rPr>
          <w:rFonts w:eastAsia="Calibri"/>
        </w:rPr>
        <w:t>2011–16</w:t>
      </w:r>
      <w:r w:rsidRPr="007B228C">
        <w:rPr>
          <w:rFonts w:eastAsia="Calibri"/>
        </w:rPr>
        <w:t xml:space="preserve"> access arrangement period</w:t>
      </w:r>
    </w:p>
    <w:p w:rsidR="000408CA" w:rsidRDefault="000408CA" w:rsidP="005970EA">
      <w:r w:rsidRPr="00024038">
        <w:t>Under the NGR, the AER must subtract from the capital base depreciation calculated in accordance with the relevant access arrangement.</w:t>
      </w:r>
      <w:r w:rsidRPr="00024038">
        <w:rPr>
          <w:rStyle w:val="FootnoteReference"/>
          <w:rFonts w:eastAsia="Calibri"/>
        </w:rPr>
        <w:footnoteReference w:id="14"/>
      </w:r>
      <w:r w:rsidRPr="00024038">
        <w:t xml:space="preserve"> </w:t>
      </w:r>
    </w:p>
    <w:p w:rsidR="000408CA" w:rsidRDefault="000408CA" w:rsidP="005970EA">
      <w:r w:rsidRPr="00043E7A">
        <w:t>We approve APTNT's proposal to roll forward the capital base to 1 July 2016 using forecast depreciation (straight-line method, adjusted for actual inflation) in accordance with clause 3.</w:t>
      </w:r>
      <w:r w:rsidR="00916F54">
        <w:t xml:space="preserve">5 </w:t>
      </w:r>
      <w:r w:rsidRPr="00043E7A">
        <w:t xml:space="preserve">of the approved </w:t>
      </w:r>
      <w:r w:rsidR="00BD690B">
        <w:t>2011–16</w:t>
      </w:r>
      <w:r w:rsidRPr="00043E7A">
        <w:t xml:space="preserve"> access arrangement. </w:t>
      </w:r>
      <w:bookmarkStart w:id="47" w:name="_Toc404157805"/>
      <w:bookmarkStart w:id="48" w:name="_Toc404158168"/>
      <w:bookmarkStart w:id="49" w:name="_Toc404256807"/>
    </w:p>
    <w:p w:rsidR="007E693E" w:rsidRDefault="000B483C" w:rsidP="005970EA">
      <w:r>
        <w:t xml:space="preserve">We </w:t>
      </w:r>
      <w:r w:rsidR="00494FBC">
        <w:t>accept</w:t>
      </w:r>
      <w:r>
        <w:t xml:space="preserve"> the total amount of </w:t>
      </w:r>
      <w:r w:rsidR="00494FBC">
        <w:t>forecast straight-line depreciation subtracted from the capital base</w:t>
      </w:r>
      <w:r w:rsidR="0043595B">
        <w:t xml:space="preserve"> in the 2011–16 access arrangement period</w:t>
      </w:r>
      <w:r w:rsidR="00494FBC">
        <w:t xml:space="preserve">. </w:t>
      </w:r>
      <w:r>
        <w:t>However, w</w:t>
      </w:r>
      <w:r w:rsidR="00A41F18">
        <w:t xml:space="preserve">e do not </w:t>
      </w:r>
      <w:r w:rsidR="00494FBC">
        <w:t xml:space="preserve">accept </w:t>
      </w:r>
      <w:r w:rsidR="000C2973">
        <w:t>APTNT</w:t>
      </w:r>
      <w:r w:rsidR="00A41F18">
        <w:t>’s</w:t>
      </w:r>
      <w:r w:rsidR="000C2973">
        <w:t xml:space="preserve"> propos</w:t>
      </w:r>
      <w:r w:rsidR="00A41F18">
        <w:t>al</w:t>
      </w:r>
      <w:r w:rsidR="000C2973">
        <w:t xml:space="preserve"> to reallocate </w:t>
      </w:r>
      <w:r w:rsidR="00B74FDD">
        <w:t xml:space="preserve">total </w:t>
      </w:r>
      <w:r w:rsidR="000C2973">
        <w:t xml:space="preserve">depreciation </w:t>
      </w:r>
      <w:r w:rsidR="00B74FDD">
        <w:t xml:space="preserve">approved </w:t>
      </w:r>
      <w:r w:rsidR="00225D0A">
        <w:t xml:space="preserve">in the 2011–16 decision model </w:t>
      </w:r>
      <w:r w:rsidR="00494FBC">
        <w:t>across</w:t>
      </w:r>
      <w:r w:rsidR="000C2973">
        <w:t xml:space="preserve"> asset classes</w:t>
      </w:r>
      <w:r w:rsidR="0025058F">
        <w:t xml:space="preserve"> in order to avoid a negative </w:t>
      </w:r>
      <w:r w:rsidR="00B74FDD">
        <w:t>value</w:t>
      </w:r>
      <w:r w:rsidR="0025058F">
        <w:t xml:space="preserve"> for some asset classes</w:t>
      </w:r>
      <w:r w:rsidR="00FD44F8">
        <w:t>.</w:t>
      </w:r>
      <w:r w:rsidR="002216C4">
        <w:rPr>
          <w:rStyle w:val="FootnoteReference"/>
        </w:rPr>
        <w:footnoteReference w:id="15"/>
      </w:r>
      <w:r w:rsidR="00D61E67">
        <w:t xml:space="preserve"> </w:t>
      </w:r>
      <w:r w:rsidR="00342CEA">
        <w:t>We note that u</w:t>
      </w:r>
      <w:r w:rsidR="00D61E67">
        <w:t xml:space="preserve">nder the forecast depreciation approach approved in the 2011–2016 access arrangement, a negative </w:t>
      </w:r>
      <w:r w:rsidR="008E6A1D">
        <w:t>value</w:t>
      </w:r>
      <w:r w:rsidR="00D61E67">
        <w:t xml:space="preserve"> may exist for assets or asset classes due to an over-estimation of forecast capex </w:t>
      </w:r>
      <w:r w:rsidR="008E6A1D">
        <w:t>at the last access arrangement review</w:t>
      </w:r>
      <w:r w:rsidR="00D61E67">
        <w:t xml:space="preserve">. </w:t>
      </w:r>
      <w:r w:rsidR="0043595B">
        <w:t>The negative value represents over-recovery of the amount in the capital base</w:t>
      </w:r>
      <w:r w:rsidR="00342CEA">
        <w:t xml:space="preserve"> </w:t>
      </w:r>
      <w:r w:rsidR="0043595B">
        <w:t>However, a</w:t>
      </w:r>
      <w:r w:rsidR="00342CEA">
        <w:t>ny negative values</w:t>
      </w:r>
      <w:r w:rsidR="0043595B">
        <w:t xml:space="preserve"> that arise</w:t>
      </w:r>
      <w:r w:rsidR="00342CEA">
        <w:t xml:space="preserve"> will be returned </w:t>
      </w:r>
      <w:r w:rsidR="0043595B">
        <w:t xml:space="preserve">to </w:t>
      </w:r>
      <w:r w:rsidR="00342CEA">
        <w:t>customers by the amount of the negative depreciation calculated in the PTRM.</w:t>
      </w:r>
      <w:r w:rsidR="00817705">
        <w:t xml:space="preserve"> </w:t>
      </w:r>
      <w:r w:rsidR="0043595B">
        <w:t>This means the over-recovery by the service provider in one period is corrected for in the next period.</w:t>
      </w:r>
    </w:p>
    <w:p w:rsidR="007E693E" w:rsidRDefault="009E7ECF" w:rsidP="005970EA">
      <w:r>
        <w:t>A</w:t>
      </w:r>
      <w:r w:rsidR="00817705">
        <w:t xml:space="preserve">lthough the proposed </w:t>
      </w:r>
      <w:r w:rsidR="0043595B">
        <w:t>reallocation by APTNT</w:t>
      </w:r>
      <w:r w:rsidR="00817705">
        <w:t xml:space="preserve"> does not impact </w:t>
      </w:r>
      <w:r>
        <w:t xml:space="preserve">the total </w:t>
      </w:r>
      <w:r w:rsidR="00817705">
        <w:t xml:space="preserve">opening </w:t>
      </w:r>
      <w:r>
        <w:t>capital</w:t>
      </w:r>
      <w:r w:rsidR="00817705">
        <w:t xml:space="preserve"> </w:t>
      </w:r>
      <w:r>
        <w:t xml:space="preserve">base value as at 1 July 2016, it will affect the total forecast depreciation allowance for the 2016–21 access arrangement period. This is because APTNT’s proposed adjustment has in effect changed the remaining asset lives as at 1 July 2016 for some assets. </w:t>
      </w:r>
      <w:r w:rsidR="003D1F7F">
        <w:t>We therefore have</w:t>
      </w:r>
      <w:r>
        <w:t xml:space="preserve"> </w:t>
      </w:r>
      <w:r w:rsidR="007E693E">
        <w:t>changed the forecast depreciation value</w:t>
      </w:r>
      <w:r w:rsidR="0043595B">
        <w:t>s in the 2011–16</w:t>
      </w:r>
      <w:r w:rsidR="007E693E">
        <w:t xml:space="preserve"> </w:t>
      </w:r>
      <w:r w:rsidR="0043595B">
        <w:t xml:space="preserve">access arrangement period </w:t>
      </w:r>
      <w:r w:rsidR="007E693E">
        <w:t>for each asset class to be consistent with the approved values for each asset class</w:t>
      </w:r>
      <w:r w:rsidR="005C6428">
        <w:t xml:space="preserve"> as set out in the approved </w:t>
      </w:r>
      <w:r w:rsidR="0043595B">
        <w:t xml:space="preserve">2011–16 </w:t>
      </w:r>
      <w:r w:rsidR="005C6428">
        <w:t>PTRM</w:t>
      </w:r>
      <w:r w:rsidR="007E693E">
        <w:t>.</w:t>
      </w:r>
    </w:p>
    <w:p w:rsidR="00F760E7" w:rsidRDefault="00B54CA9" w:rsidP="009156A9">
      <w:pPr>
        <w:pStyle w:val="HeadingBoldBlue"/>
        <w:keepNext/>
        <w:numPr>
          <w:ilvl w:val="0"/>
          <w:numId w:val="24"/>
        </w:numPr>
        <w:tabs>
          <w:tab w:val="clear" w:pos="1021"/>
        </w:tabs>
        <w:spacing w:before="120" w:after="120" w:line="288" w:lineRule="auto"/>
        <w:outlineLvl w:val="9"/>
        <w:rPr>
          <w:rFonts w:eastAsia="Calibri"/>
        </w:rPr>
      </w:pPr>
      <w:r>
        <w:rPr>
          <w:rFonts w:eastAsia="Calibri"/>
        </w:rPr>
        <w:lastRenderedPageBreak/>
        <w:t>Actual i</w:t>
      </w:r>
      <w:r w:rsidR="009D39FD">
        <w:rPr>
          <w:rFonts w:eastAsia="Calibri"/>
        </w:rPr>
        <w:t>nflation</w:t>
      </w:r>
      <w:r w:rsidR="00F760E7" w:rsidRPr="009156A9">
        <w:rPr>
          <w:rFonts w:eastAsia="Calibri"/>
        </w:rPr>
        <w:t xml:space="preserve"> inputs </w:t>
      </w:r>
    </w:p>
    <w:p w:rsidR="00E619ED" w:rsidRPr="009156A9" w:rsidRDefault="009D39FD" w:rsidP="00D3091C">
      <w:pPr>
        <w:rPr>
          <w:rFonts w:eastAsia="Calibri"/>
        </w:rPr>
      </w:pPr>
      <w:r>
        <w:t>The</w:t>
      </w:r>
      <w:r w:rsidR="00B54CA9">
        <w:t xml:space="preserve"> actual</w:t>
      </w:r>
      <w:r>
        <w:t xml:space="preserve"> inflation</w:t>
      </w:r>
      <w:r w:rsidR="00B54CA9">
        <w:t xml:space="preserve"> rate</w:t>
      </w:r>
      <w:r>
        <w:t xml:space="preserve"> inputs in APTNT’s </w:t>
      </w:r>
      <w:r w:rsidR="00E619ED">
        <w:t xml:space="preserve">proposed RFM reflect the March quarter on March </w:t>
      </w:r>
      <w:r>
        <w:t>quarter CPI reported by the A</w:t>
      </w:r>
      <w:r w:rsidR="0053491E">
        <w:t xml:space="preserve">ustralian Bureau of </w:t>
      </w:r>
      <w:r>
        <w:t>S</w:t>
      </w:r>
      <w:r w:rsidR="0053491E">
        <w:t>tatistics (ABS)</w:t>
      </w:r>
      <w:r>
        <w:t xml:space="preserve">. This </w:t>
      </w:r>
      <w:r w:rsidR="0053491E">
        <w:t xml:space="preserve">approach </w:t>
      </w:r>
      <w:r>
        <w:t>is</w:t>
      </w:r>
      <w:r w:rsidR="00E619ED">
        <w:t xml:space="preserve"> consistent with the annual tariff adjustment purposes.</w:t>
      </w:r>
    </w:p>
    <w:p w:rsidR="00F760E7" w:rsidRDefault="009D39FD" w:rsidP="005970EA">
      <w:r>
        <w:t>However</w:t>
      </w:r>
      <w:r w:rsidR="00E05903">
        <w:t>,</w:t>
      </w:r>
      <w:r>
        <w:t xml:space="preserve"> w</w:t>
      </w:r>
      <w:r w:rsidR="00E619ED">
        <w:t xml:space="preserve">e </w:t>
      </w:r>
      <w:r w:rsidR="00E05903">
        <w:t xml:space="preserve">have </w:t>
      </w:r>
      <w:r>
        <w:t xml:space="preserve">amended the proposed </w:t>
      </w:r>
      <w:r w:rsidR="00E619ED">
        <w:t>actual inflation rates for 2009–10, 2010–11 and 2011–12</w:t>
      </w:r>
      <w:r>
        <w:t xml:space="preserve">. This is </w:t>
      </w:r>
      <w:r w:rsidR="0053491E">
        <w:t xml:space="preserve">because the </w:t>
      </w:r>
      <w:r w:rsidR="00E05903">
        <w:t>proposed values were</w:t>
      </w:r>
      <w:r w:rsidR="0053491E">
        <w:t xml:space="preserve"> sourced from the CPI </w:t>
      </w:r>
      <w:r w:rsidR="005E036B">
        <w:t>series which was re-</w:t>
      </w:r>
      <w:r w:rsidR="00E05903">
        <w:t>reference</w:t>
      </w:r>
      <w:r w:rsidR="004F64D2">
        <w:t>d</w:t>
      </w:r>
      <w:r w:rsidR="005E036B">
        <w:t xml:space="preserve"> in 2011–12. We consider that it is appropriate to use numbers from this series in the inputs from 2012–13 onwards, but earlier CPI inputs should be sourced from the 1989–90 reference period CPI</w:t>
      </w:r>
      <w:r w:rsidR="00B54CA9">
        <w:t xml:space="preserve"> reflecting the rates used for tariff </w:t>
      </w:r>
      <w:r w:rsidR="009B51C5">
        <w:t>adjustments for 2009–10, 2010–11 and 2011–12</w:t>
      </w:r>
      <w:r w:rsidR="005E036B">
        <w:t>.</w:t>
      </w:r>
      <w:r w:rsidR="002A5A7B">
        <w:t xml:space="preserve"> We have therefore amended the proposed CPI inputs for these years.</w:t>
      </w:r>
    </w:p>
    <w:p w:rsidR="00D3091C" w:rsidRDefault="00D3091C" w:rsidP="005970EA">
      <w:r>
        <w:t xml:space="preserve">We have also updated the forecast inflation rate for 2015–16 to 2.5 per cent </w:t>
      </w:r>
      <w:r w:rsidR="0011047B">
        <w:t xml:space="preserve">in the RFM </w:t>
      </w:r>
      <w:r>
        <w:t>to be consistent with our draft decision forecast inflation rate (</w:t>
      </w:r>
      <w:r w:rsidR="0011047B">
        <w:t xml:space="preserve">rate of return </w:t>
      </w:r>
      <w:r>
        <w:t>attachment 3).</w:t>
      </w:r>
      <w:r w:rsidR="009B51C5">
        <w:t xml:space="preserve"> We will update this value for the actual inflation rate as part of the final decision. </w:t>
      </w:r>
    </w:p>
    <w:p w:rsidR="000408CA" w:rsidRPr="00D52049" w:rsidRDefault="000408CA" w:rsidP="00D52049">
      <w:pPr>
        <w:pStyle w:val="Heading3"/>
      </w:pPr>
      <w:bookmarkStart w:id="50" w:name="_Toc433106200"/>
      <w:bookmarkStart w:id="51" w:name="_Toc433106201"/>
      <w:bookmarkStart w:id="52" w:name="_Toc436036754"/>
      <w:bookmarkEnd w:id="50"/>
      <w:bookmarkEnd w:id="51"/>
      <w:r w:rsidRPr="00D52049">
        <w:t xml:space="preserve">Projected capital base during the </w:t>
      </w:r>
      <w:r w:rsidR="00BD690B" w:rsidRPr="00D52049">
        <w:t>2016–21</w:t>
      </w:r>
      <w:r w:rsidRPr="00D52049">
        <w:t xml:space="preserve"> access arrangement period</w:t>
      </w:r>
      <w:bookmarkEnd w:id="47"/>
      <w:bookmarkEnd w:id="48"/>
      <w:bookmarkEnd w:id="49"/>
      <w:bookmarkEnd w:id="52"/>
    </w:p>
    <w:p w:rsidR="000408CA" w:rsidRPr="005970EA" w:rsidRDefault="000408CA" w:rsidP="005970EA">
      <w:r w:rsidRPr="005970EA">
        <w:t xml:space="preserve">We forecast APTNT's projected capital base at 30 June 2021 to be </w:t>
      </w:r>
      <w:r w:rsidR="00CA46C8" w:rsidRPr="005970EA">
        <w:t>$</w:t>
      </w:r>
      <w:r w:rsidR="00CA46C8">
        <w:t>1</w:t>
      </w:r>
      <w:r w:rsidR="00867679">
        <w:t>35</w:t>
      </w:r>
      <w:r w:rsidR="00CA46C8">
        <w:t>.8</w:t>
      </w:r>
      <w:r w:rsidR="00CA46C8" w:rsidRPr="005970EA">
        <w:t xml:space="preserve"> </w:t>
      </w:r>
      <w:r w:rsidRPr="005970EA">
        <w:t xml:space="preserve">million ($nominal), a reduction of </w:t>
      </w:r>
      <w:r w:rsidR="00CA46C8" w:rsidRPr="005970EA">
        <w:t>$</w:t>
      </w:r>
      <w:r w:rsidR="00867679">
        <w:t>6</w:t>
      </w:r>
      <w:r w:rsidR="00CA46C8">
        <w:t>.8</w:t>
      </w:r>
      <w:r w:rsidR="00CA46C8" w:rsidRPr="005970EA">
        <w:t xml:space="preserve"> </w:t>
      </w:r>
      <w:r w:rsidRPr="005970EA">
        <w:t>million ($nominal) or</w:t>
      </w:r>
      <w:r w:rsidR="00867679">
        <w:t xml:space="preserve"> 4.8</w:t>
      </w:r>
      <w:r w:rsidRPr="005970EA">
        <w:t xml:space="preserve"> per cent from APTNT's proposal. This results from our draft decision on the inputs to the determination of the</w:t>
      </w:r>
      <w:r w:rsidRPr="00785ED3">
        <w:rPr>
          <w:rStyle w:val="AERbody"/>
          <w:rFonts w:eastAsia="Calibri"/>
        </w:rPr>
        <w:t xml:space="preserve"> </w:t>
      </w:r>
      <w:r w:rsidRPr="005970EA">
        <w:t>projected capital base. We have amended the inputs in the following ways:</w:t>
      </w:r>
    </w:p>
    <w:p w:rsidR="000408CA" w:rsidRPr="005970EA" w:rsidRDefault="000408CA" w:rsidP="005970EA">
      <w:pPr>
        <w:pStyle w:val="AERbulletlistfirststyle"/>
        <w:rPr>
          <w:rStyle w:val="AERbody"/>
        </w:rPr>
      </w:pPr>
      <w:r w:rsidRPr="005970EA">
        <w:rPr>
          <w:rStyle w:val="AERbody"/>
        </w:rPr>
        <w:t xml:space="preserve">Reduced APTNT's opening capital base as at 1 July 2016 </w:t>
      </w:r>
      <w:r w:rsidR="0025200F">
        <w:rPr>
          <w:rStyle w:val="AERbody"/>
        </w:rPr>
        <w:t>by</w:t>
      </w:r>
      <w:r w:rsidRPr="005970EA">
        <w:rPr>
          <w:rStyle w:val="AERbody"/>
        </w:rPr>
        <w:t xml:space="preserve"> $</w:t>
      </w:r>
      <w:r w:rsidR="0025200F">
        <w:rPr>
          <w:rStyle w:val="AERbody"/>
        </w:rPr>
        <w:t>8.4</w:t>
      </w:r>
      <w:r w:rsidRPr="005970EA">
        <w:rPr>
          <w:rStyle w:val="AERbody"/>
        </w:rPr>
        <w:t xml:space="preserve"> million ($nominal)</w:t>
      </w:r>
      <w:r w:rsidR="0025200F">
        <w:rPr>
          <w:rStyle w:val="AERbody"/>
        </w:rPr>
        <w:t xml:space="preserve"> or 7</w:t>
      </w:r>
      <w:r w:rsidR="00904062">
        <w:rPr>
          <w:rStyle w:val="AERbody"/>
        </w:rPr>
        <w:t>.0</w:t>
      </w:r>
      <w:r w:rsidR="0025200F">
        <w:rPr>
          <w:rStyle w:val="AERbody"/>
        </w:rPr>
        <w:t xml:space="preserve"> per cent</w:t>
      </w:r>
      <w:r w:rsidRPr="005970EA">
        <w:rPr>
          <w:rStyle w:val="AERbody"/>
        </w:rPr>
        <w:t xml:space="preserve"> to reflect the changes required in this attachment.</w:t>
      </w:r>
    </w:p>
    <w:p w:rsidR="000408CA" w:rsidRPr="005970EA" w:rsidRDefault="000408CA" w:rsidP="005970EA">
      <w:pPr>
        <w:pStyle w:val="AERbulletlistfirststyle"/>
        <w:rPr>
          <w:rStyle w:val="AERbody"/>
        </w:rPr>
      </w:pPr>
      <w:r w:rsidRPr="005970EA">
        <w:rPr>
          <w:rStyle w:val="AERbody"/>
        </w:rPr>
        <w:t xml:space="preserve">Reduced APTNT's proposed forecast net capex by </w:t>
      </w:r>
      <w:r w:rsidR="00CA46C8" w:rsidRPr="005970EA">
        <w:rPr>
          <w:rStyle w:val="AERbody"/>
        </w:rPr>
        <w:t>$</w:t>
      </w:r>
      <w:r w:rsidR="00CA46C8">
        <w:rPr>
          <w:rStyle w:val="AERbody"/>
        </w:rPr>
        <w:t>3.</w:t>
      </w:r>
      <w:r w:rsidR="0025200F">
        <w:rPr>
          <w:rStyle w:val="AERbody"/>
        </w:rPr>
        <w:t>4</w:t>
      </w:r>
      <w:r w:rsidR="00CA46C8" w:rsidRPr="005970EA">
        <w:rPr>
          <w:rStyle w:val="AERbody"/>
        </w:rPr>
        <w:t xml:space="preserve"> </w:t>
      </w:r>
      <w:r w:rsidRPr="005970EA">
        <w:rPr>
          <w:rStyle w:val="AERbody"/>
        </w:rPr>
        <w:t>million ($</w:t>
      </w:r>
      <w:r w:rsidR="00A473B6">
        <w:rPr>
          <w:rStyle w:val="AERbody"/>
        </w:rPr>
        <w:t>2015–16</w:t>
      </w:r>
      <w:r w:rsidRPr="005970EA">
        <w:rPr>
          <w:rStyle w:val="AERbody"/>
        </w:rPr>
        <w:t xml:space="preserve">) or </w:t>
      </w:r>
      <w:r w:rsidR="00CA46C8">
        <w:rPr>
          <w:rStyle w:val="AERbody"/>
        </w:rPr>
        <w:t>1</w:t>
      </w:r>
      <w:r w:rsidR="0025200F">
        <w:rPr>
          <w:rStyle w:val="AERbody"/>
        </w:rPr>
        <w:t>1</w:t>
      </w:r>
      <w:r w:rsidR="00CA46C8">
        <w:rPr>
          <w:rStyle w:val="AERbody"/>
        </w:rPr>
        <w:t>.</w:t>
      </w:r>
      <w:r w:rsidR="00F93FF9">
        <w:rPr>
          <w:rStyle w:val="AERbody"/>
        </w:rPr>
        <w:t>5</w:t>
      </w:r>
      <w:r w:rsidR="00CA46C8" w:rsidRPr="005970EA">
        <w:rPr>
          <w:rStyle w:val="AERbody"/>
        </w:rPr>
        <w:t> </w:t>
      </w:r>
      <w:r w:rsidRPr="005970EA">
        <w:rPr>
          <w:rStyle w:val="AERbody"/>
        </w:rPr>
        <w:t>per cent. Our detailed assessment of the proposed forecast capex is set out in</w:t>
      </w:r>
      <w:r w:rsidR="00F93FF9">
        <w:rPr>
          <w:rStyle w:val="AERbody"/>
        </w:rPr>
        <w:t xml:space="preserve"> </w:t>
      </w:r>
      <w:r w:rsidRPr="005970EA">
        <w:rPr>
          <w:rStyle w:val="AERbody"/>
        </w:rPr>
        <w:t>attachment 6.</w:t>
      </w:r>
    </w:p>
    <w:p w:rsidR="000408CA" w:rsidRPr="005970EA" w:rsidRDefault="000408CA" w:rsidP="005970EA">
      <w:pPr>
        <w:pStyle w:val="AERbulletlistfirststyle"/>
        <w:rPr>
          <w:rStyle w:val="AERbody"/>
        </w:rPr>
      </w:pPr>
      <w:r w:rsidRPr="005970EA">
        <w:rPr>
          <w:rStyle w:val="AERbody"/>
        </w:rPr>
        <w:t xml:space="preserve">Reduced APTNT's proposed forecast </w:t>
      </w:r>
      <w:r w:rsidR="00867679">
        <w:rPr>
          <w:rStyle w:val="AERbody"/>
        </w:rPr>
        <w:t xml:space="preserve">regulatory </w:t>
      </w:r>
      <w:r w:rsidRPr="005970EA">
        <w:rPr>
          <w:rStyle w:val="AERbody"/>
        </w:rPr>
        <w:t xml:space="preserve">depreciation allowance by </w:t>
      </w:r>
      <w:r w:rsidR="00CA46C8" w:rsidRPr="005970EA">
        <w:rPr>
          <w:rStyle w:val="AERbody"/>
        </w:rPr>
        <w:t>$</w:t>
      </w:r>
      <w:r w:rsidR="00867679">
        <w:rPr>
          <w:rStyle w:val="AERbody"/>
        </w:rPr>
        <w:t>5</w:t>
      </w:r>
      <w:r w:rsidR="00F93FF9">
        <w:rPr>
          <w:rStyle w:val="AERbody"/>
        </w:rPr>
        <w:t>.0</w:t>
      </w:r>
      <w:r w:rsidR="00867679">
        <w:rPr>
          <w:rStyle w:val="AERbody"/>
        </w:rPr>
        <w:t> </w:t>
      </w:r>
      <w:r w:rsidRPr="005970EA">
        <w:rPr>
          <w:rStyle w:val="AERbody"/>
        </w:rPr>
        <w:t xml:space="preserve">million ($nominal) or </w:t>
      </w:r>
      <w:r w:rsidR="00867679">
        <w:rPr>
          <w:rStyle w:val="AERbody"/>
        </w:rPr>
        <w:t>49</w:t>
      </w:r>
      <w:r w:rsidR="00F93FF9">
        <w:rPr>
          <w:rStyle w:val="AERbody"/>
        </w:rPr>
        <w:t>.1</w:t>
      </w:r>
      <w:r w:rsidR="00CA46C8" w:rsidRPr="005970EA">
        <w:rPr>
          <w:rStyle w:val="AERbody"/>
        </w:rPr>
        <w:t xml:space="preserve"> </w:t>
      </w:r>
      <w:r w:rsidRPr="005970EA">
        <w:rPr>
          <w:rStyle w:val="AERbody"/>
        </w:rPr>
        <w:t xml:space="preserve">per cent. </w:t>
      </w:r>
      <w:r w:rsidR="002216C4">
        <w:rPr>
          <w:rStyle w:val="AERbody"/>
        </w:rPr>
        <w:t>Our</w:t>
      </w:r>
      <w:r w:rsidRPr="005970EA">
        <w:rPr>
          <w:rStyle w:val="AERbody"/>
        </w:rPr>
        <w:t xml:space="preserve"> assessment of the proposed forecast depreciation is set out in attachment 5. </w:t>
      </w:r>
    </w:p>
    <w:p w:rsidR="00F70C50" w:rsidRDefault="00F70C50" w:rsidP="00F70C50">
      <w:pPr>
        <w:pStyle w:val="Heading3"/>
      </w:pPr>
      <w:bookmarkStart w:id="53" w:name="_Toc432746096"/>
      <w:bookmarkStart w:id="54" w:name="_Toc436036755"/>
      <w:r>
        <w:t>Capital base at the commencement of the 2021–26 access arrangement period</w:t>
      </w:r>
      <w:bookmarkEnd w:id="53"/>
      <w:bookmarkEnd w:id="54"/>
    </w:p>
    <w:p w:rsidR="00905647" w:rsidRPr="00BF4761" w:rsidRDefault="00905647" w:rsidP="00905647">
      <w:r>
        <w:t>The capital base at the commencement of the 2021–26 access arrangement period will be subject to adjustments consistent with the NGR.</w:t>
      </w:r>
      <w:r>
        <w:rPr>
          <w:rStyle w:val="FootnoteReference"/>
          <w:rFonts w:eastAsia="Calibri"/>
        </w:rPr>
        <w:footnoteReference w:id="16"/>
      </w:r>
      <w:r>
        <w:t xml:space="preserve"> The adjustments for APTNT include (but are not limited to) </w:t>
      </w:r>
      <w:r w:rsidRPr="00BF4761">
        <w:t xml:space="preserve">actual inflation and approved depreciation over the 2016–21 access arrangement period. </w:t>
      </w:r>
    </w:p>
    <w:p w:rsidR="00905647" w:rsidRDefault="00905647" w:rsidP="00905647">
      <w:r>
        <w:lastRenderedPageBreak/>
        <w:t>We accept APTNT’s proposal to use forecast depreciation for the 2016–21 access arrangement period to establish APTNT’s opening capital base as at 1 July 2021.</w:t>
      </w:r>
      <w:r>
        <w:rPr>
          <w:rStyle w:val="FootnoteReference"/>
          <w:rFonts w:eastAsia="Calibri"/>
        </w:rPr>
        <w:footnoteReference w:id="17"/>
      </w:r>
      <w:r>
        <w:t xml:space="preserve"> We approved such an approach in our recent gas decisions.</w:t>
      </w:r>
      <w:r>
        <w:rPr>
          <w:rStyle w:val="FootnoteReference"/>
          <w:rFonts w:eastAsia="Calibri"/>
        </w:rPr>
        <w:footnoteReference w:id="18"/>
      </w:r>
      <w:r>
        <w:t xml:space="preserve"> This approach is also consistent with the approach outlined in our </w:t>
      </w:r>
      <w:r w:rsidRPr="00845A1D">
        <w:rPr>
          <w:rStyle w:val="AERtextitalic"/>
        </w:rPr>
        <w:t>Access Arrangement Guideline</w:t>
      </w:r>
      <w:r>
        <w:t>.</w:t>
      </w:r>
      <w:r>
        <w:rPr>
          <w:rStyle w:val="FootnoteReference"/>
          <w:rFonts w:eastAsia="Calibri"/>
        </w:rPr>
        <w:footnoteReference w:id="19"/>
      </w:r>
      <w:r w:rsidRPr="00357ACD">
        <w:t xml:space="preserve"> </w:t>
      </w:r>
      <w:r>
        <w:t>The amount of the forecast depreciation is to be approved by us in the final decision for the 2016–21 access arrangement period.</w:t>
      </w:r>
    </w:p>
    <w:p w:rsidR="000408CA" w:rsidRPr="00F73C2D" w:rsidRDefault="000408CA" w:rsidP="00D52049">
      <w:pPr>
        <w:pStyle w:val="Heading2"/>
      </w:pPr>
      <w:bookmarkStart w:id="55" w:name="_Toc334608504"/>
      <w:bookmarkStart w:id="56" w:name="_Toc334608736"/>
      <w:bookmarkStart w:id="57" w:name="_Toc404157806"/>
      <w:bookmarkStart w:id="58" w:name="_Toc404158169"/>
      <w:bookmarkStart w:id="59" w:name="_Toc404256808"/>
      <w:bookmarkStart w:id="60" w:name="_Toc436036756"/>
      <w:r w:rsidRPr="005B258D">
        <w:t>Revisions</w:t>
      </w:r>
      <w:bookmarkEnd w:id="55"/>
      <w:bookmarkEnd w:id="56"/>
      <w:bookmarkEnd w:id="57"/>
      <w:bookmarkEnd w:id="58"/>
      <w:bookmarkEnd w:id="59"/>
      <w:bookmarkEnd w:id="60"/>
    </w:p>
    <w:p w:rsidR="000408CA" w:rsidRPr="00111CA5" w:rsidRDefault="00852687" w:rsidP="005970EA">
      <w:r>
        <w:t>We</w:t>
      </w:r>
      <w:r w:rsidR="000408CA" w:rsidRPr="00646746">
        <w:t xml:space="preserve"> require the following revisions to make the access </w:t>
      </w:r>
      <w:r w:rsidR="000408CA">
        <w:t>arrangement proposal acceptable</w:t>
      </w:r>
      <w:r w:rsidR="000408CA" w:rsidRPr="00111CA5">
        <w:t>:</w:t>
      </w:r>
    </w:p>
    <w:p w:rsidR="000408CA" w:rsidRDefault="000408CA" w:rsidP="000408CA">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103B25">
        <w:rPr>
          <w:rStyle w:val="Strong"/>
          <w:rFonts w:eastAsia="Calibri"/>
        </w:rPr>
        <w:t>Revision 2.1</w:t>
      </w:r>
      <w:r w:rsidRPr="00103B25">
        <w:rPr>
          <w:rFonts w:eastAsia="Calibri"/>
        </w:rPr>
        <w:t xml:space="preserve">: Make all necessary amendments to reflect </w:t>
      </w:r>
      <w:r w:rsidR="00852687">
        <w:rPr>
          <w:rFonts w:eastAsia="Calibri"/>
        </w:rPr>
        <w:t>this</w:t>
      </w:r>
      <w:r w:rsidRPr="00103B25">
        <w:rPr>
          <w:rFonts w:eastAsia="Calibri"/>
        </w:rPr>
        <w:t xml:space="preserve"> draft decision on the roll forward of the capital base for the </w:t>
      </w:r>
      <w:r w:rsidR="00BD690B">
        <w:rPr>
          <w:rFonts w:eastAsia="Calibri"/>
        </w:rPr>
        <w:t>2011–16</w:t>
      </w:r>
      <w:r w:rsidRPr="00103B25">
        <w:rPr>
          <w:rFonts w:eastAsia="Calibri"/>
        </w:rPr>
        <w:t xml:space="preserve"> access arrangement period, as set out in</w:t>
      </w:r>
      <w:r>
        <w:rPr>
          <w:rFonts w:eastAsia="Calibri"/>
        </w:rPr>
        <w:t xml:space="preserve"> </w:t>
      </w:r>
      <w:r>
        <w:rPr>
          <w:rFonts w:eastAsia="Calibri"/>
        </w:rPr>
        <w:fldChar w:fldCharType="begin"/>
      </w:r>
      <w:r>
        <w:rPr>
          <w:rFonts w:eastAsia="Calibri"/>
        </w:rPr>
        <w:instrText xml:space="preserve"> REF _Ref404157003 \h </w:instrText>
      </w:r>
      <w:r>
        <w:rPr>
          <w:rFonts w:eastAsia="Calibri"/>
        </w:rPr>
      </w:r>
      <w:r>
        <w:rPr>
          <w:rFonts w:eastAsia="Calibri"/>
        </w:rPr>
        <w:fldChar w:fldCharType="separate"/>
      </w:r>
      <w:r w:rsidR="009C59AE">
        <w:t xml:space="preserve">Table </w:t>
      </w:r>
      <w:r w:rsidR="009C59AE">
        <w:rPr>
          <w:noProof/>
        </w:rPr>
        <w:t>2.1</w:t>
      </w:r>
      <w:r>
        <w:rPr>
          <w:rFonts w:eastAsia="Calibri"/>
        </w:rPr>
        <w:fldChar w:fldCharType="end"/>
      </w:r>
      <w:r w:rsidRPr="00103B25">
        <w:rPr>
          <w:rFonts w:eastAsia="Calibri"/>
        </w:rPr>
        <w:t>.</w:t>
      </w:r>
    </w:p>
    <w:p w:rsidR="000408CA" w:rsidRDefault="000408CA" w:rsidP="000408CA">
      <w:pPr>
        <w:pStyle w:val="AERrevisionbox"/>
        <w:numPr>
          <w:ilvl w:val="0"/>
          <w:numId w:val="24"/>
        </w:numPr>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752809">
        <w:rPr>
          <w:rStyle w:val="Strong"/>
          <w:rFonts w:eastAsia="Calibri"/>
        </w:rPr>
        <w:t>Revision 2.</w:t>
      </w:r>
      <w:r w:rsidR="00062EAA">
        <w:rPr>
          <w:rStyle w:val="Strong"/>
          <w:rFonts w:eastAsia="Calibri"/>
        </w:rPr>
        <w:t>2</w:t>
      </w:r>
      <w:r w:rsidRPr="00752809">
        <w:rPr>
          <w:rFonts w:eastAsia="Calibri"/>
        </w:rPr>
        <w:t xml:space="preserve">: Make all necessary amendments to reflect </w:t>
      </w:r>
      <w:r w:rsidR="00852687">
        <w:rPr>
          <w:rFonts w:eastAsia="Calibri"/>
        </w:rPr>
        <w:t>this</w:t>
      </w:r>
      <w:r w:rsidRPr="00752809">
        <w:rPr>
          <w:rFonts w:eastAsia="Calibri"/>
        </w:rPr>
        <w:t xml:space="preserve"> draft decision on the </w:t>
      </w:r>
      <w:r>
        <w:rPr>
          <w:rFonts w:eastAsia="Calibri"/>
        </w:rPr>
        <w:t>projected opening cap</w:t>
      </w:r>
      <w:r w:rsidRPr="00752809">
        <w:rPr>
          <w:rFonts w:eastAsia="Calibri"/>
        </w:rPr>
        <w:t xml:space="preserve">ital base for the </w:t>
      </w:r>
      <w:r w:rsidR="00BD690B">
        <w:rPr>
          <w:rFonts w:eastAsia="Calibri"/>
        </w:rPr>
        <w:t>2016–21</w:t>
      </w:r>
      <w:r w:rsidRPr="00752809">
        <w:rPr>
          <w:rFonts w:eastAsia="Calibri"/>
        </w:rPr>
        <w:t xml:space="preserve"> access arrangement period, as set out in</w:t>
      </w:r>
      <w:r>
        <w:rPr>
          <w:rFonts w:eastAsia="Calibri"/>
        </w:rPr>
        <w:t xml:space="preserve"> </w:t>
      </w:r>
      <w:r>
        <w:rPr>
          <w:rFonts w:eastAsia="Calibri"/>
        </w:rPr>
        <w:fldChar w:fldCharType="begin"/>
      </w:r>
      <w:r>
        <w:rPr>
          <w:rFonts w:eastAsia="Calibri"/>
        </w:rPr>
        <w:instrText xml:space="preserve"> REF _Ref404703901 \h </w:instrText>
      </w:r>
      <w:r>
        <w:rPr>
          <w:rFonts w:eastAsia="Calibri"/>
        </w:rPr>
      </w:r>
      <w:r>
        <w:rPr>
          <w:rFonts w:eastAsia="Calibri"/>
        </w:rPr>
        <w:fldChar w:fldCharType="separate"/>
      </w:r>
      <w:r w:rsidR="009C59AE">
        <w:t xml:space="preserve">Table </w:t>
      </w:r>
      <w:r w:rsidR="009C59AE">
        <w:rPr>
          <w:noProof/>
        </w:rPr>
        <w:t>2.2</w:t>
      </w:r>
      <w:r>
        <w:rPr>
          <w:rFonts w:eastAsia="Calibri"/>
        </w:rPr>
        <w:fldChar w:fldCharType="end"/>
      </w:r>
      <w:r>
        <w:rPr>
          <w:rFonts w:eastAsia="Calibri"/>
        </w:rPr>
        <w:t>.</w:t>
      </w:r>
    </w:p>
    <w:p w:rsidR="000408CA" w:rsidRPr="008639B0" w:rsidRDefault="000408CA" w:rsidP="000408CA">
      <w:pPr>
        <w:numPr>
          <w:ilvl w:val="0"/>
          <w:numId w:val="24"/>
        </w:numPr>
        <w:spacing w:before="0" w:after="240" w:line="288" w:lineRule="auto"/>
        <w:jc w:val="both"/>
      </w:pPr>
    </w:p>
    <w:p w:rsidR="00474EC7" w:rsidRPr="00474EC7" w:rsidRDefault="00474EC7" w:rsidP="00474EC7"/>
    <w:sectPr w:rsidR="00474EC7" w:rsidRPr="00474EC7" w:rsidSect="00A31D00">
      <w:headerReference w:type="even" r:id="rId13"/>
      <w:footerReference w:type="even" r:id="rId14"/>
      <w:footerReference w:type="default" r:id="rId15"/>
      <w:headerReference w:type="first" r:id="rId16"/>
      <w:pgSz w:w="11906" w:h="16838" w:code="9"/>
      <w:pgMar w:top="1134" w:right="1700" w:bottom="1134"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C3" w:rsidRPr="00290C63" w:rsidRDefault="000402C3" w:rsidP="00290C63">
      <w:r>
        <w:separator/>
      </w:r>
    </w:p>
    <w:p w:rsidR="000402C3" w:rsidRDefault="000402C3"/>
  </w:endnote>
  <w:endnote w:type="continuationSeparator" w:id="0">
    <w:p w:rsidR="000402C3" w:rsidRPr="00290C63" w:rsidRDefault="000402C3" w:rsidP="00290C63">
      <w:r>
        <w:continuationSeparator/>
      </w:r>
    </w:p>
    <w:p w:rsidR="000402C3" w:rsidRDefault="0004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C3" w:rsidRDefault="000402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402C3" w:rsidRDefault="000402C3">
    <w:pPr>
      <w:pStyle w:val="Footer"/>
    </w:pPr>
  </w:p>
  <w:p w:rsidR="000402C3" w:rsidRDefault="000402C3">
    <w:pPr>
      <w:pStyle w:val="Footer"/>
    </w:pPr>
    <w:r>
      <w:fldChar w:fldCharType="begin"/>
    </w:r>
    <w:r>
      <w:instrText xml:space="preserve"> DOCPROPERTY DocumentID \* MERGEFORMAT </w:instrText>
    </w:r>
    <w:r>
      <w:fldChar w:fldCharType="separate"/>
    </w:r>
    <w:r w:rsidR="009C59AE">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93829"/>
      <w:docPartObj>
        <w:docPartGallery w:val="Page Numbers (Bottom of Page)"/>
        <w:docPartUnique/>
      </w:docPartObj>
    </w:sdtPr>
    <w:sdtEndPr/>
    <w:sdtContent>
      <w:p w:rsidR="000402C3" w:rsidRPr="00CA52A2" w:rsidRDefault="000402C3" w:rsidP="00CA52A2">
        <w:pPr>
          <w:pStyle w:val="Footer"/>
        </w:pPr>
        <w:r w:rsidRPr="00CA52A2">
          <w:fldChar w:fldCharType="begin"/>
        </w:r>
        <w:r>
          <w:instrText xml:space="preserve"> PAGE   \* MERGEFORMAT </w:instrText>
        </w:r>
        <w:r w:rsidRPr="00CA52A2">
          <w:fldChar w:fldCharType="separate"/>
        </w:r>
        <w:r w:rsidR="00777F95">
          <w:rPr>
            <w:noProof/>
          </w:rPr>
          <w:t>2-7</w:t>
        </w:r>
        <w:r w:rsidRPr="00CA52A2">
          <w:fldChar w:fldCharType="end"/>
        </w:r>
        <w:r w:rsidRPr="00CA52A2">
          <w:t xml:space="preserve">   </w:t>
        </w:r>
        <w:r>
          <w:t xml:space="preserve"> </w:t>
        </w:r>
        <w:r w:rsidRPr="00CA52A2">
          <w:t xml:space="preserve">Attachment </w:t>
        </w:r>
        <w:r>
          <w:t xml:space="preserve">2 </w:t>
        </w:r>
        <w:r w:rsidRPr="00CA52A2">
          <w:t xml:space="preserve">– </w:t>
        </w:r>
        <w:r>
          <w:t xml:space="preserve">Capital base </w:t>
        </w:r>
        <w:r w:rsidRPr="00CA52A2">
          <w:t xml:space="preserve">| </w:t>
        </w:r>
        <w:r>
          <w:t>Draft decision: Amadeus Gas Pipeline Access Arrangement 2016</w:t>
        </w:r>
        <w:r w:rsidRPr="00CA52A2">
          <w:t>–</w:t>
        </w:r>
        <w:r>
          <w:t>21</w:t>
        </w:r>
      </w:p>
    </w:sdtContent>
  </w:sdt>
  <w:p w:rsidR="000402C3" w:rsidRDefault="000402C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C3" w:rsidRPr="00290C63" w:rsidRDefault="000402C3" w:rsidP="00290C63">
      <w:r>
        <w:separator/>
      </w:r>
    </w:p>
    <w:p w:rsidR="000402C3" w:rsidRDefault="000402C3"/>
  </w:footnote>
  <w:footnote w:type="continuationSeparator" w:id="0">
    <w:p w:rsidR="000402C3" w:rsidRPr="00290C63" w:rsidRDefault="000402C3" w:rsidP="00290C63">
      <w:r>
        <w:continuationSeparator/>
      </w:r>
    </w:p>
    <w:p w:rsidR="000402C3" w:rsidRDefault="000402C3"/>
  </w:footnote>
  <w:footnote w:id="1">
    <w:p w:rsidR="000402C3" w:rsidRPr="00CE62E5" w:rsidRDefault="000402C3" w:rsidP="000408CA">
      <w:pPr>
        <w:pStyle w:val="FootnoteText"/>
      </w:pPr>
      <w:r w:rsidRPr="00467610">
        <w:rPr>
          <w:rStyle w:val="FootnoteReference"/>
        </w:rPr>
        <w:footnoteRef/>
      </w:r>
      <w:r w:rsidRPr="00C06BD9">
        <w:rPr>
          <w:rStyle w:val="FootnoteReference"/>
        </w:rPr>
        <w:t xml:space="preserve"> </w:t>
      </w:r>
      <w:r w:rsidRPr="00CE62E5">
        <w:tab/>
        <w:t xml:space="preserve">The term 'rolled forward' means the process of carrying over the value of the capital base from one regulatory year to the next.     </w:t>
      </w:r>
    </w:p>
  </w:footnote>
  <w:footnote w:id="2">
    <w:p w:rsidR="000402C3" w:rsidRDefault="000402C3" w:rsidP="008C0DDA">
      <w:pPr>
        <w:pStyle w:val="FootnoteText"/>
        <w:ind w:left="0" w:firstLine="0"/>
      </w:pPr>
      <w:r>
        <w:rPr>
          <w:rStyle w:val="FootnoteReference"/>
        </w:rPr>
        <w:footnoteRef/>
      </w:r>
      <w:r>
        <w:t xml:space="preserve"> </w:t>
      </w:r>
      <w:r>
        <w:tab/>
        <w:t xml:space="preserve">APTNT, </w:t>
      </w:r>
      <w:r>
        <w:rPr>
          <w:rStyle w:val="AERtextitalic"/>
        </w:rPr>
        <w:t xml:space="preserve">2016–21 </w:t>
      </w:r>
      <w:r w:rsidRPr="006D5605">
        <w:rPr>
          <w:rStyle w:val="AERtextitalic"/>
        </w:rPr>
        <w:t xml:space="preserve">Access arrangement </w:t>
      </w:r>
      <w:r>
        <w:rPr>
          <w:rStyle w:val="AERtextitalic"/>
        </w:rPr>
        <w:t>revision submission</w:t>
      </w:r>
      <w:r w:rsidR="008C0DDA">
        <w:t>, August 2015, table 7.</w:t>
      </w:r>
      <w:r>
        <w:t>4</w:t>
      </w:r>
      <w:r w:rsidR="001537D6">
        <w:t>,</w:t>
      </w:r>
      <w:r>
        <w:t xml:space="preserve"> p. 97.</w:t>
      </w:r>
    </w:p>
  </w:footnote>
  <w:footnote w:id="3">
    <w:p w:rsidR="000402C3" w:rsidRDefault="000402C3" w:rsidP="00B74E1F">
      <w:pPr>
        <w:pStyle w:val="FootnoteText"/>
      </w:pPr>
      <w:r>
        <w:rPr>
          <w:rStyle w:val="FootnoteReference"/>
        </w:rPr>
        <w:footnoteRef/>
      </w:r>
      <w:r>
        <w:t xml:space="preserve"> </w:t>
      </w:r>
      <w:r>
        <w:tab/>
        <w:t xml:space="preserve">APTNT, </w:t>
      </w:r>
      <w:r>
        <w:rPr>
          <w:rStyle w:val="AERtextitalic"/>
        </w:rPr>
        <w:t xml:space="preserve">2016–21 </w:t>
      </w:r>
      <w:r w:rsidRPr="006D5605">
        <w:rPr>
          <w:rStyle w:val="AERtextitalic"/>
        </w:rPr>
        <w:t xml:space="preserve">Access arrangement </w:t>
      </w:r>
      <w:r>
        <w:rPr>
          <w:rStyle w:val="AERtextitalic"/>
        </w:rPr>
        <w:t>revision submission</w:t>
      </w:r>
      <w:r>
        <w:t>, August 2015, p. 97.</w:t>
      </w:r>
    </w:p>
  </w:footnote>
  <w:footnote w:id="4">
    <w:p w:rsidR="000402C3" w:rsidRPr="00DB7DCA" w:rsidRDefault="000402C3" w:rsidP="00DB7DCA">
      <w:pPr>
        <w:pStyle w:val="FootnoteText"/>
      </w:pPr>
      <w:r>
        <w:rPr>
          <w:rStyle w:val="FootnoteReference"/>
        </w:rPr>
        <w:footnoteRef/>
      </w:r>
      <w:r>
        <w:t xml:space="preserve"> </w:t>
      </w:r>
      <w:r>
        <w:tab/>
        <w:t xml:space="preserve">For example, </w:t>
      </w:r>
      <w:r>
        <w:rPr>
          <w:rFonts w:eastAsia="Calibri"/>
        </w:rPr>
        <w:t>AER</w:t>
      </w:r>
      <w:r>
        <w:rPr>
          <w:rStyle w:val="AERtextitalic"/>
          <w:rFonts w:eastAsia="Calibri"/>
        </w:rPr>
        <w:t xml:space="preserve">: APT Petroleum pipeline Pty Ltd access arrangement final decision Roma to Brisbane pipeline, August 2012; AER: Access arrangement final decision APA GasNet Australia (Operations) Pty Ltd 2013–17 Part 2: Attachments, </w:t>
      </w:r>
      <w:r w:rsidRPr="003430F2">
        <w:rPr>
          <w:rStyle w:val="AERtextitalic"/>
          <w:rFonts w:eastAsia="Calibri"/>
          <w:i w:val="0"/>
        </w:rPr>
        <w:t>March 2013</w:t>
      </w:r>
      <w:r>
        <w:rPr>
          <w:rStyle w:val="AERtextitalic"/>
          <w:rFonts w:eastAsia="Calibri"/>
        </w:rPr>
        <w:t>.</w:t>
      </w:r>
    </w:p>
  </w:footnote>
  <w:footnote w:id="5">
    <w:p w:rsidR="000402C3" w:rsidRDefault="000402C3" w:rsidP="000408CA">
      <w:pPr>
        <w:pStyle w:val="FootnoteText"/>
      </w:pPr>
      <w:r>
        <w:rPr>
          <w:rStyle w:val="FootnoteReference"/>
        </w:rPr>
        <w:footnoteRef/>
      </w:r>
      <w:r>
        <w:t xml:space="preserve"> </w:t>
      </w:r>
      <w:r>
        <w:tab/>
      </w:r>
      <w:r w:rsidRPr="005819F1">
        <w:rPr>
          <w:rFonts w:eastAsia="Calibri"/>
        </w:rPr>
        <w:t>NGR</w:t>
      </w:r>
      <w:r>
        <w:rPr>
          <w:rFonts w:eastAsia="Calibri"/>
        </w:rPr>
        <w:t>,</w:t>
      </w:r>
      <w:r w:rsidRPr="005819F1">
        <w:rPr>
          <w:rFonts w:eastAsia="Calibri"/>
        </w:rPr>
        <w:t xml:space="preserve"> r. 77(2)</w:t>
      </w:r>
      <w:r>
        <w:rPr>
          <w:rFonts w:eastAsia="Calibri"/>
        </w:rPr>
        <w:t>.</w:t>
      </w:r>
    </w:p>
  </w:footnote>
  <w:footnote w:id="6">
    <w:p w:rsidR="000402C3" w:rsidRDefault="000402C3" w:rsidP="000408CA">
      <w:pPr>
        <w:pStyle w:val="FootnoteText"/>
      </w:pPr>
      <w:r>
        <w:rPr>
          <w:rStyle w:val="FootnoteReference"/>
        </w:rPr>
        <w:footnoteRef/>
      </w:r>
      <w:r>
        <w:t xml:space="preserve"> </w:t>
      </w:r>
      <w:r>
        <w:tab/>
      </w:r>
      <w:r w:rsidRPr="00825413">
        <w:rPr>
          <w:rFonts w:eastAsia="Calibri"/>
        </w:rPr>
        <w:t>NGR, r. 77(2).</w:t>
      </w:r>
    </w:p>
  </w:footnote>
  <w:footnote w:id="7">
    <w:p w:rsidR="000402C3" w:rsidRDefault="000402C3" w:rsidP="000408CA">
      <w:pPr>
        <w:pStyle w:val="FootnoteText"/>
      </w:pPr>
      <w:r>
        <w:rPr>
          <w:rStyle w:val="FootnoteReference"/>
        </w:rPr>
        <w:footnoteRef/>
      </w:r>
      <w:r>
        <w:t xml:space="preserve"> </w:t>
      </w:r>
      <w:r>
        <w:tab/>
      </w:r>
      <w:r w:rsidRPr="008C7C1B">
        <w:rPr>
          <w:rFonts w:eastAsia="Calibri"/>
        </w:rPr>
        <w:t>NGR</w:t>
      </w:r>
      <w:r>
        <w:rPr>
          <w:rFonts w:eastAsia="Calibri"/>
        </w:rPr>
        <w:t>,</w:t>
      </w:r>
      <w:r w:rsidRPr="008C7C1B">
        <w:rPr>
          <w:rFonts w:eastAsia="Calibri"/>
        </w:rPr>
        <w:t xml:space="preserve"> r. 78</w:t>
      </w:r>
      <w:r>
        <w:rPr>
          <w:rFonts w:eastAsia="Calibri"/>
        </w:rPr>
        <w:t>.</w:t>
      </w:r>
    </w:p>
  </w:footnote>
  <w:footnote w:id="8">
    <w:p w:rsidR="000402C3" w:rsidRDefault="000402C3" w:rsidP="000408CA">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9">
    <w:p w:rsidR="000402C3" w:rsidRDefault="000402C3" w:rsidP="000408CA">
      <w:pPr>
        <w:pStyle w:val="FootnoteText"/>
      </w:pPr>
      <w:r>
        <w:rPr>
          <w:rStyle w:val="FootnoteReference"/>
        </w:rPr>
        <w:footnoteRef/>
      </w:r>
      <w:r>
        <w:t xml:space="preserve"> </w:t>
      </w:r>
      <w:r>
        <w:tab/>
        <w:t xml:space="preserve">Net capex is gross capex less disposals and capital contribution. </w:t>
      </w:r>
    </w:p>
  </w:footnote>
  <w:footnote w:id="10">
    <w:p w:rsidR="000402C3" w:rsidRDefault="000402C3" w:rsidP="00AB3C32">
      <w:pPr>
        <w:pStyle w:val="FootnoteText"/>
      </w:pPr>
      <w:r>
        <w:rPr>
          <w:rStyle w:val="FootnoteReference"/>
        </w:rPr>
        <w:footnoteRef/>
      </w:r>
      <w:r>
        <w:t xml:space="preserve"> </w:t>
      </w:r>
      <w:r>
        <w:tab/>
      </w:r>
      <w:r w:rsidRPr="005401F8">
        <w:t xml:space="preserve">If capex causes the capital base increase, then return on capital, depreciation, and debt raising costs </w:t>
      </w:r>
      <w:r w:rsidR="00E74A73">
        <w:t xml:space="preserve">will </w:t>
      </w:r>
      <w:r w:rsidRPr="005401F8">
        <w:t>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11">
    <w:p w:rsidR="000402C3" w:rsidRDefault="000402C3" w:rsidP="00A8323E">
      <w:pPr>
        <w:pStyle w:val="FootnoteText"/>
      </w:pPr>
      <w:r>
        <w:rPr>
          <w:rStyle w:val="FootnoteReference"/>
        </w:rPr>
        <w:footnoteRef/>
      </w:r>
      <w:r>
        <w:t xml:space="preserve"> </w:t>
      </w:r>
      <w:r>
        <w:tab/>
        <w:t xml:space="preserve">APTNT, </w:t>
      </w:r>
      <w:r w:rsidRPr="00BB6265">
        <w:rPr>
          <w:i/>
        </w:rPr>
        <w:t xml:space="preserve">Response to AER information request: AER </w:t>
      </w:r>
      <w:r>
        <w:rPr>
          <w:i/>
        </w:rPr>
        <w:t>Amadeus</w:t>
      </w:r>
      <w:r w:rsidRPr="00BB6265">
        <w:rPr>
          <w:i/>
        </w:rPr>
        <w:t xml:space="preserve"> 0</w:t>
      </w:r>
      <w:r>
        <w:rPr>
          <w:i/>
        </w:rPr>
        <w:t>5</w:t>
      </w:r>
      <w:r w:rsidRPr="00BB6265">
        <w:rPr>
          <w:i/>
        </w:rPr>
        <w:t xml:space="preserve"> – RFM</w:t>
      </w:r>
      <w:r>
        <w:t>, 16 September 2015.</w:t>
      </w:r>
    </w:p>
  </w:footnote>
  <w:footnote w:id="12">
    <w:p w:rsidR="000402C3" w:rsidRDefault="000402C3" w:rsidP="00893DFB">
      <w:pPr>
        <w:pStyle w:val="FootnoteText"/>
      </w:pPr>
      <w:r>
        <w:rPr>
          <w:rStyle w:val="FootnoteReference"/>
        </w:rPr>
        <w:footnoteRef/>
      </w:r>
      <w:r>
        <w:t xml:space="preserve"> </w:t>
      </w:r>
      <w:r>
        <w:tab/>
        <w:t>NGR, r. 77(2)(a).</w:t>
      </w:r>
    </w:p>
  </w:footnote>
  <w:footnote w:id="13">
    <w:p w:rsidR="000402C3" w:rsidRDefault="000402C3" w:rsidP="000408CA">
      <w:pPr>
        <w:pStyle w:val="FootnoteText"/>
      </w:pPr>
      <w:r>
        <w:rPr>
          <w:rStyle w:val="FootnoteReference"/>
        </w:rPr>
        <w:footnoteRef/>
      </w:r>
      <w:r>
        <w:t xml:space="preserve"> </w:t>
      </w:r>
      <w:r>
        <w:tab/>
      </w:r>
      <w:r w:rsidRPr="00100B35">
        <w:t xml:space="preserve">NGR, </w:t>
      </w:r>
      <w:r w:rsidRPr="00100B35">
        <w:rPr>
          <w:rFonts w:eastAsia="Calibri"/>
        </w:rPr>
        <w:t>r. 77(2)(b).</w:t>
      </w:r>
    </w:p>
  </w:footnote>
  <w:footnote w:id="14">
    <w:p w:rsidR="000402C3" w:rsidRDefault="000402C3" w:rsidP="000408CA">
      <w:pPr>
        <w:pStyle w:val="FootnoteText"/>
      </w:pPr>
      <w:r>
        <w:rPr>
          <w:rStyle w:val="FootnoteReference"/>
        </w:rPr>
        <w:footnoteRef/>
      </w:r>
      <w:r>
        <w:t xml:space="preserve"> </w:t>
      </w:r>
      <w:r>
        <w:tab/>
        <w:t xml:space="preserve">NGR, </w:t>
      </w:r>
      <w:r w:rsidRPr="004C1441">
        <w:rPr>
          <w:rFonts w:eastAsia="Calibri"/>
        </w:rPr>
        <w:t>r. 77(2)(d)</w:t>
      </w:r>
      <w:r>
        <w:rPr>
          <w:rFonts w:eastAsia="Calibri"/>
        </w:rPr>
        <w:t>.</w:t>
      </w:r>
    </w:p>
  </w:footnote>
  <w:footnote w:id="15">
    <w:p w:rsidR="000402C3" w:rsidRDefault="000402C3" w:rsidP="002216C4">
      <w:pPr>
        <w:pStyle w:val="FootnoteText"/>
      </w:pPr>
      <w:r>
        <w:rPr>
          <w:rStyle w:val="FootnoteReference"/>
        </w:rPr>
        <w:footnoteRef/>
      </w:r>
      <w:r>
        <w:t xml:space="preserve"> </w:t>
      </w:r>
      <w:r>
        <w:tab/>
        <w:t xml:space="preserve">APTNT, </w:t>
      </w:r>
      <w:r w:rsidRPr="00BB6265">
        <w:rPr>
          <w:i/>
        </w:rPr>
        <w:t xml:space="preserve">Response to AER information request: AER </w:t>
      </w:r>
      <w:r>
        <w:rPr>
          <w:i/>
        </w:rPr>
        <w:t>Amadeus 012–Revenue and depreciation</w:t>
      </w:r>
      <w:r>
        <w:t xml:space="preserve">, 7 October 2015, </w:t>
      </w:r>
      <w:r>
        <w:br/>
        <w:t>p. 2.</w:t>
      </w:r>
    </w:p>
  </w:footnote>
  <w:footnote w:id="16">
    <w:p w:rsidR="000402C3" w:rsidRDefault="000402C3" w:rsidP="00905647">
      <w:pPr>
        <w:pStyle w:val="FootnoteText"/>
      </w:pPr>
      <w:r>
        <w:rPr>
          <w:rStyle w:val="FootnoteReference"/>
        </w:rPr>
        <w:footnoteRef/>
      </w:r>
      <w:r>
        <w:t xml:space="preserve"> </w:t>
      </w:r>
      <w:r>
        <w:tab/>
        <w:t xml:space="preserve">NGR, </w:t>
      </w:r>
      <w:r>
        <w:rPr>
          <w:rFonts w:eastAsia="Calibri"/>
        </w:rPr>
        <w:t>r. 77(2).</w:t>
      </w:r>
    </w:p>
  </w:footnote>
  <w:footnote w:id="17">
    <w:p w:rsidR="000402C3" w:rsidRDefault="000402C3" w:rsidP="00905647">
      <w:pPr>
        <w:pStyle w:val="FootnoteText"/>
      </w:pPr>
      <w:r>
        <w:rPr>
          <w:rStyle w:val="FootnoteReference"/>
        </w:rPr>
        <w:footnoteRef/>
      </w:r>
      <w:r>
        <w:t xml:space="preserve"> </w:t>
      </w:r>
      <w:r>
        <w:tab/>
      </w:r>
      <w:r w:rsidR="00472361">
        <w:t>APTNT</w:t>
      </w:r>
      <w:r>
        <w:t xml:space="preserve">, </w:t>
      </w:r>
      <w:r w:rsidR="00E65D35">
        <w:rPr>
          <w:rStyle w:val="AERtextitalic"/>
        </w:rPr>
        <w:t>Proposed PTRM</w:t>
      </w:r>
      <w:r>
        <w:t xml:space="preserve">, </w:t>
      </w:r>
      <w:r w:rsidR="00472361">
        <w:t>August</w:t>
      </w:r>
      <w:r w:rsidR="00E65D35">
        <w:t xml:space="preserve"> 2015</w:t>
      </w:r>
      <w:r>
        <w:t xml:space="preserve">. </w:t>
      </w:r>
      <w:r w:rsidRPr="00357ACD">
        <w:t>The amount of the forecast depreciation</w:t>
      </w:r>
      <w:r>
        <w:t xml:space="preserve"> to be used for rolling forward the capital base at the next reset</w:t>
      </w:r>
      <w:r w:rsidRPr="00357ACD">
        <w:t xml:space="preserve"> </w:t>
      </w:r>
      <w:r>
        <w:t>will be set out</w:t>
      </w:r>
      <w:r w:rsidRPr="00357ACD">
        <w:t xml:space="preserve"> in </w:t>
      </w:r>
      <w:r>
        <w:t>our</w:t>
      </w:r>
      <w:r w:rsidRPr="00357ACD">
        <w:t xml:space="preserve"> final decision for</w:t>
      </w:r>
      <w:r w:rsidR="00472361">
        <w:t xml:space="preserve"> APTNT’s</w:t>
      </w:r>
      <w:r>
        <w:t xml:space="preserve"> </w:t>
      </w:r>
      <w:r w:rsidRPr="00357ACD">
        <w:t>2016–21 access arrangement period.</w:t>
      </w:r>
    </w:p>
  </w:footnote>
  <w:footnote w:id="18">
    <w:p w:rsidR="000402C3" w:rsidRDefault="000402C3" w:rsidP="00905647">
      <w:pPr>
        <w:pStyle w:val="FootnoteText"/>
      </w:pPr>
      <w:r>
        <w:rPr>
          <w:rStyle w:val="FootnoteReference"/>
        </w:rPr>
        <w:footnoteRef/>
      </w:r>
      <w:r>
        <w:t xml:space="preserve"> </w:t>
      </w:r>
      <w:r>
        <w:tab/>
      </w:r>
      <w:r>
        <w:rPr>
          <w:rFonts w:eastAsia="Calibri"/>
        </w:rPr>
        <w:t xml:space="preserve">AER, </w:t>
      </w:r>
      <w:r>
        <w:rPr>
          <w:rStyle w:val="AERtextitalic"/>
          <w:rFonts w:eastAsia="Calibri"/>
        </w:rPr>
        <w:t>Final decision: APT Allgas access arrangement</w:t>
      </w:r>
      <w:r>
        <w:rPr>
          <w:rFonts w:eastAsia="Calibri"/>
        </w:rPr>
        <w:t xml:space="preserve">, June 2011, p. 13; AER, </w:t>
      </w:r>
      <w:r>
        <w:rPr>
          <w:rStyle w:val="AERtextitalic"/>
          <w:rFonts w:eastAsia="Calibri"/>
        </w:rPr>
        <w:t>Final decision: Envestra access arrangement Qld</w:t>
      </w:r>
      <w:r>
        <w:rPr>
          <w:rFonts w:eastAsia="Calibri"/>
        </w:rPr>
        <w:t xml:space="preserve">, June 2011, p. 25; AER, </w:t>
      </w:r>
      <w:r>
        <w:rPr>
          <w:rStyle w:val="AERtextitalic"/>
          <w:rFonts w:eastAsia="Calibri"/>
        </w:rPr>
        <w:t>Final decision: Envestra access arrangement SA</w:t>
      </w:r>
      <w:r>
        <w:rPr>
          <w:rFonts w:eastAsia="Calibri"/>
        </w:rPr>
        <w:t xml:space="preserve">, June 2011, p. 28; AER, </w:t>
      </w:r>
      <w:r>
        <w:rPr>
          <w:rStyle w:val="AERtextitalic"/>
          <w:rFonts w:eastAsia="Calibri"/>
        </w:rPr>
        <w:t>Final decision: Envestra (Victoria) access arrangement proposal 2013–17 Part2: Attachments</w:t>
      </w:r>
      <w:r>
        <w:rPr>
          <w:rFonts w:eastAsia="Calibri"/>
        </w:rPr>
        <w:t xml:space="preserve">, March 2013, p. 24; AER, </w:t>
      </w:r>
      <w:r>
        <w:rPr>
          <w:rStyle w:val="AERtextitalic"/>
          <w:rFonts w:eastAsia="Calibri"/>
        </w:rPr>
        <w:t>Final decision: AusNet (SP AusNet) arrangement proposal 2013–17 Part2: Attachments</w:t>
      </w:r>
      <w:r>
        <w:rPr>
          <w:rFonts w:eastAsia="Calibri"/>
        </w:rPr>
        <w:t>, March 2013, p. 23; AER,</w:t>
      </w:r>
      <w:r>
        <w:rPr>
          <w:rStyle w:val="AERtextitalic"/>
          <w:rFonts w:eastAsia="Calibri"/>
        </w:rPr>
        <w:t xml:space="preserve"> Final decision: MultiNet Gas arrangement proposal 2013–17</w:t>
      </w:r>
      <w:r>
        <w:rPr>
          <w:rFonts w:eastAsia="Calibri"/>
        </w:rPr>
        <w:t xml:space="preserve">, March 2013, p. 2; AER, </w:t>
      </w:r>
      <w:r w:rsidRPr="007530D7">
        <w:rPr>
          <w:rFonts w:eastAsia="Calibri"/>
          <w:i/>
        </w:rPr>
        <w:t>Final decision: Jemena Gas Networks 2015–20, Attachment 2</w:t>
      </w:r>
      <w:r>
        <w:rPr>
          <w:rFonts w:eastAsia="Calibri"/>
        </w:rPr>
        <w:t>, June 2015, p. 2.</w:t>
      </w:r>
    </w:p>
  </w:footnote>
  <w:footnote w:id="19">
    <w:p w:rsidR="000402C3" w:rsidRDefault="000402C3" w:rsidP="00905647">
      <w:pPr>
        <w:pStyle w:val="FootnoteText"/>
      </w:pPr>
      <w:r>
        <w:rPr>
          <w:rStyle w:val="FootnoteReference"/>
        </w:rPr>
        <w:footnoteRef/>
      </w:r>
      <w:r>
        <w:t xml:space="preserve"> </w:t>
      </w:r>
      <w:r>
        <w:tab/>
        <w:t xml:space="preserve">AER, </w:t>
      </w:r>
      <w:r>
        <w:rPr>
          <w:rStyle w:val="AERtextitalic"/>
        </w:rPr>
        <w:t>Final access arrangement guideline</w:t>
      </w:r>
      <w:r>
        <w:t>, March 2009, pp. 61</w:t>
      </w:r>
      <w:r>
        <w:rPr>
          <w:rFonts w:cs="Gautami"/>
        </w:rPr>
        <w:t>–</w:t>
      </w:r>
      <w:r>
        <w:t>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C3" w:rsidRDefault="00777F9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402C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C3" w:rsidRDefault="00777F9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BCA715F"/>
    <w:multiLevelType w:val="hybridMultilevel"/>
    <w:tmpl w:val="B98CAC30"/>
    <w:lvl w:ilvl="0" w:tplc="C2606C5E">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817E15"/>
    <w:multiLevelType w:val="hybridMultilevel"/>
    <w:tmpl w:val="8328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2E0CCE9C"/>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2"/>
  </w:num>
  <w:num w:numId="15">
    <w:abstractNumId w:val="14"/>
  </w:num>
  <w:num w:numId="16">
    <w:abstractNumId w:val="23"/>
  </w:num>
  <w:num w:numId="17">
    <w:abstractNumId w:val="11"/>
  </w:num>
  <w:num w:numId="18">
    <w:abstractNumId w:val="16"/>
  </w:num>
  <w:num w:numId="19">
    <w:abstractNumId w:val="24"/>
  </w:num>
  <w:num w:numId="20">
    <w:abstractNumId w:val="30"/>
  </w:num>
  <w:num w:numId="21">
    <w:abstractNumId w:val="27"/>
  </w:num>
  <w:num w:numId="22">
    <w:abstractNumId w:val="25"/>
  </w:num>
  <w:num w:numId="23">
    <w:abstractNumId w:val="17"/>
  </w:num>
  <w:num w:numId="24">
    <w:abstractNumId w:val="26"/>
  </w:num>
  <w:num w:numId="25">
    <w:abstractNumId w:val="28"/>
  </w:num>
  <w:num w:numId="26">
    <w:abstractNumId w:val="19"/>
  </w:num>
  <w:num w:numId="27">
    <w:abstractNumId w:val="1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num>
  <w:num w:numId="31">
    <w:abstractNumId w:val="31"/>
  </w:num>
  <w:num w:numId="32">
    <w:abstractNumId w:val="9"/>
  </w:num>
  <w:num w:numId="33">
    <w:abstractNumId w:val="28"/>
  </w:num>
  <w:num w:numId="34">
    <w:abstractNumId w:val="28"/>
  </w:num>
  <w:num w:numId="35">
    <w:abstractNumId w:val="28"/>
  </w:num>
  <w:num w:numId="36">
    <w:abstractNumId w:val="10"/>
  </w:num>
  <w:num w:numId="37">
    <w:abstractNumId w:val="32"/>
  </w:num>
  <w:num w:numId="38">
    <w:abstractNumId w:val="32"/>
  </w:num>
  <w:num w:numId="39">
    <w:abstractNumId w:val="22"/>
  </w:num>
  <w:num w:numId="40">
    <w:abstractNumId w:val="32"/>
  </w:num>
  <w:num w:numId="4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504F"/>
    <w:rsid w:val="00021202"/>
    <w:rsid w:val="00021C2B"/>
    <w:rsid w:val="00024AAA"/>
    <w:rsid w:val="0002517F"/>
    <w:rsid w:val="00026495"/>
    <w:rsid w:val="00032E6D"/>
    <w:rsid w:val="0003578C"/>
    <w:rsid w:val="00035C5B"/>
    <w:rsid w:val="00037DAB"/>
    <w:rsid w:val="000401AF"/>
    <w:rsid w:val="000402C3"/>
    <w:rsid w:val="000408CA"/>
    <w:rsid w:val="000508D7"/>
    <w:rsid w:val="0005237F"/>
    <w:rsid w:val="00060D7C"/>
    <w:rsid w:val="00062EAA"/>
    <w:rsid w:val="00063247"/>
    <w:rsid w:val="00070F9F"/>
    <w:rsid w:val="0007137B"/>
    <w:rsid w:val="00084E79"/>
    <w:rsid w:val="00085663"/>
    <w:rsid w:val="00085EBF"/>
    <w:rsid w:val="00091B15"/>
    <w:rsid w:val="000A3020"/>
    <w:rsid w:val="000A6C7B"/>
    <w:rsid w:val="000B483C"/>
    <w:rsid w:val="000C2973"/>
    <w:rsid w:val="000C2B40"/>
    <w:rsid w:val="000D06C1"/>
    <w:rsid w:val="000D074A"/>
    <w:rsid w:val="000D122C"/>
    <w:rsid w:val="000D3016"/>
    <w:rsid w:val="000D4D20"/>
    <w:rsid w:val="000D64F2"/>
    <w:rsid w:val="000E1819"/>
    <w:rsid w:val="000E4821"/>
    <w:rsid w:val="000E6C72"/>
    <w:rsid w:val="000F0B2B"/>
    <w:rsid w:val="000F3E72"/>
    <w:rsid w:val="000F48B1"/>
    <w:rsid w:val="000F707A"/>
    <w:rsid w:val="00103A67"/>
    <w:rsid w:val="0010506E"/>
    <w:rsid w:val="0011047B"/>
    <w:rsid w:val="0011221E"/>
    <w:rsid w:val="00116EB2"/>
    <w:rsid w:val="00117A80"/>
    <w:rsid w:val="00124609"/>
    <w:rsid w:val="00126A4C"/>
    <w:rsid w:val="001374C2"/>
    <w:rsid w:val="00142AB6"/>
    <w:rsid w:val="001445D3"/>
    <w:rsid w:val="0014573B"/>
    <w:rsid w:val="0015118E"/>
    <w:rsid w:val="001537D6"/>
    <w:rsid w:val="001573E4"/>
    <w:rsid w:val="00160756"/>
    <w:rsid w:val="0017232E"/>
    <w:rsid w:val="00174102"/>
    <w:rsid w:val="001754EE"/>
    <w:rsid w:val="00180157"/>
    <w:rsid w:val="00180B19"/>
    <w:rsid w:val="00185CB9"/>
    <w:rsid w:val="00186F77"/>
    <w:rsid w:val="001926A4"/>
    <w:rsid w:val="00192AD5"/>
    <w:rsid w:val="001A53D5"/>
    <w:rsid w:val="001B45A0"/>
    <w:rsid w:val="001B7D00"/>
    <w:rsid w:val="001C25A2"/>
    <w:rsid w:val="001C5019"/>
    <w:rsid w:val="001D055E"/>
    <w:rsid w:val="001F05A4"/>
    <w:rsid w:val="001F492E"/>
    <w:rsid w:val="001F6DA3"/>
    <w:rsid w:val="002010BC"/>
    <w:rsid w:val="002016E7"/>
    <w:rsid w:val="00201F98"/>
    <w:rsid w:val="00202E03"/>
    <w:rsid w:val="00203B99"/>
    <w:rsid w:val="0020478D"/>
    <w:rsid w:val="0020492C"/>
    <w:rsid w:val="00205A33"/>
    <w:rsid w:val="002216C4"/>
    <w:rsid w:val="00224DB9"/>
    <w:rsid w:val="00225D0A"/>
    <w:rsid w:val="00227DCE"/>
    <w:rsid w:val="0023276C"/>
    <w:rsid w:val="00233775"/>
    <w:rsid w:val="0023676B"/>
    <w:rsid w:val="00245D47"/>
    <w:rsid w:val="0025058F"/>
    <w:rsid w:val="00250DCF"/>
    <w:rsid w:val="00251745"/>
    <w:rsid w:val="0025200F"/>
    <w:rsid w:val="00252910"/>
    <w:rsid w:val="00260DE8"/>
    <w:rsid w:val="002633AE"/>
    <w:rsid w:val="00263AC0"/>
    <w:rsid w:val="00264264"/>
    <w:rsid w:val="0026772D"/>
    <w:rsid w:val="00272E6E"/>
    <w:rsid w:val="002853AA"/>
    <w:rsid w:val="00286874"/>
    <w:rsid w:val="00290C63"/>
    <w:rsid w:val="00295CB6"/>
    <w:rsid w:val="00296B65"/>
    <w:rsid w:val="002A126B"/>
    <w:rsid w:val="002A5A7B"/>
    <w:rsid w:val="002A63EF"/>
    <w:rsid w:val="002A6718"/>
    <w:rsid w:val="002A7014"/>
    <w:rsid w:val="002A7DEF"/>
    <w:rsid w:val="002B00EC"/>
    <w:rsid w:val="002B1003"/>
    <w:rsid w:val="002B153B"/>
    <w:rsid w:val="002B2C38"/>
    <w:rsid w:val="002B494D"/>
    <w:rsid w:val="002B573C"/>
    <w:rsid w:val="002C233C"/>
    <w:rsid w:val="002D23F8"/>
    <w:rsid w:val="002D72E8"/>
    <w:rsid w:val="002E280D"/>
    <w:rsid w:val="002E2847"/>
    <w:rsid w:val="002E7B22"/>
    <w:rsid w:val="002E7D85"/>
    <w:rsid w:val="002F1EA9"/>
    <w:rsid w:val="002F7986"/>
    <w:rsid w:val="00301B40"/>
    <w:rsid w:val="003029EE"/>
    <w:rsid w:val="0030370B"/>
    <w:rsid w:val="00305CC8"/>
    <w:rsid w:val="00307F6D"/>
    <w:rsid w:val="003177A2"/>
    <w:rsid w:val="0032311F"/>
    <w:rsid w:val="003271B5"/>
    <w:rsid w:val="00327A1E"/>
    <w:rsid w:val="003301EE"/>
    <w:rsid w:val="00331264"/>
    <w:rsid w:val="00334C8D"/>
    <w:rsid w:val="003417D4"/>
    <w:rsid w:val="00342761"/>
    <w:rsid w:val="00342CEA"/>
    <w:rsid w:val="003430F2"/>
    <w:rsid w:val="00343A18"/>
    <w:rsid w:val="00344473"/>
    <w:rsid w:val="003518B3"/>
    <w:rsid w:val="00361003"/>
    <w:rsid w:val="003718B2"/>
    <w:rsid w:val="003846F1"/>
    <w:rsid w:val="00384EFE"/>
    <w:rsid w:val="00385D66"/>
    <w:rsid w:val="00386BDB"/>
    <w:rsid w:val="003931A7"/>
    <w:rsid w:val="003A5FC4"/>
    <w:rsid w:val="003A6C5F"/>
    <w:rsid w:val="003B484F"/>
    <w:rsid w:val="003B7FBA"/>
    <w:rsid w:val="003C4F50"/>
    <w:rsid w:val="003C6949"/>
    <w:rsid w:val="003D1F7F"/>
    <w:rsid w:val="003D2219"/>
    <w:rsid w:val="003E48D3"/>
    <w:rsid w:val="003F174D"/>
    <w:rsid w:val="003F7442"/>
    <w:rsid w:val="004018E1"/>
    <w:rsid w:val="00415F31"/>
    <w:rsid w:val="00423348"/>
    <w:rsid w:val="00423A77"/>
    <w:rsid w:val="00430B46"/>
    <w:rsid w:val="0043595B"/>
    <w:rsid w:val="0043741A"/>
    <w:rsid w:val="00442B3F"/>
    <w:rsid w:val="004436DA"/>
    <w:rsid w:val="0045777E"/>
    <w:rsid w:val="00463C25"/>
    <w:rsid w:val="00466051"/>
    <w:rsid w:val="00466613"/>
    <w:rsid w:val="00472361"/>
    <w:rsid w:val="00474EC7"/>
    <w:rsid w:val="00476602"/>
    <w:rsid w:val="00480B4B"/>
    <w:rsid w:val="00485DC4"/>
    <w:rsid w:val="00486A8B"/>
    <w:rsid w:val="00494FBC"/>
    <w:rsid w:val="00495918"/>
    <w:rsid w:val="00496936"/>
    <w:rsid w:val="004A2B54"/>
    <w:rsid w:val="004A43D1"/>
    <w:rsid w:val="004B355D"/>
    <w:rsid w:val="004B4412"/>
    <w:rsid w:val="004C0383"/>
    <w:rsid w:val="004C0E97"/>
    <w:rsid w:val="004C348C"/>
    <w:rsid w:val="004D55BA"/>
    <w:rsid w:val="004E22EC"/>
    <w:rsid w:val="004E6E9D"/>
    <w:rsid w:val="004F64D2"/>
    <w:rsid w:val="004F6A0E"/>
    <w:rsid w:val="004F6D41"/>
    <w:rsid w:val="0050025F"/>
    <w:rsid w:val="00500852"/>
    <w:rsid w:val="005065F1"/>
    <w:rsid w:val="00530000"/>
    <w:rsid w:val="00530128"/>
    <w:rsid w:val="005306DB"/>
    <w:rsid w:val="00532467"/>
    <w:rsid w:val="0053491E"/>
    <w:rsid w:val="00537FD6"/>
    <w:rsid w:val="005438A5"/>
    <w:rsid w:val="005570DC"/>
    <w:rsid w:val="00564A4D"/>
    <w:rsid w:val="0056588A"/>
    <w:rsid w:val="00567BA5"/>
    <w:rsid w:val="00571B35"/>
    <w:rsid w:val="00571D57"/>
    <w:rsid w:val="00576101"/>
    <w:rsid w:val="00577A09"/>
    <w:rsid w:val="00580AC6"/>
    <w:rsid w:val="005829C2"/>
    <w:rsid w:val="00584D8F"/>
    <w:rsid w:val="00586819"/>
    <w:rsid w:val="005945CA"/>
    <w:rsid w:val="005969A9"/>
    <w:rsid w:val="0059704C"/>
    <w:rsid w:val="005970EA"/>
    <w:rsid w:val="00597CB1"/>
    <w:rsid w:val="005A3C0D"/>
    <w:rsid w:val="005A404D"/>
    <w:rsid w:val="005B1E3C"/>
    <w:rsid w:val="005B258D"/>
    <w:rsid w:val="005B3FB7"/>
    <w:rsid w:val="005B5D45"/>
    <w:rsid w:val="005B704A"/>
    <w:rsid w:val="005C0905"/>
    <w:rsid w:val="005C0A7F"/>
    <w:rsid w:val="005C26CC"/>
    <w:rsid w:val="005C4C9C"/>
    <w:rsid w:val="005C6428"/>
    <w:rsid w:val="005D7BA2"/>
    <w:rsid w:val="005E036B"/>
    <w:rsid w:val="005E36C2"/>
    <w:rsid w:val="005F47F9"/>
    <w:rsid w:val="006007DE"/>
    <w:rsid w:val="00601638"/>
    <w:rsid w:val="00610EF9"/>
    <w:rsid w:val="00612F4F"/>
    <w:rsid w:val="00615C6B"/>
    <w:rsid w:val="00620996"/>
    <w:rsid w:val="0062129E"/>
    <w:rsid w:val="00621DCE"/>
    <w:rsid w:val="0062595B"/>
    <w:rsid w:val="00632D6D"/>
    <w:rsid w:val="00642C3E"/>
    <w:rsid w:val="00645D9D"/>
    <w:rsid w:val="00651C3A"/>
    <w:rsid w:val="00651CB2"/>
    <w:rsid w:val="006553B6"/>
    <w:rsid w:val="006560CA"/>
    <w:rsid w:val="00660F8B"/>
    <w:rsid w:val="0066104A"/>
    <w:rsid w:val="00663DAD"/>
    <w:rsid w:val="00665649"/>
    <w:rsid w:val="006672AA"/>
    <w:rsid w:val="00673A54"/>
    <w:rsid w:val="00675E20"/>
    <w:rsid w:val="00676679"/>
    <w:rsid w:val="00683C89"/>
    <w:rsid w:val="006872A1"/>
    <w:rsid w:val="00691D9A"/>
    <w:rsid w:val="006A4066"/>
    <w:rsid w:val="006A6157"/>
    <w:rsid w:val="006B2385"/>
    <w:rsid w:val="006B2395"/>
    <w:rsid w:val="006B45A4"/>
    <w:rsid w:val="006B4CF9"/>
    <w:rsid w:val="006B785B"/>
    <w:rsid w:val="006B7AC8"/>
    <w:rsid w:val="006C1736"/>
    <w:rsid w:val="006C21A8"/>
    <w:rsid w:val="006C4798"/>
    <w:rsid w:val="006D550F"/>
    <w:rsid w:val="006F3AD1"/>
    <w:rsid w:val="006F3FC8"/>
    <w:rsid w:val="0070011E"/>
    <w:rsid w:val="00701CAB"/>
    <w:rsid w:val="00707563"/>
    <w:rsid w:val="0071186B"/>
    <w:rsid w:val="00721337"/>
    <w:rsid w:val="0072348C"/>
    <w:rsid w:val="00724A37"/>
    <w:rsid w:val="007303C3"/>
    <w:rsid w:val="00737520"/>
    <w:rsid w:val="00741C46"/>
    <w:rsid w:val="00741E23"/>
    <w:rsid w:val="007429BE"/>
    <w:rsid w:val="00743223"/>
    <w:rsid w:val="00746E01"/>
    <w:rsid w:val="00747EEA"/>
    <w:rsid w:val="00752855"/>
    <w:rsid w:val="00757364"/>
    <w:rsid w:val="00757BDF"/>
    <w:rsid w:val="007609D0"/>
    <w:rsid w:val="00763E5D"/>
    <w:rsid w:val="0076475E"/>
    <w:rsid w:val="00767740"/>
    <w:rsid w:val="00767D44"/>
    <w:rsid w:val="00777EE6"/>
    <w:rsid w:val="00777F95"/>
    <w:rsid w:val="00782EEA"/>
    <w:rsid w:val="00791F6E"/>
    <w:rsid w:val="007A6A74"/>
    <w:rsid w:val="007B186E"/>
    <w:rsid w:val="007B2C72"/>
    <w:rsid w:val="007C1C53"/>
    <w:rsid w:val="007C74BB"/>
    <w:rsid w:val="007D456E"/>
    <w:rsid w:val="007E1BE9"/>
    <w:rsid w:val="007E4904"/>
    <w:rsid w:val="007E4CB5"/>
    <w:rsid w:val="007E693E"/>
    <w:rsid w:val="007F066B"/>
    <w:rsid w:val="007F213A"/>
    <w:rsid w:val="007F6B3A"/>
    <w:rsid w:val="007F75C4"/>
    <w:rsid w:val="007F7FF9"/>
    <w:rsid w:val="008033C4"/>
    <w:rsid w:val="00806C88"/>
    <w:rsid w:val="0081034E"/>
    <w:rsid w:val="00817705"/>
    <w:rsid w:val="008221F2"/>
    <w:rsid w:val="00823C48"/>
    <w:rsid w:val="00825985"/>
    <w:rsid w:val="008344F6"/>
    <w:rsid w:val="0083510F"/>
    <w:rsid w:val="008408C5"/>
    <w:rsid w:val="0084664E"/>
    <w:rsid w:val="00851209"/>
    <w:rsid w:val="00852687"/>
    <w:rsid w:val="0085722A"/>
    <w:rsid w:val="00864B35"/>
    <w:rsid w:val="00867679"/>
    <w:rsid w:val="00882481"/>
    <w:rsid w:val="008837AC"/>
    <w:rsid w:val="0089160F"/>
    <w:rsid w:val="00893DFB"/>
    <w:rsid w:val="008A587D"/>
    <w:rsid w:val="008B2CB6"/>
    <w:rsid w:val="008B35CD"/>
    <w:rsid w:val="008B5FCC"/>
    <w:rsid w:val="008B71B7"/>
    <w:rsid w:val="008B7544"/>
    <w:rsid w:val="008C0DDA"/>
    <w:rsid w:val="008C3374"/>
    <w:rsid w:val="008C5486"/>
    <w:rsid w:val="008C5970"/>
    <w:rsid w:val="008C708B"/>
    <w:rsid w:val="008D1661"/>
    <w:rsid w:val="008D20DB"/>
    <w:rsid w:val="008D41E0"/>
    <w:rsid w:val="008D6800"/>
    <w:rsid w:val="008E1ADB"/>
    <w:rsid w:val="008E2E9B"/>
    <w:rsid w:val="008E6A1D"/>
    <w:rsid w:val="008E7031"/>
    <w:rsid w:val="008E77DE"/>
    <w:rsid w:val="008E7D22"/>
    <w:rsid w:val="008F030F"/>
    <w:rsid w:val="008F07A3"/>
    <w:rsid w:val="008F34DD"/>
    <w:rsid w:val="008F59C6"/>
    <w:rsid w:val="009001B6"/>
    <w:rsid w:val="00900E1B"/>
    <w:rsid w:val="00901C3C"/>
    <w:rsid w:val="00904062"/>
    <w:rsid w:val="00905647"/>
    <w:rsid w:val="009076AB"/>
    <w:rsid w:val="009156A9"/>
    <w:rsid w:val="00916F54"/>
    <w:rsid w:val="00921A07"/>
    <w:rsid w:val="009233EE"/>
    <w:rsid w:val="009272AD"/>
    <w:rsid w:val="009277DC"/>
    <w:rsid w:val="00933D2C"/>
    <w:rsid w:val="009460AA"/>
    <w:rsid w:val="00951978"/>
    <w:rsid w:val="00960A5C"/>
    <w:rsid w:val="00961A4A"/>
    <w:rsid w:val="009661DE"/>
    <w:rsid w:val="009679BD"/>
    <w:rsid w:val="00971D73"/>
    <w:rsid w:val="00983C25"/>
    <w:rsid w:val="009856B7"/>
    <w:rsid w:val="00985C86"/>
    <w:rsid w:val="00995EC2"/>
    <w:rsid w:val="009A2EC3"/>
    <w:rsid w:val="009A5113"/>
    <w:rsid w:val="009A5FC3"/>
    <w:rsid w:val="009A6B65"/>
    <w:rsid w:val="009B33E8"/>
    <w:rsid w:val="009B51C5"/>
    <w:rsid w:val="009B6F84"/>
    <w:rsid w:val="009B74B0"/>
    <w:rsid w:val="009C59AE"/>
    <w:rsid w:val="009D3906"/>
    <w:rsid w:val="009D39FD"/>
    <w:rsid w:val="009D6B46"/>
    <w:rsid w:val="009E0030"/>
    <w:rsid w:val="009E51F2"/>
    <w:rsid w:val="009E62CB"/>
    <w:rsid w:val="009E7ECF"/>
    <w:rsid w:val="009F12EC"/>
    <w:rsid w:val="009F4940"/>
    <w:rsid w:val="009F5BA1"/>
    <w:rsid w:val="009F6A46"/>
    <w:rsid w:val="00A006B0"/>
    <w:rsid w:val="00A01855"/>
    <w:rsid w:val="00A02A88"/>
    <w:rsid w:val="00A03AD4"/>
    <w:rsid w:val="00A0562E"/>
    <w:rsid w:val="00A06085"/>
    <w:rsid w:val="00A0726D"/>
    <w:rsid w:val="00A1515A"/>
    <w:rsid w:val="00A31D00"/>
    <w:rsid w:val="00A32FBB"/>
    <w:rsid w:val="00A41F18"/>
    <w:rsid w:val="00A428EE"/>
    <w:rsid w:val="00A4478A"/>
    <w:rsid w:val="00A44852"/>
    <w:rsid w:val="00A4650A"/>
    <w:rsid w:val="00A473B6"/>
    <w:rsid w:val="00A50502"/>
    <w:rsid w:val="00A57D04"/>
    <w:rsid w:val="00A60A26"/>
    <w:rsid w:val="00A61057"/>
    <w:rsid w:val="00A61598"/>
    <w:rsid w:val="00A6517B"/>
    <w:rsid w:val="00A7311B"/>
    <w:rsid w:val="00A8323E"/>
    <w:rsid w:val="00A84A99"/>
    <w:rsid w:val="00A84F46"/>
    <w:rsid w:val="00A86E47"/>
    <w:rsid w:val="00A871D5"/>
    <w:rsid w:val="00A871F4"/>
    <w:rsid w:val="00A95DC2"/>
    <w:rsid w:val="00A967C5"/>
    <w:rsid w:val="00A969A1"/>
    <w:rsid w:val="00AB3C32"/>
    <w:rsid w:val="00AB644B"/>
    <w:rsid w:val="00AC1B2C"/>
    <w:rsid w:val="00AC3264"/>
    <w:rsid w:val="00AC7992"/>
    <w:rsid w:val="00AD1FFF"/>
    <w:rsid w:val="00AD69AB"/>
    <w:rsid w:val="00AE1BF1"/>
    <w:rsid w:val="00AE1DAB"/>
    <w:rsid w:val="00AE408D"/>
    <w:rsid w:val="00AE7703"/>
    <w:rsid w:val="00AF0DD2"/>
    <w:rsid w:val="00AF76C4"/>
    <w:rsid w:val="00B0209D"/>
    <w:rsid w:val="00B065EE"/>
    <w:rsid w:val="00B07CEA"/>
    <w:rsid w:val="00B13048"/>
    <w:rsid w:val="00B15411"/>
    <w:rsid w:val="00B1716D"/>
    <w:rsid w:val="00B17A1D"/>
    <w:rsid w:val="00B207A0"/>
    <w:rsid w:val="00B23541"/>
    <w:rsid w:val="00B27827"/>
    <w:rsid w:val="00B40CAA"/>
    <w:rsid w:val="00B514DD"/>
    <w:rsid w:val="00B51F3F"/>
    <w:rsid w:val="00B52609"/>
    <w:rsid w:val="00B5280E"/>
    <w:rsid w:val="00B52AF0"/>
    <w:rsid w:val="00B54CA9"/>
    <w:rsid w:val="00B561BD"/>
    <w:rsid w:val="00B56E03"/>
    <w:rsid w:val="00B61EDF"/>
    <w:rsid w:val="00B74E1F"/>
    <w:rsid w:val="00B74FDD"/>
    <w:rsid w:val="00B757A6"/>
    <w:rsid w:val="00B77B52"/>
    <w:rsid w:val="00B8080B"/>
    <w:rsid w:val="00B80E1E"/>
    <w:rsid w:val="00B82223"/>
    <w:rsid w:val="00B87BA5"/>
    <w:rsid w:val="00B87C39"/>
    <w:rsid w:val="00B94785"/>
    <w:rsid w:val="00B9562D"/>
    <w:rsid w:val="00B96856"/>
    <w:rsid w:val="00BA094D"/>
    <w:rsid w:val="00BA4665"/>
    <w:rsid w:val="00BB22CA"/>
    <w:rsid w:val="00BB2FB2"/>
    <w:rsid w:val="00BB3304"/>
    <w:rsid w:val="00BB3FD7"/>
    <w:rsid w:val="00BB7528"/>
    <w:rsid w:val="00BC03A2"/>
    <w:rsid w:val="00BC14ED"/>
    <w:rsid w:val="00BD310B"/>
    <w:rsid w:val="00BD3446"/>
    <w:rsid w:val="00BD690B"/>
    <w:rsid w:val="00BE1F1B"/>
    <w:rsid w:val="00BE47B5"/>
    <w:rsid w:val="00C04223"/>
    <w:rsid w:val="00C0739D"/>
    <w:rsid w:val="00C25FA6"/>
    <w:rsid w:val="00C275C4"/>
    <w:rsid w:val="00C30D23"/>
    <w:rsid w:val="00C36265"/>
    <w:rsid w:val="00C42ACA"/>
    <w:rsid w:val="00C51C7D"/>
    <w:rsid w:val="00C538A9"/>
    <w:rsid w:val="00C53B5A"/>
    <w:rsid w:val="00C54F5A"/>
    <w:rsid w:val="00C569B4"/>
    <w:rsid w:val="00C56A3E"/>
    <w:rsid w:val="00C67A92"/>
    <w:rsid w:val="00C7497E"/>
    <w:rsid w:val="00C84560"/>
    <w:rsid w:val="00C84F52"/>
    <w:rsid w:val="00C86679"/>
    <w:rsid w:val="00CA46C8"/>
    <w:rsid w:val="00CA489E"/>
    <w:rsid w:val="00CA52A2"/>
    <w:rsid w:val="00CB0279"/>
    <w:rsid w:val="00CB1CA6"/>
    <w:rsid w:val="00CB2526"/>
    <w:rsid w:val="00CB4FF7"/>
    <w:rsid w:val="00CB666B"/>
    <w:rsid w:val="00CC7359"/>
    <w:rsid w:val="00CC7F1D"/>
    <w:rsid w:val="00CE07F3"/>
    <w:rsid w:val="00CE484B"/>
    <w:rsid w:val="00CE5C37"/>
    <w:rsid w:val="00CE62E5"/>
    <w:rsid w:val="00CF0DEE"/>
    <w:rsid w:val="00CF2C05"/>
    <w:rsid w:val="00CF48E6"/>
    <w:rsid w:val="00CF6EDE"/>
    <w:rsid w:val="00CF722E"/>
    <w:rsid w:val="00CF7BED"/>
    <w:rsid w:val="00D006AE"/>
    <w:rsid w:val="00D01CF0"/>
    <w:rsid w:val="00D01EFD"/>
    <w:rsid w:val="00D0442A"/>
    <w:rsid w:val="00D0490A"/>
    <w:rsid w:val="00D17683"/>
    <w:rsid w:val="00D200AA"/>
    <w:rsid w:val="00D3091C"/>
    <w:rsid w:val="00D34BC8"/>
    <w:rsid w:val="00D45694"/>
    <w:rsid w:val="00D51603"/>
    <w:rsid w:val="00D52049"/>
    <w:rsid w:val="00D61388"/>
    <w:rsid w:val="00D61A54"/>
    <w:rsid w:val="00D61E67"/>
    <w:rsid w:val="00D64DEA"/>
    <w:rsid w:val="00D7168E"/>
    <w:rsid w:val="00D71E57"/>
    <w:rsid w:val="00D75AA2"/>
    <w:rsid w:val="00D80893"/>
    <w:rsid w:val="00D84854"/>
    <w:rsid w:val="00D848B4"/>
    <w:rsid w:val="00D92CF1"/>
    <w:rsid w:val="00D92D38"/>
    <w:rsid w:val="00D950F5"/>
    <w:rsid w:val="00D961A2"/>
    <w:rsid w:val="00DA4752"/>
    <w:rsid w:val="00DA518F"/>
    <w:rsid w:val="00DA61F3"/>
    <w:rsid w:val="00DA6B93"/>
    <w:rsid w:val="00DB0F93"/>
    <w:rsid w:val="00DB1A67"/>
    <w:rsid w:val="00DB5074"/>
    <w:rsid w:val="00DB5B21"/>
    <w:rsid w:val="00DB7DCA"/>
    <w:rsid w:val="00DC7981"/>
    <w:rsid w:val="00DE1093"/>
    <w:rsid w:val="00DE4EFA"/>
    <w:rsid w:val="00DE5520"/>
    <w:rsid w:val="00DE563D"/>
    <w:rsid w:val="00DE5E2E"/>
    <w:rsid w:val="00DE772C"/>
    <w:rsid w:val="00DF312A"/>
    <w:rsid w:val="00E04818"/>
    <w:rsid w:val="00E05903"/>
    <w:rsid w:val="00E06442"/>
    <w:rsid w:val="00E06BCF"/>
    <w:rsid w:val="00E1001C"/>
    <w:rsid w:val="00E11B4C"/>
    <w:rsid w:val="00E205C6"/>
    <w:rsid w:val="00E23993"/>
    <w:rsid w:val="00E257D6"/>
    <w:rsid w:val="00E25B8C"/>
    <w:rsid w:val="00E35A78"/>
    <w:rsid w:val="00E428A8"/>
    <w:rsid w:val="00E42B78"/>
    <w:rsid w:val="00E51D65"/>
    <w:rsid w:val="00E56603"/>
    <w:rsid w:val="00E619ED"/>
    <w:rsid w:val="00E6200B"/>
    <w:rsid w:val="00E65C85"/>
    <w:rsid w:val="00E65D35"/>
    <w:rsid w:val="00E66199"/>
    <w:rsid w:val="00E711C7"/>
    <w:rsid w:val="00E74A73"/>
    <w:rsid w:val="00E755EC"/>
    <w:rsid w:val="00E7624D"/>
    <w:rsid w:val="00EA2300"/>
    <w:rsid w:val="00EA3D42"/>
    <w:rsid w:val="00EA6B1B"/>
    <w:rsid w:val="00EB5BC8"/>
    <w:rsid w:val="00EB606C"/>
    <w:rsid w:val="00EC04F1"/>
    <w:rsid w:val="00ED0EC2"/>
    <w:rsid w:val="00ED4A7A"/>
    <w:rsid w:val="00ED7323"/>
    <w:rsid w:val="00ED761F"/>
    <w:rsid w:val="00EE0759"/>
    <w:rsid w:val="00EE17AE"/>
    <w:rsid w:val="00EE28E9"/>
    <w:rsid w:val="00EE28F3"/>
    <w:rsid w:val="00EE312A"/>
    <w:rsid w:val="00EE50D1"/>
    <w:rsid w:val="00EE77FA"/>
    <w:rsid w:val="00EF4166"/>
    <w:rsid w:val="00EF5110"/>
    <w:rsid w:val="00F0334E"/>
    <w:rsid w:val="00F04DE6"/>
    <w:rsid w:val="00F07C3E"/>
    <w:rsid w:val="00F10411"/>
    <w:rsid w:val="00F15882"/>
    <w:rsid w:val="00F17119"/>
    <w:rsid w:val="00F171E0"/>
    <w:rsid w:val="00F20BD3"/>
    <w:rsid w:val="00F219B2"/>
    <w:rsid w:val="00F22B2A"/>
    <w:rsid w:val="00F2526A"/>
    <w:rsid w:val="00F265ED"/>
    <w:rsid w:val="00F32CEA"/>
    <w:rsid w:val="00F347A7"/>
    <w:rsid w:val="00F34959"/>
    <w:rsid w:val="00F373A5"/>
    <w:rsid w:val="00F47559"/>
    <w:rsid w:val="00F527D3"/>
    <w:rsid w:val="00F61176"/>
    <w:rsid w:val="00F64C7B"/>
    <w:rsid w:val="00F65B25"/>
    <w:rsid w:val="00F676DD"/>
    <w:rsid w:val="00F70C50"/>
    <w:rsid w:val="00F71086"/>
    <w:rsid w:val="00F71667"/>
    <w:rsid w:val="00F75A26"/>
    <w:rsid w:val="00F760E7"/>
    <w:rsid w:val="00F76706"/>
    <w:rsid w:val="00F768C8"/>
    <w:rsid w:val="00F81B8D"/>
    <w:rsid w:val="00F82912"/>
    <w:rsid w:val="00F83FAD"/>
    <w:rsid w:val="00F8653A"/>
    <w:rsid w:val="00F92349"/>
    <w:rsid w:val="00F93FF9"/>
    <w:rsid w:val="00F952A0"/>
    <w:rsid w:val="00FA3C7F"/>
    <w:rsid w:val="00FA7DE5"/>
    <w:rsid w:val="00FB4402"/>
    <w:rsid w:val="00FB60FE"/>
    <w:rsid w:val="00FB74E2"/>
    <w:rsid w:val="00FC71DC"/>
    <w:rsid w:val="00FD2A06"/>
    <w:rsid w:val="00FD2ED2"/>
    <w:rsid w:val="00FD44F8"/>
    <w:rsid w:val="00FD51A2"/>
    <w:rsid w:val="00FD5614"/>
    <w:rsid w:val="00FD5E78"/>
    <w:rsid w:val="00FE0BE1"/>
    <w:rsid w:val="00FE1DE9"/>
    <w:rsid w:val="00FE288F"/>
    <w:rsid w:val="00FE36AF"/>
    <w:rsid w:val="00FE39C2"/>
    <w:rsid w:val="00FE3C32"/>
    <w:rsid w:val="00FE64AE"/>
    <w:rsid w:val="00FF0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748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1\BusData\AER\Amadeus%20Gas%202015%20reset\Reset%20Models\02%20Draft%20decision\Standard%20modelling%20charts%20APTNT%20ga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2"/>
          <c:order val="0"/>
          <c:tx>
            <c:strRef>
              <c:f>'Charts - draft decision'!$A$262</c:f>
              <c:strCache>
                <c:ptCount val="1"/>
                <c:pt idx="0">
                  <c:v>padding</c:v>
                </c:pt>
              </c:strCache>
            </c:strRef>
          </c:tx>
          <c:spPr>
            <a:noFill/>
          </c:spPr>
          <c:invertIfNegative val="0"/>
          <c:cat>
            <c:strRef>
              <c:f>'Charts - draft decision'!$B$261:$F$261</c:f>
              <c:strCache>
                <c:ptCount val="5"/>
                <c:pt idx="0">
                  <c:v>Opening capital base
(2016-17)</c:v>
                </c:pt>
                <c:pt idx="1">
                  <c:v>Inflation</c:v>
                </c:pt>
                <c:pt idx="2">
                  <c:v>Capex</c:v>
                </c:pt>
                <c:pt idx="3">
                  <c:v>Depreciation</c:v>
                </c:pt>
                <c:pt idx="4">
                  <c:v>Closing capital base
(2020-21)</c:v>
                </c:pt>
              </c:strCache>
            </c:strRef>
          </c:cat>
          <c:val>
            <c:numRef>
              <c:f>'Charts - draft decision'!$B$262:$F$262</c:f>
              <c:numCache>
                <c:formatCode>0.0</c:formatCode>
                <c:ptCount val="5"/>
                <c:pt idx="0">
                  <c:v>0</c:v>
                </c:pt>
                <c:pt idx="1">
                  <c:v>120.61057605717583</c:v>
                </c:pt>
                <c:pt idx="2">
                  <c:v>137.726586396415</c:v>
                </c:pt>
                <c:pt idx="3">
                  <c:v>142.60136065167538</c:v>
                </c:pt>
                <c:pt idx="4">
                  <c:v>0</c:v>
                </c:pt>
              </c:numCache>
            </c:numRef>
          </c:val>
        </c:ser>
        <c:ser>
          <c:idx val="0"/>
          <c:order val="1"/>
          <c:tx>
            <c:strRef>
              <c:f>'Charts - draft decision'!$A$263</c:f>
              <c:strCache>
                <c:ptCount val="1"/>
                <c:pt idx="0">
                  <c:v>Proposed</c:v>
                </c:pt>
              </c:strCache>
            </c:strRef>
          </c:tx>
          <c:spPr>
            <a:solidFill>
              <a:srgbClr val="2171B5"/>
            </a:solidFill>
            <a:ln>
              <a:solidFill>
                <a:sysClr val="windowText" lastClr="000000"/>
              </a:solidFill>
            </a:ln>
          </c:spPr>
          <c:invertIfNegative val="0"/>
          <c:dPt>
            <c:idx val="1"/>
            <c:invertIfNegative val="0"/>
            <c:bubble3D val="0"/>
            <c:spPr>
              <a:solidFill>
                <a:srgbClr val="A1D99B"/>
              </a:solidFill>
              <a:ln>
                <a:solidFill>
                  <a:sysClr val="windowText" lastClr="000000"/>
                </a:solidFill>
              </a:ln>
            </c:spPr>
          </c:dPt>
          <c:dPt>
            <c:idx val="2"/>
            <c:invertIfNegative val="0"/>
            <c:bubble3D val="0"/>
            <c:spPr>
              <a:solidFill>
                <a:srgbClr val="A1D99B"/>
              </a:solidFill>
              <a:ln>
                <a:solidFill>
                  <a:sysClr val="windowText" lastClr="000000"/>
                </a:solidFill>
              </a:ln>
            </c:spPr>
          </c:dPt>
          <c:dPt>
            <c:idx val="3"/>
            <c:invertIfNegative val="0"/>
            <c:bubble3D val="0"/>
            <c:spPr>
              <a:solidFill>
                <a:srgbClr val="D34602"/>
              </a:solidFill>
              <a:ln>
                <a:solidFill>
                  <a:sysClr val="windowText" lastClr="000000"/>
                </a:solidFill>
              </a:ln>
            </c:spPr>
          </c:dPt>
          <c:dLbls>
            <c:dLbl>
              <c:idx val="0"/>
              <c:layout>
                <c:manualLayout>
                  <c:x val="0"/>
                  <c:y val="-0.31359733244279375"/>
                </c:manualLayout>
              </c:layout>
              <c:tx>
                <c:strRef>
                  <c:f>'Charts - draft decision'!$B$264</c:f>
                  <c:strCache>
                    <c:ptCount val="1"/>
                    <c:pt idx="0">
                      <c:v>120.6</c:v>
                    </c:pt>
                  </c:strCache>
                </c:strRef>
              </c:tx>
              <c:showLegendKey val="0"/>
              <c:showVal val="1"/>
              <c:showCatName val="0"/>
              <c:showSerName val="0"/>
              <c:showPercent val="0"/>
              <c:showBubbleSize val="0"/>
            </c:dLbl>
            <c:dLbl>
              <c:idx val="1"/>
              <c:layout>
                <c:manualLayout>
                  <c:x val="0"/>
                  <c:y val="-0.11840501788286092"/>
                </c:manualLayout>
              </c:layout>
              <c:tx>
                <c:strRef>
                  <c:f>'Charts - draft decision'!$C$264</c:f>
                  <c:strCache>
                    <c:ptCount val="1"/>
                    <c:pt idx="0">
                      <c:v>17.1</c:v>
                    </c:pt>
                  </c:strCache>
                </c:strRef>
              </c:tx>
              <c:showLegendKey val="0"/>
              <c:showVal val="1"/>
              <c:showCatName val="0"/>
              <c:showSerName val="0"/>
              <c:showPercent val="0"/>
              <c:showBubbleSize val="0"/>
            </c:dLbl>
            <c:dLbl>
              <c:idx val="2"/>
              <c:layout>
                <c:manualLayout>
                  <c:x val="4.5943995354953537E-3"/>
                  <c:y val="-9.5032571636163424E-2"/>
                </c:manualLayout>
              </c:layout>
              <c:tx>
                <c:strRef>
                  <c:f>'Charts - draft decision'!$D$264</c:f>
                  <c:strCache>
                    <c:ptCount val="1"/>
                    <c:pt idx="0">
                      <c:v>32.2</c:v>
                    </c:pt>
                  </c:strCache>
                </c:strRef>
              </c:tx>
              <c:showLegendKey val="0"/>
              <c:showVal val="1"/>
              <c:showCatName val="0"/>
              <c:showSerName val="0"/>
              <c:showPercent val="0"/>
              <c:showBubbleSize val="0"/>
            </c:dLbl>
            <c:dLbl>
              <c:idx val="3"/>
              <c:layout>
                <c:manualLayout>
                  <c:x val="8.4229685122238025E-17"/>
                  <c:y val="9.7400135837374238E-2"/>
                </c:manualLayout>
              </c:layout>
              <c:tx>
                <c:strRef>
                  <c:f>'Charts - draft decision'!$E$264</c:f>
                  <c:strCache>
                    <c:ptCount val="1"/>
                    <c:pt idx="0">
                      <c:v>-27.3</c:v>
                    </c:pt>
                  </c:strCache>
                </c:strRef>
              </c:tx>
              <c:showLegendKey val="0"/>
              <c:showVal val="1"/>
              <c:showCatName val="0"/>
              <c:showSerName val="0"/>
              <c:showPercent val="0"/>
              <c:showBubbleSize val="0"/>
            </c:dLbl>
            <c:dLbl>
              <c:idx val="4"/>
              <c:layout>
                <c:manualLayout>
                  <c:x val="-1.8264837555842584E-3"/>
                  <c:y val="-0.34793828575723978"/>
                </c:manualLayout>
              </c:layout>
              <c:tx>
                <c:strRef>
                  <c:f>'Charts - draft decision'!$F$264</c:f>
                  <c:strCache>
                    <c:ptCount val="1"/>
                    <c:pt idx="0">
                      <c:v>142.6</c:v>
                    </c:pt>
                  </c:strCache>
                </c:strRef>
              </c:tx>
              <c:showLegendKey val="0"/>
              <c:showVal val="1"/>
              <c:showCatName val="0"/>
              <c:showSerName val="0"/>
              <c:showPercent val="0"/>
              <c:showBubbleSize val="0"/>
            </c:dLbl>
            <c:numFmt formatCode="#,##0.00" sourceLinked="0"/>
            <c:txPr>
              <a:bodyPr/>
              <a:lstStyle/>
              <a:p>
                <a:pPr>
                  <a:defRPr b="0"/>
                </a:pPr>
                <a:endParaRPr lang="en-US"/>
              </a:p>
            </c:txPr>
            <c:showLegendKey val="0"/>
            <c:showVal val="1"/>
            <c:showCatName val="0"/>
            <c:showSerName val="0"/>
            <c:showPercent val="0"/>
            <c:showBubbleSize val="0"/>
            <c:showLeaderLines val="0"/>
          </c:dLbls>
          <c:cat>
            <c:strRef>
              <c:f>'Charts - draft decision'!$B$261:$F$261</c:f>
              <c:strCache>
                <c:ptCount val="5"/>
                <c:pt idx="0">
                  <c:v>Opening capital base
(2016-17)</c:v>
                </c:pt>
                <c:pt idx="1">
                  <c:v>Inflation</c:v>
                </c:pt>
                <c:pt idx="2">
                  <c:v>Capex</c:v>
                </c:pt>
                <c:pt idx="3">
                  <c:v>Depreciation</c:v>
                </c:pt>
                <c:pt idx="4">
                  <c:v>Closing capital base
(2020-21)</c:v>
                </c:pt>
              </c:strCache>
            </c:strRef>
          </c:cat>
          <c:val>
            <c:numRef>
              <c:f>'Charts - draft decision'!$B$263:$F$263</c:f>
              <c:numCache>
                <c:formatCode>0.0</c:formatCode>
                <c:ptCount val="5"/>
                <c:pt idx="0">
                  <c:v>120.61057605717583</c:v>
                </c:pt>
                <c:pt idx="1">
                  <c:v>17.116010339239178</c:v>
                </c:pt>
                <c:pt idx="2">
                  <c:v>32.171899345455323</c:v>
                </c:pt>
                <c:pt idx="3">
                  <c:v>27.29712509019496</c:v>
                </c:pt>
                <c:pt idx="4">
                  <c:v>142.60136065167532</c:v>
                </c:pt>
              </c:numCache>
            </c:numRef>
          </c:val>
        </c:ser>
        <c:dLbls>
          <c:showLegendKey val="0"/>
          <c:showVal val="0"/>
          <c:showCatName val="0"/>
          <c:showSerName val="0"/>
          <c:showPercent val="0"/>
          <c:showBubbleSize val="0"/>
        </c:dLbls>
        <c:gapWidth val="50"/>
        <c:overlap val="100"/>
        <c:axId val="41889792"/>
        <c:axId val="41891328"/>
      </c:barChart>
      <c:catAx>
        <c:axId val="41889792"/>
        <c:scaling>
          <c:orientation val="minMax"/>
        </c:scaling>
        <c:delete val="0"/>
        <c:axPos val="b"/>
        <c:majorTickMark val="out"/>
        <c:minorTickMark val="none"/>
        <c:tickLblPos val="low"/>
        <c:crossAx val="41891328"/>
        <c:crosses val="autoZero"/>
        <c:auto val="1"/>
        <c:lblAlgn val="ctr"/>
        <c:lblOffset val="100"/>
        <c:noMultiLvlLbl val="0"/>
      </c:catAx>
      <c:valAx>
        <c:axId val="41891328"/>
        <c:scaling>
          <c:orientation val="minMax"/>
        </c:scaling>
        <c:delete val="0"/>
        <c:axPos val="l"/>
        <c:majorGridlines/>
        <c:title>
          <c:tx>
            <c:strRef>
              <c:f>'Charts - draft decision'!$A$260</c:f>
              <c:strCache>
                <c:ptCount val="1"/>
                <c:pt idx="0">
                  <c:v>$million 
(nominal)</c:v>
                </c:pt>
              </c:strCache>
            </c:strRef>
          </c:tx>
          <c:overlay val="0"/>
          <c:txPr>
            <a:bodyPr rot="0" vert="horz"/>
            <a:lstStyle/>
            <a:p>
              <a:pPr>
                <a:defRPr/>
              </a:pPr>
              <a:endParaRPr lang="en-US"/>
            </a:p>
          </c:txPr>
        </c:title>
        <c:numFmt formatCode="0" sourceLinked="0"/>
        <c:majorTickMark val="out"/>
        <c:minorTickMark val="none"/>
        <c:tickLblPos val="nextTo"/>
        <c:crossAx val="41889792"/>
        <c:crosses val="autoZero"/>
        <c:crossBetween val="between"/>
      </c:valAx>
    </c:plotArea>
    <c:plotVisOnly val="1"/>
    <c:dispBlanksAs val="gap"/>
    <c:showDLblsOverMax val="0"/>
  </c:chart>
  <c:spPr>
    <a:ln>
      <a:noFill/>
    </a:ln>
  </c:spPr>
  <c:txPr>
    <a:bodyPr/>
    <a:lstStyle/>
    <a:p>
      <a:pPr>
        <a:defRPr sz="900"/>
      </a:pPr>
      <a:endParaRPr lang="en-US"/>
    </a:p>
  </c:tx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ER modelling">
    <a:dk1>
      <a:sysClr val="windowText" lastClr="000000"/>
    </a:dk1>
    <a:lt1>
      <a:sysClr val="window" lastClr="FFFFFF"/>
    </a:lt1>
    <a:dk2>
      <a:srgbClr val="1F497D"/>
    </a:dk2>
    <a:lt2>
      <a:srgbClr val="EEECE1"/>
    </a:lt2>
    <a:accent1>
      <a:srgbClr val="2171B5"/>
    </a:accent1>
    <a:accent2>
      <a:srgbClr val="BD0026"/>
    </a:accent2>
    <a:accent3>
      <a:srgbClr val="A1D99B"/>
    </a:accent3>
    <a:accent4>
      <a:srgbClr val="9ECAE1"/>
    </a:accent4>
    <a:accent5>
      <a:srgbClr val="C6DBEF"/>
    </a:accent5>
    <a:accent6>
      <a:srgbClr val="DEEBF7"/>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508DF3-0D3F-4F69-AA1B-94312D5D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7240E626</Template>
  <TotalTime>0</TotalTime>
  <Pages>17</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2015-11-22T23:12:00Z</dcterms:created>
  <dcterms:modified xsi:type="dcterms:W3CDTF">2015-11-23T03:30:00Z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