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AA33F36" wp14:editId="43BCEE3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1395" w:rsidRDefault="00F11395"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92379F">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060D7C">
            <w:t>6</w:t>
          </w:r>
          <w:r w:rsidR="00DA4752">
            <w:t xml:space="preserve"> </w:t>
          </w:r>
          <w:r w:rsidR="00415F31">
            <w:rPr>
              <w:rFonts w:cs="Arial"/>
            </w:rPr>
            <w:t>–</w:t>
          </w:r>
          <w:r w:rsidR="00DA4752">
            <w:t xml:space="preserve"> </w:t>
          </w:r>
          <w:r w:rsidR="00060D7C">
            <w:t>Capital</w:t>
          </w:r>
          <w:r w:rsidR="009A2EC3">
            <w:t xml:space="preserve"> expenditure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274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92379F">
        <w:t xml:space="preserve">the </w:t>
      </w:r>
      <w:r w:rsidR="00CF2C05">
        <w:t>access</w:t>
      </w:r>
      <w:r w:rsidR="00415F31">
        <w:t xml:space="preserve"> </w:t>
      </w:r>
      <w:r w:rsidR="00CF2C05">
        <w:t>arrangement for</w:t>
      </w:r>
      <w:r w:rsidR="00415F31">
        <w:t xml:space="preserve"> </w:t>
      </w:r>
      <w:r w:rsidR="0092379F">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2743"/>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87261" w:rsidRDefault="003D1B28">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2742" w:history="1">
            <w:r w:rsidR="00487261" w:rsidRPr="00F70800">
              <w:rPr>
                <w:rStyle w:val="Hyperlink"/>
              </w:rPr>
              <w:t>Note</w:t>
            </w:r>
            <w:r w:rsidR="00487261">
              <w:rPr>
                <w:webHidden/>
              </w:rPr>
              <w:tab/>
            </w:r>
            <w:r w:rsidR="00487261">
              <w:rPr>
                <w:webHidden/>
              </w:rPr>
              <w:fldChar w:fldCharType="begin"/>
            </w:r>
            <w:r w:rsidR="00487261">
              <w:rPr>
                <w:webHidden/>
              </w:rPr>
              <w:instrText xml:space="preserve"> PAGEREF _Toc436042742 \h </w:instrText>
            </w:r>
            <w:r w:rsidR="00487261">
              <w:rPr>
                <w:webHidden/>
              </w:rPr>
            </w:r>
            <w:r w:rsidR="00487261">
              <w:rPr>
                <w:webHidden/>
              </w:rPr>
              <w:fldChar w:fldCharType="separate"/>
            </w:r>
            <w:r w:rsidR="00487261">
              <w:rPr>
                <w:webHidden/>
              </w:rPr>
              <w:t>6-2</w:t>
            </w:r>
            <w:r w:rsidR="00487261">
              <w:rPr>
                <w:webHidden/>
              </w:rPr>
              <w:fldChar w:fldCharType="end"/>
            </w:r>
          </w:hyperlink>
        </w:p>
        <w:p w:rsidR="00487261" w:rsidRDefault="00487261">
          <w:pPr>
            <w:pStyle w:val="TOC1"/>
            <w:rPr>
              <w:rFonts w:asciiTheme="minorHAnsi" w:eastAsiaTheme="minorEastAsia" w:hAnsiTheme="minorHAnsi"/>
              <w:b w:val="0"/>
              <w:color w:val="auto"/>
              <w:sz w:val="22"/>
              <w:lang w:val="en-AU" w:eastAsia="en-AU"/>
            </w:rPr>
          </w:pPr>
          <w:hyperlink w:anchor="_Toc436042743" w:history="1">
            <w:r w:rsidRPr="00F70800">
              <w:rPr>
                <w:rStyle w:val="Hyperlink"/>
              </w:rPr>
              <w:t>Contents</w:t>
            </w:r>
            <w:r>
              <w:rPr>
                <w:webHidden/>
              </w:rPr>
              <w:tab/>
            </w:r>
            <w:r>
              <w:rPr>
                <w:webHidden/>
              </w:rPr>
              <w:fldChar w:fldCharType="begin"/>
            </w:r>
            <w:r>
              <w:rPr>
                <w:webHidden/>
              </w:rPr>
              <w:instrText xml:space="preserve"> PAGEREF _Toc436042743 \h </w:instrText>
            </w:r>
            <w:r>
              <w:rPr>
                <w:webHidden/>
              </w:rPr>
            </w:r>
            <w:r>
              <w:rPr>
                <w:webHidden/>
              </w:rPr>
              <w:fldChar w:fldCharType="separate"/>
            </w:r>
            <w:r>
              <w:rPr>
                <w:webHidden/>
              </w:rPr>
              <w:t>6-3</w:t>
            </w:r>
            <w:r>
              <w:rPr>
                <w:webHidden/>
              </w:rPr>
              <w:fldChar w:fldCharType="end"/>
            </w:r>
          </w:hyperlink>
        </w:p>
        <w:p w:rsidR="00487261" w:rsidRDefault="00487261">
          <w:pPr>
            <w:pStyle w:val="TOC1"/>
            <w:rPr>
              <w:rFonts w:asciiTheme="minorHAnsi" w:eastAsiaTheme="minorEastAsia" w:hAnsiTheme="minorHAnsi"/>
              <w:b w:val="0"/>
              <w:color w:val="auto"/>
              <w:sz w:val="22"/>
              <w:lang w:val="en-AU" w:eastAsia="en-AU"/>
            </w:rPr>
          </w:pPr>
          <w:hyperlink w:anchor="_Toc436042744" w:history="1">
            <w:r w:rsidRPr="00F70800">
              <w:rPr>
                <w:rStyle w:val="Hyperlink"/>
              </w:rPr>
              <w:t>Shortened forms</w:t>
            </w:r>
            <w:r>
              <w:rPr>
                <w:webHidden/>
              </w:rPr>
              <w:tab/>
            </w:r>
            <w:r>
              <w:rPr>
                <w:webHidden/>
              </w:rPr>
              <w:fldChar w:fldCharType="begin"/>
            </w:r>
            <w:r>
              <w:rPr>
                <w:webHidden/>
              </w:rPr>
              <w:instrText xml:space="preserve"> PAGEREF _Toc436042744 \h </w:instrText>
            </w:r>
            <w:r>
              <w:rPr>
                <w:webHidden/>
              </w:rPr>
            </w:r>
            <w:r>
              <w:rPr>
                <w:webHidden/>
              </w:rPr>
              <w:fldChar w:fldCharType="separate"/>
            </w:r>
            <w:r>
              <w:rPr>
                <w:webHidden/>
              </w:rPr>
              <w:t>6-4</w:t>
            </w:r>
            <w:r>
              <w:rPr>
                <w:webHidden/>
              </w:rPr>
              <w:fldChar w:fldCharType="end"/>
            </w:r>
          </w:hyperlink>
        </w:p>
        <w:p w:rsidR="00487261" w:rsidRDefault="00487261">
          <w:pPr>
            <w:pStyle w:val="TOC1"/>
            <w:rPr>
              <w:rFonts w:asciiTheme="minorHAnsi" w:eastAsiaTheme="minorEastAsia" w:hAnsiTheme="minorHAnsi"/>
              <w:b w:val="0"/>
              <w:color w:val="auto"/>
              <w:sz w:val="22"/>
              <w:lang w:val="en-AU" w:eastAsia="en-AU"/>
            </w:rPr>
          </w:pPr>
          <w:hyperlink w:anchor="_Toc436042745" w:history="1">
            <w:r w:rsidRPr="00F70800">
              <w:rPr>
                <w:rStyle w:val="Hyperlink"/>
              </w:rPr>
              <w:t>6</w:t>
            </w:r>
            <w:r>
              <w:rPr>
                <w:rFonts w:asciiTheme="minorHAnsi" w:eastAsiaTheme="minorEastAsia" w:hAnsiTheme="minorHAnsi"/>
                <w:b w:val="0"/>
                <w:color w:val="auto"/>
                <w:sz w:val="22"/>
                <w:lang w:val="en-AU" w:eastAsia="en-AU"/>
              </w:rPr>
              <w:tab/>
            </w:r>
            <w:r w:rsidRPr="00F70800">
              <w:rPr>
                <w:rStyle w:val="Hyperlink"/>
              </w:rPr>
              <w:t>Capital expenditure</w:t>
            </w:r>
            <w:r>
              <w:rPr>
                <w:webHidden/>
              </w:rPr>
              <w:tab/>
            </w:r>
            <w:r>
              <w:rPr>
                <w:webHidden/>
              </w:rPr>
              <w:fldChar w:fldCharType="begin"/>
            </w:r>
            <w:r>
              <w:rPr>
                <w:webHidden/>
              </w:rPr>
              <w:instrText xml:space="preserve"> PAGEREF _Toc436042745 \h </w:instrText>
            </w:r>
            <w:r>
              <w:rPr>
                <w:webHidden/>
              </w:rPr>
            </w:r>
            <w:r>
              <w:rPr>
                <w:webHidden/>
              </w:rPr>
              <w:fldChar w:fldCharType="separate"/>
            </w:r>
            <w:r>
              <w:rPr>
                <w:webHidden/>
              </w:rPr>
              <w:t>6-6</w:t>
            </w:r>
            <w:r>
              <w:rPr>
                <w:webHidden/>
              </w:rPr>
              <w:fldChar w:fldCharType="end"/>
            </w:r>
          </w:hyperlink>
        </w:p>
        <w:p w:rsidR="00487261" w:rsidRDefault="00487261">
          <w:pPr>
            <w:pStyle w:val="TOC2"/>
            <w:rPr>
              <w:rFonts w:asciiTheme="minorHAnsi" w:eastAsiaTheme="minorEastAsia" w:hAnsiTheme="minorHAnsi"/>
              <w:b w:val="0"/>
              <w:color w:val="auto"/>
              <w:sz w:val="22"/>
              <w:lang w:eastAsia="en-AU"/>
            </w:rPr>
          </w:pPr>
          <w:hyperlink w:anchor="_Toc436042746" w:history="1">
            <w:r w:rsidRPr="00F70800">
              <w:rPr>
                <w:rStyle w:val="Hyperlink"/>
                <w14:scene3d>
                  <w14:camera w14:prst="orthographicFront"/>
                  <w14:lightRig w14:rig="threePt" w14:dir="t">
                    <w14:rot w14:lat="0" w14:lon="0" w14:rev="0"/>
                  </w14:lightRig>
                </w14:scene3d>
              </w:rPr>
              <w:t>6.1</w:t>
            </w:r>
            <w:r>
              <w:rPr>
                <w:rFonts w:asciiTheme="minorHAnsi" w:eastAsiaTheme="minorEastAsia" w:hAnsiTheme="minorHAnsi"/>
                <w:b w:val="0"/>
                <w:color w:val="auto"/>
                <w:sz w:val="22"/>
                <w:lang w:eastAsia="en-AU"/>
              </w:rPr>
              <w:tab/>
            </w:r>
            <w:r w:rsidRPr="00F70800">
              <w:rPr>
                <w:rStyle w:val="Hyperlink"/>
              </w:rPr>
              <w:t>Draft decision</w:t>
            </w:r>
            <w:r>
              <w:rPr>
                <w:webHidden/>
              </w:rPr>
              <w:tab/>
            </w:r>
            <w:r>
              <w:rPr>
                <w:webHidden/>
              </w:rPr>
              <w:fldChar w:fldCharType="begin"/>
            </w:r>
            <w:r>
              <w:rPr>
                <w:webHidden/>
              </w:rPr>
              <w:instrText xml:space="preserve"> PAGEREF _Toc436042746 \h </w:instrText>
            </w:r>
            <w:r>
              <w:rPr>
                <w:webHidden/>
              </w:rPr>
            </w:r>
            <w:r>
              <w:rPr>
                <w:webHidden/>
              </w:rPr>
              <w:fldChar w:fldCharType="separate"/>
            </w:r>
            <w:r>
              <w:rPr>
                <w:webHidden/>
              </w:rPr>
              <w:t>6-6</w:t>
            </w:r>
            <w:r>
              <w:rPr>
                <w:webHidden/>
              </w:rPr>
              <w:fldChar w:fldCharType="end"/>
            </w:r>
          </w:hyperlink>
        </w:p>
        <w:p w:rsidR="00487261" w:rsidRDefault="00487261">
          <w:pPr>
            <w:pStyle w:val="TOC3"/>
            <w:rPr>
              <w:rFonts w:asciiTheme="minorHAnsi" w:eastAsiaTheme="minorEastAsia" w:hAnsiTheme="minorHAnsi"/>
              <w:lang w:eastAsia="en-AU"/>
            </w:rPr>
          </w:pPr>
          <w:hyperlink w:anchor="_Toc436042747" w:history="1">
            <w:r w:rsidRPr="00F70800">
              <w:rPr>
                <w:rStyle w:val="Hyperlink"/>
                <w14:scene3d>
                  <w14:camera w14:prst="orthographicFront"/>
                  <w14:lightRig w14:rig="threePt" w14:dir="t">
                    <w14:rot w14:lat="0" w14:lon="0" w14:rev="0"/>
                  </w14:lightRig>
                </w14:scene3d>
              </w:rPr>
              <w:t>6.1.1</w:t>
            </w:r>
            <w:r>
              <w:rPr>
                <w:rFonts w:asciiTheme="minorHAnsi" w:eastAsiaTheme="minorEastAsia" w:hAnsiTheme="minorHAnsi"/>
                <w:lang w:eastAsia="en-AU"/>
              </w:rPr>
              <w:tab/>
            </w:r>
            <w:r w:rsidRPr="00F70800">
              <w:rPr>
                <w:rStyle w:val="Hyperlink"/>
              </w:rPr>
              <w:t>Conforming capex for 2010–16</w:t>
            </w:r>
            <w:r>
              <w:rPr>
                <w:webHidden/>
              </w:rPr>
              <w:tab/>
            </w:r>
            <w:r>
              <w:rPr>
                <w:webHidden/>
              </w:rPr>
              <w:fldChar w:fldCharType="begin"/>
            </w:r>
            <w:r>
              <w:rPr>
                <w:webHidden/>
              </w:rPr>
              <w:instrText xml:space="preserve"> PAGEREF _Toc436042747 \h </w:instrText>
            </w:r>
            <w:r>
              <w:rPr>
                <w:webHidden/>
              </w:rPr>
            </w:r>
            <w:r>
              <w:rPr>
                <w:webHidden/>
              </w:rPr>
              <w:fldChar w:fldCharType="separate"/>
            </w:r>
            <w:r>
              <w:rPr>
                <w:webHidden/>
              </w:rPr>
              <w:t>6-6</w:t>
            </w:r>
            <w:r>
              <w:rPr>
                <w:webHidden/>
              </w:rPr>
              <w:fldChar w:fldCharType="end"/>
            </w:r>
          </w:hyperlink>
        </w:p>
        <w:p w:rsidR="00487261" w:rsidRDefault="00487261">
          <w:pPr>
            <w:pStyle w:val="TOC3"/>
            <w:rPr>
              <w:rFonts w:asciiTheme="minorHAnsi" w:eastAsiaTheme="minorEastAsia" w:hAnsiTheme="minorHAnsi"/>
              <w:lang w:eastAsia="en-AU"/>
            </w:rPr>
          </w:pPr>
          <w:hyperlink w:anchor="_Toc436042748" w:history="1">
            <w:r w:rsidRPr="00F70800">
              <w:rPr>
                <w:rStyle w:val="Hyperlink"/>
                <w14:scene3d>
                  <w14:camera w14:prst="orthographicFront"/>
                  <w14:lightRig w14:rig="threePt" w14:dir="t">
                    <w14:rot w14:lat="0" w14:lon="0" w14:rev="0"/>
                  </w14:lightRig>
                </w14:scene3d>
              </w:rPr>
              <w:t>6.1.2</w:t>
            </w:r>
            <w:r>
              <w:rPr>
                <w:rFonts w:asciiTheme="minorHAnsi" w:eastAsiaTheme="minorEastAsia" w:hAnsiTheme="minorHAnsi"/>
                <w:lang w:eastAsia="en-AU"/>
              </w:rPr>
              <w:tab/>
            </w:r>
            <w:r w:rsidRPr="00F70800">
              <w:rPr>
                <w:rStyle w:val="Hyperlink"/>
              </w:rPr>
              <w:t>Conforming capex for the 2016–21 access arrangement period</w:t>
            </w:r>
            <w:r>
              <w:rPr>
                <w:webHidden/>
              </w:rPr>
              <w:tab/>
            </w:r>
            <w:r>
              <w:rPr>
                <w:webHidden/>
              </w:rPr>
              <w:fldChar w:fldCharType="begin"/>
            </w:r>
            <w:r>
              <w:rPr>
                <w:webHidden/>
              </w:rPr>
              <w:instrText xml:space="preserve"> PAGEREF _Toc436042748 \h </w:instrText>
            </w:r>
            <w:r>
              <w:rPr>
                <w:webHidden/>
              </w:rPr>
            </w:r>
            <w:r>
              <w:rPr>
                <w:webHidden/>
              </w:rPr>
              <w:fldChar w:fldCharType="separate"/>
            </w:r>
            <w:r>
              <w:rPr>
                <w:webHidden/>
              </w:rPr>
              <w:t>6-7</w:t>
            </w:r>
            <w:r>
              <w:rPr>
                <w:webHidden/>
              </w:rPr>
              <w:fldChar w:fldCharType="end"/>
            </w:r>
          </w:hyperlink>
        </w:p>
        <w:p w:rsidR="00487261" w:rsidRDefault="00487261">
          <w:pPr>
            <w:pStyle w:val="TOC2"/>
            <w:rPr>
              <w:rFonts w:asciiTheme="minorHAnsi" w:eastAsiaTheme="minorEastAsia" w:hAnsiTheme="minorHAnsi"/>
              <w:b w:val="0"/>
              <w:color w:val="auto"/>
              <w:sz w:val="22"/>
              <w:lang w:eastAsia="en-AU"/>
            </w:rPr>
          </w:pPr>
          <w:hyperlink w:anchor="_Toc436042749" w:history="1">
            <w:r w:rsidRPr="00F70800">
              <w:rPr>
                <w:rStyle w:val="Hyperlink"/>
                <w14:scene3d>
                  <w14:camera w14:prst="orthographicFront"/>
                  <w14:lightRig w14:rig="threePt" w14:dir="t">
                    <w14:rot w14:lat="0" w14:lon="0" w14:rev="0"/>
                  </w14:lightRig>
                </w14:scene3d>
              </w:rPr>
              <w:t>6.2</w:t>
            </w:r>
            <w:r>
              <w:rPr>
                <w:rFonts w:asciiTheme="minorHAnsi" w:eastAsiaTheme="minorEastAsia" w:hAnsiTheme="minorHAnsi"/>
                <w:b w:val="0"/>
                <w:color w:val="auto"/>
                <w:sz w:val="22"/>
                <w:lang w:eastAsia="en-AU"/>
              </w:rPr>
              <w:tab/>
            </w:r>
            <w:r w:rsidRPr="00F70800">
              <w:rPr>
                <w:rStyle w:val="Hyperlink"/>
              </w:rPr>
              <w:t>APTNT’s proposal</w:t>
            </w:r>
            <w:r>
              <w:rPr>
                <w:webHidden/>
              </w:rPr>
              <w:tab/>
            </w:r>
            <w:r>
              <w:rPr>
                <w:webHidden/>
              </w:rPr>
              <w:fldChar w:fldCharType="begin"/>
            </w:r>
            <w:r>
              <w:rPr>
                <w:webHidden/>
              </w:rPr>
              <w:instrText xml:space="preserve"> PAGEREF _Toc436042749 \h </w:instrText>
            </w:r>
            <w:r>
              <w:rPr>
                <w:webHidden/>
              </w:rPr>
            </w:r>
            <w:r>
              <w:rPr>
                <w:webHidden/>
              </w:rPr>
              <w:fldChar w:fldCharType="separate"/>
            </w:r>
            <w:r>
              <w:rPr>
                <w:webHidden/>
              </w:rPr>
              <w:t>6-9</w:t>
            </w:r>
            <w:r>
              <w:rPr>
                <w:webHidden/>
              </w:rPr>
              <w:fldChar w:fldCharType="end"/>
            </w:r>
          </w:hyperlink>
        </w:p>
        <w:p w:rsidR="00487261" w:rsidRDefault="00487261">
          <w:pPr>
            <w:pStyle w:val="TOC2"/>
            <w:rPr>
              <w:rFonts w:asciiTheme="minorHAnsi" w:eastAsiaTheme="minorEastAsia" w:hAnsiTheme="minorHAnsi"/>
              <w:b w:val="0"/>
              <w:color w:val="auto"/>
              <w:sz w:val="22"/>
              <w:lang w:eastAsia="en-AU"/>
            </w:rPr>
          </w:pPr>
          <w:hyperlink w:anchor="_Toc436042750" w:history="1">
            <w:r w:rsidRPr="00F70800">
              <w:rPr>
                <w:rStyle w:val="Hyperlink"/>
                <w14:scene3d>
                  <w14:camera w14:prst="orthographicFront"/>
                  <w14:lightRig w14:rig="threePt" w14:dir="t">
                    <w14:rot w14:lat="0" w14:lon="0" w14:rev="0"/>
                  </w14:lightRig>
                </w14:scene3d>
              </w:rPr>
              <w:t>6.3</w:t>
            </w:r>
            <w:r>
              <w:rPr>
                <w:rFonts w:asciiTheme="minorHAnsi" w:eastAsiaTheme="minorEastAsia" w:hAnsiTheme="minorHAnsi"/>
                <w:b w:val="0"/>
                <w:color w:val="auto"/>
                <w:sz w:val="22"/>
                <w:lang w:eastAsia="en-AU"/>
              </w:rPr>
              <w:tab/>
            </w:r>
            <w:r w:rsidRPr="00F70800">
              <w:rPr>
                <w:rStyle w:val="Hyperlink"/>
              </w:rPr>
              <w:t>AER’s assessment approach</w:t>
            </w:r>
            <w:r>
              <w:rPr>
                <w:webHidden/>
              </w:rPr>
              <w:tab/>
            </w:r>
            <w:r>
              <w:rPr>
                <w:webHidden/>
              </w:rPr>
              <w:fldChar w:fldCharType="begin"/>
            </w:r>
            <w:r>
              <w:rPr>
                <w:webHidden/>
              </w:rPr>
              <w:instrText xml:space="preserve"> PAGEREF _Toc436042750 \h </w:instrText>
            </w:r>
            <w:r>
              <w:rPr>
                <w:webHidden/>
              </w:rPr>
            </w:r>
            <w:r>
              <w:rPr>
                <w:webHidden/>
              </w:rPr>
              <w:fldChar w:fldCharType="separate"/>
            </w:r>
            <w:r>
              <w:rPr>
                <w:webHidden/>
              </w:rPr>
              <w:t>6-10</w:t>
            </w:r>
            <w:r>
              <w:rPr>
                <w:webHidden/>
              </w:rPr>
              <w:fldChar w:fldCharType="end"/>
            </w:r>
          </w:hyperlink>
        </w:p>
        <w:p w:rsidR="00487261" w:rsidRDefault="00487261">
          <w:pPr>
            <w:pStyle w:val="TOC3"/>
            <w:rPr>
              <w:rFonts w:asciiTheme="minorHAnsi" w:eastAsiaTheme="minorEastAsia" w:hAnsiTheme="minorHAnsi"/>
              <w:lang w:eastAsia="en-AU"/>
            </w:rPr>
          </w:pPr>
          <w:hyperlink w:anchor="_Toc436042751" w:history="1">
            <w:r w:rsidRPr="00F70800">
              <w:rPr>
                <w:rStyle w:val="Hyperlink"/>
                <w14:scene3d>
                  <w14:camera w14:prst="orthographicFront"/>
                  <w14:lightRig w14:rig="threePt" w14:dir="t">
                    <w14:rot w14:lat="0" w14:lon="0" w14:rev="0"/>
                  </w14:lightRig>
                </w14:scene3d>
              </w:rPr>
              <w:t>6.3.1</w:t>
            </w:r>
            <w:r>
              <w:rPr>
                <w:rFonts w:asciiTheme="minorHAnsi" w:eastAsiaTheme="minorEastAsia" w:hAnsiTheme="minorHAnsi"/>
                <w:lang w:eastAsia="en-AU"/>
              </w:rPr>
              <w:tab/>
            </w:r>
            <w:r w:rsidRPr="00F70800">
              <w:rPr>
                <w:rStyle w:val="Hyperlink"/>
              </w:rPr>
              <w:t>NGR requirements for conforming capital expenditure</w:t>
            </w:r>
            <w:r>
              <w:rPr>
                <w:webHidden/>
              </w:rPr>
              <w:tab/>
            </w:r>
            <w:r>
              <w:rPr>
                <w:webHidden/>
              </w:rPr>
              <w:fldChar w:fldCharType="begin"/>
            </w:r>
            <w:r>
              <w:rPr>
                <w:webHidden/>
              </w:rPr>
              <w:instrText xml:space="preserve"> PAGEREF _Toc436042751 \h </w:instrText>
            </w:r>
            <w:r>
              <w:rPr>
                <w:webHidden/>
              </w:rPr>
            </w:r>
            <w:r>
              <w:rPr>
                <w:webHidden/>
              </w:rPr>
              <w:fldChar w:fldCharType="separate"/>
            </w:r>
            <w:r>
              <w:rPr>
                <w:webHidden/>
              </w:rPr>
              <w:t>6-11</w:t>
            </w:r>
            <w:r>
              <w:rPr>
                <w:webHidden/>
              </w:rPr>
              <w:fldChar w:fldCharType="end"/>
            </w:r>
          </w:hyperlink>
        </w:p>
        <w:p w:rsidR="00487261" w:rsidRDefault="00487261">
          <w:pPr>
            <w:pStyle w:val="TOC3"/>
            <w:rPr>
              <w:rFonts w:asciiTheme="minorHAnsi" w:eastAsiaTheme="minorEastAsia" w:hAnsiTheme="minorHAnsi"/>
              <w:lang w:eastAsia="en-AU"/>
            </w:rPr>
          </w:pPr>
          <w:hyperlink w:anchor="_Toc436042752" w:history="1">
            <w:r w:rsidRPr="00F70800">
              <w:rPr>
                <w:rStyle w:val="Hyperlink"/>
                <w14:scene3d>
                  <w14:camera w14:prst="orthographicFront"/>
                  <w14:lightRig w14:rig="threePt" w14:dir="t">
                    <w14:rot w14:lat="0" w14:lon="0" w14:rev="0"/>
                  </w14:lightRig>
                </w14:scene3d>
              </w:rPr>
              <w:t>6.3.2</w:t>
            </w:r>
            <w:r>
              <w:rPr>
                <w:rFonts w:asciiTheme="minorHAnsi" w:eastAsiaTheme="minorEastAsia" w:hAnsiTheme="minorHAnsi"/>
                <w:lang w:eastAsia="en-AU"/>
              </w:rPr>
              <w:tab/>
            </w:r>
            <w:r w:rsidRPr="00F70800">
              <w:rPr>
                <w:rStyle w:val="Hyperlink"/>
              </w:rPr>
              <w:t>Assessment of conforming capital expenditure in the 2011–16 access arrangement period</w:t>
            </w:r>
            <w:r>
              <w:rPr>
                <w:webHidden/>
              </w:rPr>
              <w:tab/>
            </w:r>
            <w:r>
              <w:rPr>
                <w:webHidden/>
              </w:rPr>
              <w:fldChar w:fldCharType="begin"/>
            </w:r>
            <w:r>
              <w:rPr>
                <w:webHidden/>
              </w:rPr>
              <w:instrText xml:space="preserve"> PAGEREF _Toc436042752 \h </w:instrText>
            </w:r>
            <w:r>
              <w:rPr>
                <w:webHidden/>
              </w:rPr>
            </w:r>
            <w:r>
              <w:rPr>
                <w:webHidden/>
              </w:rPr>
              <w:fldChar w:fldCharType="separate"/>
            </w:r>
            <w:r>
              <w:rPr>
                <w:webHidden/>
              </w:rPr>
              <w:t>6-12</w:t>
            </w:r>
            <w:r>
              <w:rPr>
                <w:webHidden/>
              </w:rPr>
              <w:fldChar w:fldCharType="end"/>
            </w:r>
          </w:hyperlink>
        </w:p>
        <w:p w:rsidR="00487261" w:rsidRDefault="00487261">
          <w:pPr>
            <w:pStyle w:val="TOC3"/>
            <w:rPr>
              <w:rFonts w:asciiTheme="minorHAnsi" w:eastAsiaTheme="minorEastAsia" w:hAnsiTheme="minorHAnsi"/>
              <w:lang w:eastAsia="en-AU"/>
            </w:rPr>
          </w:pPr>
          <w:hyperlink w:anchor="_Toc436042753" w:history="1">
            <w:r w:rsidRPr="00F70800">
              <w:rPr>
                <w:rStyle w:val="Hyperlink"/>
                <w:rFonts w:eastAsia="Calibri"/>
                <w14:scene3d>
                  <w14:camera w14:prst="orthographicFront"/>
                  <w14:lightRig w14:rig="threePt" w14:dir="t">
                    <w14:rot w14:lat="0" w14:lon="0" w14:rev="0"/>
                  </w14:lightRig>
                </w14:scene3d>
              </w:rPr>
              <w:t>6.3.3</w:t>
            </w:r>
            <w:r>
              <w:rPr>
                <w:rFonts w:asciiTheme="minorHAnsi" w:eastAsiaTheme="minorEastAsia" w:hAnsiTheme="minorHAnsi"/>
                <w:lang w:eastAsia="en-AU"/>
              </w:rPr>
              <w:tab/>
            </w:r>
            <w:r w:rsidRPr="00F70800">
              <w:rPr>
                <w:rStyle w:val="Hyperlink"/>
              </w:rPr>
              <w:t>Assessment of</w:t>
            </w:r>
            <w:r w:rsidRPr="00F70800">
              <w:rPr>
                <w:rStyle w:val="Hyperlink"/>
                <w:rFonts w:eastAsia="Calibri"/>
              </w:rPr>
              <w:t xml:space="preserve"> forecast capex for the 2016–21 access arrangement period</w:t>
            </w:r>
            <w:r>
              <w:rPr>
                <w:webHidden/>
              </w:rPr>
              <w:tab/>
            </w:r>
            <w:r>
              <w:rPr>
                <w:webHidden/>
              </w:rPr>
              <w:fldChar w:fldCharType="begin"/>
            </w:r>
            <w:r>
              <w:rPr>
                <w:webHidden/>
              </w:rPr>
              <w:instrText xml:space="preserve"> PAGEREF _Toc436042753 \h </w:instrText>
            </w:r>
            <w:r>
              <w:rPr>
                <w:webHidden/>
              </w:rPr>
            </w:r>
            <w:r>
              <w:rPr>
                <w:webHidden/>
              </w:rPr>
              <w:fldChar w:fldCharType="separate"/>
            </w:r>
            <w:r>
              <w:rPr>
                <w:webHidden/>
              </w:rPr>
              <w:t>6-13</w:t>
            </w:r>
            <w:r>
              <w:rPr>
                <w:webHidden/>
              </w:rPr>
              <w:fldChar w:fldCharType="end"/>
            </w:r>
          </w:hyperlink>
        </w:p>
        <w:p w:rsidR="00487261" w:rsidRDefault="00487261">
          <w:pPr>
            <w:pStyle w:val="TOC3"/>
            <w:rPr>
              <w:rFonts w:asciiTheme="minorHAnsi" w:eastAsiaTheme="minorEastAsia" w:hAnsiTheme="minorHAnsi"/>
              <w:lang w:eastAsia="en-AU"/>
            </w:rPr>
          </w:pPr>
          <w:hyperlink w:anchor="_Toc436042754" w:history="1">
            <w:r w:rsidRPr="00F70800">
              <w:rPr>
                <w:rStyle w:val="Hyperlink"/>
                <w14:scene3d>
                  <w14:camera w14:prst="orthographicFront"/>
                  <w14:lightRig w14:rig="threePt" w14:dir="t">
                    <w14:rot w14:lat="0" w14:lon="0" w14:rev="0"/>
                  </w14:lightRig>
                </w14:scene3d>
              </w:rPr>
              <w:t>6.3.4</w:t>
            </w:r>
            <w:r>
              <w:rPr>
                <w:rFonts w:asciiTheme="minorHAnsi" w:eastAsiaTheme="minorEastAsia" w:hAnsiTheme="minorHAnsi"/>
                <w:lang w:eastAsia="en-AU"/>
              </w:rPr>
              <w:tab/>
            </w:r>
            <w:r w:rsidRPr="00F70800">
              <w:rPr>
                <w:rStyle w:val="Hyperlink"/>
              </w:rPr>
              <w:t>Interrelationships</w:t>
            </w:r>
            <w:r>
              <w:rPr>
                <w:webHidden/>
              </w:rPr>
              <w:tab/>
            </w:r>
            <w:r>
              <w:rPr>
                <w:webHidden/>
              </w:rPr>
              <w:fldChar w:fldCharType="begin"/>
            </w:r>
            <w:r>
              <w:rPr>
                <w:webHidden/>
              </w:rPr>
              <w:instrText xml:space="preserve"> PAGEREF _Toc436042754 \h </w:instrText>
            </w:r>
            <w:r>
              <w:rPr>
                <w:webHidden/>
              </w:rPr>
            </w:r>
            <w:r>
              <w:rPr>
                <w:webHidden/>
              </w:rPr>
              <w:fldChar w:fldCharType="separate"/>
            </w:r>
            <w:r>
              <w:rPr>
                <w:webHidden/>
              </w:rPr>
              <w:t>6-14</w:t>
            </w:r>
            <w:r>
              <w:rPr>
                <w:webHidden/>
              </w:rPr>
              <w:fldChar w:fldCharType="end"/>
            </w:r>
          </w:hyperlink>
        </w:p>
        <w:p w:rsidR="00487261" w:rsidRDefault="00487261">
          <w:pPr>
            <w:pStyle w:val="TOC2"/>
            <w:rPr>
              <w:rFonts w:asciiTheme="minorHAnsi" w:eastAsiaTheme="minorEastAsia" w:hAnsiTheme="minorHAnsi"/>
              <w:b w:val="0"/>
              <w:color w:val="auto"/>
              <w:sz w:val="22"/>
              <w:lang w:eastAsia="en-AU"/>
            </w:rPr>
          </w:pPr>
          <w:hyperlink w:anchor="_Toc436042755" w:history="1">
            <w:r w:rsidRPr="00F70800">
              <w:rPr>
                <w:rStyle w:val="Hyperlink"/>
                <w14:scene3d>
                  <w14:camera w14:prst="orthographicFront"/>
                  <w14:lightRig w14:rig="threePt" w14:dir="t">
                    <w14:rot w14:lat="0" w14:lon="0" w14:rev="0"/>
                  </w14:lightRig>
                </w14:scene3d>
              </w:rPr>
              <w:t>6.4</w:t>
            </w:r>
            <w:r>
              <w:rPr>
                <w:rFonts w:asciiTheme="minorHAnsi" w:eastAsiaTheme="minorEastAsia" w:hAnsiTheme="minorHAnsi"/>
                <w:b w:val="0"/>
                <w:color w:val="auto"/>
                <w:sz w:val="22"/>
                <w:lang w:eastAsia="en-AU"/>
              </w:rPr>
              <w:tab/>
            </w:r>
            <w:r w:rsidRPr="00F70800">
              <w:rPr>
                <w:rStyle w:val="Hyperlink"/>
              </w:rPr>
              <w:t>Reasons for draft decision</w:t>
            </w:r>
            <w:r>
              <w:rPr>
                <w:webHidden/>
              </w:rPr>
              <w:tab/>
            </w:r>
            <w:r>
              <w:rPr>
                <w:webHidden/>
              </w:rPr>
              <w:fldChar w:fldCharType="begin"/>
            </w:r>
            <w:r>
              <w:rPr>
                <w:webHidden/>
              </w:rPr>
              <w:instrText xml:space="preserve"> PAGEREF _Toc436042755 \h </w:instrText>
            </w:r>
            <w:r>
              <w:rPr>
                <w:webHidden/>
              </w:rPr>
            </w:r>
            <w:r>
              <w:rPr>
                <w:webHidden/>
              </w:rPr>
              <w:fldChar w:fldCharType="separate"/>
            </w:r>
            <w:r>
              <w:rPr>
                <w:webHidden/>
              </w:rPr>
              <w:t>6-14</w:t>
            </w:r>
            <w:r>
              <w:rPr>
                <w:webHidden/>
              </w:rPr>
              <w:fldChar w:fldCharType="end"/>
            </w:r>
          </w:hyperlink>
        </w:p>
        <w:p w:rsidR="00487261" w:rsidRDefault="00487261">
          <w:pPr>
            <w:pStyle w:val="TOC3"/>
            <w:rPr>
              <w:rFonts w:asciiTheme="minorHAnsi" w:eastAsiaTheme="minorEastAsia" w:hAnsiTheme="minorHAnsi"/>
              <w:lang w:eastAsia="en-AU"/>
            </w:rPr>
          </w:pPr>
          <w:hyperlink w:anchor="_Toc436042756" w:history="1">
            <w:r w:rsidRPr="00F70800">
              <w:rPr>
                <w:rStyle w:val="Hyperlink"/>
                <w:rFonts w:eastAsia="Calibri"/>
                <w14:scene3d>
                  <w14:camera w14:prst="orthographicFront"/>
                  <w14:lightRig w14:rig="threePt" w14:dir="t">
                    <w14:rot w14:lat="0" w14:lon="0" w14:rev="0"/>
                  </w14:lightRig>
                </w14:scene3d>
              </w:rPr>
              <w:t>6.4.1</w:t>
            </w:r>
            <w:r>
              <w:rPr>
                <w:rFonts w:asciiTheme="minorHAnsi" w:eastAsiaTheme="minorEastAsia" w:hAnsiTheme="minorHAnsi"/>
                <w:lang w:eastAsia="en-AU"/>
              </w:rPr>
              <w:tab/>
            </w:r>
            <w:r w:rsidRPr="00F70800">
              <w:rPr>
                <w:rStyle w:val="Hyperlink"/>
              </w:rPr>
              <w:t>Conforming</w:t>
            </w:r>
            <w:r w:rsidRPr="00F70800">
              <w:rPr>
                <w:rStyle w:val="Hyperlink"/>
                <w:rFonts w:eastAsia="Calibri"/>
              </w:rPr>
              <w:t xml:space="preserve"> capex for the 2010–16 period</w:t>
            </w:r>
            <w:r>
              <w:rPr>
                <w:webHidden/>
              </w:rPr>
              <w:tab/>
            </w:r>
            <w:r>
              <w:rPr>
                <w:webHidden/>
              </w:rPr>
              <w:fldChar w:fldCharType="begin"/>
            </w:r>
            <w:r>
              <w:rPr>
                <w:webHidden/>
              </w:rPr>
              <w:instrText xml:space="preserve"> PAGEREF _Toc436042756 \h </w:instrText>
            </w:r>
            <w:r>
              <w:rPr>
                <w:webHidden/>
              </w:rPr>
            </w:r>
            <w:r>
              <w:rPr>
                <w:webHidden/>
              </w:rPr>
              <w:fldChar w:fldCharType="separate"/>
            </w:r>
            <w:r>
              <w:rPr>
                <w:webHidden/>
              </w:rPr>
              <w:t>6-14</w:t>
            </w:r>
            <w:r>
              <w:rPr>
                <w:webHidden/>
              </w:rPr>
              <w:fldChar w:fldCharType="end"/>
            </w:r>
          </w:hyperlink>
        </w:p>
        <w:p w:rsidR="00487261" w:rsidRDefault="00487261">
          <w:pPr>
            <w:pStyle w:val="TOC3"/>
            <w:rPr>
              <w:rFonts w:asciiTheme="minorHAnsi" w:eastAsiaTheme="minorEastAsia" w:hAnsiTheme="minorHAnsi"/>
              <w:lang w:eastAsia="en-AU"/>
            </w:rPr>
          </w:pPr>
          <w:hyperlink w:anchor="_Toc436042757" w:history="1">
            <w:r w:rsidRPr="00F70800">
              <w:rPr>
                <w:rStyle w:val="Hyperlink"/>
                <w:rFonts w:eastAsia="Calibri"/>
                <w14:scene3d>
                  <w14:camera w14:prst="orthographicFront"/>
                  <w14:lightRig w14:rig="threePt" w14:dir="t">
                    <w14:rot w14:lat="0" w14:lon="0" w14:rev="0"/>
                  </w14:lightRig>
                </w14:scene3d>
              </w:rPr>
              <w:t>6.4.2</w:t>
            </w:r>
            <w:r>
              <w:rPr>
                <w:rFonts w:asciiTheme="minorHAnsi" w:eastAsiaTheme="minorEastAsia" w:hAnsiTheme="minorHAnsi"/>
                <w:lang w:eastAsia="en-AU"/>
              </w:rPr>
              <w:tab/>
            </w:r>
            <w:r w:rsidRPr="00F70800">
              <w:rPr>
                <w:rStyle w:val="Hyperlink"/>
              </w:rPr>
              <w:t>Conforming</w:t>
            </w:r>
            <w:r w:rsidRPr="00F70800">
              <w:rPr>
                <w:rStyle w:val="Hyperlink"/>
                <w:rFonts w:eastAsia="Calibri"/>
              </w:rPr>
              <w:t xml:space="preserve"> capex for the 2016–21 access arrangement period</w:t>
            </w:r>
            <w:r>
              <w:rPr>
                <w:webHidden/>
              </w:rPr>
              <w:tab/>
            </w:r>
            <w:r>
              <w:rPr>
                <w:webHidden/>
              </w:rPr>
              <w:fldChar w:fldCharType="begin"/>
            </w:r>
            <w:r>
              <w:rPr>
                <w:webHidden/>
              </w:rPr>
              <w:instrText xml:space="preserve"> PAGEREF _Toc436042757 \h </w:instrText>
            </w:r>
            <w:r>
              <w:rPr>
                <w:webHidden/>
              </w:rPr>
            </w:r>
            <w:r>
              <w:rPr>
                <w:webHidden/>
              </w:rPr>
              <w:fldChar w:fldCharType="separate"/>
            </w:r>
            <w:r>
              <w:rPr>
                <w:webHidden/>
              </w:rPr>
              <w:t>6-22</w:t>
            </w:r>
            <w:r>
              <w:rPr>
                <w:webHidden/>
              </w:rPr>
              <w:fldChar w:fldCharType="end"/>
            </w:r>
          </w:hyperlink>
        </w:p>
        <w:p w:rsidR="00487261" w:rsidRDefault="00487261">
          <w:pPr>
            <w:pStyle w:val="TOC2"/>
            <w:rPr>
              <w:rFonts w:asciiTheme="minorHAnsi" w:eastAsiaTheme="minorEastAsia" w:hAnsiTheme="minorHAnsi"/>
              <w:b w:val="0"/>
              <w:color w:val="auto"/>
              <w:sz w:val="22"/>
              <w:lang w:eastAsia="en-AU"/>
            </w:rPr>
          </w:pPr>
          <w:hyperlink w:anchor="_Toc436042758" w:history="1">
            <w:r w:rsidRPr="00F70800">
              <w:rPr>
                <w:rStyle w:val="Hyperlink"/>
                <w14:scene3d>
                  <w14:camera w14:prst="orthographicFront"/>
                  <w14:lightRig w14:rig="threePt" w14:dir="t">
                    <w14:rot w14:lat="0" w14:lon="0" w14:rev="0"/>
                  </w14:lightRig>
                </w14:scene3d>
              </w:rPr>
              <w:t>6.5</w:t>
            </w:r>
            <w:r>
              <w:rPr>
                <w:rFonts w:asciiTheme="minorHAnsi" w:eastAsiaTheme="minorEastAsia" w:hAnsiTheme="minorHAnsi"/>
                <w:b w:val="0"/>
                <w:color w:val="auto"/>
                <w:sz w:val="22"/>
                <w:lang w:eastAsia="en-AU"/>
              </w:rPr>
              <w:tab/>
            </w:r>
            <w:r w:rsidRPr="00F70800">
              <w:rPr>
                <w:rStyle w:val="Hyperlink"/>
              </w:rPr>
              <w:t>Revisions</w:t>
            </w:r>
            <w:r>
              <w:rPr>
                <w:webHidden/>
              </w:rPr>
              <w:tab/>
            </w:r>
            <w:r>
              <w:rPr>
                <w:webHidden/>
              </w:rPr>
              <w:fldChar w:fldCharType="begin"/>
            </w:r>
            <w:r>
              <w:rPr>
                <w:webHidden/>
              </w:rPr>
              <w:instrText xml:space="preserve"> PAGEREF _Toc436042758 \h </w:instrText>
            </w:r>
            <w:r>
              <w:rPr>
                <w:webHidden/>
              </w:rPr>
            </w:r>
            <w:r>
              <w:rPr>
                <w:webHidden/>
              </w:rPr>
              <w:fldChar w:fldCharType="separate"/>
            </w:r>
            <w:r>
              <w:rPr>
                <w:webHidden/>
              </w:rPr>
              <w:t>6-33</w:t>
            </w:r>
            <w:r>
              <w:rPr>
                <w:webHidden/>
              </w:rPr>
              <w:fldChar w:fldCharType="end"/>
            </w:r>
          </w:hyperlink>
        </w:p>
        <w:p w:rsidR="00DE563D" w:rsidRDefault="003D1B28">
          <w:pPr>
            <w:pStyle w:val="TOC1"/>
          </w:pPr>
          <w: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7" w:name="_Toc404700925"/>
      <w:bookmarkStart w:id="8" w:name="_Toc436042744"/>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2C6AAE" w:rsidTr="002C6A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Shortened form</w:t>
            </w:r>
          </w:p>
        </w:tc>
        <w:tc>
          <w:tcPr>
            <w:tcW w:w="5041" w:type="dxa"/>
            <w:tcBorders>
              <w:top w:val="nil"/>
              <w:left w:val="nil"/>
              <w:bottom w:val="nil"/>
              <w:right w:val="nil"/>
            </w:tcBorders>
            <w:hideMark/>
          </w:tcPr>
          <w:p w:rsidR="002C6AAE" w:rsidRDefault="002C6AAE" w:rsidP="002C6AAE">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AA</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Access Arrangement</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AAI</w:t>
            </w:r>
          </w:p>
        </w:tc>
        <w:tc>
          <w:tcPr>
            <w:tcW w:w="5041" w:type="dxa"/>
            <w:tcBorders>
              <w:top w:val="nil"/>
              <w:left w:val="nil"/>
              <w:bottom w:val="nil"/>
              <w:right w:val="nil"/>
            </w:tcBorders>
            <w:hideMark/>
          </w:tcPr>
          <w:p w:rsidR="002C6AAE" w:rsidRDefault="002C6AAE">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AER</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AGP</w:t>
            </w:r>
          </w:p>
        </w:tc>
        <w:tc>
          <w:tcPr>
            <w:tcW w:w="5041" w:type="dxa"/>
            <w:tcBorders>
              <w:top w:val="nil"/>
              <w:left w:val="nil"/>
              <w:bottom w:val="nil"/>
              <w:right w:val="nil"/>
            </w:tcBorders>
            <w:hideMark/>
          </w:tcPr>
          <w:p w:rsidR="002C6AAE" w:rsidRDefault="002C6AAE">
            <w:pPr>
              <w:cnfStyle w:val="000000010000" w:firstRow="0" w:lastRow="0" w:firstColumn="0" w:lastColumn="0" w:oddVBand="0" w:evenVBand="0" w:oddHBand="0" w:evenHBand="1" w:firstRowFirstColumn="0" w:firstRowLastColumn="0" w:lastRowFirstColumn="0" w:lastRowLastColumn="0"/>
            </w:pPr>
            <w:r>
              <w:t>Amadeus Gas Pipeline</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ATO</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Australian Tax Office</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capex</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CAPM</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CESS</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CPI</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consumer price index</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DRP</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EBSS</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ERP</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Expenditure Guideline</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gamma</w:t>
            </w:r>
          </w:p>
        </w:tc>
        <w:tc>
          <w:tcPr>
            <w:tcW w:w="5041" w:type="dxa"/>
            <w:tcBorders>
              <w:top w:val="nil"/>
              <w:left w:val="nil"/>
              <w:bottom w:val="nil"/>
              <w:right w:val="nil"/>
            </w:tcBorders>
            <w:hideMark/>
          </w:tcPr>
          <w:p w:rsidR="002C6AAE" w:rsidRDefault="002C6AAE">
            <w:pPr>
              <w:cnfStyle w:val="000000010000" w:firstRow="0" w:lastRow="0" w:firstColumn="0" w:lastColumn="0" w:oddVBand="0" w:evenVBand="0" w:oddHBand="0" w:evenHBand="1" w:firstRowFirstColumn="0" w:firstRowLastColumn="0" w:lastRowFirstColumn="0" w:lastRowLastColumn="0"/>
            </w:pPr>
            <w:r>
              <w:t>Value of Imputation Credits</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GSL</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Guaranteed Service Level</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MRP</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NEGI</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north eastern gas interconnector</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NGL</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NGO</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NGR</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NPV</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net present value</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opex</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PFP</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partial factor productivity</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PPI</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PTRM</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RBA</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RFM</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RIN</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RPP</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SLCAPM</w:t>
            </w:r>
          </w:p>
        </w:tc>
        <w:tc>
          <w:tcPr>
            <w:tcW w:w="5041" w:type="dxa"/>
            <w:tcBorders>
              <w:top w:val="nil"/>
              <w:left w:val="nil"/>
              <w:bottom w:val="nil"/>
              <w:right w:val="nil"/>
            </w:tcBorders>
            <w:hideMark/>
          </w:tcPr>
          <w:p w:rsidR="002C6AAE" w:rsidRDefault="002C6AAE" w:rsidP="002C6AAE">
            <w:pPr>
              <w:numPr>
                <w:ilvl w:val="0"/>
                <w:numId w:val="28"/>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TAB</w:t>
            </w:r>
          </w:p>
        </w:tc>
        <w:tc>
          <w:tcPr>
            <w:tcW w:w="5041" w:type="dxa"/>
            <w:tcBorders>
              <w:top w:val="nil"/>
              <w:left w:val="nil"/>
              <w:bottom w:val="nil"/>
              <w:right w:val="nil"/>
            </w:tcBorders>
            <w:hideMark/>
          </w:tcPr>
          <w:p w:rsidR="002C6AAE" w:rsidRDefault="002C6AAE">
            <w:pPr>
              <w:cnfStyle w:val="000000000000" w:firstRow="0" w:lastRow="0" w:firstColumn="0" w:lastColumn="0" w:oddVBand="0" w:evenVBand="0" w:oddHBand="0" w:evenHBand="0" w:firstRowFirstColumn="0" w:firstRowLastColumn="0" w:lastRowFirstColumn="0" w:lastRowLastColumn="0"/>
            </w:pPr>
            <w:r>
              <w:t>Tax asset base</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UAFG</w:t>
            </w:r>
          </w:p>
        </w:tc>
        <w:tc>
          <w:tcPr>
            <w:tcW w:w="5041" w:type="dxa"/>
            <w:tcBorders>
              <w:top w:val="nil"/>
              <w:left w:val="nil"/>
              <w:bottom w:val="nil"/>
              <w:right w:val="nil"/>
            </w:tcBorders>
            <w:hideMark/>
          </w:tcPr>
          <w:p w:rsidR="002C6AAE" w:rsidRDefault="002C6AAE">
            <w:pPr>
              <w:cnfStyle w:val="000000010000" w:firstRow="0" w:lastRow="0" w:firstColumn="0" w:lastColumn="0" w:oddVBand="0" w:evenVBand="0" w:oddHBand="0" w:evenHBand="1" w:firstRowFirstColumn="0" w:firstRowLastColumn="0" w:lastRowFirstColumn="0" w:lastRowLastColumn="0"/>
            </w:pPr>
            <w:r>
              <w:t>Unaccounted for gas</w:t>
            </w:r>
          </w:p>
        </w:tc>
      </w:tr>
      <w:tr w:rsidR="002C6AAE" w:rsidTr="002C6AAE">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6AAE" w:rsidRDefault="002C6AAE" w:rsidP="002C6AAE">
            <w:pPr>
              <w:numPr>
                <w:ilvl w:val="0"/>
                <w:numId w:val="28"/>
              </w:numPr>
            </w:pPr>
            <w:r>
              <w:t>WACC</w:t>
            </w:r>
          </w:p>
        </w:tc>
        <w:tc>
          <w:tcPr>
            <w:tcW w:w="5041" w:type="dxa"/>
            <w:tcBorders>
              <w:top w:val="nil"/>
              <w:left w:val="nil"/>
              <w:bottom w:val="nil"/>
              <w:right w:val="nil"/>
            </w:tcBorders>
            <w:hideMark/>
          </w:tcPr>
          <w:p w:rsidR="002C6AAE" w:rsidRDefault="002C6AAE" w:rsidP="002C6AAE">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2C6AAE" w:rsidTr="002C6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2C6AAE" w:rsidRDefault="002C6AAE" w:rsidP="002C6AAE">
            <w:pPr>
              <w:numPr>
                <w:ilvl w:val="0"/>
                <w:numId w:val="28"/>
              </w:numPr>
            </w:pPr>
            <w:r>
              <w:t>WPI</w:t>
            </w:r>
          </w:p>
        </w:tc>
        <w:tc>
          <w:tcPr>
            <w:tcW w:w="5041" w:type="dxa"/>
            <w:tcBorders>
              <w:top w:val="nil"/>
              <w:left w:val="nil"/>
              <w:bottom w:val="single" w:sz="4" w:space="0" w:color="365F91"/>
              <w:right w:val="nil"/>
            </w:tcBorders>
            <w:hideMark/>
          </w:tcPr>
          <w:p w:rsidR="002C6AAE" w:rsidRDefault="002C6AAE">
            <w:pPr>
              <w:cnfStyle w:val="000000010000" w:firstRow="0" w:lastRow="0" w:firstColumn="0" w:lastColumn="0" w:oddVBand="0" w:evenVBand="0" w:oddHBand="0" w:evenHBand="1" w:firstRowFirstColumn="0" w:firstRowLastColumn="0" w:lastRowFirstColumn="0" w:lastRowLastColumn="0"/>
            </w:pPr>
            <w:r>
              <w:t>Wage Price Index</w:t>
            </w:r>
          </w:p>
        </w:tc>
      </w:tr>
    </w:tbl>
    <w:p w:rsidR="002C6AAE" w:rsidRPr="002C6AAE" w:rsidRDefault="002C6AAE" w:rsidP="002C6AAE"/>
    <w:p w:rsidR="00DE563D" w:rsidRDefault="00060D7C" w:rsidP="00060D7C">
      <w:pPr>
        <w:pStyle w:val="Heading1"/>
      </w:pPr>
      <w:bookmarkStart w:id="9" w:name="_Toc436042745"/>
      <w:r>
        <w:t>Capital</w:t>
      </w:r>
      <w:r w:rsidR="009A2EC3">
        <w:t xml:space="preserve"> expenditure</w:t>
      </w:r>
      <w:bookmarkEnd w:id="9"/>
    </w:p>
    <w:p w:rsidR="00EE384C" w:rsidRPr="00EE384C" w:rsidRDefault="00EE384C" w:rsidP="00EE384C">
      <w:r w:rsidRPr="00EE386B">
        <w:t xml:space="preserve">This attachment outlines </w:t>
      </w:r>
      <w:r>
        <w:t>our</w:t>
      </w:r>
      <w:r w:rsidRPr="00EE386B">
        <w:t xml:space="preserve"> assessment of </w:t>
      </w:r>
      <w:r w:rsidRPr="00EE384C">
        <w:rPr>
          <w:lang w:val="en"/>
        </w:rPr>
        <w:t>APTNT</w:t>
      </w:r>
      <w:r w:rsidR="008B5C51">
        <w:t>’</w:t>
      </w:r>
      <w:r>
        <w:t xml:space="preserve">s </w:t>
      </w:r>
      <w:r w:rsidRPr="00EE386B">
        <w:t xml:space="preserve">proposed </w:t>
      </w:r>
      <w:r>
        <w:t xml:space="preserve">conforming </w:t>
      </w:r>
      <w:r w:rsidRPr="00EE386B">
        <w:t xml:space="preserve">capex for </w:t>
      </w:r>
      <w:r w:rsidR="00843CB1">
        <w:t>2010</w:t>
      </w:r>
      <w:r w:rsidRPr="00EE386B">
        <w:t>–</w:t>
      </w:r>
      <w:r w:rsidR="00120490">
        <w:t xml:space="preserve">2016 </w:t>
      </w:r>
      <w:r w:rsidRPr="00EE386B">
        <w:t xml:space="preserve">and forecast capex for the </w:t>
      </w:r>
      <w:r w:rsidR="006A555A">
        <w:t>2016–21</w:t>
      </w:r>
      <w:r w:rsidRPr="00EE386B">
        <w:t xml:space="preserve"> access arrangement period.</w:t>
      </w:r>
    </w:p>
    <w:p w:rsidR="009A5113" w:rsidRDefault="00CF2C05" w:rsidP="00140D62">
      <w:pPr>
        <w:pStyle w:val="Heading2"/>
      </w:pPr>
      <w:bookmarkStart w:id="10" w:name="_Toc408404320"/>
      <w:bookmarkStart w:id="11" w:name="_Toc436042746"/>
      <w:r w:rsidRPr="00666CC6">
        <w:t>Draft</w:t>
      </w:r>
      <w:r w:rsidR="009A5113" w:rsidRPr="0074565D">
        <w:t xml:space="preserve"> decision</w:t>
      </w:r>
      <w:bookmarkEnd w:id="10"/>
      <w:bookmarkEnd w:id="11"/>
    </w:p>
    <w:p w:rsidR="004241B0" w:rsidRPr="00FF31F7" w:rsidRDefault="00E03561" w:rsidP="00FF31F7">
      <w:pPr>
        <w:pStyle w:val="Heading3"/>
      </w:pPr>
      <w:bookmarkStart w:id="12" w:name="_Toc436042747"/>
      <w:r w:rsidRPr="00CA131C">
        <w:t xml:space="preserve">Conforming </w:t>
      </w:r>
      <w:r>
        <w:t xml:space="preserve">capex </w:t>
      </w:r>
      <w:r w:rsidR="00843CB1">
        <w:t xml:space="preserve">for </w:t>
      </w:r>
      <w:r w:rsidRPr="00CA131C">
        <w:t>201</w:t>
      </w:r>
      <w:r w:rsidR="00843CB1">
        <w:t>0</w:t>
      </w:r>
      <w:r w:rsidRPr="00CA131C">
        <w:t>–</w:t>
      </w:r>
      <w:r w:rsidRPr="00FF31F7">
        <w:t>16</w:t>
      </w:r>
      <w:bookmarkEnd w:id="12"/>
      <w:r w:rsidRPr="00FF31F7">
        <w:t xml:space="preserve"> </w:t>
      </w:r>
    </w:p>
    <w:p w:rsidR="00AB1037" w:rsidRDefault="004241B0" w:rsidP="0046531F">
      <w:r>
        <w:t>We</w:t>
      </w:r>
      <w:r w:rsidRPr="00EE386B">
        <w:t xml:space="preserve"> approve </w:t>
      </w:r>
      <w:r w:rsidRPr="00BA1584">
        <w:t>$</w:t>
      </w:r>
      <w:r w:rsidR="00BA1584" w:rsidRPr="00BA1584">
        <w:t>37.</w:t>
      </w:r>
      <w:r w:rsidR="009F041B">
        <w:t>4</w:t>
      </w:r>
      <w:r w:rsidRPr="00EE386B">
        <w:t xml:space="preserve"> million ($</w:t>
      </w:r>
      <w:r w:rsidR="000B70FD">
        <w:t>2015–16</w:t>
      </w:r>
      <w:r w:rsidRPr="00EE386B">
        <w:t xml:space="preserve">) </w:t>
      </w:r>
      <w:r w:rsidR="00453AFD">
        <w:t xml:space="preserve">of APTNT’s </w:t>
      </w:r>
      <w:r w:rsidR="00702FC2">
        <w:t xml:space="preserve">proposed </w:t>
      </w:r>
      <w:r w:rsidRPr="00EE386B">
        <w:t>total net capex</w:t>
      </w:r>
      <w:r w:rsidR="00702FC2">
        <w:t xml:space="preserve"> of $44.</w:t>
      </w:r>
      <w:r w:rsidR="006A555A">
        <w:t>4</w:t>
      </w:r>
      <w:r w:rsidR="00702FC2">
        <w:t> million</w:t>
      </w:r>
      <w:r w:rsidRPr="00EE386B">
        <w:t xml:space="preserve"> for </w:t>
      </w:r>
      <w:r w:rsidR="00173F9F">
        <w:t xml:space="preserve">the </w:t>
      </w:r>
      <w:r w:rsidR="006A555A">
        <w:t>2011–16</w:t>
      </w:r>
      <w:r w:rsidRPr="00EE386B">
        <w:t xml:space="preserve"> </w:t>
      </w:r>
      <w:r w:rsidR="00173F9F">
        <w:t xml:space="preserve">access arrangement </w:t>
      </w:r>
      <w:proofErr w:type="gramStart"/>
      <w:r w:rsidR="00173F9F">
        <w:t>period</w:t>
      </w:r>
      <w:proofErr w:type="gramEnd"/>
      <w:r w:rsidR="00173F9F">
        <w:t xml:space="preserve"> </w:t>
      </w:r>
      <w:r w:rsidRPr="00EE386B">
        <w:t>as conforming capex under r</w:t>
      </w:r>
      <w:r w:rsidR="00C9745C">
        <w:t>ule</w:t>
      </w:r>
      <w:r w:rsidR="006478AA">
        <w:t> </w:t>
      </w:r>
      <w:r w:rsidRPr="00EE386B">
        <w:t>79(1) of the NGR.</w:t>
      </w:r>
      <w:r w:rsidR="00702FC2">
        <w:t xml:space="preserve"> We also approve APTNT’s actual capex of $4.5 million ($</w:t>
      </w:r>
      <w:r w:rsidR="000B70FD">
        <w:t>2015–16</w:t>
      </w:r>
      <w:r w:rsidR="00702FC2">
        <w:t>) in the 2010</w:t>
      </w:r>
      <w:r w:rsidR="00C9745C">
        <w:t>–</w:t>
      </w:r>
      <w:r w:rsidR="00702FC2">
        <w:t>11 year as conforming capex</w:t>
      </w:r>
      <w:r w:rsidR="0046531F">
        <w:t xml:space="preserve"> for the purpose of establishing the opening capital base</w:t>
      </w:r>
      <w:r w:rsidR="005F7135">
        <w:t xml:space="preserve"> for the </w:t>
      </w:r>
      <w:r w:rsidR="006A555A">
        <w:t>2011–16</w:t>
      </w:r>
      <w:r w:rsidR="005F7135">
        <w:t xml:space="preserve"> access arrangement </w:t>
      </w:r>
      <w:proofErr w:type="gramStart"/>
      <w:r w:rsidR="005F7135">
        <w:t>period</w:t>
      </w:r>
      <w:proofErr w:type="gramEnd"/>
      <w:r w:rsidR="005F7135">
        <w:t>.</w:t>
      </w:r>
      <w:r w:rsidR="00486F2F">
        <w:t xml:space="preserve"> </w:t>
      </w:r>
    </w:p>
    <w:p w:rsidR="0046531F" w:rsidRDefault="008D0B85" w:rsidP="0046531F">
      <w:r>
        <w:fldChar w:fldCharType="begin"/>
      </w:r>
      <w:r>
        <w:instrText xml:space="preserve"> REF _Ref404334270 \h </w:instrText>
      </w:r>
      <w:r>
        <w:fldChar w:fldCharType="separate"/>
      </w:r>
      <w:r w:rsidR="00F65E22">
        <w:t xml:space="preserve">Table </w:t>
      </w:r>
      <w:r w:rsidR="00F65E22">
        <w:rPr>
          <w:noProof/>
        </w:rPr>
        <w:t>6</w:t>
      </w:r>
      <w:r w:rsidR="00F65E22">
        <w:t>.</w:t>
      </w:r>
      <w:r w:rsidR="00F65E22">
        <w:rPr>
          <w:noProof/>
        </w:rPr>
        <w:t>1</w:t>
      </w:r>
      <w:r>
        <w:fldChar w:fldCharType="end"/>
      </w:r>
      <w:r w:rsidR="0046531F">
        <w:t xml:space="preserve"> </w:t>
      </w:r>
      <w:r w:rsidR="0046531F" w:rsidRPr="00CA131C">
        <w:t>shows approved capex for the 201</w:t>
      </w:r>
      <w:r w:rsidR="006A555A">
        <w:t>0–</w:t>
      </w:r>
      <w:r w:rsidR="0046531F">
        <w:t>16</w:t>
      </w:r>
      <w:r w:rsidR="0046531F" w:rsidRPr="00CA131C">
        <w:t xml:space="preserve"> </w:t>
      </w:r>
      <w:proofErr w:type="gramStart"/>
      <w:r w:rsidR="0046531F" w:rsidRPr="00CA131C">
        <w:t>period</w:t>
      </w:r>
      <w:proofErr w:type="gramEnd"/>
      <w:r w:rsidR="0046531F" w:rsidRPr="00CA131C">
        <w:t xml:space="preserve"> by category.</w:t>
      </w:r>
    </w:p>
    <w:p w:rsidR="004241B0" w:rsidRDefault="004241B0" w:rsidP="004241B0">
      <w:pPr>
        <w:pStyle w:val="Caption"/>
      </w:pPr>
      <w:bookmarkStart w:id="13" w:name="_Ref404334270"/>
      <w:proofErr w:type="gramStart"/>
      <w:r>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t>.</w:t>
      </w:r>
      <w:proofErr w:type="gramEnd"/>
      <w:r w:rsidR="002C6AAE">
        <w:fldChar w:fldCharType="begin"/>
      </w:r>
      <w:r w:rsidR="002C6AAE">
        <w:instrText xml:space="preserve"> SEQ Table \* ARABIC \s 1 </w:instrText>
      </w:r>
      <w:r w:rsidR="002C6AAE">
        <w:fldChar w:fldCharType="separate"/>
      </w:r>
      <w:r w:rsidR="00F65E22">
        <w:rPr>
          <w:noProof/>
        </w:rPr>
        <w:t>1</w:t>
      </w:r>
      <w:r w:rsidR="002C6AAE">
        <w:rPr>
          <w:noProof/>
        </w:rPr>
        <w:fldChar w:fldCharType="end"/>
      </w:r>
      <w:bookmarkEnd w:id="13"/>
      <w:r>
        <w:tab/>
      </w:r>
      <w:r w:rsidRPr="00EE71BA">
        <w:t xml:space="preserve">AER approved capital expenditure by </w:t>
      </w:r>
      <w:r w:rsidR="002F0B45">
        <w:t>category</w:t>
      </w:r>
      <w:r w:rsidRPr="00EE71BA">
        <w:t xml:space="preserve"> over </w:t>
      </w:r>
      <w:r w:rsidR="009632E7">
        <w:t xml:space="preserve">the </w:t>
      </w:r>
      <w:r w:rsidRPr="00EE71BA">
        <w:t>20</w:t>
      </w:r>
      <w:r w:rsidR="006A555A">
        <w:t>10</w:t>
      </w:r>
      <w:r w:rsidRPr="00EE71BA">
        <w:t>–1</w:t>
      </w:r>
      <w:r w:rsidR="00007116">
        <w:t>6</w:t>
      </w:r>
      <w:r w:rsidR="00F97C28">
        <w:t xml:space="preserve"> period</w:t>
      </w:r>
      <w:r w:rsidRPr="00EE71BA">
        <w:t xml:space="preserve"> ($million, </w:t>
      </w:r>
      <w:r w:rsidR="000B70FD">
        <w:t>2015–16</w:t>
      </w:r>
      <w:r w:rsidRPr="00EE71BA">
        <w:t>)</w:t>
      </w:r>
    </w:p>
    <w:tbl>
      <w:tblPr>
        <w:tblStyle w:val="AERtable-numbers"/>
        <w:tblW w:w="5000" w:type="pct"/>
        <w:tblLook w:val="04A0" w:firstRow="1" w:lastRow="0" w:firstColumn="1" w:lastColumn="0" w:noHBand="0" w:noVBand="1"/>
      </w:tblPr>
      <w:tblGrid>
        <w:gridCol w:w="2094"/>
        <w:gridCol w:w="943"/>
        <w:gridCol w:w="943"/>
        <w:gridCol w:w="943"/>
        <w:gridCol w:w="943"/>
        <w:gridCol w:w="943"/>
        <w:gridCol w:w="942"/>
        <w:gridCol w:w="942"/>
      </w:tblGrid>
      <w:tr w:rsidR="00486F2F" w:rsidRPr="004F416F" w:rsidTr="00AB103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3" w:type="pct"/>
            <w:hideMark/>
          </w:tcPr>
          <w:p w:rsidR="00486F2F" w:rsidRPr="00120490" w:rsidRDefault="00486F2F" w:rsidP="00D423BC">
            <w:pPr>
              <w:rPr>
                <w:szCs w:val="16"/>
              </w:rPr>
            </w:pPr>
            <w:r w:rsidRPr="00120490">
              <w:rPr>
                <w:szCs w:val="16"/>
              </w:rPr>
              <w:t> Category</w:t>
            </w:r>
          </w:p>
        </w:tc>
        <w:tc>
          <w:tcPr>
            <w:tcW w:w="542" w:type="pct"/>
            <w:hideMark/>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120490">
              <w:rPr>
                <w:sz w:val="16"/>
                <w:szCs w:val="16"/>
              </w:rPr>
              <w:t>2010</w:t>
            </w:r>
            <w:r>
              <w:rPr>
                <w:sz w:val="16"/>
                <w:szCs w:val="16"/>
              </w:rPr>
              <w:t>-</w:t>
            </w:r>
            <w:r w:rsidRPr="00120490">
              <w:rPr>
                <w:sz w:val="16"/>
                <w:szCs w:val="16"/>
              </w:rPr>
              <w:t>11</w:t>
            </w:r>
            <w:r w:rsidRPr="00AB1037">
              <w:rPr>
                <w:rStyle w:val="AERsuperscript"/>
              </w:rPr>
              <w:t>(a)</w:t>
            </w:r>
          </w:p>
        </w:tc>
        <w:tc>
          <w:tcPr>
            <w:tcW w:w="542" w:type="pct"/>
            <w:hideMark/>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120490">
              <w:rPr>
                <w:sz w:val="16"/>
                <w:szCs w:val="16"/>
              </w:rPr>
              <w:t>2011</w:t>
            </w:r>
            <w:r>
              <w:rPr>
                <w:sz w:val="16"/>
                <w:szCs w:val="16"/>
              </w:rPr>
              <w:t>-</w:t>
            </w:r>
            <w:r w:rsidRPr="00120490">
              <w:rPr>
                <w:sz w:val="16"/>
                <w:szCs w:val="16"/>
              </w:rPr>
              <w:t>12</w:t>
            </w:r>
          </w:p>
        </w:tc>
        <w:tc>
          <w:tcPr>
            <w:tcW w:w="542" w:type="pct"/>
            <w:hideMark/>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120490">
              <w:rPr>
                <w:sz w:val="16"/>
                <w:szCs w:val="16"/>
              </w:rPr>
              <w:t>2012</w:t>
            </w:r>
            <w:r>
              <w:rPr>
                <w:sz w:val="16"/>
                <w:szCs w:val="16"/>
              </w:rPr>
              <w:t>-</w:t>
            </w:r>
            <w:r w:rsidRPr="00120490">
              <w:rPr>
                <w:sz w:val="16"/>
                <w:szCs w:val="16"/>
              </w:rPr>
              <w:t>13</w:t>
            </w:r>
          </w:p>
        </w:tc>
        <w:tc>
          <w:tcPr>
            <w:tcW w:w="542" w:type="pct"/>
            <w:hideMark/>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120490">
              <w:rPr>
                <w:sz w:val="16"/>
                <w:szCs w:val="16"/>
              </w:rPr>
              <w:t>2013</w:t>
            </w:r>
            <w:r>
              <w:rPr>
                <w:sz w:val="16"/>
                <w:szCs w:val="16"/>
              </w:rPr>
              <w:t>-</w:t>
            </w:r>
            <w:r w:rsidRPr="00120490">
              <w:rPr>
                <w:sz w:val="16"/>
                <w:szCs w:val="16"/>
              </w:rPr>
              <w:t>14</w:t>
            </w:r>
          </w:p>
        </w:tc>
        <w:tc>
          <w:tcPr>
            <w:tcW w:w="542" w:type="pct"/>
            <w:hideMark/>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120490">
              <w:rPr>
                <w:sz w:val="16"/>
                <w:szCs w:val="16"/>
              </w:rPr>
              <w:t>2014</w:t>
            </w:r>
            <w:r>
              <w:rPr>
                <w:sz w:val="16"/>
                <w:szCs w:val="16"/>
              </w:rPr>
              <w:t>-</w:t>
            </w:r>
            <w:r w:rsidRPr="00120490">
              <w:rPr>
                <w:sz w:val="16"/>
                <w:szCs w:val="16"/>
              </w:rPr>
              <w:t>15</w:t>
            </w:r>
          </w:p>
        </w:tc>
        <w:tc>
          <w:tcPr>
            <w:tcW w:w="542" w:type="pct"/>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120490">
              <w:rPr>
                <w:sz w:val="16"/>
                <w:szCs w:val="16"/>
              </w:rPr>
              <w:t>2015</w:t>
            </w:r>
            <w:r>
              <w:rPr>
                <w:sz w:val="16"/>
                <w:szCs w:val="16"/>
              </w:rPr>
              <w:t>-</w:t>
            </w:r>
            <w:r w:rsidRPr="00120490">
              <w:rPr>
                <w:sz w:val="16"/>
                <w:szCs w:val="16"/>
              </w:rPr>
              <w:t>16</w:t>
            </w:r>
            <w:r w:rsidRPr="00120490">
              <w:rPr>
                <w:rStyle w:val="AERsuperscript"/>
                <w:szCs w:val="16"/>
              </w:rPr>
              <w:t>(</w:t>
            </w:r>
            <w:r>
              <w:rPr>
                <w:rStyle w:val="AERsuperscript"/>
                <w:szCs w:val="16"/>
              </w:rPr>
              <w:t>b</w:t>
            </w:r>
            <w:r w:rsidRPr="00120490">
              <w:rPr>
                <w:rStyle w:val="AERsuperscript"/>
                <w:szCs w:val="16"/>
              </w:rPr>
              <w:t>)</w:t>
            </w:r>
          </w:p>
        </w:tc>
        <w:tc>
          <w:tcPr>
            <w:tcW w:w="542" w:type="pct"/>
          </w:tcPr>
          <w:p w:rsidR="00486F2F" w:rsidRPr="00120490" w:rsidRDefault="00486F2F" w:rsidP="00007116">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Total (2011</w:t>
            </w:r>
            <w:r w:rsidR="00AB1037">
              <w:rPr>
                <w:sz w:val="16"/>
                <w:szCs w:val="16"/>
              </w:rPr>
              <w:t>-16</w:t>
            </w:r>
            <w:r>
              <w:rPr>
                <w:sz w:val="16"/>
                <w:szCs w:val="16"/>
              </w:rPr>
              <w:t>)</w:t>
            </w:r>
          </w:p>
        </w:tc>
      </w:tr>
      <w:tr w:rsidR="00486F2F" w:rsidRPr="004F416F" w:rsidTr="00AB1037">
        <w:trPr>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486F2F" w:rsidRPr="00120490" w:rsidRDefault="00486F2F" w:rsidP="002F0B45">
            <w:pPr>
              <w:rPr>
                <w:szCs w:val="16"/>
              </w:rPr>
            </w:pPr>
            <w:r w:rsidRPr="00120490">
              <w:rPr>
                <w:szCs w:val="16"/>
              </w:rPr>
              <w:t xml:space="preserve">Expansion </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0.8</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0.6</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Default="00AB1037"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r>
      <w:tr w:rsidR="00486F2F" w:rsidRPr="004F416F" w:rsidTr="00AB10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486F2F" w:rsidRPr="00120490" w:rsidRDefault="00486F2F" w:rsidP="002F0B45">
            <w:pPr>
              <w:rPr>
                <w:szCs w:val="16"/>
              </w:rPr>
            </w:pPr>
            <w:r w:rsidRPr="00120490">
              <w:rPr>
                <w:szCs w:val="16"/>
              </w:rPr>
              <w:t xml:space="preserve">Replacement </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2.9</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4.3</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14.6</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2.2</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5.4</w:t>
            </w:r>
          </w:p>
        </w:tc>
        <w:tc>
          <w:tcPr>
            <w:tcW w:w="542" w:type="pct"/>
          </w:tcPr>
          <w:p w:rsidR="00486F2F" w:rsidRDefault="00AB1037"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28.8</w:t>
            </w:r>
          </w:p>
        </w:tc>
      </w:tr>
      <w:tr w:rsidR="00486F2F" w:rsidRPr="004F416F" w:rsidTr="00AB1037">
        <w:trPr>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486F2F" w:rsidRPr="00120490" w:rsidRDefault="00486F2F" w:rsidP="002F0B45">
            <w:pPr>
              <w:rPr>
                <w:szCs w:val="16"/>
              </w:rPr>
            </w:pPr>
            <w:r w:rsidRPr="00120490">
              <w:rPr>
                <w:szCs w:val="16"/>
              </w:rPr>
              <w:t>Non-system</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0.2</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w:t>
            </w:r>
          </w:p>
        </w:tc>
        <w:tc>
          <w:tcPr>
            <w:tcW w:w="542" w:type="pct"/>
          </w:tcPr>
          <w:p w:rsidR="00486F2F" w:rsidRDefault="00AB1037"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7.6</w:t>
            </w:r>
          </w:p>
        </w:tc>
      </w:tr>
      <w:tr w:rsidR="00486F2F" w:rsidRPr="004F416F" w:rsidTr="00AB10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486F2F" w:rsidRPr="00120490" w:rsidRDefault="00486F2F" w:rsidP="00D423BC">
            <w:pPr>
              <w:rPr>
                <w:szCs w:val="16"/>
              </w:rPr>
            </w:pPr>
            <w:r w:rsidRPr="00120490">
              <w:rPr>
                <w:szCs w:val="16"/>
              </w:rPr>
              <w:t>GROSS TOTAL CAPITAL EXPENDITURE</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4.5</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4.5</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17.0</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4.3</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4.2</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7.8</w:t>
            </w:r>
          </w:p>
        </w:tc>
        <w:tc>
          <w:tcPr>
            <w:tcW w:w="542" w:type="pct"/>
          </w:tcPr>
          <w:p w:rsidR="00486F2F" w:rsidRDefault="00AB1037"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37.8</w:t>
            </w:r>
          </w:p>
        </w:tc>
      </w:tr>
      <w:tr w:rsidR="00486F2F" w:rsidRPr="004F416F" w:rsidTr="00AB1037">
        <w:trPr>
          <w:trHeight w:val="300"/>
        </w:trPr>
        <w:tc>
          <w:tcPr>
            <w:cnfStyle w:val="001000000000" w:firstRow="0" w:lastRow="0" w:firstColumn="1" w:lastColumn="0" w:oddVBand="0" w:evenVBand="0" w:oddHBand="0" w:evenHBand="0" w:firstRowFirstColumn="0" w:firstRowLastColumn="0" w:lastRowFirstColumn="0" w:lastRowLastColumn="0"/>
            <w:tcW w:w="1203" w:type="pct"/>
          </w:tcPr>
          <w:p w:rsidR="00486F2F" w:rsidRPr="00120490" w:rsidRDefault="00486F2F" w:rsidP="00D423BC">
            <w:pPr>
              <w:rPr>
                <w:szCs w:val="16"/>
              </w:rPr>
            </w:pPr>
            <w:r>
              <w:rPr>
                <w:szCs w:val="16"/>
              </w:rPr>
              <w:t>Contributions</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542" w:type="pct"/>
          </w:tcPr>
          <w:p w:rsidR="00486F2F" w:rsidRDefault="00AB1037"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486F2F" w:rsidRPr="004F416F" w:rsidTr="00AB10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pct"/>
          </w:tcPr>
          <w:p w:rsidR="00486F2F" w:rsidRPr="00120490" w:rsidRDefault="00486F2F" w:rsidP="00D423BC">
            <w:pPr>
              <w:rPr>
                <w:szCs w:val="16"/>
              </w:rPr>
            </w:pPr>
            <w:r w:rsidRPr="00120490">
              <w:rPr>
                <w:szCs w:val="16"/>
              </w:rPr>
              <w:t>Asset disposals</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542" w:type="pct"/>
          </w:tcPr>
          <w:p w:rsidR="00486F2F" w:rsidRPr="00A67508"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A67508">
              <w:rPr>
                <w:sz w:val="16"/>
                <w:szCs w:val="16"/>
              </w:rPr>
              <w:t>0.0</w:t>
            </w:r>
          </w:p>
        </w:tc>
        <w:tc>
          <w:tcPr>
            <w:tcW w:w="542" w:type="pct"/>
          </w:tcPr>
          <w:p w:rsidR="00486F2F" w:rsidRPr="00A67508"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A67508">
              <w:rPr>
                <w:sz w:val="16"/>
                <w:szCs w:val="16"/>
              </w:rPr>
              <w:t>0.</w:t>
            </w:r>
            <w:r w:rsidR="00A67508">
              <w:rPr>
                <w:sz w:val="16"/>
                <w:szCs w:val="16"/>
              </w:rPr>
              <w:t>3</w:t>
            </w:r>
          </w:p>
        </w:tc>
        <w:tc>
          <w:tcPr>
            <w:tcW w:w="542" w:type="pct"/>
          </w:tcPr>
          <w:p w:rsidR="00486F2F" w:rsidRPr="00A67508"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A67508">
              <w:rPr>
                <w:sz w:val="16"/>
                <w:szCs w:val="16"/>
              </w:rPr>
              <w:t>0.</w:t>
            </w:r>
            <w:r w:rsidR="00A67508">
              <w:rPr>
                <w:sz w:val="16"/>
                <w:szCs w:val="16"/>
              </w:rPr>
              <w:t>1</w:t>
            </w:r>
          </w:p>
        </w:tc>
        <w:tc>
          <w:tcPr>
            <w:tcW w:w="542" w:type="pct"/>
          </w:tcPr>
          <w:p w:rsidR="00486F2F" w:rsidRPr="00120490" w:rsidRDefault="00486F2F"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542" w:type="pct"/>
          </w:tcPr>
          <w:p w:rsidR="00486F2F" w:rsidRDefault="00AB1037"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0.4</w:t>
            </w:r>
          </w:p>
        </w:tc>
      </w:tr>
      <w:tr w:rsidR="00486F2F" w:rsidRPr="004F416F" w:rsidTr="00AB1037">
        <w:trPr>
          <w:trHeight w:val="300"/>
        </w:trPr>
        <w:tc>
          <w:tcPr>
            <w:cnfStyle w:val="001000000000" w:firstRow="0" w:lastRow="0" w:firstColumn="1" w:lastColumn="0" w:oddVBand="0" w:evenVBand="0" w:oddHBand="0" w:evenHBand="0" w:firstRowFirstColumn="0" w:firstRowLastColumn="0" w:lastRowFirstColumn="0" w:lastRowLastColumn="0"/>
            <w:tcW w:w="1203" w:type="pct"/>
          </w:tcPr>
          <w:p w:rsidR="00486F2F" w:rsidRPr="00120490" w:rsidRDefault="00486F2F" w:rsidP="00E03561">
            <w:pPr>
              <w:spacing w:before="0"/>
              <w:rPr>
                <w:rStyle w:val="AERsuperscript"/>
                <w:szCs w:val="16"/>
              </w:rPr>
            </w:pPr>
            <w:r w:rsidRPr="00120490">
              <w:rPr>
                <w:szCs w:val="16"/>
              </w:rPr>
              <w:t>NET TOTAL CAPITAL EXPENDITURE</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16.9</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4.1</w:t>
            </w:r>
          </w:p>
        </w:tc>
        <w:tc>
          <w:tcPr>
            <w:tcW w:w="542" w:type="pct"/>
          </w:tcPr>
          <w:p w:rsidR="00486F2F" w:rsidRPr="00120490"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7.8</w:t>
            </w:r>
          </w:p>
        </w:tc>
        <w:tc>
          <w:tcPr>
            <w:tcW w:w="542" w:type="pct"/>
          </w:tcPr>
          <w:p w:rsidR="00486F2F" w:rsidRDefault="00486F2F"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37.</w:t>
            </w:r>
            <w:r w:rsidR="00A67508">
              <w:rPr>
                <w:sz w:val="16"/>
                <w:szCs w:val="16"/>
              </w:rPr>
              <w:t>4</w:t>
            </w:r>
          </w:p>
        </w:tc>
      </w:tr>
    </w:tbl>
    <w:p w:rsidR="004241B0" w:rsidRDefault="004241B0" w:rsidP="004241B0">
      <w:pPr>
        <w:pStyle w:val="AERtablesource"/>
      </w:pPr>
      <w:r w:rsidRPr="00F61681">
        <w:t>Source:</w:t>
      </w:r>
      <w:r w:rsidRPr="00F61681">
        <w:tab/>
        <w:t>AER analysis.</w:t>
      </w:r>
    </w:p>
    <w:p w:rsidR="00F97C28" w:rsidRDefault="004241B0" w:rsidP="004241B0">
      <w:pPr>
        <w:pStyle w:val="AERtablesource"/>
      </w:pPr>
      <w:r>
        <w:t>Note</w:t>
      </w:r>
      <w:r w:rsidR="008C0E4B">
        <w:t>s</w:t>
      </w:r>
      <w:r w:rsidRPr="005A3660">
        <w:t>:</w:t>
      </w:r>
      <w:r w:rsidRPr="005A3660">
        <w:tab/>
      </w:r>
      <w:r w:rsidR="00F97C28">
        <w:t>(a) We have made a decision on conforming capex for the 2010-11 year for the purposes of establishing the open</w:t>
      </w:r>
      <w:r w:rsidR="00AB1037">
        <w:t>ing capital base for the 2011–</w:t>
      </w:r>
      <w:r w:rsidR="00F97C28">
        <w:t>16 access arrangement period.</w:t>
      </w:r>
    </w:p>
    <w:p w:rsidR="004241B0" w:rsidRDefault="00F97C28" w:rsidP="004241B0">
      <w:pPr>
        <w:pStyle w:val="AERtablesource"/>
      </w:pPr>
      <w:r>
        <w:tab/>
      </w:r>
      <w:r w:rsidR="004241B0" w:rsidRPr="00942B45">
        <w:t>(</w:t>
      </w:r>
      <w:r>
        <w:t>b</w:t>
      </w:r>
      <w:r w:rsidR="004241B0" w:rsidRPr="00942B45">
        <w:t xml:space="preserve">) </w:t>
      </w:r>
      <w:r w:rsidR="00942B45" w:rsidRPr="00942B45">
        <w:t>This is our estimate of conforming capex for this year</w:t>
      </w:r>
      <w:r w:rsidR="00A67508">
        <w:t>, including our labour escalation adjustment</w:t>
      </w:r>
      <w:r w:rsidR="00942B45" w:rsidRPr="00942B45">
        <w:t xml:space="preserve">. We will assess whether APTNT’s actual capex for 2015–16 is conforming capex under the NGR in the next access arrangement review. We will adjust the capital base </w:t>
      </w:r>
      <w:r w:rsidR="0055014A">
        <w:t xml:space="preserve">actual conforming capex </w:t>
      </w:r>
      <w:r w:rsidR="00942B45" w:rsidRPr="00942B45">
        <w:t>at that time as required.</w:t>
      </w:r>
    </w:p>
    <w:p w:rsidR="00975794" w:rsidRPr="00A4447D" w:rsidRDefault="008D0B85" w:rsidP="00975794">
      <w:r>
        <w:rPr>
          <w:rFonts w:eastAsia="Calibri"/>
        </w:rPr>
        <w:fldChar w:fldCharType="begin"/>
      </w:r>
      <w:r>
        <w:rPr>
          <w:rFonts w:eastAsia="Calibri"/>
        </w:rPr>
        <w:instrText xml:space="preserve"> REF _Ref432759974 \h </w:instrText>
      </w:r>
      <w:r>
        <w:rPr>
          <w:rFonts w:eastAsia="Calibri"/>
        </w:rPr>
      </w:r>
      <w:r>
        <w:rPr>
          <w:rFonts w:eastAsia="Calibri"/>
        </w:rPr>
        <w:fldChar w:fldCharType="separate"/>
      </w:r>
      <w:r w:rsidR="00F65E22" w:rsidRPr="00975794">
        <w:t xml:space="preserve">Table </w:t>
      </w:r>
      <w:r w:rsidR="00F65E22">
        <w:rPr>
          <w:noProof/>
        </w:rPr>
        <w:t>6</w:t>
      </w:r>
      <w:r w:rsidR="00F65E22">
        <w:t>.</w:t>
      </w:r>
      <w:r w:rsidR="00F65E22">
        <w:rPr>
          <w:noProof/>
        </w:rPr>
        <w:t>2</w:t>
      </w:r>
      <w:r>
        <w:rPr>
          <w:rFonts w:eastAsia="Calibri"/>
        </w:rPr>
        <w:fldChar w:fldCharType="end"/>
      </w:r>
      <w:r w:rsidR="0046531F">
        <w:rPr>
          <w:rFonts w:eastAsia="Calibri"/>
        </w:rPr>
        <w:t xml:space="preserve"> </w:t>
      </w:r>
      <w:r w:rsidR="0046531F" w:rsidRPr="00333A31">
        <w:rPr>
          <w:rFonts w:eastAsia="Calibri"/>
        </w:rPr>
        <w:t xml:space="preserve">shows </w:t>
      </w:r>
      <w:r w:rsidR="0046531F">
        <w:rPr>
          <w:rFonts w:eastAsia="Calibri"/>
        </w:rPr>
        <w:t>APTNT</w:t>
      </w:r>
      <w:r w:rsidR="0046531F" w:rsidRPr="00333A31">
        <w:rPr>
          <w:rFonts w:eastAsia="Calibri"/>
        </w:rPr>
        <w:t xml:space="preserve">'s proposed capex compared with </w:t>
      </w:r>
      <w:r w:rsidR="00381B88">
        <w:rPr>
          <w:rFonts w:eastAsia="Calibri"/>
        </w:rPr>
        <w:t>our</w:t>
      </w:r>
      <w:r w:rsidR="0046531F" w:rsidRPr="00333A31">
        <w:rPr>
          <w:rFonts w:eastAsia="Calibri"/>
        </w:rPr>
        <w:t xml:space="preserve"> approved </w:t>
      </w:r>
      <w:r w:rsidR="0046531F">
        <w:rPr>
          <w:rFonts w:eastAsia="Calibri"/>
        </w:rPr>
        <w:t>conforming capex</w:t>
      </w:r>
      <w:r w:rsidR="0046531F" w:rsidRPr="00333A31">
        <w:rPr>
          <w:rFonts w:eastAsia="Calibri"/>
        </w:rPr>
        <w:t xml:space="preserve"> for each category</w:t>
      </w:r>
      <w:r w:rsidR="0046531F">
        <w:rPr>
          <w:rFonts w:eastAsia="Calibri"/>
        </w:rPr>
        <w:t xml:space="preserve"> in the </w:t>
      </w:r>
      <w:r w:rsidR="006A555A">
        <w:rPr>
          <w:rFonts w:eastAsia="Calibri"/>
        </w:rPr>
        <w:t>2011–16</w:t>
      </w:r>
      <w:r w:rsidR="0046531F">
        <w:rPr>
          <w:rFonts w:eastAsia="Calibri"/>
        </w:rPr>
        <w:t xml:space="preserve"> access arrangement </w:t>
      </w:r>
      <w:proofErr w:type="gramStart"/>
      <w:r w:rsidR="0046531F">
        <w:rPr>
          <w:rFonts w:eastAsia="Calibri"/>
        </w:rPr>
        <w:t>period</w:t>
      </w:r>
      <w:proofErr w:type="gramEnd"/>
      <w:r w:rsidR="0046531F" w:rsidRPr="00333A31">
        <w:rPr>
          <w:rFonts w:eastAsia="Calibri"/>
        </w:rPr>
        <w:t>.</w:t>
      </w:r>
      <w:r w:rsidR="00975794" w:rsidRPr="00975794">
        <w:t xml:space="preserve"> The reason for our reduction is that we consider that $7.0 million of APTNT’s estimated capex for the belowground station pipework recoating project in the 2015</w:t>
      </w:r>
      <w:r w:rsidR="000B70FD">
        <w:t>–</w:t>
      </w:r>
      <w:r w:rsidR="00975794" w:rsidRPr="00975794">
        <w:t xml:space="preserve">16 year should be deferred to the </w:t>
      </w:r>
      <w:r w:rsidR="006A555A">
        <w:t>2016–21</w:t>
      </w:r>
      <w:r w:rsidR="00975794" w:rsidRPr="00975794">
        <w:t xml:space="preserve"> access arrangement period. We are not satisfied that the timing of </w:t>
      </w:r>
      <w:r w:rsidR="0033139B">
        <w:t>capex for this</w:t>
      </w:r>
      <w:r w:rsidR="00975794" w:rsidRPr="00975794">
        <w:t xml:space="preserve"> project as proposed by APTNT is efficient or consistent with achieving the lowest sustainable cost of providing services.</w:t>
      </w:r>
      <w:r w:rsidR="00F97C28">
        <w:rPr>
          <w:rStyle w:val="FootnoteReference"/>
        </w:rPr>
        <w:footnoteReference w:id="1"/>
      </w:r>
      <w:r w:rsidR="00B64986">
        <w:t xml:space="preserve"> W</w:t>
      </w:r>
      <w:r w:rsidR="00B64986" w:rsidRPr="00B64986">
        <w:t xml:space="preserve">e have </w:t>
      </w:r>
      <w:r w:rsidR="00B64986">
        <w:t>also amended</w:t>
      </w:r>
      <w:r w:rsidR="00B64986" w:rsidRPr="00B64986">
        <w:t xml:space="preserve"> APTNT’s forecast of real labour cost escalation</w:t>
      </w:r>
      <w:r w:rsidR="00B64986">
        <w:t>, as discussed in attachment 7 of this decision.</w:t>
      </w:r>
    </w:p>
    <w:p w:rsidR="0046531F" w:rsidRPr="00975794" w:rsidRDefault="0046531F" w:rsidP="00975794">
      <w:pPr>
        <w:pStyle w:val="Caption"/>
      </w:pPr>
      <w:bookmarkStart w:id="14" w:name="_Ref432759974"/>
      <w:proofErr w:type="gramStart"/>
      <w:r w:rsidRPr="00975794">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t>.</w:t>
      </w:r>
      <w:proofErr w:type="gramEnd"/>
      <w:r w:rsidR="002C6AAE">
        <w:fldChar w:fldCharType="begin"/>
      </w:r>
      <w:r w:rsidR="002C6AAE">
        <w:instrText xml:space="preserve"> SEQ Table \* ARABIC \s 1 </w:instrText>
      </w:r>
      <w:r w:rsidR="002C6AAE">
        <w:fldChar w:fldCharType="separate"/>
      </w:r>
      <w:r w:rsidR="00F65E22">
        <w:rPr>
          <w:noProof/>
        </w:rPr>
        <w:t>2</w:t>
      </w:r>
      <w:r w:rsidR="002C6AAE">
        <w:rPr>
          <w:noProof/>
        </w:rPr>
        <w:fldChar w:fldCharType="end"/>
      </w:r>
      <w:bookmarkEnd w:id="14"/>
      <w:r w:rsidRPr="00975794">
        <w:tab/>
        <w:t xml:space="preserve">Comparison of AER approved and APTNT’s proposed capital expenditure over the </w:t>
      </w:r>
      <w:r w:rsidR="006A555A">
        <w:t>2011–16</w:t>
      </w:r>
      <w:r w:rsidRPr="00975794">
        <w:t xml:space="preserve"> access arrangement period ($million, </w:t>
      </w:r>
      <w:r w:rsidR="000B70FD">
        <w:t>2015–16</w:t>
      </w:r>
      <w:r w:rsidRPr="00975794">
        <w:t>)</w:t>
      </w:r>
    </w:p>
    <w:tbl>
      <w:tblPr>
        <w:tblStyle w:val="AERtable-numbers"/>
        <w:tblW w:w="5000" w:type="pct"/>
        <w:tblLook w:val="04A0" w:firstRow="1" w:lastRow="0" w:firstColumn="1" w:lastColumn="0" w:noHBand="0" w:noVBand="1"/>
      </w:tblPr>
      <w:tblGrid>
        <w:gridCol w:w="2669"/>
        <w:gridCol w:w="1507"/>
        <w:gridCol w:w="1507"/>
        <w:gridCol w:w="1506"/>
        <w:gridCol w:w="1504"/>
      </w:tblGrid>
      <w:tr w:rsidR="0046531F" w:rsidRPr="004F416F" w:rsidTr="00975794">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 Category</w:t>
            </w:r>
          </w:p>
        </w:tc>
        <w:tc>
          <w:tcPr>
            <w:tcW w:w="867" w:type="pct"/>
            <w:hideMark/>
          </w:tcPr>
          <w:p w:rsidR="0046531F" w:rsidRPr="00453AFD" w:rsidRDefault="0046531F" w:rsidP="00975794">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Proposed</w:t>
            </w:r>
          </w:p>
        </w:tc>
        <w:tc>
          <w:tcPr>
            <w:tcW w:w="867" w:type="pct"/>
            <w:hideMark/>
          </w:tcPr>
          <w:p w:rsidR="0046531F" w:rsidRPr="00453AFD" w:rsidRDefault="0046531F" w:rsidP="00975794">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Approved</w:t>
            </w:r>
            <w:r w:rsidRPr="00453AFD">
              <w:rPr>
                <w:rStyle w:val="AERsuperscript"/>
                <w:szCs w:val="16"/>
              </w:rPr>
              <w:t>(a)</w:t>
            </w:r>
          </w:p>
        </w:tc>
        <w:tc>
          <w:tcPr>
            <w:tcW w:w="866" w:type="pct"/>
          </w:tcPr>
          <w:p w:rsidR="0046531F" w:rsidRPr="00453AFD" w:rsidRDefault="0046531F" w:rsidP="00975794">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Difference ($millions)</w:t>
            </w:r>
          </w:p>
        </w:tc>
        <w:tc>
          <w:tcPr>
            <w:tcW w:w="865" w:type="pct"/>
          </w:tcPr>
          <w:p w:rsidR="0046531F" w:rsidRPr="00453AFD" w:rsidRDefault="0046531F" w:rsidP="00975794">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Difference (%)</w:t>
            </w:r>
          </w:p>
        </w:tc>
      </w:tr>
      <w:tr w:rsidR="0046531F" w:rsidRPr="004F416F" w:rsidTr="00975794">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 xml:space="preserve">Expansion </w:t>
            </w:r>
          </w:p>
        </w:tc>
        <w:tc>
          <w:tcPr>
            <w:tcW w:w="867"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867"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866" w:type="pct"/>
          </w:tcPr>
          <w:p w:rsidR="0046531F" w:rsidRPr="00453AFD" w:rsidRDefault="0046531F"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5" w:type="pct"/>
          </w:tcPr>
          <w:p w:rsidR="0046531F" w:rsidRPr="00453AFD" w:rsidRDefault="0046531F"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r>
      <w:tr w:rsidR="0046531F" w:rsidRPr="004F416F" w:rsidTr="0097579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 xml:space="preserve">Replacement </w:t>
            </w:r>
          </w:p>
        </w:tc>
        <w:tc>
          <w:tcPr>
            <w:tcW w:w="867"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35</w:t>
            </w:r>
            <w:r w:rsidR="0046531F" w:rsidRPr="00453AFD">
              <w:rPr>
                <w:sz w:val="16"/>
                <w:szCs w:val="16"/>
              </w:rPr>
              <w:t>.</w:t>
            </w:r>
            <w:r>
              <w:rPr>
                <w:sz w:val="16"/>
                <w:szCs w:val="16"/>
              </w:rPr>
              <w:t>8</w:t>
            </w:r>
          </w:p>
        </w:tc>
        <w:tc>
          <w:tcPr>
            <w:tcW w:w="867"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w:t>
            </w:r>
            <w:r w:rsidR="0046531F">
              <w:rPr>
                <w:sz w:val="16"/>
                <w:szCs w:val="16"/>
              </w:rPr>
              <w:t>8.</w:t>
            </w:r>
            <w:r>
              <w:rPr>
                <w:sz w:val="16"/>
                <w:szCs w:val="16"/>
              </w:rPr>
              <w:t>8</w:t>
            </w:r>
          </w:p>
        </w:tc>
        <w:tc>
          <w:tcPr>
            <w:tcW w:w="866"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w:t>
            </w:r>
            <w:r w:rsidR="0046531F">
              <w:rPr>
                <w:sz w:val="16"/>
                <w:szCs w:val="16"/>
              </w:rPr>
              <w:t>.</w:t>
            </w:r>
            <w:r>
              <w:rPr>
                <w:sz w:val="16"/>
                <w:szCs w:val="16"/>
              </w:rPr>
              <w:t>0</w:t>
            </w:r>
          </w:p>
        </w:tc>
        <w:tc>
          <w:tcPr>
            <w:tcW w:w="865"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-20</w:t>
            </w:r>
            <w:r w:rsidR="0046531F">
              <w:rPr>
                <w:sz w:val="16"/>
                <w:szCs w:val="16"/>
              </w:rPr>
              <w:t>%</w:t>
            </w:r>
          </w:p>
        </w:tc>
      </w:tr>
      <w:tr w:rsidR="0046531F" w:rsidRPr="004F416F" w:rsidTr="00975794">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Non-system</w:t>
            </w:r>
          </w:p>
        </w:tc>
        <w:tc>
          <w:tcPr>
            <w:tcW w:w="867"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r w:rsidR="0046531F" w:rsidRPr="00453AFD">
              <w:rPr>
                <w:sz w:val="16"/>
                <w:szCs w:val="16"/>
              </w:rPr>
              <w:t>.</w:t>
            </w:r>
            <w:r>
              <w:rPr>
                <w:sz w:val="16"/>
                <w:szCs w:val="16"/>
              </w:rPr>
              <w:t>6</w:t>
            </w:r>
          </w:p>
        </w:tc>
        <w:tc>
          <w:tcPr>
            <w:tcW w:w="867"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r w:rsidR="0046531F">
              <w:rPr>
                <w:sz w:val="16"/>
                <w:szCs w:val="16"/>
              </w:rPr>
              <w:t>.</w:t>
            </w:r>
            <w:r>
              <w:rPr>
                <w:sz w:val="16"/>
                <w:szCs w:val="16"/>
              </w:rPr>
              <w:t>6</w:t>
            </w:r>
          </w:p>
        </w:tc>
        <w:tc>
          <w:tcPr>
            <w:tcW w:w="866" w:type="pct"/>
          </w:tcPr>
          <w:p w:rsidR="0046531F" w:rsidRPr="00453AFD" w:rsidRDefault="008B5C51"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5" w:type="pct"/>
          </w:tcPr>
          <w:p w:rsidR="0046531F" w:rsidRPr="00453AFD" w:rsidRDefault="0046531F" w:rsidP="008B5C51">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8B5C51" w:rsidRPr="00453AFD">
              <w:rPr>
                <w:sz w:val="16"/>
                <w:szCs w:val="16"/>
              </w:rPr>
              <w:t>-</w:t>
            </w:r>
          </w:p>
        </w:tc>
      </w:tr>
      <w:tr w:rsidR="0046531F" w:rsidRPr="004F416F" w:rsidTr="0097579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GROSS TOTAL CAPITAL EXPENDITURE</w:t>
            </w:r>
          </w:p>
        </w:tc>
        <w:tc>
          <w:tcPr>
            <w:tcW w:w="867"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44.8</w:t>
            </w:r>
          </w:p>
        </w:tc>
        <w:tc>
          <w:tcPr>
            <w:tcW w:w="867"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w:t>
            </w:r>
            <w:r w:rsidR="0046531F">
              <w:rPr>
                <w:sz w:val="16"/>
                <w:szCs w:val="16"/>
              </w:rPr>
              <w:t>7.</w:t>
            </w:r>
            <w:r>
              <w:rPr>
                <w:sz w:val="16"/>
                <w:szCs w:val="16"/>
              </w:rPr>
              <w:t>8</w:t>
            </w:r>
          </w:p>
        </w:tc>
        <w:tc>
          <w:tcPr>
            <w:tcW w:w="866"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w:t>
            </w:r>
            <w:r w:rsidR="0046531F">
              <w:rPr>
                <w:sz w:val="16"/>
                <w:szCs w:val="16"/>
              </w:rPr>
              <w:t>.</w:t>
            </w:r>
            <w:r>
              <w:rPr>
                <w:sz w:val="16"/>
                <w:szCs w:val="16"/>
              </w:rPr>
              <w:t>0</w:t>
            </w:r>
          </w:p>
        </w:tc>
        <w:tc>
          <w:tcPr>
            <w:tcW w:w="865"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-16</w:t>
            </w:r>
            <w:r w:rsidR="0046531F">
              <w:rPr>
                <w:sz w:val="16"/>
                <w:szCs w:val="16"/>
              </w:rPr>
              <w:t>%</w:t>
            </w:r>
          </w:p>
        </w:tc>
      </w:tr>
      <w:tr w:rsidR="0046531F" w:rsidRPr="004F416F" w:rsidTr="00975794">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Contributions</w:t>
            </w:r>
          </w:p>
        </w:tc>
        <w:tc>
          <w:tcPr>
            <w:tcW w:w="867" w:type="pct"/>
          </w:tcPr>
          <w:p w:rsidR="0046531F" w:rsidRPr="00453AFD" w:rsidRDefault="0046531F"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7" w:type="pct"/>
          </w:tcPr>
          <w:p w:rsidR="0046531F" w:rsidRPr="00453AFD" w:rsidRDefault="0046531F"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6" w:type="pct"/>
          </w:tcPr>
          <w:p w:rsidR="0046531F" w:rsidRPr="00453AFD" w:rsidRDefault="0046531F"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5" w:type="pct"/>
          </w:tcPr>
          <w:p w:rsidR="0046531F" w:rsidRPr="00453AFD" w:rsidRDefault="0046531F"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46531F" w:rsidRPr="004F416F" w:rsidTr="0097579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rPr>
                <w:szCs w:val="16"/>
              </w:rPr>
            </w:pPr>
            <w:r w:rsidRPr="00453AFD">
              <w:rPr>
                <w:szCs w:val="16"/>
              </w:rPr>
              <w:t>Asset disposals</w:t>
            </w:r>
          </w:p>
        </w:tc>
        <w:tc>
          <w:tcPr>
            <w:tcW w:w="867" w:type="pct"/>
          </w:tcPr>
          <w:p w:rsidR="0046531F" w:rsidRPr="009F041B"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9F041B">
              <w:rPr>
                <w:sz w:val="16"/>
                <w:szCs w:val="16"/>
              </w:rPr>
              <w:t>0.4</w:t>
            </w:r>
          </w:p>
        </w:tc>
        <w:tc>
          <w:tcPr>
            <w:tcW w:w="867" w:type="pct"/>
          </w:tcPr>
          <w:p w:rsidR="0046531F" w:rsidRPr="009F041B" w:rsidRDefault="0046531F"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9F041B">
              <w:rPr>
                <w:sz w:val="16"/>
                <w:szCs w:val="16"/>
              </w:rPr>
              <w:t>0.</w:t>
            </w:r>
            <w:r w:rsidR="005F7135" w:rsidRPr="009F041B">
              <w:rPr>
                <w:sz w:val="16"/>
                <w:szCs w:val="16"/>
              </w:rPr>
              <w:t>4</w:t>
            </w:r>
          </w:p>
        </w:tc>
        <w:tc>
          <w:tcPr>
            <w:tcW w:w="866" w:type="pct"/>
          </w:tcPr>
          <w:p w:rsidR="0046531F" w:rsidRPr="00453AFD" w:rsidRDefault="005F7135"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865" w:type="pct"/>
          </w:tcPr>
          <w:p w:rsidR="0046531F" w:rsidRPr="00453AFD" w:rsidRDefault="001C3D2D" w:rsidP="00975794">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t>N/A</w:t>
            </w:r>
          </w:p>
        </w:tc>
      </w:tr>
      <w:tr w:rsidR="0046531F" w:rsidRPr="004F416F" w:rsidTr="00975794">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46531F" w:rsidRPr="00453AFD" w:rsidRDefault="0046531F" w:rsidP="00975794">
            <w:pPr>
              <w:spacing w:before="0"/>
              <w:rPr>
                <w:rStyle w:val="AERsuperscript"/>
                <w:szCs w:val="16"/>
              </w:rPr>
            </w:pPr>
            <w:r w:rsidRPr="00453AFD">
              <w:rPr>
                <w:szCs w:val="16"/>
              </w:rPr>
              <w:t>NET TOTAL CAPITAL EXPENDITURE</w:t>
            </w:r>
            <w:r w:rsidRPr="00453AFD">
              <w:rPr>
                <w:rStyle w:val="AERsuperscript"/>
                <w:szCs w:val="16"/>
              </w:rPr>
              <w:t>)</w:t>
            </w:r>
          </w:p>
        </w:tc>
        <w:tc>
          <w:tcPr>
            <w:tcW w:w="867"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w:t>
            </w:r>
            <w:r w:rsidR="0046531F" w:rsidRPr="00453AFD">
              <w:rPr>
                <w:sz w:val="16"/>
                <w:szCs w:val="16"/>
              </w:rPr>
              <w:t>.</w:t>
            </w:r>
            <w:r>
              <w:rPr>
                <w:sz w:val="16"/>
                <w:szCs w:val="16"/>
              </w:rPr>
              <w:t>4</w:t>
            </w:r>
          </w:p>
        </w:tc>
        <w:tc>
          <w:tcPr>
            <w:tcW w:w="867"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37</w:t>
            </w:r>
            <w:r w:rsidR="0046531F">
              <w:rPr>
                <w:sz w:val="16"/>
                <w:szCs w:val="16"/>
              </w:rPr>
              <w:t>.</w:t>
            </w:r>
            <w:r w:rsidR="009F041B">
              <w:rPr>
                <w:sz w:val="16"/>
                <w:szCs w:val="16"/>
              </w:rPr>
              <w:t>4</w:t>
            </w:r>
          </w:p>
        </w:tc>
        <w:tc>
          <w:tcPr>
            <w:tcW w:w="866" w:type="pct"/>
          </w:tcPr>
          <w:p w:rsidR="0046531F" w:rsidRPr="00453AFD" w:rsidRDefault="005F7135"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r w:rsidR="0046531F">
              <w:rPr>
                <w:sz w:val="16"/>
                <w:szCs w:val="16"/>
              </w:rPr>
              <w:t>.</w:t>
            </w:r>
            <w:r>
              <w:rPr>
                <w:sz w:val="16"/>
                <w:szCs w:val="16"/>
              </w:rPr>
              <w:t>0</w:t>
            </w:r>
          </w:p>
        </w:tc>
        <w:tc>
          <w:tcPr>
            <w:tcW w:w="865" w:type="pct"/>
          </w:tcPr>
          <w:p w:rsidR="0046531F" w:rsidRPr="00453AFD" w:rsidRDefault="00975794" w:rsidP="00975794">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r w:rsidR="0046531F">
              <w:rPr>
                <w:sz w:val="16"/>
                <w:szCs w:val="16"/>
              </w:rPr>
              <w:t>%</w:t>
            </w:r>
          </w:p>
        </w:tc>
      </w:tr>
    </w:tbl>
    <w:p w:rsidR="0046531F" w:rsidRDefault="0046531F" w:rsidP="00975794">
      <w:pPr>
        <w:pStyle w:val="AERtablesource"/>
      </w:pPr>
      <w:r w:rsidRPr="00975794">
        <w:t>Source</w:t>
      </w:r>
      <w:r w:rsidRPr="00DE44F6">
        <w:t>:</w:t>
      </w:r>
      <w:r w:rsidRPr="00DE44F6">
        <w:tab/>
        <w:t>AER analysis.</w:t>
      </w:r>
    </w:p>
    <w:p w:rsidR="003A05BE" w:rsidRPr="003A05BE" w:rsidRDefault="003A05BE" w:rsidP="003A05BE">
      <w:pPr>
        <w:pStyle w:val="AERtablesource"/>
      </w:pPr>
      <w:r w:rsidRPr="00A91109">
        <w:t>Note:</w:t>
      </w:r>
      <w:r w:rsidRPr="00A91109">
        <w:tab/>
        <w:t>(</w:t>
      </w:r>
      <w:r w:rsidRPr="005F6AB8">
        <w:t>a) Including AER labour escalation adjustments.</w:t>
      </w:r>
    </w:p>
    <w:p w:rsidR="004241B0" w:rsidRDefault="004241B0" w:rsidP="0046531F">
      <w:pPr>
        <w:pStyle w:val="Heading3"/>
      </w:pPr>
      <w:bookmarkStart w:id="15" w:name="_Toc436042748"/>
      <w:r w:rsidRPr="00CA131C">
        <w:t xml:space="preserve">Conforming </w:t>
      </w:r>
      <w:r>
        <w:t xml:space="preserve">capex </w:t>
      </w:r>
      <w:r w:rsidRPr="00CA131C">
        <w:t xml:space="preserve">for the </w:t>
      </w:r>
      <w:r w:rsidR="006A555A">
        <w:t>2016–21</w:t>
      </w:r>
      <w:r w:rsidRPr="00CA131C">
        <w:t xml:space="preserve"> access arrangement period</w:t>
      </w:r>
      <w:bookmarkEnd w:id="15"/>
    </w:p>
    <w:p w:rsidR="00F9442F" w:rsidRDefault="004241B0" w:rsidP="00975794">
      <w:r>
        <w:t>We</w:t>
      </w:r>
      <w:r w:rsidRPr="00CA131C">
        <w:t xml:space="preserve"> approve </w:t>
      </w:r>
      <w:r w:rsidRPr="009F041B">
        <w:t>$</w:t>
      </w:r>
      <w:r w:rsidR="00173F9F" w:rsidRPr="009F041B">
        <w:t>26.5</w:t>
      </w:r>
      <w:r w:rsidR="00E03561" w:rsidRPr="009F041B">
        <w:t xml:space="preserve"> </w:t>
      </w:r>
      <w:r w:rsidRPr="009F041B">
        <w:t>million</w:t>
      </w:r>
      <w:r w:rsidRPr="00CA131C">
        <w:t xml:space="preserve"> ($</w:t>
      </w:r>
      <w:r w:rsidR="000B70FD">
        <w:t>2015–16</w:t>
      </w:r>
      <w:r w:rsidRPr="00CA131C">
        <w:t xml:space="preserve">) of </w:t>
      </w:r>
      <w:r w:rsidR="00E03561">
        <w:t>APTNT’s</w:t>
      </w:r>
      <w:r w:rsidRPr="00CA131C">
        <w:t xml:space="preserve"> proposed $</w:t>
      </w:r>
      <w:r w:rsidR="00E03561">
        <w:t>29.9</w:t>
      </w:r>
      <w:r w:rsidRPr="00CA131C">
        <w:t xml:space="preserve"> million ($201</w:t>
      </w:r>
      <w:r>
        <w:t>5</w:t>
      </w:r>
      <w:r w:rsidR="000B70FD">
        <w:t>–</w:t>
      </w:r>
      <w:r w:rsidR="001053FC">
        <w:t>16</w:t>
      </w:r>
      <w:r w:rsidRPr="00CA131C">
        <w:t>) total net capex for 201</w:t>
      </w:r>
      <w:r w:rsidR="001053FC">
        <w:t>6</w:t>
      </w:r>
      <w:r w:rsidRPr="00CA131C">
        <w:t>–</w:t>
      </w:r>
      <w:r>
        <w:t>2</w:t>
      </w:r>
      <w:r w:rsidR="001053FC">
        <w:t>1</w:t>
      </w:r>
      <w:r w:rsidRPr="00CA131C">
        <w:t xml:space="preserve"> as conforming capex under r. 79(1) of the NGR. </w:t>
      </w:r>
    </w:p>
    <w:p w:rsidR="00662426" w:rsidRDefault="00662426" w:rsidP="00975794">
      <w:r>
        <w:fldChar w:fldCharType="begin"/>
      </w:r>
      <w:r>
        <w:instrText xml:space="preserve"> REF _Ref404161318 \h </w:instrText>
      </w:r>
      <w:r>
        <w:fldChar w:fldCharType="separate"/>
      </w:r>
      <w:r w:rsidR="00F65E22">
        <w:t xml:space="preserve">Table </w:t>
      </w:r>
      <w:r w:rsidR="00F65E22">
        <w:rPr>
          <w:noProof/>
        </w:rPr>
        <w:t>6</w:t>
      </w:r>
      <w:r w:rsidR="00F65E22">
        <w:t>.</w:t>
      </w:r>
      <w:r w:rsidR="00F65E22">
        <w:rPr>
          <w:noProof/>
        </w:rPr>
        <w:t>3</w:t>
      </w:r>
      <w:r>
        <w:fldChar w:fldCharType="end"/>
      </w:r>
      <w:r>
        <w:t xml:space="preserve"> </w:t>
      </w:r>
      <w:r w:rsidRPr="00CA131C">
        <w:t>shows approved capex for the 201</w:t>
      </w:r>
      <w:r>
        <w:t>6–21</w:t>
      </w:r>
      <w:r w:rsidRPr="00CA131C">
        <w:t xml:space="preserve"> access arrangement </w:t>
      </w:r>
      <w:proofErr w:type="gramStart"/>
      <w:r w:rsidRPr="00CA131C">
        <w:t>period</w:t>
      </w:r>
      <w:proofErr w:type="gramEnd"/>
      <w:r w:rsidRPr="00CA131C">
        <w:t xml:space="preserve"> by category.</w:t>
      </w:r>
    </w:p>
    <w:p w:rsidR="00662426" w:rsidRDefault="00662426" w:rsidP="00C9745C">
      <w:pPr>
        <w:pStyle w:val="Caption"/>
      </w:pPr>
      <w:bookmarkStart w:id="16" w:name="_Ref404161318"/>
      <w:proofErr w:type="gramStart"/>
      <w:r>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t>.</w:t>
      </w:r>
      <w:proofErr w:type="gramEnd"/>
      <w:r w:rsidR="002C6AAE">
        <w:fldChar w:fldCharType="begin"/>
      </w:r>
      <w:r w:rsidR="002C6AAE">
        <w:instrText xml:space="preserve"> SEQ Table \* ARABIC \s 1 </w:instrText>
      </w:r>
      <w:r w:rsidR="002C6AAE">
        <w:fldChar w:fldCharType="separate"/>
      </w:r>
      <w:r w:rsidR="00F65E22">
        <w:rPr>
          <w:noProof/>
        </w:rPr>
        <w:t>3</w:t>
      </w:r>
      <w:r w:rsidR="002C6AAE">
        <w:rPr>
          <w:noProof/>
        </w:rPr>
        <w:fldChar w:fldCharType="end"/>
      </w:r>
      <w:bookmarkEnd w:id="16"/>
      <w:r>
        <w:tab/>
      </w:r>
      <w:r w:rsidRPr="00EB0E3D">
        <w:t xml:space="preserve">AER approved capital </w:t>
      </w:r>
      <w:proofErr w:type="gramStart"/>
      <w:r w:rsidRPr="00EB0E3D">
        <w:t>expenditure</w:t>
      </w:r>
      <w:r w:rsidRPr="00EB0E3D">
        <w:rPr>
          <w:rStyle w:val="AERsuperscript"/>
        </w:rPr>
        <w:t>(</w:t>
      </w:r>
      <w:proofErr w:type="gramEnd"/>
      <w:r w:rsidRPr="00EB0E3D">
        <w:rPr>
          <w:rStyle w:val="AERsuperscript"/>
        </w:rPr>
        <w:t>a)</w:t>
      </w:r>
      <w:r w:rsidRPr="00EB0E3D">
        <w:t xml:space="preserve"> by category over the </w:t>
      </w:r>
      <w:r w:rsidR="006A555A">
        <w:t>2016–21</w:t>
      </w:r>
      <w:r w:rsidRPr="00EB0E3D">
        <w:t xml:space="preserve"> access arrangement period ($million, 201</w:t>
      </w:r>
      <w:r>
        <w:t>5</w:t>
      </w:r>
      <w:r w:rsidR="000B70FD">
        <w:t>–</w:t>
      </w:r>
      <w:r>
        <w:t>16</w:t>
      </w:r>
      <w:r w:rsidRPr="00EB0E3D">
        <w:t>)</w:t>
      </w:r>
    </w:p>
    <w:tbl>
      <w:tblPr>
        <w:tblStyle w:val="AERtable-numbers"/>
        <w:tblW w:w="5000" w:type="pct"/>
        <w:tblLook w:val="04A0" w:firstRow="1" w:lastRow="0" w:firstColumn="1" w:lastColumn="0" w:noHBand="0" w:noVBand="1"/>
      </w:tblPr>
      <w:tblGrid>
        <w:gridCol w:w="3356"/>
        <w:gridCol w:w="889"/>
        <w:gridCol w:w="891"/>
        <w:gridCol w:w="889"/>
        <w:gridCol w:w="890"/>
        <w:gridCol w:w="888"/>
        <w:gridCol w:w="890"/>
      </w:tblGrid>
      <w:tr w:rsidR="00173F9F" w:rsidRPr="004F416F" w:rsidTr="00F11395">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9309F6" w:rsidRDefault="00662426" w:rsidP="00C9745C">
            <w:pPr>
              <w:keepNext/>
              <w:rPr>
                <w:szCs w:val="16"/>
              </w:rPr>
            </w:pPr>
            <w:r w:rsidRPr="009309F6">
              <w:rPr>
                <w:szCs w:val="16"/>
              </w:rPr>
              <w:t> Category</w:t>
            </w:r>
          </w:p>
        </w:tc>
        <w:tc>
          <w:tcPr>
            <w:tcW w:w="511" w:type="pct"/>
            <w:hideMark/>
          </w:tcPr>
          <w:p w:rsidR="00662426" w:rsidRPr="009309F6" w:rsidRDefault="00662426" w:rsidP="00C9745C">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9309F6">
              <w:rPr>
                <w:sz w:val="16"/>
                <w:szCs w:val="16"/>
              </w:rPr>
              <w:t>2016-17</w:t>
            </w:r>
          </w:p>
        </w:tc>
        <w:tc>
          <w:tcPr>
            <w:tcW w:w="512" w:type="pct"/>
            <w:hideMark/>
          </w:tcPr>
          <w:p w:rsidR="00662426" w:rsidRPr="009309F6" w:rsidRDefault="00662426" w:rsidP="00C9745C">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9309F6">
              <w:rPr>
                <w:sz w:val="16"/>
                <w:szCs w:val="16"/>
              </w:rPr>
              <w:t>2017-18</w:t>
            </w:r>
          </w:p>
        </w:tc>
        <w:tc>
          <w:tcPr>
            <w:tcW w:w="511" w:type="pct"/>
            <w:hideMark/>
          </w:tcPr>
          <w:p w:rsidR="00662426" w:rsidRPr="009309F6" w:rsidRDefault="00662426" w:rsidP="00C9745C">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9309F6">
              <w:rPr>
                <w:sz w:val="16"/>
                <w:szCs w:val="16"/>
              </w:rPr>
              <w:t>2018-19</w:t>
            </w:r>
          </w:p>
        </w:tc>
        <w:tc>
          <w:tcPr>
            <w:tcW w:w="512" w:type="pct"/>
            <w:hideMark/>
          </w:tcPr>
          <w:p w:rsidR="00662426" w:rsidRPr="009309F6" w:rsidRDefault="00662426" w:rsidP="00C9745C">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9309F6">
              <w:rPr>
                <w:sz w:val="16"/>
                <w:szCs w:val="16"/>
              </w:rPr>
              <w:t>2019-20</w:t>
            </w:r>
          </w:p>
        </w:tc>
        <w:tc>
          <w:tcPr>
            <w:tcW w:w="511" w:type="pct"/>
            <w:hideMark/>
          </w:tcPr>
          <w:p w:rsidR="00662426" w:rsidRPr="009309F6" w:rsidRDefault="00662426" w:rsidP="00C9745C">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9309F6">
              <w:rPr>
                <w:sz w:val="16"/>
                <w:szCs w:val="16"/>
              </w:rPr>
              <w:t>2020-21</w:t>
            </w:r>
          </w:p>
        </w:tc>
        <w:tc>
          <w:tcPr>
            <w:tcW w:w="512" w:type="pct"/>
          </w:tcPr>
          <w:p w:rsidR="00662426" w:rsidRPr="009309F6" w:rsidRDefault="00662426" w:rsidP="00C9745C">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9309F6">
              <w:rPr>
                <w:sz w:val="16"/>
                <w:szCs w:val="16"/>
              </w:rPr>
              <w:t>Total</w:t>
            </w:r>
          </w:p>
        </w:tc>
      </w:tr>
      <w:tr w:rsidR="00173F9F" w:rsidRPr="004F416F" w:rsidTr="00173F9F">
        <w:trPr>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A76366" w:rsidRDefault="00662426" w:rsidP="00C9745C">
            <w:pPr>
              <w:keepNext/>
            </w:pPr>
            <w:r>
              <w:t xml:space="preserve">Expansion </w:t>
            </w:r>
          </w:p>
        </w:tc>
        <w:tc>
          <w:tcPr>
            <w:tcW w:w="511"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2"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1"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2"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1"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2"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r>
      <w:tr w:rsidR="00173F9F" w:rsidRPr="004F416F" w:rsidTr="00173F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A76366" w:rsidRDefault="00662426" w:rsidP="00C9745C">
            <w:pPr>
              <w:keepNext/>
            </w:pPr>
            <w:r>
              <w:t xml:space="preserve">Replacement </w:t>
            </w:r>
          </w:p>
        </w:tc>
        <w:tc>
          <w:tcPr>
            <w:tcW w:w="511"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4.7</w:t>
            </w:r>
          </w:p>
        </w:tc>
        <w:tc>
          <w:tcPr>
            <w:tcW w:w="512"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3.7</w:t>
            </w:r>
          </w:p>
        </w:tc>
        <w:tc>
          <w:tcPr>
            <w:tcW w:w="511"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3.4</w:t>
            </w:r>
          </w:p>
        </w:tc>
        <w:tc>
          <w:tcPr>
            <w:tcW w:w="512"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3.4</w:t>
            </w:r>
          </w:p>
        </w:tc>
        <w:tc>
          <w:tcPr>
            <w:tcW w:w="511"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w:t>
            </w:r>
            <w:r w:rsidR="009F041B">
              <w:rPr>
                <w:sz w:val="16"/>
                <w:szCs w:val="16"/>
              </w:rPr>
              <w:t>3</w:t>
            </w:r>
          </w:p>
        </w:tc>
        <w:tc>
          <w:tcPr>
            <w:tcW w:w="512"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18.</w:t>
            </w:r>
            <w:r w:rsidR="009F041B">
              <w:rPr>
                <w:sz w:val="16"/>
                <w:szCs w:val="16"/>
              </w:rPr>
              <w:t>5</w:t>
            </w:r>
          </w:p>
        </w:tc>
      </w:tr>
      <w:tr w:rsidR="00173F9F" w:rsidRPr="004F416F" w:rsidTr="00173F9F">
        <w:trPr>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A76366" w:rsidRDefault="00662426" w:rsidP="00C9745C">
            <w:pPr>
              <w:keepNext/>
            </w:pPr>
            <w:r>
              <w:t>Non-system</w:t>
            </w:r>
          </w:p>
        </w:tc>
        <w:tc>
          <w:tcPr>
            <w:tcW w:w="511"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w:t>
            </w:r>
          </w:p>
        </w:tc>
        <w:tc>
          <w:tcPr>
            <w:tcW w:w="512"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0.9</w:t>
            </w:r>
          </w:p>
        </w:tc>
        <w:tc>
          <w:tcPr>
            <w:tcW w:w="511"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c>
          <w:tcPr>
            <w:tcW w:w="512"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511"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w:t>
            </w:r>
          </w:p>
        </w:tc>
        <w:tc>
          <w:tcPr>
            <w:tcW w:w="512"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173F9F" w:rsidRPr="004F416F" w:rsidTr="00173F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A76366" w:rsidRDefault="00662426" w:rsidP="00C9745C">
            <w:pPr>
              <w:keepNext/>
            </w:pPr>
            <w:r w:rsidRPr="00A76366">
              <w:t>GROSS TOTAL CAPITAL EXPENDITURE</w:t>
            </w:r>
          </w:p>
        </w:tc>
        <w:tc>
          <w:tcPr>
            <w:tcW w:w="511"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9.1</w:t>
            </w:r>
          </w:p>
        </w:tc>
        <w:tc>
          <w:tcPr>
            <w:tcW w:w="512"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w:t>
            </w:r>
            <w:r w:rsidR="005F6AB8">
              <w:rPr>
                <w:sz w:val="16"/>
                <w:szCs w:val="16"/>
              </w:rPr>
              <w:t>6</w:t>
            </w:r>
          </w:p>
        </w:tc>
        <w:tc>
          <w:tcPr>
            <w:tcW w:w="511"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4.4</w:t>
            </w:r>
          </w:p>
        </w:tc>
        <w:tc>
          <w:tcPr>
            <w:tcW w:w="512"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w:t>
            </w:r>
            <w:r w:rsidR="005F6AB8">
              <w:rPr>
                <w:sz w:val="16"/>
                <w:szCs w:val="16"/>
              </w:rPr>
              <w:t>5</w:t>
            </w:r>
          </w:p>
        </w:tc>
        <w:tc>
          <w:tcPr>
            <w:tcW w:w="511"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w:t>
            </w:r>
            <w:r w:rsidR="005F6AB8">
              <w:rPr>
                <w:sz w:val="16"/>
                <w:szCs w:val="16"/>
              </w:rPr>
              <w:t>6</w:t>
            </w:r>
          </w:p>
        </w:tc>
        <w:tc>
          <w:tcPr>
            <w:tcW w:w="512" w:type="pct"/>
          </w:tcPr>
          <w:p w:rsidR="00662426" w:rsidRPr="009309F6" w:rsidRDefault="00173F9F"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27.</w:t>
            </w:r>
            <w:r w:rsidR="005F6AB8">
              <w:rPr>
                <w:sz w:val="16"/>
                <w:szCs w:val="16"/>
              </w:rPr>
              <w:t>2</w:t>
            </w:r>
          </w:p>
        </w:tc>
      </w:tr>
      <w:tr w:rsidR="00173F9F" w:rsidRPr="004F416F" w:rsidTr="00173F9F">
        <w:trPr>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A76366" w:rsidRDefault="00662426" w:rsidP="00C9745C">
            <w:pPr>
              <w:keepNext/>
            </w:pPr>
            <w:r w:rsidRPr="00A76366">
              <w:t>Contributions</w:t>
            </w:r>
          </w:p>
        </w:tc>
        <w:tc>
          <w:tcPr>
            <w:tcW w:w="511"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2"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1"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2"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1"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512" w:type="pct"/>
          </w:tcPr>
          <w:p w:rsidR="00662426" w:rsidRPr="009309F6" w:rsidRDefault="009309F6"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r>
      <w:tr w:rsidR="00173F9F" w:rsidRPr="004F416F" w:rsidTr="00173F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AB3A65" w:rsidRDefault="00662426" w:rsidP="00C9745C">
            <w:pPr>
              <w:keepNext/>
            </w:pPr>
            <w:r w:rsidRPr="00AB3A65">
              <w:t>Asset disposals</w:t>
            </w:r>
          </w:p>
        </w:tc>
        <w:tc>
          <w:tcPr>
            <w:tcW w:w="511" w:type="pct"/>
          </w:tcPr>
          <w:p w:rsidR="00662426" w:rsidRPr="009309F6" w:rsidRDefault="009309F6"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0.2</w:t>
            </w:r>
          </w:p>
        </w:tc>
        <w:tc>
          <w:tcPr>
            <w:tcW w:w="512" w:type="pct"/>
          </w:tcPr>
          <w:p w:rsidR="00662426" w:rsidRPr="009309F6" w:rsidRDefault="009309F6"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0.1</w:t>
            </w:r>
          </w:p>
        </w:tc>
        <w:tc>
          <w:tcPr>
            <w:tcW w:w="511" w:type="pct"/>
          </w:tcPr>
          <w:p w:rsidR="00662426" w:rsidRPr="009309F6" w:rsidRDefault="009309F6"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0.1</w:t>
            </w:r>
          </w:p>
        </w:tc>
        <w:tc>
          <w:tcPr>
            <w:tcW w:w="512" w:type="pct"/>
          </w:tcPr>
          <w:p w:rsidR="00662426" w:rsidRPr="009309F6" w:rsidRDefault="009309F6"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0.1</w:t>
            </w:r>
          </w:p>
        </w:tc>
        <w:tc>
          <w:tcPr>
            <w:tcW w:w="511" w:type="pct"/>
          </w:tcPr>
          <w:p w:rsidR="00662426" w:rsidRPr="009309F6" w:rsidRDefault="009309F6"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0.2</w:t>
            </w:r>
          </w:p>
        </w:tc>
        <w:tc>
          <w:tcPr>
            <w:tcW w:w="512" w:type="pct"/>
          </w:tcPr>
          <w:p w:rsidR="00662426" w:rsidRPr="009309F6" w:rsidRDefault="009309F6" w:rsidP="00C9745C">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0.7</w:t>
            </w:r>
          </w:p>
        </w:tc>
      </w:tr>
      <w:tr w:rsidR="00173F9F" w:rsidRPr="004F416F" w:rsidTr="00173F9F">
        <w:trPr>
          <w:trHeight w:val="300"/>
        </w:trPr>
        <w:tc>
          <w:tcPr>
            <w:cnfStyle w:val="001000000000" w:firstRow="0" w:lastRow="0" w:firstColumn="1" w:lastColumn="0" w:oddVBand="0" w:evenVBand="0" w:oddHBand="0" w:evenHBand="0" w:firstRowFirstColumn="0" w:firstRowLastColumn="0" w:lastRowFirstColumn="0" w:lastRowLastColumn="0"/>
            <w:tcW w:w="1930" w:type="pct"/>
            <w:hideMark/>
          </w:tcPr>
          <w:p w:rsidR="00662426" w:rsidRPr="0047287F" w:rsidRDefault="00662426" w:rsidP="00C9745C">
            <w:pPr>
              <w:keepNext/>
              <w:spacing w:before="0"/>
              <w:rPr>
                <w:rStyle w:val="AERsuperscript"/>
              </w:rPr>
            </w:pPr>
            <w:r w:rsidRPr="00AB3A65">
              <w:t>NET TOTAL CAPITAL EXPENDITURE</w:t>
            </w:r>
          </w:p>
        </w:tc>
        <w:tc>
          <w:tcPr>
            <w:tcW w:w="511"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c>
          <w:tcPr>
            <w:tcW w:w="512"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w:t>
            </w:r>
          </w:p>
        </w:tc>
        <w:tc>
          <w:tcPr>
            <w:tcW w:w="511"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w:t>
            </w:r>
          </w:p>
        </w:tc>
        <w:tc>
          <w:tcPr>
            <w:tcW w:w="512"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w:t>
            </w:r>
          </w:p>
        </w:tc>
        <w:tc>
          <w:tcPr>
            <w:tcW w:w="511"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w:t>
            </w:r>
          </w:p>
        </w:tc>
        <w:tc>
          <w:tcPr>
            <w:tcW w:w="512" w:type="pct"/>
          </w:tcPr>
          <w:p w:rsidR="00662426" w:rsidRPr="009309F6" w:rsidRDefault="00173F9F" w:rsidP="00C9745C">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26.5</w:t>
            </w:r>
          </w:p>
        </w:tc>
      </w:tr>
    </w:tbl>
    <w:p w:rsidR="00662426" w:rsidRDefault="00662426" w:rsidP="00C9745C">
      <w:pPr>
        <w:pStyle w:val="AERtablesource"/>
        <w:keepNext/>
      </w:pPr>
      <w:r w:rsidRPr="00DE44F6">
        <w:t>Source:</w:t>
      </w:r>
      <w:r w:rsidRPr="00DE44F6">
        <w:tab/>
        <w:t>AER analysis.</w:t>
      </w:r>
    </w:p>
    <w:p w:rsidR="00662426" w:rsidRPr="00975794" w:rsidRDefault="00662426" w:rsidP="00662426">
      <w:pPr>
        <w:pStyle w:val="AERtablesource"/>
        <w:rPr>
          <w:rStyle w:val="AERtexthighlight"/>
        </w:rPr>
      </w:pPr>
      <w:r w:rsidRPr="00A91109">
        <w:t>Note:</w:t>
      </w:r>
      <w:r w:rsidRPr="00A91109">
        <w:tab/>
        <w:t>(</w:t>
      </w:r>
      <w:r w:rsidRPr="005F6AB8">
        <w:t>a) Including AER labour escalation adjustments.</w:t>
      </w:r>
      <w:r w:rsidRPr="005F6AB8">
        <w:tab/>
      </w:r>
    </w:p>
    <w:p w:rsidR="00662426" w:rsidRPr="00A4447D" w:rsidRDefault="00662426" w:rsidP="00662426">
      <w:pPr>
        <w:numPr>
          <w:ilvl w:val="0"/>
          <w:numId w:val="24"/>
        </w:numPr>
        <w:spacing w:before="0" w:after="240" w:line="288" w:lineRule="auto"/>
        <w:jc w:val="both"/>
      </w:pPr>
      <w:r>
        <w:rPr>
          <w:rFonts w:eastAsia="Calibri"/>
        </w:rPr>
        <w:fldChar w:fldCharType="begin"/>
      </w:r>
      <w:r>
        <w:rPr>
          <w:rFonts w:eastAsia="Calibri"/>
        </w:rPr>
        <w:instrText xml:space="preserve"> REF _Ref404161331 \h </w:instrText>
      </w:r>
      <w:r>
        <w:rPr>
          <w:rFonts w:eastAsia="Calibri"/>
        </w:rPr>
      </w:r>
      <w:r>
        <w:rPr>
          <w:rFonts w:eastAsia="Calibri"/>
        </w:rPr>
        <w:fldChar w:fldCharType="separate"/>
      </w:r>
      <w:r w:rsidR="00F65E22">
        <w:t xml:space="preserve">Table </w:t>
      </w:r>
      <w:r w:rsidR="00F65E22">
        <w:rPr>
          <w:noProof/>
        </w:rPr>
        <w:t>6.4</w:t>
      </w:r>
      <w:r>
        <w:rPr>
          <w:rFonts w:eastAsia="Calibri"/>
        </w:rPr>
        <w:fldChar w:fldCharType="end"/>
      </w:r>
      <w:r>
        <w:rPr>
          <w:rFonts w:eastAsia="Calibri"/>
        </w:rPr>
        <w:t xml:space="preserve"> </w:t>
      </w:r>
      <w:r w:rsidRPr="00333A31">
        <w:rPr>
          <w:rFonts w:eastAsia="Calibri"/>
        </w:rPr>
        <w:t xml:space="preserve">shows </w:t>
      </w:r>
      <w:r w:rsidR="00140D62">
        <w:rPr>
          <w:rFonts w:eastAsia="Calibri"/>
        </w:rPr>
        <w:t>APTNT</w:t>
      </w:r>
      <w:r w:rsidRPr="00333A31">
        <w:rPr>
          <w:rFonts w:eastAsia="Calibri"/>
        </w:rPr>
        <w:t>'s proposed capex compared with the AER's approved allowance for each category.</w:t>
      </w:r>
    </w:p>
    <w:p w:rsidR="00662426" w:rsidRPr="00333A31" w:rsidRDefault="00662426" w:rsidP="00662426">
      <w:pPr>
        <w:pStyle w:val="Caption"/>
      </w:pPr>
      <w:bookmarkStart w:id="17" w:name="_Ref404161331"/>
      <w:proofErr w:type="gramStart"/>
      <w:r>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rPr>
          <w:noProof/>
        </w:rPr>
        <w:t>.</w:t>
      </w:r>
      <w:proofErr w:type="gramEnd"/>
      <w:r w:rsidR="002C6AAE">
        <w:fldChar w:fldCharType="begin"/>
      </w:r>
      <w:r w:rsidR="002C6AAE">
        <w:instrText xml:space="preserve"> SEQ Table \* ARABIC \s 1 </w:instrText>
      </w:r>
      <w:r w:rsidR="002C6AAE">
        <w:fldChar w:fldCharType="separate"/>
      </w:r>
      <w:r w:rsidR="00F65E22">
        <w:rPr>
          <w:noProof/>
        </w:rPr>
        <w:t>4</w:t>
      </w:r>
      <w:r w:rsidR="002C6AAE">
        <w:rPr>
          <w:noProof/>
        </w:rPr>
        <w:fldChar w:fldCharType="end"/>
      </w:r>
      <w:bookmarkEnd w:id="17"/>
      <w:r>
        <w:tab/>
      </w:r>
      <w:r w:rsidRPr="00A4447D">
        <w:t xml:space="preserve">Comparison of AER approved and </w:t>
      </w:r>
      <w:r w:rsidR="005F2E93">
        <w:t>APTNT’s</w:t>
      </w:r>
      <w:r w:rsidRPr="00A4447D">
        <w:t xml:space="preserve"> proposed capital expenditure over the </w:t>
      </w:r>
      <w:r w:rsidR="006A555A">
        <w:t>2016–21</w:t>
      </w:r>
      <w:r w:rsidRPr="00A4447D">
        <w:t xml:space="preserve"> access arrangement period ($million, 201</w:t>
      </w:r>
      <w:r>
        <w:t>5</w:t>
      </w:r>
      <w:r w:rsidR="000B70FD">
        <w:t>–</w:t>
      </w:r>
      <w:r w:rsidR="005F2E93">
        <w:t>16</w:t>
      </w:r>
      <w:r w:rsidRPr="00A4447D">
        <w:t>)</w:t>
      </w:r>
    </w:p>
    <w:tbl>
      <w:tblPr>
        <w:tblStyle w:val="AERtable-numbers"/>
        <w:tblW w:w="5000" w:type="pct"/>
        <w:tblLook w:val="04A0" w:firstRow="1" w:lastRow="0" w:firstColumn="1" w:lastColumn="0" w:noHBand="0" w:noVBand="1"/>
      </w:tblPr>
      <w:tblGrid>
        <w:gridCol w:w="2669"/>
        <w:gridCol w:w="1507"/>
        <w:gridCol w:w="1507"/>
        <w:gridCol w:w="1506"/>
        <w:gridCol w:w="1504"/>
      </w:tblGrid>
      <w:tr w:rsidR="00662426" w:rsidRPr="004F416F" w:rsidTr="00453AF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5" w:type="pct"/>
            <w:hideMark/>
          </w:tcPr>
          <w:p w:rsidR="00662426" w:rsidRPr="00453AFD" w:rsidRDefault="00662426" w:rsidP="00D423BC">
            <w:pPr>
              <w:rPr>
                <w:szCs w:val="16"/>
              </w:rPr>
            </w:pPr>
            <w:r w:rsidRPr="00453AFD">
              <w:rPr>
                <w:szCs w:val="16"/>
              </w:rPr>
              <w:t> Category</w:t>
            </w:r>
          </w:p>
        </w:tc>
        <w:tc>
          <w:tcPr>
            <w:tcW w:w="867" w:type="pct"/>
            <w:hideMark/>
          </w:tcPr>
          <w:p w:rsidR="00662426" w:rsidRPr="00453AFD" w:rsidRDefault="00662426"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Proposed</w:t>
            </w:r>
          </w:p>
        </w:tc>
        <w:tc>
          <w:tcPr>
            <w:tcW w:w="867" w:type="pct"/>
            <w:hideMark/>
          </w:tcPr>
          <w:p w:rsidR="00662426" w:rsidRPr="00453AFD" w:rsidRDefault="00662426"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Approved</w:t>
            </w:r>
            <w:r w:rsidRPr="00453AFD">
              <w:rPr>
                <w:rStyle w:val="AERsuperscript"/>
                <w:szCs w:val="16"/>
              </w:rPr>
              <w:t>(a)</w:t>
            </w:r>
          </w:p>
        </w:tc>
        <w:tc>
          <w:tcPr>
            <w:tcW w:w="866" w:type="pct"/>
          </w:tcPr>
          <w:p w:rsidR="00662426" w:rsidRPr="00453AFD" w:rsidRDefault="00662426"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Difference ($millions)</w:t>
            </w:r>
          </w:p>
        </w:tc>
        <w:tc>
          <w:tcPr>
            <w:tcW w:w="865" w:type="pct"/>
          </w:tcPr>
          <w:p w:rsidR="00662426" w:rsidRPr="00453AFD" w:rsidRDefault="00662426"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Difference (%)</w:t>
            </w:r>
          </w:p>
        </w:tc>
      </w:tr>
      <w:tr w:rsidR="005F2E93" w:rsidRPr="004F416F" w:rsidTr="00453AFD">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rPr>
                <w:szCs w:val="16"/>
              </w:rPr>
            </w:pPr>
            <w:r w:rsidRPr="00453AFD">
              <w:rPr>
                <w:szCs w:val="16"/>
              </w:rPr>
              <w:t xml:space="preserve">Expansion </w:t>
            </w:r>
          </w:p>
        </w:tc>
        <w:tc>
          <w:tcPr>
            <w:tcW w:w="867" w:type="pct"/>
          </w:tcPr>
          <w:p w:rsidR="005F2E93" w:rsidRPr="00453AFD" w:rsidRDefault="00C157CC"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7" w:type="pct"/>
          </w:tcPr>
          <w:p w:rsidR="005F2E93" w:rsidRPr="00453AFD" w:rsidRDefault="00C157CC"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6" w:type="pct"/>
          </w:tcPr>
          <w:p w:rsidR="005F2E93" w:rsidRPr="00453AFD" w:rsidRDefault="00C157CC"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5" w:type="pct"/>
          </w:tcPr>
          <w:p w:rsidR="005F2E93" w:rsidRPr="00453AFD" w:rsidRDefault="00C157CC"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r>
      <w:tr w:rsidR="005F2E93" w:rsidRPr="004F416F" w:rsidTr="00453A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rPr>
                <w:szCs w:val="16"/>
              </w:rPr>
            </w:pPr>
            <w:r w:rsidRPr="00453AFD">
              <w:rPr>
                <w:szCs w:val="16"/>
              </w:rPr>
              <w:t xml:space="preserve">Replacement </w:t>
            </w:r>
          </w:p>
        </w:tc>
        <w:tc>
          <w:tcPr>
            <w:tcW w:w="867" w:type="pct"/>
          </w:tcPr>
          <w:p w:rsidR="005F2E93" w:rsidRPr="00453AFD" w:rsidRDefault="00DC5561"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453AFD">
              <w:rPr>
                <w:sz w:val="16"/>
                <w:szCs w:val="16"/>
              </w:rPr>
              <w:t>21.2</w:t>
            </w:r>
          </w:p>
        </w:tc>
        <w:tc>
          <w:tcPr>
            <w:tcW w:w="867"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18.</w:t>
            </w:r>
            <w:r w:rsidR="005F6AB8">
              <w:rPr>
                <w:sz w:val="16"/>
                <w:szCs w:val="16"/>
              </w:rPr>
              <w:t>5</w:t>
            </w:r>
          </w:p>
        </w:tc>
        <w:tc>
          <w:tcPr>
            <w:tcW w:w="866"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w:t>
            </w:r>
            <w:r w:rsidR="00A2124B">
              <w:rPr>
                <w:sz w:val="16"/>
                <w:szCs w:val="16"/>
              </w:rPr>
              <w:t>7</w:t>
            </w:r>
          </w:p>
        </w:tc>
        <w:tc>
          <w:tcPr>
            <w:tcW w:w="865"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-13%</w:t>
            </w:r>
          </w:p>
        </w:tc>
      </w:tr>
      <w:tr w:rsidR="005F2E93" w:rsidRPr="004F416F" w:rsidTr="00453AFD">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rPr>
                <w:szCs w:val="16"/>
              </w:rPr>
            </w:pPr>
            <w:r w:rsidRPr="00453AFD">
              <w:rPr>
                <w:szCs w:val="16"/>
              </w:rPr>
              <w:t>Non-system</w:t>
            </w:r>
          </w:p>
        </w:tc>
        <w:tc>
          <w:tcPr>
            <w:tcW w:w="867" w:type="pct"/>
          </w:tcPr>
          <w:p w:rsidR="005F2E93" w:rsidRPr="00453AFD" w:rsidRDefault="00DC5561"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8.7</w:t>
            </w:r>
          </w:p>
        </w:tc>
        <w:tc>
          <w:tcPr>
            <w:tcW w:w="867"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c>
          <w:tcPr>
            <w:tcW w:w="866"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A2124B">
              <w:rPr>
                <w:sz w:val="16"/>
                <w:szCs w:val="16"/>
              </w:rPr>
              <w:t>0.1</w:t>
            </w:r>
          </w:p>
        </w:tc>
        <w:tc>
          <w:tcPr>
            <w:tcW w:w="865"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A2124B">
              <w:rPr>
                <w:sz w:val="16"/>
                <w:szCs w:val="16"/>
              </w:rPr>
              <w:t>1%</w:t>
            </w:r>
          </w:p>
        </w:tc>
      </w:tr>
      <w:tr w:rsidR="005F2E93" w:rsidRPr="004F416F" w:rsidTr="00453A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rPr>
                <w:szCs w:val="16"/>
              </w:rPr>
            </w:pPr>
            <w:r w:rsidRPr="00453AFD">
              <w:rPr>
                <w:szCs w:val="16"/>
              </w:rPr>
              <w:t>GROSS TOTAL CAPITAL EXPENDITURE</w:t>
            </w:r>
          </w:p>
        </w:tc>
        <w:tc>
          <w:tcPr>
            <w:tcW w:w="867" w:type="pct"/>
          </w:tcPr>
          <w:p w:rsidR="005F2E93" w:rsidRPr="00453AFD" w:rsidRDefault="00DC5561"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453AFD">
              <w:rPr>
                <w:sz w:val="16"/>
                <w:szCs w:val="16"/>
              </w:rPr>
              <w:t>29.9</w:t>
            </w:r>
          </w:p>
        </w:tc>
        <w:tc>
          <w:tcPr>
            <w:tcW w:w="867"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27.</w:t>
            </w:r>
            <w:r w:rsidR="005F6AB8">
              <w:rPr>
                <w:sz w:val="16"/>
                <w:szCs w:val="16"/>
              </w:rPr>
              <w:t>2</w:t>
            </w:r>
          </w:p>
        </w:tc>
        <w:tc>
          <w:tcPr>
            <w:tcW w:w="866"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-2.8</w:t>
            </w:r>
          </w:p>
        </w:tc>
        <w:tc>
          <w:tcPr>
            <w:tcW w:w="865"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w:t>
            </w:r>
          </w:p>
        </w:tc>
      </w:tr>
      <w:tr w:rsidR="005F2E93" w:rsidRPr="004F416F" w:rsidTr="00453AFD">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rPr>
                <w:szCs w:val="16"/>
              </w:rPr>
            </w:pPr>
            <w:r w:rsidRPr="00453AFD">
              <w:rPr>
                <w:szCs w:val="16"/>
              </w:rPr>
              <w:t>Contributions</w:t>
            </w:r>
          </w:p>
        </w:tc>
        <w:tc>
          <w:tcPr>
            <w:tcW w:w="867"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7"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6"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5"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5F2E93" w:rsidRPr="004F416F" w:rsidTr="00453A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rPr>
                <w:szCs w:val="16"/>
              </w:rPr>
            </w:pPr>
            <w:r w:rsidRPr="00453AFD">
              <w:rPr>
                <w:szCs w:val="16"/>
              </w:rPr>
              <w:t>Asset disposals</w:t>
            </w:r>
          </w:p>
        </w:tc>
        <w:tc>
          <w:tcPr>
            <w:tcW w:w="867"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867"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0.7</w:t>
            </w:r>
          </w:p>
        </w:tc>
        <w:tc>
          <w:tcPr>
            <w:tcW w:w="866" w:type="pct"/>
          </w:tcPr>
          <w:p w:rsidR="005F2E93" w:rsidRPr="00453AFD" w:rsidRDefault="00453AFD"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0.7</w:t>
            </w:r>
          </w:p>
        </w:tc>
        <w:tc>
          <w:tcPr>
            <w:tcW w:w="865" w:type="pct"/>
          </w:tcPr>
          <w:p w:rsidR="005F2E93" w:rsidRPr="00453AFD" w:rsidRDefault="006D5B26"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r>
      <w:tr w:rsidR="005F2E93" w:rsidRPr="004F416F" w:rsidTr="00453AFD">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5F2E93" w:rsidRPr="00453AFD" w:rsidRDefault="005F2E93" w:rsidP="00D423BC">
            <w:pPr>
              <w:spacing w:before="0"/>
              <w:rPr>
                <w:rStyle w:val="AERsuperscript"/>
                <w:szCs w:val="16"/>
              </w:rPr>
            </w:pPr>
            <w:r w:rsidRPr="00453AFD">
              <w:rPr>
                <w:szCs w:val="16"/>
              </w:rPr>
              <w:t>NET TOTAL CAPITAL EXPENDITURE</w:t>
            </w:r>
            <w:r w:rsidRPr="00453AFD">
              <w:rPr>
                <w:rStyle w:val="AERsuperscript"/>
                <w:szCs w:val="16"/>
              </w:rPr>
              <w:t>)</w:t>
            </w:r>
          </w:p>
        </w:tc>
        <w:tc>
          <w:tcPr>
            <w:tcW w:w="867" w:type="pct"/>
          </w:tcPr>
          <w:p w:rsidR="005F2E93" w:rsidRPr="00453AFD" w:rsidRDefault="00DC5561"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29.9</w:t>
            </w:r>
          </w:p>
        </w:tc>
        <w:tc>
          <w:tcPr>
            <w:tcW w:w="867"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26.5</w:t>
            </w:r>
          </w:p>
        </w:tc>
        <w:tc>
          <w:tcPr>
            <w:tcW w:w="866"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w:t>
            </w:r>
          </w:p>
        </w:tc>
        <w:tc>
          <w:tcPr>
            <w:tcW w:w="865" w:type="pct"/>
          </w:tcPr>
          <w:p w:rsidR="005F2E93" w:rsidRPr="00453AFD" w:rsidRDefault="00453AFD"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r w:rsidR="00A2124B">
              <w:rPr>
                <w:sz w:val="16"/>
                <w:szCs w:val="16"/>
              </w:rPr>
              <w:t>1</w:t>
            </w:r>
            <w:r>
              <w:rPr>
                <w:sz w:val="16"/>
                <w:szCs w:val="16"/>
              </w:rPr>
              <w:t>%</w:t>
            </w:r>
          </w:p>
        </w:tc>
      </w:tr>
    </w:tbl>
    <w:p w:rsidR="00662426" w:rsidRDefault="00662426" w:rsidP="00662426">
      <w:pPr>
        <w:pStyle w:val="AERtablesource"/>
      </w:pPr>
      <w:r w:rsidRPr="00DE44F6">
        <w:t>Source:</w:t>
      </w:r>
      <w:r w:rsidRPr="00DE44F6">
        <w:tab/>
        <w:t>AER analysis.</w:t>
      </w:r>
    </w:p>
    <w:p w:rsidR="00662426" w:rsidRPr="00A2124B" w:rsidRDefault="00662426" w:rsidP="00662426">
      <w:pPr>
        <w:pStyle w:val="AERtablesource"/>
      </w:pPr>
      <w:r w:rsidRPr="00A91109">
        <w:t>Note:</w:t>
      </w:r>
      <w:r w:rsidRPr="00A91109">
        <w:tab/>
        <w:t xml:space="preserve">(a) </w:t>
      </w:r>
      <w:r w:rsidRPr="00A2124B">
        <w:t>Including AER labour escalation adjustments.</w:t>
      </w:r>
    </w:p>
    <w:p w:rsidR="00662426" w:rsidRDefault="00662426" w:rsidP="00662426">
      <w:pPr>
        <w:numPr>
          <w:ilvl w:val="0"/>
          <w:numId w:val="24"/>
        </w:numPr>
        <w:spacing w:before="0" w:after="240" w:line="288" w:lineRule="auto"/>
        <w:jc w:val="both"/>
      </w:pPr>
      <w:r w:rsidRPr="00D5082B">
        <w:t xml:space="preserve">The reasons for </w:t>
      </w:r>
      <w:r w:rsidR="008B5C51">
        <w:t xml:space="preserve">the difference between APTNT’s proposal and our draft decision </w:t>
      </w:r>
      <w:r w:rsidRPr="00D5082B">
        <w:t>are:</w:t>
      </w:r>
    </w:p>
    <w:p w:rsidR="004241B0" w:rsidRDefault="0046531F" w:rsidP="00702FC2">
      <w:pPr>
        <w:pStyle w:val="AERbulletlistfirststyle"/>
      </w:pPr>
      <w:r>
        <w:t xml:space="preserve">we are not satisfied that forecast capex for the Channel Island bridge project is such as would be incurred by a prudent service provider acting efficiently to achieve the lowest sustainable cost of providing services. </w:t>
      </w:r>
      <w:r w:rsidRPr="0046531F">
        <w:t xml:space="preserve">We consider that forecast capex of $1.1 million </w:t>
      </w:r>
      <w:r w:rsidR="000F79A5">
        <w:t xml:space="preserve">rather than </w:t>
      </w:r>
      <w:r w:rsidR="008B5C51">
        <w:t xml:space="preserve">the proposed </w:t>
      </w:r>
      <w:r w:rsidR="000F79A5">
        <w:t xml:space="preserve">$10.9 million </w:t>
      </w:r>
      <w:r w:rsidRPr="0046531F">
        <w:t>is a reasonable estimate of conforming capex for this project</w:t>
      </w:r>
      <w:r w:rsidR="0033139B">
        <w:t>, as discussed in section </w:t>
      </w:r>
      <w:r w:rsidR="00F11395">
        <w:fldChar w:fldCharType="begin"/>
      </w:r>
      <w:r w:rsidR="00F11395">
        <w:instrText xml:space="preserve"> REF _Ref433961344 \r \h </w:instrText>
      </w:r>
      <w:r w:rsidR="00F11395">
        <w:fldChar w:fldCharType="separate"/>
      </w:r>
      <w:r w:rsidR="00F65E22">
        <w:t>6.4.2</w:t>
      </w:r>
      <w:r w:rsidR="00F11395">
        <w:fldChar w:fldCharType="end"/>
      </w:r>
      <w:r w:rsidRPr="0046531F">
        <w:t>.</w:t>
      </w:r>
    </w:p>
    <w:p w:rsidR="00A2124B" w:rsidRDefault="0046531F" w:rsidP="00702FC2">
      <w:pPr>
        <w:pStyle w:val="AERbulletlistfirststyle"/>
      </w:pPr>
      <w:r>
        <w:t xml:space="preserve">APTNT has not accounted for the proceeds from expected disposals of motor vehicle assets in the </w:t>
      </w:r>
      <w:r w:rsidR="006A555A">
        <w:t>2016–21</w:t>
      </w:r>
      <w:r>
        <w:t xml:space="preserve"> access arrangement period</w:t>
      </w:r>
    </w:p>
    <w:p w:rsidR="00A2124B" w:rsidRDefault="00A2124B" w:rsidP="00702FC2">
      <w:pPr>
        <w:pStyle w:val="AERbulletlistfirststyle"/>
      </w:pPr>
      <w:r>
        <w:t xml:space="preserve">as discussed in attachment </w:t>
      </w:r>
      <w:r w:rsidR="008B5C51">
        <w:t>7</w:t>
      </w:r>
      <w:r>
        <w:t>, we have not accepted APTNT’s forecast of real labour cost escalation</w:t>
      </w:r>
    </w:p>
    <w:p w:rsidR="0046531F" w:rsidRPr="00702FC2" w:rsidRDefault="00A2124B" w:rsidP="00702FC2">
      <w:pPr>
        <w:pStyle w:val="AERbulletlistfirststyle"/>
      </w:pPr>
      <w:proofErr w:type="gramStart"/>
      <w:r>
        <w:t>we</w:t>
      </w:r>
      <w:proofErr w:type="gramEnd"/>
      <w:r>
        <w:t xml:space="preserve"> have deferred </w:t>
      </w:r>
      <w:r w:rsidRPr="00A2124B">
        <w:t>$7.0 million of APTNT’s estimated capex for the belowground station pipework recoating project in the 2015</w:t>
      </w:r>
      <w:r w:rsidR="000B70FD">
        <w:t>–</w:t>
      </w:r>
      <w:r w:rsidRPr="00A2124B">
        <w:t xml:space="preserve">16 year </w:t>
      </w:r>
      <w:r w:rsidR="00D177B1">
        <w:t>in</w:t>
      </w:r>
      <w:r w:rsidRPr="00A2124B">
        <w:t>to the 2016–21 access arrangement period.</w:t>
      </w:r>
    </w:p>
    <w:p w:rsidR="009A5113" w:rsidRDefault="00FF6DD8" w:rsidP="009A5113">
      <w:pPr>
        <w:pStyle w:val="Heading2"/>
      </w:pPr>
      <w:bookmarkStart w:id="18" w:name="_Toc436042749"/>
      <w:r>
        <w:t>APTNT’s</w:t>
      </w:r>
      <w:r w:rsidR="005C0A7F">
        <w:t xml:space="preserve"> proposal</w:t>
      </w:r>
      <w:bookmarkEnd w:id="18"/>
    </w:p>
    <w:p w:rsidR="004E4E86" w:rsidRDefault="009E13EA" w:rsidP="00AB1037">
      <w:pPr>
        <w:pStyle w:val="HeadingBoldBlue"/>
        <w:keepNext/>
      </w:pPr>
      <w:r>
        <w:t xml:space="preserve">Capital expenditure over the </w:t>
      </w:r>
      <w:r w:rsidR="006A555A">
        <w:t>2011–16</w:t>
      </w:r>
      <w:r>
        <w:t xml:space="preserve"> access arrangement period </w:t>
      </w:r>
    </w:p>
    <w:p w:rsidR="009E13EA" w:rsidRDefault="009E13EA" w:rsidP="00452867">
      <w:r>
        <w:t xml:space="preserve">APTNT </w:t>
      </w:r>
      <w:r w:rsidR="006D5B26">
        <w:t xml:space="preserve">proposed </w:t>
      </w:r>
      <w:r w:rsidRPr="005E1F06">
        <w:t xml:space="preserve">total </w:t>
      </w:r>
      <w:r w:rsidR="005651F5">
        <w:t xml:space="preserve">conforming </w:t>
      </w:r>
      <w:r w:rsidR="00B37996">
        <w:t xml:space="preserve">net </w:t>
      </w:r>
      <w:r w:rsidRPr="005E1F06">
        <w:t>capex of $</w:t>
      </w:r>
      <w:r w:rsidR="006D5B26">
        <w:t>44.</w:t>
      </w:r>
      <w:r w:rsidR="00B37996">
        <w:t>4</w:t>
      </w:r>
      <w:r w:rsidRPr="005E1F06">
        <w:t xml:space="preserve"> million ($201</w:t>
      </w:r>
      <w:r w:rsidR="005651F5">
        <w:t>5</w:t>
      </w:r>
      <w:r w:rsidR="000B70FD">
        <w:t>–</w:t>
      </w:r>
      <w:r w:rsidR="005651F5">
        <w:t>16</w:t>
      </w:r>
      <w:r w:rsidRPr="005E1F06">
        <w:t xml:space="preserve">) for </w:t>
      </w:r>
      <w:r w:rsidR="00934788">
        <w:t>the 2011</w:t>
      </w:r>
      <w:r w:rsidR="000B70FD">
        <w:t>–</w:t>
      </w:r>
      <w:r w:rsidR="00934788">
        <w:t>1</w:t>
      </w:r>
      <w:r w:rsidR="00556F25">
        <w:t>6</w:t>
      </w:r>
      <w:r w:rsidR="00934788">
        <w:t xml:space="preserve"> </w:t>
      </w:r>
      <w:r w:rsidR="006B7D10">
        <w:t xml:space="preserve">access arrangement </w:t>
      </w:r>
      <w:proofErr w:type="gramStart"/>
      <w:r w:rsidR="00934788">
        <w:t>period</w:t>
      </w:r>
      <w:proofErr w:type="gramEnd"/>
      <w:r w:rsidRPr="005E1F06">
        <w:t>.</w:t>
      </w:r>
      <w:r w:rsidR="00934788">
        <w:rPr>
          <w:rStyle w:val="FootnoteReference"/>
        </w:rPr>
        <w:footnoteReference w:id="2"/>
      </w:r>
      <w:r w:rsidRPr="005E1F06">
        <w:t xml:space="preserve"> This is </w:t>
      </w:r>
      <w:r w:rsidR="005651F5">
        <w:t>9</w:t>
      </w:r>
      <w:r w:rsidR="00B47DEC">
        <w:t>0</w:t>
      </w:r>
      <w:r w:rsidRPr="005E1F06">
        <w:t xml:space="preserve"> per cent </w:t>
      </w:r>
      <w:r>
        <w:t>above</w:t>
      </w:r>
      <w:r w:rsidRPr="005E1F06">
        <w:t xml:space="preserve"> the approved </w:t>
      </w:r>
      <w:r w:rsidR="007106FF">
        <w:t xml:space="preserve">forecast </w:t>
      </w:r>
      <w:r>
        <w:t xml:space="preserve">for the </w:t>
      </w:r>
      <w:r w:rsidR="006A555A">
        <w:t>2011–16</w:t>
      </w:r>
      <w:r>
        <w:t xml:space="preserve"> access arrangement period</w:t>
      </w:r>
      <w:r w:rsidRPr="005E1F06">
        <w:t>.</w:t>
      </w:r>
      <w:r w:rsidR="003F677D">
        <w:t xml:space="preserve"> </w:t>
      </w:r>
    </w:p>
    <w:p w:rsidR="003F677D" w:rsidRDefault="00381B88" w:rsidP="00381B88">
      <w:pPr>
        <w:pStyle w:val="Caption"/>
      </w:pPr>
      <w:proofErr w:type="gramStart"/>
      <w:r>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t>.</w:t>
      </w:r>
      <w:proofErr w:type="gramEnd"/>
      <w:r w:rsidR="002C6AAE">
        <w:fldChar w:fldCharType="begin"/>
      </w:r>
      <w:r w:rsidR="002C6AAE">
        <w:instrText xml:space="preserve"> SEQ Table \* ARABIC \s 1 </w:instrText>
      </w:r>
      <w:r w:rsidR="002C6AAE">
        <w:fldChar w:fldCharType="separate"/>
      </w:r>
      <w:r w:rsidR="00F65E22">
        <w:rPr>
          <w:noProof/>
        </w:rPr>
        <w:t>5</w:t>
      </w:r>
      <w:r w:rsidR="002C6AAE">
        <w:rPr>
          <w:noProof/>
        </w:rPr>
        <w:fldChar w:fldCharType="end"/>
      </w:r>
      <w:r w:rsidR="003F677D">
        <w:tab/>
        <w:t>APTNT’s proposed capi</w:t>
      </w:r>
      <w:r w:rsidR="0093374B">
        <w:t>tal expenditure over the 2011</w:t>
      </w:r>
      <w:r w:rsidR="000B70FD">
        <w:t>–</w:t>
      </w:r>
      <w:r w:rsidR="0093374B">
        <w:t>16</w:t>
      </w:r>
      <w:r w:rsidR="003F677D">
        <w:t xml:space="preserve"> access arrangement period</w:t>
      </w:r>
      <w:r w:rsidR="003F677D" w:rsidRPr="00EB0E3D">
        <w:t xml:space="preserve"> ($million, 201</w:t>
      </w:r>
      <w:r w:rsidR="00D82FE0">
        <w:t>5</w:t>
      </w:r>
      <w:r w:rsidR="000B70FD">
        <w:t>–</w:t>
      </w:r>
      <w:r w:rsidR="00D82FE0">
        <w:t>16</w:t>
      </w:r>
      <w:r w:rsidR="003F677D" w:rsidRPr="00EB0E3D">
        <w:t>)</w:t>
      </w:r>
    </w:p>
    <w:tbl>
      <w:tblPr>
        <w:tblStyle w:val="AERtable-numbers"/>
        <w:tblW w:w="4954" w:type="pct"/>
        <w:tblLook w:val="04A0" w:firstRow="1" w:lastRow="0" w:firstColumn="1" w:lastColumn="0" w:noHBand="0" w:noVBand="1"/>
      </w:tblPr>
      <w:tblGrid>
        <w:gridCol w:w="2237"/>
        <w:gridCol w:w="1063"/>
        <w:gridCol w:w="1063"/>
        <w:gridCol w:w="1063"/>
        <w:gridCol w:w="1063"/>
        <w:gridCol w:w="1063"/>
        <w:gridCol w:w="1061"/>
      </w:tblGrid>
      <w:tr w:rsidR="005651F5" w:rsidRPr="004F416F" w:rsidTr="00B6498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99" w:type="pct"/>
            <w:hideMark/>
          </w:tcPr>
          <w:p w:rsidR="005651F5" w:rsidRPr="005651F5" w:rsidRDefault="005651F5" w:rsidP="00D423BC">
            <w:pPr>
              <w:rPr>
                <w:szCs w:val="16"/>
              </w:rPr>
            </w:pPr>
            <w:r w:rsidRPr="005651F5">
              <w:rPr>
                <w:szCs w:val="16"/>
              </w:rPr>
              <w:t> Category</w:t>
            </w:r>
          </w:p>
        </w:tc>
        <w:tc>
          <w:tcPr>
            <w:tcW w:w="617" w:type="pct"/>
            <w:hideMark/>
          </w:tcPr>
          <w:p w:rsidR="005651F5" w:rsidRPr="005651F5" w:rsidRDefault="005651F5" w:rsidP="00CA0D07">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5651F5">
              <w:rPr>
                <w:sz w:val="16"/>
                <w:szCs w:val="16"/>
              </w:rPr>
              <w:t>2011-12</w:t>
            </w:r>
          </w:p>
        </w:tc>
        <w:tc>
          <w:tcPr>
            <w:tcW w:w="617" w:type="pct"/>
            <w:hideMark/>
          </w:tcPr>
          <w:p w:rsidR="005651F5" w:rsidRPr="005651F5" w:rsidRDefault="005651F5" w:rsidP="00CA0D07">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5651F5">
              <w:rPr>
                <w:sz w:val="16"/>
                <w:szCs w:val="16"/>
              </w:rPr>
              <w:t>2012-13</w:t>
            </w:r>
          </w:p>
        </w:tc>
        <w:tc>
          <w:tcPr>
            <w:tcW w:w="617" w:type="pct"/>
            <w:hideMark/>
          </w:tcPr>
          <w:p w:rsidR="005651F5" w:rsidRPr="005651F5" w:rsidRDefault="005651F5" w:rsidP="00CA0D07">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5651F5">
              <w:rPr>
                <w:sz w:val="16"/>
                <w:szCs w:val="16"/>
              </w:rPr>
              <w:t>2013-14</w:t>
            </w:r>
          </w:p>
        </w:tc>
        <w:tc>
          <w:tcPr>
            <w:tcW w:w="617" w:type="pct"/>
            <w:hideMark/>
          </w:tcPr>
          <w:p w:rsidR="005651F5" w:rsidRPr="005651F5" w:rsidRDefault="005651F5" w:rsidP="00CA0D07">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5651F5">
              <w:rPr>
                <w:sz w:val="16"/>
                <w:szCs w:val="16"/>
              </w:rPr>
              <w:t>2014-15</w:t>
            </w:r>
          </w:p>
        </w:tc>
        <w:tc>
          <w:tcPr>
            <w:tcW w:w="617" w:type="pct"/>
            <w:hideMark/>
          </w:tcPr>
          <w:p w:rsidR="005651F5" w:rsidRPr="005651F5" w:rsidRDefault="005651F5" w:rsidP="00CA0D07">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5651F5">
              <w:rPr>
                <w:sz w:val="16"/>
                <w:szCs w:val="16"/>
              </w:rPr>
              <w:t>2015-16</w:t>
            </w:r>
          </w:p>
        </w:tc>
        <w:tc>
          <w:tcPr>
            <w:tcW w:w="616" w:type="pct"/>
          </w:tcPr>
          <w:p w:rsidR="005651F5" w:rsidRPr="005651F5" w:rsidRDefault="005651F5" w:rsidP="00CA0D07">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Total</w:t>
            </w:r>
          </w:p>
        </w:tc>
      </w:tr>
      <w:tr w:rsidR="005651F5"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299" w:type="pct"/>
          </w:tcPr>
          <w:p w:rsidR="005651F5" w:rsidRPr="005651F5" w:rsidRDefault="005651F5" w:rsidP="00D423BC">
            <w:pPr>
              <w:rPr>
                <w:szCs w:val="16"/>
              </w:rPr>
            </w:pPr>
            <w:r w:rsidRPr="005651F5">
              <w:rPr>
                <w:szCs w:val="16"/>
              </w:rPr>
              <w:t>Expansion</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0.0</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0.8</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0.6</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0.1</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0.0</w:t>
            </w:r>
          </w:p>
        </w:tc>
        <w:tc>
          <w:tcPr>
            <w:tcW w:w="616"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r>
      <w:tr w:rsidR="005651F5" w:rsidRPr="004F416F" w:rsidTr="00B649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tcPr>
          <w:p w:rsidR="005651F5" w:rsidRPr="005651F5" w:rsidRDefault="005651F5" w:rsidP="00140D62">
            <w:pPr>
              <w:rPr>
                <w:szCs w:val="16"/>
              </w:rPr>
            </w:pPr>
            <w:r w:rsidRPr="005651F5">
              <w:rPr>
                <w:szCs w:val="16"/>
              </w:rPr>
              <w:t>Replacement</w:t>
            </w:r>
          </w:p>
        </w:tc>
        <w:tc>
          <w:tcPr>
            <w:tcW w:w="617" w:type="pct"/>
          </w:tcPr>
          <w:p w:rsidR="005651F5" w:rsidRPr="005651F5" w:rsidRDefault="005651F5"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5651F5">
              <w:rPr>
                <w:sz w:val="16"/>
                <w:szCs w:val="16"/>
              </w:rPr>
              <w:t>4.3</w:t>
            </w:r>
          </w:p>
        </w:tc>
        <w:tc>
          <w:tcPr>
            <w:tcW w:w="617" w:type="pct"/>
          </w:tcPr>
          <w:p w:rsidR="005651F5" w:rsidRPr="005651F5" w:rsidRDefault="005651F5"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5651F5">
              <w:rPr>
                <w:sz w:val="16"/>
                <w:szCs w:val="16"/>
              </w:rPr>
              <w:t>14.6</w:t>
            </w:r>
          </w:p>
        </w:tc>
        <w:tc>
          <w:tcPr>
            <w:tcW w:w="617" w:type="pct"/>
          </w:tcPr>
          <w:p w:rsidR="005651F5" w:rsidRPr="005651F5" w:rsidRDefault="005651F5"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5651F5">
              <w:rPr>
                <w:sz w:val="16"/>
                <w:szCs w:val="16"/>
              </w:rPr>
              <w:t>2.2</w:t>
            </w:r>
          </w:p>
        </w:tc>
        <w:tc>
          <w:tcPr>
            <w:tcW w:w="617" w:type="pct"/>
          </w:tcPr>
          <w:p w:rsidR="005651F5" w:rsidRPr="005651F5" w:rsidRDefault="005651F5"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5651F5">
              <w:rPr>
                <w:sz w:val="16"/>
                <w:szCs w:val="16"/>
              </w:rPr>
              <w:t>2.3</w:t>
            </w:r>
          </w:p>
        </w:tc>
        <w:tc>
          <w:tcPr>
            <w:tcW w:w="617" w:type="pct"/>
          </w:tcPr>
          <w:p w:rsidR="005651F5" w:rsidRPr="005651F5" w:rsidRDefault="005651F5"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5651F5">
              <w:rPr>
                <w:sz w:val="16"/>
                <w:szCs w:val="16"/>
              </w:rPr>
              <w:t>12.5</w:t>
            </w:r>
          </w:p>
        </w:tc>
        <w:tc>
          <w:tcPr>
            <w:tcW w:w="616" w:type="pct"/>
          </w:tcPr>
          <w:p w:rsidR="005651F5" w:rsidRPr="005651F5" w:rsidRDefault="005651F5"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35.8</w:t>
            </w:r>
          </w:p>
        </w:tc>
      </w:tr>
      <w:tr w:rsidR="005651F5"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299" w:type="pct"/>
          </w:tcPr>
          <w:p w:rsidR="005651F5" w:rsidRPr="005651F5" w:rsidRDefault="005651F5" w:rsidP="00140D62">
            <w:pPr>
              <w:rPr>
                <w:szCs w:val="16"/>
              </w:rPr>
            </w:pPr>
            <w:r w:rsidRPr="005651F5">
              <w:rPr>
                <w:szCs w:val="16"/>
              </w:rPr>
              <w:t>Non-system</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0.2</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1.6</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1.6</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1.9</w:t>
            </w:r>
          </w:p>
        </w:tc>
        <w:tc>
          <w:tcPr>
            <w:tcW w:w="617"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5651F5">
              <w:rPr>
                <w:sz w:val="16"/>
                <w:szCs w:val="16"/>
              </w:rPr>
              <w:t>2.4</w:t>
            </w:r>
          </w:p>
        </w:tc>
        <w:tc>
          <w:tcPr>
            <w:tcW w:w="616" w:type="pct"/>
          </w:tcPr>
          <w:p w:rsidR="005651F5" w:rsidRPr="005651F5" w:rsidRDefault="005651F5"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7.6</w:t>
            </w:r>
          </w:p>
        </w:tc>
      </w:tr>
      <w:tr w:rsidR="002C6C62" w:rsidRPr="004F416F" w:rsidTr="00B649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tcPr>
          <w:p w:rsidR="002C6C62" w:rsidRDefault="002C6C62" w:rsidP="00D423BC">
            <w:pPr>
              <w:rPr>
                <w:szCs w:val="16"/>
              </w:rPr>
            </w:pPr>
            <w:r>
              <w:rPr>
                <w:szCs w:val="16"/>
              </w:rPr>
              <w:t>GROSS TOTAL CAPITAL EXPENDITURE</w:t>
            </w:r>
          </w:p>
        </w:tc>
        <w:tc>
          <w:tcPr>
            <w:tcW w:w="617" w:type="pct"/>
          </w:tcPr>
          <w:p w:rsidR="002C6C62" w:rsidRPr="005651F5" w:rsidRDefault="002C6C62"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4.5</w:t>
            </w:r>
          </w:p>
        </w:tc>
        <w:tc>
          <w:tcPr>
            <w:tcW w:w="617" w:type="pct"/>
          </w:tcPr>
          <w:p w:rsidR="002C6C62" w:rsidRPr="005651F5" w:rsidRDefault="002C6C62"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17.0</w:t>
            </w:r>
          </w:p>
        </w:tc>
        <w:tc>
          <w:tcPr>
            <w:tcW w:w="617" w:type="pct"/>
          </w:tcPr>
          <w:p w:rsidR="002C6C62" w:rsidRPr="005651F5" w:rsidRDefault="002C6C62"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4.3</w:t>
            </w:r>
          </w:p>
        </w:tc>
        <w:tc>
          <w:tcPr>
            <w:tcW w:w="617" w:type="pct"/>
          </w:tcPr>
          <w:p w:rsidR="002C6C62" w:rsidRPr="005651F5" w:rsidRDefault="002C6C62"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4.2</w:t>
            </w:r>
          </w:p>
        </w:tc>
        <w:tc>
          <w:tcPr>
            <w:tcW w:w="617" w:type="pct"/>
          </w:tcPr>
          <w:p w:rsidR="002C6C62" w:rsidRPr="005651F5" w:rsidRDefault="002C6C62"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14.9</w:t>
            </w:r>
          </w:p>
        </w:tc>
        <w:tc>
          <w:tcPr>
            <w:tcW w:w="616" w:type="pct"/>
          </w:tcPr>
          <w:p w:rsidR="002C6C62" w:rsidRDefault="002C6C62"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44.8</w:t>
            </w:r>
          </w:p>
        </w:tc>
      </w:tr>
      <w:tr w:rsidR="002C6C62"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299" w:type="pct"/>
          </w:tcPr>
          <w:p w:rsidR="002C6C62" w:rsidRDefault="002C6C62" w:rsidP="002C6C62">
            <w:pPr>
              <w:rPr>
                <w:szCs w:val="16"/>
              </w:rPr>
            </w:pPr>
            <w:r>
              <w:rPr>
                <w:szCs w:val="16"/>
              </w:rPr>
              <w:t>Contributions</w:t>
            </w:r>
          </w:p>
        </w:tc>
        <w:tc>
          <w:tcPr>
            <w:tcW w:w="617" w:type="pct"/>
          </w:tcPr>
          <w:p w:rsidR="002C6C62" w:rsidRPr="005651F5" w:rsidRDefault="002C6C62"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17" w:type="pct"/>
          </w:tcPr>
          <w:p w:rsidR="002C6C62" w:rsidRPr="005651F5" w:rsidRDefault="002C6C62"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17" w:type="pct"/>
          </w:tcPr>
          <w:p w:rsidR="002C6C62" w:rsidRPr="005651F5" w:rsidRDefault="002C6C62"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17" w:type="pct"/>
          </w:tcPr>
          <w:p w:rsidR="002C6C62" w:rsidRPr="005651F5" w:rsidRDefault="002C6C62"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17" w:type="pct"/>
          </w:tcPr>
          <w:p w:rsidR="002C6C62" w:rsidRPr="005651F5" w:rsidRDefault="002C6C62"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16" w:type="pct"/>
          </w:tcPr>
          <w:p w:rsidR="002C6C62" w:rsidRDefault="002C6C62"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6478AA" w:rsidRPr="004F416F" w:rsidTr="00B649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tcPr>
          <w:p w:rsidR="006478AA" w:rsidRDefault="006478AA" w:rsidP="002C6C62">
            <w:pPr>
              <w:rPr>
                <w:szCs w:val="16"/>
              </w:rPr>
            </w:pPr>
            <w:r>
              <w:rPr>
                <w:szCs w:val="16"/>
              </w:rPr>
              <w:t>Asset disposals</w:t>
            </w:r>
          </w:p>
        </w:tc>
        <w:tc>
          <w:tcPr>
            <w:tcW w:w="617" w:type="pct"/>
          </w:tcPr>
          <w:p w:rsidR="006478AA" w:rsidRDefault="006478AA"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17" w:type="pct"/>
          </w:tcPr>
          <w:p w:rsidR="006478AA" w:rsidRDefault="006478AA"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A67508">
              <w:rPr>
                <w:sz w:val="16"/>
                <w:szCs w:val="16"/>
              </w:rPr>
              <w:t>0.0</w:t>
            </w:r>
          </w:p>
        </w:tc>
        <w:tc>
          <w:tcPr>
            <w:tcW w:w="617" w:type="pct"/>
          </w:tcPr>
          <w:p w:rsidR="006478AA" w:rsidRDefault="006478AA"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A67508">
              <w:rPr>
                <w:sz w:val="16"/>
                <w:szCs w:val="16"/>
              </w:rPr>
              <w:t>0.</w:t>
            </w:r>
            <w:r>
              <w:rPr>
                <w:sz w:val="16"/>
                <w:szCs w:val="16"/>
              </w:rPr>
              <w:t>3</w:t>
            </w:r>
          </w:p>
        </w:tc>
        <w:tc>
          <w:tcPr>
            <w:tcW w:w="617" w:type="pct"/>
          </w:tcPr>
          <w:p w:rsidR="006478AA" w:rsidRDefault="006478AA"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A67508">
              <w:rPr>
                <w:sz w:val="16"/>
                <w:szCs w:val="16"/>
              </w:rPr>
              <w:t>0.</w:t>
            </w:r>
            <w:r>
              <w:rPr>
                <w:sz w:val="16"/>
                <w:szCs w:val="16"/>
              </w:rPr>
              <w:t>1</w:t>
            </w:r>
          </w:p>
        </w:tc>
        <w:tc>
          <w:tcPr>
            <w:tcW w:w="617" w:type="pct"/>
          </w:tcPr>
          <w:p w:rsidR="006478AA" w:rsidRDefault="006478AA"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16" w:type="pct"/>
          </w:tcPr>
          <w:p w:rsidR="006478AA" w:rsidRDefault="006478AA" w:rsidP="00140D62">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0.4</w:t>
            </w:r>
          </w:p>
        </w:tc>
      </w:tr>
      <w:tr w:rsidR="006478AA"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299" w:type="pct"/>
            <w:hideMark/>
          </w:tcPr>
          <w:p w:rsidR="006478AA" w:rsidRPr="005651F5" w:rsidRDefault="006478AA" w:rsidP="00D423BC">
            <w:pPr>
              <w:rPr>
                <w:szCs w:val="16"/>
              </w:rPr>
            </w:pPr>
            <w:r>
              <w:rPr>
                <w:szCs w:val="16"/>
              </w:rPr>
              <w:t>NET CAPITAL EXPENDITURE</w:t>
            </w:r>
          </w:p>
        </w:tc>
        <w:tc>
          <w:tcPr>
            <w:tcW w:w="617" w:type="pct"/>
          </w:tcPr>
          <w:p w:rsidR="006478AA" w:rsidRPr="005651F5" w:rsidRDefault="006478AA"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w:t>
            </w:r>
          </w:p>
        </w:tc>
        <w:tc>
          <w:tcPr>
            <w:tcW w:w="617" w:type="pct"/>
          </w:tcPr>
          <w:p w:rsidR="006478AA" w:rsidRPr="005651F5" w:rsidRDefault="006478AA"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17.0</w:t>
            </w:r>
          </w:p>
        </w:tc>
        <w:tc>
          <w:tcPr>
            <w:tcW w:w="617" w:type="pct"/>
          </w:tcPr>
          <w:p w:rsidR="006478AA" w:rsidRPr="005651F5" w:rsidRDefault="006478AA"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tc>
        <w:tc>
          <w:tcPr>
            <w:tcW w:w="617" w:type="pct"/>
          </w:tcPr>
          <w:p w:rsidR="006478AA" w:rsidRPr="005651F5" w:rsidRDefault="006478AA"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4.1</w:t>
            </w:r>
          </w:p>
        </w:tc>
        <w:tc>
          <w:tcPr>
            <w:tcW w:w="617" w:type="pct"/>
          </w:tcPr>
          <w:p w:rsidR="006478AA" w:rsidRPr="005651F5" w:rsidRDefault="00993FA3"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14.9</w:t>
            </w:r>
          </w:p>
        </w:tc>
        <w:tc>
          <w:tcPr>
            <w:tcW w:w="616" w:type="pct"/>
          </w:tcPr>
          <w:p w:rsidR="006478AA" w:rsidRPr="005651F5" w:rsidRDefault="006478AA" w:rsidP="00140D62">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44.4</w:t>
            </w:r>
          </w:p>
        </w:tc>
      </w:tr>
    </w:tbl>
    <w:p w:rsidR="003F677D" w:rsidRDefault="005651F5" w:rsidP="00B64986">
      <w:pPr>
        <w:pStyle w:val="AERtablesource"/>
      </w:pPr>
      <w:r>
        <w:t>Source:</w:t>
      </w:r>
      <w:r>
        <w:tab/>
      </w:r>
      <w:r w:rsidRPr="00B47DEC">
        <w:t>APTNT</w:t>
      </w:r>
      <w:r w:rsidR="003F5252">
        <w:t>,</w:t>
      </w:r>
      <w:r w:rsidR="003F677D" w:rsidRPr="00DE44F6">
        <w:t xml:space="preserve"> </w:t>
      </w:r>
      <w:r w:rsidR="00F9442F" w:rsidRPr="00F9442F">
        <w:rPr>
          <w:rStyle w:val="AERtextitalic"/>
        </w:rPr>
        <w:t xml:space="preserve">Attachment </w:t>
      </w:r>
      <w:r>
        <w:rPr>
          <w:rStyle w:val="AERtextitalic"/>
        </w:rPr>
        <w:t>B-6 Supporting model – Capital expenditure</w:t>
      </w:r>
      <w:r>
        <w:t>, August 2015</w:t>
      </w:r>
      <w:r w:rsidR="00993FA3">
        <w:t xml:space="preserve">; </w:t>
      </w:r>
      <w:r w:rsidR="00993FA3" w:rsidRPr="00B47DEC">
        <w:t>APTNT</w:t>
      </w:r>
      <w:r w:rsidR="00993FA3" w:rsidRPr="00993FA3">
        <w:t xml:space="preserve">, </w:t>
      </w:r>
      <w:r w:rsidR="00993FA3" w:rsidRPr="00B64986">
        <w:rPr>
          <w:rStyle w:val="AERtextitalic"/>
        </w:rPr>
        <w:t>Access Arrangement Revision Proposal Submission</w:t>
      </w:r>
      <w:r w:rsidR="00993FA3" w:rsidRPr="00993FA3">
        <w:t>, August 2015</w:t>
      </w:r>
      <w:r w:rsidR="00993FA3">
        <w:t>, p. 96; AER analysis.</w:t>
      </w:r>
    </w:p>
    <w:p w:rsidR="00A12F33" w:rsidRDefault="00556F25" w:rsidP="00C9745C">
      <w:pPr>
        <w:pStyle w:val="HeadingBoldBlue"/>
        <w:keepNext/>
      </w:pPr>
      <w:r>
        <w:t xml:space="preserve">Proposed capital expenditure </w:t>
      </w:r>
      <w:r w:rsidR="006D5B26">
        <w:t xml:space="preserve">for the </w:t>
      </w:r>
      <w:r>
        <w:t>201</w:t>
      </w:r>
      <w:r w:rsidR="0093374B">
        <w:t>6</w:t>
      </w:r>
      <w:r w:rsidR="000B70FD">
        <w:t>–</w:t>
      </w:r>
      <w:r w:rsidR="0093374B">
        <w:t>2</w:t>
      </w:r>
      <w:r>
        <w:t>1</w:t>
      </w:r>
      <w:r w:rsidR="006D5B26">
        <w:t xml:space="preserve"> access arrangement period</w:t>
      </w:r>
    </w:p>
    <w:p w:rsidR="00331218" w:rsidRPr="00A12F33" w:rsidRDefault="00D82FE0" w:rsidP="00A12F33">
      <w:r>
        <w:t>APTNT proposed</w:t>
      </w:r>
      <w:r w:rsidR="00331218" w:rsidRPr="00A12F33">
        <w:t xml:space="preserve"> total </w:t>
      </w:r>
      <w:r w:rsidR="00F9442F">
        <w:t xml:space="preserve">forecast </w:t>
      </w:r>
      <w:r w:rsidR="00B37996">
        <w:t xml:space="preserve">net </w:t>
      </w:r>
      <w:r w:rsidR="00331218" w:rsidRPr="00A12F33">
        <w:t>capex of $29.9</w:t>
      </w:r>
      <w:r w:rsidR="00F9442F">
        <w:t xml:space="preserve"> million ($2015</w:t>
      </w:r>
      <w:r w:rsidR="000B70FD">
        <w:noBreakHyphen/>
      </w:r>
      <w:r w:rsidR="00F9442F">
        <w:t xml:space="preserve">16) for the </w:t>
      </w:r>
      <w:r w:rsidR="006A555A">
        <w:t>2016–21</w:t>
      </w:r>
      <w:r w:rsidR="00331218" w:rsidRPr="00A12F33">
        <w:t xml:space="preserve"> access arrangement period.</w:t>
      </w:r>
      <w:r w:rsidR="00331218" w:rsidRPr="00A12F33">
        <w:rPr>
          <w:rStyle w:val="AERsuperscript"/>
        </w:rPr>
        <w:footnoteReference w:id="3"/>
      </w:r>
      <w:r w:rsidR="00331218" w:rsidRPr="00A12F33">
        <w:t xml:space="preserve"> This re</w:t>
      </w:r>
      <w:r>
        <w:t xml:space="preserve">presents a real </w:t>
      </w:r>
      <w:r w:rsidR="00452867">
        <w:t>decrease</w:t>
      </w:r>
      <w:r>
        <w:t xml:space="preserve"> of </w:t>
      </w:r>
      <w:r w:rsidR="00452867">
        <w:t xml:space="preserve">33 per cent from APTNT’s proposed actual and estimated </w:t>
      </w:r>
      <w:r w:rsidR="00B47DEC">
        <w:t xml:space="preserve">net </w:t>
      </w:r>
      <w:r w:rsidR="00452867">
        <w:t xml:space="preserve">capex for </w:t>
      </w:r>
      <w:r w:rsidR="00331218" w:rsidRPr="00A12F33">
        <w:t xml:space="preserve">the </w:t>
      </w:r>
      <w:r w:rsidR="006A555A">
        <w:t>2011–16</w:t>
      </w:r>
      <w:r w:rsidR="00331218" w:rsidRPr="00A12F33">
        <w:t xml:space="preserve"> access arrangement period</w:t>
      </w:r>
      <w:r w:rsidR="00452867">
        <w:t>.</w:t>
      </w:r>
    </w:p>
    <w:p w:rsidR="00331218" w:rsidRDefault="00381B88" w:rsidP="00331218">
      <w:pPr>
        <w:pStyle w:val="Caption"/>
        <w:numPr>
          <w:ilvl w:val="0"/>
          <w:numId w:val="24"/>
        </w:numPr>
      </w:pPr>
      <w:r>
        <w:t xml:space="preserve">Table </w:t>
      </w:r>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r w:rsidR="00F11395">
        <w:t>.</w:t>
      </w:r>
      <w:r w:rsidR="002C6AAE">
        <w:fldChar w:fldCharType="begin"/>
      </w:r>
      <w:r w:rsidR="002C6AAE">
        <w:instrText xml:space="preserve"> SEQ Table \* ARABIC \s 1 </w:instrText>
      </w:r>
      <w:r w:rsidR="002C6AAE">
        <w:fldChar w:fldCharType="separate"/>
      </w:r>
      <w:r w:rsidR="00F65E22">
        <w:rPr>
          <w:noProof/>
        </w:rPr>
        <w:t>6</w:t>
      </w:r>
      <w:r w:rsidR="002C6AAE">
        <w:rPr>
          <w:noProof/>
        </w:rPr>
        <w:fldChar w:fldCharType="end"/>
      </w:r>
      <w:r w:rsidR="00331218">
        <w:tab/>
        <w:t>APTNT’s proposed capital expenditure by category over the 2016</w:t>
      </w:r>
      <w:r w:rsidR="00A92ECD">
        <w:t>–</w:t>
      </w:r>
      <w:r w:rsidR="00331218">
        <w:t>21 access arrangement period</w:t>
      </w:r>
      <w:r w:rsidR="00331218" w:rsidRPr="00EB0E3D">
        <w:t xml:space="preserve"> ($million, 201</w:t>
      </w:r>
      <w:r w:rsidR="00331218">
        <w:t>5</w:t>
      </w:r>
      <w:r w:rsidR="000B70FD">
        <w:noBreakHyphen/>
      </w:r>
      <w:r w:rsidR="00331218">
        <w:t>16</w:t>
      </w:r>
      <w:r w:rsidR="00331218" w:rsidRPr="00EB0E3D">
        <w:t>)</w:t>
      </w:r>
    </w:p>
    <w:tbl>
      <w:tblPr>
        <w:tblStyle w:val="AERtable-numbers"/>
        <w:tblW w:w="5000" w:type="pct"/>
        <w:tblLook w:val="04A0" w:firstRow="1" w:lastRow="0" w:firstColumn="1" w:lastColumn="0" w:noHBand="0" w:noVBand="1"/>
      </w:tblPr>
      <w:tblGrid>
        <w:gridCol w:w="2035"/>
        <w:gridCol w:w="1110"/>
        <w:gridCol w:w="1110"/>
        <w:gridCol w:w="1110"/>
        <w:gridCol w:w="1110"/>
        <w:gridCol w:w="1109"/>
        <w:gridCol w:w="1109"/>
      </w:tblGrid>
      <w:tr w:rsidR="00D82FE0" w:rsidRPr="004F416F" w:rsidTr="00B6498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0" w:type="pct"/>
            <w:hideMark/>
          </w:tcPr>
          <w:p w:rsidR="00D82FE0" w:rsidRPr="00D82FE0" w:rsidRDefault="00D82FE0" w:rsidP="00D423BC">
            <w:pPr>
              <w:rPr>
                <w:szCs w:val="16"/>
              </w:rPr>
            </w:pPr>
            <w:r w:rsidRPr="00D82FE0">
              <w:rPr>
                <w:szCs w:val="16"/>
              </w:rPr>
              <w:t> Category</w:t>
            </w:r>
          </w:p>
        </w:tc>
        <w:tc>
          <w:tcPr>
            <w:tcW w:w="638" w:type="pct"/>
            <w:hideMark/>
          </w:tcPr>
          <w:p w:rsidR="00D82FE0" w:rsidRPr="00D82FE0" w:rsidRDefault="00D82FE0"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D82FE0">
              <w:rPr>
                <w:sz w:val="16"/>
                <w:szCs w:val="16"/>
              </w:rPr>
              <w:t>2016-17</w:t>
            </w:r>
          </w:p>
        </w:tc>
        <w:tc>
          <w:tcPr>
            <w:tcW w:w="638" w:type="pct"/>
            <w:hideMark/>
          </w:tcPr>
          <w:p w:rsidR="00D82FE0" w:rsidRPr="00D82FE0" w:rsidRDefault="00D82FE0"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D82FE0">
              <w:rPr>
                <w:sz w:val="16"/>
                <w:szCs w:val="16"/>
              </w:rPr>
              <w:t>2017-18</w:t>
            </w:r>
          </w:p>
        </w:tc>
        <w:tc>
          <w:tcPr>
            <w:tcW w:w="638" w:type="pct"/>
            <w:hideMark/>
          </w:tcPr>
          <w:p w:rsidR="00D82FE0" w:rsidRPr="00D82FE0" w:rsidRDefault="00D82FE0"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D82FE0">
              <w:rPr>
                <w:sz w:val="16"/>
                <w:szCs w:val="16"/>
              </w:rPr>
              <w:t>2018-19</w:t>
            </w:r>
          </w:p>
        </w:tc>
        <w:tc>
          <w:tcPr>
            <w:tcW w:w="638" w:type="pct"/>
            <w:hideMark/>
          </w:tcPr>
          <w:p w:rsidR="00D82FE0" w:rsidRPr="00D82FE0" w:rsidRDefault="00D82FE0"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D82FE0">
              <w:rPr>
                <w:sz w:val="16"/>
                <w:szCs w:val="16"/>
              </w:rPr>
              <w:t>2019-20</w:t>
            </w:r>
          </w:p>
        </w:tc>
        <w:tc>
          <w:tcPr>
            <w:tcW w:w="638" w:type="pct"/>
            <w:hideMark/>
          </w:tcPr>
          <w:p w:rsidR="00D82FE0" w:rsidRPr="00D82FE0" w:rsidRDefault="00D82FE0"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sidRPr="00D82FE0">
              <w:rPr>
                <w:sz w:val="16"/>
                <w:szCs w:val="16"/>
              </w:rPr>
              <w:t>2020-21</w:t>
            </w:r>
          </w:p>
        </w:tc>
        <w:tc>
          <w:tcPr>
            <w:tcW w:w="638" w:type="pct"/>
          </w:tcPr>
          <w:p w:rsidR="00D82FE0" w:rsidRPr="00D82FE0" w:rsidRDefault="00D82FE0" w:rsidP="00D423BC">
            <w:pPr>
              <w:pStyle w:val="AERtabletextright"/>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Total</w:t>
            </w:r>
          </w:p>
        </w:tc>
      </w:tr>
      <w:tr w:rsidR="00D82FE0"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170" w:type="pct"/>
          </w:tcPr>
          <w:p w:rsidR="00D82FE0" w:rsidRPr="00D82FE0" w:rsidRDefault="00D82FE0" w:rsidP="00D423BC">
            <w:pPr>
              <w:rPr>
                <w:szCs w:val="16"/>
              </w:rPr>
            </w:pPr>
            <w:r w:rsidRPr="00D82FE0">
              <w:rPr>
                <w:szCs w:val="16"/>
              </w:rPr>
              <w:t>Expansion</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D82FE0" w:rsidRPr="004F416F" w:rsidTr="00B649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pct"/>
          </w:tcPr>
          <w:p w:rsidR="00D82FE0" w:rsidRPr="00D82FE0" w:rsidRDefault="00D82FE0" w:rsidP="00D423BC">
            <w:pPr>
              <w:rPr>
                <w:szCs w:val="16"/>
              </w:rPr>
            </w:pPr>
            <w:r w:rsidRPr="00D82FE0">
              <w:rPr>
                <w:szCs w:val="16"/>
              </w:rPr>
              <w:t>Replacement</w:t>
            </w:r>
          </w:p>
        </w:tc>
        <w:tc>
          <w:tcPr>
            <w:tcW w:w="638" w:type="pct"/>
          </w:tcPr>
          <w:p w:rsidR="00D82FE0" w:rsidRPr="00D82FE0" w:rsidRDefault="00D82FE0"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15.9</w:t>
            </w:r>
          </w:p>
        </w:tc>
        <w:tc>
          <w:tcPr>
            <w:tcW w:w="638" w:type="pct"/>
          </w:tcPr>
          <w:p w:rsidR="00D82FE0" w:rsidRPr="00D82FE0" w:rsidRDefault="00D82FE0"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1.6</w:t>
            </w:r>
          </w:p>
        </w:tc>
        <w:tc>
          <w:tcPr>
            <w:tcW w:w="638" w:type="pct"/>
          </w:tcPr>
          <w:p w:rsidR="00D82FE0" w:rsidRPr="00D82FE0" w:rsidRDefault="00D82FE0"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1.3</w:t>
            </w:r>
          </w:p>
        </w:tc>
        <w:tc>
          <w:tcPr>
            <w:tcW w:w="638" w:type="pct"/>
          </w:tcPr>
          <w:p w:rsidR="00D82FE0" w:rsidRPr="00D82FE0" w:rsidRDefault="00D82FE0"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1.3</w:t>
            </w:r>
          </w:p>
        </w:tc>
        <w:tc>
          <w:tcPr>
            <w:tcW w:w="638" w:type="pct"/>
          </w:tcPr>
          <w:p w:rsidR="00D82FE0" w:rsidRPr="00D82FE0" w:rsidRDefault="00D82FE0"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1.1</w:t>
            </w:r>
          </w:p>
        </w:tc>
        <w:tc>
          <w:tcPr>
            <w:tcW w:w="638" w:type="pct"/>
          </w:tcPr>
          <w:p w:rsidR="00D82FE0" w:rsidRPr="00D82FE0" w:rsidRDefault="00D82FE0"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21.2</w:t>
            </w:r>
          </w:p>
        </w:tc>
      </w:tr>
      <w:tr w:rsidR="00D82FE0"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170" w:type="pct"/>
          </w:tcPr>
          <w:p w:rsidR="00D82FE0" w:rsidRPr="00D82FE0" w:rsidRDefault="00D82FE0" w:rsidP="00D423BC">
            <w:pPr>
              <w:rPr>
                <w:szCs w:val="16"/>
              </w:rPr>
            </w:pPr>
            <w:r w:rsidRPr="00D82FE0">
              <w:rPr>
                <w:szCs w:val="16"/>
              </w:rPr>
              <w:t>Non-system</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4.4</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0.9</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1.0</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1.1</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1.3</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r>
      <w:tr w:rsidR="00B47DEC" w:rsidRPr="004F416F" w:rsidTr="00B649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pct"/>
          </w:tcPr>
          <w:p w:rsidR="00B47DEC" w:rsidRPr="00D82FE0" w:rsidRDefault="00B47DEC" w:rsidP="00D423BC">
            <w:pPr>
              <w:rPr>
                <w:szCs w:val="16"/>
              </w:rPr>
            </w:pPr>
            <w:r>
              <w:rPr>
                <w:szCs w:val="16"/>
              </w:rPr>
              <w:t>GROSS TOTAL CAPITAL EXPENDITURE</w:t>
            </w:r>
          </w:p>
        </w:tc>
        <w:tc>
          <w:tcPr>
            <w:tcW w:w="638" w:type="pct"/>
          </w:tcPr>
          <w:p w:rsidR="00B47DEC" w:rsidRPr="00D82FE0" w:rsidRDefault="00B47DEC"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20.3</w:t>
            </w:r>
          </w:p>
        </w:tc>
        <w:tc>
          <w:tcPr>
            <w:tcW w:w="638" w:type="pct"/>
          </w:tcPr>
          <w:p w:rsidR="00B47DEC" w:rsidRPr="00D82FE0" w:rsidRDefault="00B47DEC"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2.5</w:t>
            </w:r>
          </w:p>
        </w:tc>
        <w:tc>
          <w:tcPr>
            <w:tcW w:w="638" w:type="pct"/>
          </w:tcPr>
          <w:p w:rsidR="00B47DEC" w:rsidRPr="00D82FE0" w:rsidRDefault="00B47DEC"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2.3</w:t>
            </w:r>
          </w:p>
        </w:tc>
        <w:tc>
          <w:tcPr>
            <w:tcW w:w="638" w:type="pct"/>
          </w:tcPr>
          <w:p w:rsidR="00B47DEC" w:rsidRPr="00D82FE0" w:rsidRDefault="00B47DEC"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2.3</w:t>
            </w:r>
          </w:p>
        </w:tc>
        <w:tc>
          <w:tcPr>
            <w:tcW w:w="638" w:type="pct"/>
          </w:tcPr>
          <w:p w:rsidR="00B47DEC" w:rsidRPr="00D82FE0" w:rsidRDefault="00B47DEC"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sidRPr="00D82FE0">
              <w:rPr>
                <w:sz w:val="16"/>
                <w:szCs w:val="16"/>
              </w:rPr>
              <w:t>2.4</w:t>
            </w:r>
          </w:p>
        </w:tc>
        <w:tc>
          <w:tcPr>
            <w:tcW w:w="638" w:type="pct"/>
          </w:tcPr>
          <w:p w:rsidR="00B47DEC" w:rsidRDefault="00B47DEC"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29.9</w:t>
            </w:r>
          </w:p>
        </w:tc>
      </w:tr>
      <w:tr w:rsidR="002C6C62"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170" w:type="pct"/>
          </w:tcPr>
          <w:p w:rsidR="002C6C62" w:rsidRDefault="002C6C62" w:rsidP="00D423BC">
            <w:pPr>
              <w:rPr>
                <w:szCs w:val="16"/>
              </w:rPr>
            </w:pPr>
            <w:r>
              <w:rPr>
                <w:szCs w:val="16"/>
              </w:rPr>
              <w:t>Contributions</w:t>
            </w:r>
          </w:p>
        </w:tc>
        <w:tc>
          <w:tcPr>
            <w:tcW w:w="638" w:type="pct"/>
          </w:tcPr>
          <w:p w:rsidR="002C6C62" w:rsidRPr="00D82FE0" w:rsidRDefault="00666BA5"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8" w:type="pct"/>
          </w:tcPr>
          <w:p w:rsidR="002C6C62" w:rsidRDefault="00666BA5"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2C6C62" w:rsidRPr="004F416F" w:rsidTr="00B649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pct"/>
          </w:tcPr>
          <w:p w:rsidR="002C6C62" w:rsidRDefault="002C6C62" w:rsidP="00D423BC">
            <w:pPr>
              <w:rPr>
                <w:szCs w:val="16"/>
              </w:rPr>
            </w:pPr>
            <w:r>
              <w:rPr>
                <w:szCs w:val="16"/>
              </w:rPr>
              <w:t>Asset disposals</w:t>
            </w:r>
          </w:p>
        </w:tc>
        <w:tc>
          <w:tcPr>
            <w:tcW w:w="638" w:type="pct"/>
          </w:tcPr>
          <w:p w:rsidR="002C6C62" w:rsidRPr="00D82FE0" w:rsidRDefault="00666BA5"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38" w:type="pct"/>
          </w:tcPr>
          <w:p w:rsidR="002C6C62" w:rsidRPr="00D82FE0" w:rsidRDefault="00666BA5"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638" w:type="pct"/>
          </w:tcPr>
          <w:p w:rsidR="002C6C62" w:rsidRDefault="00666BA5" w:rsidP="00D423BC">
            <w:pPr>
              <w:pStyle w:val="AERtabletext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r>
      <w:tr w:rsidR="00D82FE0" w:rsidRPr="004F416F" w:rsidTr="00B64986">
        <w:trPr>
          <w:trHeight w:val="300"/>
        </w:trPr>
        <w:tc>
          <w:tcPr>
            <w:cnfStyle w:val="001000000000" w:firstRow="0" w:lastRow="0" w:firstColumn="1" w:lastColumn="0" w:oddVBand="0" w:evenVBand="0" w:oddHBand="0" w:evenHBand="0" w:firstRowFirstColumn="0" w:firstRowLastColumn="0" w:lastRowFirstColumn="0" w:lastRowLastColumn="0"/>
            <w:tcW w:w="1170" w:type="pct"/>
          </w:tcPr>
          <w:p w:rsidR="00D82FE0" w:rsidRPr="00D82FE0" w:rsidRDefault="00666BA5" w:rsidP="00D423BC">
            <w:pPr>
              <w:rPr>
                <w:szCs w:val="16"/>
              </w:rPr>
            </w:pPr>
            <w:r>
              <w:rPr>
                <w:szCs w:val="16"/>
              </w:rPr>
              <w:t>NET TOTAL CAPITAL EXPENDITURE</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20.3</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2.5</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2.3</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2.3</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sidRPr="00D82FE0">
              <w:rPr>
                <w:sz w:val="16"/>
                <w:szCs w:val="16"/>
              </w:rPr>
              <w:t>2.4</w:t>
            </w:r>
          </w:p>
        </w:tc>
        <w:tc>
          <w:tcPr>
            <w:tcW w:w="638" w:type="pct"/>
          </w:tcPr>
          <w:p w:rsidR="00D82FE0" w:rsidRPr="00D82FE0" w:rsidRDefault="00D82FE0" w:rsidP="00D423BC">
            <w:pPr>
              <w:pStyle w:val="AERtabletext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29.9</w:t>
            </w:r>
          </w:p>
        </w:tc>
      </w:tr>
    </w:tbl>
    <w:p w:rsidR="00331218" w:rsidRDefault="00331218" w:rsidP="00331218">
      <w:pPr>
        <w:pStyle w:val="AERtablesource"/>
        <w:numPr>
          <w:ilvl w:val="0"/>
          <w:numId w:val="24"/>
        </w:numPr>
      </w:pPr>
      <w:r w:rsidRPr="00DE44F6">
        <w:t>Source:</w:t>
      </w:r>
      <w:r w:rsidRPr="00DE44F6">
        <w:tab/>
      </w:r>
      <w:r w:rsidR="00D82FE0">
        <w:t>APTNT,</w:t>
      </w:r>
      <w:r w:rsidR="00D82FE0" w:rsidRPr="00DE44F6">
        <w:t xml:space="preserve"> </w:t>
      </w:r>
      <w:r w:rsidR="00D82FE0">
        <w:rPr>
          <w:rStyle w:val="AERtextitalic"/>
        </w:rPr>
        <w:t>B-6 Supporting model – Capital expenditure</w:t>
      </w:r>
      <w:r w:rsidR="00D82FE0">
        <w:t>, August 2015</w:t>
      </w:r>
      <w:r w:rsidR="00D82FE0" w:rsidRPr="00DE44F6">
        <w:t>.</w:t>
      </w:r>
    </w:p>
    <w:p w:rsidR="009E13EA" w:rsidRPr="004E4E86" w:rsidRDefault="008D7091" w:rsidP="004E4E86">
      <w:r>
        <w:t xml:space="preserve">APTNT proposed </w:t>
      </w:r>
      <w:r w:rsidR="00452867">
        <w:t>capex for</w:t>
      </w:r>
      <w:r>
        <w:t xml:space="preserve"> two c</w:t>
      </w:r>
      <w:r w:rsidR="00452867">
        <w:t>ategories</w:t>
      </w:r>
      <w:r>
        <w:t xml:space="preserve"> – replacement capex (7</w:t>
      </w:r>
      <w:r w:rsidR="00BE7C86">
        <w:t>1</w:t>
      </w:r>
      <w:r>
        <w:t xml:space="preserve"> per cent of total forecast capex) and non-system capex (29 per cent of total forecast capex). </w:t>
      </w:r>
    </w:p>
    <w:p w:rsidR="009A5113" w:rsidRDefault="009A5113" w:rsidP="009A5113">
      <w:pPr>
        <w:pStyle w:val="Heading2"/>
      </w:pPr>
      <w:bookmarkStart w:id="19" w:name="_Toc408404322"/>
      <w:bookmarkStart w:id="20" w:name="_Toc436042750"/>
      <w:r w:rsidRPr="0074565D">
        <w:t>AER’s assessment approach</w:t>
      </w:r>
      <w:bookmarkEnd w:id="19"/>
      <w:bookmarkEnd w:id="20"/>
    </w:p>
    <w:p w:rsidR="004E4085" w:rsidRDefault="002C5A50" w:rsidP="00452867">
      <w:r w:rsidRPr="00F745EE">
        <w:t xml:space="preserve">We must make two decisions regarding </w:t>
      </w:r>
      <w:r>
        <w:t>APTNT’s</w:t>
      </w:r>
      <w:r w:rsidRPr="00F745EE">
        <w:t xml:space="preserve"> capex. First, we are required to assess past </w:t>
      </w:r>
      <w:r w:rsidR="0033139B">
        <w:t>capex</w:t>
      </w:r>
      <w:r w:rsidRPr="00F745EE">
        <w:t xml:space="preserve"> and determine whether it meets the criteria set out in the NGR to be added to the starting capital base.</w:t>
      </w:r>
      <w:r w:rsidRPr="00F745EE">
        <w:rPr>
          <w:rStyle w:val="FootnoteReference"/>
        </w:rPr>
        <w:footnoteReference w:id="4"/>
      </w:r>
      <w:r w:rsidRPr="00F745EE">
        <w:t xml:space="preserve"> Where capex meets these criteria, it is referred to as "conforming</w:t>
      </w:r>
      <w:r>
        <w:t xml:space="preserve"> capex</w:t>
      </w:r>
      <w:r w:rsidRPr="00F745EE">
        <w:t>".</w:t>
      </w:r>
      <w:r w:rsidRPr="00F745EE">
        <w:rPr>
          <w:rStyle w:val="FootnoteReference"/>
        </w:rPr>
        <w:footnoteReference w:id="5"/>
      </w:r>
      <w:r w:rsidRPr="00F745EE">
        <w:t xml:space="preserve"> Secondly, we are required to assess </w:t>
      </w:r>
      <w:r w:rsidR="00D137F0">
        <w:t>APTNT’s</w:t>
      </w:r>
      <w:r w:rsidR="00140D62">
        <w:t xml:space="preserve"> </w:t>
      </w:r>
      <w:r w:rsidRPr="00F745EE">
        <w:t>forecast of required capex for the 201</w:t>
      </w:r>
      <w:r w:rsidR="00D137F0">
        <w:t>6</w:t>
      </w:r>
      <w:r w:rsidR="000B70FD">
        <w:noBreakHyphen/>
      </w:r>
      <w:r w:rsidRPr="00F745EE">
        <w:t>2</w:t>
      </w:r>
      <w:r w:rsidR="00D137F0">
        <w:t>1</w:t>
      </w:r>
      <w:r w:rsidRPr="00F745EE">
        <w:t xml:space="preserve"> </w:t>
      </w:r>
      <w:r w:rsidR="00452867">
        <w:t xml:space="preserve">access arrangement period to determine whether it is </w:t>
      </w:r>
      <w:r>
        <w:t>conforming</w:t>
      </w:r>
      <w:r w:rsidR="00D137F0">
        <w:t xml:space="preserve"> capex</w:t>
      </w:r>
      <w:r w:rsidRPr="00F745EE">
        <w:t xml:space="preserve">. The following sections set out our approach and the tools and techniques we employ in forming a view on these two issues. We also need to take into account timing issues associated with the lag between actual capex data being available </w:t>
      </w:r>
      <w:r w:rsidR="00666BA5">
        <w:t>in the last year of the 2011</w:t>
      </w:r>
      <w:r w:rsidR="000B70FD">
        <w:noBreakHyphen/>
      </w:r>
      <w:r w:rsidR="00666BA5">
        <w:t xml:space="preserve">16 access arrangement period </w:t>
      </w:r>
      <w:r w:rsidRPr="00F745EE">
        <w:t>and the need to forecast an opening capital base</w:t>
      </w:r>
      <w:r w:rsidR="00666BA5">
        <w:t xml:space="preserve"> for the 2016</w:t>
      </w:r>
      <w:r w:rsidR="000B70FD">
        <w:noBreakHyphen/>
      </w:r>
      <w:r w:rsidR="00666BA5">
        <w:t>21 access arrangement period</w:t>
      </w:r>
      <w:r w:rsidRPr="00F745EE">
        <w:t>. This is explained in the next section.</w:t>
      </w:r>
    </w:p>
    <w:p w:rsidR="00D137F0" w:rsidRDefault="00D137F0" w:rsidP="00140D62">
      <w:pPr>
        <w:pStyle w:val="Heading3"/>
      </w:pPr>
      <w:bookmarkStart w:id="21" w:name="_Toc404676544"/>
      <w:bookmarkStart w:id="22" w:name="_Toc404676594"/>
      <w:bookmarkStart w:id="23" w:name="_Toc436042751"/>
      <w:r w:rsidRPr="0023470D">
        <w:t>NGR requirements for conforming capital expenditure</w:t>
      </w:r>
      <w:bookmarkEnd w:id="21"/>
      <w:bookmarkEnd w:id="22"/>
      <w:bookmarkEnd w:id="23"/>
    </w:p>
    <w:p w:rsidR="00D137F0" w:rsidRPr="00A12F33" w:rsidRDefault="0033139B" w:rsidP="0033139B">
      <w:r>
        <w:t>T</w:t>
      </w:r>
      <w:r w:rsidR="00D137F0" w:rsidRPr="00F745EE">
        <w:t xml:space="preserve">he definition of capex </w:t>
      </w:r>
      <w:r>
        <w:t xml:space="preserve">is set out </w:t>
      </w:r>
      <w:r w:rsidR="00D137F0" w:rsidRPr="00F745EE">
        <w:t>in r</w:t>
      </w:r>
      <w:r w:rsidR="000B70FD">
        <w:t>ule</w:t>
      </w:r>
      <w:r w:rsidR="00D137F0" w:rsidRPr="00F745EE">
        <w:t xml:space="preserve"> 69 of the NGR. Capex is defined as costs and expenditure of a capital nature incurred to provide, or in providing, pipeline services</w:t>
      </w:r>
      <w:r w:rsidR="00666BA5">
        <w:t>.</w:t>
      </w:r>
    </w:p>
    <w:p w:rsidR="00D137F0" w:rsidRDefault="0033139B" w:rsidP="0033139B">
      <w:r>
        <w:t xml:space="preserve">Capex </w:t>
      </w:r>
      <w:r w:rsidR="00D137F0" w:rsidRPr="00A12F33">
        <w:t xml:space="preserve">based on a forecast or estimate </w:t>
      </w:r>
      <w:r>
        <w:t>must be</w:t>
      </w:r>
      <w:r w:rsidR="00D137F0" w:rsidRPr="00A12F33">
        <w:t xml:space="preserve"> supported by a statement of the basis of</w:t>
      </w:r>
      <w:r w:rsidR="00D137F0" w:rsidRPr="00F745EE">
        <w:t xml:space="preserve"> the fore</w:t>
      </w:r>
      <w:r>
        <w:t>cast or estimate (</w:t>
      </w:r>
      <w:r w:rsidR="00D137F0" w:rsidRPr="00F745EE">
        <w:t>r</w:t>
      </w:r>
      <w:r w:rsidR="000B70FD">
        <w:t>ule</w:t>
      </w:r>
      <w:r w:rsidR="00D137F0" w:rsidRPr="00F745EE">
        <w:t xml:space="preserve"> 74(1) of the NGR</w:t>
      </w:r>
      <w:r>
        <w:t>)</w:t>
      </w:r>
      <w:r w:rsidR="00D137F0" w:rsidRPr="00F745EE">
        <w:t>. In accordance with r</w:t>
      </w:r>
      <w:r w:rsidR="000B70FD">
        <w:t>ule</w:t>
      </w:r>
      <w:r w:rsidR="00D137F0" w:rsidRPr="00F745EE">
        <w:t xml:space="preserve"> 74(2) of the NGR, any forecast or estimate submitted must:</w:t>
      </w:r>
    </w:p>
    <w:p w:rsidR="00D137F0" w:rsidRPr="00F745EE" w:rsidRDefault="00D137F0" w:rsidP="0033139B">
      <w:pPr>
        <w:pStyle w:val="AERbulletlistfirststyle"/>
      </w:pPr>
      <w:r w:rsidRPr="00F745EE">
        <w:t xml:space="preserve">be </w:t>
      </w:r>
      <w:r w:rsidRPr="00452867">
        <w:t>arrived</w:t>
      </w:r>
      <w:r w:rsidRPr="00F745EE">
        <w:t xml:space="preserve"> at on a reasonable basis; and</w:t>
      </w:r>
    </w:p>
    <w:p w:rsidR="00D137F0" w:rsidRPr="00F745EE" w:rsidRDefault="00D137F0" w:rsidP="0033139B">
      <w:pPr>
        <w:pStyle w:val="AERbulletlistfirststyle"/>
      </w:pPr>
      <w:r w:rsidRPr="00452867">
        <w:t>represent</w:t>
      </w:r>
      <w:r w:rsidRPr="00F745EE">
        <w:t xml:space="preserve"> the best forecast or estimate possible in the circumstances.</w:t>
      </w:r>
    </w:p>
    <w:p w:rsidR="00D137F0" w:rsidRPr="00F745EE" w:rsidRDefault="0033139B" w:rsidP="0033139B">
      <w:r>
        <w:t xml:space="preserve">Capex will be ‘conforming’ if it </w:t>
      </w:r>
      <w:r w:rsidR="00D137F0" w:rsidRPr="00452867">
        <w:t>conforms</w:t>
      </w:r>
      <w:r w:rsidR="00D137F0" w:rsidRPr="00F745EE">
        <w:t xml:space="preserve"> </w:t>
      </w:r>
      <w:proofErr w:type="gramStart"/>
      <w:r w:rsidR="00D137F0" w:rsidRPr="00F745EE">
        <w:t>with</w:t>
      </w:r>
      <w:proofErr w:type="gramEnd"/>
      <w:r w:rsidR="00D137F0" w:rsidRPr="00F745EE">
        <w:t xml:space="preserve"> the </w:t>
      </w:r>
      <w:r w:rsidR="00D137F0">
        <w:t xml:space="preserve">new </w:t>
      </w:r>
      <w:r w:rsidR="00D137F0" w:rsidRPr="00F745EE">
        <w:t>capex criteria in r</w:t>
      </w:r>
      <w:r w:rsidR="000B70FD">
        <w:t>ule</w:t>
      </w:r>
      <w:r w:rsidR="00D137F0" w:rsidRPr="00F745EE">
        <w:t xml:space="preserve"> 79 of the NGR. There are two essential criteria that must both be met under this rule:</w:t>
      </w:r>
    </w:p>
    <w:p w:rsidR="00D137F0" w:rsidRPr="00452867" w:rsidRDefault="007903F2" w:rsidP="0033139B">
      <w:pPr>
        <w:pStyle w:val="AERbulletlistfirststyle"/>
      </w:pPr>
      <w:r>
        <w:t>t</w:t>
      </w:r>
      <w:r w:rsidR="00D137F0" w:rsidRPr="00F745EE">
        <w:t xml:space="preserve">he </w:t>
      </w:r>
      <w:r w:rsidR="00D137F0" w:rsidRPr="00452867">
        <w:t xml:space="preserve">expenditure must be such as would be incurred by a prudent service provider acting efficiently, in accordance with good industry practice, to achieve the lowest sustainable cost of providing services; and </w:t>
      </w:r>
    </w:p>
    <w:p w:rsidR="00D137F0" w:rsidRPr="00F745EE" w:rsidRDefault="007903F2" w:rsidP="0033139B">
      <w:pPr>
        <w:pStyle w:val="AERbulletlistfirststyle"/>
      </w:pPr>
      <w:proofErr w:type="gramStart"/>
      <w:r w:rsidRPr="00452867">
        <w:t>t</w:t>
      </w:r>
      <w:r w:rsidR="00D137F0" w:rsidRPr="00452867">
        <w:t>he</w:t>
      </w:r>
      <w:proofErr w:type="gramEnd"/>
      <w:r w:rsidR="00D137F0" w:rsidRPr="00452867">
        <w:t xml:space="preserve"> expenditure</w:t>
      </w:r>
      <w:r w:rsidR="00D137F0" w:rsidRPr="00F745EE">
        <w:t xml:space="preserve"> must be justifiable on one of four grounds set out in r</w:t>
      </w:r>
      <w:r w:rsidR="000B70FD">
        <w:t>ule</w:t>
      </w:r>
      <w:r w:rsidR="00D137F0" w:rsidRPr="00F745EE">
        <w:t xml:space="preserve"> 79(2) of the NGR.</w:t>
      </w:r>
    </w:p>
    <w:p w:rsidR="00C47C15" w:rsidRPr="00C47C15" w:rsidRDefault="00D137F0" w:rsidP="00D137F0">
      <w:pPr>
        <w:rPr>
          <w:rStyle w:val="AERbody"/>
        </w:rPr>
      </w:pPr>
      <w:r w:rsidRPr="00F745EE">
        <w:t>The four grounds set out in r</w:t>
      </w:r>
      <w:r w:rsidR="000B70FD">
        <w:t>ule</w:t>
      </w:r>
      <w:r w:rsidRPr="00F745EE">
        <w:t xml:space="preserve"> 79(2) of the NGR can be summarised as follows. The capex must either:</w:t>
      </w:r>
    </w:p>
    <w:p w:rsidR="00D137F0" w:rsidRPr="00452867" w:rsidRDefault="00D137F0" w:rsidP="00452867">
      <w:pPr>
        <w:pStyle w:val="AERbulletlistfirststyle"/>
      </w:pPr>
      <w:r w:rsidRPr="00452867">
        <w:rPr>
          <w:rStyle w:val="AERbody"/>
        </w:rPr>
        <w:t>have an over</w:t>
      </w:r>
      <w:r w:rsidRPr="00452867">
        <w:t>all economic value that is positive</w:t>
      </w:r>
    </w:p>
    <w:p w:rsidR="00D137F0" w:rsidRPr="00452867" w:rsidRDefault="00D137F0" w:rsidP="00452867">
      <w:pPr>
        <w:pStyle w:val="AERbulletlistfirststyle"/>
      </w:pPr>
      <w:r w:rsidRPr="00452867">
        <w:t xml:space="preserve">demonstrate an expected present value of the incremental revenue that exceeds the </w:t>
      </w:r>
      <w:r w:rsidR="0033139B">
        <w:t xml:space="preserve">present value of the capital </w:t>
      </w:r>
      <w:r w:rsidRPr="00452867">
        <w:t>expenditure</w:t>
      </w:r>
    </w:p>
    <w:p w:rsidR="00D137F0" w:rsidRPr="00452867" w:rsidRDefault="00D137F0" w:rsidP="00452867">
      <w:pPr>
        <w:pStyle w:val="AERbulletlistfirststyle"/>
      </w:pPr>
      <w:r w:rsidRPr="00452867">
        <w:t>be necessary to maintain and improve the safety of services, or maintain the integrity of services, or comply with a regulatory obligation or requirement, or maintain capacity to meet levels of demand existing at the time the capex is incurred, or</w:t>
      </w:r>
    </w:p>
    <w:p w:rsidR="00D137F0" w:rsidRPr="00F745EE" w:rsidRDefault="00D137F0" w:rsidP="00452867">
      <w:pPr>
        <w:pStyle w:val="AERbulletlistfirststyle"/>
      </w:pPr>
      <w:r w:rsidRPr="00452867">
        <w:t>be justifiable as a combination of the preceding</w:t>
      </w:r>
      <w:r w:rsidRPr="00F745EE">
        <w:t xml:space="preserve"> two dot points.</w:t>
      </w:r>
    </w:p>
    <w:p w:rsidR="00D137F0" w:rsidRDefault="00D137F0" w:rsidP="00140D62">
      <w:r>
        <w:t>We have</w:t>
      </w:r>
      <w:r w:rsidRPr="00F745EE">
        <w:t xml:space="preserve"> limited discretion when making decisions under r</w:t>
      </w:r>
      <w:r w:rsidR="000B70FD">
        <w:t>ule</w:t>
      </w:r>
      <w:r w:rsidRPr="00F745EE">
        <w:t xml:space="preserve"> 79 of the NGR.</w:t>
      </w:r>
      <w:r w:rsidRPr="00F745EE">
        <w:rPr>
          <w:rStyle w:val="FootnoteReference"/>
          <w:rFonts w:eastAsia="Calibri"/>
        </w:rPr>
        <w:footnoteReference w:id="6"/>
      </w:r>
      <w:r w:rsidRPr="00F745EE">
        <w:t xml:space="preserve"> This means that </w:t>
      </w:r>
      <w:r>
        <w:t>we</w:t>
      </w:r>
      <w:r w:rsidRPr="00F745EE">
        <w:t xml:space="preserve"> must approve a particular element of the access arrangement proposal if </w:t>
      </w:r>
      <w:r>
        <w:t>we are</w:t>
      </w:r>
      <w:r w:rsidRPr="00F745EE">
        <w:t xml:space="preserve"> satisfied that that element complies with the applicable requirements of the NGR and NGL and is consistent with any criteria set out in the NGR or NGL.</w:t>
      </w:r>
      <w:r w:rsidRPr="00F745EE">
        <w:rPr>
          <w:rStyle w:val="FootnoteReference"/>
          <w:rFonts w:eastAsia="Calibri"/>
        </w:rPr>
        <w:footnoteReference w:id="7"/>
      </w:r>
    </w:p>
    <w:p w:rsidR="00C47C15" w:rsidRPr="005A6D57" w:rsidRDefault="00C47C15" w:rsidP="00C9745C">
      <w:pPr>
        <w:pStyle w:val="Heading3"/>
        <w:keepNext/>
      </w:pPr>
      <w:bookmarkStart w:id="24" w:name="_Toc404676545"/>
      <w:bookmarkStart w:id="25" w:name="_Toc404676595"/>
      <w:bookmarkStart w:id="26" w:name="_Toc436042752"/>
      <w:r w:rsidRPr="00452867">
        <w:t>Assessment</w:t>
      </w:r>
      <w:r w:rsidRPr="005A6D57">
        <w:t xml:space="preserve"> of conforming capital expenditure in the </w:t>
      </w:r>
      <w:r w:rsidR="006A555A">
        <w:t>2011–16</w:t>
      </w:r>
      <w:r w:rsidR="00452867">
        <w:t xml:space="preserve"> access arrangement period</w:t>
      </w:r>
      <w:bookmarkEnd w:id="24"/>
      <w:bookmarkEnd w:id="25"/>
      <w:bookmarkEnd w:id="26"/>
    </w:p>
    <w:p w:rsidR="00C47C15" w:rsidRPr="000A5610" w:rsidRDefault="00C47C15" w:rsidP="00452867">
      <w:r w:rsidRPr="00BA1C93">
        <w:t xml:space="preserve">In assessing </w:t>
      </w:r>
      <w:r w:rsidR="00BA1C93">
        <w:t>APTNT’s</w:t>
      </w:r>
      <w:r w:rsidRPr="00BA1C93">
        <w:t xml:space="preserve"> proposed</w:t>
      </w:r>
      <w:r w:rsidRPr="00F745EE">
        <w:rPr>
          <w:rStyle w:val="AERbody"/>
          <w:rFonts w:eastAsia="Calibri"/>
        </w:rPr>
        <w:t xml:space="preserve"> capex in the earlier access arrangement period, we reviewed </w:t>
      </w:r>
      <w:r w:rsidR="007971C9">
        <w:rPr>
          <w:rStyle w:val="AERbody"/>
          <w:rFonts w:eastAsia="Calibri"/>
        </w:rPr>
        <w:t>APTNT’s</w:t>
      </w:r>
      <w:r w:rsidRPr="00F745EE">
        <w:rPr>
          <w:rStyle w:val="AERbody"/>
          <w:rFonts w:eastAsia="Calibri"/>
        </w:rPr>
        <w:t xml:space="preserve"> supporting material. This included information on </w:t>
      </w:r>
      <w:r w:rsidR="004E4402">
        <w:rPr>
          <w:rStyle w:val="AERbody"/>
          <w:rFonts w:eastAsia="Calibri"/>
        </w:rPr>
        <w:t>APTNT’s</w:t>
      </w:r>
      <w:r w:rsidRPr="00F745EE">
        <w:rPr>
          <w:rStyle w:val="AERbody"/>
          <w:rFonts w:eastAsia="Calibri"/>
        </w:rPr>
        <w:t xml:space="preserve"> reasoning and, where relevant, business cases, </w:t>
      </w:r>
      <w:r w:rsidR="00452867">
        <w:rPr>
          <w:rStyle w:val="AERbody"/>
          <w:rFonts w:eastAsia="Calibri"/>
        </w:rPr>
        <w:t xml:space="preserve">responses to information requests </w:t>
      </w:r>
      <w:r w:rsidRPr="00F745EE">
        <w:rPr>
          <w:rStyle w:val="AERbody"/>
          <w:rFonts w:eastAsia="Calibri"/>
        </w:rPr>
        <w:t xml:space="preserve">and other relevant information. This information helped us identify whether capex over the </w:t>
      </w:r>
      <w:r w:rsidR="006A555A">
        <w:rPr>
          <w:rStyle w:val="AERbody"/>
          <w:rFonts w:eastAsia="Calibri"/>
        </w:rPr>
        <w:t>2011–16</w:t>
      </w:r>
      <w:r w:rsidRPr="00F745EE">
        <w:rPr>
          <w:rStyle w:val="AERbody"/>
          <w:rFonts w:eastAsia="Calibri"/>
        </w:rPr>
        <w:t xml:space="preserve"> access arrangement period was conforming capex and, in turn, whether that capex should be included in the opening cap</w:t>
      </w:r>
      <w:r w:rsidR="00714301">
        <w:rPr>
          <w:rStyle w:val="AERbody"/>
          <w:rFonts w:eastAsia="Calibri"/>
        </w:rPr>
        <w:t>ital base in accordance with rule </w:t>
      </w:r>
      <w:r w:rsidRPr="00F745EE">
        <w:rPr>
          <w:rStyle w:val="AERbody"/>
          <w:rFonts w:eastAsia="Calibri"/>
        </w:rPr>
        <w:t>77(2)(b) of the NGR.</w:t>
      </w:r>
      <w:r w:rsidR="00843CB1">
        <w:rPr>
          <w:rStyle w:val="AERbody"/>
          <w:rFonts w:eastAsia="Calibri"/>
        </w:rPr>
        <w:t xml:space="preserve"> Generally, our approach to assessing whether capex conforms with the new capex criteria of the NGR is the same for both historical and forecast or estimated capex. This approach is set out in more detail in section </w:t>
      </w:r>
      <w:r w:rsidR="00843CB1">
        <w:rPr>
          <w:rStyle w:val="AERbody"/>
          <w:rFonts w:eastAsia="Calibri"/>
        </w:rPr>
        <w:fldChar w:fldCharType="begin"/>
      </w:r>
      <w:r w:rsidR="00843CB1">
        <w:rPr>
          <w:rStyle w:val="AERbody"/>
          <w:rFonts w:eastAsia="Calibri"/>
        </w:rPr>
        <w:instrText xml:space="preserve"> REF _Ref432758648 \r </w:instrText>
      </w:r>
      <w:r w:rsidR="00843CB1">
        <w:rPr>
          <w:rStyle w:val="AERbody"/>
          <w:rFonts w:eastAsia="Calibri"/>
        </w:rPr>
        <w:fldChar w:fldCharType="separate"/>
      </w:r>
      <w:r w:rsidR="00F65E22">
        <w:rPr>
          <w:rStyle w:val="AERbody"/>
          <w:rFonts w:eastAsia="Calibri"/>
        </w:rPr>
        <w:t>6.3.3</w:t>
      </w:r>
      <w:r w:rsidR="00843CB1">
        <w:rPr>
          <w:rStyle w:val="AERbody"/>
          <w:rFonts w:eastAsia="Calibri"/>
        </w:rPr>
        <w:fldChar w:fldCharType="end"/>
      </w:r>
      <w:r w:rsidR="00843CB1">
        <w:rPr>
          <w:rStyle w:val="AERbody"/>
          <w:rFonts w:eastAsia="Calibri"/>
        </w:rPr>
        <w:t xml:space="preserve"> below.</w:t>
      </w:r>
    </w:p>
    <w:p w:rsidR="00C47C15" w:rsidRPr="004E4402" w:rsidRDefault="00C47C15" w:rsidP="004E4402">
      <w:r w:rsidRPr="000A5610">
        <w:t xml:space="preserve">We do not approve certain </w:t>
      </w:r>
      <w:r w:rsidR="00666BA5">
        <w:t>estimates</w:t>
      </w:r>
      <w:r w:rsidR="00666BA5" w:rsidRPr="000A5610">
        <w:t xml:space="preserve"> </w:t>
      </w:r>
      <w:r w:rsidRPr="000A5610">
        <w:t xml:space="preserve">and forecasts provided by </w:t>
      </w:r>
      <w:r w:rsidR="004E4402">
        <w:t xml:space="preserve">APTNT </w:t>
      </w:r>
      <w:r w:rsidRPr="00F745EE">
        <w:t>if the information does not meet the requirements set out in the NGR.</w:t>
      </w:r>
      <w:r w:rsidRPr="00F745EE">
        <w:rPr>
          <w:rStyle w:val="FootnoteReference"/>
        </w:rPr>
        <w:footnoteReference w:id="8"/>
      </w:r>
      <w:r w:rsidRPr="00F745EE">
        <w:t xml:space="preserve"> </w:t>
      </w:r>
      <w:r>
        <w:t>We must</w:t>
      </w:r>
      <w:r w:rsidRPr="00F745EE">
        <w:t xml:space="preserve"> exercise </w:t>
      </w:r>
      <w:r>
        <w:t>our</w:t>
      </w:r>
      <w:r w:rsidRPr="00F745EE">
        <w:t xml:space="preserve"> economic regulatory functions in a manner that will or is likely to contribute to the achievement of the NGO.</w:t>
      </w:r>
      <w:r w:rsidRPr="00F745EE">
        <w:rPr>
          <w:rStyle w:val="FootnoteReference"/>
        </w:rPr>
        <w:footnoteReference w:id="9"/>
      </w:r>
      <w:r w:rsidRPr="00F745EE">
        <w:t xml:space="preserve"> For instance, having regard to the NGO, </w:t>
      </w:r>
      <w:r>
        <w:t>we</w:t>
      </w:r>
      <w:r w:rsidRPr="00F745EE">
        <w:t xml:space="preserv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C47C15" w:rsidRPr="004E4402" w:rsidRDefault="00C47C15" w:rsidP="004E4402">
      <w:r w:rsidRPr="004E4402">
        <w:t xml:space="preserve">Although the capital base roll forward relates to the </w:t>
      </w:r>
      <w:r w:rsidR="006A555A">
        <w:t>2011–16</w:t>
      </w:r>
      <w:r w:rsidRPr="00F745EE">
        <w:rPr>
          <w:rStyle w:val="AERbody"/>
        </w:rPr>
        <w:t xml:space="preserve"> access arrangement period, we are also required to adjust for the difference between actual and forecast capex in the capital base.</w:t>
      </w:r>
      <w:r w:rsidRPr="00F745EE">
        <w:rPr>
          <w:rStyle w:val="FootnoteReference"/>
        </w:rPr>
        <w:footnoteReference w:id="10"/>
      </w:r>
      <w:r w:rsidRPr="00F745EE">
        <w:rPr>
          <w:rStyle w:val="AERbody"/>
        </w:rPr>
        <w:t xml:space="preserve"> Generally, the final year of the previous access arrangement period is based on </w:t>
      </w:r>
      <w:r w:rsidR="00936E04">
        <w:rPr>
          <w:rStyle w:val="AERbody"/>
        </w:rPr>
        <w:t>estimated</w:t>
      </w:r>
      <w:r w:rsidR="00936E04" w:rsidRPr="00F745EE">
        <w:rPr>
          <w:rStyle w:val="AERbody"/>
        </w:rPr>
        <w:t xml:space="preserve"> </w:t>
      </w:r>
      <w:r w:rsidRPr="00F745EE">
        <w:rPr>
          <w:rStyle w:val="AERbody"/>
        </w:rPr>
        <w:t>capex (in this case, 20</w:t>
      </w:r>
      <w:r w:rsidR="00342B8C">
        <w:rPr>
          <w:rStyle w:val="AERbody"/>
        </w:rPr>
        <w:t>10</w:t>
      </w:r>
      <w:r w:rsidR="000B70FD">
        <w:rPr>
          <w:rStyle w:val="AERbody"/>
        </w:rPr>
        <w:noBreakHyphen/>
      </w:r>
      <w:r w:rsidRPr="00F745EE">
        <w:rPr>
          <w:rStyle w:val="AERbody"/>
        </w:rPr>
        <w:t>1</w:t>
      </w:r>
      <w:r w:rsidR="00342B8C">
        <w:rPr>
          <w:rStyle w:val="AERbody"/>
        </w:rPr>
        <w:t>1</w:t>
      </w:r>
      <w:r w:rsidRPr="00F745EE">
        <w:rPr>
          <w:rStyle w:val="AERbody"/>
        </w:rPr>
        <w:t>). Therefore, our assessment of conforming capex includes the regulatory years for 20</w:t>
      </w:r>
      <w:r w:rsidR="004E4402">
        <w:rPr>
          <w:rStyle w:val="AERbody"/>
        </w:rPr>
        <w:t>10</w:t>
      </w:r>
      <w:r w:rsidRPr="00F745EE">
        <w:rPr>
          <w:rStyle w:val="AERbody"/>
        </w:rPr>
        <w:t>–1</w:t>
      </w:r>
      <w:r w:rsidR="004E4402">
        <w:rPr>
          <w:rStyle w:val="AERbody"/>
        </w:rPr>
        <w:t>6</w:t>
      </w:r>
      <w:r w:rsidRPr="00F745EE">
        <w:rPr>
          <w:rStyle w:val="AERbody"/>
        </w:rPr>
        <w:t xml:space="preserve">. </w:t>
      </w:r>
      <w:r w:rsidR="00FB7114" w:rsidRPr="00FB7114">
        <w:t xml:space="preserve">We consider the following when determining the opening capital base for </w:t>
      </w:r>
      <w:r w:rsidR="006A555A">
        <w:t>2016–21</w:t>
      </w:r>
      <w:r w:rsidR="00FB7114" w:rsidRPr="00FB7114">
        <w:t>:</w:t>
      </w:r>
    </w:p>
    <w:p w:rsidR="00942B45" w:rsidRDefault="00C47C15" w:rsidP="00B64986">
      <w:pPr>
        <w:pStyle w:val="ListNumber"/>
      </w:pPr>
      <w:r w:rsidRPr="004E4402">
        <w:t>20</w:t>
      </w:r>
      <w:r w:rsidR="004E4402">
        <w:t>10</w:t>
      </w:r>
      <w:r w:rsidRPr="004E4402">
        <w:t>–1</w:t>
      </w:r>
      <w:r w:rsidR="004E4402">
        <w:t>1</w:t>
      </w:r>
      <w:r w:rsidRPr="00F745EE">
        <w:rPr>
          <w:rStyle w:val="AERbody"/>
        </w:rPr>
        <w:t xml:space="preserve"> capex—when conducting the previous access arrangement review, we did not yet have actual capex for 20</w:t>
      </w:r>
      <w:r w:rsidR="00F96B7B">
        <w:rPr>
          <w:rStyle w:val="AERbody"/>
        </w:rPr>
        <w:t>10</w:t>
      </w:r>
      <w:r w:rsidRPr="00F745EE">
        <w:rPr>
          <w:rStyle w:val="AERbody"/>
        </w:rPr>
        <w:t>–1</w:t>
      </w:r>
      <w:r w:rsidR="00F96B7B">
        <w:rPr>
          <w:rStyle w:val="AERbody"/>
        </w:rPr>
        <w:t>1</w:t>
      </w:r>
      <w:r w:rsidRPr="00F745EE">
        <w:rPr>
          <w:rStyle w:val="AERbody"/>
        </w:rPr>
        <w:t xml:space="preserve">. </w:t>
      </w:r>
      <w:r w:rsidR="00FB7114">
        <w:t>The NGR requires adjustment for differences between actual and estimated capex.</w:t>
      </w:r>
      <w:r w:rsidR="00FB7114">
        <w:rPr>
          <w:rStyle w:val="FootnoteReference"/>
        </w:rPr>
        <w:footnoteReference w:id="11"/>
      </w:r>
      <w:r w:rsidR="00FB7114">
        <w:t xml:space="preserve"> </w:t>
      </w:r>
      <w:r w:rsidRPr="00F745EE">
        <w:rPr>
          <w:rStyle w:val="AERbody"/>
        </w:rPr>
        <w:t xml:space="preserve">Since actual capex </w:t>
      </w:r>
      <w:r w:rsidR="00FB7114" w:rsidRPr="00F745EE">
        <w:rPr>
          <w:rStyle w:val="AERbody"/>
        </w:rPr>
        <w:t>for 20</w:t>
      </w:r>
      <w:r w:rsidR="00FB7114">
        <w:rPr>
          <w:rStyle w:val="AERbody"/>
        </w:rPr>
        <w:t>10</w:t>
      </w:r>
      <w:r w:rsidR="00FB7114" w:rsidRPr="00F745EE">
        <w:rPr>
          <w:rStyle w:val="AERbody"/>
        </w:rPr>
        <w:t>–1</w:t>
      </w:r>
      <w:r w:rsidR="00FB7114">
        <w:rPr>
          <w:rStyle w:val="AERbody"/>
        </w:rPr>
        <w:t>1</w:t>
      </w:r>
      <w:r w:rsidR="00942B45">
        <w:rPr>
          <w:rStyle w:val="AERbody"/>
        </w:rPr>
        <w:t xml:space="preserve"> </w:t>
      </w:r>
      <w:r w:rsidRPr="00F745EE">
        <w:rPr>
          <w:rStyle w:val="AERbody"/>
        </w:rPr>
        <w:t xml:space="preserve">is now available, </w:t>
      </w:r>
      <w:r w:rsidR="00942B45">
        <w:t>we have</w:t>
      </w:r>
      <w:r w:rsidR="00942B45" w:rsidRPr="00942B45">
        <w:t xml:space="preserve"> assess</w:t>
      </w:r>
      <w:r w:rsidR="00942B45">
        <w:t>ed</w:t>
      </w:r>
      <w:r w:rsidR="00942B45" w:rsidRPr="00942B45">
        <w:t xml:space="preserve"> whether this capex is conforming capex under the NGR.</w:t>
      </w:r>
      <w:r w:rsidR="00942B45">
        <w:t xml:space="preserve"> </w:t>
      </w:r>
    </w:p>
    <w:p w:rsidR="00942B45" w:rsidRDefault="00AE54C2" w:rsidP="00B64986">
      <w:pPr>
        <w:pStyle w:val="ListNumber"/>
      </w:pPr>
      <w:r w:rsidRPr="00F745EE">
        <w:rPr>
          <w:rStyle w:val="AERbody"/>
        </w:rPr>
        <w:t>201</w:t>
      </w:r>
      <w:r w:rsidR="00D76C03">
        <w:rPr>
          <w:rStyle w:val="AERbody"/>
        </w:rPr>
        <w:t>1</w:t>
      </w:r>
      <w:r w:rsidRPr="00F745EE">
        <w:rPr>
          <w:rStyle w:val="AERbody"/>
        </w:rPr>
        <w:t>–1</w:t>
      </w:r>
      <w:r w:rsidR="00942B45">
        <w:rPr>
          <w:rStyle w:val="AERbody"/>
        </w:rPr>
        <w:t>5</w:t>
      </w:r>
      <w:r w:rsidRPr="00F745EE">
        <w:rPr>
          <w:rStyle w:val="AERbody"/>
        </w:rPr>
        <w:t xml:space="preserve"> capex—</w:t>
      </w:r>
      <w:r w:rsidR="00942B45" w:rsidRPr="00942B45">
        <w:t xml:space="preserve"> </w:t>
      </w:r>
      <w:r w:rsidR="00942B45">
        <w:t xml:space="preserve">since we have actual capex </w:t>
      </w:r>
      <w:r w:rsidR="00E6745A">
        <w:t xml:space="preserve">data </w:t>
      </w:r>
      <w:r w:rsidR="00942B45">
        <w:t>for these years, we have assessed whether this is conforming capex under the NGR.</w:t>
      </w:r>
      <w:r w:rsidR="00942B45">
        <w:rPr>
          <w:rStyle w:val="FootnoteReference"/>
        </w:rPr>
        <w:footnoteReference w:id="12"/>
      </w:r>
      <w:r w:rsidR="00942B45">
        <w:t xml:space="preserve"> We have included conforming capex in the capital base roll forward.</w:t>
      </w:r>
      <w:r w:rsidR="00942B45">
        <w:rPr>
          <w:rStyle w:val="FootnoteReference"/>
        </w:rPr>
        <w:footnoteReference w:id="13"/>
      </w:r>
    </w:p>
    <w:p w:rsidR="00C47C15" w:rsidRPr="00887302" w:rsidRDefault="00D76C03" w:rsidP="00B64986">
      <w:pPr>
        <w:pStyle w:val="ListNumber"/>
      </w:pPr>
      <w:r w:rsidRPr="00F745EE">
        <w:rPr>
          <w:rStyle w:val="AERbody"/>
        </w:rPr>
        <w:t>201</w:t>
      </w:r>
      <w:r>
        <w:rPr>
          <w:rStyle w:val="AERbody"/>
        </w:rPr>
        <w:t>5</w:t>
      </w:r>
      <w:r w:rsidRPr="00F745EE">
        <w:rPr>
          <w:rStyle w:val="AERbody"/>
        </w:rPr>
        <w:t>–1</w:t>
      </w:r>
      <w:r>
        <w:rPr>
          <w:rStyle w:val="AERbody"/>
        </w:rPr>
        <w:t>6</w:t>
      </w:r>
      <w:r w:rsidRPr="00F745EE">
        <w:rPr>
          <w:rStyle w:val="AERbody"/>
        </w:rPr>
        <w:t xml:space="preserve"> capex—for this access arrangement review, we do not yet have actual capex for 201</w:t>
      </w:r>
      <w:r>
        <w:rPr>
          <w:rStyle w:val="AERbody"/>
        </w:rPr>
        <w:t>5</w:t>
      </w:r>
      <w:r w:rsidRPr="00F745EE">
        <w:rPr>
          <w:rStyle w:val="AERbody"/>
        </w:rPr>
        <w:t>–1</w:t>
      </w:r>
      <w:r>
        <w:rPr>
          <w:rStyle w:val="AERbody"/>
        </w:rPr>
        <w:t>6</w:t>
      </w:r>
      <w:r w:rsidR="00E6745A">
        <w:rPr>
          <w:rStyle w:val="AERbody"/>
        </w:rPr>
        <w:t xml:space="preserve"> and so must rely on an estimate</w:t>
      </w:r>
      <w:r w:rsidRPr="00F745EE">
        <w:rPr>
          <w:rStyle w:val="AERbody"/>
        </w:rPr>
        <w:t xml:space="preserve">. </w:t>
      </w:r>
      <w:r w:rsidR="00942B45">
        <w:t>For this decision, we have</w:t>
      </w:r>
      <w:r w:rsidR="00942B45" w:rsidRPr="00942B45">
        <w:t xml:space="preserve"> assess</w:t>
      </w:r>
      <w:r w:rsidR="00942B45">
        <w:t>ed whether this estimate is</w:t>
      </w:r>
      <w:r w:rsidR="00942B45" w:rsidRPr="00942B45">
        <w:t xml:space="preserve"> conforming capex under the NGR.</w:t>
      </w:r>
      <w:r w:rsidR="00942B45">
        <w:t xml:space="preserve"> </w:t>
      </w:r>
      <w:r w:rsidRPr="00F745EE">
        <w:rPr>
          <w:rStyle w:val="AERbody"/>
        </w:rPr>
        <w:t xml:space="preserve">At the next access arrangement review, we will assess whether </w:t>
      </w:r>
      <w:r>
        <w:rPr>
          <w:rStyle w:val="AERbody"/>
        </w:rPr>
        <w:t>APTNT’s</w:t>
      </w:r>
      <w:r w:rsidRPr="00F745EE">
        <w:rPr>
          <w:rStyle w:val="AERbody"/>
        </w:rPr>
        <w:t xml:space="preserve"> actual capex for 201</w:t>
      </w:r>
      <w:r>
        <w:rPr>
          <w:rStyle w:val="AERbody"/>
        </w:rPr>
        <w:t>5</w:t>
      </w:r>
      <w:r w:rsidRPr="00F745EE">
        <w:rPr>
          <w:rStyle w:val="AERbody"/>
        </w:rPr>
        <w:t>–1</w:t>
      </w:r>
      <w:r>
        <w:rPr>
          <w:rStyle w:val="AERbody"/>
        </w:rPr>
        <w:t>6</w:t>
      </w:r>
      <w:r w:rsidRPr="00F745EE">
        <w:rPr>
          <w:rStyle w:val="AERbody"/>
        </w:rPr>
        <w:t xml:space="preserve"> is conforming capex under the NGR</w:t>
      </w:r>
      <w:r w:rsidR="00802753">
        <w:rPr>
          <w:rStyle w:val="AERbody"/>
        </w:rPr>
        <w:t>, and adjust for any differences between actual and estimated capex</w:t>
      </w:r>
      <w:r w:rsidRPr="00F745EE">
        <w:rPr>
          <w:rStyle w:val="AERbody"/>
        </w:rPr>
        <w:t>.</w:t>
      </w:r>
      <w:r w:rsidRPr="00F745EE">
        <w:rPr>
          <w:rStyle w:val="FootnoteReference"/>
        </w:rPr>
        <w:footnoteReference w:id="14"/>
      </w:r>
    </w:p>
    <w:p w:rsidR="00887302" w:rsidRPr="00F745EE" w:rsidRDefault="00887302" w:rsidP="00F11395">
      <w:pPr>
        <w:pStyle w:val="Heading3"/>
        <w:keepNext/>
        <w:rPr>
          <w:rFonts w:eastAsia="Calibri"/>
        </w:rPr>
      </w:pPr>
      <w:bookmarkStart w:id="27" w:name="_Ref432758648"/>
      <w:bookmarkStart w:id="28" w:name="_Toc436042753"/>
      <w:r w:rsidRPr="00FB7114">
        <w:t>Assess</w:t>
      </w:r>
      <w:r w:rsidR="00843CB1">
        <w:t>ment of</w:t>
      </w:r>
      <w:r w:rsidRPr="00F745EE">
        <w:rPr>
          <w:rFonts w:eastAsia="Calibri"/>
        </w:rPr>
        <w:t xml:space="preserve"> forecast capex for the 201</w:t>
      </w:r>
      <w:r>
        <w:rPr>
          <w:rFonts w:eastAsia="Calibri"/>
        </w:rPr>
        <w:t>6</w:t>
      </w:r>
      <w:r w:rsidR="0032658E">
        <w:rPr>
          <w:rFonts w:eastAsia="Calibri"/>
        </w:rPr>
        <w:t>–</w:t>
      </w:r>
      <w:r>
        <w:rPr>
          <w:rFonts w:eastAsia="Calibri"/>
        </w:rPr>
        <w:t>21</w:t>
      </w:r>
      <w:r w:rsidRPr="00F745EE">
        <w:rPr>
          <w:rFonts w:eastAsia="Calibri"/>
        </w:rPr>
        <w:t xml:space="preserve"> </w:t>
      </w:r>
      <w:r>
        <w:rPr>
          <w:rFonts w:eastAsia="Calibri"/>
        </w:rPr>
        <w:t xml:space="preserve">access arrangement </w:t>
      </w:r>
      <w:r w:rsidRPr="00F745EE">
        <w:rPr>
          <w:rFonts w:eastAsia="Calibri"/>
        </w:rPr>
        <w:t>period</w:t>
      </w:r>
      <w:bookmarkEnd w:id="27"/>
      <w:bookmarkEnd w:id="28"/>
    </w:p>
    <w:p w:rsidR="00802753" w:rsidRPr="00F745EE" w:rsidRDefault="00802753" w:rsidP="00802753">
      <w:pPr>
        <w:rPr>
          <w:rStyle w:val="AERbody"/>
        </w:rPr>
      </w:pPr>
      <w:r w:rsidRPr="00D76C03">
        <w:t>We assessed the key</w:t>
      </w:r>
      <w:r w:rsidRPr="00F745EE">
        <w:rPr>
          <w:rStyle w:val="AERbody"/>
          <w:rFonts w:eastAsia="Calibri"/>
        </w:rPr>
        <w:t xml:space="preserve"> drivers </w:t>
      </w:r>
      <w:r>
        <w:rPr>
          <w:rStyle w:val="AERbody"/>
          <w:rFonts w:eastAsia="Calibri"/>
        </w:rPr>
        <w:t>of forecast</w:t>
      </w:r>
      <w:r w:rsidRPr="00F745EE">
        <w:rPr>
          <w:rStyle w:val="AERbody"/>
          <w:rFonts w:eastAsia="Calibri"/>
        </w:rPr>
        <w:t xml:space="preserve"> capex to </w:t>
      </w:r>
      <w:r w:rsidR="00D86287">
        <w:rPr>
          <w:rStyle w:val="AERbody"/>
          <w:rFonts w:eastAsia="Calibri"/>
        </w:rPr>
        <w:t>consider</w:t>
      </w:r>
      <w:r w:rsidRPr="00F745EE">
        <w:rPr>
          <w:rStyle w:val="AERbody"/>
          <w:rFonts w:eastAsia="Calibri"/>
        </w:rPr>
        <w:t xml:space="preserve"> whether </w:t>
      </w:r>
      <w:r>
        <w:rPr>
          <w:rStyle w:val="AERbody"/>
          <w:rFonts w:eastAsia="Calibri"/>
        </w:rPr>
        <w:t>APTNT</w:t>
      </w:r>
      <w:r w:rsidRPr="00F745EE">
        <w:rPr>
          <w:rStyle w:val="AERbody"/>
          <w:rFonts w:eastAsia="Calibri"/>
        </w:rPr>
        <w:t>’s proposed capex in the projected capital base compli</w:t>
      </w:r>
      <w:r>
        <w:rPr>
          <w:rStyle w:val="AERbody"/>
          <w:rFonts w:eastAsia="Calibri"/>
        </w:rPr>
        <w:t>es with the capex criteria in rule 79(1)</w:t>
      </w:r>
      <w:r w:rsidRPr="00F745EE">
        <w:rPr>
          <w:rStyle w:val="AERbody"/>
          <w:rFonts w:eastAsia="Calibri"/>
        </w:rPr>
        <w:t xml:space="preserve"> of the NGR. In doing so, we relied on </w:t>
      </w:r>
      <w:r w:rsidRPr="00F745EE">
        <w:rPr>
          <w:rStyle w:val="AERbody"/>
        </w:rPr>
        <w:t>information</w:t>
      </w:r>
      <w:r w:rsidR="00E6745A">
        <w:rPr>
          <w:rStyle w:val="AERbody"/>
        </w:rPr>
        <w:t>, including</w:t>
      </w:r>
      <w:r w:rsidRPr="00F745EE">
        <w:rPr>
          <w:rStyle w:val="AERbody"/>
        </w:rPr>
        <w:t>:</w:t>
      </w:r>
    </w:p>
    <w:p w:rsidR="00802753" w:rsidRPr="00F745EE" w:rsidRDefault="00802753" w:rsidP="00802753">
      <w:pPr>
        <w:pStyle w:val="AERbulletlistfirststyle"/>
      </w:pPr>
      <w:r>
        <w:t>th</w:t>
      </w:r>
      <w:r w:rsidRPr="00F745EE">
        <w:t xml:space="preserve">e </w:t>
      </w:r>
      <w:r w:rsidR="00440867">
        <w:t>access a</w:t>
      </w:r>
      <w:r>
        <w:t>rrangement revision submissi</w:t>
      </w:r>
      <w:r w:rsidR="00440867">
        <w:t>on and a</w:t>
      </w:r>
      <w:r w:rsidRPr="00F745EE">
        <w:t xml:space="preserve">ccess </w:t>
      </w:r>
      <w:r w:rsidR="00440867">
        <w:t>a</w:t>
      </w:r>
      <w:r w:rsidRPr="00F745EE">
        <w:t xml:space="preserve">rrangement </w:t>
      </w:r>
      <w:r w:rsidR="00440867">
        <w:t>i</w:t>
      </w:r>
      <w:r w:rsidRPr="00F745EE">
        <w:t>nformation (AAI) - th</w:t>
      </w:r>
      <w:r>
        <w:t>ese</w:t>
      </w:r>
      <w:r w:rsidRPr="00F745EE">
        <w:t xml:space="preserve"> document</w:t>
      </w:r>
      <w:r>
        <w:t>s</w:t>
      </w:r>
      <w:r w:rsidRPr="00F745EE">
        <w:t xml:space="preserve"> outline </w:t>
      </w:r>
      <w:r>
        <w:t>APTNT’s</w:t>
      </w:r>
      <w:r w:rsidRPr="00F745EE">
        <w:t xml:space="preserve"> program </w:t>
      </w:r>
      <w:r w:rsidR="00440867">
        <w:t>and main drivers</w:t>
      </w:r>
      <w:r w:rsidR="00440867" w:rsidRPr="00F745EE">
        <w:t xml:space="preserve"> </w:t>
      </w:r>
      <w:r w:rsidRPr="00F745EE">
        <w:t>of c</w:t>
      </w:r>
      <w:r w:rsidR="00016EE5">
        <w:t>apital expenditure</w:t>
      </w:r>
      <w:r w:rsidRPr="00F745EE">
        <w:rPr>
          <w:rStyle w:val="FootnoteReference"/>
        </w:rPr>
        <w:footnoteReference w:id="15"/>
      </w:r>
    </w:p>
    <w:p w:rsidR="00802753" w:rsidRPr="00F745EE" w:rsidRDefault="00802753" w:rsidP="00802753">
      <w:pPr>
        <w:pStyle w:val="AERbulletlistfirststyle"/>
      </w:pPr>
      <w:r>
        <w:t>t</w:t>
      </w:r>
      <w:r w:rsidRPr="00F745EE">
        <w:t xml:space="preserve">he </w:t>
      </w:r>
      <w:r w:rsidR="00440867">
        <w:t xml:space="preserve">Amadeus Gas Pipeline </w:t>
      </w:r>
      <w:r w:rsidRPr="00440867">
        <w:t>Asset Management Plan</w:t>
      </w:r>
      <w:r w:rsidR="00440867">
        <w:t>, Pipeline Integrity Management Plan</w:t>
      </w:r>
      <w:r w:rsidRPr="00440867">
        <w:t xml:space="preserve"> and </w:t>
      </w:r>
      <w:r w:rsidR="00D87E3F">
        <w:t xml:space="preserve">associated </w:t>
      </w:r>
      <w:r w:rsidRPr="00440867">
        <w:t xml:space="preserve">appendices </w:t>
      </w:r>
      <w:r w:rsidR="00D87E3F">
        <w:t>and reports which provide</w:t>
      </w:r>
      <w:r w:rsidRPr="00440867">
        <w:t xml:space="preserve"> specific expenditur</w:t>
      </w:r>
      <w:r w:rsidRPr="00F745EE">
        <w:t xml:space="preserve">e </w:t>
      </w:r>
      <w:r w:rsidR="00440867">
        <w:t xml:space="preserve">or technical </w:t>
      </w:r>
      <w:r w:rsidRPr="00F745EE">
        <w:t>detail</w:t>
      </w:r>
      <w:r w:rsidRPr="00F745EE">
        <w:rPr>
          <w:rStyle w:val="FootnoteReference"/>
        </w:rPr>
        <w:footnoteReference w:id="16"/>
      </w:r>
    </w:p>
    <w:p w:rsidR="00440867" w:rsidRPr="00F745EE" w:rsidRDefault="00440867" w:rsidP="00440867">
      <w:pPr>
        <w:pStyle w:val="AERbulletlistfirststyle"/>
        <w:rPr>
          <w:rFonts w:eastAsia="Calibri"/>
        </w:rPr>
      </w:pPr>
      <w:r w:rsidRPr="00802753">
        <w:t>business</w:t>
      </w:r>
      <w:r>
        <w:t xml:space="preserve"> cases which detail expenditure requirements for specific projects</w:t>
      </w:r>
    </w:p>
    <w:p w:rsidR="00802753" w:rsidRPr="00F745EE" w:rsidRDefault="00802753" w:rsidP="00802753">
      <w:pPr>
        <w:pStyle w:val="AERbulletlistfirststyle"/>
      </w:pPr>
      <w:r w:rsidRPr="00802753">
        <w:t>APTNT</w:t>
      </w:r>
      <w:r w:rsidR="00440867">
        <w:t>’s</w:t>
      </w:r>
      <w:r>
        <w:t xml:space="preserve"> </w:t>
      </w:r>
      <w:r w:rsidRPr="00F745EE">
        <w:t>RIN template</w:t>
      </w:r>
      <w:r w:rsidR="00440867">
        <w:t xml:space="preserve"> response</w:t>
      </w:r>
      <w:r w:rsidRPr="00F745EE">
        <w:rPr>
          <w:rStyle w:val="FootnoteReference"/>
        </w:rPr>
        <w:footnoteReference w:id="17"/>
      </w:r>
    </w:p>
    <w:p w:rsidR="00802753" w:rsidRPr="00D87E3F" w:rsidRDefault="00440867" w:rsidP="00802753">
      <w:pPr>
        <w:pStyle w:val="AERbulletlistfirststyle"/>
        <w:rPr>
          <w:rFonts w:eastAsia="Calibri"/>
        </w:rPr>
      </w:pPr>
      <w:r>
        <w:t xml:space="preserve">APTNT’s </w:t>
      </w:r>
      <w:r w:rsidR="00802753" w:rsidRPr="00802753">
        <w:t>capex</w:t>
      </w:r>
      <w:r w:rsidR="00802753" w:rsidRPr="00F745EE">
        <w:t xml:space="preserve"> </w:t>
      </w:r>
      <w:r w:rsidR="00802753" w:rsidRPr="00942B45">
        <w:t>forecast</w:t>
      </w:r>
      <w:r w:rsidR="00802753" w:rsidRPr="00F745EE">
        <w:t xml:space="preserve"> model</w:t>
      </w:r>
      <w:r w:rsidR="00802753" w:rsidRPr="00F745EE">
        <w:rPr>
          <w:rStyle w:val="FootnoteReference"/>
        </w:rPr>
        <w:footnoteReference w:id="18"/>
      </w:r>
    </w:p>
    <w:p w:rsidR="00D87E3F" w:rsidRPr="00E64769" w:rsidRDefault="00D87E3F" w:rsidP="00802753">
      <w:pPr>
        <w:pStyle w:val="AERbulletlistfirststyle"/>
        <w:rPr>
          <w:rFonts w:eastAsia="Calibri"/>
        </w:rPr>
      </w:pPr>
      <w:r>
        <w:t>net present value (NPV) analyses of incremental revenue associated with expansion projects</w:t>
      </w:r>
    </w:p>
    <w:p w:rsidR="00802753" w:rsidRPr="00F745EE" w:rsidRDefault="00802753" w:rsidP="00802753">
      <w:pPr>
        <w:pStyle w:val="AERbulletlistfirststyle"/>
        <w:rPr>
          <w:rFonts w:eastAsia="Calibri"/>
        </w:rPr>
      </w:pPr>
      <w:r w:rsidRPr="00802753">
        <w:t>engineering</w:t>
      </w:r>
      <w:r>
        <w:t xml:space="preserve"> advice </w:t>
      </w:r>
      <w:r w:rsidR="00E6745A">
        <w:t xml:space="preserve">we commissioned </w:t>
      </w:r>
      <w:r>
        <w:t xml:space="preserve">from Sleeman Consulting to assist in assessing the prudency and efficiency of selected projects in </w:t>
      </w:r>
      <w:r w:rsidR="00D87E3F">
        <w:t xml:space="preserve">both </w:t>
      </w:r>
      <w:r>
        <w:t xml:space="preserve">the </w:t>
      </w:r>
      <w:r w:rsidR="006A555A">
        <w:t>2011–16</w:t>
      </w:r>
      <w:r w:rsidR="00D87E3F">
        <w:t xml:space="preserve"> access arrangement period and the </w:t>
      </w:r>
      <w:r w:rsidR="006A555A">
        <w:t>2016–21</w:t>
      </w:r>
      <w:r>
        <w:t xml:space="preserve"> access arrangement period.</w:t>
      </w:r>
      <w:r>
        <w:rPr>
          <w:rStyle w:val="FootnoteReference"/>
        </w:rPr>
        <w:footnoteReference w:id="19"/>
      </w:r>
    </w:p>
    <w:p w:rsidR="00802753" w:rsidRPr="00F745EE" w:rsidRDefault="00802753" w:rsidP="00802753">
      <w:r w:rsidRPr="00F745EE">
        <w:t>For analysis purposes</w:t>
      </w:r>
      <w:r>
        <w:t>,</w:t>
      </w:r>
      <w:r w:rsidRPr="00F745EE">
        <w:t xml:space="preserve"> the capex was broken into categories depending on whether the expenditure is driven by:</w:t>
      </w:r>
    </w:p>
    <w:p w:rsidR="00802753" w:rsidRPr="00942B45" w:rsidRDefault="00936E04" w:rsidP="00802753">
      <w:pPr>
        <w:pStyle w:val="AERbulletlistfirststyle"/>
      </w:pPr>
      <w:r>
        <w:t>e</w:t>
      </w:r>
      <w:r w:rsidR="00802753" w:rsidRPr="00802753">
        <w:t>xpansion</w:t>
      </w:r>
      <w:r w:rsidR="00802753">
        <w:t>—</w:t>
      </w:r>
      <w:r w:rsidR="00802753" w:rsidRPr="00942B45">
        <w:t>required to expand the capacity of the pipeline to meet demand both within the access arrangement period and beyond</w:t>
      </w:r>
    </w:p>
    <w:p w:rsidR="00802753" w:rsidRPr="00942B45" w:rsidRDefault="00936E04" w:rsidP="00802753">
      <w:pPr>
        <w:pStyle w:val="AERbulletlistfirststyle"/>
      </w:pPr>
      <w:r>
        <w:t>r</w:t>
      </w:r>
      <w:r w:rsidR="00802753" w:rsidRPr="00802753">
        <w:t>eplacement</w:t>
      </w:r>
      <w:r w:rsidR="00802753">
        <w:t>—</w:t>
      </w:r>
      <w:r w:rsidR="00802753" w:rsidRPr="00714301">
        <w:t>on the basis of asset life, obsolescence, safety or regulatory obligations</w:t>
      </w:r>
      <w:r w:rsidR="00802753">
        <w:t>,</w:t>
      </w:r>
      <w:r w:rsidR="00802753" w:rsidRPr="00714301">
        <w:t xml:space="preserve"> </w:t>
      </w:r>
      <w:r w:rsidR="00802753" w:rsidRPr="00942B45">
        <w:t>which is required to maintain the integrity of the pipeline, or</w:t>
      </w:r>
    </w:p>
    <w:p w:rsidR="00802753" w:rsidRPr="00F745EE" w:rsidRDefault="00936E04" w:rsidP="00802753">
      <w:pPr>
        <w:pStyle w:val="AERbulletlistfirststyle"/>
      </w:pPr>
      <w:r>
        <w:t>n</w:t>
      </w:r>
      <w:r w:rsidR="00802753" w:rsidRPr="00942B45">
        <w:t>on-</w:t>
      </w:r>
      <w:r w:rsidR="00802753" w:rsidRPr="00802753">
        <w:t>system</w:t>
      </w:r>
      <w:r w:rsidR="00802753" w:rsidRPr="00942B45">
        <w:t xml:space="preserve"> capital</w:t>
      </w:r>
      <w:r w:rsidR="00802753">
        <w:t xml:space="preserve"> expenditure—relating</w:t>
      </w:r>
      <w:r w:rsidR="00802753" w:rsidRPr="003C54C6">
        <w:t xml:space="preserve"> to capital required for replacement of</w:t>
      </w:r>
      <w:r w:rsidR="00802753">
        <w:t xml:space="preserve"> </w:t>
      </w:r>
      <w:r w:rsidR="00802753" w:rsidRPr="003C54C6">
        <w:t xml:space="preserve">items such as </w:t>
      </w:r>
      <w:r w:rsidR="00802753">
        <w:t xml:space="preserve">motor vehicles, </w:t>
      </w:r>
      <w:r w:rsidR="00802753" w:rsidRPr="003C54C6">
        <w:t xml:space="preserve">office furniture and </w:t>
      </w:r>
      <w:r w:rsidR="00802753">
        <w:t>IT systems</w:t>
      </w:r>
      <w:r w:rsidR="00802753" w:rsidRPr="00F745EE">
        <w:t xml:space="preserve">. </w:t>
      </w:r>
    </w:p>
    <w:p w:rsidR="0081714E" w:rsidRDefault="0081714E" w:rsidP="00802753">
      <w:r>
        <w:t>We</w:t>
      </w:r>
      <w:r w:rsidRPr="00F745EE">
        <w:t xml:space="preserve"> assessed the prudency and efficiency of the proposed capex</w:t>
      </w:r>
      <w:r>
        <w:t>, to determine whether the capex is such as would be incurred by a prudent operator acting efficiently, in accordance with accepted good industry practice, to achieve the lowest sustainable cost of providing services</w:t>
      </w:r>
      <w:r w:rsidRPr="00F745EE">
        <w:t>.</w:t>
      </w:r>
      <w:r w:rsidR="00016EE5">
        <w:rPr>
          <w:rStyle w:val="FootnoteReference"/>
        </w:rPr>
        <w:footnoteReference w:id="20"/>
      </w:r>
      <w:r w:rsidRPr="00F745EE">
        <w:t xml:space="preserve"> </w:t>
      </w:r>
      <w:r w:rsidR="00016EE5">
        <w:t>W</w:t>
      </w:r>
      <w:r w:rsidR="00016EE5" w:rsidRPr="00F745EE">
        <w:t xml:space="preserve">e </w:t>
      </w:r>
      <w:r w:rsidR="00016EE5">
        <w:t xml:space="preserve">also </w:t>
      </w:r>
      <w:r w:rsidR="00016EE5" w:rsidRPr="00F745EE">
        <w:t>assessed whether the proposed capex is justified on one of the four grounds under NGR r. 79(2).</w:t>
      </w:r>
    </w:p>
    <w:p w:rsidR="00802753" w:rsidRDefault="00802753" w:rsidP="0081714E">
      <w:pPr>
        <w:rPr>
          <w:rFonts w:eastAsia="Calibri"/>
        </w:rPr>
      </w:pPr>
      <w:r w:rsidRPr="00F745EE">
        <w:t xml:space="preserve">For each category of expenditure the scope, timing and cost of the proposed expenditure was considered in order to form a view on the prudency and efficiency of the expenditure. </w:t>
      </w:r>
      <w:r w:rsidR="0081714E">
        <w:t>Our</w:t>
      </w:r>
      <w:r w:rsidRPr="00F745EE">
        <w:t xml:space="preserve"> assessment also considered whether cost forecasts have been arrived at on a reasonable basis and represent the best forecast possible in the circumstances.</w:t>
      </w:r>
      <w:r w:rsidR="00016EE5">
        <w:rPr>
          <w:rStyle w:val="FootnoteReference"/>
        </w:rPr>
        <w:footnoteReference w:id="21"/>
      </w:r>
    </w:p>
    <w:p w:rsidR="00887302" w:rsidRDefault="00887302" w:rsidP="006C48AF">
      <w:pPr>
        <w:pStyle w:val="Heading3"/>
      </w:pPr>
      <w:bookmarkStart w:id="29" w:name="_Toc404676547"/>
      <w:bookmarkStart w:id="30" w:name="_Toc404676597"/>
      <w:bookmarkStart w:id="31" w:name="_Toc436042754"/>
      <w:r w:rsidRPr="006C48AF">
        <w:t>Interrelationships</w:t>
      </w:r>
      <w:bookmarkEnd w:id="29"/>
      <w:bookmarkEnd w:id="30"/>
      <w:bookmarkEnd w:id="31"/>
    </w:p>
    <w:p w:rsidR="00887302" w:rsidRPr="00553F2C" w:rsidRDefault="00887302" w:rsidP="006C48AF">
      <w:r w:rsidRPr="00553F2C">
        <w:t xml:space="preserve">In assessing </w:t>
      </w:r>
      <w:r w:rsidR="00765765">
        <w:t>APTNT’s</w:t>
      </w:r>
      <w:r w:rsidRPr="00553F2C">
        <w:t xml:space="preserve"> total forecast </w:t>
      </w:r>
      <w:r w:rsidR="00765765">
        <w:t>cap</w:t>
      </w:r>
      <w:r w:rsidRPr="00553F2C">
        <w:t>ex we took into account ot</w:t>
      </w:r>
      <w:r w:rsidR="0033139B">
        <w:t>her components of its access arrangement</w:t>
      </w:r>
      <w:r w:rsidRPr="00553F2C">
        <w:t xml:space="preserve"> proposal, including:</w:t>
      </w:r>
    </w:p>
    <w:p w:rsidR="00887302" w:rsidRPr="006C48AF" w:rsidRDefault="00887302" w:rsidP="006C48AF">
      <w:pPr>
        <w:pStyle w:val="AERbulletlistfirststyle"/>
      </w:pPr>
      <w:r w:rsidRPr="00553F2C">
        <w:t xml:space="preserve">the </w:t>
      </w:r>
      <w:r w:rsidRPr="006C48AF">
        <w:t xml:space="preserve">trade-off between potential capex and opex solutions in our assessment of </w:t>
      </w:r>
      <w:r w:rsidR="00765765" w:rsidRPr="006C48AF">
        <w:t>APTNT’s</w:t>
      </w:r>
      <w:r w:rsidR="0032658E">
        <w:t xml:space="preserve"> proposed capex</w:t>
      </w:r>
    </w:p>
    <w:p w:rsidR="00E6745A" w:rsidRDefault="00765765" w:rsidP="006C48AF">
      <w:pPr>
        <w:pStyle w:val="AERbulletlistfirststyle"/>
      </w:pPr>
      <w:r w:rsidRPr="006C48AF">
        <w:t>a</w:t>
      </w:r>
      <w:r w:rsidR="00887302" w:rsidRPr="006C48AF">
        <w:t>ny change</w:t>
      </w:r>
      <w:r w:rsidR="00887302">
        <w:t xml:space="preserve"> in the capitalisation policy applied between the current access arrangement and the </w:t>
      </w:r>
      <w:r w:rsidR="006A555A">
        <w:t>2016–21</w:t>
      </w:r>
      <w:r w:rsidR="00887302">
        <w:t xml:space="preserve"> access arrangement period</w:t>
      </w:r>
      <w:r w:rsidR="001C3D2D">
        <w:t>, and</w:t>
      </w:r>
    </w:p>
    <w:p w:rsidR="00887302" w:rsidRDefault="00E6745A" w:rsidP="006C48AF">
      <w:pPr>
        <w:pStyle w:val="AERbulletlistfirststyle"/>
      </w:pPr>
      <w:r>
        <w:t xml:space="preserve">proposed real growth in the escalation of labour costs relevant to both opex and capex. </w:t>
      </w:r>
    </w:p>
    <w:p w:rsidR="00887302" w:rsidRDefault="00887302" w:rsidP="0032658E">
      <w:pPr>
        <w:pStyle w:val="Heading2"/>
      </w:pPr>
      <w:bookmarkStart w:id="32" w:name="_Toc404676548"/>
      <w:bookmarkStart w:id="33" w:name="_Toc404676598"/>
      <w:bookmarkStart w:id="34" w:name="_Toc436042755"/>
      <w:r w:rsidRPr="0032658E">
        <w:t>Reasons</w:t>
      </w:r>
      <w:r>
        <w:t xml:space="preserve"> for draft decision</w:t>
      </w:r>
      <w:bookmarkEnd w:id="32"/>
      <w:bookmarkEnd w:id="33"/>
      <w:bookmarkEnd w:id="34"/>
    </w:p>
    <w:p w:rsidR="00887302" w:rsidRPr="00413233" w:rsidRDefault="00887302" w:rsidP="006C48AF">
      <w:pPr>
        <w:pStyle w:val="Heading3"/>
        <w:rPr>
          <w:rFonts w:eastAsia="Calibri"/>
        </w:rPr>
      </w:pPr>
      <w:bookmarkStart w:id="35" w:name="_Ref331418230"/>
      <w:bookmarkStart w:id="36" w:name="_Toc404676549"/>
      <w:bookmarkStart w:id="37" w:name="_Toc404676599"/>
      <w:bookmarkStart w:id="38" w:name="_Toc436042756"/>
      <w:r w:rsidRPr="006C48AF">
        <w:t>Conforming</w:t>
      </w:r>
      <w:r w:rsidRPr="00413233">
        <w:rPr>
          <w:rFonts w:eastAsia="Calibri"/>
        </w:rPr>
        <w:t xml:space="preserve"> </w:t>
      </w:r>
      <w:r>
        <w:rPr>
          <w:rFonts w:eastAsia="Calibri"/>
        </w:rPr>
        <w:t>capex</w:t>
      </w:r>
      <w:r w:rsidRPr="00413233">
        <w:rPr>
          <w:rFonts w:eastAsia="Calibri"/>
        </w:rPr>
        <w:t xml:space="preserve"> for </w:t>
      </w:r>
      <w:r w:rsidR="00CC3C68">
        <w:rPr>
          <w:rFonts w:eastAsia="Calibri"/>
        </w:rPr>
        <w:t xml:space="preserve">the </w:t>
      </w:r>
      <w:r w:rsidRPr="00413233">
        <w:rPr>
          <w:rFonts w:eastAsia="Calibri"/>
        </w:rPr>
        <w:t>20</w:t>
      </w:r>
      <w:r w:rsidR="00FF31F7">
        <w:rPr>
          <w:rFonts w:eastAsia="Calibri"/>
        </w:rPr>
        <w:t>10</w:t>
      </w:r>
      <w:r w:rsidRPr="00413233">
        <w:rPr>
          <w:rFonts w:eastAsia="Calibri"/>
        </w:rPr>
        <w:t>–1</w:t>
      </w:r>
      <w:bookmarkEnd w:id="35"/>
      <w:bookmarkEnd w:id="36"/>
      <w:bookmarkEnd w:id="37"/>
      <w:r w:rsidR="00CC3C68">
        <w:rPr>
          <w:rFonts w:eastAsia="Calibri"/>
        </w:rPr>
        <w:t>6 period</w:t>
      </w:r>
      <w:bookmarkEnd w:id="38"/>
    </w:p>
    <w:p w:rsidR="002D5654" w:rsidRPr="002D5654" w:rsidRDefault="002D5654" w:rsidP="006C48AF">
      <w:r w:rsidRPr="002D5654">
        <w:t xml:space="preserve">We approve </w:t>
      </w:r>
      <w:r w:rsidR="00B47DEC">
        <w:t>net</w:t>
      </w:r>
      <w:r w:rsidR="00004796">
        <w:t xml:space="preserve"> </w:t>
      </w:r>
      <w:r w:rsidRPr="002D5654">
        <w:t>conforming capex of $</w:t>
      </w:r>
      <w:r w:rsidR="00FF31F7">
        <w:t>37.</w:t>
      </w:r>
      <w:r w:rsidR="00B47DEC">
        <w:t>4</w:t>
      </w:r>
      <w:r w:rsidRPr="002D5654">
        <w:t xml:space="preserve"> million ($2015</w:t>
      </w:r>
      <w:r w:rsidR="000B70FD">
        <w:noBreakHyphen/>
      </w:r>
      <w:r w:rsidRPr="002D5654">
        <w:t xml:space="preserve">16) for the </w:t>
      </w:r>
      <w:r w:rsidR="006A555A">
        <w:t>2011–16</w:t>
      </w:r>
      <w:r w:rsidRPr="002D5654">
        <w:t xml:space="preserve"> access arrangement period. This is a reduction of $</w:t>
      </w:r>
      <w:r w:rsidR="00FF31F7">
        <w:t>7.0</w:t>
      </w:r>
      <w:r w:rsidRPr="002D5654">
        <w:t xml:space="preserve"> million or </w:t>
      </w:r>
      <w:r w:rsidR="00FF31F7">
        <w:t>16</w:t>
      </w:r>
      <w:r w:rsidRPr="002D5654">
        <w:t xml:space="preserve"> per cent from APTNT’s </w:t>
      </w:r>
      <w:r w:rsidR="00936E04">
        <w:t>estimate</w:t>
      </w:r>
      <w:r w:rsidR="00936E04" w:rsidRPr="002D5654">
        <w:t xml:space="preserve"> </w:t>
      </w:r>
      <w:r w:rsidRPr="002D5654">
        <w:t xml:space="preserve">of conforming capex. </w:t>
      </w:r>
      <w:r w:rsidR="00215149">
        <w:t xml:space="preserve">We also approve APTNT’s actual capex </w:t>
      </w:r>
      <w:r w:rsidR="00FF31F7">
        <w:t>of $4.5 million ($2015</w:t>
      </w:r>
      <w:r w:rsidR="000B70FD">
        <w:noBreakHyphen/>
      </w:r>
      <w:r w:rsidR="00FF31F7">
        <w:t xml:space="preserve">16) </w:t>
      </w:r>
      <w:r w:rsidR="00215149">
        <w:t>for the 2010</w:t>
      </w:r>
      <w:r w:rsidR="000B70FD">
        <w:noBreakHyphen/>
      </w:r>
      <w:r w:rsidR="00215149">
        <w:t xml:space="preserve">11 year as conforming capex. </w:t>
      </w:r>
      <w:r w:rsidR="002C6AAE">
        <w:fldChar w:fldCharType="begin"/>
      </w:r>
      <w:r w:rsidR="002C6AAE">
        <w:instrText xml:space="preserve"> REF _Ref432762753 </w:instrText>
      </w:r>
      <w:r w:rsidR="002C6AAE">
        <w:fldChar w:fldCharType="separate"/>
      </w:r>
      <w:r w:rsidR="00F65E22">
        <w:t xml:space="preserve">Table </w:t>
      </w:r>
      <w:r w:rsidR="00F65E22">
        <w:rPr>
          <w:noProof/>
        </w:rPr>
        <w:t>6.7</w:t>
      </w:r>
      <w:r w:rsidR="002C6AAE">
        <w:rPr>
          <w:noProof/>
        </w:rPr>
        <w:fldChar w:fldCharType="end"/>
      </w:r>
      <w:r w:rsidR="005D077A">
        <w:t xml:space="preserve"> </w:t>
      </w:r>
      <w:r w:rsidRPr="002D5654">
        <w:t>summ</w:t>
      </w:r>
      <w:r w:rsidR="00843CB1">
        <w:t xml:space="preserve">arises our approved </w:t>
      </w:r>
      <w:r w:rsidRPr="002D5654">
        <w:t xml:space="preserve">conforming capex for the </w:t>
      </w:r>
      <w:r w:rsidR="006A555A">
        <w:t>2011–16</w:t>
      </w:r>
      <w:r w:rsidRPr="002D5654">
        <w:t xml:space="preserve"> access arrangement period</w:t>
      </w:r>
      <w:r w:rsidR="00843CB1">
        <w:t>, and the preceding 2010</w:t>
      </w:r>
      <w:r w:rsidR="000B70FD">
        <w:noBreakHyphen/>
      </w:r>
      <w:r w:rsidR="00843CB1">
        <w:t>11 year</w:t>
      </w:r>
      <w:r w:rsidRPr="002D5654">
        <w:t>.</w:t>
      </w:r>
    </w:p>
    <w:p w:rsidR="002D5654" w:rsidRPr="002D5654" w:rsidRDefault="00381B88" w:rsidP="000B70FD">
      <w:pPr>
        <w:pStyle w:val="Caption"/>
      </w:pPr>
      <w:bookmarkStart w:id="39" w:name="_Ref432762753"/>
      <w:proofErr w:type="gramStart"/>
      <w:r>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rPr>
          <w:noProof/>
        </w:rPr>
        <w:t>.</w:t>
      </w:r>
      <w:proofErr w:type="gramEnd"/>
      <w:r w:rsidR="002C6AAE">
        <w:fldChar w:fldCharType="begin"/>
      </w:r>
      <w:r w:rsidR="002C6AAE">
        <w:instrText xml:space="preserve"> SEQ Table \* ARABIC \s 1 </w:instrText>
      </w:r>
      <w:r w:rsidR="002C6AAE">
        <w:fldChar w:fldCharType="separate"/>
      </w:r>
      <w:r w:rsidR="00F65E22">
        <w:rPr>
          <w:noProof/>
        </w:rPr>
        <w:t>7</w:t>
      </w:r>
      <w:r w:rsidR="002C6AAE">
        <w:rPr>
          <w:noProof/>
        </w:rPr>
        <w:fldChar w:fldCharType="end"/>
      </w:r>
      <w:bookmarkEnd w:id="39"/>
      <w:r w:rsidR="002D5654" w:rsidRPr="002D5654">
        <w:tab/>
        <w:t>AER approved capital expenditure over the 201</w:t>
      </w:r>
      <w:r w:rsidR="00F30120">
        <w:t>0</w:t>
      </w:r>
      <w:r w:rsidR="002D5654" w:rsidRPr="002D5654">
        <w:t>–20</w:t>
      </w:r>
      <w:r w:rsidR="00F30120">
        <w:t>16</w:t>
      </w:r>
      <w:r w:rsidR="002D5654" w:rsidRPr="002D5654">
        <w:t xml:space="preserve"> period ($million, 2015</w:t>
      </w:r>
      <w:r w:rsidR="000B70FD">
        <w:noBreakHyphen/>
      </w:r>
      <w:r w:rsidR="002D5654" w:rsidRPr="002D5654">
        <w:t>16)</w:t>
      </w:r>
    </w:p>
    <w:tbl>
      <w:tblPr>
        <w:tblStyle w:val="AERtable-numbers"/>
        <w:tblW w:w="0" w:type="auto"/>
        <w:tblLayout w:type="fixed"/>
        <w:tblLook w:val="04A0" w:firstRow="1" w:lastRow="0" w:firstColumn="1" w:lastColumn="0" w:noHBand="0" w:noVBand="1"/>
      </w:tblPr>
      <w:tblGrid>
        <w:gridCol w:w="2235"/>
        <w:gridCol w:w="922"/>
        <w:gridCol w:w="923"/>
        <w:gridCol w:w="922"/>
        <w:gridCol w:w="923"/>
        <w:gridCol w:w="922"/>
        <w:gridCol w:w="923"/>
        <w:gridCol w:w="923"/>
      </w:tblGrid>
      <w:tr w:rsidR="008C0E4B" w:rsidRPr="002D5654" w:rsidTr="00F113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F30120" w:rsidRPr="002D5654" w:rsidRDefault="00F30120" w:rsidP="00487261">
            <w:pPr>
              <w:keepNext/>
            </w:pPr>
          </w:p>
        </w:tc>
        <w:tc>
          <w:tcPr>
            <w:tcW w:w="922"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t>2010-11</w:t>
            </w:r>
          </w:p>
        </w:tc>
        <w:tc>
          <w:tcPr>
            <w:tcW w:w="923"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rsidRPr="002D5654">
              <w:t>201</w:t>
            </w:r>
            <w:r>
              <w:t>1</w:t>
            </w:r>
            <w:r w:rsidRPr="002D5654">
              <w:t>-1</w:t>
            </w:r>
            <w:r>
              <w:t>2</w:t>
            </w:r>
          </w:p>
        </w:tc>
        <w:tc>
          <w:tcPr>
            <w:tcW w:w="922"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rsidRPr="002D5654">
              <w:t>201</w:t>
            </w:r>
            <w:r>
              <w:t>2</w:t>
            </w:r>
            <w:r w:rsidRPr="002D5654">
              <w:t>-1</w:t>
            </w:r>
            <w:r>
              <w:t>3</w:t>
            </w:r>
          </w:p>
        </w:tc>
        <w:tc>
          <w:tcPr>
            <w:tcW w:w="923"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rsidRPr="002D5654">
              <w:t>201</w:t>
            </w:r>
            <w:r>
              <w:t>3</w:t>
            </w:r>
            <w:r w:rsidRPr="002D5654">
              <w:t>-1</w:t>
            </w:r>
            <w:r>
              <w:t>4</w:t>
            </w:r>
          </w:p>
        </w:tc>
        <w:tc>
          <w:tcPr>
            <w:tcW w:w="922"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rsidRPr="002D5654">
              <w:t>201</w:t>
            </w:r>
            <w:r>
              <w:t>4</w:t>
            </w:r>
            <w:r w:rsidRPr="002D5654">
              <w:t>-</w:t>
            </w:r>
            <w:r>
              <w:t>15</w:t>
            </w:r>
          </w:p>
        </w:tc>
        <w:tc>
          <w:tcPr>
            <w:tcW w:w="923"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rsidRPr="002D5654">
              <w:t>20</w:t>
            </w:r>
            <w:r>
              <w:t>15</w:t>
            </w:r>
            <w:r w:rsidRPr="002D5654">
              <w:t>-</w:t>
            </w:r>
            <w:r>
              <w:t>16</w:t>
            </w:r>
          </w:p>
        </w:tc>
        <w:tc>
          <w:tcPr>
            <w:tcW w:w="923" w:type="dxa"/>
          </w:tcPr>
          <w:p w:rsidR="00F30120" w:rsidRPr="002D5654" w:rsidRDefault="00F30120" w:rsidP="00487261">
            <w:pPr>
              <w:keepNext/>
              <w:cnfStyle w:val="100000000000" w:firstRow="1" w:lastRow="0" w:firstColumn="0" w:lastColumn="0" w:oddVBand="0" w:evenVBand="0" w:oddHBand="0" w:evenHBand="0" w:firstRowFirstColumn="0" w:firstRowLastColumn="0" w:lastRowFirstColumn="0" w:lastRowLastColumn="0"/>
            </w:pPr>
            <w:r w:rsidRPr="002D5654">
              <w:t>Total</w:t>
            </w:r>
            <w:r w:rsidR="00FF31F7">
              <w:t xml:space="preserve"> </w:t>
            </w:r>
            <w:r w:rsidR="00FF31F7">
              <w:br/>
              <w:t>(2011-16)</w:t>
            </w:r>
          </w:p>
        </w:tc>
      </w:tr>
      <w:tr w:rsidR="00B64986" w:rsidRPr="002D5654" w:rsidTr="00B64986">
        <w:tc>
          <w:tcPr>
            <w:cnfStyle w:val="001000000000" w:firstRow="0" w:lastRow="0" w:firstColumn="1" w:lastColumn="0" w:oddVBand="0" w:evenVBand="0" w:oddHBand="0" w:evenHBand="0" w:firstRowFirstColumn="0" w:firstRowLastColumn="0" w:lastRowFirstColumn="0" w:lastRowLastColumn="0"/>
            <w:tcW w:w="2235" w:type="dxa"/>
          </w:tcPr>
          <w:p w:rsidR="00FF31F7" w:rsidRPr="002D5654" w:rsidRDefault="00FF31F7" w:rsidP="00487261">
            <w:pPr>
              <w:keepNext/>
            </w:pPr>
            <w:r w:rsidRPr="002D5654">
              <w:t>Expansion</w:t>
            </w:r>
          </w:p>
        </w:tc>
        <w:tc>
          <w:tcPr>
            <w:tcW w:w="922" w:type="dxa"/>
          </w:tcPr>
          <w:p w:rsidR="00FF31F7" w:rsidRPr="00120490" w:rsidRDefault="00FF31F7"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w:t>
            </w:r>
          </w:p>
        </w:tc>
        <w:tc>
          <w:tcPr>
            <w:tcW w:w="922"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0.8</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0.6</w:t>
            </w:r>
          </w:p>
        </w:tc>
        <w:tc>
          <w:tcPr>
            <w:tcW w:w="922"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0.1</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1.4</w:t>
            </w:r>
          </w:p>
        </w:tc>
      </w:tr>
      <w:tr w:rsidR="008C0E4B" w:rsidRPr="002D5654" w:rsidTr="00B6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F31F7" w:rsidRPr="002D5654" w:rsidRDefault="00FF31F7" w:rsidP="00487261">
            <w:pPr>
              <w:keepNext/>
            </w:pPr>
            <w:r w:rsidRPr="002D5654">
              <w:t>Replacement</w:t>
            </w:r>
          </w:p>
        </w:tc>
        <w:tc>
          <w:tcPr>
            <w:tcW w:w="922" w:type="dxa"/>
          </w:tcPr>
          <w:p w:rsidR="00FF31F7" w:rsidRPr="00120490" w:rsidRDefault="00FF31F7"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2.9</w:t>
            </w:r>
          </w:p>
        </w:tc>
        <w:tc>
          <w:tcPr>
            <w:tcW w:w="923" w:type="dxa"/>
          </w:tcPr>
          <w:p w:rsidR="00FF31F7" w:rsidRPr="002D5654" w:rsidRDefault="00FF31F7" w:rsidP="00487261">
            <w:pPr>
              <w:keepNext/>
              <w:cnfStyle w:val="000000010000" w:firstRow="0" w:lastRow="0" w:firstColumn="0" w:lastColumn="0" w:oddVBand="0" w:evenVBand="0" w:oddHBand="0" w:evenHBand="1" w:firstRowFirstColumn="0" w:firstRowLastColumn="0" w:lastRowFirstColumn="0" w:lastRowLastColumn="0"/>
            </w:pPr>
            <w:r>
              <w:t>4.3</w:t>
            </w:r>
          </w:p>
        </w:tc>
        <w:tc>
          <w:tcPr>
            <w:tcW w:w="922" w:type="dxa"/>
          </w:tcPr>
          <w:p w:rsidR="00FF31F7" w:rsidRPr="002D5654" w:rsidRDefault="00FF31F7" w:rsidP="00487261">
            <w:pPr>
              <w:keepNext/>
              <w:cnfStyle w:val="000000010000" w:firstRow="0" w:lastRow="0" w:firstColumn="0" w:lastColumn="0" w:oddVBand="0" w:evenVBand="0" w:oddHBand="0" w:evenHBand="1" w:firstRowFirstColumn="0" w:firstRowLastColumn="0" w:lastRowFirstColumn="0" w:lastRowLastColumn="0"/>
            </w:pPr>
            <w:r>
              <w:t>14.6</w:t>
            </w:r>
          </w:p>
        </w:tc>
        <w:tc>
          <w:tcPr>
            <w:tcW w:w="923" w:type="dxa"/>
          </w:tcPr>
          <w:p w:rsidR="00FF31F7" w:rsidRPr="002D5654" w:rsidRDefault="00FF31F7" w:rsidP="00487261">
            <w:pPr>
              <w:keepNext/>
              <w:cnfStyle w:val="000000010000" w:firstRow="0" w:lastRow="0" w:firstColumn="0" w:lastColumn="0" w:oddVBand="0" w:evenVBand="0" w:oddHBand="0" w:evenHBand="1" w:firstRowFirstColumn="0" w:firstRowLastColumn="0" w:lastRowFirstColumn="0" w:lastRowLastColumn="0"/>
            </w:pPr>
            <w:r>
              <w:t>2.2</w:t>
            </w:r>
          </w:p>
        </w:tc>
        <w:tc>
          <w:tcPr>
            <w:tcW w:w="922" w:type="dxa"/>
          </w:tcPr>
          <w:p w:rsidR="00FF31F7" w:rsidRPr="002D5654" w:rsidRDefault="00FF31F7" w:rsidP="00487261">
            <w:pPr>
              <w:keepNext/>
              <w:cnfStyle w:val="000000010000" w:firstRow="0" w:lastRow="0" w:firstColumn="0" w:lastColumn="0" w:oddVBand="0" w:evenVBand="0" w:oddHBand="0" w:evenHBand="1" w:firstRowFirstColumn="0" w:firstRowLastColumn="0" w:lastRowFirstColumn="0" w:lastRowLastColumn="0"/>
            </w:pPr>
            <w:r>
              <w:t>2.3</w:t>
            </w:r>
          </w:p>
        </w:tc>
        <w:tc>
          <w:tcPr>
            <w:tcW w:w="923" w:type="dxa"/>
          </w:tcPr>
          <w:p w:rsidR="00FF31F7" w:rsidRPr="002D5654" w:rsidRDefault="00FF31F7" w:rsidP="00487261">
            <w:pPr>
              <w:keepNext/>
              <w:cnfStyle w:val="000000010000" w:firstRow="0" w:lastRow="0" w:firstColumn="0" w:lastColumn="0" w:oddVBand="0" w:evenVBand="0" w:oddHBand="0" w:evenHBand="1" w:firstRowFirstColumn="0" w:firstRowLastColumn="0" w:lastRowFirstColumn="0" w:lastRowLastColumn="0"/>
            </w:pPr>
            <w:r>
              <w:t>5.4</w:t>
            </w:r>
          </w:p>
        </w:tc>
        <w:tc>
          <w:tcPr>
            <w:tcW w:w="923" w:type="dxa"/>
          </w:tcPr>
          <w:p w:rsidR="00FF31F7" w:rsidRPr="002D5654" w:rsidRDefault="00FF31F7" w:rsidP="00487261">
            <w:pPr>
              <w:keepNext/>
              <w:cnfStyle w:val="000000010000" w:firstRow="0" w:lastRow="0" w:firstColumn="0" w:lastColumn="0" w:oddVBand="0" w:evenVBand="0" w:oddHBand="0" w:evenHBand="1" w:firstRowFirstColumn="0" w:firstRowLastColumn="0" w:lastRowFirstColumn="0" w:lastRowLastColumn="0"/>
            </w:pPr>
            <w:r>
              <w:t>28.8</w:t>
            </w:r>
          </w:p>
        </w:tc>
      </w:tr>
      <w:tr w:rsidR="00B64986" w:rsidRPr="002D5654" w:rsidTr="00B64986">
        <w:tc>
          <w:tcPr>
            <w:cnfStyle w:val="001000000000" w:firstRow="0" w:lastRow="0" w:firstColumn="1" w:lastColumn="0" w:oddVBand="0" w:evenVBand="0" w:oddHBand="0" w:evenHBand="0" w:firstRowFirstColumn="0" w:firstRowLastColumn="0" w:lastRowFirstColumn="0" w:lastRowLastColumn="0"/>
            <w:tcW w:w="2235" w:type="dxa"/>
          </w:tcPr>
          <w:p w:rsidR="00FF31F7" w:rsidRPr="002D5654" w:rsidRDefault="00FF31F7" w:rsidP="00487261">
            <w:pPr>
              <w:keepNext/>
            </w:pPr>
            <w:r w:rsidRPr="002D5654">
              <w:t>Non-system</w:t>
            </w:r>
          </w:p>
        </w:tc>
        <w:tc>
          <w:tcPr>
            <w:tcW w:w="922" w:type="dxa"/>
          </w:tcPr>
          <w:p w:rsidR="00FF31F7" w:rsidRPr="00120490" w:rsidRDefault="00FF31F7"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0.2</w:t>
            </w:r>
          </w:p>
        </w:tc>
        <w:tc>
          <w:tcPr>
            <w:tcW w:w="922"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1.6</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1.6</w:t>
            </w:r>
          </w:p>
        </w:tc>
        <w:tc>
          <w:tcPr>
            <w:tcW w:w="922"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1.9</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2.4</w:t>
            </w:r>
          </w:p>
        </w:tc>
        <w:tc>
          <w:tcPr>
            <w:tcW w:w="923" w:type="dxa"/>
          </w:tcPr>
          <w:p w:rsidR="00FF31F7" w:rsidRPr="002D5654" w:rsidRDefault="00FF31F7" w:rsidP="00487261">
            <w:pPr>
              <w:keepNext/>
              <w:cnfStyle w:val="000000000000" w:firstRow="0" w:lastRow="0" w:firstColumn="0" w:lastColumn="0" w:oddVBand="0" w:evenVBand="0" w:oddHBand="0" w:evenHBand="0" w:firstRowFirstColumn="0" w:firstRowLastColumn="0" w:lastRowFirstColumn="0" w:lastRowLastColumn="0"/>
            </w:pPr>
            <w:r>
              <w:t>7.6</w:t>
            </w:r>
          </w:p>
        </w:tc>
      </w:tr>
      <w:tr w:rsidR="008C0E4B" w:rsidRPr="002D5654" w:rsidTr="00B6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0E4B" w:rsidRPr="002D5654" w:rsidRDefault="008C0E4B" w:rsidP="00487261">
            <w:pPr>
              <w:keepNext/>
            </w:pPr>
            <w:r w:rsidRPr="00120490">
              <w:rPr>
                <w:szCs w:val="16"/>
              </w:rPr>
              <w:t>GROSS TOTAL CAPITAL EXPENDITURE</w:t>
            </w:r>
          </w:p>
        </w:tc>
        <w:tc>
          <w:tcPr>
            <w:tcW w:w="922" w:type="dxa"/>
          </w:tcPr>
          <w:p w:rsidR="008C0E4B" w:rsidRPr="00120490"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4.5</w:t>
            </w:r>
          </w:p>
        </w:tc>
        <w:tc>
          <w:tcPr>
            <w:tcW w:w="923" w:type="dxa"/>
          </w:tcPr>
          <w:p w:rsidR="008C0E4B" w:rsidRPr="002D5654"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4.5</w:t>
            </w:r>
          </w:p>
        </w:tc>
        <w:tc>
          <w:tcPr>
            <w:tcW w:w="922" w:type="dxa"/>
          </w:tcPr>
          <w:p w:rsidR="008C0E4B" w:rsidRPr="002D5654"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17.0</w:t>
            </w:r>
          </w:p>
        </w:tc>
        <w:tc>
          <w:tcPr>
            <w:tcW w:w="923" w:type="dxa"/>
          </w:tcPr>
          <w:p w:rsidR="008C0E4B" w:rsidRPr="002D5654"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4.3</w:t>
            </w:r>
          </w:p>
        </w:tc>
        <w:tc>
          <w:tcPr>
            <w:tcW w:w="922" w:type="dxa"/>
          </w:tcPr>
          <w:p w:rsidR="008C0E4B" w:rsidRPr="002D5654"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4.2</w:t>
            </w:r>
          </w:p>
        </w:tc>
        <w:tc>
          <w:tcPr>
            <w:tcW w:w="923" w:type="dxa"/>
          </w:tcPr>
          <w:p w:rsidR="008C0E4B" w:rsidRPr="002D5654"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7.8</w:t>
            </w:r>
          </w:p>
        </w:tc>
        <w:tc>
          <w:tcPr>
            <w:tcW w:w="923" w:type="dxa"/>
          </w:tcPr>
          <w:p w:rsidR="008C0E4B" w:rsidRPr="002D5654"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37.8</w:t>
            </w:r>
          </w:p>
        </w:tc>
      </w:tr>
      <w:tr w:rsidR="008C0E4B" w:rsidRPr="002D5654" w:rsidTr="008C0E4B">
        <w:tc>
          <w:tcPr>
            <w:cnfStyle w:val="001000000000" w:firstRow="0" w:lastRow="0" w:firstColumn="1" w:lastColumn="0" w:oddVBand="0" w:evenVBand="0" w:oddHBand="0" w:evenHBand="0" w:firstRowFirstColumn="0" w:firstRowLastColumn="0" w:lastRowFirstColumn="0" w:lastRowLastColumn="0"/>
            <w:tcW w:w="2235" w:type="dxa"/>
          </w:tcPr>
          <w:p w:rsidR="008C0E4B" w:rsidRPr="002D5654" w:rsidRDefault="008C0E4B" w:rsidP="00487261">
            <w:pPr>
              <w:keepNext/>
            </w:pPr>
            <w:r>
              <w:rPr>
                <w:szCs w:val="16"/>
              </w:rPr>
              <w:t>Contributions</w:t>
            </w:r>
          </w:p>
        </w:tc>
        <w:tc>
          <w:tcPr>
            <w:tcW w:w="922" w:type="dxa"/>
          </w:tcPr>
          <w:p w:rsidR="008C0E4B"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w:t>
            </w:r>
          </w:p>
        </w:tc>
        <w:tc>
          <w:tcPr>
            <w:tcW w:w="922"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w:t>
            </w:r>
          </w:p>
        </w:tc>
        <w:tc>
          <w:tcPr>
            <w:tcW w:w="922"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w:t>
            </w:r>
          </w:p>
        </w:tc>
      </w:tr>
      <w:tr w:rsidR="008C0E4B" w:rsidRPr="002D5654" w:rsidTr="00B6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0E4B" w:rsidRPr="002D5654" w:rsidRDefault="008C0E4B" w:rsidP="00487261">
            <w:pPr>
              <w:keepNext/>
            </w:pPr>
            <w:r w:rsidRPr="00120490">
              <w:rPr>
                <w:szCs w:val="16"/>
              </w:rPr>
              <w:t>Asset disposals</w:t>
            </w:r>
          </w:p>
        </w:tc>
        <w:tc>
          <w:tcPr>
            <w:tcW w:w="922" w:type="dxa"/>
          </w:tcPr>
          <w:p w:rsidR="008C0E4B"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923" w:type="dxa"/>
          </w:tcPr>
          <w:p w:rsidR="008C0E4B"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w:t>
            </w:r>
          </w:p>
        </w:tc>
        <w:tc>
          <w:tcPr>
            <w:tcW w:w="922" w:type="dxa"/>
          </w:tcPr>
          <w:p w:rsidR="008C0E4B" w:rsidRDefault="008C0E4B" w:rsidP="00487261">
            <w:pPr>
              <w:keepNext/>
              <w:cnfStyle w:val="000000010000" w:firstRow="0" w:lastRow="0" w:firstColumn="0" w:lastColumn="0" w:oddVBand="0" w:evenVBand="0" w:oddHBand="0" w:evenHBand="1" w:firstRowFirstColumn="0" w:firstRowLastColumn="0" w:lastRowFirstColumn="0" w:lastRowLastColumn="0"/>
            </w:pPr>
            <w:r w:rsidRPr="00A67508">
              <w:rPr>
                <w:szCs w:val="16"/>
              </w:rPr>
              <w:t>0.0</w:t>
            </w:r>
          </w:p>
        </w:tc>
        <w:tc>
          <w:tcPr>
            <w:tcW w:w="923" w:type="dxa"/>
          </w:tcPr>
          <w:p w:rsidR="008C0E4B" w:rsidRDefault="008C0E4B" w:rsidP="00487261">
            <w:pPr>
              <w:keepNext/>
              <w:cnfStyle w:val="000000010000" w:firstRow="0" w:lastRow="0" w:firstColumn="0" w:lastColumn="0" w:oddVBand="0" w:evenVBand="0" w:oddHBand="0" w:evenHBand="1" w:firstRowFirstColumn="0" w:firstRowLastColumn="0" w:lastRowFirstColumn="0" w:lastRowLastColumn="0"/>
            </w:pPr>
            <w:r w:rsidRPr="00A67508">
              <w:rPr>
                <w:szCs w:val="16"/>
              </w:rPr>
              <w:t>0.</w:t>
            </w:r>
            <w:r>
              <w:rPr>
                <w:szCs w:val="16"/>
              </w:rPr>
              <w:t>3</w:t>
            </w:r>
          </w:p>
        </w:tc>
        <w:tc>
          <w:tcPr>
            <w:tcW w:w="922" w:type="dxa"/>
          </w:tcPr>
          <w:p w:rsidR="008C0E4B" w:rsidRDefault="008C0E4B" w:rsidP="00487261">
            <w:pPr>
              <w:keepNext/>
              <w:cnfStyle w:val="000000010000" w:firstRow="0" w:lastRow="0" w:firstColumn="0" w:lastColumn="0" w:oddVBand="0" w:evenVBand="0" w:oddHBand="0" w:evenHBand="1" w:firstRowFirstColumn="0" w:firstRowLastColumn="0" w:lastRowFirstColumn="0" w:lastRowLastColumn="0"/>
            </w:pPr>
            <w:r w:rsidRPr="00A67508">
              <w:rPr>
                <w:szCs w:val="16"/>
              </w:rPr>
              <w:t>0.</w:t>
            </w:r>
            <w:r>
              <w:rPr>
                <w:szCs w:val="16"/>
              </w:rPr>
              <w:t>1</w:t>
            </w:r>
          </w:p>
        </w:tc>
        <w:tc>
          <w:tcPr>
            <w:tcW w:w="923" w:type="dxa"/>
          </w:tcPr>
          <w:p w:rsidR="008C0E4B"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w:t>
            </w:r>
          </w:p>
        </w:tc>
        <w:tc>
          <w:tcPr>
            <w:tcW w:w="923" w:type="dxa"/>
          </w:tcPr>
          <w:p w:rsidR="008C0E4B" w:rsidRDefault="008C0E4B" w:rsidP="00487261">
            <w:pPr>
              <w:keepNext/>
              <w:cnfStyle w:val="000000010000" w:firstRow="0" w:lastRow="0" w:firstColumn="0" w:lastColumn="0" w:oddVBand="0" w:evenVBand="0" w:oddHBand="0" w:evenHBand="1" w:firstRowFirstColumn="0" w:firstRowLastColumn="0" w:lastRowFirstColumn="0" w:lastRowLastColumn="0"/>
            </w:pPr>
            <w:r>
              <w:rPr>
                <w:szCs w:val="16"/>
              </w:rPr>
              <w:t>0.4</w:t>
            </w:r>
          </w:p>
        </w:tc>
      </w:tr>
      <w:tr w:rsidR="008C0E4B" w:rsidRPr="002D5654" w:rsidTr="008C0E4B">
        <w:tc>
          <w:tcPr>
            <w:cnfStyle w:val="001000000000" w:firstRow="0" w:lastRow="0" w:firstColumn="1" w:lastColumn="0" w:oddVBand="0" w:evenVBand="0" w:oddHBand="0" w:evenHBand="0" w:firstRowFirstColumn="0" w:firstRowLastColumn="0" w:lastRowFirstColumn="0" w:lastRowLastColumn="0"/>
            <w:tcW w:w="2235" w:type="dxa"/>
          </w:tcPr>
          <w:p w:rsidR="008C0E4B" w:rsidRPr="002D5654" w:rsidRDefault="008C0E4B" w:rsidP="00487261">
            <w:pPr>
              <w:keepNext/>
            </w:pPr>
            <w:r w:rsidRPr="00120490">
              <w:rPr>
                <w:szCs w:val="16"/>
              </w:rPr>
              <w:t>NET TOTAL CAPITAL EXPENDITURE</w:t>
            </w:r>
          </w:p>
        </w:tc>
        <w:tc>
          <w:tcPr>
            <w:tcW w:w="922" w:type="dxa"/>
          </w:tcPr>
          <w:p w:rsidR="008C0E4B"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4.5</w:t>
            </w:r>
          </w:p>
        </w:tc>
        <w:tc>
          <w:tcPr>
            <w:tcW w:w="922"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16.9</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4.0</w:t>
            </w:r>
          </w:p>
        </w:tc>
        <w:tc>
          <w:tcPr>
            <w:tcW w:w="922"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4.1</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7.8</w:t>
            </w:r>
          </w:p>
        </w:tc>
        <w:tc>
          <w:tcPr>
            <w:tcW w:w="923" w:type="dxa"/>
          </w:tcPr>
          <w:p w:rsidR="008C0E4B" w:rsidRDefault="008C0E4B" w:rsidP="00487261">
            <w:pPr>
              <w:keepNext/>
              <w:cnfStyle w:val="000000000000" w:firstRow="0" w:lastRow="0" w:firstColumn="0" w:lastColumn="0" w:oddVBand="0" w:evenVBand="0" w:oddHBand="0" w:evenHBand="0" w:firstRowFirstColumn="0" w:firstRowLastColumn="0" w:lastRowFirstColumn="0" w:lastRowLastColumn="0"/>
            </w:pPr>
            <w:r>
              <w:rPr>
                <w:szCs w:val="16"/>
              </w:rPr>
              <w:t>37.4</w:t>
            </w:r>
          </w:p>
        </w:tc>
      </w:tr>
    </w:tbl>
    <w:p w:rsidR="002D5654" w:rsidRDefault="002D5654" w:rsidP="00487261">
      <w:pPr>
        <w:pStyle w:val="AERtablesource"/>
        <w:keepNext/>
      </w:pPr>
      <w:r w:rsidRPr="002D5654">
        <w:t xml:space="preserve">Source: </w:t>
      </w:r>
      <w:r w:rsidRPr="002D5654">
        <w:tab/>
        <w:t>AER analysis. Totals may not add due to rounding.</w:t>
      </w:r>
    </w:p>
    <w:p w:rsidR="00A30095" w:rsidRPr="00A30095" w:rsidRDefault="00A30095" w:rsidP="009D1015">
      <w:pPr>
        <w:pStyle w:val="AERtablesource"/>
      </w:pPr>
      <w:r>
        <w:t>Note:</w:t>
      </w:r>
      <w:r>
        <w:tab/>
        <w:t>Includes AER labour escalation adjustments.</w:t>
      </w:r>
    </w:p>
    <w:p w:rsidR="002D5654" w:rsidRPr="002D5654" w:rsidRDefault="002D5654" w:rsidP="002D5654">
      <w:r w:rsidRPr="002D5654">
        <w:t>Our analysis of the capex driver categories is set out below.</w:t>
      </w:r>
    </w:p>
    <w:p w:rsidR="002D5654" w:rsidRPr="00CD570B" w:rsidRDefault="002D5654" w:rsidP="00CD570B">
      <w:pPr>
        <w:pStyle w:val="HeadingBoldBlue"/>
      </w:pPr>
      <w:r w:rsidRPr="00CD570B">
        <w:t>Expansion capex</w:t>
      </w:r>
    </w:p>
    <w:p w:rsidR="00FF31F7" w:rsidRPr="00FF31F7" w:rsidRDefault="00FF31F7" w:rsidP="00FF31F7">
      <w:r w:rsidRPr="00FF31F7">
        <w:t xml:space="preserve">APTNT has proposed expansion capex of $1.4 million ($2015-16) for the </w:t>
      </w:r>
      <w:r w:rsidR="006A555A">
        <w:t>2011–16</w:t>
      </w:r>
      <w:r w:rsidRPr="00FF31F7">
        <w:t xml:space="preserve"> access arrangement period.</w:t>
      </w:r>
      <w:r w:rsidRPr="00FF31F7">
        <w:rPr>
          <w:vertAlign w:val="superscript"/>
        </w:rPr>
        <w:footnoteReference w:id="22"/>
      </w:r>
      <w:r w:rsidRPr="00FF31F7">
        <w:t xml:space="preserve"> </w:t>
      </w:r>
      <w:r>
        <w:t xml:space="preserve">In the previous access arrangement review, </w:t>
      </w:r>
      <w:r w:rsidRPr="00FF31F7">
        <w:t xml:space="preserve">APTNT did not propose, and the AER did not provide for, any expansion capex for the </w:t>
      </w:r>
      <w:r w:rsidR="006A555A">
        <w:t>2011–16</w:t>
      </w:r>
      <w:r w:rsidRPr="00FF31F7">
        <w:t xml:space="preserve"> access arrangement period. </w:t>
      </w:r>
      <w:r w:rsidR="00CB2B61">
        <w:t xml:space="preserve">Subsequently, APTNT completed two expansion projects in the </w:t>
      </w:r>
      <w:r w:rsidR="006A555A">
        <w:t>2011–16</w:t>
      </w:r>
      <w:r w:rsidR="00CB2B61">
        <w:t xml:space="preserve"> access arrangement </w:t>
      </w:r>
      <w:proofErr w:type="gramStart"/>
      <w:r w:rsidR="00CB2B61">
        <w:t>period</w:t>
      </w:r>
      <w:proofErr w:type="gramEnd"/>
      <w:r w:rsidR="00CB2B61">
        <w:t>:</w:t>
      </w:r>
      <w:r w:rsidRPr="00FF31F7">
        <w:t xml:space="preserve"> the Katherine meter station upgrade ($0.8</w:t>
      </w:r>
      <w:r w:rsidR="008C0E4B">
        <w:t> </w:t>
      </w:r>
      <w:r w:rsidRPr="00FF31F7">
        <w:t>million ($2015</w:t>
      </w:r>
      <w:r w:rsidR="000B70FD">
        <w:noBreakHyphen/>
      </w:r>
      <w:r w:rsidRPr="00FF31F7">
        <w:t>16)) and the</w:t>
      </w:r>
      <w:r>
        <w:t xml:space="preserve"> Noonamah offtake</w:t>
      </w:r>
      <w:r w:rsidRPr="00FF31F7">
        <w:t xml:space="preserve"> ($0.6 million ($2015</w:t>
      </w:r>
      <w:r w:rsidR="000B70FD">
        <w:noBreakHyphen/>
      </w:r>
      <w:r w:rsidRPr="00FF31F7">
        <w:t>16)).</w:t>
      </w:r>
    </w:p>
    <w:p w:rsidR="00FF31F7" w:rsidRPr="00FF31F7" w:rsidRDefault="00D363E4" w:rsidP="00FF31F7">
      <w:r>
        <w:t>APTNT submitted that, although the possibility of work on the Katherine meter station was known at the time of the previous access arrangement review</w:t>
      </w:r>
      <w:r w:rsidR="00FF31F7" w:rsidRPr="00FF31F7">
        <w:t xml:space="preserve">, the customer </w:t>
      </w:r>
      <w:r>
        <w:t xml:space="preserve">had </w:t>
      </w:r>
      <w:r w:rsidR="00FF31F7" w:rsidRPr="00FF31F7">
        <w:t xml:space="preserve">asked APTNT to put the project on hold. </w:t>
      </w:r>
      <w:r>
        <w:t xml:space="preserve">The </w:t>
      </w:r>
      <w:r w:rsidR="00FF31F7" w:rsidRPr="00FF31F7">
        <w:t>customer subsequently asked APTNT to build a new outlet to the Katherine meter station, with associated valve and pipework, to allow it to connect some new gas turbine units. A</w:t>
      </w:r>
      <w:r>
        <w:t>PTNT submitted</w:t>
      </w:r>
      <w:r w:rsidR="00FF31F7" w:rsidRPr="00FF31F7">
        <w:t xml:space="preserve"> that a lack of information on the form of these works meant that APTNT did not include a forecast for this expenditure in its earlier access arrangement proposal.</w:t>
      </w:r>
      <w:r w:rsidR="00FF31F7" w:rsidRPr="00FF31F7">
        <w:rPr>
          <w:vertAlign w:val="superscript"/>
        </w:rPr>
        <w:footnoteReference w:id="23"/>
      </w:r>
      <w:r w:rsidR="00FF31F7" w:rsidRPr="00FF31F7">
        <w:t xml:space="preserve"> </w:t>
      </w:r>
    </w:p>
    <w:p w:rsidR="00FF31F7" w:rsidRPr="00FF31F7" w:rsidRDefault="00D363E4" w:rsidP="00FF31F7">
      <w:r>
        <w:t>T</w:t>
      </w:r>
      <w:r w:rsidR="00FF31F7" w:rsidRPr="00FF31F7">
        <w:t>he total capex for this work at the Katherine meter station site was $0.8 million ($2015</w:t>
      </w:r>
      <w:r w:rsidR="000B70FD">
        <w:noBreakHyphen/>
      </w:r>
      <w:r w:rsidR="00FF31F7" w:rsidRPr="00FF31F7">
        <w:t>16), incurred across 2012</w:t>
      </w:r>
      <w:r w:rsidR="000B70FD">
        <w:noBreakHyphen/>
      </w:r>
      <w:r w:rsidR="00FF31F7" w:rsidRPr="00FF31F7">
        <w:t>13 and 2013</w:t>
      </w:r>
      <w:r w:rsidR="000B70FD">
        <w:noBreakHyphen/>
      </w:r>
      <w:r w:rsidR="00FF31F7" w:rsidRPr="00FF31F7">
        <w:t xml:space="preserve">14. APTNT </w:t>
      </w:r>
      <w:r>
        <w:t>submitted</w:t>
      </w:r>
      <w:r w:rsidR="00FF31F7" w:rsidRPr="00FF31F7">
        <w:t xml:space="preserve"> that these works increased the capacity of the Katherine meter station site as a result of the new o</w:t>
      </w:r>
      <w:r>
        <w:t xml:space="preserve">utlet, and is justified under rule </w:t>
      </w:r>
      <w:r w:rsidR="00FF31F7" w:rsidRPr="00FF31F7">
        <w:t xml:space="preserve">79(2)(b) </w:t>
      </w:r>
      <w:r>
        <w:t xml:space="preserve">of the NGR </w:t>
      </w:r>
      <w:r w:rsidR="00FF31F7" w:rsidRPr="00FF31F7">
        <w:t>as the incremental revenue to be generated from this expansion exceeds the present value of the capital expenditure.</w:t>
      </w:r>
      <w:r w:rsidR="00FF31F7" w:rsidRPr="00FF31F7">
        <w:rPr>
          <w:vertAlign w:val="superscript"/>
        </w:rPr>
        <w:footnoteReference w:id="24"/>
      </w:r>
      <w:r w:rsidR="00FF31F7" w:rsidRPr="00FF31F7">
        <w:t xml:space="preserve"> On the basis of the information provided by APTNT, </w:t>
      </w:r>
      <w:r w:rsidR="00CB2B61">
        <w:t xml:space="preserve">including an NPV analysis of the incremental revenue provided by the capacity expansion, </w:t>
      </w:r>
      <w:r>
        <w:t>we are satisfied</w:t>
      </w:r>
      <w:r w:rsidR="00FF31F7" w:rsidRPr="00FF31F7">
        <w:t xml:space="preserve"> that this amount is conf</w:t>
      </w:r>
      <w:r w:rsidR="008107F3">
        <w:t xml:space="preserve">orming capex in that it meets the criteria of rule </w:t>
      </w:r>
      <w:r w:rsidR="00FF31F7" w:rsidRPr="00FF31F7">
        <w:t xml:space="preserve">79(1)(a) </w:t>
      </w:r>
      <w:r w:rsidR="008107F3">
        <w:t xml:space="preserve">of the NGR </w:t>
      </w:r>
      <w:r w:rsidR="00FF31F7" w:rsidRPr="00FF31F7">
        <w:t xml:space="preserve">and </w:t>
      </w:r>
      <w:r w:rsidR="008107F3">
        <w:t xml:space="preserve">is justifiable on the basis of rule </w:t>
      </w:r>
      <w:r w:rsidR="00FF31F7" w:rsidRPr="00FF31F7">
        <w:t>79(2)(b) of the NGR.</w:t>
      </w:r>
    </w:p>
    <w:p w:rsidR="00FF31F7" w:rsidRPr="00FF31F7" w:rsidRDefault="00FF31F7" w:rsidP="00FF31F7">
      <w:r w:rsidRPr="00FF31F7">
        <w:t>In respect to the Noonamah offtake expansion project, APTNT stated that in 2013</w:t>
      </w:r>
      <w:r w:rsidR="000B70FD">
        <w:noBreakHyphen/>
      </w:r>
      <w:r w:rsidRPr="00FF31F7">
        <w:t xml:space="preserve">14 it built an offtake to supply a new </w:t>
      </w:r>
      <w:r w:rsidR="008107F3">
        <w:t xml:space="preserve">industrial </w:t>
      </w:r>
      <w:r w:rsidRPr="00FF31F7">
        <w:t>customer at a cost of $0.6 million ($2015</w:t>
      </w:r>
      <w:r w:rsidR="000B70FD">
        <w:noBreakHyphen/>
      </w:r>
      <w:r w:rsidRPr="00FF31F7">
        <w:t>16)</w:t>
      </w:r>
      <w:r w:rsidR="008107F3">
        <w:t>. This capex</w:t>
      </w:r>
      <w:r w:rsidRPr="00FF31F7">
        <w:t xml:space="preserve"> was not forecast in the earlier access arrangement period. APTNT </w:t>
      </w:r>
      <w:r w:rsidR="008107F3">
        <w:t>submitted</w:t>
      </w:r>
      <w:r w:rsidRPr="00FF31F7">
        <w:t xml:space="preserve"> that the project added an additional delivery </w:t>
      </w:r>
      <w:r w:rsidR="008107F3">
        <w:t xml:space="preserve">point to the AGP, and is justified under rule </w:t>
      </w:r>
      <w:r w:rsidRPr="00FF31F7">
        <w:t>79(2)(b) of the NGR as the incremental revenue to be generated from this expansion exceeds the present value of the capital expenditure.</w:t>
      </w:r>
      <w:r w:rsidRPr="00FF31F7">
        <w:rPr>
          <w:vertAlign w:val="superscript"/>
        </w:rPr>
        <w:footnoteReference w:id="25"/>
      </w:r>
      <w:r w:rsidRPr="00FF31F7">
        <w:rPr>
          <w:vertAlign w:val="superscript"/>
        </w:rPr>
        <w:t xml:space="preserve"> </w:t>
      </w:r>
      <w:r w:rsidR="008107F3" w:rsidRPr="00FF31F7">
        <w:t xml:space="preserve">On the basis of the information provided by APTNT, </w:t>
      </w:r>
      <w:r w:rsidR="008107F3">
        <w:t>including an NPV analysis of the incremental revenue provided by the capacity expansion, we are satisfied</w:t>
      </w:r>
      <w:r w:rsidR="008107F3" w:rsidRPr="00FF31F7">
        <w:t xml:space="preserve"> that this amount is conf</w:t>
      </w:r>
      <w:r w:rsidR="008107F3">
        <w:t xml:space="preserve">orming capex in that it meets the criteria of rule </w:t>
      </w:r>
      <w:r w:rsidR="008107F3" w:rsidRPr="00FF31F7">
        <w:t xml:space="preserve">79(1)(a) </w:t>
      </w:r>
      <w:r w:rsidR="008107F3">
        <w:t xml:space="preserve">of the NGR </w:t>
      </w:r>
      <w:r w:rsidR="008107F3" w:rsidRPr="00FF31F7">
        <w:t xml:space="preserve">and </w:t>
      </w:r>
      <w:r w:rsidR="008107F3">
        <w:t xml:space="preserve">is justifiable on the basis of rule </w:t>
      </w:r>
      <w:r w:rsidR="008107F3" w:rsidRPr="00FF31F7">
        <w:t>79(2)(b) of the NGR</w:t>
      </w:r>
      <w:r w:rsidR="008107F3">
        <w:t>.</w:t>
      </w:r>
    </w:p>
    <w:p w:rsidR="00FF31F7" w:rsidRPr="00FF31F7" w:rsidRDefault="00FF31F7" w:rsidP="00CD570B">
      <w:pPr>
        <w:pStyle w:val="HeadingBoldBlue"/>
      </w:pPr>
      <w:r w:rsidRPr="00FF31F7">
        <w:t>Replacement capex</w:t>
      </w:r>
    </w:p>
    <w:p w:rsidR="00FF31F7" w:rsidRPr="00FF31F7" w:rsidRDefault="008107F3" w:rsidP="00FF31F7">
      <w:pPr>
        <w:numPr>
          <w:ilvl w:val="0"/>
          <w:numId w:val="24"/>
        </w:numPr>
      </w:pPr>
      <w:r>
        <w:t>APTNT</w:t>
      </w:r>
      <w:r w:rsidR="00FF31F7" w:rsidRPr="00FF31F7">
        <w:t xml:space="preserve"> proposed replacement capex of $35.8 million ($2015</w:t>
      </w:r>
      <w:r w:rsidR="000B70FD">
        <w:noBreakHyphen/>
      </w:r>
      <w:r w:rsidR="00FF31F7" w:rsidRPr="00FF31F7">
        <w:t xml:space="preserve">16) for the </w:t>
      </w:r>
      <w:r w:rsidR="006A555A">
        <w:t>2011–16</w:t>
      </w:r>
      <w:r w:rsidR="00FF31F7" w:rsidRPr="00FF31F7">
        <w:t xml:space="preserve"> access arrangement period.</w:t>
      </w:r>
      <w:r w:rsidR="00FF31F7" w:rsidRPr="00FF31F7">
        <w:rPr>
          <w:vertAlign w:val="superscript"/>
        </w:rPr>
        <w:footnoteReference w:id="26"/>
      </w:r>
      <w:r w:rsidR="00FF31F7" w:rsidRPr="00FF31F7">
        <w:t xml:space="preserve"> This is $13</w:t>
      </w:r>
      <w:r>
        <w:t>.6 million ($2015</w:t>
      </w:r>
      <w:r w:rsidR="000B70FD">
        <w:noBreakHyphen/>
      </w:r>
      <w:r>
        <w:t>16) or 62 per cent</w:t>
      </w:r>
      <w:r w:rsidR="00FF31F7" w:rsidRPr="00FF31F7">
        <w:t xml:space="preserve"> more than the AER’s allowance for APTNT’s replacement capex for the </w:t>
      </w:r>
      <w:r w:rsidR="006A555A">
        <w:t>2011–16</w:t>
      </w:r>
      <w:r w:rsidR="00FF31F7" w:rsidRPr="00FF31F7">
        <w:t xml:space="preserve"> access arrangement period.</w:t>
      </w:r>
      <w:r w:rsidR="00FF31F7" w:rsidRPr="00FF31F7">
        <w:rPr>
          <w:vertAlign w:val="superscript"/>
        </w:rPr>
        <w:footnoteReference w:id="27"/>
      </w:r>
      <w:r w:rsidR="00FF31F7" w:rsidRPr="00FF31F7">
        <w:t xml:space="preserve"> APTNT stated that all proj</w:t>
      </w:r>
      <w:r>
        <w:t>ects in this category satisfy rule </w:t>
      </w:r>
      <w:r w:rsidR="00FF31F7" w:rsidRPr="00FF31F7">
        <w:t xml:space="preserve">79(2)(c) of the NGR as essential to maintain the safety and integrity of services, and to ensure continuing compliance with regulatory obligations, in particular those set out in </w:t>
      </w:r>
      <w:r w:rsidR="005E2A7C">
        <w:t xml:space="preserve">Australian Standard </w:t>
      </w:r>
      <w:r w:rsidR="00FF31F7" w:rsidRPr="00FF31F7">
        <w:t>2885.3.</w:t>
      </w:r>
      <w:r w:rsidR="00FF31F7" w:rsidRPr="00FF31F7">
        <w:rPr>
          <w:vertAlign w:val="superscript"/>
        </w:rPr>
        <w:footnoteReference w:id="28"/>
      </w:r>
    </w:p>
    <w:p w:rsidR="00FF31F7" w:rsidRPr="00FF31F7" w:rsidRDefault="00FF31F7" w:rsidP="00FF31F7">
      <w:r w:rsidRPr="00FF31F7">
        <w:t>We have included $28.8 million ($2015</w:t>
      </w:r>
      <w:r w:rsidR="000B70FD">
        <w:noBreakHyphen/>
      </w:r>
      <w:r w:rsidRPr="00FF31F7">
        <w:t xml:space="preserve">16) for replacement capex in our </w:t>
      </w:r>
      <w:r w:rsidR="005E2A7C">
        <w:t>estimate</w:t>
      </w:r>
      <w:r w:rsidRPr="00FF31F7">
        <w:t xml:space="preserve"> of conforming capex for the </w:t>
      </w:r>
      <w:r w:rsidR="006A555A">
        <w:t>2011–16</w:t>
      </w:r>
      <w:r w:rsidRPr="00FF31F7">
        <w:t xml:space="preserve"> access arrangement period. This is a reduction of $7.0 million or 20 per cent from APTNT’s proposed replacement capex for the </w:t>
      </w:r>
      <w:r w:rsidR="006A555A">
        <w:t>2011–16</w:t>
      </w:r>
      <w:r w:rsidRPr="00FF31F7">
        <w:t xml:space="preserve"> access arrangement per</w:t>
      </w:r>
      <w:r w:rsidR="005E2A7C">
        <w:t>iod. We consider this amount is</w:t>
      </w:r>
      <w:r w:rsidRPr="00FF31F7">
        <w:t xml:space="preserve"> sufficient for APTNT to maintain the safety, reliability and integrity of the AGP, and is prudent and efficient.</w:t>
      </w:r>
      <w:r w:rsidRPr="00FF31F7">
        <w:rPr>
          <w:vertAlign w:val="superscript"/>
        </w:rPr>
        <w:footnoteReference w:id="29"/>
      </w:r>
      <w:r w:rsidR="00F11395">
        <w:t xml:space="preserve"> </w:t>
      </w:r>
      <w:r w:rsidR="006E0A57">
        <w:t>Our reasoning is detailed below.</w:t>
      </w:r>
    </w:p>
    <w:p w:rsidR="00FF31F7" w:rsidRPr="00FF31F7" w:rsidRDefault="00FF31F7" w:rsidP="00FF31F7">
      <w:r w:rsidRPr="00FF31F7">
        <w:t xml:space="preserve">APTNT’s proposed replacement capex for the earlier access arrangement </w:t>
      </w:r>
      <w:r w:rsidR="00A94E3D">
        <w:t>period includes capex for thirty three</w:t>
      </w:r>
      <w:r w:rsidRPr="00FF31F7">
        <w:t xml:space="preserve"> separate replacement projects or programs. </w:t>
      </w:r>
      <w:r w:rsidR="005E2A7C">
        <w:t xml:space="preserve">Many of these projects span both the </w:t>
      </w:r>
      <w:r w:rsidR="006A555A">
        <w:t>2011–16</w:t>
      </w:r>
      <w:r w:rsidR="005E2A7C">
        <w:t xml:space="preserve"> and </w:t>
      </w:r>
      <w:r w:rsidR="006A555A">
        <w:t>2016–21</w:t>
      </w:r>
      <w:r w:rsidR="005E2A7C">
        <w:t xml:space="preserve"> </w:t>
      </w:r>
      <w:r w:rsidRPr="00FF31F7">
        <w:t>access arrangeme</w:t>
      </w:r>
      <w:r w:rsidR="007C718F">
        <w:t xml:space="preserve">nt periods. For the </w:t>
      </w:r>
      <w:r w:rsidR="006A555A">
        <w:t>2011–16</w:t>
      </w:r>
      <w:r w:rsidRPr="00FF31F7">
        <w:t xml:space="preserve"> access arrangement period, </w:t>
      </w:r>
      <w:r w:rsidR="007C718F">
        <w:t>thirty of</w:t>
      </w:r>
      <w:r w:rsidRPr="00FF31F7">
        <w:t xml:space="preserve"> these are </w:t>
      </w:r>
      <w:r w:rsidR="007C718F">
        <w:t xml:space="preserve">relatively </w:t>
      </w:r>
      <w:r w:rsidRPr="00FF31F7">
        <w:t>minor asset replacement or refurbishment projects</w:t>
      </w:r>
      <w:r w:rsidR="007C718F">
        <w:t xml:space="preserve"> or components within a program, </w:t>
      </w:r>
      <w:r w:rsidRPr="00FF31F7">
        <w:t xml:space="preserve">planned to ensure the AGP meets regulatory, safety, environmental, and </w:t>
      </w:r>
      <w:r w:rsidR="00004796">
        <w:t>service level</w:t>
      </w:r>
      <w:r w:rsidR="00004796" w:rsidRPr="00FF31F7">
        <w:t xml:space="preserve"> </w:t>
      </w:r>
      <w:r w:rsidRPr="00FF31F7">
        <w:t>requirements. T</w:t>
      </w:r>
      <w:r w:rsidR="007C718F">
        <w:t>he total cost of these thirty</w:t>
      </w:r>
      <w:r w:rsidRPr="00FF31F7">
        <w:t xml:space="preserve"> projects and programs is $</w:t>
      </w:r>
      <w:r w:rsidR="007C718F">
        <w:t>15.0</w:t>
      </w:r>
      <w:r w:rsidRPr="00FF31F7">
        <w:t xml:space="preserve"> million ($2015</w:t>
      </w:r>
      <w:r w:rsidR="000B70FD">
        <w:noBreakHyphen/>
      </w:r>
      <w:r w:rsidRPr="00FF31F7">
        <w:t>16). We accept APTNT’s actual and estimated capex for these minor projects as conforming capex in accordance with rule 79 of the NGR.</w:t>
      </w:r>
      <w:r w:rsidRPr="00FF31F7">
        <w:rPr>
          <w:vertAlign w:val="superscript"/>
        </w:rPr>
        <w:footnoteReference w:id="30"/>
      </w:r>
      <w:r w:rsidRPr="00FF31F7">
        <w:t xml:space="preserve"> </w:t>
      </w:r>
      <w:r w:rsidR="007C718F">
        <w:t>Based on our review of the information provided</w:t>
      </w:r>
      <w:r w:rsidR="00BD37DE">
        <w:t xml:space="preserve"> by APTNT in support of these projects, w</w:t>
      </w:r>
      <w:r w:rsidRPr="00FF31F7">
        <w:t xml:space="preserve">e are satisfied that: </w:t>
      </w:r>
    </w:p>
    <w:p w:rsidR="00FF31F7" w:rsidRPr="00FF31F7" w:rsidRDefault="00FF31F7" w:rsidP="00D95DB3">
      <w:pPr>
        <w:pStyle w:val="AERbulletlistfirststyle"/>
      </w:pPr>
      <w:r w:rsidRPr="00FF31F7">
        <w:t xml:space="preserve">APTNT’s access arrangement revision submission </w:t>
      </w:r>
      <w:r w:rsidR="006D69B5">
        <w:t xml:space="preserve">and pipeline integrity management plan </w:t>
      </w:r>
      <w:r w:rsidR="005E2A7C">
        <w:t>sufficiently justif</w:t>
      </w:r>
      <w:r w:rsidR="006D69B5">
        <w:t>y</w:t>
      </w:r>
      <w:r w:rsidRPr="00FF31F7">
        <w:t xml:space="preserve"> the basis, need, timing and cost of these minor projects and programs </w:t>
      </w:r>
    </w:p>
    <w:p w:rsidR="00FF31F7" w:rsidRPr="00FF31F7" w:rsidRDefault="00FF31F7" w:rsidP="00D95DB3">
      <w:pPr>
        <w:pStyle w:val="AERbulletlistfirststyle"/>
      </w:pPr>
      <w:r w:rsidRPr="00FF31F7">
        <w:t>the capex would be incurred by a prudent service provider acting efficiently, in accordance with accepted good industry practice, to achieve the lowest sustainable cost of providing services, and</w:t>
      </w:r>
    </w:p>
    <w:p w:rsidR="00FF31F7" w:rsidRPr="00FF31F7" w:rsidRDefault="00FF31F7" w:rsidP="00D95DB3">
      <w:pPr>
        <w:pStyle w:val="AERbulletlistfirststyle"/>
      </w:pPr>
      <w:r w:rsidRPr="00FF31F7">
        <w:t xml:space="preserve">the incurred capex is justifiable on the basis that the asset replacement works </w:t>
      </w:r>
      <w:r w:rsidRPr="00D95DB3">
        <w:t>are</w:t>
      </w:r>
      <w:r w:rsidRPr="00FF31F7">
        <w:t xml:space="preserve"> necessary to maintain the safety and integrity of pipeline services.</w:t>
      </w:r>
    </w:p>
    <w:p w:rsidR="00FF31F7" w:rsidRPr="00FF31F7" w:rsidRDefault="007C718F" w:rsidP="00FF31F7">
      <w:r>
        <w:t>T</w:t>
      </w:r>
      <w:r w:rsidR="00FF31F7" w:rsidRPr="00FF31F7">
        <w:t xml:space="preserve">he most significant replacement capex projects </w:t>
      </w:r>
      <w:r w:rsidR="00A94E3D">
        <w:t xml:space="preserve">contributing to </w:t>
      </w:r>
      <w:proofErr w:type="gramStart"/>
      <w:r w:rsidR="00A94E3D">
        <w:t>the overspend</w:t>
      </w:r>
      <w:proofErr w:type="gramEnd"/>
      <w:r w:rsidR="00A94E3D">
        <w:t xml:space="preserve"> in replacement capex </w:t>
      </w:r>
      <w:r>
        <w:t>are</w:t>
      </w:r>
      <w:r w:rsidR="0032658E">
        <w:t xml:space="preserve"> the belowground station p</w:t>
      </w:r>
      <w:r w:rsidR="00FF31F7" w:rsidRPr="00FF31F7">
        <w:t>ipewo</w:t>
      </w:r>
      <w:r w:rsidR="0032658E">
        <w:t>rk r</w:t>
      </w:r>
      <w:r w:rsidR="00407A96">
        <w:t>ecoating project s</w:t>
      </w:r>
      <w:r>
        <w:t>tage 1 ($6</w:t>
      </w:r>
      <w:r w:rsidR="00FF31F7" w:rsidRPr="00FF31F7">
        <w:t>.</w:t>
      </w:r>
      <w:r>
        <w:t>1</w:t>
      </w:r>
      <w:r w:rsidR="00407A96">
        <w:t xml:space="preserve"> million ($2015</w:t>
      </w:r>
      <w:r w:rsidR="000B70FD">
        <w:noBreakHyphen/>
      </w:r>
      <w:r w:rsidR="00407A96">
        <w:t>16)) and s</w:t>
      </w:r>
      <w:r w:rsidR="00FF31F7" w:rsidRPr="00FF31F7">
        <w:t>tage 2 ($9</w:t>
      </w:r>
      <w:r w:rsidR="0032658E">
        <w:t>.7 million ($2015</w:t>
      </w:r>
      <w:r w:rsidR="000B70FD">
        <w:noBreakHyphen/>
      </w:r>
      <w:r w:rsidR="0032658E">
        <w:t>16), and the b</w:t>
      </w:r>
      <w:r w:rsidR="00FF31F7" w:rsidRPr="00FF31F7">
        <w:t>idirectional pigging project ($5.</w:t>
      </w:r>
      <w:r w:rsidR="00A94E3D">
        <w:t>0 million ($2015</w:t>
      </w:r>
      <w:r w:rsidR="000B70FD">
        <w:noBreakHyphen/>
      </w:r>
      <w:r w:rsidR="00A94E3D">
        <w:t>16)). These</w:t>
      </w:r>
      <w:r>
        <w:t xml:space="preserve"> three projects account for $20.8 million or 5</w:t>
      </w:r>
      <w:r w:rsidR="00BD37DE">
        <w:t xml:space="preserve">8 per cent of </w:t>
      </w:r>
      <w:r w:rsidR="00AC50C8">
        <w:t xml:space="preserve">actual and estimated </w:t>
      </w:r>
      <w:r w:rsidR="00AC50C8" w:rsidRPr="00FF31F7">
        <w:t>replacement capex</w:t>
      </w:r>
      <w:r w:rsidR="00AC50C8">
        <w:t xml:space="preserve"> in </w:t>
      </w:r>
      <w:r w:rsidR="00BD37DE">
        <w:t xml:space="preserve">the </w:t>
      </w:r>
      <w:r w:rsidR="006A555A">
        <w:t>2011–16</w:t>
      </w:r>
      <w:r w:rsidR="00FF31F7" w:rsidRPr="00FF31F7">
        <w:t xml:space="preserve"> access arrangement period. </w:t>
      </w:r>
      <w:r w:rsidR="00AC50C8">
        <w:t>The total allowance for belowground station pipework recoating work and the bidirectional pigging project in the 2011–16 access arrangement period was $5.8 million.</w:t>
      </w:r>
      <w:r w:rsidR="00AC50C8">
        <w:rPr>
          <w:rStyle w:val="FootnoteReference"/>
        </w:rPr>
        <w:footnoteReference w:id="31"/>
      </w:r>
      <w:r w:rsidR="00AC50C8">
        <w:t xml:space="preserve"> </w:t>
      </w:r>
      <w:r w:rsidR="00FF31F7" w:rsidRPr="00FF31F7">
        <w:t>Our consideration of these projects is set out below.</w:t>
      </w:r>
    </w:p>
    <w:p w:rsidR="00FF31F7" w:rsidRPr="00FF31F7" w:rsidRDefault="00FF31F7" w:rsidP="00FF31F7">
      <w:pPr>
        <w:rPr>
          <w:b/>
          <w:bCs/>
        </w:rPr>
      </w:pPr>
      <w:r w:rsidRPr="00FF31F7">
        <w:rPr>
          <w:b/>
          <w:bCs/>
        </w:rPr>
        <w:t>Belowground station pipework recoating project</w:t>
      </w:r>
    </w:p>
    <w:p w:rsidR="00FF31F7" w:rsidRPr="00FF31F7" w:rsidRDefault="00CB3EB9" w:rsidP="00FF31F7">
      <w:pPr>
        <w:rPr>
          <w:bCs/>
        </w:rPr>
      </w:pPr>
      <w:r>
        <w:rPr>
          <w:bCs/>
        </w:rPr>
        <w:t>APTNT submitted</w:t>
      </w:r>
      <w:r w:rsidR="00FF31F7" w:rsidRPr="00FF31F7">
        <w:rPr>
          <w:bCs/>
        </w:rPr>
        <w:t xml:space="preserve"> that during the construction of the AGP</w:t>
      </w:r>
      <w:r w:rsidR="00407A96">
        <w:rPr>
          <w:bCs/>
        </w:rPr>
        <w:t xml:space="preserve"> in the 1980s</w:t>
      </w:r>
      <w:r w:rsidR="00FF31F7" w:rsidRPr="00FF31F7">
        <w:rPr>
          <w:bCs/>
        </w:rPr>
        <w:t xml:space="preserve">, complex joints, valves and fittings were coated with coal tar enamel. </w:t>
      </w:r>
      <w:r>
        <w:rPr>
          <w:bCs/>
        </w:rPr>
        <w:t>APTNT has</w:t>
      </w:r>
      <w:r w:rsidR="00FF31F7" w:rsidRPr="00FF31F7">
        <w:rPr>
          <w:bCs/>
        </w:rPr>
        <w:t xml:space="preserve"> identified coating defects at the majority of stations on the pipeline</w:t>
      </w:r>
      <w:r w:rsidR="00BD37DE">
        <w:rPr>
          <w:bCs/>
        </w:rPr>
        <w:t>.</w:t>
      </w:r>
      <w:r w:rsidR="00FF31F7" w:rsidRPr="00FF31F7">
        <w:rPr>
          <w:bCs/>
        </w:rPr>
        <w:t xml:space="preserve"> </w:t>
      </w:r>
      <w:r w:rsidR="00BD37DE">
        <w:rPr>
          <w:bCs/>
        </w:rPr>
        <w:t>S</w:t>
      </w:r>
      <w:r w:rsidR="00FF31F7" w:rsidRPr="00FF31F7">
        <w:rPr>
          <w:bCs/>
        </w:rPr>
        <w:t xml:space="preserve">pot samples of the coating within the scraper stations </w:t>
      </w:r>
      <w:r w:rsidR="00BD37DE">
        <w:rPr>
          <w:bCs/>
        </w:rPr>
        <w:t>have confirmed that</w:t>
      </w:r>
      <w:r w:rsidR="00FF31F7" w:rsidRPr="00FF31F7">
        <w:rPr>
          <w:bCs/>
        </w:rPr>
        <w:t xml:space="preserve"> coating defects exist in the coal tar enamel sections and at the heat shrink sleeves within the stations. APTNT consider</w:t>
      </w:r>
      <w:r w:rsidR="00BD37DE">
        <w:rPr>
          <w:bCs/>
        </w:rPr>
        <w:t>s that where coating</w:t>
      </w:r>
      <w:r w:rsidR="00FF31F7" w:rsidRPr="00FF31F7">
        <w:rPr>
          <w:bCs/>
        </w:rPr>
        <w:t xml:space="preserve"> defects exist in buried pipe work, there is high potential for the development of shielding of the pipe steel from the cathodic protection system</w:t>
      </w:r>
      <w:r w:rsidR="00BD37DE">
        <w:rPr>
          <w:bCs/>
        </w:rPr>
        <w:t>,</w:t>
      </w:r>
      <w:r w:rsidR="00FF31F7" w:rsidRPr="00FF31F7">
        <w:rPr>
          <w:bCs/>
        </w:rPr>
        <w:t xml:space="preserve"> resulting in corrosion. </w:t>
      </w:r>
      <w:r w:rsidR="00BD37DE">
        <w:rPr>
          <w:bCs/>
        </w:rPr>
        <w:t>N</w:t>
      </w:r>
      <w:r w:rsidR="00FF31F7" w:rsidRPr="00FF31F7">
        <w:rPr>
          <w:bCs/>
        </w:rPr>
        <w:t xml:space="preserve">one of this pipe work is able to be inspected through metal-loss pigging, and it is therefore necessary to excavate, inspect and repair each facility </w:t>
      </w:r>
      <w:r w:rsidR="00BD37DE" w:rsidRPr="00FF31F7">
        <w:rPr>
          <w:bCs/>
        </w:rPr>
        <w:t xml:space="preserve">where coal tar was used </w:t>
      </w:r>
      <w:r w:rsidR="00FF31F7" w:rsidRPr="00FF31F7">
        <w:rPr>
          <w:bCs/>
        </w:rPr>
        <w:t>by replacing the coatings with modern epoxy.</w:t>
      </w:r>
      <w:r w:rsidR="00FF31F7" w:rsidRPr="00FF31F7">
        <w:rPr>
          <w:bCs/>
          <w:vertAlign w:val="superscript"/>
        </w:rPr>
        <w:footnoteReference w:id="32"/>
      </w:r>
      <w:r w:rsidR="00FF31F7" w:rsidRPr="00FF31F7">
        <w:rPr>
          <w:bCs/>
        </w:rPr>
        <w:t xml:space="preserve"> </w:t>
      </w:r>
    </w:p>
    <w:p w:rsidR="00FF31F7" w:rsidRPr="00FF31F7" w:rsidRDefault="00FF31F7" w:rsidP="00FF31F7">
      <w:pPr>
        <w:rPr>
          <w:bCs/>
        </w:rPr>
      </w:pPr>
      <w:r w:rsidRPr="00FF31F7">
        <w:rPr>
          <w:bCs/>
        </w:rPr>
        <w:t>APTNT s</w:t>
      </w:r>
      <w:r w:rsidR="00BD37DE">
        <w:rPr>
          <w:bCs/>
        </w:rPr>
        <w:t>ubmitted</w:t>
      </w:r>
      <w:r w:rsidRPr="00FF31F7">
        <w:rPr>
          <w:bCs/>
        </w:rPr>
        <w:t xml:space="preserve"> that it has recoated nine stations to date </w:t>
      </w:r>
      <w:r w:rsidR="00BD37DE">
        <w:rPr>
          <w:bCs/>
        </w:rPr>
        <w:t>as part of stage one of this project at a cost of $6.1</w:t>
      </w:r>
      <w:r w:rsidRPr="00FF31F7">
        <w:rPr>
          <w:bCs/>
        </w:rPr>
        <w:t xml:space="preserve"> million ($2015</w:t>
      </w:r>
      <w:r w:rsidR="000B70FD">
        <w:rPr>
          <w:bCs/>
        </w:rPr>
        <w:noBreakHyphen/>
      </w:r>
      <w:r w:rsidRPr="00FF31F7">
        <w:rPr>
          <w:bCs/>
        </w:rPr>
        <w:t>16)</w:t>
      </w:r>
      <w:r w:rsidR="00BD37DE">
        <w:rPr>
          <w:bCs/>
        </w:rPr>
        <w:t>,</w:t>
      </w:r>
      <w:r w:rsidRPr="00FF31F7">
        <w:rPr>
          <w:bCs/>
        </w:rPr>
        <w:t xml:space="preserve"> compared to the AER’s approved forecast for this work of $5.6 million ($2015</w:t>
      </w:r>
      <w:r w:rsidR="000B70FD">
        <w:rPr>
          <w:bCs/>
        </w:rPr>
        <w:noBreakHyphen/>
      </w:r>
      <w:r w:rsidRPr="00FF31F7">
        <w:rPr>
          <w:bCs/>
        </w:rPr>
        <w:t xml:space="preserve">16). APTNT is proposing to complete recoating the </w:t>
      </w:r>
      <w:r w:rsidR="00D95DB3">
        <w:rPr>
          <w:bCs/>
        </w:rPr>
        <w:t>remaining 25 stations</w:t>
      </w:r>
      <w:r w:rsidRPr="00FF31F7">
        <w:rPr>
          <w:bCs/>
        </w:rPr>
        <w:t xml:space="preserve"> in stage</w:t>
      </w:r>
      <w:r w:rsidR="00D95DB3">
        <w:rPr>
          <w:bCs/>
        </w:rPr>
        <w:t xml:space="preserve"> 2 of the recoating project. APTNT has</w:t>
      </w:r>
      <w:r w:rsidRPr="00FF31F7">
        <w:rPr>
          <w:bCs/>
        </w:rPr>
        <w:t xml:space="preserve"> estimated </w:t>
      </w:r>
      <w:r w:rsidR="00D95DB3">
        <w:rPr>
          <w:bCs/>
        </w:rPr>
        <w:t>capex</w:t>
      </w:r>
      <w:r w:rsidRPr="00FF31F7">
        <w:rPr>
          <w:bCs/>
        </w:rPr>
        <w:t xml:space="preserve"> of $9.1 million ($2015</w:t>
      </w:r>
      <w:r w:rsidR="000B70FD">
        <w:rPr>
          <w:bCs/>
        </w:rPr>
        <w:noBreakHyphen/>
      </w:r>
      <w:r w:rsidRPr="00FF31F7">
        <w:rPr>
          <w:bCs/>
        </w:rPr>
        <w:t>16) in 2015</w:t>
      </w:r>
      <w:r w:rsidR="000B70FD">
        <w:rPr>
          <w:bCs/>
        </w:rPr>
        <w:noBreakHyphen/>
      </w:r>
      <w:r w:rsidRPr="00FF31F7">
        <w:rPr>
          <w:bCs/>
        </w:rPr>
        <w:t>16 for this work</w:t>
      </w:r>
      <w:r w:rsidR="00D95DB3">
        <w:rPr>
          <w:bCs/>
        </w:rPr>
        <w:t xml:space="preserve">, with further capex in the first year of the </w:t>
      </w:r>
      <w:r w:rsidR="006A555A">
        <w:rPr>
          <w:bCs/>
        </w:rPr>
        <w:t>2016–21</w:t>
      </w:r>
      <w:r w:rsidR="00D95DB3">
        <w:rPr>
          <w:bCs/>
        </w:rPr>
        <w:t xml:space="preserve"> access arrangement period</w:t>
      </w:r>
      <w:r w:rsidRPr="00FF31F7">
        <w:rPr>
          <w:bCs/>
        </w:rPr>
        <w:t xml:space="preserve">. APTNT stated that it is conducting </w:t>
      </w:r>
      <w:r w:rsidR="00D95DB3">
        <w:rPr>
          <w:bCs/>
        </w:rPr>
        <w:t>stage 2 of</w:t>
      </w:r>
      <w:r w:rsidRPr="00FF31F7">
        <w:rPr>
          <w:bCs/>
        </w:rPr>
        <w:t xml:space="preserve"> this project through a fixed cost tender rather than a rates-based sole source contract it used for the first stage of the p</w:t>
      </w:r>
      <w:r w:rsidR="00D95DB3">
        <w:rPr>
          <w:bCs/>
        </w:rPr>
        <w:t>roject, which it expects to deliver cost efficiencies</w:t>
      </w:r>
      <w:r w:rsidRPr="00FF31F7">
        <w:rPr>
          <w:bCs/>
        </w:rPr>
        <w:t>.</w:t>
      </w:r>
      <w:r w:rsidRPr="00FF31F7">
        <w:rPr>
          <w:bCs/>
          <w:vertAlign w:val="superscript"/>
        </w:rPr>
        <w:footnoteReference w:id="33"/>
      </w:r>
    </w:p>
    <w:p w:rsidR="00FF31F7" w:rsidRPr="00FF31F7" w:rsidRDefault="00FF31F7" w:rsidP="00FF31F7">
      <w:pPr>
        <w:rPr>
          <w:bCs/>
        </w:rPr>
      </w:pPr>
      <w:r w:rsidRPr="00FF31F7">
        <w:rPr>
          <w:bCs/>
        </w:rPr>
        <w:t xml:space="preserve">We sought engineering advice from Sleeman Consulting to assist in assessing the need, timing and cost of the belowground station pipework recoating </w:t>
      </w:r>
      <w:r w:rsidR="00D95DB3">
        <w:rPr>
          <w:bCs/>
        </w:rPr>
        <w:t xml:space="preserve">work during the </w:t>
      </w:r>
      <w:r w:rsidR="006A555A">
        <w:rPr>
          <w:bCs/>
        </w:rPr>
        <w:t>2011–16</w:t>
      </w:r>
      <w:r w:rsidRPr="00FF31F7">
        <w:rPr>
          <w:bCs/>
        </w:rPr>
        <w:t xml:space="preserve"> access arrangement period. In summary, Sleeman Consulting advised that:</w:t>
      </w:r>
      <w:r w:rsidRPr="00FF31F7">
        <w:rPr>
          <w:bCs/>
          <w:vertAlign w:val="superscript"/>
        </w:rPr>
        <w:footnoteReference w:id="34"/>
      </w:r>
    </w:p>
    <w:p w:rsidR="00FF31F7" w:rsidRPr="00FF31F7" w:rsidRDefault="00FF31F7" w:rsidP="00D95DB3">
      <w:pPr>
        <w:pStyle w:val="AERbulletlistfirststyle"/>
      </w:pPr>
      <w:r w:rsidRPr="00FF31F7">
        <w:rPr>
          <w:lang w:val="en-US"/>
        </w:rPr>
        <w:t xml:space="preserve">when the AGP was constructed, below ground pipework within stations along the pipeline was coated in an </w:t>
      </w:r>
      <w:r w:rsidR="003962AE">
        <w:rPr>
          <w:lang w:val="en-US"/>
        </w:rPr>
        <w:t xml:space="preserve">manner consistent with </w:t>
      </w:r>
      <w:r w:rsidRPr="00FF31F7">
        <w:rPr>
          <w:lang w:val="en-US"/>
        </w:rPr>
        <w:t>industry standard</w:t>
      </w:r>
      <w:r w:rsidR="003962AE">
        <w:rPr>
          <w:lang w:val="en-US"/>
        </w:rPr>
        <w:t xml:space="preserve">s of the time, </w:t>
      </w:r>
      <w:r w:rsidRPr="00FF31F7">
        <w:rPr>
          <w:lang w:val="en-US"/>
        </w:rPr>
        <w:t xml:space="preserve">which included the use of both coal tar enamel (on complex-shaped fittings) and heat-shrink sleeves </w:t>
      </w:r>
    </w:p>
    <w:p w:rsidR="00FF31F7" w:rsidRPr="00FF31F7" w:rsidRDefault="00FF31F7" w:rsidP="00D95DB3">
      <w:pPr>
        <w:pStyle w:val="AERbulletlistfirststyle"/>
      </w:pPr>
      <w:r w:rsidRPr="00FF31F7">
        <w:rPr>
          <w:lang w:val="en-US"/>
        </w:rPr>
        <w:t>the existence of defects has been confirmed through direct current voltage gradient (DCVG) surveys, cathodic protection (CP) surveys and through visual inspection</w:t>
      </w:r>
    </w:p>
    <w:p w:rsidR="00FF31F7" w:rsidRPr="00FF31F7" w:rsidRDefault="00FF31F7" w:rsidP="00D95DB3">
      <w:pPr>
        <w:pStyle w:val="AERbulletlistfirststyle"/>
      </w:pPr>
      <w:r w:rsidRPr="00FF31F7">
        <w:rPr>
          <w:lang w:val="en-US"/>
        </w:rPr>
        <w:t>information provided by APTNT shows that in all cases where pipeline metal loss was detected, the metal loss was minor. Further, there was no threat to pipeline integrity and healthy factors of safety were demonstrated, allowing continued operation of the pipeline at its design</w:t>
      </w:r>
      <w:r w:rsidR="00D95DB3">
        <w:rPr>
          <w:lang w:val="en-US"/>
        </w:rPr>
        <w:t>ed</w:t>
      </w:r>
      <w:r w:rsidRPr="00FF31F7">
        <w:rPr>
          <w:lang w:val="en-US"/>
        </w:rPr>
        <w:t xml:space="preserve"> maximum pressure</w:t>
      </w:r>
    </w:p>
    <w:p w:rsidR="00FF31F7" w:rsidRPr="00FF31F7" w:rsidRDefault="00FF31F7" w:rsidP="00D95DB3">
      <w:pPr>
        <w:pStyle w:val="AERbulletlistfirststyle"/>
        <w:rPr>
          <w:bCs/>
        </w:rPr>
      </w:pPr>
      <w:r w:rsidRPr="00FF31F7">
        <w:t>on the basis of inspection work carried out to date, it is reasonable to expect that the remaining scraper stations and main line valves will have coating related issues</w:t>
      </w:r>
      <w:r w:rsidR="00D95DB3">
        <w:t>,</w:t>
      </w:r>
      <w:r w:rsidRPr="00FF31F7">
        <w:t xml:space="preserve"> but the pipeline itself will be in sound condition </w:t>
      </w:r>
    </w:p>
    <w:p w:rsidR="00FF31F7" w:rsidRPr="00FF31F7" w:rsidRDefault="00FF31F7" w:rsidP="00D95DB3">
      <w:pPr>
        <w:pStyle w:val="AERbulletlistfirststyle"/>
        <w:rPr>
          <w:bCs/>
        </w:rPr>
      </w:pPr>
      <w:r w:rsidRPr="00FF31F7">
        <w:rPr>
          <w:bCs/>
        </w:rPr>
        <w:t>in th</w:t>
      </w:r>
      <w:r w:rsidR="00D95DB3">
        <w:rPr>
          <w:bCs/>
        </w:rPr>
        <w:t xml:space="preserve">e context of r.79(1) of the NGR, </w:t>
      </w:r>
      <w:r w:rsidRPr="00FF31F7">
        <w:rPr>
          <w:bCs/>
        </w:rPr>
        <w:t>w</w:t>
      </w:r>
      <w:r w:rsidRPr="00FF31F7">
        <w:t>hilst it is prudent to inspect and repair below ground station pipeline coating at the remaining stations (since it is likely they will have coating related issues) undertaking such a programme of work on an accelerated basis, as proposed by APTNT, is inconsistent with achieving the lowest sustainable cost of providing services. Since the pipeline itself is expected to be in sound condition, undertaking work on an accelerated basis would mean costs are incurred prematurely and, in turn, the cost of providing services is not at the lowest sustainable level.</w:t>
      </w:r>
    </w:p>
    <w:p w:rsidR="00FF31F7" w:rsidRPr="00FF31F7" w:rsidRDefault="00FF31F7" w:rsidP="00D95DB3">
      <w:pPr>
        <w:pStyle w:val="AERbulletlistfirststyle"/>
      </w:pPr>
      <w:r w:rsidRPr="00FF31F7">
        <w:t xml:space="preserve">the remediation programme </w:t>
      </w:r>
      <w:r w:rsidR="00D95DB3">
        <w:t xml:space="preserve">should </w:t>
      </w:r>
      <w:r w:rsidRPr="00FF31F7">
        <w:t>be progressed at a slower rate</w:t>
      </w:r>
      <w:r w:rsidR="00D95DB3">
        <w:t>,</w:t>
      </w:r>
      <w:r w:rsidRPr="00FF31F7">
        <w:t xml:space="preserve"> balancing between:</w:t>
      </w:r>
    </w:p>
    <w:p w:rsidR="00FF31F7" w:rsidRPr="00FF31F7" w:rsidRDefault="00FF31F7" w:rsidP="00D95DB3">
      <w:pPr>
        <w:pStyle w:val="AERbulletlistsecondstyle"/>
      </w:pPr>
      <w:r w:rsidRPr="00FF31F7">
        <w:t>the need for coating repair wo</w:t>
      </w:r>
      <w:r w:rsidR="00D95DB3">
        <w:t>rk to be completed in a timely but not expedited</w:t>
      </w:r>
      <w:r w:rsidRPr="00FF31F7">
        <w:t xml:space="preserve"> manner; and</w:t>
      </w:r>
    </w:p>
    <w:p w:rsidR="00FF31F7" w:rsidRPr="00FF31F7" w:rsidRDefault="00FF31F7" w:rsidP="00D95DB3">
      <w:pPr>
        <w:pStyle w:val="AERbulletlistsecondstyle"/>
      </w:pPr>
      <w:r w:rsidRPr="00FF31F7">
        <w:t>the need for the repair programme to be coordinated so as to ensure the fixed cost tender benefits are secured</w:t>
      </w:r>
      <w:r w:rsidR="00D95DB3">
        <w:t>.</w:t>
      </w:r>
    </w:p>
    <w:p w:rsidR="00FF31F7" w:rsidRPr="00FF31F7" w:rsidRDefault="00FF31F7" w:rsidP="00FF31F7">
      <w:pPr>
        <w:numPr>
          <w:ilvl w:val="0"/>
          <w:numId w:val="34"/>
        </w:numPr>
        <w:rPr>
          <w:bCs/>
        </w:rPr>
      </w:pPr>
      <w:r w:rsidRPr="00FF31F7">
        <w:rPr>
          <w:bCs/>
        </w:rPr>
        <w:t xml:space="preserve">an </w:t>
      </w:r>
      <w:r w:rsidRPr="00FF31F7">
        <w:rPr>
          <w:bCs/>
          <w:lang w:val="en-US"/>
        </w:rPr>
        <w:t>inspection of four stations per annum would not be unreasonable as this will ensure all station coating repair work is completed by the end of 2020-21, and the benefit</w:t>
      </w:r>
      <w:r w:rsidR="00D95DB3">
        <w:rPr>
          <w:bCs/>
          <w:lang w:val="en-US"/>
        </w:rPr>
        <w:t>s of fixed cost tendering realis</w:t>
      </w:r>
      <w:r w:rsidRPr="00FF31F7">
        <w:rPr>
          <w:bCs/>
          <w:lang w:val="en-US"/>
        </w:rPr>
        <w:t>ed.</w:t>
      </w:r>
    </w:p>
    <w:p w:rsidR="009071C0" w:rsidRDefault="00FF31F7" w:rsidP="00FF31F7">
      <w:r w:rsidRPr="00FF31F7">
        <w:rPr>
          <w:bCs/>
        </w:rPr>
        <w:t xml:space="preserve">Having considered </w:t>
      </w:r>
      <w:r w:rsidRPr="00FF31F7">
        <w:t xml:space="preserve">APTNT’s proposal as well as the Sleeman Consulting engineering advice, we accept the need for and scope of the belowground station pipework recoating project. </w:t>
      </w:r>
      <w:r w:rsidR="00D95DB3">
        <w:t>A prudent operator would seek to address the pipework coating defects identified</w:t>
      </w:r>
      <w:r w:rsidR="009071C0">
        <w:t xml:space="preserve"> at the pipeline stations. </w:t>
      </w:r>
      <w:r w:rsidRPr="00FF31F7">
        <w:t xml:space="preserve">However, </w:t>
      </w:r>
      <w:r w:rsidR="00CB399F">
        <w:t>in respect of the timing</w:t>
      </w:r>
      <w:r w:rsidRPr="00FF31F7">
        <w:t xml:space="preserve"> of the project as proposed by APTNT</w:t>
      </w:r>
      <w:r w:rsidR="00CB399F">
        <w:t>, we are not satisfied that the capex</w:t>
      </w:r>
      <w:r w:rsidRPr="00FF31F7">
        <w:t xml:space="preserve"> is </w:t>
      </w:r>
      <w:r w:rsidR="00CB399F" w:rsidRPr="00CB399F">
        <w:t>such as would be incurred by a prudent service provider acting efficiently, in accordance with accepted good industry practice, to</w:t>
      </w:r>
      <w:r w:rsidR="00CB399F">
        <w:t xml:space="preserve"> </w:t>
      </w:r>
      <w:r w:rsidR="00CB399F" w:rsidRPr="00FF31F7">
        <w:t>achiev</w:t>
      </w:r>
      <w:r w:rsidR="00CB399F">
        <w:t>e</w:t>
      </w:r>
      <w:r w:rsidR="00CB399F" w:rsidRPr="00FF31F7">
        <w:t xml:space="preserve"> the lowest sustainable cost of providing services</w:t>
      </w:r>
      <w:r w:rsidRPr="00FF31F7">
        <w:t xml:space="preserve">. </w:t>
      </w:r>
      <w:r w:rsidR="009071C0">
        <w:t>It does not appear that an accelerated program of works which completes the bulk of the recoating work within two years is justified, given the generally sound condition of the pipework found at stations where recoating work was completed as part of stage one of the project. An accelerated program of replacement means that capex is incurred before it is required. In our view, this is likely to be inefficient and inconsistent with the need to achieve the lowest sustainable cost of providing services.</w:t>
      </w:r>
    </w:p>
    <w:p w:rsidR="00FF31F7" w:rsidRPr="00FF31F7" w:rsidRDefault="00FF31F7" w:rsidP="00FF31F7">
      <w:pPr>
        <w:rPr>
          <w:bCs/>
        </w:rPr>
      </w:pPr>
      <w:r w:rsidRPr="00FF31F7">
        <w:t xml:space="preserve">We consider that APTNT’s </w:t>
      </w:r>
      <w:r w:rsidR="009071C0">
        <w:t>estimated</w:t>
      </w:r>
      <w:r w:rsidRPr="00FF31F7">
        <w:t xml:space="preserve"> capex of $9.1 million ($</w:t>
      </w:r>
      <w:r w:rsidR="000B70FD">
        <w:t>2015–16</w:t>
      </w:r>
      <w:r w:rsidRPr="00FF31F7">
        <w:t xml:space="preserve">) for this project in </w:t>
      </w:r>
      <w:r w:rsidR="000B70FD">
        <w:t>2015–16</w:t>
      </w:r>
      <w:r w:rsidRPr="00FF31F7">
        <w:t xml:space="preserve"> should</w:t>
      </w:r>
      <w:r w:rsidR="009071C0">
        <w:t>, in part,</w:t>
      </w:r>
      <w:r w:rsidRPr="00FF31F7">
        <w:t xml:space="preserve"> be defer</w:t>
      </w:r>
      <w:r w:rsidR="009071C0">
        <w:t>red such that the project is</w:t>
      </w:r>
      <w:r w:rsidRPr="00FF31F7">
        <w:t xml:space="preserve"> completed </w:t>
      </w:r>
      <w:r w:rsidR="009071C0">
        <w:t>by the end of the</w:t>
      </w:r>
      <w:r w:rsidRPr="00FF31F7">
        <w:t xml:space="preserve"> 2016</w:t>
      </w:r>
      <w:r w:rsidR="00C9745C">
        <w:t>–</w:t>
      </w:r>
      <w:r w:rsidRPr="00FF31F7">
        <w:t xml:space="preserve">21 access arrangement </w:t>
      </w:r>
      <w:proofErr w:type="gramStart"/>
      <w:r w:rsidRPr="00FF31F7">
        <w:t>period</w:t>
      </w:r>
      <w:proofErr w:type="gramEnd"/>
      <w:r w:rsidRPr="00FF31F7">
        <w:t xml:space="preserve">. </w:t>
      </w:r>
      <w:r w:rsidR="009071C0">
        <w:t xml:space="preserve">On the basis of the advice provided by Sleeman Consulting, we consider that an allowance to complete recoating work at four stations per annum over the period from </w:t>
      </w:r>
      <w:r w:rsidR="000B70FD">
        <w:t>2015–16</w:t>
      </w:r>
      <w:r w:rsidR="009071C0">
        <w:t xml:space="preserve"> to 2020</w:t>
      </w:r>
      <w:r w:rsidR="00C9745C">
        <w:t>–</w:t>
      </w:r>
      <w:r w:rsidR="009071C0">
        <w:t>21 is likely to</w:t>
      </w:r>
      <w:r w:rsidR="007633E9">
        <w:t xml:space="preserve"> reflect a reasonable estimate of conforming capex for this project. We have therefore reduced</w:t>
      </w:r>
      <w:r w:rsidRPr="00FF31F7">
        <w:t xml:space="preserve"> APTNT’s estimated capex for the final year of the </w:t>
      </w:r>
      <w:r w:rsidR="006A555A">
        <w:t>2011–16</w:t>
      </w:r>
      <w:r w:rsidRPr="00FF31F7">
        <w:t xml:space="preserve"> access arrangement </w:t>
      </w:r>
      <w:proofErr w:type="gramStart"/>
      <w:r w:rsidRPr="00FF31F7">
        <w:t>period</w:t>
      </w:r>
      <w:proofErr w:type="gramEnd"/>
      <w:r w:rsidRPr="00FF31F7">
        <w:t xml:space="preserve"> by $7.0 million ($</w:t>
      </w:r>
      <w:r w:rsidR="000B70FD">
        <w:t>2015–16</w:t>
      </w:r>
      <w:r w:rsidRPr="00FF31F7">
        <w:t>).</w:t>
      </w:r>
      <w:r w:rsidR="007633E9">
        <w:t xml:space="preserve"> This capex has been deferred to the </w:t>
      </w:r>
      <w:r w:rsidR="006A555A">
        <w:t>2016–21</w:t>
      </w:r>
      <w:r w:rsidR="007633E9">
        <w:t xml:space="preserve"> access arrangement period.</w:t>
      </w:r>
    </w:p>
    <w:p w:rsidR="00FF31F7" w:rsidRPr="00FF31F7" w:rsidRDefault="00FF31F7" w:rsidP="00FF31F7">
      <w:pPr>
        <w:rPr>
          <w:bCs/>
        </w:rPr>
      </w:pPr>
      <w:r w:rsidRPr="00FF31F7">
        <w:rPr>
          <w:b/>
          <w:bCs/>
        </w:rPr>
        <w:t>Bidirectional pigging project</w:t>
      </w:r>
    </w:p>
    <w:p w:rsidR="00FF31F7" w:rsidRPr="00FF31F7" w:rsidRDefault="00934ED9" w:rsidP="00FF31F7">
      <w:pPr>
        <w:rPr>
          <w:bCs/>
        </w:rPr>
      </w:pPr>
      <w:r>
        <w:rPr>
          <w:bCs/>
        </w:rPr>
        <w:t>APTNT submitted</w:t>
      </w:r>
      <w:r w:rsidR="00FF31F7" w:rsidRPr="00FF31F7">
        <w:rPr>
          <w:bCs/>
        </w:rPr>
        <w:t xml:space="preserve"> that the change in majority supply</w:t>
      </w:r>
      <w:r>
        <w:rPr>
          <w:bCs/>
        </w:rPr>
        <w:t xml:space="preserve"> to the AGP</w:t>
      </w:r>
      <w:r w:rsidR="00FF31F7" w:rsidRPr="00FF31F7">
        <w:rPr>
          <w:bCs/>
        </w:rPr>
        <w:t>, from the Amadeus to the Blacktip gas field, has resulted in majority southbound flows on the AGP between Ban Ban Springs and Palm Valley. As a consequence, this has required the AGP to be pigged</w:t>
      </w:r>
      <w:r w:rsidR="00407A96">
        <w:rPr>
          <w:rStyle w:val="FootnoteReference"/>
          <w:bCs/>
        </w:rPr>
        <w:footnoteReference w:id="35"/>
      </w:r>
      <w:r w:rsidR="00FF31F7" w:rsidRPr="00FF31F7">
        <w:rPr>
          <w:bCs/>
        </w:rPr>
        <w:t xml:space="preserve"> in the reverse direction compared to pipeline design. APTNT submitted that in addition, southbound flows are lower than required for effective metal-loss pigging and therefore it has been necessary to create a pressure/flow regime suitable for pigging.</w:t>
      </w:r>
      <w:r w:rsidR="00FF31F7" w:rsidRPr="00FF31F7">
        <w:rPr>
          <w:bCs/>
          <w:vertAlign w:val="superscript"/>
        </w:rPr>
        <w:footnoteReference w:id="36"/>
      </w:r>
    </w:p>
    <w:p w:rsidR="00FF31F7" w:rsidRPr="00FF31F7" w:rsidRDefault="00FF31F7" w:rsidP="006D52FC">
      <w:r w:rsidRPr="00FF31F7">
        <w:rPr>
          <w:bCs/>
        </w:rPr>
        <w:t xml:space="preserve">APTNT submitted that it </w:t>
      </w:r>
      <w:r w:rsidR="00934ED9">
        <w:rPr>
          <w:bCs/>
        </w:rPr>
        <w:t>incurred $5.0</w:t>
      </w:r>
      <w:r w:rsidRPr="00FF31F7">
        <w:rPr>
          <w:bCs/>
        </w:rPr>
        <w:t xml:space="preserve"> million ($</w:t>
      </w:r>
      <w:r w:rsidR="000B70FD">
        <w:rPr>
          <w:bCs/>
        </w:rPr>
        <w:t>2015–16</w:t>
      </w:r>
      <w:r w:rsidRPr="00FF31F7">
        <w:rPr>
          <w:bCs/>
        </w:rPr>
        <w:t xml:space="preserve">) </w:t>
      </w:r>
      <w:r w:rsidR="00934ED9">
        <w:rPr>
          <w:bCs/>
        </w:rPr>
        <w:t xml:space="preserve">in capex </w:t>
      </w:r>
      <w:r w:rsidRPr="00FF31F7">
        <w:rPr>
          <w:bCs/>
        </w:rPr>
        <w:t xml:space="preserve">on this project </w:t>
      </w:r>
      <w:r w:rsidR="00934ED9">
        <w:rPr>
          <w:bCs/>
        </w:rPr>
        <w:t xml:space="preserve">in the </w:t>
      </w:r>
      <w:r w:rsidR="006A555A">
        <w:rPr>
          <w:bCs/>
        </w:rPr>
        <w:t>2011–16</w:t>
      </w:r>
      <w:r w:rsidR="00934ED9">
        <w:rPr>
          <w:bCs/>
        </w:rPr>
        <w:t xml:space="preserve"> access arrangement period compared to the</w:t>
      </w:r>
      <w:r w:rsidRPr="00FF31F7">
        <w:rPr>
          <w:bCs/>
        </w:rPr>
        <w:t xml:space="preserve"> </w:t>
      </w:r>
      <w:r w:rsidR="00934ED9">
        <w:rPr>
          <w:bCs/>
        </w:rPr>
        <w:t>approved allowance of $0.2</w:t>
      </w:r>
      <w:r w:rsidR="009D20AC">
        <w:rPr>
          <w:bCs/>
        </w:rPr>
        <w:t> </w:t>
      </w:r>
      <w:r w:rsidRPr="00FF31F7">
        <w:rPr>
          <w:bCs/>
        </w:rPr>
        <w:t>million ($</w:t>
      </w:r>
      <w:r w:rsidR="000B70FD">
        <w:rPr>
          <w:bCs/>
        </w:rPr>
        <w:t>2015–16</w:t>
      </w:r>
      <w:r w:rsidRPr="00FF31F7">
        <w:rPr>
          <w:bCs/>
        </w:rPr>
        <w:t>). APTNT justified this additional expenditure on the basis that</w:t>
      </w:r>
      <w:r w:rsidR="009D20AC">
        <w:rPr>
          <w:bCs/>
        </w:rPr>
        <w:t xml:space="preserve"> </w:t>
      </w:r>
      <w:r w:rsidRPr="00FF31F7">
        <w:t>its original plan to use insertion sleeves to allow the launch and retrieval of pigs without physical modification of the stations was found</w:t>
      </w:r>
      <w:r w:rsidR="009D20AC" w:rsidRPr="009D20AC">
        <w:t xml:space="preserve"> </w:t>
      </w:r>
      <w:r w:rsidR="009D20AC" w:rsidRPr="00FF31F7">
        <w:t>to be unsuitable for the configuration of the AGP</w:t>
      </w:r>
      <w:r w:rsidR="009D20AC">
        <w:t>. APTNT reached this conclusion following</w:t>
      </w:r>
      <w:r w:rsidRPr="00FF31F7">
        <w:t xml:space="preserve"> </w:t>
      </w:r>
      <w:r w:rsidR="009D20AC">
        <w:t>further</w:t>
      </w:r>
      <w:r w:rsidR="009D20AC" w:rsidRPr="00FF31F7">
        <w:t xml:space="preserve"> </w:t>
      </w:r>
      <w:r w:rsidRPr="00FF31F7">
        <w:t xml:space="preserve">investigation </w:t>
      </w:r>
      <w:r w:rsidR="009D20AC">
        <w:t xml:space="preserve">of this option </w:t>
      </w:r>
      <w:r w:rsidR="009C2D41">
        <w:t>and</w:t>
      </w:r>
      <w:r w:rsidR="009D20AC">
        <w:t xml:space="preserve"> </w:t>
      </w:r>
      <w:r w:rsidRPr="00FF31F7">
        <w:t>discussions with other pipeline operators</w:t>
      </w:r>
      <w:r w:rsidR="009D20AC">
        <w:t xml:space="preserve">. </w:t>
      </w:r>
      <w:r w:rsidRPr="00FF31F7">
        <w:t>APTNT’s ri</w:t>
      </w:r>
      <w:r w:rsidR="00934ED9">
        <w:t>sk assessment concluded that this</w:t>
      </w:r>
      <w:r w:rsidRPr="00FF31F7">
        <w:t xml:space="preserve"> approach was not acceptable for the pipeline. As a consequence, APTNT </w:t>
      </w:r>
      <w:r w:rsidR="00DC2EE3">
        <w:t>has</w:t>
      </w:r>
      <w:r w:rsidRPr="00FF31F7">
        <w:t xml:space="preserve"> had to physically modify the stations to all</w:t>
      </w:r>
      <w:r w:rsidR="00DC2EE3">
        <w:t>ow for bidirectional pigging. APTNT completed this project</w:t>
      </w:r>
      <w:r w:rsidRPr="00FF31F7">
        <w:t xml:space="preserve"> in </w:t>
      </w:r>
      <w:r w:rsidR="000B70FD">
        <w:t>2013–14</w:t>
      </w:r>
      <w:r w:rsidRPr="00FF31F7">
        <w:t xml:space="preserve"> a</w:t>
      </w:r>
      <w:r w:rsidR="00DC2EE3">
        <w:t>t a total cost of $5.0 million ($</w:t>
      </w:r>
      <w:r w:rsidR="000B70FD">
        <w:t>2015–16</w:t>
      </w:r>
      <w:r w:rsidRPr="00FF31F7">
        <w:t>).</w:t>
      </w:r>
      <w:r w:rsidRPr="00FF31F7">
        <w:rPr>
          <w:vertAlign w:val="superscript"/>
        </w:rPr>
        <w:footnoteReference w:id="37"/>
      </w:r>
    </w:p>
    <w:p w:rsidR="00FF31F7" w:rsidRPr="00FF31F7" w:rsidRDefault="00FF31F7" w:rsidP="00FF31F7">
      <w:pPr>
        <w:rPr>
          <w:bCs/>
        </w:rPr>
      </w:pPr>
      <w:r w:rsidRPr="00FF31F7">
        <w:rPr>
          <w:bCs/>
        </w:rPr>
        <w:t>We sought engineering advice from Sleeman Consulting to assist in assessing the need, timing and cost of the bidirectional pigging project during the earlier access arrangement period. In summary, Sleeman Consulting advised that:</w:t>
      </w:r>
      <w:r w:rsidRPr="00FF31F7">
        <w:rPr>
          <w:bCs/>
          <w:vertAlign w:val="superscript"/>
        </w:rPr>
        <w:footnoteReference w:id="38"/>
      </w:r>
    </w:p>
    <w:p w:rsidR="00FF31F7" w:rsidRPr="00FF31F7" w:rsidRDefault="00FF31F7" w:rsidP="00DC2EE3">
      <w:pPr>
        <w:pStyle w:val="AERbulletlistfirststyle"/>
      </w:pPr>
      <w:r w:rsidRPr="00FF31F7">
        <w:t>the factors APTNT raised to justify the additional expenditure are valid</w:t>
      </w:r>
      <w:r w:rsidR="00DC2EE3">
        <w:t>, including that:</w:t>
      </w:r>
    </w:p>
    <w:p w:rsidR="00FF31F7" w:rsidRPr="00FF31F7" w:rsidRDefault="00FF31F7" w:rsidP="00DC2EE3">
      <w:pPr>
        <w:pStyle w:val="AERbulletlistsecondstyle"/>
      </w:pPr>
      <w:r w:rsidRPr="00FF31F7">
        <w:t>there was a material risk that a pig exiting the pipeline might strike the door of the pig receiver which necessitated modification of eleven scraper stations</w:t>
      </w:r>
      <w:r w:rsidRPr="00FF31F7">
        <w:rPr>
          <w:vertAlign w:val="superscript"/>
        </w:rPr>
        <w:footnoteReference w:id="39"/>
      </w:r>
    </w:p>
    <w:p w:rsidR="00FF31F7" w:rsidRPr="00FF31F7" w:rsidRDefault="00FF31F7" w:rsidP="00DC2EE3">
      <w:pPr>
        <w:pStyle w:val="AERbulletlistsecondstyle"/>
      </w:pPr>
      <w:r w:rsidRPr="00FF31F7">
        <w:t>the present low rate of gas flow in a southerly direction is insufficient to propel pigs at a speed that is steady and meets requirements for intelligent pigging. Through use of pressure control facilities, a pressure gradient and gas flow regime can be created to facilitate pigging activities</w:t>
      </w:r>
    </w:p>
    <w:p w:rsidR="00FF31F7" w:rsidRPr="00FF31F7" w:rsidRDefault="00DC2EE3" w:rsidP="00DC2EE3">
      <w:pPr>
        <w:pStyle w:val="AERbulletlistfirststyle"/>
      </w:pPr>
      <w:r>
        <w:t>the additional</w:t>
      </w:r>
      <w:r w:rsidR="00FF31F7" w:rsidRPr="00FF31F7">
        <w:t xml:space="preserve"> expenditure </w:t>
      </w:r>
      <w:r>
        <w:t xml:space="preserve">incurred </w:t>
      </w:r>
      <w:r w:rsidR="00FF31F7" w:rsidRPr="00FF31F7">
        <w:t xml:space="preserve">in excess of what was approved for the </w:t>
      </w:r>
      <w:r>
        <w:t xml:space="preserve">access arrangement period </w:t>
      </w:r>
      <w:r w:rsidR="00FF31F7" w:rsidRPr="00FF31F7">
        <w:t xml:space="preserve">covered the costs of: </w:t>
      </w:r>
    </w:p>
    <w:p w:rsidR="00FF31F7" w:rsidRPr="00FF31F7" w:rsidRDefault="00FF31F7" w:rsidP="00FF31F7">
      <w:pPr>
        <w:numPr>
          <w:ilvl w:val="1"/>
          <w:numId w:val="34"/>
        </w:numPr>
      </w:pPr>
      <w:r w:rsidRPr="00FF31F7">
        <w:t>modifications to pig launching stations to</w:t>
      </w:r>
      <w:r w:rsidR="00DC2EE3">
        <w:t xml:space="preserve"> allow them to receive pigs, </w:t>
      </w:r>
      <w:r w:rsidRPr="00FF31F7">
        <w:t>overcoming the problem that a pig exiting the pipeline might stri</w:t>
      </w:r>
      <w:r w:rsidR="00DC2EE3">
        <w:t>ke the door of the pig receiver</w:t>
      </w:r>
      <w:r w:rsidRPr="00FF31F7">
        <w:t xml:space="preserve">. These modifications were relatively extensive, with the pig launcher having to be extended by 1.9 metres, kicker and vent lines relocated and balance lines installed </w:t>
      </w:r>
    </w:p>
    <w:p w:rsidR="00FF31F7" w:rsidRPr="00FF31F7" w:rsidRDefault="00FF31F7" w:rsidP="00FF31F7">
      <w:pPr>
        <w:numPr>
          <w:ilvl w:val="1"/>
          <w:numId w:val="34"/>
        </w:numPr>
      </w:pPr>
      <w:r w:rsidRPr="00FF31F7">
        <w:t xml:space="preserve">fabrication of a </w:t>
      </w:r>
      <w:r w:rsidR="00DC2EE3">
        <w:t xml:space="preserve">mobile pressure reduction skid, </w:t>
      </w:r>
      <w:r w:rsidRPr="00FF31F7">
        <w:t>to be used to overcome the present low rate of ga</w:t>
      </w:r>
      <w:r w:rsidR="00DC2EE3">
        <w:t>s flow in a southerly direction</w:t>
      </w:r>
    </w:p>
    <w:p w:rsidR="00FF31F7" w:rsidRPr="00FF31F7" w:rsidRDefault="00FF31F7" w:rsidP="00FF31F7">
      <w:pPr>
        <w:numPr>
          <w:ilvl w:val="1"/>
          <w:numId w:val="34"/>
        </w:numPr>
      </w:pPr>
      <w:r w:rsidRPr="00FF31F7">
        <w:t xml:space="preserve">modification to pig receival stations to allow safe movement of pigs and to allow connection of the mobile pressure reduction skid.   </w:t>
      </w:r>
    </w:p>
    <w:p w:rsidR="00DC2EE3" w:rsidRPr="00DC2EE3" w:rsidRDefault="00FF31F7" w:rsidP="00CD570B">
      <w:pPr>
        <w:pStyle w:val="AERbulletlistfirststyle"/>
        <w:rPr>
          <w:bCs/>
        </w:rPr>
      </w:pPr>
      <w:r w:rsidRPr="00FF31F7">
        <w:t xml:space="preserve">the expenditure incurred </w:t>
      </w:r>
      <w:r w:rsidR="00DC2EE3">
        <w:t>is</w:t>
      </w:r>
      <w:r w:rsidRPr="00FF31F7">
        <w:t xml:space="preserve"> reasonable </w:t>
      </w:r>
      <w:r w:rsidR="00DC2EE3">
        <w:t>given</w:t>
      </w:r>
      <w:r w:rsidRPr="00FF31F7">
        <w:t xml:space="preserve"> the relatively extensive modificatio</w:t>
      </w:r>
      <w:r w:rsidR="00DC2EE3">
        <w:t xml:space="preserve">ns that were completed </w:t>
      </w:r>
    </w:p>
    <w:p w:rsidR="00FF31F7" w:rsidRPr="00FF31F7" w:rsidRDefault="00FF31F7" w:rsidP="00CD570B">
      <w:pPr>
        <w:pStyle w:val="AERbulletlistfirststyle"/>
        <w:rPr>
          <w:bCs/>
        </w:rPr>
      </w:pPr>
      <w:r w:rsidRPr="00FF31F7">
        <w:t>expenditure incurred by APTNT on the bi-directional pigging project is prudent and efficient.</w:t>
      </w:r>
    </w:p>
    <w:p w:rsidR="00FF31F7" w:rsidRPr="00FF31F7" w:rsidRDefault="00FF31F7" w:rsidP="00FF31F7">
      <w:pPr>
        <w:rPr>
          <w:bCs/>
        </w:rPr>
      </w:pPr>
      <w:r w:rsidRPr="00FF31F7">
        <w:rPr>
          <w:bCs/>
        </w:rPr>
        <w:t xml:space="preserve">Having considered APTNT’s proposal as well as the Sleeman Consulting engineering advice, we accept the need, scope and timing of the bidirectional pigging project. </w:t>
      </w:r>
      <w:r w:rsidR="00CD570B">
        <w:rPr>
          <w:bCs/>
        </w:rPr>
        <w:t xml:space="preserve">The capex for this project </w:t>
      </w:r>
      <w:r w:rsidR="00CD570B">
        <w:t xml:space="preserve">meets the criteria of rule </w:t>
      </w:r>
      <w:r w:rsidR="00CD570B" w:rsidRPr="00FF31F7">
        <w:t xml:space="preserve">79(1)(a) </w:t>
      </w:r>
      <w:r w:rsidR="00CD570B">
        <w:t xml:space="preserve">of the NGR </w:t>
      </w:r>
      <w:r w:rsidR="00CD570B" w:rsidRPr="00FF31F7">
        <w:t xml:space="preserve">and </w:t>
      </w:r>
      <w:r w:rsidR="00CD570B">
        <w:t>is justifiable on the basis of rule 79(2)(c</w:t>
      </w:r>
      <w:r w:rsidR="00CD570B" w:rsidRPr="00FF31F7">
        <w:t>) of the NGR</w:t>
      </w:r>
      <w:r w:rsidR="00CD570B">
        <w:t>.</w:t>
      </w:r>
      <w:r w:rsidR="00CD570B">
        <w:rPr>
          <w:bCs/>
        </w:rPr>
        <w:t xml:space="preserve"> </w:t>
      </w:r>
      <w:r w:rsidR="00CB399F">
        <w:rPr>
          <w:bCs/>
        </w:rPr>
        <w:t xml:space="preserve">The capital expenditure was necessary to maintain APTNT’s ability to conduct inline inspection of the pipeline. </w:t>
      </w:r>
      <w:r w:rsidRPr="00FF31F7">
        <w:rPr>
          <w:bCs/>
        </w:rPr>
        <w:t xml:space="preserve">We have </w:t>
      </w:r>
      <w:r w:rsidRPr="00FF31F7">
        <w:t>included $5.0 million ($</w:t>
      </w:r>
      <w:r w:rsidR="000B70FD">
        <w:t>2015–16</w:t>
      </w:r>
      <w:r w:rsidRPr="00FF31F7">
        <w:t xml:space="preserve">) for the bidirectional pigging project </w:t>
      </w:r>
      <w:r w:rsidR="00CD570B">
        <w:t>as proposed by APTNT as</w:t>
      </w:r>
      <w:r w:rsidRPr="00FF31F7">
        <w:t xml:space="preserve"> </w:t>
      </w:r>
      <w:r w:rsidR="00CD570B">
        <w:t xml:space="preserve">conforming capex for the </w:t>
      </w:r>
      <w:r w:rsidR="006A555A">
        <w:t>2011–16</w:t>
      </w:r>
      <w:r w:rsidRPr="00FF31F7">
        <w:t xml:space="preserve"> access arrangeme</w:t>
      </w:r>
      <w:r w:rsidR="00CD570B">
        <w:t>nt period</w:t>
      </w:r>
      <w:r w:rsidRPr="00FF31F7">
        <w:t>.</w:t>
      </w:r>
    </w:p>
    <w:p w:rsidR="00FF31F7" w:rsidRPr="00FF31F7" w:rsidRDefault="00FF31F7" w:rsidP="00CD570B">
      <w:pPr>
        <w:pStyle w:val="HeadingBoldBlue"/>
      </w:pPr>
      <w:r w:rsidRPr="00FF31F7">
        <w:t>Non-system capex</w:t>
      </w:r>
    </w:p>
    <w:p w:rsidR="00FF31F7" w:rsidRPr="00FF31F7" w:rsidRDefault="00FF31F7" w:rsidP="00FF31F7">
      <w:pPr>
        <w:rPr>
          <w:bCs/>
        </w:rPr>
      </w:pPr>
      <w:r w:rsidRPr="00FF31F7">
        <w:rPr>
          <w:bCs/>
        </w:rPr>
        <w:t xml:space="preserve">APTNT proposed two non-system capex categories for the </w:t>
      </w:r>
      <w:r w:rsidR="000B70FD">
        <w:rPr>
          <w:bCs/>
        </w:rPr>
        <w:t>2011–16</w:t>
      </w:r>
      <w:r w:rsidR="009223D7" w:rsidRPr="00FF31F7">
        <w:rPr>
          <w:bCs/>
        </w:rPr>
        <w:t xml:space="preserve"> </w:t>
      </w:r>
      <w:r w:rsidRPr="00FF31F7">
        <w:rPr>
          <w:bCs/>
        </w:rPr>
        <w:t xml:space="preserve">access arrangement </w:t>
      </w:r>
      <w:proofErr w:type="gramStart"/>
      <w:r w:rsidRPr="00FF31F7">
        <w:rPr>
          <w:bCs/>
        </w:rPr>
        <w:t>period</w:t>
      </w:r>
      <w:proofErr w:type="gramEnd"/>
      <w:r w:rsidRPr="00FF31F7">
        <w:rPr>
          <w:bCs/>
        </w:rPr>
        <w:t xml:space="preserve"> – information technology and motor vehicles.</w:t>
      </w:r>
    </w:p>
    <w:p w:rsidR="00FF31F7" w:rsidRPr="00FF31F7" w:rsidRDefault="00FF31F7" w:rsidP="00F11395">
      <w:pPr>
        <w:keepNext/>
        <w:rPr>
          <w:b/>
          <w:bCs/>
        </w:rPr>
      </w:pPr>
      <w:r w:rsidRPr="00FF31F7">
        <w:rPr>
          <w:b/>
          <w:bCs/>
        </w:rPr>
        <w:t>Information technology</w:t>
      </w:r>
    </w:p>
    <w:p w:rsidR="00A0424B" w:rsidRDefault="00325A20" w:rsidP="00CD570B">
      <w:r>
        <w:t>APTNT incurred actual and estimated capex of $4.4 million ($</w:t>
      </w:r>
      <w:r w:rsidR="000B70FD">
        <w:t>2015–16</w:t>
      </w:r>
      <w:r>
        <w:t xml:space="preserve">) for IT capex in the </w:t>
      </w:r>
      <w:r w:rsidR="006A555A">
        <w:t>2011–16</w:t>
      </w:r>
      <w:r>
        <w:t xml:space="preserve"> access arrangement </w:t>
      </w:r>
      <w:proofErr w:type="gramStart"/>
      <w:r>
        <w:t>period</w:t>
      </w:r>
      <w:proofErr w:type="gramEnd"/>
      <w:r>
        <w:t xml:space="preserve">. </w:t>
      </w:r>
    </w:p>
    <w:p w:rsidR="00FF31F7" w:rsidRDefault="00325A20" w:rsidP="00CD570B">
      <w:pPr>
        <w:rPr>
          <w:rStyle w:val="AERbody"/>
        </w:rPr>
      </w:pPr>
      <w:r>
        <w:t xml:space="preserve">APTNT’s IT capex in the </w:t>
      </w:r>
      <w:r w:rsidR="006A555A">
        <w:t>2011–16</w:t>
      </w:r>
      <w:r>
        <w:t xml:space="preserve"> access arrangement period was in large part driven by APTNT’s share of corporate level costs</w:t>
      </w:r>
      <w:r w:rsidR="009223D7">
        <w:t>,</w:t>
      </w:r>
      <w:r>
        <w:t xml:space="preserve"> as a number of</w:t>
      </w:r>
      <w:r w:rsidRPr="00476A84">
        <w:t xml:space="preserve"> stand-alone systems </w:t>
      </w:r>
      <w:r>
        <w:t>relating to the AGP were integrated into</w:t>
      </w:r>
      <w:r w:rsidRPr="00476A84">
        <w:t xml:space="preserve"> the</w:t>
      </w:r>
      <w:r>
        <w:t xml:space="preserve"> broader</w:t>
      </w:r>
      <w:r w:rsidRPr="00476A84">
        <w:t xml:space="preserve"> APA Group systems.</w:t>
      </w:r>
      <w:r>
        <w:t xml:space="preserve"> </w:t>
      </w:r>
      <w:r>
        <w:rPr>
          <w:rStyle w:val="AERbody"/>
        </w:rPr>
        <w:t>APTNT submitted that this transition has led to efficiencies, which ha</w:t>
      </w:r>
      <w:r w:rsidR="009223D7">
        <w:rPr>
          <w:rStyle w:val="AERbody"/>
        </w:rPr>
        <w:t>ve</w:t>
      </w:r>
      <w:r>
        <w:rPr>
          <w:rStyle w:val="AERbody"/>
        </w:rPr>
        <w:t xml:space="preserve"> led to a reduction in opex. The majority of the increased capex is concentrated in the later years of the </w:t>
      </w:r>
      <w:r w:rsidR="006A555A">
        <w:rPr>
          <w:rStyle w:val="AERbody"/>
        </w:rPr>
        <w:t>2011–16</w:t>
      </w:r>
      <w:r>
        <w:rPr>
          <w:rStyle w:val="AERbody"/>
        </w:rPr>
        <w:t xml:space="preserve"> access arrangement period. As this expenditure was not contemplated at the time of submission of the access arrangement revision proposal for the current period, it was not included in the forecast for this period.</w:t>
      </w:r>
      <w:r>
        <w:rPr>
          <w:rStyle w:val="FootnoteReference"/>
        </w:rPr>
        <w:footnoteReference w:id="40"/>
      </w:r>
    </w:p>
    <w:p w:rsidR="00A0424B" w:rsidRPr="00325A20" w:rsidRDefault="00A0424B" w:rsidP="00CD570B">
      <w:r>
        <w:rPr>
          <w:rStyle w:val="AERbody"/>
        </w:rPr>
        <w:t>Based on our review of the information submitted by APTNT in support of its IT capex, we are satisfied that the capex is such as would be incurred by a prudent service provider acting efficiently.</w:t>
      </w:r>
      <w:r>
        <w:rPr>
          <w:rStyle w:val="FootnoteReference"/>
        </w:rPr>
        <w:footnoteReference w:id="41"/>
      </w:r>
      <w:r>
        <w:rPr>
          <w:rStyle w:val="AERbody"/>
        </w:rPr>
        <w:t xml:space="preserve"> </w:t>
      </w:r>
      <w:r w:rsidR="00081BD5">
        <w:rPr>
          <w:rStyle w:val="AERbody"/>
        </w:rPr>
        <w:t xml:space="preserve">The integration of stand-alone systems into APA Group systems has provided operational efficiencies and improved system flexibility and reliability. </w:t>
      </w:r>
      <w:r w:rsidR="006D694F">
        <w:rPr>
          <w:rStyle w:val="AERbody"/>
        </w:rPr>
        <w:t xml:space="preserve">The capex </w:t>
      </w:r>
      <w:r w:rsidR="006D694F">
        <w:t>is justifiable on the basis of rule 79(2)(c</w:t>
      </w:r>
      <w:r w:rsidR="006D694F" w:rsidRPr="00FF31F7">
        <w:t>) of the NGR</w:t>
      </w:r>
      <w:r w:rsidR="006D694F">
        <w:t xml:space="preserve">. </w:t>
      </w:r>
      <w:r>
        <w:t>We accept APTNT’s actual and estimated IT capex of $4.4 million ($</w:t>
      </w:r>
      <w:r w:rsidR="000B70FD">
        <w:t>2015–16</w:t>
      </w:r>
      <w:r>
        <w:t xml:space="preserve">) in the </w:t>
      </w:r>
      <w:r w:rsidR="006A555A">
        <w:t>2011–16</w:t>
      </w:r>
      <w:r>
        <w:t xml:space="preserve"> access arrangement period as conforming capex.</w:t>
      </w:r>
    </w:p>
    <w:p w:rsidR="00FF31F7" w:rsidRPr="00FF31F7" w:rsidRDefault="00FF31F7" w:rsidP="00FF31F7">
      <w:pPr>
        <w:rPr>
          <w:bCs/>
        </w:rPr>
      </w:pPr>
      <w:r w:rsidRPr="00FF31F7">
        <w:rPr>
          <w:b/>
          <w:bCs/>
        </w:rPr>
        <w:t>Motor vehicles</w:t>
      </w:r>
    </w:p>
    <w:p w:rsidR="00FF31F7" w:rsidRPr="00FF31F7" w:rsidRDefault="00FF31F7" w:rsidP="00CD570B">
      <w:pPr>
        <w:rPr>
          <w:vertAlign w:val="superscript"/>
        </w:rPr>
      </w:pPr>
      <w:r w:rsidRPr="00FF31F7">
        <w:t>APTNT incurred capex of $2.2 million ($</w:t>
      </w:r>
      <w:r w:rsidR="000B70FD">
        <w:t>2015–16</w:t>
      </w:r>
      <w:r w:rsidRPr="00FF31F7">
        <w:t xml:space="preserve">) for motor vehicles in the </w:t>
      </w:r>
      <w:r w:rsidR="006A555A">
        <w:t>2011–16</w:t>
      </w:r>
      <w:r w:rsidR="00CD570B">
        <w:t xml:space="preserve"> </w:t>
      </w:r>
      <w:r w:rsidRPr="00FF31F7">
        <w:t xml:space="preserve">access arrangement </w:t>
      </w:r>
      <w:proofErr w:type="gramStart"/>
      <w:r w:rsidRPr="00FF31F7">
        <w:t>period</w:t>
      </w:r>
      <w:proofErr w:type="gramEnd"/>
      <w:r w:rsidRPr="00FF31F7">
        <w:t xml:space="preserve">. APTNT </w:t>
      </w:r>
      <w:r w:rsidR="00CD570B">
        <w:t>submitted</w:t>
      </w:r>
      <w:r w:rsidRPr="00FF31F7">
        <w:t xml:space="preserve"> that this category of expenditure was overlooked in its submission forecasts for the </w:t>
      </w:r>
      <w:r w:rsidR="006A555A">
        <w:t>2011–16</w:t>
      </w:r>
      <w:r w:rsidRPr="00FF31F7">
        <w:t xml:space="preserve"> access arrangement period</w:t>
      </w:r>
      <w:r w:rsidR="00CD570B">
        <w:t>,</w:t>
      </w:r>
      <w:r w:rsidRPr="00FF31F7">
        <w:t xml:space="preserve"> and therefore there was no approved capex </w:t>
      </w:r>
      <w:r w:rsidR="00CD570B">
        <w:t xml:space="preserve">allowance </w:t>
      </w:r>
      <w:r w:rsidRPr="00FF31F7">
        <w:t>for motor vehicles.</w:t>
      </w:r>
      <w:r w:rsidRPr="00FF31F7">
        <w:rPr>
          <w:vertAlign w:val="superscript"/>
        </w:rPr>
        <w:footnoteReference w:id="42"/>
      </w:r>
    </w:p>
    <w:p w:rsidR="00FF31F7" w:rsidRPr="00FF31F7" w:rsidRDefault="00CD570B" w:rsidP="00CD570B">
      <w:r>
        <w:t>We are satisfied</w:t>
      </w:r>
      <w:r w:rsidRPr="00FF31F7">
        <w:t xml:space="preserve"> that APTNT’s motor vehicle capex of $2.2 million ($2015–16) for the </w:t>
      </w:r>
      <w:r w:rsidR="006A555A">
        <w:t>2011–16</w:t>
      </w:r>
      <w:r w:rsidRPr="00FF31F7">
        <w:t xml:space="preserve"> access arrangement period is such as would be incurred by a prudent operator acting efficiently. </w:t>
      </w:r>
      <w:r w:rsidR="00157E04">
        <w:t xml:space="preserve">As discussed in section </w:t>
      </w:r>
      <w:r w:rsidR="002C6AAE">
        <w:fldChar w:fldCharType="begin"/>
      </w:r>
      <w:r w:rsidR="002C6AAE">
        <w:instrText xml:space="preserve"> REF _Ref432776718 \r </w:instrText>
      </w:r>
      <w:r w:rsidR="002C6AAE">
        <w:fldChar w:fldCharType="separate"/>
      </w:r>
      <w:r w:rsidR="00F65E22">
        <w:t>6.4.2</w:t>
      </w:r>
      <w:r w:rsidR="002C6AAE">
        <w:fldChar w:fldCharType="end"/>
      </w:r>
      <w:r w:rsidR="00157E04">
        <w:t xml:space="preserve"> below, we consider that APTNT’s vehicle</w:t>
      </w:r>
      <w:r w:rsidR="00157E04" w:rsidRPr="00474A29">
        <w:t xml:space="preserve"> replacement criteria are comparable with other Australian </w:t>
      </w:r>
      <w:r w:rsidR="00157E04">
        <w:t>network</w:t>
      </w:r>
      <w:r w:rsidR="00157E04" w:rsidRPr="00474A29">
        <w:t xml:space="preserve"> service providers for similar vehicles</w:t>
      </w:r>
      <w:r w:rsidR="00157E04">
        <w:t xml:space="preserve">. </w:t>
      </w:r>
      <w:r w:rsidR="00FF31F7" w:rsidRPr="00FF31F7">
        <w:t>We consider APTNT’s approach to fleet management is consistent with good industry practice and the need to achieve the lowest sustainable cost of providing services.</w:t>
      </w:r>
      <w:r w:rsidR="00FF31F7" w:rsidRPr="00FF31F7">
        <w:rPr>
          <w:vertAlign w:val="superscript"/>
        </w:rPr>
        <w:footnoteReference w:id="43"/>
      </w:r>
      <w:r w:rsidR="00FF31F7" w:rsidRPr="00FF31F7">
        <w:t xml:space="preserve"> </w:t>
      </w:r>
      <w:r w:rsidR="006D694F">
        <w:rPr>
          <w:rStyle w:val="AERbody"/>
        </w:rPr>
        <w:t xml:space="preserve">The capex </w:t>
      </w:r>
      <w:r w:rsidR="006D694F">
        <w:t>is justifiable on the basis of rule 79(2)(c</w:t>
      </w:r>
      <w:r w:rsidR="006D694F" w:rsidRPr="00FF31F7">
        <w:t>) of the NGR</w:t>
      </w:r>
      <w:r w:rsidR="006D694F">
        <w:t xml:space="preserve">. </w:t>
      </w:r>
      <w:r w:rsidR="00157E04">
        <w:t>We accept APTNT’s actual and estimated motor vehicle capex of $2.2 million ($</w:t>
      </w:r>
      <w:r w:rsidR="000B70FD">
        <w:t>2015–16</w:t>
      </w:r>
      <w:r w:rsidR="00157E04">
        <w:t xml:space="preserve">) in the </w:t>
      </w:r>
      <w:r w:rsidR="006A555A">
        <w:t>2011–16</w:t>
      </w:r>
      <w:r w:rsidR="00157E04">
        <w:t xml:space="preserve"> access arrangement </w:t>
      </w:r>
      <w:proofErr w:type="gramStart"/>
      <w:r w:rsidR="00157E04">
        <w:t>period</w:t>
      </w:r>
      <w:proofErr w:type="gramEnd"/>
      <w:r w:rsidR="00157E04">
        <w:t xml:space="preserve"> as conforming capex.</w:t>
      </w:r>
    </w:p>
    <w:p w:rsidR="00FF31F7" w:rsidRPr="00FF31F7" w:rsidRDefault="00FF31F7" w:rsidP="0032658E">
      <w:pPr>
        <w:pStyle w:val="HeadingBoldBlue"/>
        <w:keepNext/>
      </w:pPr>
      <w:r w:rsidRPr="00FF31F7">
        <w:t xml:space="preserve">Capital expenditure in </w:t>
      </w:r>
      <w:r w:rsidR="00CD570B">
        <w:t xml:space="preserve">the </w:t>
      </w:r>
      <w:r w:rsidRPr="00FF31F7">
        <w:t>2010-11</w:t>
      </w:r>
      <w:r w:rsidR="00CD570B">
        <w:t xml:space="preserve"> year</w:t>
      </w:r>
    </w:p>
    <w:p w:rsidR="00FF31F7" w:rsidRPr="00FF31F7" w:rsidRDefault="00325A20" w:rsidP="00CD570B">
      <w:r>
        <w:t>In our previous access arrangement review, we</w:t>
      </w:r>
      <w:r w:rsidR="00FF31F7" w:rsidRPr="00FF31F7">
        <w:t xml:space="preserve"> included an </w:t>
      </w:r>
      <w:r>
        <w:t>estimate</w:t>
      </w:r>
      <w:r w:rsidR="00FF31F7" w:rsidRPr="00FF31F7">
        <w:t xml:space="preserve"> for </w:t>
      </w:r>
      <w:r>
        <w:t>capex</w:t>
      </w:r>
      <w:r w:rsidR="00157E04">
        <w:t xml:space="preserve"> for APTNT in 2010-11 of $6.4 million ($</w:t>
      </w:r>
      <w:r w:rsidR="000B70FD">
        <w:t>2015–16</w:t>
      </w:r>
      <w:r w:rsidR="00FF31F7" w:rsidRPr="00FF31F7">
        <w:t>).</w:t>
      </w:r>
      <w:r w:rsidR="00FF31F7" w:rsidRPr="00FF31F7">
        <w:rPr>
          <w:vertAlign w:val="superscript"/>
        </w:rPr>
        <w:footnoteReference w:id="44"/>
      </w:r>
      <w:r w:rsidR="00FF31F7" w:rsidRPr="00FF31F7">
        <w:t xml:space="preserve"> APTNT stated that its actual capital expenditure for the 13 month period between 1 July 2010 and 31 July 20</w:t>
      </w:r>
      <w:r w:rsidR="00157E04">
        <w:t xml:space="preserve">11 was </w:t>
      </w:r>
      <w:r>
        <w:t>$4.5 </w:t>
      </w:r>
      <w:r w:rsidR="00157E04">
        <w:t>million ($</w:t>
      </w:r>
      <w:r w:rsidR="000B70FD">
        <w:t>2015–16</w:t>
      </w:r>
      <w:r w:rsidR="00FF31F7" w:rsidRPr="00FF31F7">
        <w:t>).</w:t>
      </w:r>
      <w:r w:rsidR="00FF31F7" w:rsidRPr="00FF31F7">
        <w:rPr>
          <w:vertAlign w:val="superscript"/>
        </w:rPr>
        <w:footnoteReference w:id="45"/>
      </w:r>
      <w:r w:rsidR="00FF31F7" w:rsidRPr="00FF31F7">
        <w:t xml:space="preserve"> </w:t>
      </w:r>
    </w:p>
    <w:p w:rsidR="00381B88" w:rsidRPr="00B82021" w:rsidRDefault="00325A20" w:rsidP="00CD570B">
      <w:pPr>
        <w:rPr>
          <w:rStyle w:val="Strong"/>
          <w:b w:val="0"/>
        </w:rPr>
      </w:pPr>
      <w:r>
        <w:t xml:space="preserve">Noting the underspend in capex of $1.8 million or 29 per cent, </w:t>
      </w:r>
      <w:r w:rsidR="0008244C">
        <w:t xml:space="preserve">and given the majority of this expenditure appears to be related to business as usual requirements, </w:t>
      </w:r>
      <w:r>
        <w:t>w</w:t>
      </w:r>
      <w:r w:rsidR="00FF31F7" w:rsidRPr="00FF31F7">
        <w:t>e accept</w:t>
      </w:r>
      <w:r>
        <w:t xml:space="preserve"> APTNT’s actual capex</w:t>
      </w:r>
      <w:r w:rsidR="00157E04">
        <w:t xml:space="preserve"> of $4.5 million ($</w:t>
      </w:r>
      <w:r w:rsidR="000B70FD">
        <w:t>2015–16</w:t>
      </w:r>
      <w:r w:rsidR="00157E04">
        <w:t>)</w:t>
      </w:r>
      <w:r>
        <w:t xml:space="preserve"> for the 13 </w:t>
      </w:r>
      <w:r w:rsidR="00FF31F7" w:rsidRPr="00FF31F7">
        <w:t>month perio</w:t>
      </w:r>
      <w:r>
        <w:t>d between 1 </w:t>
      </w:r>
      <w:r w:rsidR="00FF31F7" w:rsidRPr="00FF31F7">
        <w:t>July 2010 and 31 July 2011</w:t>
      </w:r>
      <w:r>
        <w:t xml:space="preserve"> as conforming capex.</w:t>
      </w:r>
      <w:r w:rsidR="006D694F">
        <w:t xml:space="preserve"> We are satisfied that capex is such as would be incurred by a prudent operator acting efficiently, in accordance with accepted good industry practice, to achieve the lowest sustainable cost of providing services. </w:t>
      </w:r>
      <w:r w:rsidR="006D694F">
        <w:rPr>
          <w:rStyle w:val="AERbody"/>
        </w:rPr>
        <w:t xml:space="preserve">The capex </w:t>
      </w:r>
      <w:r w:rsidR="006D694F">
        <w:t>is justifiable on the basis of one or more of the grounds stated in rule 79(2)</w:t>
      </w:r>
      <w:r w:rsidR="006D694F" w:rsidRPr="00FF31F7">
        <w:t xml:space="preserve"> of the NGR</w:t>
      </w:r>
      <w:r w:rsidR="006D694F">
        <w:t>.</w:t>
      </w:r>
    </w:p>
    <w:p w:rsidR="00C47C15" w:rsidRPr="00F745EE" w:rsidRDefault="005A6D57" w:rsidP="006C48AF">
      <w:pPr>
        <w:pStyle w:val="Heading3"/>
        <w:rPr>
          <w:rFonts w:eastAsia="Calibri"/>
        </w:rPr>
      </w:pPr>
      <w:bookmarkStart w:id="40" w:name="_Toc404676546"/>
      <w:bookmarkStart w:id="41" w:name="_Toc404676596"/>
      <w:bookmarkStart w:id="42" w:name="_Ref432776718"/>
      <w:bookmarkStart w:id="43" w:name="_Ref433274554"/>
      <w:bookmarkStart w:id="44" w:name="_Ref433961344"/>
      <w:bookmarkStart w:id="45" w:name="_Toc436042757"/>
      <w:r w:rsidRPr="006C48AF">
        <w:t>Conforming</w:t>
      </w:r>
      <w:r>
        <w:rPr>
          <w:rFonts w:eastAsia="Calibri"/>
        </w:rPr>
        <w:t xml:space="preserve"> capex</w:t>
      </w:r>
      <w:r w:rsidR="00C47C15" w:rsidRPr="00F745EE">
        <w:rPr>
          <w:rFonts w:eastAsia="Calibri"/>
        </w:rPr>
        <w:t xml:space="preserve"> for the </w:t>
      </w:r>
      <w:r w:rsidR="000B70FD">
        <w:rPr>
          <w:rFonts w:eastAsia="Calibri"/>
        </w:rPr>
        <w:t>2016–21</w:t>
      </w:r>
      <w:r w:rsidR="00C47C15" w:rsidRPr="00F745EE">
        <w:rPr>
          <w:rFonts w:eastAsia="Calibri"/>
        </w:rPr>
        <w:t xml:space="preserve"> </w:t>
      </w:r>
      <w:r w:rsidR="00C47C15">
        <w:rPr>
          <w:rFonts w:eastAsia="Calibri"/>
        </w:rPr>
        <w:t xml:space="preserve">access arrangement </w:t>
      </w:r>
      <w:r w:rsidR="00C47C15" w:rsidRPr="00F745EE">
        <w:rPr>
          <w:rFonts w:eastAsia="Calibri"/>
        </w:rPr>
        <w:t>period</w:t>
      </w:r>
      <w:bookmarkEnd w:id="40"/>
      <w:bookmarkEnd w:id="41"/>
      <w:bookmarkEnd w:id="42"/>
      <w:bookmarkEnd w:id="43"/>
      <w:bookmarkEnd w:id="44"/>
      <w:bookmarkEnd w:id="45"/>
    </w:p>
    <w:p w:rsidR="006C48AF" w:rsidRDefault="006C48AF" w:rsidP="00CD570B">
      <w:r>
        <w:t xml:space="preserve">We approve conforming </w:t>
      </w:r>
      <w:r w:rsidR="008C0E4B">
        <w:t>net</w:t>
      </w:r>
      <w:r w:rsidR="00B64986">
        <w:t xml:space="preserve"> </w:t>
      </w:r>
      <w:r>
        <w:t>capex of $2</w:t>
      </w:r>
      <w:r w:rsidR="008C0E4B">
        <w:t>6</w:t>
      </w:r>
      <w:r>
        <w:t>.</w:t>
      </w:r>
      <w:r w:rsidR="008C0E4B">
        <w:t>5</w:t>
      </w:r>
      <w:r>
        <w:t xml:space="preserve"> million ($</w:t>
      </w:r>
      <w:r w:rsidR="000B70FD">
        <w:t>2015–16</w:t>
      </w:r>
      <w:r>
        <w:t xml:space="preserve">) for the </w:t>
      </w:r>
      <w:r w:rsidR="006A555A">
        <w:t>2016–21</w:t>
      </w:r>
      <w:r>
        <w:t xml:space="preserve"> access arrangement </w:t>
      </w:r>
      <w:proofErr w:type="gramStart"/>
      <w:r>
        <w:t>period</w:t>
      </w:r>
      <w:proofErr w:type="gramEnd"/>
      <w:r>
        <w:t xml:space="preserve">. This is </w:t>
      </w:r>
      <w:r w:rsidR="00B64986">
        <w:t>a reduction of $3.4</w:t>
      </w:r>
      <w:r w:rsidR="008C0E4B">
        <w:t xml:space="preserve"> million or 11</w:t>
      </w:r>
      <w:r>
        <w:t xml:space="preserve"> per cent from APTNT’s forecast of conforming capex. </w:t>
      </w:r>
      <w:r w:rsidR="004B169C">
        <w:fldChar w:fldCharType="begin"/>
      </w:r>
      <w:r w:rsidR="004B169C">
        <w:instrText xml:space="preserve"> REF _Ref432762825 \h </w:instrText>
      </w:r>
      <w:r w:rsidR="004B169C">
        <w:fldChar w:fldCharType="separate"/>
      </w:r>
      <w:r w:rsidR="00F65E22">
        <w:t xml:space="preserve">Table </w:t>
      </w:r>
      <w:r w:rsidR="00F65E22">
        <w:rPr>
          <w:noProof/>
        </w:rPr>
        <w:t>6.8</w:t>
      </w:r>
      <w:r w:rsidR="004B169C">
        <w:fldChar w:fldCharType="end"/>
      </w:r>
      <w:r w:rsidR="005D077A">
        <w:t xml:space="preserve"> </w:t>
      </w:r>
      <w:r>
        <w:t xml:space="preserve">summarises our approved forecast of conforming capex for the </w:t>
      </w:r>
      <w:r w:rsidR="006A555A">
        <w:t>2016–21</w:t>
      </w:r>
      <w:r>
        <w:t xml:space="preserve"> access arrangement period.</w:t>
      </w:r>
    </w:p>
    <w:p w:rsidR="006C48AF" w:rsidRDefault="006C48AF" w:rsidP="003D1B28">
      <w:pPr>
        <w:pStyle w:val="Caption"/>
      </w:pPr>
      <w:bookmarkStart w:id="46" w:name="_Ref432762825"/>
      <w:proofErr w:type="gramStart"/>
      <w:r>
        <w:t xml:space="preserve">Table </w:t>
      </w:r>
      <w:proofErr w:type="gramEnd"/>
      <w:r w:rsidR="002C6AAE">
        <w:fldChar w:fldCharType="begin"/>
      </w:r>
      <w:r w:rsidR="002C6AAE">
        <w:instrText xml:space="preserve"> STYLEREF 1 \s </w:instrText>
      </w:r>
      <w:r w:rsidR="002C6AAE">
        <w:fldChar w:fldCharType="separate"/>
      </w:r>
      <w:r w:rsidR="00F65E22">
        <w:rPr>
          <w:noProof/>
        </w:rPr>
        <w:t>6</w:t>
      </w:r>
      <w:r w:rsidR="002C6AAE">
        <w:rPr>
          <w:noProof/>
        </w:rPr>
        <w:fldChar w:fldCharType="end"/>
      </w:r>
      <w:proofErr w:type="gramStart"/>
      <w:r w:rsidR="00F11395">
        <w:rPr>
          <w:noProof/>
        </w:rPr>
        <w:t>.</w:t>
      </w:r>
      <w:proofErr w:type="gramEnd"/>
      <w:r w:rsidR="002C6AAE">
        <w:fldChar w:fldCharType="begin"/>
      </w:r>
      <w:r w:rsidR="002C6AAE">
        <w:instrText xml:space="preserve"> SEQ Table \* ARABIC \s 1 </w:instrText>
      </w:r>
      <w:r w:rsidR="002C6AAE">
        <w:fldChar w:fldCharType="separate"/>
      </w:r>
      <w:r w:rsidR="00F65E22">
        <w:rPr>
          <w:noProof/>
        </w:rPr>
        <w:t>8</w:t>
      </w:r>
      <w:r w:rsidR="002C6AAE">
        <w:rPr>
          <w:noProof/>
        </w:rPr>
        <w:fldChar w:fldCharType="end"/>
      </w:r>
      <w:bookmarkEnd w:id="46"/>
      <w:r>
        <w:tab/>
        <w:t xml:space="preserve">AER approved capital expenditure over the </w:t>
      </w:r>
      <w:r w:rsidR="006A555A">
        <w:t>2016–21</w:t>
      </w:r>
      <w:r>
        <w:t xml:space="preserve"> access arrangement period ($million, </w:t>
      </w:r>
      <w:r w:rsidR="000B70FD">
        <w:t>2015–16</w:t>
      </w:r>
      <w:r>
        <w:t>)</w:t>
      </w:r>
    </w:p>
    <w:tbl>
      <w:tblPr>
        <w:tblStyle w:val="AERtable-numbers"/>
        <w:tblW w:w="0" w:type="auto"/>
        <w:tblLayout w:type="fixed"/>
        <w:tblLook w:val="04A0" w:firstRow="1" w:lastRow="0" w:firstColumn="1" w:lastColumn="0" w:noHBand="0" w:noVBand="1"/>
      </w:tblPr>
      <w:tblGrid>
        <w:gridCol w:w="2235"/>
        <w:gridCol w:w="1076"/>
        <w:gridCol w:w="1076"/>
        <w:gridCol w:w="1077"/>
        <w:gridCol w:w="1076"/>
        <w:gridCol w:w="1076"/>
        <w:gridCol w:w="1077"/>
      </w:tblGrid>
      <w:tr w:rsidR="006C48AF" w:rsidTr="008C0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C48AF" w:rsidRDefault="006C48AF" w:rsidP="00487261">
            <w:pPr>
              <w:keepNext/>
            </w:pPr>
          </w:p>
        </w:tc>
        <w:tc>
          <w:tcPr>
            <w:tcW w:w="1076" w:type="dxa"/>
          </w:tcPr>
          <w:p w:rsidR="006C48AF" w:rsidRDefault="006C48AF" w:rsidP="00487261">
            <w:pPr>
              <w:keepNext/>
              <w:cnfStyle w:val="100000000000" w:firstRow="1" w:lastRow="0" w:firstColumn="0" w:lastColumn="0" w:oddVBand="0" w:evenVBand="0" w:oddHBand="0" w:evenHBand="0" w:firstRowFirstColumn="0" w:firstRowLastColumn="0" w:lastRowFirstColumn="0" w:lastRowLastColumn="0"/>
            </w:pPr>
            <w:r>
              <w:t>2016-17</w:t>
            </w:r>
          </w:p>
        </w:tc>
        <w:tc>
          <w:tcPr>
            <w:tcW w:w="1076" w:type="dxa"/>
          </w:tcPr>
          <w:p w:rsidR="006C48AF" w:rsidRDefault="006C48AF" w:rsidP="00487261">
            <w:pPr>
              <w:keepNext/>
              <w:cnfStyle w:val="100000000000" w:firstRow="1" w:lastRow="0" w:firstColumn="0" w:lastColumn="0" w:oddVBand="0" w:evenVBand="0" w:oddHBand="0" w:evenHBand="0" w:firstRowFirstColumn="0" w:firstRowLastColumn="0" w:lastRowFirstColumn="0" w:lastRowLastColumn="0"/>
            </w:pPr>
            <w:r>
              <w:t>2017-18</w:t>
            </w:r>
          </w:p>
        </w:tc>
        <w:tc>
          <w:tcPr>
            <w:tcW w:w="1077" w:type="dxa"/>
          </w:tcPr>
          <w:p w:rsidR="006C48AF" w:rsidRDefault="006C48AF" w:rsidP="00487261">
            <w:pPr>
              <w:keepNext/>
              <w:cnfStyle w:val="100000000000" w:firstRow="1" w:lastRow="0" w:firstColumn="0" w:lastColumn="0" w:oddVBand="0" w:evenVBand="0" w:oddHBand="0" w:evenHBand="0" w:firstRowFirstColumn="0" w:firstRowLastColumn="0" w:lastRowFirstColumn="0" w:lastRowLastColumn="0"/>
            </w:pPr>
            <w:r>
              <w:t>2018-19</w:t>
            </w:r>
          </w:p>
        </w:tc>
        <w:tc>
          <w:tcPr>
            <w:tcW w:w="1076" w:type="dxa"/>
          </w:tcPr>
          <w:p w:rsidR="006C48AF" w:rsidRDefault="006C48AF" w:rsidP="00487261">
            <w:pPr>
              <w:keepNext/>
              <w:cnfStyle w:val="100000000000" w:firstRow="1" w:lastRow="0" w:firstColumn="0" w:lastColumn="0" w:oddVBand="0" w:evenVBand="0" w:oddHBand="0" w:evenHBand="0" w:firstRowFirstColumn="0" w:firstRowLastColumn="0" w:lastRowFirstColumn="0" w:lastRowLastColumn="0"/>
            </w:pPr>
            <w:r>
              <w:t>2019-20</w:t>
            </w:r>
          </w:p>
        </w:tc>
        <w:tc>
          <w:tcPr>
            <w:tcW w:w="1076" w:type="dxa"/>
          </w:tcPr>
          <w:p w:rsidR="006C48AF" w:rsidRDefault="006C48AF" w:rsidP="00487261">
            <w:pPr>
              <w:keepNext/>
              <w:cnfStyle w:val="100000000000" w:firstRow="1" w:lastRow="0" w:firstColumn="0" w:lastColumn="0" w:oddVBand="0" w:evenVBand="0" w:oddHBand="0" w:evenHBand="0" w:firstRowFirstColumn="0" w:firstRowLastColumn="0" w:lastRowFirstColumn="0" w:lastRowLastColumn="0"/>
            </w:pPr>
            <w:r>
              <w:t>2020-21</w:t>
            </w:r>
          </w:p>
        </w:tc>
        <w:tc>
          <w:tcPr>
            <w:tcW w:w="1077" w:type="dxa"/>
          </w:tcPr>
          <w:p w:rsidR="006C48AF" w:rsidRDefault="006C48AF" w:rsidP="00487261">
            <w:pPr>
              <w:keepNext/>
              <w:cnfStyle w:val="100000000000" w:firstRow="1" w:lastRow="0" w:firstColumn="0" w:lastColumn="0" w:oddVBand="0" w:evenVBand="0" w:oddHBand="0" w:evenHBand="0" w:firstRowFirstColumn="0" w:firstRowLastColumn="0" w:lastRowFirstColumn="0" w:lastRowLastColumn="0"/>
            </w:pPr>
            <w:r>
              <w:t>Total</w:t>
            </w:r>
          </w:p>
        </w:tc>
      </w:tr>
      <w:tr w:rsidR="006C48AF" w:rsidTr="008C0E4B">
        <w:tc>
          <w:tcPr>
            <w:cnfStyle w:val="001000000000" w:firstRow="0" w:lastRow="0" w:firstColumn="1" w:lastColumn="0" w:oddVBand="0" w:evenVBand="0" w:oddHBand="0" w:evenHBand="0" w:firstRowFirstColumn="0" w:firstRowLastColumn="0" w:lastRowFirstColumn="0" w:lastRowLastColumn="0"/>
            <w:tcW w:w="2235" w:type="dxa"/>
          </w:tcPr>
          <w:p w:rsidR="006C48AF" w:rsidRDefault="006C48AF" w:rsidP="00487261">
            <w:pPr>
              <w:keepNext/>
            </w:pPr>
            <w:r>
              <w:t>Expansion</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w:t>
            </w:r>
          </w:p>
        </w:tc>
        <w:tc>
          <w:tcPr>
            <w:tcW w:w="1077"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w:t>
            </w:r>
          </w:p>
        </w:tc>
        <w:tc>
          <w:tcPr>
            <w:tcW w:w="1077"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w:t>
            </w:r>
          </w:p>
        </w:tc>
      </w:tr>
      <w:tr w:rsidR="006C48AF" w:rsidTr="008C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C48AF" w:rsidRDefault="006C48AF" w:rsidP="00487261">
            <w:pPr>
              <w:keepNext/>
            </w:pPr>
            <w:r>
              <w:t>Replacement</w:t>
            </w:r>
          </w:p>
        </w:tc>
        <w:tc>
          <w:tcPr>
            <w:tcW w:w="1076" w:type="dxa"/>
          </w:tcPr>
          <w:p w:rsidR="006C48AF" w:rsidRDefault="006C48AF" w:rsidP="00487261">
            <w:pPr>
              <w:keepNext/>
              <w:cnfStyle w:val="000000010000" w:firstRow="0" w:lastRow="0" w:firstColumn="0" w:lastColumn="0" w:oddVBand="0" w:evenVBand="0" w:oddHBand="0" w:evenHBand="1" w:firstRowFirstColumn="0" w:firstRowLastColumn="0" w:lastRowFirstColumn="0" w:lastRowLastColumn="0"/>
            </w:pPr>
            <w:r>
              <w:t>4.7</w:t>
            </w:r>
          </w:p>
        </w:tc>
        <w:tc>
          <w:tcPr>
            <w:tcW w:w="1076" w:type="dxa"/>
          </w:tcPr>
          <w:p w:rsidR="006C48AF" w:rsidRDefault="006C48AF" w:rsidP="00487261">
            <w:pPr>
              <w:keepNext/>
              <w:cnfStyle w:val="000000010000" w:firstRow="0" w:lastRow="0" w:firstColumn="0" w:lastColumn="0" w:oddVBand="0" w:evenVBand="0" w:oddHBand="0" w:evenHBand="1" w:firstRowFirstColumn="0" w:firstRowLastColumn="0" w:lastRowFirstColumn="0" w:lastRowLastColumn="0"/>
            </w:pPr>
            <w:r>
              <w:t>3.7</w:t>
            </w:r>
          </w:p>
        </w:tc>
        <w:tc>
          <w:tcPr>
            <w:tcW w:w="1077" w:type="dxa"/>
          </w:tcPr>
          <w:p w:rsidR="006C48AF" w:rsidRDefault="006C48AF" w:rsidP="00487261">
            <w:pPr>
              <w:keepNext/>
              <w:cnfStyle w:val="000000010000" w:firstRow="0" w:lastRow="0" w:firstColumn="0" w:lastColumn="0" w:oddVBand="0" w:evenVBand="0" w:oddHBand="0" w:evenHBand="1" w:firstRowFirstColumn="0" w:firstRowLastColumn="0" w:lastRowFirstColumn="0" w:lastRowLastColumn="0"/>
            </w:pPr>
            <w:r>
              <w:t>3.4</w:t>
            </w:r>
          </w:p>
        </w:tc>
        <w:tc>
          <w:tcPr>
            <w:tcW w:w="1076" w:type="dxa"/>
          </w:tcPr>
          <w:p w:rsidR="006C48AF" w:rsidRDefault="006C48AF" w:rsidP="00487261">
            <w:pPr>
              <w:keepNext/>
              <w:cnfStyle w:val="000000010000" w:firstRow="0" w:lastRow="0" w:firstColumn="0" w:lastColumn="0" w:oddVBand="0" w:evenVBand="0" w:oddHBand="0" w:evenHBand="1" w:firstRowFirstColumn="0" w:firstRowLastColumn="0" w:lastRowFirstColumn="0" w:lastRowLastColumn="0"/>
            </w:pPr>
            <w:r>
              <w:t>3.4</w:t>
            </w:r>
          </w:p>
        </w:tc>
        <w:tc>
          <w:tcPr>
            <w:tcW w:w="1076" w:type="dxa"/>
          </w:tcPr>
          <w:p w:rsidR="006C48AF" w:rsidRDefault="006C48AF" w:rsidP="00487261">
            <w:pPr>
              <w:keepNext/>
              <w:cnfStyle w:val="000000010000" w:firstRow="0" w:lastRow="0" w:firstColumn="0" w:lastColumn="0" w:oddVBand="0" w:evenVBand="0" w:oddHBand="0" w:evenHBand="1" w:firstRowFirstColumn="0" w:firstRowLastColumn="0" w:lastRowFirstColumn="0" w:lastRowLastColumn="0"/>
            </w:pPr>
            <w:r>
              <w:t>3.</w:t>
            </w:r>
            <w:r w:rsidR="00A30095">
              <w:t>3</w:t>
            </w:r>
          </w:p>
        </w:tc>
        <w:tc>
          <w:tcPr>
            <w:tcW w:w="1077" w:type="dxa"/>
          </w:tcPr>
          <w:p w:rsidR="006C48AF" w:rsidRDefault="006C48AF" w:rsidP="00487261">
            <w:pPr>
              <w:keepNext/>
              <w:cnfStyle w:val="000000010000" w:firstRow="0" w:lastRow="0" w:firstColumn="0" w:lastColumn="0" w:oddVBand="0" w:evenVBand="0" w:oddHBand="0" w:evenHBand="1" w:firstRowFirstColumn="0" w:firstRowLastColumn="0" w:lastRowFirstColumn="0" w:lastRowLastColumn="0"/>
            </w:pPr>
            <w:r>
              <w:t>18.</w:t>
            </w:r>
            <w:r w:rsidR="00D177B1">
              <w:t>5</w:t>
            </w:r>
          </w:p>
        </w:tc>
      </w:tr>
      <w:tr w:rsidR="006C48AF" w:rsidTr="008C0E4B">
        <w:tc>
          <w:tcPr>
            <w:cnfStyle w:val="001000000000" w:firstRow="0" w:lastRow="0" w:firstColumn="1" w:lastColumn="0" w:oddVBand="0" w:evenVBand="0" w:oddHBand="0" w:evenHBand="0" w:firstRowFirstColumn="0" w:firstRowLastColumn="0" w:lastRowFirstColumn="0" w:lastRowLastColumn="0"/>
            <w:tcW w:w="2235" w:type="dxa"/>
          </w:tcPr>
          <w:p w:rsidR="006C48AF" w:rsidRDefault="006C48AF" w:rsidP="00487261">
            <w:pPr>
              <w:keepNext/>
            </w:pPr>
            <w:r>
              <w:t>Non-system</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4.4</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0.9</w:t>
            </w:r>
          </w:p>
        </w:tc>
        <w:tc>
          <w:tcPr>
            <w:tcW w:w="1077"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1.0</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1.1</w:t>
            </w:r>
          </w:p>
        </w:tc>
        <w:tc>
          <w:tcPr>
            <w:tcW w:w="1076"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1.3</w:t>
            </w:r>
          </w:p>
        </w:tc>
        <w:tc>
          <w:tcPr>
            <w:tcW w:w="1077" w:type="dxa"/>
          </w:tcPr>
          <w:p w:rsidR="006C48AF" w:rsidRDefault="006C48AF" w:rsidP="00487261">
            <w:pPr>
              <w:keepNext/>
              <w:cnfStyle w:val="000000000000" w:firstRow="0" w:lastRow="0" w:firstColumn="0" w:lastColumn="0" w:oddVBand="0" w:evenVBand="0" w:oddHBand="0" w:evenHBand="0" w:firstRowFirstColumn="0" w:firstRowLastColumn="0" w:lastRowFirstColumn="0" w:lastRowLastColumn="0"/>
            </w:pPr>
            <w:r>
              <w:t>8.7</w:t>
            </w:r>
          </w:p>
        </w:tc>
      </w:tr>
      <w:tr w:rsidR="008C0E4B" w:rsidTr="008C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0E4B" w:rsidRPr="00A76366" w:rsidRDefault="008C0E4B" w:rsidP="00487261">
            <w:pPr>
              <w:keepNext/>
            </w:pPr>
            <w:r w:rsidRPr="00A76366">
              <w:t>GROSS TOTAL CAPITAL EXPENDITURE</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9.1</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4.6</w:t>
            </w:r>
          </w:p>
        </w:tc>
        <w:tc>
          <w:tcPr>
            <w:tcW w:w="1077"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4.4</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4.5</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4.6</w:t>
            </w:r>
          </w:p>
        </w:tc>
        <w:tc>
          <w:tcPr>
            <w:tcW w:w="1077"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27.2</w:t>
            </w:r>
          </w:p>
        </w:tc>
      </w:tr>
      <w:tr w:rsidR="008C0E4B" w:rsidTr="008C0E4B">
        <w:tc>
          <w:tcPr>
            <w:cnfStyle w:val="001000000000" w:firstRow="0" w:lastRow="0" w:firstColumn="1" w:lastColumn="0" w:oddVBand="0" w:evenVBand="0" w:oddHBand="0" w:evenHBand="0" w:firstRowFirstColumn="0" w:firstRowLastColumn="0" w:lastRowFirstColumn="0" w:lastRowLastColumn="0"/>
            <w:tcW w:w="2235" w:type="dxa"/>
          </w:tcPr>
          <w:p w:rsidR="008C0E4B" w:rsidRPr="00A76366" w:rsidRDefault="008C0E4B" w:rsidP="00487261">
            <w:pPr>
              <w:keepNext/>
            </w:pPr>
            <w:r w:rsidRPr="00A76366">
              <w:t>Contributions</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1077"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c>
          <w:tcPr>
            <w:tcW w:w="1077"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9309F6">
              <w:rPr>
                <w:sz w:val="16"/>
                <w:szCs w:val="16"/>
              </w:rPr>
              <w:t>-</w:t>
            </w:r>
          </w:p>
        </w:tc>
      </w:tr>
      <w:tr w:rsidR="008C0E4B" w:rsidTr="008C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0E4B" w:rsidRPr="00AB3A65" w:rsidRDefault="008C0E4B" w:rsidP="00487261">
            <w:pPr>
              <w:keepNext/>
            </w:pPr>
            <w:r w:rsidRPr="00AB3A65">
              <w:t>Asset disposals</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0.2</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0.1</w:t>
            </w:r>
          </w:p>
        </w:tc>
        <w:tc>
          <w:tcPr>
            <w:tcW w:w="1077"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0.1</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0.1</w:t>
            </w:r>
          </w:p>
        </w:tc>
        <w:tc>
          <w:tcPr>
            <w:tcW w:w="1076"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0.2</w:t>
            </w:r>
          </w:p>
        </w:tc>
        <w:tc>
          <w:tcPr>
            <w:tcW w:w="1077" w:type="dxa"/>
          </w:tcPr>
          <w:p w:rsidR="008C0E4B" w:rsidRPr="009309F6" w:rsidRDefault="008C0E4B" w:rsidP="00487261">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9309F6">
              <w:rPr>
                <w:sz w:val="16"/>
                <w:szCs w:val="16"/>
              </w:rPr>
              <w:t>0.7</w:t>
            </w:r>
          </w:p>
        </w:tc>
      </w:tr>
      <w:tr w:rsidR="008C0E4B" w:rsidTr="008C0E4B">
        <w:tc>
          <w:tcPr>
            <w:cnfStyle w:val="001000000000" w:firstRow="0" w:lastRow="0" w:firstColumn="1" w:lastColumn="0" w:oddVBand="0" w:evenVBand="0" w:oddHBand="0" w:evenHBand="0" w:firstRowFirstColumn="0" w:firstRowLastColumn="0" w:lastRowFirstColumn="0" w:lastRowLastColumn="0"/>
            <w:tcW w:w="2235" w:type="dxa"/>
          </w:tcPr>
          <w:p w:rsidR="008C0E4B" w:rsidRPr="0047287F" w:rsidRDefault="008C0E4B" w:rsidP="00487261">
            <w:pPr>
              <w:keepNext/>
              <w:spacing w:before="0"/>
              <w:rPr>
                <w:rStyle w:val="AERsuperscript"/>
                <w:szCs w:val="24"/>
              </w:rPr>
            </w:pPr>
            <w:r w:rsidRPr="00AB3A65">
              <w:t>NET TOTAL CAPITAL EXPENDITURE</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8.9</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w:t>
            </w:r>
          </w:p>
        </w:tc>
        <w:tc>
          <w:tcPr>
            <w:tcW w:w="1077"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w:t>
            </w:r>
          </w:p>
        </w:tc>
        <w:tc>
          <w:tcPr>
            <w:tcW w:w="1076"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w:t>
            </w:r>
          </w:p>
        </w:tc>
        <w:tc>
          <w:tcPr>
            <w:tcW w:w="1077" w:type="dxa"/>
          </w:tcPr>
          <w:p w:rsidR="008C0E4B" w:rsidRPr="009309F6" w:rsidRDefault="008C0E4B" w:rsidP="00487261">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26.5</w:t>
            </w:r>
          </w:p>
        </w:tc>
      </w:tr>
    </w:tbl>
    <w:p w:rsidR="006C48AF" w:rsidRDefault="006C48AF" w:rsidP="00487261">
      <w:pPr>
        <w:pStyle w:val="AERtablesource"/>
        <w:keepNext/>
      </w:pPr>
      <w:r>
        <w:t xml:space="preserve">Source: </w:t>
      </w:r>
      <w:r>
        <w:tab/>
        <w:t>AER analysis. Totals may not add due to rounding.</w:t>
      </w:r>
    </w:p>
    <w:p w:rsidR="00A30095" w:rsidRPr="00A30095" w:rsidRDefault="00A30095" w:rsidP="00A30095">
      <w:pPr>
        <w:pStyle w:val="AERtablesource"/>
      </w:pPr>
      <w:r>
        <w:t>Note:</w:t>
      </w:r>
      <w:r>
        <w:tab/>
        <w:t>Includes AER labour escalation adjustments.</w:t>
      </w:r>
    </w:p>
    <w:p w:rsidR="006C48AF" w:rsidRDefault="006C48AF" w:rsidP="006C48AF">
      <w:r>
        <w:t>Our analysis of the capex driver categories is set out below.</w:t>
      </w:r>
    </w:p>
    <w:p w:rsidR="006C48AF" w:rsidRDefault="006C48AF" w:rsidP="0032658E">
      <w:pPr>
        <w:pStyle w:val="HeadingBoldBlue"/>
        <w:keepNext/>
      </w:pPr>
      <w:r>
        <w:t>Expansion capex</w:t>
      </w:r>
    </w:p>
    <w:p w:rsidR="006C48AF" w:rsidRDefault="006C48AF" w:rsidP="006C48AF">
      <w:r>
        <w:t xml:space="preserve">Expansion capex is </w:t>
      </w:r>
      <w:r w:rsidR="006D694F">
        <w:t xml:space="preserve">capex that is </w:t>
      </w:r>
      <w:r>
        <w:t xml:space="preserve">required to expand the capacity of the pipeline to meet forecast demand both within and beyond the access arrangement period. APTNT has not forecast any expansion capex in the </w:t>
      </w:r>
      <w:r w:rsidR="006A555A">
        <w:t>2016–21</w:t>
      </w:r>
      <w:r>
        <w:t xml:space="preserve"> access arrangement period.</w:t>
      </w:r>
    </w:p>
    <w:p w:rsidR="006C48AF" w:rsidRDefault="006C48AF" w:rsidP="006C48AF">
      <w:pPr>
        <w:pStyle w:val="HeadingBoldBlue"/>
      </w:pPr>
      <w:r>
        <w:t>Replacement capex</w:t>
      </w:r>
    </w:p>
    <w:p w:rsidR="006C48AF" w:rsidRDefault="006C48AF" w:rsidP="006C48AF">
      <w:r>
        <w:t xml:space="preserve">Replacement capex is </w:t>
      </w:r>
      <w:r w:rsidR="006D694F">
        <w:t xml:space="preserve">capex that is </w:t>
      </w:r>
      <w:r>
        <w:t xml:space="preserve">required to maintain the safety and integrity of the pipeline. This category includes the refurbishment and replacement of: </w:t>
      </w:r>
    </w:p>
    <w:p w:rsidR="006C48AF" w:rsidRDefault="006C48AF" w:rsidP="006C48AF">
      <w:pPr>
        <w:pStyle w:val="AERbulletlistfirststyle"/>
      </w:pPr>
      <w:r>
        <w:t>instrumentation, including metering, telemetry and remote terminal units</w:t>
      </w:r>
    </w:p>
    <w:p w:rsidR="006C48AF" w:rsidRDefault="006C48AF" w:rsidP="006C48AF">
      <w:pPr>
        <w:pStyle w:val="AERbulletlistfirststyle"/>
      </w:pPr>
      <w:r>
        <w:t>pipeline hardware, including pipes, meter valves, regulators and fittings</w:t>
      </w:r>
    </w:p>
    <w:p w:rsidR="006C48AF" w:rsidRDefault="006C48AF" w:rsidP="006C48AF">
      <w:pPr>
        <w:pStyle w:val="AERbulletlistfirststyle"/>
      </w:pPr>
      <w:r>
        <w:t>site capital improvements, such as fencing and security</w:t>
      </w:r>
    </w:p>
    <w:p w:rsidR="006C48AF" w:rsidRDefault="006C48AF" w:rsidP="006C48AF">
      <w:pPr>
        <w:pStyle w:val="AERbulletlistfirststyle"/>
      </w:pPr>
      <w:r>
        <w:t>specialised major spares.</w:t>
      </w:r>
    </w:p>
    <w:p w:rsidR="006C48AF" w:rsidRDefault="006C48AF" w:rsidP="006C48AF">
      <w:r>
        <w:t>APTNT forecast replacement capex of $21.2 million ($</w:t>
      </w:r>
      <w:r w:rsidR="000B70FD">
        <w:t>2015–16</w:t>
      </w:r>
      <w:r>
        <w:t xml:space="preserve">) for the </w:t>
      </w:r>
      <w:r w:rsidR="006A555A">
        <w:t>2016–21</w:t>
      </w:r>
      <w:r>
        <w:t xml:space="preserve"> access arrangement </w:t>
      </w:r>
      <w:proofErr w:type="gramStart"/>
      <w:r>
        <w:t>period</w:t>
      </w:r>
      <w:proofErr w:type="gramEnd"/>
      <w:r>
        <w:t xml:space="preserve">. This is a reduction of $14.6 million or 41 per cent from actual and estimated replacement capex in the </w:t>
      </w:r>
      <w:r w:rsidR="006A555A">
        <w:t>2011–16</w:t>
      </w:r>
      <w:r>
        <w:t xml:space="preserve"> access arrangement period. Replacement capex accounts for 71 per cent of APTNT’s total forecast capex for the </w:t>
      </w:r>
      <w:r w:rsidR="006A555A">
        <w:t>2016–21</w:t>
      </w:r>
      <w:r>
        <w:t xml:space="preserve"> access arrangement period.</w:t>
      </w:r>
    </w:p>
    <w:p w:rsidR="006C48AF" w:rsidRDefault="006C48AF" w:rsidP="006C48AF">
      <w:r>
        <w:t>We have included $18.</w:t>
      </w:r>
      <w:r w:rsidR="00A30095">
        <w:t>5</w:t>
      </w:r>
      <w:r>
        <w:t xml:space="preserve"> million ($</w:t>
      </w:r>
      <w:r w:rsidR="000B70FD">
        <w:t>2015–16</w:t>
      </w:r>
      <w:r>
        <w:t xml:space="preserve">) for replacement capex in our forecast of conforming capex for the </w:t>
      </w:r>
      <w:r w:rsidR="006A555A">
        <w:t>2016–21</w:t>
      </w:r>
      <w:r>
        <w:t xml:space="preserve"> access arrangement </w:t>
      </w:r>
      <w:proofErr w:type="gramStart"/>
      <w:r>
        <w:t>period</w:t>
      </w:r>
      <w:proofErr w:type="gramEnd"/>
      <w:r>
        <w:t>. This is a reduction of $2.8 million or 13 per cent from APTNT’s forecast of required replacement capex. We consider this amount is sufficient for APTNT to maintain the safety, reliability and integrity of the AGP, and is prudent and efficient.</w:t>
      </w:r>
      <w:r>
        <w:rPr>
          <w:rStyle w:val="FootnoteReference"/>
        </w:rPr>
        <w:footnoteReference w:id="46"/>
      </w:r>
    </w:p>
    <w:p w:rsidR="006C48AF" w:rsidRDefault="006C48AF" w:rsidP="006C48AF">
      <w:r>
        <w:t xml:space="preserve">APTNT’s forecast replacement capex program includes capex for nineteen separate replacement projects or programs. Seventeen of these are minor asset replacement or refurbishment projects or programs, planned to ensure the AGP continues to meet regulatory, safety, environmental, and </w:t>
      </w:r>
      <w:r w:rsidR="00081BD5">
        <w:t xml:space="preserve">service level </w:t>
      </w:r>
      <w:r>
        <w:t xml:space="preserve">requirements in the </w:t>
      </w:r>
      <w:r w:rsidR="006A555A">
        <w:t>2016–21</w:t>
      </w:r>
      <w:r>
        <w:t xml:space="preserve"> access arrangement period. These projects and programs are typically routine and ongoing in nature, such as the purchase of minor plant and equipment or the replacement of various classes of assets due to obsolescence or poor condition. The total cost of these seventeen minor projects and programs is $6.8 million ($</w:t>
      </w:r>
      <w:r w:rsidR="000B70FD">
        <w:t>2015–16</w:t>
      </w:r>
      <w:r>
        <w:t>). We accept APTNT’s forecast capex for these minor projects as conforming capex in accordance with rule 79 of the NGR.</w:t>
      </w:r>
      <w:r>
        <w:rPr>
          <w:rStyle w:val="FootnoteReference"/>
        </w:rPr>
        <w:footnoteReference w:id="47"/>
      </w:r>
      <w:r>
        <w:t xml:space="preserve"> We are satisfied that: </w:t>
      </w:r>
    </w:p>
    <w:p w:rsidR="006C48AF" w:rsidRDefault="006C48AF" w:rsidP="006C48AF">
      <w:pPr>
        <w:pStyle w:val="AERbulletlistfirststyle"/>
      </w:pPr>
      <w:r>
        <w:t xml:space="preserve">APTNT’s access arrangement revision submission and asset management plan sufficiently justify the need, timing and cost of these minor projects and programs </w:t>
      </w:r>
    </w:p>
    <w:p w:rsidR="006C48AF" w:rsidRDefault="006C48AF" w:rsidP="006C48AF">
      <w:pPr>
        <w:pStyle w:val="AERbulletlistfirststyle"/>
      </w:pPr>
      <w:r>
        <w:t>the basis of the forecast capex for each project as set out in APTNT’s asset management plan for 2016–2020 appears reasonable</w:t>
      </w:r>
    </w:p>
    <w:p w:rsidR="006C48AF" w:rsidRDefault="006C48AF" w:rsidP="006C48AF">
      <w:pPr>
        <w:pStyle w:val="AERbulletlistfirststyle"/>
      </w:pPr>
      <w:r>
        <w:t xml:space="preserve">the forecast capex would be incurred by a prudent service provider acting efficiently, in accordance with accepted good industry practice, to achieve the lowest sustainable cost of providing services </w:t>
      </w:r>
    </w:p>
    <w:p w:rsidR="006C48AF" w:rsidRDefault="006C48AF" w:rsidP="006C48AF">
      <w:pPr>
        <w:pStyle w:val="AERbulletlistfirststyle"/>
      </w:pPr>
      <w:r>
        <w:t>the forecast capex is likely to be justifiable on the basis that the asset replacement works are necessary to maintain the safety and integrity of pipeline services.</w:t>
      </w:r>
    </w:p>
    <w:p w:rsidR="006C48AF" w:rsidRDefault="006C48AF" w:rsidP="006C48AF">
      <w:r>
        <w:t>The remaining two projects, the Channel Island Bridge and Belowground Station Pipework Recoating projects, account for $14.4 million or 68 per cent of the forecast replacement capex. Our consideration of these projects is set out below.</w:t>
      </w:r>
    </w:p>
    <w:p w:rsidR="006C48AF" w:rsidRPr="00031721" w:rsidRDefault="006C48AF" w:rsidP="005A7405">
      <w:pPr>
        <w:keepNext/>
        <w:rPr>
          <w:rStyle w:val="Strong"/>
        </w:rPr>
      </w:pPr>
      <w:r w:rsidRPr="00031721">
        <w:rPr>
          <w:rStyle w:val="Strong"/>
        </w:rPr>
        <w:t>Channel Island Bridge project</w:t>
      </w:r>
    </w:p>
    <w:p w:rsidR="006C48AF" w:rsidRDefault="006C48AF" w:rsidP="006C48AF">
      <w:r>
        <w:t>APTNT forecast capex of $10.9 million ($</w:t>
      </w:r>
      <w:r w:rsidR="000B70FD">
        <w:t>2015–16</w:t>
      </w:r>
      <w:r>
        <w:t xml:space="preserve">) for the Channel Island bridge project in the </w:t>
      </w:r>
      <w:r w:rsidR="006A555A">
        <w:t>2016–21</w:t>
      </w:r>
      <w:r>
        <w:t xml:space="preserve"> access arrangement </w:t>
      </w:r>
      <w:proofErr w:type="gramStart"/>
      <w:r>
        <w:t>period</w:t>
      </w:r>
      <w:proofErr w:type="gramEnd"/>
      <w:r>
        <w:t xml:space="preserve">. </w:t>
      </w:r>
    </w:p>
    <w:p w:rsidR="006C48AF" w:rsidRDefault="006C48AF" w:rsidP="006C48AF">
      <w:r>
        <w:t>The purpose of the Channel Island bridge project is to make the existing 12 kilometre spurline of the AGP which runs from the Darwin City Gate Station to Channel Island able to be inspected by intelligent inline inspection tools. APTNT is currently unable to inspect the Channel Island spurline using inline inspection tools (known as intelligent pigs) because the pipeline does not have a consistent diameter for its entire length. The diameter of the pipeline changes from 300mm to 200mm for the 800 meter section running over the Channel Island bridge.</w:t>
      </w:r>
      <w:r w:rsidR="006D52FC">
        <w:rPr>
          <w:rStyle w:val="FootnoteReference"/>
        </w:rPr>
        <w:footnoteReference w:id="48"/>
      </w:r>
      <w:r>
        <w:t xml:space="preserve"> </w:t>
      </w:r>
    </w:p>
    <w:p w:rsidR="006C48AF" w:rsidRDefault="006C48AF" w:rsidP="006C48AF">
      <w:r>
        <w:t>APTNT considers that it is imperative to ensure the Channel Island spurline is piggable to manage its ongoing integrity.</w:t>
      </w:r>
      <w:r w:rsidR="005D224A">
        <w:rPr>
          <w:rStyle w:val="FootnoteReference"/>
        </w:rPr>
        <w:footnoteReference w:id="49"/>
      </w:r>
      <w:r>
        <w:t xml:space="preserve"> In order to achieve this, APTNT considered three options, all of which would allow intelligent pigging of the entire length of the pipeline. APTNT’s preferred option is to install pig launching and receiving facilities on the spurline and replace the existing bridge crossing with a new horizontal directionally drilled 300mm pipeline. The total cost of the project in the </w:t>
      </w:r>
      <w:r w:rsidR="006A555A">
        <w:t>2016–21</w:t>
      </w:r>
      <w:r>
        <w:t xml:space="preserve"> access arrangement </w:t>
      </w:r>
      <w:proofErr w:type="gramStart"/>
      <w:r>
        <w:t>period</w:t>
      </w:r>
      <w:proofErr w:type="gramEnd"/>
      <w:r>
        <w:t xml:space="preserve"> is $10.9 million ($</w:t>
      </w:r>
      <w:r w:rsidR="000B70FD">
        <w:t>2015–16</w:t>
      </w:r>
      <w:r>
        <w:t xml:space="preserve">), with additional minor preparatory costs incurred in the </w:t>
      </w:r>
      <w:r w:rsidR="006A555A">
        <w:t>2011–16</w:t>
      </w:r>
      <w:r>
        <w:t xml:space="preserve"> access arrangement period.</w:t>
      </w:r>
      <w:r w:rsidR="005D224A">
        <w:rPr>
          <w:rStyle w:val="FootnoteReference"/>
        </w:rPr>
        <w:footnoteReference w:id="50"/>
      </w:r>
    </w:p>
    <w:p w:rsidR="006C48AF" w:rsidRDefault="006C48AF" w:rsidP="006C48AF">
      <w:r>
        <w:t>We sought engineering advice from Sleeman Consulting to assist in assessing the need, timing and cost of the proposed Channel Island bridge project.</w:t>
      </w:r>
      <w:r w:rsidRPr="00001BE2">
        <w:t xml:space="preserve"> </w:t>
      </w:r>
      <w:r>
        <w:t>In summary, Sleeman Consulting advised that:</w:t>
      </w:r>
      <w:r>
        <w:rPr>
          <w:rStyle w:val="FootnoteReference"/>
        </w:rPr>
        <w:footnoteReference w:id="51"/>
      </w:r>
    </w:p>
    <w:p w:rsidR="006C48AF" w:rsidRDefault="006C48AF" w:rsidP="006C48AF">
      <w:pPr>
        <w:pStyle w:val="AERbulletlistfirststyle"/>
      </w:pPr>
      <w:r>
        <w:t>APTNT is correct in stating that it cannot undertake inline inspection of the Channel Island spurline as intelligent pigging tools capable of handling both 300mm and 200mm diameter pipeline are not available</w:t>
      </w:r>
    </w:p>
    <w:p w:rsidR="006C48AF" w:rsidRDefault="006C48AF" w:rsidP="006C48AF">
      <w:pPr>
        <w:pStyle w:val="AERbulletlistfirststyle"/>
      </w:pPr>
      <w:r>
        <w:t>intelligent pigging of gas pipelines, while desirable, is not mandated by Australian Standard AS2885</w:t>
      </w:r>
    </w:p>
    <w:p w:rsidR="006C48AF" w:rsidRDefault="006C48AF" w:rsidP="006C48AF">
      <w:pPr>
        <w:pStyle w:val="AERbulletlistfirststyle"/>
      </w:pPr>
      <w:r>
        <w:t>it is not necessary to be able to intelligently pig the section of the Channel Island spurline that crosses the Channel Island bridge as this section can be readily inspected</w:t>
      </w:r>
    </w:p>
    <w:p w:rsidR="006C48AF" w:rsidRDefault="006C48AF" w:rsidP="006C48AF">
      <w:pPr>
        <w:pStyle w:val="AERbulletlistfirststyle"/>
      </w:pPr>
      <w:r>
        <w:t>the condition of the short section of pipeline from the Channel Island bridge to the Channel Island meter station can be reliably assessed by a combination of Direct Current Voltage Gradient (DCVG) surveys, excavations and inspections, and the extrapolation of findings from survey work carried out on pipework upstream of the bridge crossing</w:t>
      </w:r>
    </w:p>
    <w:p w:rsidR="006C48AF" w:rsidRDefault="006C48AF" w:rsidP="006C48AF">
      <w:pPr>
        <w:pStyle w:val="AERbulletlistfirststyle"/>
      </w:pPr>
      <w:r>
        <w:t>the extent of work proposed by APTNT to facilitate intelligent pigging of the entire Channel Island spurline is excessive and is not consistent with achieving the lowest sustainable cost of providing services</w:t>
      </w:r>
    </w:p>
    <w:p w:rsidR="006C48AF" w:rsidRDefault="006C48AF" w:rsidP="006C48AF">
      <w:pPr>
        <w:pStyle w:val="AERbulletlistfirststyle"/>
      </w:pPr>
      <w:r>
        <w:t xml:space="preserve">the preferred option that is prudent, consistent with good industry practice and consistent with achieving the lowest sustainable cost of providing services is to install pig launching and receiving facilities at the Darwin City Gate Station and upstream of the Channel Island bridge respectively, to enable intelligent pigging of that section of the pipeline </w:t>
      </w:r>
    </w:p>
    <w:p w:rsidR="006C48AF" w:rsidRDefault="006C48AF" w:rsidP="006C48AF">
      <w:pPr>
        <w:pStyle w:val="AERbulletlistfirststyle"/>
      </w:pPr>
      <w:proofErr w:type="gramStart"/>
      <w:r>
        <w:t>forecast</w:t>
      </w:r>
      <w:proofErr w:type="gramEnd"/>
      <w:r>
        <w:t xml:space="preserve"> capex required to deliver this option is estimated at $1.1 million</w:t>
      </w:r>
      <w:r w:rsidR="000F79A5">
        <w:t>, as compared to the proposed cost of AP</w:t>
      </w:r>
      <w:r w:rsidR="00407A96">
        <w:t>T</w:t>
      </w:r>
      <w:r w:rsidR="000F79A5">
        <w:t>NT’s option of $10.9 million ($</w:t>
      </w:r>
      <w:r w:rsidR="000B70FD">
        <w:t>2015–16</w:t>
      </w:r>
      <w:r w:rsidR="000F79A5">
        <w:t>)</w:t>
      </w:r>
      <w:r>
        <w:t>.</w:t>
      </w:r>
    </w:p>
    <w:p w:rsidR="006C48AF" w:rsidRDefault="006C48AF" w:rsidP="006C48AF">
      <w:r>
        <w:t>We also sought further information from APTNT to justify the need for and scope of the proposed Channel Island bridge project.</w:t>
      </w:r>
      <w:r>
        <w:rPr>
          <w:rStyle w:val="FootnoteReference"/>
        </w:rPr>
        <w:footnoteReference w:id="52"/>
      </w:r>
      <w:r>
        <w:t xml:space="preserve"> </w:t>
      </w:r>
    </w:p>
    <w:p w:rsidR="006C48AF" w:rsidRDefault="006C48AF" w:rsidP="006C48AF">
      <w:r>
        <w:t>APTNT submitted that inline inspection is good industry practice, and should be carried out wherever there are specific integrity threats which must be managed, where there is a risk to public safety, or where continuity of supply is critical. APTNT considers that the form of construction and location of the Channel Island spurline mean it is subject to specific integrity threats such as electric currents induced by proximity to high voltage power lines, lightning strike damage, and third party damage. Also, excavation and visual inspection of the pipeline is difficult and costly as the pipeline is, in parts, located in a road reserve, in mangrove environments, and in areas of inundation where excavation is difficult or impossible for the majority of the year. APTNT submitted that in these circumstances, inline inspection is necessary to manage pipeline integrity, to minimise risk to the public and to maintain continuity of supply to the Channel Island Power Station (the main source of electricity for the Darwin-Katherine power system).</w:t>
      </w:r>
      <w:r w:rsidR="005D224A">
        <w:rPr>
          <w:rStyle w:val="FootnoteReference"/>
        </w:rPr>
        <w:footnoteReference w:id="53"/>
      </w:r>
    </w:p>
    <w:p w:rsidR="006C48AF" w:rsidRDefault="006C48AF" w:rsidP="006C48AF">
      <w:r>
        <w:t xml:space="preserve">Having considered APTNT’s proposal and response to our information request, as well as the Sleeman Consulting engineering advice, we are not satisfied that the </w:t>
      </w:r>
      <w:r w:rsidR="00DF26C7">
        <w:t xml:space="preserve">capex associated with the </w:t>
      </w:r>
      <w:r>
        <w:t xml:space="preserve">full scope of the Channel Island spurline modification works proposed by APTNT meets the conforming capex criteria of the NGR. </w:t>
      </w:r>
    </w:p>
    <w:p w:rsidR="006C48AF" w:rsidRDefault="006C48AF" w:rsidP="006C48AF">
      <w:r>
        <w:t>We agree with APTNT that inline inspection is accepted good industry practice. However, we also note that inline inspection is not mandated by the relevant Australian Standard.</w:t>
      </w:r>
      <w:r>
        <w:rPr>
          <w:rStyle w:val="FootnoteReference"/>
        </w:rPr>
        <w:footnoteReference w:id="54"/>
      </w:r>
      <w:r>
        <w:t xml:space="preserve"> Inline inspection is therefore not the only approach to pipeline integrity management that is consistent with accepted good industry practice. There is no new or existing regulatory obligation that requires modifications to permit the inline inspection of gas pipelines regardless of the cost of doing so. The criteria for conforming capex in the NGR require not only that capex be in accordance with good industry practice, but also that the capex be efficient and achieve the lowest sustainable cost of providing services.</w:t>
      </w:r>
      <w:r>
        <w:rPr>
          <w:rStyle w:val="FootnoteReference"/>
        </w:rPr>
        <w:footnoteReference w:id="55"/>
      </w:r>
      <w:r>
        <w:t xml:space="preserve"> We are not satisfied that APTNT’s forecast capex for the Channel Island bridge project </w:t>
      </w:r>
      <w:r w:rsidR="00DF26C7">
        <w:t>meets</w:t>
      </w:r>
      <w:r>
        <w:t xml:space="preserve"> the criteria for conforming capex in rule 79 of the NGR.</w:t>
      </w:r>
    </w:p>
    <w:p w:rsidR="006C48AF" w:rsidRDefault="006C48AF" w:rsidP="006C48AF">
      <w:r>
        <w:t xml:space="preserve">APTNT considered three options for modifying the Channel Island spurline. All options provide for 100 per cent of the pipeline to be made piggable, including the section running over the Channel Island bridge, at a cost of approximately $11 million in each case. The preferred option recommended by Sleeman Consulting provides for approximately 90 per cent of the pipeline to be made piggable, for an estimated cost of approximately $1.1 million. In our view, the option identified by Sleeman Consulting is </w:t>
      </w:r>
      <w:r w:rsidR="00437E19">
        <w:t xml:space="preserve">prudent </w:t>
      </w:r>
      <w:r>
        <w:t>and likely to be consistent with achieving the lowest sustainable cost of providing services. It provides many of the benefits provided by APTNT’s proposed option, but at one tenth of the cost.</w:t>
      </w:r>
      <w:r w:rsidRPr="0071041E">
        <w:t xml:space="preserve"> </w:t>
      </w:r>
    </w:p>
    <w:p w:rsidR="006C48AF" w:rsidRDefault="006C48AF" w:rsidP="006C48AF">
      <w:r>
        <w:t xml:space="preserve">We are not satisfied that a service provider acting efficiently to achieve the lowest sustainable cost of providing services would seek to replace the section of pipeline crossing the Channel Island bridge. This section of pipeline can be visually inspected for external damage or corrosion. APTNT can continue to manage pipeline integrity risks associated with this section of pipeline in accordance with existing practices. In our view, the forecast capex to replace this section of the Channel Island spurline is not consistent with achieving the lowest sustainable cost of providing services, and is not necessary to meet a regulatory obligation or to maintain the safety or integrity of services. </w:t>
      </w:r>
    </w:p>
    <w:p w:rsidR="006C48AF" w:rsidRDefault="006C48AF" w:rsidP="006C48AF">
      <w:r>
        <w:t>We consider that forecast capex of $1.1 million is a reasonable estimate of conforming capex for this project. This level of capex is sufficient to provide for inline inspection of the majority of the underground portion of the Channel Island spurline, at a substantially lower cost than the project proposed by APTNT. The condition of the remaining section of unpiggable pipeline can continue to be assessed by visual inspection of the exposed pipeline and by a combination of DCVG surveys, excavations and the extrapolation of upstream pigging results. In our view, this approach is prudent, efficient, and consistent with achieving the lowest sustainable cost of providing services. This option is also consistent with good industry practice and, when documented in APTNT’s pipeline integrity management plan, meets the requirements of Australian Standard AS2885. We have included $1.1 million ($</w:t>
      </w:r>
      <w:r w:rsidR="000B70FD">
        <w:t>2015–16</w:t>
      </w:r>
      <w:r>
        <w:t xml:space="preserve">) for the Channel Island spurline piggability project in our forecast of conforming capex for the </w:t>
      </w:r>
      <w:r w:rsidR="006A555A">
        <w:t>2016–21</w:t>
      </w:r>
      <w:r>
        <w:t xml:space="preserve"> access arrangement </w:t>
      </w:r>
      <w:proofErr w:type="gramStart"/>
      <w:r>
        <w:t>period</w:t>
      </w:r>
      <w:proofErr w:type="gramEnd"/>
      <w:r>
        <w:t>.</w:t>
      </w:r>
    </w:p>
    <w:p w:rsidR="006C48AF" w:rsidRPr="00031721" w:rsidRDefault="006C48AF" w:rsidP="006C48AF">
      <w:pPr>
        <w:rPr>
          <w:rStyle w:val="Strong"/>
        </w:rPr>
      </w:pPr>
      <w:r w:rsidRPr="00031721">
        <w:rPr>
          <w:rStyle w:val="Strong"/>
        </w:rPr>
        <w:t>Belowground station pipework recoating project</w:t>
      </w:r>
      <w:r>
        <w:rPr>
          <w:rStyle w:val="Strong"/>
        </w:rPr>
        <w:t xml:space="preserve"> – phase two</w:t>
      </w:r>
    </w:p>
    <w:p w:rsidR="006C48AF" w:rsidRDefault="006C48AF" w:rsidP="006C48AF">
      <w:r>
        <w:t>APTNT forecast capex of $3.5 million ($</w:t>
      </w:r>
      <w:r w:rsidR="000B70FD">
        <w:t>2015–16</w:t>
      </w:r>
      <w:r>
        <w:t xml:space="preserve">) for the belowground station pipework recoating project in the </w:t>
      </w:r>
      <w:r w:rsidR="006A555A">
        <w:t>2016–21</w:t>
      </w:r>
      <w:r>
        <w:t xml:space="preserve"> access arrangement </w:t>
      </w:r>
      <w:proofErr w:type="gramStart"/>
      <w:r>
        <w:t>period</w:t>
      </w:r>
      <w:proofErr w:type="gramEnd"/>
      <w:r>
        <w:t xml:space="preserve">. The total cost of the project is $13.2 million, with the majority of the work scheduled to be completed in the </w:t>
      </w:r>
      <w:r w:rsidR="000B70FD">
        <w:t>2015–16</w:t>
      </w:r>
      <w:r>
        <w:t xml:space="preserve"> year.</w:t>
      </w:r>
    </w:p>
    <w:p w:rsidR="006C48AF" w:rsidRPr="0092352B" w:rsidRDefault="006C48AF" w:rsidP="006C48AF">
      <w:r>
        <w:t xml:space="preserve">As discussed in our assessment of conforming capex </w:t>
      </w:r>
      <w:r w:rsidR="00DF26C7">
        <w:t>for</w:t>
      </w:r>
      <w:r w:rsidR="000F79A5">
        <w:t xml:space="preserve"> this project </w:t>
      </w:r>
      <w:r w:rsidR="00DF26C7">
        <w:t>in the 2011–16</w:t>
      </w:r>
      <w:r>
        <w:t xml:space="preserve"> access arrangement period, we have accepted the need for and scope of the belowground station pipework recoating project. However, we are not satisfied that the timing of the </w:t>
      </w:r>
      <w:r w:rsidR="00DF26C7">
        <w:t xml:space="preserve">capex for this </w:t>
      </w:r>
      <w:r>
        <w:t xml:space="preserve">project as proposed by APTNT is efficient or consistent with achieving the lowest sustainable cost of providing services. We consider that APTNT’s forecast capex for this project in the </w:t>
      </w:r>
      <w:r w:rsidR="000B70FD">
        <w:t>2015–16</w:t>
      </w:r>
      <w:r>
        <w:t xml:space="preserve"> and 2016-17 years should be deferred such that the project is completed by the end of 2020-21. This has the effect of reducing APTNT’s estimated capex for the final year of the </w:t>
      </w:r>
      <w:r w:rsidR="006A555A">
        <w:t>2011–16</w:t>
      </w:r>
      <w:r>
        <w:t xml:space="preserve"> access arrangement </w:t>
      </w:r>
      <w:proofErr w:type="gramStart"/>
      <w:r>
        <w:t>period</w:t>
      </w:r>
      <w:proofErr w:type="gramEnd"/>
      <w:r>
        <w:t xml:space="preserve"> by $7.0 million ($</w:t>
      </w:r>
      <w:r w:rsidR="000B70FD">
        <w:t>2015–16</w:t>
      </w:r>
      <w:r>
        <w:t xml:space="preserve">) and increasing forecast capex in the </w:t>
      </w:r>
      <w:r w:rsidR="006A555A">
        <w:t>2016–21</w:t>
      </w:r>
      <w:r>
        <w:t xml:space="preserve"> access arrangement period by the same amount. </w:t>
      </w:r>
      <w:r w:rsidRPr="00AA0FD7">
        <w:t>We have included $1</w:t>
      </w:r>
      <w:r>
        <w:t>0.</w:t>
      </w:r>
      <w:r w:rsidR="00A30095">
        <w:t>7</w:t>
      </w:r>
      <w:r w:rsidR="00C9745C">
        <w:t> </w:t>
      </w:r>
      <w:r w:rsidRPr="00AA0FD7">
        <w:t>million ($</w:t>
      </w:r>
      <w:r w:rsidR="000B70FD">
        <w:t>2015–16</w:t>
      </w:r>
      <w:r w:rsidRPr="00AA0FD7">
        <w:t xml:space="preserve">) for the </w:t>
      </w:r>
      <w:r>
        <w:t>belowground station pipework recoating project</w:t>
      </w:r>
      <w:r w:rsidRPr="00AA0FD7">
        <w:t xml:space="preserve"> in our forecast of conforming capex for the </w:t>
      </w:r>
      <w:r w:rsidR="006A555A">
        <w:t>2016–21</w:t>
      </w:r>
      <w:r w:rsidRPr="00AA0FD7">
        <w:t xml:space="preserve"> access arrangement </w:t>
      </w:r>
      <w:proofErr w:type="gramStart"/>
      <w:r w:rsidRPr="00AA0FD7">
        <w:t>period</w:t>
      </w:r>
      <w:proofErr w:type="gramEnd"/>
      <w:r w:rsidRPr="00AA0FD7">
        <w:t>.</w:t>
      </w:r>
    </w:p>
    <w:p w:rsidR="006C48AF" w:rsidRDefault="006C48AF" w:rsidP="006C48AF">
      <w:pPr>
        <w:pStyle w:val="HeadingBoldBlue"/>
      </w:pPr>
      <w:r>
        <w:t>Non-system capex</w:t>
      </w:r>
    </w:p>
    <w:p w:rsidR="006C48AF" w:rsidRDefault="006C48AF" w:rsidP="006C48AF">
      <w:r>
        <w:t>Non-system capex relates to the replacement or refurbishment of non-system assets such as motor vehicles, buildings and information technology. APTNT forecast non-system capex of $8.7 million ($</w:t>
      </w:r>
      <w:r w:rsidR="000B70FD">
        <w:t>2015–16</w:t>
      </w:r>
      <w:r>
        <w:t xml:space="preserve">) for the </w:t>
      </w:r>
      <w:r w:rsidR="006A555A">
        <w:t>2016–21</w:t>
      </w:r>
      <w:r>
        <w:t xml:space="preserve"> access arrangement </w:t>
      </w:r>
      <w:proofErr w:type="gramStart"/>
      <w:r>
        <w:t>period</w:t>
      </w:r>
      <w:proofErr w:type="gramEnd"/>
      <w:r>
        <w:t xml:space="preserve">. This is an increase of $1.1 million or 15 per cent from actual non-system capex in the </w:t>
      </w:r>
      <w:r w:rsidR="006A555A">
        <w:t>2011–16</w:t>
      </w:r>
      <w:r>
        <w:t xml:space="preserve"> access arrangement period. Non-system capex accounts for 29 per cent of APTNT’s total forecast capex. </w:t>
      </w:r>
    </w:p>
    <w:p w:rsidR="006C48AF" w:rsidRDefault="006C48AF" w:rsidP="006C48AF">
      <w:r>
        <w:t>We accept APTNT’s forecast of $8.7 million ($</w:t>
      </w:r>
      <w:r w:rsidR="000B70FD">
        <w:t>2015–16</w:t>
      </w:r>
      <w:r>
        <w:t>) for non-system capex.</w:t>
      </w:r>
      <w:r w:rsidR="00A30095">
        <w:rPr>
          <w:rStyle w:val="FootnoteReference"/>
        </w:rPr>
        <w:footnoteReference w:id="56"/>
      </w:r>
      <w:r>
        <w:t xml:space="preserve"> We have included it in our forecast of conforming capex for the </w:t>
      </w:r>
      <w:r w:rsidR="006A555A">
        <w:t>2016–21</w:t>
      </w:r>
      <w:r>
        <w:t xml:space="preserve"> access arrangement period. We consider the forecast non-system capex is such as would be incurred by a prudent service provider acting efficiently, in accordance with accepted good industry practice, to achieve the lowest sustainable cost of providing services. The forecast capex is necessary to maintain the integrity of services and APTNT’s capacity to meet existing levels of demand for services. The main categories of non-system capex—motor vehicles, buildings and IT—are discussed below.</w:t>
      </w:r>
    </w:p>
    <w:p w:rsidR="006C48AF" w:rsidRDefault="006C48AF" w:rsidP="0032658E">
      <w:pPr>
        <w:keepNext/>
        <w:rPr>
          <w:rStyle w:val="Strong"/>
        </w:rPr>
      </w:pPr>
      <w:r w:rsidRPr="00031721">
        <w:rPr>
          <w:rStyle w:val="Strong"/>
        </w:rPr>
        <w:t>Motor vehicles</w:t>
      </w:r>
    </w:p>
    <w:p w:rsidR="006C48AF" w:rsidRPr="00474A29" w:rsidRDefault="006C48AF" w:rsidP="006C48AF">
      <w:r w:rsidRPr="00474A29">
        <w:t>APTNT forecast capex of $2.2 million ($</w:t>
      </w:r>
      <w:r w:rsidR="000B70FD">
        <w:t>2015–16</w:t>
      </w:r>
      <w:r w:rsidRPr="00474A29">
        <w:t xml:space="preserve">) for motor vehicles in the </w:t>
      </w:r>
      <w:r w:rsidR="006A555A">
        <w:t>2016–21</w:t>
      </w:r>
      <w:r>
        <w:t xml:space="preserve"> access arrangement </w:t>
      </w:r>
      <w:proofErr w:type="gramStart"/>
      <w:r>
        <w:t>period</w:t>
      </w:r>
      <w:proofErr w:type="gramEnd"/>
      <w:r>
        <w:t>.</w:t>
      </w:r>
      <w:r w:rsidRPr="00474A29">
        <w:rPr>
          <w:vertAlign w:val="superscript"/>
        </w:rPr>
        <w:footnoteReference w:id="57"/>
      </w:r>
      <w:r w:rsidRPr="00474A29">
        <w:t xml:space="preserve"> APTNT </w:t>
      </w:r>
      <w:r>
        <w:t>operates a</w:t>
      </w:r>
      <w:r w:rsidRPr="00474A29">
        <w:t xml:space="preserve"> fleet of vehicles </w:t>
      </w:r>
      <w:r>
        <w:t>to service the</w:t>
      </w:r>
      <w:r w:rsidRPr="00474A29">
        <w:t xml:space="preserve"> A</w:t>
      </w:r>
      <w:r>
        <w:t xml:space="preserve">GP system including </w:t>
      </w:r>
      <w:r w:rsidRPr="00474A29">
        <w:t>utilities and 4WD trucks</w:t>
      </w:r>
      <w:r>
        <w:t>. V</w:t>
      </w:r>
      <w:r w:rsidRPr="00474A29">
        <w:t xml:space="preserve">ehicles are purchased or replaced on an as required basis depending on personnel, project or operational requirements. </w:t>
      </w:r>
      <w:r>
        <w:t xml:space="preserve">APTNT’s </w:t>
      </w:r>
      <w:r w:rsidRPr="00474A29">
        <w:t>vehicles are purchased, replaced and maintained in accordance with the national APA Group procurement policy.</w:t>
      </w:r>
      <w:r w:rsidRPr="00474A29">
        <w:rPr>
          <w:vertAlign w:val="superscript"/>
        </w:rPr>
        <w:footnoteReference w:id="58"/>
      </w:r>
      <w:r w:rsidRPr="00474A29">
        <w:t xml:space="preserve"> </w:t>
      </w:r>
    </w:p>
    <w:p w:rsidR="006C48AF" w:rsidRPr="00474A29" w:rsidRDefault="006C48AF" w:rsidP="006C48AF">
      <w:r w:rsidRPr="00474A29">
        <w:t xml:space="preserve">We have reviewed </w:t>
      </w:r>
      <w:r>
        <w:t xml:space="preserve">the information provided with </w:t>
      </w:r>
      <w:r w:rsidRPr="00474A29">
        <w:t>APTNT’s proposal</w:t>
      </w:r>
      <w:r>
        <w:t>,</w:t>
      </w:r>
      <w:r w:rsidRPr="00474A29">
        <w:t xml:space="preserve"> and </w:t>
      </w:r>
      <w:r>
        <w:t>sought further information regarding APTNT’s forecast motor vehicles capex.</w:t>
      </w:r>
      <w:r>
        <w:rPr>
          <w:rStyle w:val="FootnoteReference"/>
        </w:rPr>
        <w:footnoteReference w:id="59"/>
      </w:r>
      <w:r>
        <w:t xml:space="preserve"> </w:t>
      </w:r>
      <w:r w:rsidRPr="00474A29">
        <w:t>APTNT’s proposed total motor vehicle ca</w:t>
      </w:r>
      <w:r>
        <w:t xml:space="preserve">pex is similar to its </w:t>
      </w:r>
      <w:r w:rsidRPr="00474A29">
        <w:t>actual</w:t>
      </w:r>
      <w:r>
        <w:t xml:space="preserve"> and estimated</w:t>
      </w:r>
      <w:r w:rsidRPr="00474A29">
        <w:t xml:space="preserve"> motor vehicle capex for the </w:t>
      </w:r>
      <w:r w:rsidR="006A555A">
        <w:t>2011–16</w:t>
      </w:r>
      <w:r w:rsidRPr="00474A29">
        <w:t xml:space="preserve"> access arrangement period.</w:t>
      </w:r>
      <w:r w:rsidRPr="00474A29">
        <w:rPr>
          <w:vertAlign w:val="superscript"/>
        </w:rPr>
        <w:footnoteReference w:id="60"/>
      </w:r>
      <w:r w:rsidRPr="00474A29">
        <w:rPr>
          <w:vertAlign w:val="superscript"/>
        </w:rPr>
        <w:t xml:space="preserve"> </w:t>
      </w:r>
      <w:r w:rsidRPr="00474A29">
        <w:t>In its response to our information request, APTNT stated that the number of motor vehicl</w:t>
      </w:r>
      <w:r>
        <w:t xml:space="preserve">es in its fleet over the </w:t>
      </w:r>
      <w:r w:rsidR="006A555A">
        <w:t>2016–21</w:t>
      </w:r>
      <w:r w:rsidRPr="00474A29">
        <w:t xml:space="preserve"> access arrangement period is forecast to be consistent with the existing fleet levels of 22 light commercial vehicles with gross vehi</w:t>
      </w:r>
      <w:r>
        <w:t>cle mass (GVM) of less than 4.5 </w:t>
      </w:r>
      <w:r w:rsidRPr="00474A29">
        <w:t>tonnes and two heavy commercial trucks with GVM greater than 4.5 tonnes.</w:t>
      </w:r>
      <w:r w:rsidRPr="00474A29">
        <w:rPr>
          <w:vertAlign w:val="superscript"/>
        </w:rPr>
        <w:footnoteReference w:id="61"/>
      </w:r>
      <w:r w:rsidRPr="00474A29">
        <w:t xml:space="preserve"> </w:t>
      </w:r>
    </w:p>
    <w:p w:rsidR="006C48AF" w:rsidRPr="00474A29" w:rsidRDefault="006C48AF" w:rsidP="006C48AF">
      <w:r w:rsidRPr="00474A29">
        <w:t>APTNT’s replacement criterion for light commercial vehicles is the earlier of four years or 200,000km and for heavy commercial trucks 10 years.</w:t>
      </w:r>
      <w:r w:rsidRPr="00474A29">
        <w:rPr>
          <w:vertAlign w:val="superscript"/>
        </w:rPr>
        <w:footnoteReference w:id="62"/>
      </w:r>
      <w:r w:rsidRPr="00474A29">
        <w:t xml:space="preserve"> These replacement criteria are comparable with other Australian </w:t>
      </w:r>
      <w:r>
        <w:t>network</w:t>
      </w:r>
      <w:r w:rsidRPr="00474A29">
        <w:t xml:space="preserve"> service providers for similar vehicles, particularly when considering the operating conditions in the Northern Territory.</w:t>
      </w:r>
      <w:r w:rsidR="009F4760">
        <w:rPr>
          <w:rStyle w:val="FootnoteReference"/>
        </w:rPr>
        <w:footnoteReference w:id="63"/>
      </w:r>
      <w:r w:rsidRPr="00474A29">
        <w:t xml:space="preserve"> </w:t>
      </w:r>
    </w:p>
    <w:p w:rsidR="006C48AF" w:rsidRPr="00474A29" w:rsidRDefault="006C48AF" w:rsidP="006C48AF">
      <w:r w:rsidRPr="00474A29">
        <w:t>APTNT has estimated the replacement cost of light commercial vehicles to be $72,000 per vehicle</w:t>
      </w:r>
      <w:r>
        <w:t xml:space="preserve">, </w:t>
      </w:r>
      <w:r w:rsidRPr="00474A29">
        <w:t>based on historical vehicle replacement costs.</w:t>
      </w:r>
      <w:r w:rsidRPr="00474A29">
        <w:rPr>
          <w:vertAlign w:val="superscript"/>
        </w:rPr>
        <w:footnoteReference w:id="64"/>
      </w:r>
      <w:r w:rsidRPr="00474A29">
        <w:t xml:space="preserve"> </w:t>
      </w:r>
      <w:r w:rsidR="00DF26C7">
        <w:t>In our view, t</w:t>
      </w:r>
      <w:r w:rsidRPr="00474A29">
        <w:t>his</w:t>
      </w:r>
      <w:r>
        <w:t xml:space="preserve"> cost estimate is </w:t>
      </w:r>
      <w:r w:rsidR="00D67AFF">
        <w:t xml:space="preserve">reasonable as it is </w:t>
      </w:r>
      <w:r>
        <w:t>comparable to vehicle cost estimates</w:t>
      </w:r>
      <w:r w:rsidRPr="00474A29">
        <w:t xml:space="preserve"> </w:t>
      </w:r>
      <w:r>
        <w:t>provided by</w:t>
      </w:r>
      <w:r w:rsidRPr="00474A29">
        <w:t xml:space="preserve"> other Australian energy </w:t>
      </w:r>
      <w:r>
        <w:t>network service providers.</w:t>
      </w:r>
      <w:r w:rsidRPr="00474A29">
        <w:t xml:space="preserve"> </w:t>
      </w:r>
      <w:r>
        <w:t>The cost estimates account for</w:t>
      </w:r>
      <w:r w:rsidRPr="00474A29">
        <w:t xml:space="preserve"> the range of accessories that APTNT </w:t>
      </w:r>
      <w:r>
        <w:t>specifies for these vehicles</w:t>
      </w:r>
      <w:r w:rsidRPr="00474A29">
        <w:t xml:space="preserve"> in order to manage the remote off-road conditions </w:t>
      </w:r>
      <w:r>
        <w:t xml:space="preserve">encountered where these vehicles </w:t>
      </w:r>
      <w:r w:rsidRPr="00474A29">
        <w:t>operate.</w:t>
      </w:r>
      <w:r w:rsidRPr="00474A29">
        <w:rPr>
          <w:vertAlign w:val="superscript"/>
        </w:rPr>
        <w:footnoteReference w:id="65"/>
      </w:r>
      <w:r w:rsidRPr="00474A29">
        <w:t xml:space="preserve"> </w:t>
      </w:r>
      <w:r>
        <w:t>APTNT submitted</w:t>
      </w:r>
      <w:r w:rsidRPr="00474A29">
        <w:t xml:space="preserve"> that at the time of vehicle replacement, </w:t>
      </w:r>
      <w:r>
        <w:t xml:space="preserve">it assesses </w:t>
      </w:r>
      <w:r w:rsidRPr="00474A29">
        <w:t>the cond</w:t>
      </w:r>
      <w:r>
        <w:t xml:space="preserve">ition of vehicle accessories such as </w:t>
      </w:r>
      <w:r w:rsidRPr="00474A29">
        <w:t>communication equipment, winches, recovery equipment, compressors and driving lights</w:t>
      </w:r>
      <w:r>
        <w:t>,</w:t>
      </w:r>
      <w:r w:rsidRPr="00474A29">
        <w:t xml:space="preserve"> and where possible </w:t>
      </w:r>
      <w:r>
        <w:t>transfers them</w:t>
      </w:r>
      <w:r w:rsidRPr="00474A29">
        <w:t xml:space="preserve"> </w:t>
      </w:r>
      <w:r>
        <w:t xml:space="preserve">to </w:t>
      </w:r>
      <w:r w:rsidRPr="00474A29">
        <w:t>the n</w:t>
      </w:r>
      <w:r>
        <w:t>ew vehicle</w:t>
      </w:r>
      <w:r w:rsidRPr="00474A29">
        <w:t>.</w:t>
      </w:r>
      <w:r w:rsidRPr="00474A29">
        <w:rPr>
          <w:vertAlign w:val="superscript"/>
        </w:rPr>
        <w:footnoteReference w:id="66"/>
      </w:r>
      <w:r>
        <w:t xml:space="preserve"> </w:t>
      </w:r>
    </w:p>
    <w:p w:rsidR="006C48AF" w:rsidRDefault="006C48AF" w:rsidP="006C48AF">
      <w:r>
        <w:t>W</w:t>
      </w:r>
      <w:r w:rsidRPr="00474A29">
        <w:t>e are satisfied that APTNT’s forecast motor vehicle capex</w:t>
      </w:r>
      <w:r>
        <w:t xml:space="preserve"> of </w:t>
      </w:r>
      <w:r w:rsidRPr="00474A29">
        <w:t xml:space="preserve">$2.2 million ($2015–16) </w:t>
      </w:r>
      <w:r>
        <w:t>is such as would be incurred by a prudent operator acting efficiently</w:t>
      </w:r>
      <w:r w:rsidRPr="00474A29">
        <w:t xml:space="preserve">. </w:t>
      </w:r>
      <w:r>
        <w:t>We consider APTNT’s approach to fleet management is consistent with good industry practice and the need to achieve the lowest sustainable cost of providing services.</w:t>
      </w:r>
      <w:r w:rsidRPr="00474A29">
        <w:rPr>
          <w:vertAlign w:val="superscript"/>
        </w:rPr>
        <w:footnoteReference w:id="67"/>
      </w:r>
      <w:r>
        <w:t xml:space="preserve"> </w:t>
      </w:r>
      <w:r w:rsidR="00DF26C7">
        <w:rPr>
          <w:rStyle w:val="AERbody"/>
        </w:rPr>
        <w:t xml:space="preserve">The capex </w:t>
      </w:r>
      <w:r w:rsidR="00DF26C7">
        <w:t>is justifiable on the basis of rule 79(2)(c</w:t>
      </w:r>
      <w:r w:rsidR="00DF26C7" w:rsidRPr="00FF31F7">
        <w:t>) of the NGR</w:t>
      </w:r>
      <w:r w:rsidR="00DF26C7">
        <w:t xml:space="preserve">. </w:t>
      </w:r>
      <w:r w:rsidRPr="00474A29">
        <w:t xml:space="preserve">We will make an allowance for it in our estimate of </w:t>
      </w:r>
      <w:r>
        <w:t xml:space="preserve">conforming </w:t>
      </w:r>
      <w:r w:rsidRPr="00474A29">
        <w:t>capex for the 2016</w:t>
      </w:r>
      <w:r w:rsidR="00A92ECD">
        <w:t>–</w:t>
      </w:r>
      <w:r>
        <w:t xml:space="preserve">21 access arrangement </w:t>
      </w:r>
      <w:proofErr w:type="gramStart"/>
      <w:r>
        <w:t>period</w:t>
      </w:r>
      <w:proofErr w:type="gramEnd"/>
      <w:r w:rsidRPr="00474A29">
        <w:t>.</w:t>
      </w:r>
    </w:p>
    <w:p w:rsidR="006C48AF" w:rsidRPr="00F738E0" w:rsidRDefault="006C48AF" w:rsidP="006C48AF">
      <w:r>
        <w:t>However, APTNT</w:t>
      </w:r>
      <w:r w:rsidRPr="00F738E0">
        <w:t xml:space="preserve"> did not account for any </w:t>
      </w:r>
      <w:r>
        <w:t xml:space="preserve">forecast </w:t>
      </w:r>
      <w:r w:rsidRPr="00F738E0">
        <w:t xml:space="preserve">disposals of </w:t>
      </w:r>
      <w:r>
        <w:t>motor vehicles</w:t>
      </w:r>
      <w:r w:rsidRPr="00F738E0">
        <w:t xml:space="preserve"> in its </w:t>
      </w:r>
      <w:r>
        <w:t>access arrangement revision</w:t>
      </w:r>
      <w:r w:rsidRPr="00F738E0">
        <w:t xml:space="preserve"> proposal. In assessing </w:t>
      </w:r>
      <w:r>
        <w:t>APTNT</w:t>
      </w:r>
      <w:r w:rsidRPr="00F738E0">
        <w:t>'s</w:t>
      </w:r>
      <w:r>
        <w:t xml:space="preserve"> forecast non-system</w:t>
      </w:r>
      <w:r w:rsidRPr="00F738E0">
        <w:t xml:space="preserve"> capex, we sought further information regarding </w:t>
      </w:r>
      <w:r>
        <w:t xml:space="preserve">APTNT's forecast motor vehicle disposals in the </w:t>
      </w:r>
      <w:r w:rsidR="006A555A">
        <w:t>2016–21</w:t>
      </w:r>
      <w:r w:rsidRPr="00F738E0">
        <w:t xml:space="preserve"> </w:t>
      </w:r>
      <w:r>
        <w:t>access arrangement period.</w:t>
      </w:r>
      <w:r w:rsidRPr="00F738E0">
        <w:rPr>
          <w:vertAlign w:val="superscript"/>
        </w:rPr>
        <w:footnoteReference w:id="68"/>
      </w:r>
      <w:r w:rsidRPr="00F738E0">
        <w:t xml:space="preserve"> </w:t>
      </w:r>
    </w:p>
    <w:p w:rsidR="006C48AF" w:rsidRPr="00F738E0" w:rsidRDefault="006C48AF" w:rsidP="006C48AF">
      <w:r w:rsidRPr="00F738E0">
        <w:t xml:space="preserve">In response to our information request, </w:t>
      </w:r>
      <w:r>
        <w:t>APTNT</w:t>
      </w:r>
      <w:r w:rsidRPr="00F738E0">
        <w:t xml:space="preserve"> advised that it expected proceeds from the sal</w:t>
      </w:r>
      <w:r>
        <w:t xml:space="preserve">e of motor vehicle assets over the </w:t>
      </w:r>
      <w:r w:rsidR="006A555A">
        <w:t>2016–21</w:t>
      </w:r>
      <w:r w:rsidRPr="00F738E0">
        <w:t xml:space="preserve"> </w:t>
      </w:r>
      <w:r>
        <w:t>access arrangement period of $0.7 million</w:t>
      </w:r>
      <w:r w:rsidRPr="00F738E0">
        <w:t>.</w:t>
      </w:r>
      <w:r w:rsidRPr="00F738E0">
        <w:rPr>
          <w:vertAlign w:val="superscript"/>
        </w:rPr>
        <w:footnoteReference w:id="69"/>
      </w:r>
      <w:r w:rsidRPr="00F738E0">
        <w:t xml:space="preserve"> We have accounted for these disposals in modelling </w:t>
      </w:r>
      <w:r>
        <w:t>APTNT</w:t>
      </w:r>
      <w:r w:rsidRPr="00F738E0">
        <w:t>'s re</w:t>
      </w:r>
      <w:r>
        <w:t xml:space="preserve">quired revenue for the </w:t>
      </w:r>
      <w:r w:rsidR="006A555A">
        <w:t>2016–21</w:t>
      </w:r>
      <w:r>
        <w:t xml:space="preserve"> access arrangement period</w:t>
      </w:r>
      <w:r w:rsidRPr="00F738E0">
        <w:t>.</w:t>
      </w:r>
    </w:p>
    <w:p w:rsidR="006C48AF" w:rsidRPr="00E978B2" w:rsidRDefault="006C48AF" w:rsidP="006C48AF">
      <w:pPr>
        <w:rPr>
          <w:b/>
        </w:rPr>
      </w:pPr>
      <w:r w:rsidRPr="00E978B2">
        <w:rPr>
          <w:b/>
        </w:rPr>
        <w:t>Buildings</w:t>
      </w:r>
    </w:p>
    <w:p w:rsidR="006C48AF" w:rsidRPr="007438C2" w:rsidRDefault="006C48AF" w:rsidP="006C48AF">
      <w:r>
        <w:t xml:space="preserve">APTNT forecast non-system buildings </w:t>
      </w:r>
      <w:r w:rsidRPr="007438C2">
        <w:t xml:space="preserve">capex </w:t>
      </w:r>
      <w:r>
        <w:t>of $3.1</w:t>
      </w:r>
      <w:r w:rsidRPr="007438C2">
        <w:t xml:space="preserve"> million ($2015) </w:t>
      </w:r>
      <w:r>
        <w:t>for building modifications at its corporate office site in Palmerston.</w:t>
      </w:r>
      <w:r>
        <w:rPr>
          <w:rStyle w:val="FootnoteReference"/>
        </w:rPr>
        <w:footnoteReference w:id="70"/>
      </w:r>
      <w:r w:rsidRPr="007438C2">
        <w:t xml:space="preserve"> </w:t>
      </w:r>
      <w:r>
        <w:t>APTNT currently operates an owned office site and a leased maintenance base</w:t>
      </w:r>
      <w:r w:rsidRPr="007438C2">
        <w:t xml:space="preserve"> depot</w:t>
      </w:r>
      <w:r>
        <w:t xml:space="preserve">, both in Palmerston. The </w:t>
      </w:r>
      <w:r w:rsidRPr="007438C2">
        <w:t>office accommodation ha</w:t>
      </w:r>
      <w:r>
        <w:t>s a building age approaching 30 years and has had only minor internal modification since construction</w:t>
      </w:r>
      <w:r w:rsidRPr="007438C2">
        <w:t>.</w:t>
      </w:r>
      <w:r w:rsidRPr="007438C2">
        <w:rPr>
          <w:vertAlign w:val="superscript"/>
        </w:rPr>
        <w:footnoteReference w:id="71"/>
      </w:r>
    </w:p>
    <w:p w:rsidR="006C48AF" w:rsidRPr="007438C2" w:rsidRDefault="006C48AF" w:rsidP="006C48AF">
      <w:r>
        <w:t>APTNT</w:t>
      </w:r>
      <w:r w:rsidRPr="007438C2">
        <w:t xml:space="preserve"> pr</w:t>
      </w:r>
      <w:r>
        <w:t>oposed to redevelop the</w:t>
      </w:r>
      <w:r w:rsidRPr="007438C2">
        <w:t xml:space="preserve"> </w:t>
      </w:r>
      <w:r>
        <w:t>corporate office site at Palmerston</w:t>
      </w:r>
      <w:r w:rsidRPr="007438C2">
        <w:t xml:space="preserve"> in order to:</w:t>
      </w:r>
      <w:r w:rsidRPr="007438C2">
        <w:rPr>
          <w:vertAlign w:val="superscript"/>
        </w:rPr>
        <w:footnoteReference w:id="72"/>
      </w:r>
    </w:p>
    <w:p w:rsidR="006C48AF" w:rsidRDefault="006C48AF" w:rsidP="006C48AF">
      <w:pPr>
        <w:pStyle w:val="AERbulletlistfirststyle"/>
      </w:pPr>
      <w:r>
        <w:t>refurbish and expand office accommodation to provide sufficient space for both corporate and field services staff</w:t>
      </w:r>
    </w:p>
    <w:p w:rsidR="006C48AF" w:rsidRPr="007438C2" w:rsidRDefault="006C48AF" w:rsidP="006C48AF">
      <w:pPr>
        <w:pStyle w:val="AERbulletlistfirststyle"/>
      </w:pPr>
      <w:r>
        <w:t>extend the existing warehouse area to provide adequate facilities for the field services function</w:t>
      </w:r>
    </w:p>
    <w:p w:rsidR="006C48AF" w:rsidRPr="007438C2" w:rsidRDefault="006C48AF" w:rsidP="006C48AF">
      <w:pPr>
        <w:pStyle w:val="AERbulletlistfirststyle"/>
      </w:pPr>
      <w:r>
        <w:t>upgrade bathroom and kitchen amenities</w:t>
      </w:r>
    </w:p>
    <w:p w:rsidR="006C48AF" w:rsidRDefault="006C48AF" w:rsidP="006C48AF">
      <w:pPr>
        <w:pStyle w:val="AERbulletlistfirststyle"/>
      </w:pPr>
      <w:r>
        <w:t xml:space="preserve">install chemical storage </w:t>
      </w:r>
    </w:p>
    <w:p w:rsidR="006C48AF" w:rsidRDefault="006C48AF" w:rsidP="006C48AF">
      <w:pPr>
        <w:pStyle w:val="AERbulletlistfirststyle"/>
      </w:pPr>
      <w:r>
        <w:t>install building and perimeter security</w:t>
      </w:r>
    </w:p>
    <w:p w:rsidR="006C48AF" w:rsidRPr="007438C2" w:rsidRDefault="006C48AF" w:rsidP="006C48AF">
      <w:pPr>
        <w:pStyle w:val="AERbulletlistfirststyle"/>
      </w:pPr>
      <w:r>
        <w:t>undertake civil works including paving, car parking and landscaping</w:t>
      </w:r>
      <w:r w:rsidRPr="007438C2">
        <w:t>.</w:t>
      </w:r>
    </w:p>
    <w:p w:rsidR="006C48AF" w:rsidRPr="007438C2" w:rsidRDefault="006C48AF" w:rsidP="006C48AF">
      <w:r>
        <w:t>APTNT’s access arrangement revision proposal and asset management plan provided a summary of the proposed building modification works.</w:t>
      </w:r>
      <w:r>
        <w:rPr>
          <w:rStyle w:val="FootnoteReference"/>
        </w:rPr>
        <w:footnoteReference w:id="73"/>
      </w:r>
      <w:r>
        <w:t xml:space="preserve"> However, APTNT did not provide a business case or other supporting documentation setting out the justification for the proposed investment. We therefore sought further information from APTNT to justify the need, timing and cost of the proposed building works.</w:t>
      </w:r>
      <w:r w:rsidRPr="007438C2">
        <w:rPr>
          <w:vertAlign w:val="superscript"/>
        </w:rPr>
        <w:footnoteReference w:id="74"/>
      </w:r>
      <w:r>
        <w:t xml:space="preserve"> APTNT submitted a business case which, in our view, </w:t>
      </w:r>
      <w:r w:rsidRPr="007438C2">
        <w:t>provided appropriate evidence to support the preferred redevelopment option, including:</w:t>
      </w:r>
      <w:r w:rsidR="00A718BB">
        <w:rPr>
          <w:rStyle w:val="FootnoteReference"/>
        </w:rPr>
        <w:footnoteReference w:id="75"/>
      </w:r>
    </w:p>
    <w:p w:rsidR="006C48AF" w:rsidRPr="007438C2" w:rsidRDefault="006C48AF" w:rsidP="006C48AF">
      <w:pPr>
        <w:pStyle w:val="AERbulletlistfirststyle"/>
      </w:pPr>
      <w:r>
        <w:t xml:space="preserve">a </w:t>
      </w:r>
      <w:r w:rsidRPr="007438C2">
        <w:t xml:space="preserve">description of the need </w:t>
      </w:r>
      <w:r>
        <w:t xml:space="preserve">for investment, with </w:t>
      </w:r>
      <w:r w:rsidRPr="007438C2">
        <w:t>evidence as to the nature of asset obsolescence and other specific site condition</w:t>
      </w:r>
      <w:r>
        <w:t>, capacity, amenity</w:t>
      </w:r>
      <w:r w:rsidRPr="007438C2">
        <w:t xml:space="preserve"> and compliance issues </w:t>
      </w:r>
    </w:p>
    <w:p w:rsidR="006C48AF" w:rsidRPr="007438C2" w:rsidRDefault="006C48AF" w:rsidP="006C48AF">
      <w:pPr>
        <w:pStyle w:val="AERbulletlistfirststyle"/>
      </w:pPr>
      <w:r w:rsidRPr="007438C2">
        <w:t>evidence that a range of alternative options has been considered</w:t>
      </w:r>
      <w:r>
        <w:t>, including a do nothing option</w:t>
      </w:r>
      <w:r w:rsidRPr="007438C2">
        <w:t xml:space="preserve"> </w:t>
      </w:r>
    </w:p>
    <w:p w:rsidR="006C48AF" w:rsidRDefault="006C48AF" w:rsidP="006C48AF">
      <w:pPr>
        <w:pStyle w:val="AERbulletlistfirststyle"/>
      </w:pPr>
      <w:r w:rsidRPr="007438C2">
        <w:t xml:space="preserve">a </w:t>
      </w:r>
      <w:r>
        <w:t>summary</w:t>
      </w:r>
      <w:r w:rsidRPr="007438C2">
        <w:t xml:space="preserve"> of </w:t>
      </w:r>
      <w:r>
        <w:t xml:space="preserve">the </w:t>
      </w:r>
      <w:r w:rsidRPr="007438C2">
        <w:t>costs and benefits for the options considered</w:t>
      </w:r>
    </w:p>
    <w:p w:rsidR="006C48AF" w:rsidRDefault="006C48AF" w:rsidP="006C48AF">
      <w:pPr>
        <w:pStyle w:val="AERbulletlistfirststyle"/>
      </w:pPr>
      <w:r>
        <w:t>the basis of selection of the preferred development option</w:t>
      </w:r>
    </w:p>
    <w:p w:rsidR="006C48AF" w:rsidRPr="007438C2" w:rsidRDefault="006C48AF" w:rsidP="006C48AF">
      <w:pPr>
        <w:pStyle w:val="AERbulletlistfirststyle"/>
      </w:pPr>
      <w:r>
        <w:t>a breakdown of the proposed scope of works and estimated costs</w:t>
      </w:r>
      <w:r w:rsidRPr="007438C2">
        <w:t>.</w:t>
      </w:r>
    </w:p>
    <w:p w:rsidR="006C48AF" w:rsidRPr="007438C2" w:rsidRDefault="006C48AF" w:rsidP="006C48AF">
      <w:r>
        <w:t>APTNT’s business case</w:t>
      </w:r>
      <w:r w:rsidRPr="007438C2">
        <w:t xml:space="preserve"> </w:t>
      </w:r>
      <w:r>
        <w:t>identified</w:t>
      </w:r>
      <w:r w:rsidRPr="007438C2">
        <w:t xml:space="preserve"> that the 'do nothing' option was not viable for </w:t>
      </w:r>
      <w:r>
        <w:t>APTNT’s</w:t>
      </w:r>
      <w:r w:rsidRPr="007438C2">
        <w:t xml:space="preserve"> </w:t>
      </w:r>
      <w:r>
        <w:t xml:space="preserve">Palmerston operations </w:t>
      </w:r>
      <w:r w:rsidRPr="007438C2">
        <w:t>because:</w:t>
      </w:r>
      <w:r w:rsidRPr="007438C2">
        <w:rPr>
          <w:vertAlign w:val="superscript"/>
        </w:rPr>
        <w:footnoteReference w:id="76"/>
      </w:r>
    </w:p>
    <w:p w:rsidR="006C48AF" w:rsidRDefault="006C48AF" w:rsidP="006C48AF">
      <w:pPr>
        <w:pStyle w:val="AERbulletlistfirststyle"/>
      </w:pPr>
      <w:r w:rsidRPr="007438C2">
        <w:t xml:space="preserve">the existing </w:t>
      </w:r>
      <w:r>
        <w:t xml:space="preserve">office </w:t>
      </w:r>
      <w:r w:rsidRPr="007438C2">
        <w:t xml:space="preserve">premises </w:t>
      </w:r>
      <w:r>
        <w:t>require significant maintenance, including ceiling, roof and air-conditioning replacement,</w:t>
      </w:r>
      <w:r w:rsidRPr="007438C2">
        <w:t xml:space="preserve"> and provide sub-</w:t>
      </w:r>
      <w:r>
        <w:t>standard</w:t>
      </w:r>
      <w:r w:rsidRPr="007438C2">
        <w:t xml:space="preserve"> amenity</w:t>
      </w:r>
    </w:p>
    <w:p w:rsidR="006C48AF" w:rsidRDefault="006C48AF" w:rsidP="006C48AF">
      <w:pPr>
        <w:pStyle w:val="AERbulletlistfirststyle"/>
      </w:pPr>
      <w:r>
        <w:t>the office accommodation is at full capacity, with an inefficient distribution of workspace and inadequate meeting facilities</w:t>
      </w:r>
    </w:p>
    <w:p w:rsidR="006C48AF" w:rsidRDefault="006C48AF" w:rsidP="006C48AF">
      <w:pPr>
        <w:pStyle w:val="AERbulletlistfirststyle"/>
      </w:pPr>
      <w:r>
        <w:t>the maintenance base is under a month by month lease, providing no security of tenure</w:t>
      </w:r>
    </w:p>
    <w:p w:rsidR="006C48AF" w:rsidRPr="007438C2" w:rsidRDefault="006C48AF" w:rsidP="006C48AF">
      <w:pPr>
        <w:pStyle w:val="AERbulletlistfirststyle"/>
      </w:pPr>
      <w:r>
        <w:t>the current rental of the maintenance base is significantly less than market rental for similar properties and is not expected to continue into the future.</w:t>
      </w:r>
    </w:p>
    <w:p w:rsidR="006C48AF" w:rsidRDefault="006C48AF" w:rsidP="006C48AF">
      <w:r w:rsidRPr="007438C2">
        <w:t xml:space="preserve">On the basis of the information submitted by </w:t>
      </w:r>
      <w:r>
        <w:t>APTNT</w:t>
      </w:r>
      <w:r w:rsidRPr="007438C2">
        <w:t xml:space="preserve">, we are satisfied that the </w:t>
      </w:r>
      <w:r>
        <w:t>forecast capex for</w:t>
      </w:r>
      <w:r w:rsidRPr="007438C2">
        <w:t xml:space="preserve"> red</w:t>
      </w:r>
      <w:r>
        <w:t>evelopment of the Palmerston corporate office is likely to be prudent, efficient and consistent with achieving the lowest sustainable cost of providing services.</w:t>
      </w:r>
      <w:r w:rsidR="00DF26C7">
        <w:rPr>
          <w:rStyle w:val="FootnoteReference"/>
        </w:rPr>
        <w:footnoteReference w:id="77"/>
      </w:r>
      <w:r>
        <w:t xml:space="preserve"> </w:t>
      </w:r>
      <w:r w:rsidR="00DF26C7">
        <w:rPr>
          <w:rStyle w:val="AERbody"/>
        </w:rPr>
        <w:t xml:space="preserve">The capex </w:t>
      </w:r>
      <w:r w:rsidR="00DF26C7">
        <w:t>is justifiable on the basis of rule 79(2)(c</w:t>
      </w:r>
      <w:r w:rsidR="00DF26C7" w:rsidRPr="00FF31F7">
        <w:t>) of the NGR</w:t>
      </w:r>
      <w:r w:rsidR="00DF26C7">
        <w:t xml:space="preserve">. </w:t>
      </w:r>
      <w:r>
        <w:t>The</w:t>
      </w:r>
      <w:r w:rsidRPr="007438C2">
        <w:t xml:space="preserve"> </w:t>
      </w:r>
      <w:r>
        <w:t>project will address the existing site</w:t>
      </w:r>
      <w:r w:rsidRPr="007438C2">
        <w:t xml:space="preserve"> condition, safet</w:t>
      </w:r>
      <w:r>
        <w:t xml:space="preserve">y </w:t>
      </w:r>
      <w:r w:rsidRPr="007438C2">
        <w:t xml:space="preserve">and </w:t>
      </w:r>
      <w:r>
        <w:t>capacity</w:t>
      </w:r>
      <w:r w:rsidRPr="007438C2">
        <w:t xml:space="preserve"> issues identified by </w:t>
      </w:r>
      <w:r>
        <w:t>APTNT, and allow for the consolidation of corporate and field services functions. This option will utilise excess land at the owned corporate office site, and provide ongoing savings in annual rental and security patrol costs through termination of the maintenance depot lease</w:t>
      </w:r>
      <w:r w:rsidRPr="007438C2">
        <w:t xml:space="preserve">. </w:t>
      </w:r>
      <w:r>
        <w:t>W</w:t>
      </w:r>
      <w:r w:rsidRPr="007438C2">
        <w:t xml:space="preserve">e have included the forecast costs associated with this project in our estimate of </w:t>
      </w:r>
      <w:r>
        <w:t>conforming</w:t>
      </w:r>
      <w:r w:rsidRPr="007438C2">
        <w:t xml:space="preserve"> capex </w:t>
      </w:r>
      <w:r>
        <w:t xml:space="preserve">for the </w:t>
      </w:r>
      <w:r w:rsidR="006A555A">
        <w:t>2016–21</w:t>
      </w:r>
      <w:r>
        <w:t xml:space="preserve"> access arrangement period</w:t>
      </w:r>
      <w:r w:rsidRPr="007438C2">
        <w:t>.</w:t>
      </w:r>
    </w:p>
    <w:p w:rsidR="006C48AF" w:rsidRPr="007438C2" w:rsidRDefault="006C48AF" w:rsidP="006C48AF">
      <w:r>
        <w:t xml:space="preserve">In order to achieve the lowest sustainable cost of providing services, it is important that opex savings achieved through consolidation of the two operating sites in Palmerston are passed on to users. In response to our information request, APTNT submitted that the forecast opex savings in rental and security patrol costs associated with this project were not reflected in its forecast opex for the </w:t>
      </w:r>
      <w:r w:rsidR="006A555A">
        <w:t>2016–21</w:t>
      </w:r>
      <w:r>
        <w:t xml:space="preserve"> access arrangement period.</w:t>
      </w:r>
      <w:r>
        <w:rPr>
          <w:rStyle w:val="FootnoteReference"/>
        </w:rPr>
        <w:footnoteReference w:id="78"/>
      </w:r>
      <w:r>
        <w:t xml:space="preserve"> </w:t>
      </w:r>
      <w:r w:rsidR="00DD1329">
        <w:t xml:space="preserve">We expect </w:t>
      </w:r>
      <w:r>
        <w:t xml:space="preserve">APTNT </w:t>
      </w:r>
      <w:r w:rsidR="00DD1329">
        <w:t>to</w:t>
      </w:r>
      <w:r>
        <w:t xml:space="preserve"> reflect these opex savings in its revised opex proposal.</w:t>
      </w:r>
    </w:p>
    <w:p w:rsidR="006C48AF" w:rsidRPr="00031721" w:rsidRDefault="006C48AF" w:rsidP="006C48AF">
      <w:pPr>
        <w:rPr>
          <w:rStyle w:val="Strong"/>
        </w:rPr>
      </w:pPr>
      <w:r w:rsidRPr="00031721">
        <w:rPr>
          <w:rStyle w:val="Strong"/>
        </w:rPr>
        <w:t>Information technology</w:t>
      </w:r>
    </w:p>
    <w:p w:rsidR="006C48AF" w:rsidRPr="00476A84" w:rsidRDefault="006C48AF" w:rsidP="006C48AF">
      <w:r w:rsidRPr="00476A84">
        <w:t>APTNT proposed $3.4 million ($</w:t>
      </w:r>
      <w:r w:rsidR="000B70FD">
        <w:t>2015–16</w:t>
      </w:r>
      <w:r w:rsidRPr="00476A84">
        <w:t>, including cost escalation) for IT capex</w:t>
      </w:r>
      <w:r>
        <w:t xml:space="preserve"> in the </w:t>
      </w:r>
      <w:r w:rsidR="006A555A">
        <w:t>2016–21</w:t>
      </w:r>
      <w:r>
        <w:t xml:space="preserve"> access arrangement period</w:t>
      </w:r>
      <w:r w:rsidRPr="00476A84">
        <w:t>.</w:t>
      </w:r>
      <w:r w:rsidRPr="00476A84">
        <w:rPr>
          <w:vertAlign w:val="superscript"/>
        </w:rPr>
        <w:footnoteReference w:id="79"/>
      </w:r>
      <w:r w:rsidRPr="00476A84">
        <w:t xml:space="preserve"> This is a decrease </w:t>
      </w:r>
      <w:r>
        <w:t>of $1 million or 23 per </w:t>
      </w:r>
      <w:r w:rsidRPr="00476A84">
        <w:t xml:space="preserve">cent from actual </w:t>
      </w:r>
      <w:r>
        <w:t xml:space="preserve">and estimated </w:t>
      </w:r>
      <w:r w:rsidRPr="00476A84">
        <w:t>e</w:t>
      </w:r>
      <w:r>
        <w:t xml:space="preserve">xpenditure in the </w:t>
      </w:r>
      <w:r w:rsidR="006A555A">
        <w:t>2011–16</w:t>
      </w:r>
      <w:r>
        <w:t xml:space="preserve"> access arrangement period</w:t>
      </w:r>
      <w:r w:rsidRPr="00476A84">
        <w:t>.</w:t>
      </w:r>
      <w:r w:rsidRPr="00476A84">
        <w:rPr>
          <w:vertAlign w:val="superscript"/>
        </w:rPr>
        <w:footnoteReference w:id="80"/>
      </w:r>
      <w:r w:rsidRPr="00476A84">
        <w:t xml:space="preserve"> However, it is an increase of $2.2 million from the forecast for the current period.</w:t>
      </w:r>
      <w:r w:rsidRPr="00476A84">
        <w:rPr>
          <w:vertAlign w:val="superscript"/>
        </w:rPr>
        <w:footnoteReference w:id="81"/>
      </w:r>
    </w:p>
    <w:p w:rsidR="006C48AF" w:rsidRPr="00476A84" w:rsidRDefault="006C48AF" w:rsidP="006C48AF">
      <w:r w:rsidRPr="00476A84">
        <w:t>We accept APTNT’s proposed IT capex forec</w:t>
      </w:r>
      <w:r>
        <w:t xml:space="preserve">ast and have included it in our forecast of conforming capex for the </w:t>
      </w:r>
      <w:r w:rsidR="006A555A">
        <w:t>2016–21</w:t>
      </w:r>
      <w:r>
        <w:t xml:space="preserve"> access arrangement period</w:t>
      </w:r>
      <w:r w:rsidRPr="00476A84">
        <w:t>.</w:t>
      </w:r>
      <w:r w:rsidR="009D1015">
        <w:rPr>
          <w:rStyle w:val="FootnoteReference"/>
        </w:rPr>
        <w:footnoteReference w:id="82"/>
      </w:r>
      <w:r w:rsidRPr="00476A84">
        <w:t xml:space="preserve"> In our analysis</w:t>
      </w:r>
      <w:r>
        <w:t xml:space="preserve">, we have </w:t>
      </w:r>
      <w:r w:rsidRPr="00476A84">
        <w:t xml:space="preserve">reviewed the two </w:t>
      </w:r>
      <w:r>
        <w:t xml:space="preserve">specific </w:t>
      </w:r>
      <w:r w:rsidRPr="00476A84">
        <w:t xml:space="preserve">projects proposed for the upcoming access arrangement period. </w:t>
      </w:r>
    </w:p>
    <w:p w:rsidR="006C48AF" w:rsidRPr="00476A84" w:rsidRDefault="006C48AF" w:rsidP="006C48AF">
      <w:r>
        <w:t xml:space="preserve">APTNT’s IT capex in the </w:t>
      </w:r>
      <w:r w:rsidR="006A555A">
        <w:t>2011–16</w:t>
      </w:r>
      <w:r>
        <w:t xml:space="preserve"> access arrangement period was in large part driven by APTNT’s share of corporate level costs as a number of</w:t>
      </w:r>
      <w:r w:rsidRPr="00476A84">
        <w:t xml:space="preserve"> stand-alone systems </w:t>
      </w:r>
      <w:r>
        <w:t>relating to the AGP were integrated into</w:t>
      </w:r>
      <w:r w:rsidRPr="00476A84">
        <w:t xml:space="preserve"> the</w:t>
      </w:r>
      <w:r>
        <w:t xml:space="preserve"> broader</w:t>
      </w:r>
      <w:r w:rsidRPr="00476A84">
        <w:t xml:space="preserve"> APA Group systems. This work program is due to</w:t>
      </w:r>
      <w:r>
        <w:t xml:space="preserve"> be completed during the </w:t>
      </w:r>
      <w:r w:rsidR="006A555A">
        <w:t>2011–16</w:t>
      </w:r>
      <w:r>
        <w:t xml:space="preserve"> access arrangement period</w:t>
      </w:r>
      <w:r w:rsidRPr="00476A84">
        <w:t xml:space="preserve">. As a consequence, APTNT’s forecast IT capex for the </w:t>
      </w:r>
      <w:r w:rsidR="006A555A">
        <w:t>2016–21</w:t>
      </w:r>
      <w:r w:rsidRPr="00476A84">
        <w:t xml:space="preserve"> access arrangement period is 23 per cent lower than actual expenditure in t</w:t>
      </w:r>
      <w:r>
        <w:t xml:space="preserve">he </w:t>
      </w:r>
      <w:r w:rsidR="006A555A">
        <w:t>2011–16</w:t>
      </w:r>
      <w:r>
        <w:t xml:space="preserve"> access arrangement period.</w:t>
      </w:r>
      <w:r w:rsidRPr="00476A84">
        <w:rPr>
          <w:vertAlign w:val="superscript"/>
        </w:rPr>
        <w:footnoteReference w:id="83"/>
      </w:r>
      <w:r w:rsidRPr="00476A84">
        <w:t xml:space="preserve"> </w:t>
      </w:r>
    </w:p>
    <w:p w:rsidR="006C48AF" w:rsidRPr="00476A84" w:rsidRDefault="006C48AF" w:rsidP="006C48AF">
      <w:r w:rsidRPr="00476A84">
        <w:t xml:space="preserve">APTNT identified two IT capex projects for the </w:t>
      </w:r>
      <w:r w:rsidR="006A555A">
        <w:t>2016–21</w:t>
      </w:r>
      <w:r>
        <w:t xml:space="preserve"> </w:t>
      </w:r>
      <w:r w:rsidRPr="00476A84">
        <w:t>access arrangement period, an infrastructure upgrade project and an applications re</w:t>
      </w:r>
      <w:r>
        <w:t>newal program. Each of these is</w:t>
      </w:r>
      <w:r w:rsidRPr="00476A84">
        <w:t xml:space="preserve"> suppor</w:t>
      </w:r>
      <w:r>
        <w:t>ted by an individual business case</w:t>
      </w:r>
      <w:r w:rsidRPr="00476A84">
        <w:t xml:space="preserve"> setting out the scope, business need and justification fo</w:t>
      </w:r>
      <w:r>
        <w:t>r the proposed IT capex project</w:t>
      </w:r>
      <w:r w:rsidRPr="00476A84">
        <w:t>, as well as costs, options considered and a risk assessment.</w:t>
      </w:r>
      <w:r w:rsidRPr="00476A84">
        <w:rPr>
          <w:vertAlign w:val="superscript"/>
        </w:rPr>
        <w:footnoteReference w:id="84"/>
      </w:r>
      <w:r w:rsidRPr="00476A84">
        <w:t xml:space="preserve"> The infrastructure upgrade project is to upgrade both the desktop infrastructure to the Windows 8/10 operating system and to upgrade the telephony infrastructure. The applications renewal program is to upgrade all of APTNT’s major applications on a two yearly cycle to maintain currency and vendor support. On the basis of the information provided, we are satisfied that these projects are appropriately justified in regard to APTNT’s business needs. We are therefore satisfied that the scope and nature of the capex proposed is such as would be incurred by a prudent service provider.</w:t>
      </w:r>
    </w:p>
    <w:p w:rsidR="006C48AF" w:rsidRPr="00476A84" w:rsidRDefault="006C48AF" w:rsidP="006C48AF">
      <w:r w:rsidRPr="00476A84">
        <w:t xml:space="preserve">APTNT has utilised an industry standard </w:t>
      </w:r>
      <w:r>
        <w:t>project methodology</w:t>
      </w:r>
      <w:r w:rsidRPr="00476A84">
        <w:t xml:space="preserve"> to develop its project plans.</w:t>
      </w:r>
      <w:r w:rsidRPr="00476A84">
        <w:rPr>
          <w:vertAlign w:val="superscript"/>
        </w:rPr>
        <w:footnoteReference w:id="85"/>
      </w:r>
      <w:r w:rsidRPr="00476A84">
        <w:t xml:space="preserve"> APTNT’s cost estimates are derived </w:t>
      </w:r>
      <w:r>
        <w:t xml:space="preserve">from </w:t>
      </w:r>
      <w:r w:rsidRPr="00476A84">
        <w:t>historical figures for resource costs estimates. On this basis, we are satisfied that APTNT’s estimate of IT capex costs has been arrived at on a reasonable basis.</w:t>
      </w:r>
      <w:r>
        <w:rPr>
          <w:rStyle w:val="FootnoteReference"/>
        </w:rPr>
        <w:footnoteReference w:id="86"/>
      </w:r>
    </w:p>
    <w:p w:rsidR="006C48AF" w:rsidRDefault="006C48AF" w:rsidP="006C48AF">
      <w:r w:rsidRPr="00476A84">
        <w:t>Based on our review of the information submitted by APTNT in support of its forecast IT capex, we are satisfied that the forecast capex is such as would be incurred by a prudent service provider acting efficiently.</w:t>
      </w:r>
      <w:r w:rsidRPr="00476A84">
        <w:rPr>
          <w:vertAlign w:val="superscript"/>
        </w:rPr>
        <w:footnoteReference w:id="87"/>
      </w:r>
      <w:r w:rsidRPr="00476A84">
        <w:t xml:space="preserve"> The projects included in the forecast capex are necessary to maintain the integrity of services.</w:t>
      </w:r>
      <w:r w:rsidRPr="00476A84">
        <w:rPr>
          <w:vertAlign w:val="superscript"/>
        </w:rPr>
        <w:footnoteReference w:id="88"/>
      </w:r>
      <w:r w:rsidRPr="00476A84">
        <w:t xml:space="preserve"> On this basis, we accept APTNT’s IT capex forecast of $3.4 million and have included it in our </w:t>
      </w:r>
      <w:r>
        <w:t xml:space="preserve">estimate of conforming capex for the </w:t>
      </w:r>
      <w:r w:rsidR="006A555A">
        <w:t>2016–21</w:t>
      </w:r>
      <w:r>
        <w:t xml:space="preserve"> access arrangement period</w:t>
      </w:r>
      <w:r w:rsidRPr="00476A84">
        <w:t>.</w:t>
      </w:r>
    </w:p>
    <w:p w:rsidR="00A718BB" w:rsidRPr="00476A84" w:rsidRDefault="00A718BB" w:rsidP="00AB1037">
      <w:pPr>
        <w:pStyle w:val="HeadingBoldBlue"/>
      </w:pPr>
      <w:r>
        <w:t>Labour cost escalation</w:t>
      </w:r>
    </w:p>
    <w:p w:rsidR="00474EC7" w:rsidRDefault="00FD1E11">
      <w:r>
        <w:t>APTNT’s forecast capex for the 2016–21 access arrangement period included $0.5 million related to forecast real escalation of labour costs. As discussed in attachment 7 of this decision, w</w:t>
      </w:r>
      <w:r w:rsidR="00A718BB">
        <w:t xml:space="preserve">e have </w:t>
      </w:r>
      <w:r>
        <w:t xml:space="preserve">not accepted APTNT’s forecast of real labour cost escalation in the 2016–21 access arrangement period. We have substituted our forecast of labour cost escalation in place of APTNT’s forecast in determining our estimate of conforming capex for the 2016–21 access arrangement period. The impact of applying our forecast for labour cost escalation </w:t>
      </w:r>
      <w:r w:rsidRPr="009D1015">
        <w:t>is a reduction in forecast capex of $0.</w:t>
      </w:r>
      <w:r w:rsidR="009D1015" w:rsidRPr="009D1015">
        <w:t>2</w:t>
      </w:r>
      <w:r w:rsidRPr="009D1015">
        <w:t> million ($</w:t>
      </w:r>
      <w:r w:rsidR="000B70FD">
        <w:t>2015–16</w:t>
      </w:r>
      <w:r w:rsidRPr="009D1015">
        <w:t xml:space="preserve">). </w:t>
      </w:r>
    </w:p>
    <w:p w:rsidR="005E2888" w:rsidRDefault="005E2888" w:rsidP="005E2888">
      <w:pPr>
        <w:pStyle w:val="Heading2"/>
      </w:pPr>
      <w:bookmarkStart w:id="47" w:name="_Toc436042758"/>
      <w:r>
        <w:t>Revisions</w:t>
      </w:r>
      <w:bookmarkEnd w:id="47"/>
    </w:p>
    <w:p w:rsidR="005E2888" w:rsidRDefault="005E2888" w:rsidP="005E2888">
      <w:r>
        <w:t>We require the following revisions to make the access arrangement proposal acceptable:</w:t>
      </w:r>
    </w:p>
    <w:p w:rsidR="005E2888" w:rsidRDefault="005E2888" w:rsidP="005E2888">
      <w:pPr>
        <w:pStyle w:val="AERrevisionbox"/>
      </w:pPr>
      <w:r>
        <w:rPr>
          <w:b/>
          <w:bCs/>
        </w:rPr>
        <w:t xml:space="preserve">Revision 6.1: </w:t>
      </w:r>
      <w:r>
        <w:t xml:space="preserve">Make all necessary amendments to reflect our draft decision on conforming capex for 2010–16, as set out in </w:t>
      </w:r>
      <w:r>
        <w:fldChar w:fldCharType="begin"/>
      </w:r>
      <w:r>
        <w:instrText xml:space="preserve"> REF _Ref404334270 \h  \* MERGEFORMAT </w:instrText>
      </w:r>
      <w:r>
        <w:fldChar w:fldCharType="separate"/>
      </w:r>
      <w:r w:rsidR="00F65E22">
        <w:t xml:space="preserve">Table </w:t>
      </w:r>
      <w:r w:rsidR="00F65E22">
        <w:rPr>
          <w:noProof/>
        </w:rPr>
        <w:t>6.1</w:t>
      </w:r>
      <w:r>
        <w:fldChar w:fldCharType="end"/>
      </w:r>
      <w:r>
        <w:t>.</w:t>
      </w:r>
    </w:p>
    <w:p w:rsidR="005E2888" w:rsidRPr="009D1015" w:rsidRDefault="005E2888" w:rsidP="005E2888">
      <w:pPr>
        <w:pStyle w:val="AERrevisionbox"/>
      </w:pPr>
      <w:r w:rsidRPr="005E2888">
        <w:rPr>
          <w:rStyle w:val="Strong"/>
        </w:rPr>
        <w:t>Revision 6.2:</w:t>
      </w:r>
      <w:r>
        <w:t xml:space="preserve"> Make all necessary amendments to reflect our draft decision on conforming capex for 2016–21, as set out in </w:t>
      </w:r>
      <w:r w:rsidR="00A32F83">
        <w:fldChar w:fldCharType="begin"/>
      </w:r>
      <w:r w:rsidR="00A32F83">
        <w:instrText xml:space="preserve"> REF _Ref404161318 \h </w:instrText>
      </w:r>
      <w:r w:rsidR="00A32F83">
        <w:fldChar w:fldCharType="separate"/>
      </w:r>
      <w:r w:rsidR="00A32F83">
        <w:t xml:space="preserve">Table </w:t>
      </w:r>
      <w:r w:rsidR="00A32F83">
        <w:rPr>
          <w:noProof/>
        </w:rPr>
        <w:t>6</w:t>
      </w:r>
      <w:r w:rsidR="00A32F83">
        <w:t>.</w:t>
      </w:r>
      <w:r w:rsidR="00A32F83">
        <w:rPr>
          <w:noProof/>
        </w:rPr>
        <w:t>3</w:t>
      </w:r>
      <w:r w:rsidR="00A32F83">
        <w:fldChar w:fldCharType="end"/>
      </w:r>
      <w:r w:rsidR="00A32F83">
        <w:t>.</w:t>
      </w:r>
    </w:p>
    <w:sectPr w:rsidR="005E2888" w:rsidRPr="009D1015"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22" w:rsidRPr="00290C63" w:rsidRDefault="00F65E22" w:rsidP="00290C63">
      <w:r>
        <w:separator/>
      </w:r>
    </w:p>
    <w:p w:rsidR="00F65E22" w:rsidRDefault="00F65E22"/>
  </w:endnote>
  <w:endnote w:type="continuationSeparator" w:id="0">
    <w:p w:rsidR="00F65E22" w:rsidRPr="00290C63" w:rsidRDefault="00F65E22" w:rsidP="00290C63">
      <w:r>
        <w:continuationSeparator/>
      </w:r>
    </w:p>
    <w:p w:rsidR="00F65E22" w:rsidRDefault="00F6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22" w:rsidRDefault="00F65E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65E22" w:rsidRDefault="00F65E22">
    <w:pPr>
      <w:pStyle w:val="Footer"/>
    </w:pPr>
  </w:p>
  <w:p w:rsidR="00F65E22" w:rsidRDefault="00F65E22">
    <w:pPr>
      <w:pStyle w:val="Footer"/>
    </w:pPr>
    <w:r>
      <w:fldChar w:fldCharType="begin"/>
    </w:r>
    <w:r>
      <w:instrText xml:space="preserve"> DOCPROPERTY DocumentID \* MERGEFORMAT </w:instrText>
    </w:r>
    <w:bookmarkStart w:id="48" w:name="_GoBack"/>
    <w:bookmarkEnd w:id="48"/>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65E22" w:rsidRPr="00CA52A2" w:rsidRDefault="00F65E22" w:rsidP="00CA52A2">
        <w:pPr>
          <w:pStyle w:val="Footer"/>
        </w:pPr>
        <w:r w:rsidRPr="00CA52A2">
          <w:fldChar w:fldCharType="begin"/>
        </w:r>
        <w:r>
          <w:instrText xml:space="preserve"> PAGE   \* MERGEFORMAT </w:instrText>
        </w:r>
        <w:r w:rsidRPr="00CA52A2">
          <w:fldChar w:fldCharType="separate"/>
        </w:r>
        <w:r w:rsidR="001A03F4">
          <w:rPr>
            <w:noProof/>
          </w:rPr>
          <w:t>6-23</w:t>
        </w:r>
        <w:r w:rsidRPr="00CA52A2">
          <w:fldChar w:fldCharType="end"/>
        </w:r>
        <w:r w:rsidRPr="00CA52A2">
          <w:t xml:space="preserve">          Attachment </w:t>
        </w:r>
        <w:r>
          <w:t xml:space="preserve">6 </w:t>
        </w:r>
        <w:r w:rsidRPr="00CA52A2">
          <w:t xml:space="preserve">– </w:t>
        </w:r>
        <w:r>
          <w:t xml:space="preserve">Capital expenditure </w:t>
        </w:r>
        <w:r w:rsidRPr="00CA52A2">
          <w:t xml:space="preserve">| </w:t>
        </w:r>
        <w:r>
          <w:t>Draft decision: Amadeus Gas Pipeline Access Arrangement 2016</w:t>
        </w:r>
        <w:r w:rsidRPr="00CA52A2">
          <w:t>–</w:t>
        </w:r>
        <w:r>
          <w:t>21</w:t>
        </w:r>
      </w:p>
    </w:sdtContent>
  </w:sdt>
  <w:p w:rsidR="00F65E22" w:rsidRDefault="00F65E22">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61" w:rsidRDefault="0048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22" w:rsidRPr="00290C63" w:rsidRDefault="00F65E22" w:rsidP="00290C63">
      <w:r>
        <w:separator/>
      </w:r>
    </w:p>
    <w:p w:rsidR="00F65E22" w:rsidRDefault="00F65E22"/>
  </w:footnote>
  <w:footnote w:type="continuationSeparator" w:id="0">
    <w:p w:rsidR="00F65E22" w:rsidRPr="00290C63" w:rsidRDefault="00F65E22" w:rsidP="00290C63">
      <w:r>
        <w:continuationSeparator/>
      </w:r>
    </w:p>
    <w:p w:rsidR="00F65E22" w:rsidRDefault="00F65E22"/>
  </w:footnote>
  <w:footnote w:id="1">
    <w:p w:rsidR="00F65E22" w:rsidRDefault="00F65E22">
      <w:pPr>
        <w:pStyle w:val="FootnoteText"/>
      </w:pPr>
      <w:r>
        <w:rPr>
          <w:rStyle w:val="FootnoteReference"/>
        </w:rPr>
        <w:footnoteRef/>
      </w:r>
      <w:r>
        <w:t xml:space="preserve"> </w:t>
      </w:r>
      <w:r>
        <w:tab/>
        <w:t>NGR, r. 79(1)(a).</w:t>
      </w:r>
    </w:p>
  </w:footnote>
  <w:footnote w:id="2">
    <w:p w:rsidR="00F65E22" w:rsidRPr="00F9442F" w:rsidRDefault="00F65E22">
      <w:pPr>
        <w:pStyle w:val="FootnoteText"/>
      </w:pPr>
      <w:r>
        <w:rPr>
          <w:rStyle w:val="FootnoteReference"/>
        </w:rPr>
        <w:footnoteRef/>
      </w:r>
      <w:r>
        <w:t xml:space="preserve"> </w:t>
      </w:r>
      <w:r>
        <w:tab/>
      </w:r>
      <w:r w:rsidRPr="00F9442F">
        <w:t xml:space="preserve">APTNT, </w:t>
      </w:r>
      <w:r w:rsidRPr="00F9442F">
        <w:rPr>
          <w:rStyle w:val="AERtextitalic"/>
        </w:rPr>
        <w:t>Access arrangement information</w:t>
      </w:r>
      <w:r w:rsidRPr="00F9442F">
        <w:t>, August 2015, p. 3.</w:t>
      </w:r>
    </w:p>
  </w:footnote>
  <w:footnote w:id="3">
    <w:p w:rsidR="00F65E22" w:rsidRDefault="00F65E22">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p. 88</w:t>
      </w:r>
      <w:r w:rsidRPr="00DE44F6">
        <w:t>.</w:t>
      </w:r>
    </w:p>
  </w:footnote>
  <w:footnote w:id="4">
    <w:p w:rsidR="00F65E22" w:rsidRDefault="00F65E22" w:rsidP="002C5A50">
      <w:pPr>
        <w:pStyle w:val="FootnoteText"/>
      </w:pPr>
      <w:r>
        <w:rPr>
          <w:rStyle w:val="FootnoteReference"/>
        </w:rPr>
        <w:footnoteRef/>
      </w:r>
      <w:r>
        <w:t xml:space="preserve"> </w:t>
      </w:r>
      <w:r>
        <w:tab/>
        <w:t>NGR, r. 77(2)(b).</w:t>
      </w:r>
    </w:p>
  </w:footnote>
  <w:footnote w:id="5">
    <w:p w:rsidR="00F65E22" w:rsidRDefault="00F65E22" w:rsidP="002C5A50">
      <w:pPr>
        <w:pStyle w:val="FootnoteText"/>
      </w:pPr>
      <w:r>
        <w:rPr>
          <w:rStyle w:val="FootnoteReference"/>
        </w:rPr>
        <w:footnoteRef/>
      </w:r>
      <w:r>
        <w:t xml:space="preserve"> </w:t>
      </w:r>
      <w:r>
        <w:tab/>
        <w:t>NGR, r. 79.</w:t>
      </w:r>
    </w:p>
  </w:footnote>
  <w:footnote w:id="6">
    <w:p w:rsidR="00F65E22" w:rsidRDefault="00F65E22" w:rsidP="00D137F0">
      <w:pPr>
        <w:pStyle w:val="FootnoteText"/>
      </w:pPr>
      <w:r>
        <w:rPr>
          <w:rStyle w:val="FootnoteReference"/>
        </w:rPr>
        <w:footnoteRef/>
      </w:r>
      <w:r>
        <w:t xml:space="preserve"> </w:t>
      </w:r>
      <w:r>
        <w:tab/>
        <w:t>NGR, r. 79(6).</w:t>
      </w:r>
    </w:p>
  </w:footnote>
  <w:footnote w:id="7">
    <w:p w:rsidR="00F65E22" w:rsidRDefault="00F65E22" w:rsidP="00D137F0">
      <w:pPr>
        <w:pStyle w:val="FootnoteText"/>
      </w:pPr>
      <w:r>
        <w:rPr>
          <w:rStyle w:val="FootnoteReference"/>
        </w:rPr>
        <w:footnoteRef/>
      </w:r>
      <w:r>
        <w:t xml:space="preserve"> </w:t>
      </w:r>
      <w:r>
        <w:tab/>
        <w:t>NGR, r. 40(2).</w:t>
      </w:r>
    </w:p>
  </w:footnote>
  <w:footnote w:id="8">
    <w:p w:rsidR="00F65E22" w:rsidRDefault="00F65E22" w:rsidP="00C47C15">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amongst</w:t>
      </w:r>
    </w:p>
    <w:p w:rsidR="00F65E22" w:rsidRDefault="00F65E22" w:rsidP="00C47C15">
      <w:pPr>
        <w:pStyle w:val="FootnoteText"/>
      </w:pPr>
      <w:r>
        <w:rPr>
          <w:rFonts w:eastAsia="Calibri"/>
        </w:rPr>
        <w:tab/>
        <w:t>other things.</w:t>
      </w:r>
    </w:p>
  </w:footnote>
  <w:footnote w:id="9">
    <w:p w:rsidR="00F65E22" w:rsidRDefault="00F65E22" w:rsidP="00C47C15">
      <w:pPr>
        <w:pStyle w:val="FootnoteText"/>
      </w:pPr>
      <w:r>
        <w:rPr>
          <w:rStyle w:val="FootnoteReference"/>
        </w:rPr>
        <w:footnoteRef/>
      </w:r>
      <w:r>
        <w:t xml:space="preserve"> </w:t>
      </w:r>
      <w:r>
        <w:tab/>
      </w:r>
      <w:r>
        <w:rPr>
          <w:rFonts w:eastAsia="Calibri"/>
        </w:rPr>
        <w:t>NGL, s. 28(1).</w:t>
      </w:r>
    </w:p>
  </w:footnote>
  <w:footnote w:id="10">
    <w:p w:rsidR="00F65E22" w:rsidRDefault="00F65E22" w:rsidP="00C47C15">
      <w:pPr>
        <w:pStyle w:val="FootnoteText"/>
      </w:pPr>
      <w:r>
        <w:rPr>
          <w:rStyle w:val="FootnoteReference"/>
        </w:rPr>
        <w:footnoteRef/>
      </w:r>
      <w:r>
        <w:t xml:space="preserve"> </w:t>
      </w:r>
      <w:r>
        <w:tab/>
        <w:t>NGR, r. 77(2)(a).</w:t>
      </w:r>
    </w:p>
  </w:footnote>
  <w:footnote w:id="11">
    <w:p w:rsidR="00F65E22" w:rsidRDefault="00F65E22" w:rsidP="00FB7114">
      <w:pPr>
        <w:pStyle w:val="FootnoteText"/>
      </w:pPr>
      <w:r>
        <w:rPr>
          <w:rStyle w:val="FootnoteReference"/>
        </w:rPr>
        <w:footnoteRef/>
      </w:r>
      <w:r>
        <w:t xml:space="preserve"> </w:t>
      </w:r>
      <w:r>
        <w:tab/>
        <w:t>NGR, r. 77(2)(a).</w:t>
      </w:r>
    </w:p>
  </w:footnote>
  <w:footnote w:id="12">
    <w:p w:rsidR="00F65E22" w:rsidRDefault="00F65E22" w:rsidP="00942B45">
      <w:pPr>
        <w:pStyle w:val="FootnoteText"/>
      </w:pPr>
      <w:r>
        <w:rPr>
          <w:rStyle w:val="FootnoteReference"/>
        </w:rPr>
        <w:footnoteRef/>
      </w:r>
      <w:r>
        <w:t xml:space="preserve"> </w:t>
      </w:r>
      <w:r>
        <w:tab/>
        <w:t xml:space="preserve">NGR, rr. 77(2)(b), 79. </w:t>
      </w:r>
    </w:p>
  </w:footnote>
  <w:footnote w:id="13">
    <w:p w:rsidR="00F65E22" w:rsidRDefault="00F65E22" w:rsidP="00942B45">
      <w:pPr>
        <w:pStyle w:val="FootnoteText"/>
      </w:pPr>
      <w:r>
        <w:rPr>
          <w:rStyle w:val="FootnoteReference"/>
        </w:rPr>
        <w:footnoteRef/>
      </w:r>
      <w:r>
        <w:t xml:space="preserve"> </w:t>
      </w:r>
      <w:r>
        <w:tab/>
        <w:t>NGR, r. 77(2)(b).</w:t>
      </w:r>
    </w:p>
  </w:footnote>
  <w:footnote w:id="14">
    <w:p w:rsidR="00F65E22" w:rsidRDefault="00F65E22" w:rsidP="00D76C03">
      <w:pPr>
        <w:pStyle w:val="FootnoteText"/>
      </w:pPr>
      <w:r>
        <w:rPr>
          <w:rStyle w:val="FootnoteReference"/>
        </w:rPr>
        <w:footnoteRef/>
      </w:r>
      <w:r>
        <w:t xml:space="preserve"> </w:t>
      </w:r>
      <w:r>
        <w:tab/>
        <w:t>NGR, rr. 77(2)(a), 79.</w:t>
      </w:r>
    </w:p>
  </w:footnote>
  <w:footnote w:id="15">
    <w:p w:rsidR="00F65E22" w:rsidRDefault="00F65E22" w:rsidP="00802753">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and APTNT,</w:t>
      </w:r>
      <w:r>
        <w:rPr>
          <w:i/>
        </w:rPr>
        <w:t xml:space="preserve"> </w:t>
      </w:r>
      <w:r>
        <w:rPr>
          <w:rStyle w:val="AERtextitalic"/>
        </w:rPr>
        <w:t>Access Arrangement Information</w:t>
      </w:r>
      <w:r>
        <w:t>, August 2015.</w:t>
      </w:r>
    </w:p>
  </w:footnote>
  <w:footnote w:id="16">
    <w:p w:rsidR="00F65E22" w:rsidRDefault="00F65E22" w:rsidP="00215149">
      <w:pPr>
        <w:pStyle w:val="FootnoteText"/>
      </w:pPr>
      <w:r>
        <w:rPr>
          <w:rStyle w:val="FootnoteReference"/>
        </w:rPr>
        <w:footnoteRef/>
      </w:r>
      <w:r>
        <w:t xml:space="preserve"> </w:t>
      </w:r>
      <w:r>
        <w:tab/>
        <w:t xml:space="preserve">APTNT, </w:t>
      </w:r>
      <w:r>
        <w:rPr>
          <w:i/>
        </w:rPr>
        <w:t xml:space="preserve">Amadeus Gas Pipeline </w:t>
      </w:r>
      <w:r w:rsidRPr="00EE0C06">
        <w:rPr>
          <w:i/>
        </w:rPr>
        <w:t>Asset Management Plan 2016-2020</w:t>
      </w:r>
      <w:r>
        <w:t xml:space="preserve">, August 2015; and APA Group, </w:t>
      </w:r>
      <w:r w:rsidRPr="00215149">
        <w:rPr>
          <w:rStyle w:val="AERtextitalic"/>
        </w:rPr>
        <w:t>Pipeline Integrity Management Plan - Northern Territory APA Group Assets</w:t>
      </w:r>
      <w:r>
        <w:rPr>
          <w:rStyle w:val="AERtextitalic"/>
        </w:rPr>
        <w:t>.</w:t>
      </w:r>
    </w:p>
  </w:footnote>
  <w:footnote w:id="17">
    <w:p w:rsidR="00F65E22" w:rsidRPr="00215149" w:rsidRDefault="00F65E22" w:rsidP="00802753">
      <w:pPr>
        <w:pStyle w:val="FootnoteText"/>
      </w:pPr>
      <w:r>
        <w:rPr>
          <w:rStyle w:val="FootnoteReference"/>
        </w:rPr>
        <w:footnoteRef/>
      </w:r>
      <w:r>
        <w:t xml:space="preserve"> </w:t>
      </w:r>
      <w:r>
        <w:tab/>
        <w:t xml:space="preserve">APTNT, </w:t>
      </w:r>
      <w:r>
        <w:rPr>
          <w:rStyle w:val="AERtextitalic"/>
        </w:rPr>
        <w:t>Amadeus Gas Pipeline AA Final RIN – 2016</w:t>
      </w:r>
      <w:r>
        <w:t>, A</w:t>
      </w:r>
      <w:r w:rsidRPr="00215149">
        <w:t>ugust 2015.</w:t>
      </w:r>
    </w:p>
  </w:footnote>
  <w:footnote w:id="18">
    <w:p w:rsidR="00F65E22" w:rsidRDefault="00F65E22" w:rsidP="00802753">
      <w:pPr>
        <w:pStyle w:val="FootnoteText"/>
      </w:pPr>
      <w:r>
        <w:rPr>
          <w:rStyle w:val="FootnoteReference"/>
        </w:rPr>
        <w:footnoteRef/>
      </w:r>
      <w:r>
        <w:t xml:space="preserve"> </w:t>
      </w:r>
      <w:r>
        <w:tab/>
        <w:t xml:space="preserve">APTNT, </w:t>
      </w:r>
      <w:r w:rsidRPr="00215149">
        <w:rPr>
          <w:rStyle w:val="AERtextitalic"/>
        </w:rPr>
        <w:t>Attachment B-6 Supporting model - Capital expenditure</w:t>
      </w:r>
      <w:r>
        <w:t xml:space="preserve">, </w:t>
      </w:r>
      <w:r w:rsidRPr="00B222AF">
        <w:t>August 2015</w:t>
      </w:r>
      <w:r>
        <w:t>.</w:t>
      </w:r>
    </w:p>
  </w:footnote>
  <w:footnote w:id="19">
    <w:p w:rsidR="00F65E22" w:rsidRPr="008C0E4B" w:rsidRDefault="00F65E22" w:rsidP="008C0E4B">
      <w:pPr>
        <w:pStyle w:val="FootnoteText"/>
      </w:pPr>
      <w:r>
        <w:rPr>
          <w:rStyle w:val="FootnoteReference"/>
        </w:rPr>
        <w:footnoteRef/>
      </w:r>
      <w:r>
        <w:t xml:space="preserve"> </w:t>
      </w:r>
      <w:r>
        <w:tab/>
        <w:t xml:space="preserve">Sleeman Consulting, </w:t>
      </w:r>
      <w:r w:rsidRPr="00DF6C22">
        <w:rPr>
          <w:rStyle w:val="AERtextitalic"/>
        </w:rPr>
        <w:t>Review of Actual and Forecast Capex for Selected Projects</w:t>
      </w:r>
      <w:r>
        <w:t xml:space="preserve">, 22 September 2015. </w:t>
      </w:r>
      <w:r w:rsidRPr="008C0E4B">
        <w:t xml:space="preserve">We engaged an engineering consultant, Sleeman Consulting, to provide specialist technical advice on the need, timing and cost for selected projects over both the 2011–16 access arrangement period and the </w:t>
      </w:r>
      <w:r>
        <w:t>2016–21</w:t>
      </w:r>
      <w:r w:rsidRPr="008C0E4B">
        <w:t xml:space="preserve"> access arrangement period.</w:t>
      </w:r>
    </w:p>
    <w:p w:rsidR="00F65E22" w:rsidRDefault="00F65E22" w:rsidP="00802753">
      <w:pPr>
        <w:pStyle w:val="FootnoteText"/>
      </w:pPr>
    </w:p>
  </w:footnote>
  <w:footnote w:id="20">
    <w:p w:rsidR="00F65E22" w:rsidRDefault="00F65E22">
      <w:pPr>
        <w:pStyle w:val="FootnoteText"/>
      </w:pPr>
      <w:r>
        <w:rPr>
          <w:rStyle w:val="FootnoteReference"/>
        </w:rPr>
        <w:footnoteRef/>
      </w:r>
      <w:r>
        <w:t xml:space="preserve"> </w:t>
      </w:r>
      <w:r>
        <w:tab/>
        <w:t>NGR, r. 79(1)(a).</w:t>
      </w:r>
    </w:p>
  </w:footnote>
  <w:footnote w:id="21">
    <w:p w:rsidR="00F65E22" w:rsidRDefault="00F65E22">
      <w:pPr>
        <w:pStyle w:val="FootnoteText"/>
      </w:pPr>
      <w:r>
        <w:rPr>
          <w:rStyle w:val="FootnoteReference"/>
        </w:rPr>
        <w:footnoteRef/>
      </w:r>
      <w:r>
        <w:t xml:space="preserve"> </w:t>
      </w:r>
      <w:r>
        <w:tab/>
        <w:t>NGR, r. 74(2).</w:t>
      </w:r>
    </w:p>
  </w:footnote>
  <w:footnote w:id="22">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87</w:t>
      </w:r>
      <w:r w:rsidRPr="00DE44F6">
        <w:t>.</w:t>
      </w:r>
    </w:p>
  </w:footnote>
  <w:footnote w:id="23">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pp. 61</w:t>
      </w:r>
      <w:r>
        <w:noBreakHyphen/>
        <w:t>62</w:t>
      </w:r>
      <w:r w:rsidRPr="00DE44F6">
        <w:t>.</w:t>
      </w:r>
    </w:p>
  </w:footnote>
  <w:footnote w:id="24">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62</w:t>
      </w:r>
      <w:r w:rsidRPr="00DE44F6">
        <w:t>.</w:t>
      </w:r>
    </w:p>
  </w:footnote>
  <w:footnote w:id="25">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62</w:t>
      </w:r>
      <w:r w:rsidRPr="00DE44F6">
        <w:t>.</w:t>
      </w:r>
    </w:p>
  </w:footnote>
  <w:footnote w:id="26">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87</w:t>
      </w:r>
      <w:r w:rsidRPr="00DE44F6">
        <w:t>.</w:t>
      </w:r>
    </w:p>
  </w:footnote>
  <w:footnote w:id="27">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87</w:t>
      </w:r>
      <w:r w:rsidRPr="00DE44F6">
        <w:t>.</w:t>
      </w:r>
    </w:p>
  </w:footnote>
  <w:footnote w:id="28">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63</w:t>
      </w:r>
      <w:r w:rsidRPr="00DE44F6">
        <w:t>.</w:t>
      </w:r>
    </w:p>
  </w:footnote>
  <w:footnote w:id="29">
    <w:p w:rsidR="00F65E22" w:rsidRDefault="00F65E22" w:rsidP="00FF31F7">
      <w:pPr>
        <w:pStyle w:val="FootnoteText"/>
      </w:pPr>
      <w:r>
        <w:rPr>
          <w:rStyle w:val="FootnoteReference"/>
        </w:rPr>
        <w:footnoteRef/>
      </w:r>
      <w:r>
        <w:t xml:space="preserve"> </w:t>
      </w:r>
      <w:r>
        <w:tab/>
        <w:t>NGR, rr. 79(1)(a), 79(2)(c).</w:t>
      </w:r>
    </w:p>
  </w:footnote>
  <w:footnote w:id="30">
    <w:p w:rsidR="00F65E22" w:rsidRDefault="00F65E22" w:rsidP="00FF31F7">
      <w:pPr>
        <w:pStyle w:val="FootnoteText"/>
      </w:pPr>
      <w:r>
        <w:rPr>
          <w:rStyle w:val="FootnoteReference"/>
        </w:rPr>
        <w:footnoteRef/>
      </w:r>
      <w:r>
        <w:t xml:space="preserve"> </w:t>
      </w:r>
      <w:r>
        <w:tab/>
        <w:t>With the exception of labour cost escalation as discussed below.</w:t>
      </w:r>
    </w:p>
  </w:footnote>
  <w:footnote w:id="31">
    <w:p w:rsidR="00F65E22" w:rsidRDefault="00F65E22">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pp. 66 and 71</w:t>
      </w:r>
      <w:r w:rsidRPr="00DE44F6">
        <w:t>.</w:t>
      </w:r>
    </w:p>
  </w:footnote>
  <w:footnote w:id="32">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71</w:t>
      </w:r>
      <w:r w:rsidRPr="00DE44F6">
        <w:t>.</w:t>
      </w:r>
    </w:p>
  </w:footnote>
  <w:footnote w:id="33">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xml:space="preserve">, </w:t>
      </w:r>
      <w:r w:rsidRPr="0085335B">
        <w:t>August 2015, p. 71.</w:t>
      </w:r>
    </w:p>
  </w:footnote>
  <w:footnote w:id="34">
    <w:p w:rsidR="00F65E22" w:rsidRDefault="00F65E22" w:rsidP="00FF31F7">
      <w:pPr>
        <w:pStyle w:val="FootnoteText"/>
      </w:pPr>
      <w:r>
        <w:rPr>
          <w:rStyle w:val="FootnoteReference"/>
        </w:rPr>
        <w:footnoteRef/>
      </w:r>
      <w:r>
        <w:t xml:space="preserve"> </w:t>
      </w:r>
      <w:r>
        <w:tab/>
        <w:t xml:space="preserve">Sleeman Consulting, </w:t>
      </w:r>
      <w:r w:rsidRPr="00031721">
        <w:rPr>
          <w:rStyle w:val="AERtextitalic"/>
        </w:rPr>
        <w:t>Review of Actual and Forecast Capex for Selected Projects</w:t>
      </w:r>
      <w:r>
        <w:t>, 22 September 2015, pp. 5–7.</w:t>
      </w:r>
    </w:p>
  </w:footnote>
  <w:footnote w:id="35">
    <w:p w:rsidR="00F65E22" w:rsidRDefault="00F65E22">
      <w:pPr>
        <w:pStyle w:val="FootnoteText"/>
      </w:pPr>
      <w:r>
        <w:rPr>
          <w:rStyle w:val="FootnoteReference"/>
        </w:rPr>
        <w:footnoteRef/>
      </w:r>
      <w:r>
        <w:t xml:space="preserve"> </w:t>
      </w:r>
      <w:r>
        <w:tab/>
        <w:t>The term ‘pigging’ refers to the internal inspection of a pipeline using an inline inspection tool.</w:t>
      </w:r>
    </w:p>
  </w:footnote>
  <w:footnote w:id="36">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pp. 65–66</w:t>
      </w:r>
      <w:r w:rsidRPr="00DE44F6">
        <w:t>.</w:t>
      </w:r>
    </w:p>
  </w:footnote>
  <w:footnote w:id="37">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xml:space="preserve">, </w:t>
      </w:r>
      <w:r w:rsidRPr="00D74D3B">
        <w:t>August 2015, p. 66.</w:t>
      </w:r>
    </w:p>
  </w:footnote>
  <w:footnote w:id="38">
    <w:p w:rsidR="00F65E22" w:rsidRDefault="00F65E22" w:rsidP="00FF31F7">
      <w:pPr>
        <w:pStyle w:val="FootnoteText"/>
      </w:pPr>
      <w:r>
        <w:rPr>
          <w:rStyle w:val="FootnoteReference"/>
        </w:rPr>
        <w:footnoteRef/>
      </w:r>
      <w:r>
        <w:t xml:space="preserve"> </w:t>
      </w:r>
      <w:r>
        <w:tab/>
        <w:t xml:space="preserve">Sleeman Consulting, </w:t>
      </w:r>
      <w:r w:rsidRPr="00031721">
        <w:rPr>
          <w:rStyle w:val="AERtextitalic"/>
        </w:rPr>
        <w:t>Review of Actual and Forecast Capex for Selected Projects</w:t>
      </w:r>
      <w:r>
        <w:t>, 22 September 2015, pp. 3–4.</w:t>
      </w:r>
    </w:p>
  </w:footnote>
  <w:footnote w:id="39">
    <w:p w:rsidR="00F65E22" w:rsidRDefault="00F65E22" w:rsidP="00FF31F7">
      <w:pPr>
        <w:pStyle w:val="FootnoteText"/>
      </w:pPr>
      <w:r>
        <w:rPr>
          <w:rStyle w:val="FootnoteReference"/>
        </w:rPr>
        <w:footnoteRef/>
      </w:r>
      <w:r>
        <w:t xml:space="preserve"> </w:t>
      </w:r>
      <w:r>
        <w:tab/>
        <w:t xml:space="preserve">APTNT, </w:t>
      </w:r>
      <w:r w:rsidRPr="00AB1037">
        <w:rPr>
          <w:rStyle w:val="AERtextitalic"/>
        </w:rPr>
        <w:t>Response to information request AER Amadeus 004</w:t>
      </w:r>
      <w:r>
        <w:t>, 31 August 2015.</w:t>
      </w:r>
    </w:p>
  </w:footnote>
  <w:footnote w:id="40">
    <w:p w:rsidR="00F65E22" w:rsidRDefault="00F65E22" w:rsidP="00325A20">
      <w:pPr>
        <w:pStyle w:val="FootnoteText"/>
      </w:pPr>
      <w:r>
        <w:rPr>
          <w:rStyle w:val="FootnoteReference"/>
        </w:rPr>
        <w:footnoteRef/>
      </w:r>
      <w:r>
        <w:t xml:space="preserve"> </w:t>
      </w:r>
      <w:r>
        <w:tab/>
        <w:t xml:space="preserve">APTNT, </w:t>
      </w:r>
      <w:r w:rsidRPr="00A0424B">
        <w:rPr>
          <w:rStyle w:val="AERtextitalic"/>
        </w:rPr>
        <w:t>Response to information request AER Amadeus 010</w:t>
      </w:r>
      <w:r>
        <w:t>, 9 October 2015, p. 4.</w:t>
      </w:r>
    </w:p>
  </w:footnote>
  <w:footnote w:id="41">
    <w:p w:rsidR="00F65E22" w:rsidRDefault="00F65E22" w:rsidP="00A0424B">
      <w:pPr>
        <w:pStyle w:val="FootnoteText"/>
      </w:pPr>
      <w:r>
        <w:rPr>
          <w:rStyle w:val="FootnoteReference"/>
        </w:rPr>
        <w:footnoteRef/>
      </w:r>
      <w:r>
        <w:t xml:space="preserve"> </w:t>
      </w:r>
      <w:r>
        <w:tab/>
        <w:t>NGR, r. 79(1)(a).</w:t>
      </w:r>
    </w:p>
  </w:footnote>
  <w:footnote w:id="42">
    <w:p w:rsidR="00F65E22" w:rsidRDefault="00F65E22" w:rsidP="00FF31F7">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86</w:t>
      </w:r>
      <w:r w:rsidRPr="00DE44F6">
        <w:t>.</w:t>
      </w:r>
    </w:p>
  </w:footnote>
  <w:footnote w:id="43">
    <w:p w:rsidR="00F65E22" w:rsidRDefault="00F65E22" w:rsidP="00FF31F7">
      <w:pPr>
        <w:pStyle w:val="FootnoteText"/>
      </w:pPr>
      <w:r>
        <w:rPr>
          <w:rStyle w:val="FootnoteReference"/>
        </w:rPr>
        <w:footnoteRef/>
      </w:r>
      <w:r>
        <w:t xml:space="preserve"> </w:t>
      </w:r>
      <w:r>
        <w:tab/>
        <w:t>NGR, r. 79(1)(a).</w:t>
      </w:r>
    </w:p>
  </w:footnote>
  <w:footnote w:id="44">
    <w:p w:rsidR="00F65E22" w:rsidRDefault="00F65E22" w:rsidP="00FF31F7">
      <w:pPr>
        <w:pStyle w:val="FootnoteText"/>
      </w:pPr>
      <w:r>
        <w:rPr>
          <w:rStyle w:val="FootnoteReference"/>
        </w:rPr>
        <w:footnoteRef/>
      </w:r>
      <w:r>
        <w:t xml:space="preserve"> </w:t>
      </w:r>
      <w:r>
        <w:tab/>
      </w:r>
      <w:r w:rsidRPr="00DE44F6">
        <w:t>AER</w:t>
      </w:r>
      <w:r>
        <w:t>,</w:t>
      </w:r>
      <w:r w:rsidRPr="00DE44F6">
        <w:t xml:space="preserve"> </w:t>
      </w:r>
      <w:r w:rsidRPr="003F5252">
        <w:rPr>
          <w:rStyle w:val="AERtextitalic"/>
        </w:rPr>
        <w:t>N.T. Gas Access arrangement proposal for the Amadeus Gas Pipeline 1 August 2011 – 30 June 2016</w:t>
      </w:r>
      <w:r>
        <w:t>, July 2011, p. 49; APTNT</w:t>
      </w:r>
      <w:r w:rsidRPr="00D74D3B">
        <w:t xml:space="preserve">, </w:t>
      </w:r>
      <w:r w:rsidRPr="00D74D3B">
        <w:rPr>
          <w:i/>
        </w:rPr>
        <w:t>Acces</w:t>
      </w:r>
      <w:r>
        <w:rPr>
          <w:i/>
        </w:rPr>
        <w:t>s Arrangement Revision Proposal</w:t>
      </w:r>
      <w:r w:rsidRPr="00D74D3B">
        <w:rPr>
          <w:i/>
        </w:rPr>
        <w:t xml:space="preserve"> Submission</w:t>
      </w:r>
      <w:r w:rsidRPr="00D74D3B">
        <w:t xml:space="preserve">, August 2015, p. </w:t>
      </w:r>
      <w:r>
        <w:t xml:space="preserve">94; and APTNT, </w:t>
      </w:r>
      <w:r w:rsidRPr="005A7405">
        <w:rPr>
          <w:rStyle w:val="AERtextitalic"/>
        </w:rPr>
        <w:t>Attachment B-6 Supporting model - Capital expenditure</w:t>
      </w:r>
      <w:r>
        <w:t xml:space="preserve">, </w:t>
      </w:r>
      <w:r w:rsidRPr="00B222AF">
        <w:t>August 2015</w:t>
      </w:r>
      <w:r>
        <w:t>.</w:t>
      </w:r>
    </w:p>
  </w:footnote>
  <w:footnote w:id="45">
    <w:p w:rsidR="00F65E22" w:rsidRDefault="00F65E22" w:rsidP="00FF31F7">
      <w:pPr>
        <w:pStyle w:val="FootnoteText"/>
      </w:pPr>
      <w:r>
        <w:rPr>
          <w:rStyle w:val="FootnoteReference"/>
        </w:rPr>
        <w:footnoteRef/>
      </w:r>
      <w:r>
        <w:t xml:space="preserve"> </w:t>
      </w:r>
      <w:r>
        <w:tab/>
        <w:t xml:space="preserve">APA Group, </w:t>
      </w:r>
      <w:r w:rsidRPr="00D74D3B">
        <w:rPr>
          <w:i/>
        </w:rPr>
        <w:t>Acces</w:t>
      </w:r>
      <w:r>
        <w:rPr>
          <w:i/>
        </w:rPr>
        <w:t>s Arrangement Revision Proposal Submission</w:t>
      </w:r>
      <w:r w:rsidRPr="005A7405">
        <w:t>,</w:t>
      </w:r>
      <w:r>
        <w:rPr>
          <w:i/>
        </w:rPr>
        <w:t xml:space="preserve"> </w:t>
      </w:r>
      <w:r w:rsidRPr="005A7405">
        <w:t>August 2015, p. 94</w:t>
      </w:r>
      <w:r>
        <w:t xml:space="preserve"> and APTNT, </w:t>
      </w:r>
      <w:r w:rsidRPr="005A7405">
        <w:rPr>
          <w:rStyle w:val="AERtextitalic"/>
        </w:rPr>
        <w:t>Attachment B-6 Supporting model - Capital expenditure</w:t>
      </w:r>
      <w:r>
        <w:t xml:space="preserve">, </w:t>
      </w:r>
      <w:r w:rsidRPr="00B222AF">
        <w:t>August 2015</w:t>
      </w:r>
      <w:r>
        <w:t>.</w:t>
      </w:r>
    </w:p>
  </w:footnote>
  <w:footnote w:id="46">
    <w:p w:rsidR="00F65E22" w:rsidRDefault="00F65E22" w:rsidP="006C48AF">
      <w:pPr>
        <w:pStyle w:val="FootnoteText"/>
      </w:pPr>
      <w:r>
        <w:rPr>
          <w:rStyle w:val="FootnoteReference"/>
        </w:rPr>
        <w:footnoteRef/>
      </w:r>
      <w:r>
        <w:t xml:space="preserve"> </w:t>
      </w:r>
      <w:r>
        <w:tab/>
        <w:t>NGR, rr. 79(1)(a), 79(2)(c).</w:t>
      </w:r>
    </w:p>
  </w:footnote>
  <w:footnote w:id="47">
    <w:p w:rsidR="00F65E22" w:rsidRDefault="00F65E22" w:rsidP="006C48AF">
      <w:pPr>
        <w:pStyle w:val="FootnoteText"/>
      </w:pPr>
      <w:r>
        <w:rPr>
          <w:rStyle w:val="FootnoteReference"/>
        </w:rPr>
        <w:footnoteRef/>
      </w:r>
      <w:r>
        <w:t xml:space="preserve"> </w:t>
      </w:r>
      <w:r>
        <w:tab/>
        <w:t>With the exception of labour cost escalation as discussed below.</w:t>
      </w:r>
    </w:p>
  </w:footnote>
  <w:footnote w:id="48">
    <w:p w:rsidR="00F65E22" w:rsidRDefault="00F65E22">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xml:space="preserve">, August 2015, p. 64; APTNT, </w:t>
      </w:r>
      <w:r>
        <w:rPr>
          <w:i/>
        </w:rPr>
        <w:t xml:space="preserve">Amadeus Gas Pipeline </w:t>
      </w:r>
      <w:r w:rsidRPr="00EE0C06">
        <w:rPr>
          <w:i/>
        </w:rPr>
        <w:t>Asset Management Plan 2016-2020</w:t>
      </w:r>
      <w:r>
        <w:t>, August 2015, Appendix C Item 15.</w:t>
      </w:r>
    </w:p>
  </w:footnote>
  <w:footnote w:id="49">
    <w:p w:rsidR="00F65E22" w:rsidRDefault="00F65E22">
      <w:pPr>
        <w:pStyle w:val="FootnoteText"/>
      </w:pPr>
      <w:r>
        <w:rPr>
          <w:rStyle w:val="FootnoteReference"/>
        </w:rPr>
        <w:footnoteRef/>
      </w:r>
      <w:r>
        <w:t xml:space="preserve"> </w:t>
      </w:r>
      <w:r>
        <w:tab/>
        <w:t xml:space="preserve">APTNT, </w:t>
      </w:r>
      <w:r>
        <w:rPr>
          <w:i/>
        </w:rPr>
        <w:t xml:space="preserve">Amadeus Gas Pipeline </w:t>
      </w:r>
      <w:r w:rsidRPr="00EE0C06">
        <w:rPr>
          <w:i/>
        </w:rPr>
        <w:t>Asset Management Plan 2016-2020</w:t>
      </w:r>
      <w:r>
        <w:t>, August 2015, p. 5.</w:t>
      </w:r>
    </w:p>
  </w:footnote>
  <w:footnote w:id="50">
    <w:p w:rsidR="00F65E22" w:rsidRDefault="00F65E22">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pp. 64–65.</w:t>
      </w:r>
    </w:p>
  </w:footnote>
  <w:footnote w:id="51">
    <w:p w:rsidR="00F65E22" w:rsidRDefault="00F65E22" w:rsidP="006C48AF">
      <w:pPr>
        <w:pStyle w:val="FootnoteText"/>
      </w:pPr>
      <w:r>
        <w:rPr>
          <w:rStyle w:val="FootnoteReference"/>
        </w:rPr>
        <w:footnoteRef/>
      </w:r>
      <w:r>
        <w:t xml:space="preserve"> </w:t>
      </w:r>
      <w:r>
        <w:tab/>
        <w:t xml:space="preserve">Sleeman Consulting, </w:t>
      </w:r>
      <w:r w:rsidRPr="00031721">
        <w:rPr>
          <w:rStyle w:val="AERtextitalic"/>
        </w:rPr>
        <w:t>Review of Actual and Forecast Capex for Selected Projects</w:t>
      </w:r>
      <w:r>
        <w:t>, 22 September 2015, pp. 8–10.</w:t>
      </w:r>
    </w:p>
  </w:footnote>
  <w:footnote w:id="52">
    <w:p w:rsidR="00F65E22" w:rsidRDefault="00F65E22" w:rsidP="006C48AF">
      <w:pPr>
        <w:pStyle w:val="FootnoteText"/>
      </w:pPr>
      <w:r>
        <w:rPr>
          <w:rStyle w:val="FootnoteReference"/>
        </w:rPr>
        <w:footnoteRef/>
      </w:r>
      <w:r>
        <w:t xml:space="preserve"> </w:t>
      </w:r>
      <w:r>
        <w:tab/>
        <w:t xml:space="preserve">AER, </w:t>
      </w:r>
      <w:r w:rsidRPr="00A90FA9">
        <w:rPr>
          <w:rStyle w:val="AERtextitalic"/>
        </w:rPr>
        <w:t>Inf</w:t>
      </w:r>
      <w:r>
        <w:rPr>
          <w:rStyle w:val="AERtextitalic"/>
        </w:rPr>
        <w:t>ormation request AER Amadeus 004</w:t>
      </w:r>
      <w:r>
        <w:t>, 21 August 2015.</w:t>
      </w:r>
    </w:p>
  </w:footnote>
  <w:footnote w:id="53">
    <w:p w:rsidR="00F65E22" w:rsidRDefault="00F65E22">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004</w:t>
      </w:r>
      <w:r>
        <w:t>, 31 August 2015, p. 4</w:t>
      </w:r>
    </w:p>
  </w:footnote>
  <w:footnote w:id="54">
    <w:p w:rsidR="00F65E22" w:rsidRDefault="00F65E22" w:rsidP="006C48AF">
      <w:pPr>
        <w:pStyle w:val="FootnoteText"/>
      </w:pPr>
      <w:r>
        <w:rPr>
          <w:rStyle w:val="FootnoteReference"/>
        </w:rPr>
        <w:footnoteRef/>
      </w:r>
      <w:r>
        <w:t xml:space="preserve"> </w:t>
      </w:r>
      <w:r>
        <w:tab/>
        <w:t>Australian Standard AS2885.3 provides that “where a pipeline (or section of a pipeline) is not capable of being inspected by an inline tool, the Licensee shall consider whether the pipeline needs to be modified to permit inspection by an inline inspection tool. Any decision not to undertake modifications for this purpose shall be consistent with the safety management study and the pipeline integrity management plan, and shall be documented.”</w:t>
      </w:r>
    </w:p>
  </w:footnote>
  <w:footnote w:id="55">
    <w:p w:rsidR="00F65E22" w:rsidRDefault="00F65E22" w:rsidP="006C48AF">
      <w:pPr>
        <w:pStyle w:val="FootnoteText"/>
      </w:pPr>
      <w:r>
        <w:rPr>
          <w:rStyle w:val="FootnoteReference"/>
        </w:rPr>
        <w:footnoteRef/>
      </w:r>
      <w:r>
        <w:t xml:space="preserve"> </w:t>
      </w:r>
      <w:r>
        <w:tab/>
        <w:t>NGR, r. 79(1)(a).</w:t>
      </w:r>
    </w:p>
  </w:footnote>
  <w:footnote w:id="56">
    <w:p w:rsidR="00F65E22" w:rsidRDefault="00F65E22">
      <w:pPr>
        <w:pStyle w:val="FootnoteText"/>
      </w:pPr>
      <w:r>
        <w:rPr>
          <w:rStyle w:val="FootnoteReference"/>
        </w:rPr>
        <w:footnoteRef/>
      </w:r>
      <w:r>
        <w:t xml:space="preserve"> </w:t>
      </w:r>
      <w:r>
        <w:tab/>
        <w:t>Excluding labour cost escalation as discussed below.</w:t>
      </w:r>
    </w:p>
  </w:footnote>
  <w:footnote w:id="57">
    <w:p w:rsidR="00F65E22" w:rsidRDefault="00F65E22" w:rsidP="006C48AF">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86</w:t>
      </w:r>
      <w:r w:rsidRPr="00DE44F6">
        <w:t>.</w:t>
      </w:r>
    </w:p>
  </w:footnote>
  <w:footnote w:id="58">
    <w:p w:rsidR="00F65E22" w:rsidRDefault="00F65E22" w:rsidP="006C48AF">
      <w:pPr>
        <w:pStyle w:val="FootnoteText"/>
      </w:pPr>
      <w:r>
        <w:rPr>
          <w:rStyle w:val="FootnoteReference"/>
        </w:rPr>
        <w:footnoteRef/>
      </w:r>
      <w:r>
        <w:t xml:space="preserve"> </w:t>
      </w:r>
      <w:r>
        <w:tab/>
        <w:t xml:space="preserve">APTNT, </w:t>
      </w:r>
      <w:r>
        <w:rPr>
          <w:i/>
        </w:rPr>
        <w:t xml:space="preserve">Amadeus Gas Pipeline </w:t>
      </w:r>
      <w:r w:rsidRPr="00EE0C06">
        <w:rPr>
          <w:i/>
        </w:rPr>
        <w:t>Asset Management Plan 2016-2020</w:t>
      </w:r>
      <w:r>
        <w:t>, August 2015, Appendix C Item 25.</w:t>
      </w:r>
    </w:p>
  </w:footnote>
  <w:footnote w:id="59">
    <w:p w:rsidR="00F65E22" w:rsidRDefault="00F65E22" w:rsidP="006C48AF">
      <w:pPr>
        <w:pStyle w:val="FootnoteText"/>
      </w:pPr>
      <w:r>
        <w:rPr>
          <w:rStyle w:val="FootnoteReference"/>
        </w:rPr>
        <w:footnoteRef/>
      </w:r>
      <w:r>
        <w:t xml:space="preserve"> </w:t>
      </w:r>
      <w:r>
        <w:tab/>
        <w:t xml:space="preserve">AER, </w:t>
      </w:r>
      <w:r w:rsidRPr="00031721">
        <w:rPr>
          <w:rStyle w:val="AERtextitalic"/>
        </w:rPr>
        <w:t>Information request AER Amadeus 010</w:t>
      </w:r>
      <w:r>
        <w:t>, 28 September 2015.</w:t>
      </w:r>
    </w:p>
  </w:footnote>
  <w:footnote w:id="60">
    <w:p w:rsidR="00F65E22" w:rsidRDefault="00F65E22" w:rsidP="006C48AF">
      <w:pPr>
        <w:pStyle w:val="FootnoteText"/>
      </w:pPr>
      <w:r>
        <w:rPr>
          <w:rStyle w:val="FootnoteReference"/>
        </w:rPr>
        <w:footnoteRef/>
      </w:r>
      <w:r>
        <w:t xml:space="preserve"> </w:t>
      </w:r>
      <w:r>
        <w:tab/>
        <w:t xml:space="preserve">APTNT, </w:t>
      </w:r>
      <w:r w:rsidRPr="00B16798">
        <w:rPr>
          <w:i/>
        </w:rPr>
        <w:t xml:space="preserve">Access Arrangement </w:t>
      </w:r>
      <w:r>
        <w:rPr>
          <w:i/>
        </w:rPr>
        <w:t>Revision Proposal Submission</w:t>
      </w:r>
      <w:r>
        <w:t>, August 2015, p. 86</w:t>
      </w:r>
      <w:r w:rsidRPr="00DE44F6">
        <w:t>.</w:t>
      </w:r>
    </w:p>
  </w:footnote>
  <w:footnote w:id="61">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 p. 1.</w:t>
      </w:r>
    </w:p>
  </w:footnote>
  <w:footnote w:id="62">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 p. 1.</w:t>
      </w:r>
    </w:p>
  </w:footnote>
  <w:footnote w:id="63">
    <w:p w:rsidR="00F65E22" w:rsidRDefault="00F65E22">
      <w:pPr>
        <w:pStyle w:val="FootnoteText"/>
      </w:pPr>
      <w:r>
        <w:rPr>
          <w:rStyle w:val="FootnoteReference"/>
        </w:rPr>
        <w:footnoteRef/>
      </w:r>
      <w:r>
        <w:t xml:space="preserve"> </w:t>
      </w:r>
      <w:r>
        <w:tab/>
        <w:t xml:space="preserve">For example, Ergon Energy, </w:t>
      </w:r>
      <w:r w:rsidRPr="00AB1037">
        <w:rPr>
          <w:rStyle w:val="AERtextitalic"/>
        </w:rPr>
        <w:t>Fleet asset management strategy 2015-2020</w:t>
      </w:r>
      <w:r>
        <w:t>, May 2015.</w:t>
      </w:r>
    </w:p>
  </w:footnote>
  <w:footnote w:id="64">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 p. 2.</w:t>
      </w:r>
    </w:p>
  </w:footnote>
  <w:footnote w:id="65">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 pp. 2</w:t>
      </w:r>
      <w:r>
        <w:noBreakHyphen/>
        <w:t>3.</w:t>
      </w:r>
    </w:p>
  </w:footnote>
  <w:footnote w:id="66">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 p. 2.</w:t>
      </w:r>
    </w:p>
  </w:footnote>
  <w:footnote w:id="67">
    <w:p w:rsidR="00F65E22" w:rsidRDefault="00F65E22" w:rsidP="006C48AF">
      <w:pPr>
        <w:pStyle w:val="FootnoteText"/>
      </w:pPr>
      <w:r>
        <w:rPr>
          <w:rStyle w:val="FootnoteReference"/>
        </w:rPr>
        <w:footnoteRef/>
      </w:r>
      <w:r>
        <w:t xml:space="preserve"> </w:t>
      </w:r>
      <w:r>
        <w:tab/>
        <w:t>NGR, r. 79(1)(a).</w:t>
      </w:r>
    </w:p>
  </w:footnote>
  <w:footnote w:id="68">
    <w:p w:rsidR="00F65E22" w:rsidRDefault="00F65E22" w:rsidP="006C48AF">
      <w:pPr>
        <w:pStyle w:val="FootnoteText"/>
      </w:pPr>
      <w:r>
        <w:rPr>
          <w:rStyle w:val="FootnoteReference"/>
        </w:rPr>
        <w:footnoteRef/>
      </w:r>
      <w:r>
        <w:t xml:space="preserve"> </w:t>
      </w:r>
      <w:r>
        <w:tab/>
        <w:t xml:space="preserve">AER, </w:t>
      </w:r>
      <w:r w:rsidRPr="002F1913">
        <w:rPr>
          <w:rStyle w:val="AERtextitalic"/>
        </w:rPr>
        <w:t>Infor</w:t>
      </w:r>
      <w:r>
        <w:rPr>
          <w:rStyle w:val="AERtextitalic"/>
        </w:rPr>
        <w:t>mation request AER Amadeus 010</w:t>
      </w:r>
      <w:r>
        <w:t>, 28 September 2015.</w:t>
      </w:r>
    </w:p>
  </w:footnote>
  <w:footnote w:id="69">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w:t>
      </w:r>
    </w:p>
  </w:footnote>
  <w:footnote w:id="70">
    <w:p w:rsidR="00F65E22" w:rsidRDefault="00F65E22" w:rsidP="006C48AF">
      <w:pPr>
        <w:pStyle w:val="FootnoteText"/>
      </w:pPr>
      <w:r>
        <w:rPr>
          <w:rStyle w:val="FootnoteReference"/>
        </w:rPr>
        <w:footnoteRef/>
      </w:r>
      <w:r>
        <w:t xml:space="preserve"> </w:t>
      </w:r>
      <w:r>
        <w:tab/>
      </w:r>
      <w:proofErr w:type="gramStart"/>
      <w:r>
        <w:t xml:space="preserve">APTNT, </w:t>
      </w:r>
      <w:r w:rsidRPr="00031721">
        <w:rPr>
          <w:rStyle w:val="AERtextitalic"/>
        </w:rPr>
        <w:t xml:space="preserve">Access arrangement revision </w:t>
      </w:r>
      <w:r>
        <w:rPr>
          <w:rStyle w:val="AERtextitalic"/>
        </w:rPr>
        <w:t xml:space="preserve">proposal </w:t>
      </w:r>
      <w:r w:rsidRPr="00031721">
        <w:rPr>
          <w:rStyle w:val="AERtextitalic"/>
        </w:rPr>
        <w:t>submission</w:t>
      </w:r>
      <w:r>
        <w:t>, August 2015, pp. 86</w:t>
      </w:r>
      <w:r>
        <w:noBreakHyphen/>
        <w:t>87.</w:t>
      </w:r>
      <w:proofErr w:type="gramEnd"/>
    </w:p>
  </w:footnote>
  <w:footnote w:id="71">
    <w:p w:rsidR="00F65E22" w:rsidRDefault="00F65E22" w:rsidP="006C48AF">
      <w:pPr>
        <w:pStyle w:val="FootnoteText"/>
      </w:pPr>
      <w:r>
        <w:rPr>
          <w:rStyle w:val="FootnoteReference"/>
        </w:rPr>
        <w:footnoteRef/>
      </w:r>
      <w:r>
        <w:t xml:space="preserve"> </w:t>
      </w:r>
      <w:r>
        <w:tab/>
        <w:t xml:space="preserve">APTNT, </w:t>
      </w:r>
      <w:r>
        <w:rPr>
          <w:rStyle w:val="AERtextitalic"/>
        </w:rPr>
        <w:t>Business case – Palmerston office facility building</w:t>
      </w:r>
      <w:r>
        <w:t>, October 2015, p. 2.</w:t>
      </w:r>
    </w:p>
  </w:footnote>
  <w:footnote w:id="72">
    <w:p w:rsidR="00F65E22" w:rsidRDefault="00F65E22" w:rsidP="006C48AF">
      <w:pPr>
        <w:pStyle w:val="FootnoteText"/>
      </w:pPr>
      <w:r>
        <w:rPr>
          <w:rStyle w:val="FootnoteReference"/>
        </w:rPr>
        <w:footnoteRef/>
      </w:r>
      <w:r>
        <w:t xml:space="preserve"> </w:t>
      </w:r>
      <w:r>
        <w:tab/>
        <w:t xml:space="preserve">APTNT, </w:t>
      </w:r>
      <w:r>
        <w:rPr>
          <w:rStyle w:val="AERtextitalic"/>
        </w:rPr>
        <w:t>Business case – Palmerston office facility building</w:t>
      </w:r>
      <w:r>
        <w:t>, October 2015, p. 6.</w:t>
      </w:r>
    </w:p>
  </w:footnote>
  <w:footnote w:id="73">
    <w:p w:rsidR="00F65E22" w:rsidRDefault="00F65E22" w:rsidP="006C48AF">
      <w:pPr>
        <w:pStyle w:val="FootnoteText"/>
      </w:pPr>
      <w:r>
        <w:rPr>
          <w:rStyle w:val="FootnoteReference"/>
        </w:rPr>
        <w:footnoteRef/>
      </w:r>
      <w:r>
        <w:t xml:space="preserve"> </w:t>
      </w:r>
      <w:r>
        <w:tab/>
        <w:t xml:space="preserve">APTNT, </w:t>
      </w:r>
      <w:r w:rsidRPr="00A90FA9">
        <w:rPr>
          <w:rStyle w:val="AERtextitalic"/>
        </w:rPr>
        <w:t xml:space="preserve">Access arrangement revision </w:t>
      </w:r>
      <w:r>
        <w:rPr>
          <w:rStyle w:val="AERtextitalic"/>
        </w:rPr>
        <w:t xml:space="preserve">proposal </w:t>
      </w:r>
      <w:r w:rsidRPr="00A90FA9">
        <w:rPr>
          <w:rStyle w:val="AERtextitalic"/>
        </w:rPr>
        <w:t>submission</w:t>
      </w:r>
      <w:r>
        <w:t>, August 2015, pp. 86</w:t>
      </w:r>
      <w:r>
        <w:noBreakHyphen/>
        <w:t xml:space="preserve">87; and APTNT, </w:t>
      </w:r>
      <w:r w:rsidRPr="00031721">
        <w:rPr>
          <w:rStyle w:val="AERtextitalic"/>
        </w:rPr>
        <w:t>Amadeus Gas Pipeline Asset Management Plan 2016–2020</w:t>
      </w:r>
      <w:r>
        <w:t>, 27 July 2015, Appendix C - Item 26.</w:t>
      </w:r>
    </w:p>
  </w:footnote>
  <w:footnote w:id="74">
    <w:p w:rsidR="00F65E22" w:rsidRDefault="00F65E22" w:rsidP="006C48AF">
      <w:pPr>
        <w:pStyle w:val="FootnoteText"/>
      </w:pPr>
      <w:r>
        <w:rPr>
          <w:rStyle w:val="FootnoteReference"/>
        </w:rPr>
        <w:footnoteRef/>
      </w:r>
      <w:r>
        <w:t xml:space="preserve"> </w:t>
      </w:r>
      <w:r>
        <w:tab/>
        <w:t xml:space="preserve">AER, </w:t>
      </w:r>
      <w:r>
        <w:rPr>
          <w:rStyle w:val="AERtextitalic"/>
        </w:rPr>
        <w:t>Information request AER Amadeus</w:t>
      </w:r>
      <w:r w:rsidRPr="004F30AB">
        <w:rPr>
          <w:rStyle w:val="AERtextitalic"/>
        </w:rPr>
        <w:t xml:space="preserve"> </w:t>
      </w:r>
      <w:r>
        <w:rPr>
          <w:rStyle w:val="AERtextitalic"/>
        </w:rPr>
        <w:t>010</w:t>
      </w:r>
      <w:r>
        <w:t>, 28 September 2015.</w:t>
      </w:r>
    </w:p>
  </w:footnote>
  <w:footnote w:id="75">
    <w:p w:rsidR="00F65E22" w:rsidRDefault="00F65E22">
      <w:pPr>
        <w:pStyle w:val="FootnoteText"/>
      </w:pPr>
      <w:r>
        <w:rPr>
          <w:rStyle w:val="FootnoteReference"/>
        </w:rPr>
        <w:footnoteRef/>
      </w:r>
      <w:r>
        <w:t xml:space="preserve"> </w:t>
      </w:r>
      <w:r>
        <w:tab/>
        <w:t xml:space="preserve">APTNT, </w:t>
      </w:r>
      <w:r>
        <w:rPr>
          <w:rStyle w:val="AERtextitalic"/>
        </w:rPr>
        <w:t>Business case – Palmerston office facility building</w:t>
      </w:r>
      <w:r>
        <w:t>, October 2015.</w:t>
      </w:r>
    </w:p>
  </w:footnote>
  <w:footnote w:id="76">
    <w:p w:rsidR="00F65E22" w:rsidRDefault="00F65E22" w:rsidP="006C48AF">
      <w:pPr>
        <w:pStyle w:val="FootnoteText"/>
      </w:pPr>
      <w:r>
        <w:rPr>
          <w:rStyle w:val="FootnoteReference"/>
        </w:rPr>
        <w:footnoteRef/>
      </w:r>
      <w:r>
        <w:t xml:space="preserve"> </w:t>
      </w:r>
      <w:r>
        <w:tab/>
      </w:r>
      <w:proofErr w:type="gramStart"/>
      <w:r>
        <w:t xml:space="preserve">APTNT, </w:t>
      </w:r>
      <w:r>
        <w:rPr>
          <w:rStyle w:val="AERtextitalic"/>
        </w:rPr>
        <w:t>Business case – Palmerston office facility building</w:t>
      </w:r>
      <w:r>
        <w:t>, October 2015, pp. 4</w:t>
      </w:r>
      <w:r>
        <w:noBreakHyphen/>
        <w:t>5.</w:t>
      </w:r>
      <w:proofErr w:type="gramEnd"/>
    </w:p>
  </w:footnote>
  <w:footnote w:id="77">
    <w:p w:rsidR="00F65E22" w:rsidRDefault="00F65E22">
      <w:pPr>
        <w:pStyle w:val="FootnoteText"/>
      </w:pPr>
      <w:r>
        <w:rPr>
          <w:rStyle w:val="FootnoteReference"/>
        </w:rPr>
        <w:footnoteRef/>
      </w:r>
      <w:r>
        <w:t xml:space="preserve"> </w:t>
      </w:r>
      <w:r>
        <w:tab/>
        <w:t>NGR, r. 79(1)(a).</w:t>
      </w:r>
    </w:p>
  </w:footnote>
  <w:footnote w:id="78">
    <w:p w:rsidR="00F65E22" w:rsidRDefault="00F65E22" w:rsidP="006C48AF">
      <w:pPr>
        <w:pStyle w:val="FootnoteText"/>
      </w:pPr>
      <w:r>
        <w:rPr>
          <w:rStyle w:val="FootnoteReference"/>
        </w:rPr>
        <w:footnoteRef/>
      </w:r>
      <w:r>
        <w:t xml:space="preserve"> </w:t>
      </w:r>
      <w:r>
        <w:tab/>
        <w:t xml:space="preserve">APTNT, </w:t>
      </w:r>
      <w:r w:rsidRPr="00151D2B">
        <w:rPr>
          <w:rStyle w:val="AERtextitalic"/>
        </w:rPr>
        <w:t>Response to information request</w:t>
      </w:r>
      <w:r>
        <w:rPr>
          <w:rStyle w:val="AERtextitalic"/>
        </w:rPr>
        <w:t xml:space="preserve"> AER Amadeus 010</w:t>
      </w:r>
      <w:r>
        <w:t>, 9 October 2015, p. 3.</w:t>
      </w:r>
    </w:p>
  </w:footnote>
  <w:footnote w:id="79">
    <w:p w:rsidR="00F65E22" w:rsidRPr="0001272B" w:rsidRDefault="00F65E22" w:rsidP="006C48AF">
      <w:pPr>
        <w:pStyle w:val="FootnoteText"/>
        <w:rPr>
          <w:i/>
        </w:rPr>
      </w:pPr>
      <w:r>
        <w:rPr>
          <w:rStyle w:val="FootnoteReference"/>
        </w:rPr>
        <w:footnoteRef/>
      </w:r>
      <w:r>
        <w:t xml:space="preserve"> </w:t>
      </w:r>
      <w:r>
        <w:tab/>
        <w:t xml:space="preserve">APTNT, </w:t>
      </w:r>
      <w:r w:rsidRPr="00031721">
        <w:rPr>
          <w:i/>
        </w:rPr>
        <w:t>Access Arrangement Revision Proposal Submission</w:t>
      </w:r>
      <w:r w:rsidRPr="0001272B">
        <w:t>, August 2015, pp. 84</w:t>
      </w:r>
      <w:r>
        <w:t>–</w:t>
      </w:r>
      <w:r w:rsidRPr="0001272B">
        <w:t>85.</w:t>
      </w:r>
    </w:p>
  </w:footnote>
  <w:footnote w:id="80">
    <w:p w:rsidR="00F65E22" w:rsidRDefault="00F65E22" w:rsidP="006C48AF">
      <w:pPr>
        <w:pStyle w:val="FootnoteText"/>
      </w:pPr>
      <w:r>
        <w:rPr>
          <w:rStyle w:val="FootnoteReference"/>
        </w:rPr>
        <w:footnoteRef/>
      </w:r>
      <w:r>
        <w:t xml:space="preserve"> </w:t>
      </w:r>
      <w:r>
        <w:tab/>
        <w:t xml:space="preserve">APTNT, </w:t>
      </w:r>
      <w:r w:rsidRPr="00031721">
        <w:rPr>
          <w:i/>
        </w:rPr>
        <w:t>Access Arrangement Revision Proposal Submission</w:t>
      </w:r>
      <w:r w:rsidRPr="0001272B">
        <w:t>, August 2015, p</w:t>
      </w:r>
      <w:r>
        <w:t>. 83.</w:t>
      </w:r>
    </w:p>
  </w:footnote>
  <w:footnote w:id="81">
    <w:p w:rsidR="00F65E22" w:rsidRDefault="00F65E22" w:rsidP="006C48AF">
      <w:pPr>
        <w:pStyle w:val="FootnoteText"/>
      </w:pPr>
      <w:r>
        <w:rPr>
          <w:rStyle w:val="FootnoteReference"/>
        </w:rPr>
        <w:footnoteRef/>
      </w:r>
      <w:r>
        <w:t xml:space="preserve"> </w:t>
      </w:r>
      <w:r>
        <w:tab/>
        <w:t xml:space="preserve">APTNT, </w:t>
      </w:r>
      <w:r w:rsidRPr="00031721">
        <w:rPr>
          <w:i/>
        </w:rPr>
        <w:t>Access Arrangement Revision Proposal Submission</w:t>
      </w:r>
      <w:r w:rsidRPr="0001272B">
        <w:t>, August 2015, p</w:t>
      </w:r>
      <w:r>
        <w:t>. 87.</w:t>
      </w:r>
    </w:p>
  </w:footnote>
  <w:footnote w:id="82">
    <w:p w:rsidR="00F65E22" w:rsidRDefault="00F65E22">
      <w:pPr>
        <w:pStyle w:val="FootnoteText"/>
      </w:pPr>
      <w:r>
        <w:rPr>
          <w:rStyle w:val="FootnoteReference"/>
        </w:rPr>
        <w:footnoteRef/>
      </w:r>
      <w:r>
        <w:t xml:space="preserve"> </w:t>
      </w:r>
      <w:r>
        <w:tab/>
        <w:t>Excluding labour cost escalation as discussed below.</w:t>
      </w:r>
    </w:p>
  </w:footnote>
  <w:footnote w:id="83">
    <w:p w:rsidR="00F65E22" w:rsidRDefault="00F65E22" w:rsidP="006C48AF">
      <w:pPr>
        <w:pStyle w:val="FootnoteText"/>
      </w:pPr>
      <w:r>
        <w:rPr>
          <w:rStyle w:val="FootnoteReference"/>
        </w:rPr>
        <w:footnoteRef/>
      </w:r>
      <w:r>
        <w:t xml:space="preserve"> </w:t>
      </w:r>
      <w:r>
        <w:tab/>
        <w:t xml:space="preserve">APTNT, </w:t>
      </w:r>
      <w:r w:rsidRPr="00031721">
        <w:rPr>
          <w:i/>
        </w:rPr>
        <w:t>Amadeus Gas Pipeline Access Arrangement Revision Proposal Submission</w:t>
      </w:r>
      <w:r w:rsidRPr="0001272B">
        <w:t>, August 2015, p</w:t>
      </w:r>
      <w:r>
        <w:t>. 83.</w:t>
      </w:r>
    </w:p>
  </w:footnote>
  <w:footnote w:id="84">
    <w:p w:rsidR="00F65E22" w:rsidRPr="00031721" w:rsidRDefault="00F65E22" w:rsidP="006C48AF">
      <w:pPr>
        <w:pStyle w:val="FootnoteText"/>
      </w:pPr>
      <w:r>
        <w:rPr>
          <w:rStyle w:val="FootnoteReference"/>
        </w:rPr>
        <w:footnoteRef/>
      </w:r>
      <w:r>
        <w:t xml:space="preserve"> </w:t>
      </w:r>
      <w:r>
        <w:tab/>
        <w:t xml:space="preserve">APTNT, </w:t>
      </w:r>
      <w:r w:rsidRPr="00031721">
        <w:rPr>
          <w:i/>
        </w:rPr>
        <w:t>Amadeus Gas Pipeline – C-2 IT AM01 Applications Renewal Program – August 2015</w:t>
      </w:r>
      <w:r w:rsidRPr="00031721">
        <w:t>, August 2015 and</w:t>
      </w:r>
      <w:r>
        <w:rPr>
          <w:i/>
        </w:rPr>
        <w:t xml:space="preserve"> </w:t>
      </w:r>
      <w:r>
        <w:t xml:space="preserve">APTNT, </w:t>
      </w:r>
      <w:r w:rsidRPr="00031721">
        <w:rPr>
          <w:i/>
        </w:rPr>
        <w:t>Amadeus Gas Pipeline – C-3 IT AM03 Infrastructure Renewal Program – August 2015</w:t>
      </w:r>
      <w:r w:rsidRPr="00031721">
        <w:t>, August 2015.</w:t>
      </w:r>
    </w:p>
  </w:footnote>
  <w:footnote w:id="85">
    <w:p w:rsidR="00F65E22" w:rsidRPr="00031721" w:rsidRDefault="00F65E22" w:rsidP="006C48AF">
      <w:pPr>
        <w:pStyle w:val="FootnoteText"/>
      </w:pPr>
      <w:r>
        <w:rPr>
          <w:rStyle w:val="FootnoteReference"/>
        </w:rPr>
        <w:footnoteRef/>
      </w:r>
      <w:r>
        <w:t xml:space="preserve"> </w:t>
      </w:r>
      <w:r>
        <w:tab/>
        <w:t xml:space="preserve">APTNT, </w:t>
      </w:r>
      <w:r w:rsidRPr="00031721">
        <w:rPr>
          <w:i/>
        </w:rPr>
        <w:t>Amadeus Gas Pipeline – C-2 IT AM01 Applications Renewal Program – August 2015</w:t>
      </w:r>
      <w:r w:rsidRPr="00031721">
        <w:t xml:space="preserve">, August 2015, p. 9 and APTNT, </w:t>
      </w:r>
      <w:r w:rsidRPr="00031721">
        <w:rPr>
          <w:i/>
        </w:rPr>
        <w:t>Amadeus Gas Pipeline – C-3 IT AM03 Infrastructure Renewal Program – August 2015</w:t>
      </w:r>
      <w:r w:rsidRPr="00031721">
        <w:t>, August 2015, p. 8.</w:t>
      </w:r>
    </w:p>
  </w:footnote>
  <w:footnote w:id="86">
    <w:p w:rsidR="00F65E22" w:rsidRDefault="00F65E22" w:rsidP="006C48AF">
      <w:pPr>
        <w:pStyle w:val="FootnoteText"/>
      </w:pPr>
      <w:r>
        <w:rPr>
          <w:rStyle w:val="FootnoteReference"/>
        </w:rPr>
        <w:footnoteRef/>
      </w:r>
      <w:r>
        <w:t xml:space="preserve"> </w:t>
      </w:r>
      <w:r>
        <w:tab/>
        <w:t>NGR, r. 74(2).</w:t>
      </w:r>
    </w:p>
  </w:footnote>
  <w:footnote w:id="87">
    <w:p w:rsidR="00F65E22" w:rsidRDefault="00F65E22" w:rsidP="006C48AF">
      <w:pPr>
        <w:pStyle w:val="FootnoteText"/>
      </w:pPr>
      <w:r>
        <w:rPr>
          <w:rStyle w:val="FootnoteReference"/>
        </w:rPr>
        <w:footnoteRef/>
      </w:r>
      <w:r>
        <w:t xml:space="preserve"> </w:t>
      </w:r>
      <w:r>
        <w:tab/>
        <w:t>NGR, r. 79(1).</w:t>
      </w:r>
    </w:p>
  </w:footnote>
  <w:footnote w:id="88">
    <w:p w:rsidR="00F65E22" w:rsidRDefault="00F65E22" w:rsidP="006C48AF">
      <w:pPr>
        <w:pStyle w:val="FootnoteText"/>
      </w:pPr>
      <w:r>
        <w:rPr>
          <w:rStyle w:val="FootnoteReference"/>
        </w:rPr>
        <w:footnoteRef/>
      </w:r>
      <w:r>
        <w:t xml:space="preserve"> </w:t>
      </w:r>
      <w:r>
        <w:tab/>
        <w:t>NGR, r. 79(2)(c).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22" w:rsidRDefault="001A03F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65E2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61" w:rsidRDefault="00487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22" w:rsidRDefault="001A03F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176F39"/>
    <w:multiLevelType w:val="hybridMultilevel"/>
    <w:tmpl w:val="6ECE7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ECE4384"/>
    <w:multiLevelType w:val="multilevel"/>
    <w:tmpl w:val="6DC23084"/>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C20645"/>
    <w:multiLevelType w:val="hybridMultilevel"/>
    <w:tmpl w:val="B9F0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3"/>
  </w:num>
  <w:num w:numId="16">
    <w:abstractNumId w:val="21"/>
  </w:num>
  <w:num w:numId="17">
    <w:abstractNumId w:val="10"/>
  </w:num>
  <w:num w:numId="18">
    <w:abstractNumId w:val="15"/>
  </w:num>
  <w:num w:numId="19">
    <w:abstractNumId w:val="22"/>
  </w:num>
  <w:num w:numId="20">
    <w:abstractNumId w:val="29"/>
  </w:num>
  <w:num w:numId="21">
    <w:abstractNumId w:val="25"/>
  </w:num>
  <w:num w:numId="22">
    <w:abstractNumId w:val="23"/>
  </w:num>
  <w:num w:numId="23">
    <w:abstractNumId w:val="16"/>
  </w:num>
  <w:num w:numId="24">
    <w:abstractNumId w:val="24"/>
  </w:num>
  <w:num w:numId="25">
    <w:abstractNumId w:val="27"/>
  </w:num>
  <w:num w:numId="26">
    <w:abstractNumId w:val="18"/>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0"/>
  </w:num>
  <w:num w:numId="31">
    <w:abstractNumId w:val="9"/>
  </w:num>
  <w:num w:numId="32">
    <w:abstractNumId w:val="31"/>
  </w:num>
  <w:num w:numId="33">
    <w:abstractNumId w:val="26"/>
  </w:num>
  <w:num w:numId="3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kuzn\AppData\Local\Microsoft\Windows\Temporary Internet Files\Content.MSO\AE4C9764.docx"/>
  </w:docVars>
  <w:rsids>
    <w:rsidRoot w:val="00961A4A"/>
    <w:rsid w:val="00003694"/>
    <w:rsid w:val="00004796"/>
    <w:rsid w:val="00007116"/>
    <w:rsid w:val="00010286"/>
    <w:rsid w:val="00016EE5"/>
    <w:rsid w:val="00021202"/>
    <w:rsid w:val="00021C2B"/>
    <w:rsid w:val="0002517F"/>
    <w:rsid w:val="00026495"/>
    <w:rsid w:val="0003578C"/>
    <w:rsid w:val="000401AF"/>
    <w:rsid w:val="00060D7C"/>
    <w:rsid w:val="00063247"/>
    <w:rsid w:val="00066D05"/>
    <w:rsid w:val="00070F9F"/>
    <w:rsid w:val="0007137B"/>
    <w:rsid w:val="00075E8A"/>
    <w:rsid w:val="00081BD5"/>
    <w:rsid w:val="0008244C"/>
    <w:rsid w:val="00085663"/>
    <w:rsid w:val="00085EBF"/>
    <w:rsid w:val="00091B15"/>
    <w:rsid w:val="00095703"/>
    <w:rsid w:val="000A0507"/>
    <w:rsid w:val="000A3020"/>
    <w:rsid w:val="000A3AA0"/>
    <w:rsid w:val="000A5610"/>
    <w:rsid w:val="000A5FED"/>
    <w:rsid w:val="000A6C7B"/>
    <w:rsid w:val="000B70FD"/>
    <w:rsid w:val="000C29A6"/>
    <w:rsid w:val="000C2B40"/>
    <w:rsid w:val="000D06C1"/>
    <w:rsid w:val="000D122C"/>
    <w:rsid w:val="000D3016"/>
    <w:rsid w:val="000D64F2"/>
    <w:rsid w:val="000E1819"/>
    <w:rsid w:val="000E4821"/>
    <w:rsid w:val="000E6C72"/>
    <w:rsid w:val="000F0B2B"/>
    <w:rsid w:val="000F3E72"/>
    <w:rsid w:val="000F48B1"/>
    <w:rsid w:val="000F79A5"/>
    <w:rsid w:val="00103A67"/>
    <w:rsid w:val="001053FC"/>
    <w:rsid w:val="00116EB2"/>
    <w:rsid w:val="00120490"/>
    <w:rsid w:val="00124609"/>
    <w:rsid w:val="00126A4C"/>
    <w:rsid w:val="00134717"/>
    <w:rsid w:val="00134D63"/>
    <w:rsid w:val="00140D62"/>
    <w:rsid w:val="00142AB6"/>
    <w:rsid w:val="0014573B"/>
    <w:rsid w:val="001573E4"/>
    <w:rsid w:val="00157E04"/>
    <w:rsid w:val="00160756"/>
    <w:rsid w:val="00165869"/>
    <w:rsid w:val="0017232E"/>
    <w:rsid w:val="00173F9F"/>
    <w:rsid w:val="00174102"/>
    <w:rsid w:val="001754EE"/>
    <w:rsid w:val="00180157"/>
    <w:rsid w:val="00185CB9"/>
    <w:rsid w:val="00186F77"/>
    <w:rsid w:val="001905F1"/>
    <w:rsid w:val="001926A4"/>
    <w:rsid w:val="00192AD5"/>
    <w:rsid w:val="001A03F4"/>
    <w:rsid w:val="001A07F4"/>
    <w:rsid w:val="001B45A0"/>
    <w:rsid w:val="001B7D00"/>
    <w:rsid w:val="001C3D2D"/>
    <w:rsid w:val="001D055E"/>
    <w:rsid w:val="001F05A4"/>
    <w:rsid w:val="001F492E"/>
    <w:rsid w:val="001F6DA3"/>
    <w:rsid w:val="002010BC"/>
    <w:rsid w:val="002016E7"/>
    <w:rsid w:val="00201F98"/>
    <w:rsid w:val="00202E03"/>
    <w:rsid w:val="0020478D"/>
    <w:rsid w:val="0020492C"/>
    <w:rsid w:val="00205A33"/>
    <w:rsid w:val="00215149"/>
    <w:rsid w:val="00224502"/>
    <w:rsid w:val="00224DB9"/>
    <w:rsid w:val="00224F81"/>
    <w:rsid w:val="00227DCE"/>
    <w:rsid w:val="0023276C"/>
    <w:rsid w:val="00233775"/>
    <w:rsid w:val="0023470D"/>
    <w:rsid w:val="00251745"/>
    <w:rsid w:val="00263AC0"/>
    <w:rsid w:val="00264264"/>
    <w:rsid w:val="0026772D"/>
    <w:rsid w:val="00286874"/>
    <w:rsid w:val="00290C63"/>
    <w:rsid w:val="002965B5"/>
    <w:rsid w:val="00296B65"/>
    <w:rsid w:val="002A7DEF"/>
    <w:rsid w:val="002B1003"/>
    <w:rsid w:val="002B12E4"/>
    <w:rsid w:val="002B573C"/>
    <w:rsid w:val="002C233C"/>
    <w:rsid w:val="002C5A50"/>
    <w:rsid w:val="002C6AAE"/>
    <w:rsid w:val="002C6C62"/>
    <w:rsid w:val="002D5654"/>
    <w:rsid w:val="002D72E8"/>
    <w:rsid w:val="002E0167"/>
    <w:rsid w:val="002E7B22"/>
    <w:rsid w:val="002F0B45"/>
    <w:rsid w:val="002F7986"/>
    <w:rsid w:val="00301B40"/>
    <w:rsid w:val="003029EE"/>
    <w:rsid w:val="0030370B"/>
    <w:rsid w:val="00305CC8"/>
    <w:rsid w:val="00307F6D"/>
    <w:rsid w:val="003177A2"/>
    <w:rsid w:val="00320172"/>
    <w:rsid w:val="00325A20"/>
    <w:rsid w:val="0032658E"/>
    <w:rsid w:val="003271B5"/>
    <w:rsid w:val="00327A1E"/>
    <w:rsid w:val="00330F15"/>
    <w:rsid w:val="00331218"/>
    <w:rsid w:val="00331264"/>
    <w:rsid w:val="0033139B"/>
    <w:rsid w:val="00334C8D"/>
    <w:rsid w:val="00336E32"/>
    <w:rsid w:val="00342B8C"/>
    <w:rsid w:val="00343A18"/>
    <w:rsid w:val="00344473"/>
    <w:rsid w:val="003518B3"/>
    <w:rsid w:val="00381B88"/>
    <w:rsid w:val="003846F1"/>
    <w:rsid w:val="003931A7"/>
    <w:rsid w:val="003962AE"/>
    <w:rsid w:val="003A05BE"/>
    <w:rsid w:val="003B484F"/>
    <w:rsid w:val="003B7FBA"/>
    <w:rsid w:val="003C54C6"/>
    <w:rsid w:val="003D1B28"/>
    <w:rsid w:val="003F174D"/>
    <w:rsid w:val="003F5252"/>
    <w:rsid w:val="003F677D"/>
    <w:rsid w:val="003F7442"/>
    <w:rsid w:val="00407A96"/>
    <w:rsid w:val="00415F31"/>
    <w:rsid w:val="00423A77"/>
    <w:rsid w:val="004241B0"/>
    <w:rsid w:val="00437E19"/>
    <w:rsid w:val="00440867"/>
    <w:rsid w:val="00452867"/>
    <w:rsid w:val="00453AFD"/>
    <w:rsid w:val="0045777E"/>
    <w:rsid w:val="0046531F"/>
    <w:rsid w:val="00474EC7"/>
    <w:rsid w:val="00480B4B"/>
    <w:rsid w:val="00485DC4"/>
    <w:rsid w:val="00486F2F"/>
    <w:rsid w:val="00487261"/>
    <w:rsid w:val="0049098C"/>
    <w:rsid w:val="00493751"/>
    <w:rsid w:val="004A43D1"/>
    <w:rsid w:val="004B0F1F"/>
    <w:rsid w:val="004B169C"/>
    <w:rsid w:val="004B355D"/>
    <w:rsid w:val="004B4412"/>
    <w:rsid w:val="004B766D"/>
    <w:rsid w:val="004C0383"/>
    <w:rsid w:val="004C348C"/>
    <w:rsid w:val="004D55BA"/>
    <w:rsid w:val="004D7BE7"/>
    <w:rsid w:val="004E22EC"/>
    <w:rsid w:val="004E4085"/>
    <w:rsid w:val="004E4402"/>
    <w:rsid w:val="004E4E86"/>
    <w:rsid w:val="004F6A0E"/>
    <w:rsid w:val="00500BC1"/>
    <w:rsid w:val="00530128"/>
    <w:rsid w:val="00532467"/>
    <w:rsid w:val="00535239"/>
    <w:rsid w:val="00537FD6"/>
    <w:rsid w:val="0055014A"/>
    <w:rsid w:val="00556F25"/>
    <w:rsid w:val="005641F3"/>
    <w:rsid w:val="00564A4D"/>
    <w:rsid w:val="005651F5"/>
    <w:rsid w:val="0056588A"/>
    <w:rsid w:val="00567BA5"/>
    <w:rsid w:val="00571B35"/>
    <w:rsid w:val="00571D57"/>
    <w:rsid w:val="00577A09"/>
    <w:rsid w:val="005829C2"/>
    <w:rsid w:val="00584D8F"/>
    <w:rsid w:val="00586819"/>
    <w:rsid w:val="0059704C"/>
    <w:rsid w:val="005A404D"/>
    <w:rsid w:val="005A6D57"/>
    <w:rsid w:val="005A7405"/>
    <w:rsid w:val="005B0751"/>
    <w:rsid w:val="005B1E3C"/>
    <w:rsid w:val="005B3FB7"/>
    <w:rsid w:val="005B704A"/>
    <w:rsid w:val="005C0A7F"/>
    <w:rsid w:val="005C26CC"/>
    <w:rsid w:val="005C4C9C"/>
    <w:rsid w:val="005D077A"/>
    <w:rsid w:val="005D1171"/>
    <w:rsid w:val="005D224A"/>
    <w:rsid w:val="005D7BA2"/>
    <w:rsid w:val="005E2888"/>
    <w:rsid w:val="005E2A7C"/>
    <w:rsid w:val="005E36C2"/>
    <w:rsid w:val="005F2E93"/>
    <w:rsid w:val="005F6AB8"/>
    <w:rsid w:val="005F7135"/>
    <w:rsid w:val="006007DE"/>
    <w:rsid w:val="00601638"/>
    <w:rsid w:val="00610EF9"/>
    <w:rsid w:val="00612F4F"/>
    <w:rsid w:val="00615C6B"/>
    <w:rsid w:val="00621DCE"/>
    <w:rsid w:val="00632D6D"/>
    <w:rsid w:val="00633270"/>
    <w:rsid w:val="00642C3E"/>
    <w:rsid w:val="00643AA2"/>
    <w:rsid w:val="00643AF3"/>
    <w:rsid w:val="006478AA"/>
    <w:rsid w:val="00651C3A"/>
    <w:rsid w:val="00651CB2"/>
    <w:rsid w:val="00652324"/>
    <w:rsid w:val="006553B6"/>
    <w:rsid w:val="006560CA"/>
    <w:rsid w:val="0066104A"/>
    <w:rsid w:val="00662426"/>
    <w:rsid w:val="00663DAD"/>
    <w:rsid w:val="00665649"/>
    <w:rsid w:val="00666BA5"/>
    <w:rsid w:val="00666CC6"/>
    <w:rsid w:val="006672AA"/>
    <w:rsid w:val="00675E20"/>
    <w:rsid w:val="00676679"/>
    <w:rsid w:val="00683C89"/>
    <w:rsid w:val="00691D9A"/>
    <w:rsid w:val="006962E2"/>
    <w:rsid w:val="006A555A"/>
    <w:rsid w:val="006B2395"/>
    <w:rsid w:val="006B45A4"/>
    <w:rsid w:val="006B4CF9"/>
    <w:rsid w:val="006B785B"/>
    <w:rsid w:val="006B7AC8"/>
    <w:rsid w:val="006B7D10"/>
    <w:rsid w:val="006C1736"/>
    <w:rsid w:val="006C367E"/>
    <w:rsid w:val="006C4798"/>
    <w:rsid w:val="006C48AF"/>
    <w:rsid w:val="006D52FC"/>
    <w:rsid w:val="006D550F"/>
    <w:rsid w:val="006D5B26"/>
    <w:rsid w:val="006D694F"/>
    <w:rsid w:val="006D69B5"/>
    <w:rsid w:val="006E0A57"/>
    <w:rsid w:val="006F3AD1"/>
    <w:rsid w:val="006F3FC8"/>
    <w:rsid w:val="006F508E"/>
    <w:rsid w:val="006F5E7B"/>
    <w:rsid w:val="0070011E"/>
    <w:rsid w:val="00701CAB"/>
    <w:rsid w:val="00702FC2"/>
    <w:rsid w:val="00707563"/>
    <w:rsid w:val="007106FF"/>
    <w:rsid w:val="00711A50"/>
    <w:rsid w:val="00714301"/>
    <w:rsid w:val="0072348C"/>
    <w:rsid w:val="00724A37"/>
    <w:rsid w:val="007303C3"/>
    <w:rsid w:val="007368B1"/>
    <w:rsid w:val="00741C46"/>
    <w:rsid w:val="00741E23"/>
    <w:rsid w:val="007429BE"/>
    <w:rsid w:val="00743223"/>
    <w:rsid w:val="00746E01"/>
    <w:rsid w:val="00747EEA"/>
    <w:rsid w:val="00757364"/>
    <w:rsid w:val="00757BDF"/>
    <w:rsid w:val="007605AA"/>
    <w:rsid w:val="007609D0"/>
    <w:rsid w:val="007633E9"/>
    <w:rsid w:val="00763E5D"/>
    <w:rsid w:val="00765765"/>
    <w:rsid w:val="00767740"/>
    <w:rsid w:val="00777EE6"/>
    <w:rsid w:val="00782EEA"/>
    <w:rsid w:val="00787A29"/>
    <w:rsid w:val="007903F2"/>
    <w:rsid w:val="00792520"/>
    <w:rsid w:val="007971C9"/>
    <w:rsid w:val="007A6E18"/>
    <w:rsid w:val="007B186E"/>
    <w:rsid w:val="007B1D34"/>
    <w:rsid w:val="007B2C72"/>
    <w:rsid w:val="007B6A91"/>
    <w:rsid w:val="007C1C53"/>
    <w:rsid w:val="007C718F"/>
    <w:rsid w:val="007C74BB"/>
    <w:rsid w:val="007D456E"/>
    <w:rsid w:val="007E446F"/>
    <w:rsid w:val="007E4904"/>
    <w:rsid w:val="007E4CB5"/>
    <w:rsid w:val="007F00D9"/>
    <w:rsid w:val="007F066B"/>
    <w:rsid w:val="007F213A"/>
    <w:rsid w:val="007F75C4"/>
    <w:rsid w:val="00802753"/>
    <w:rsid w:val="008033C4"/>
    <w:rsid w:val="00806C88"/>
    <w:rsid w:val="0081034E"/>
    <w:rsid w:val="008107F3"/>
    <w:rsid w:val="00812ADB"/>
    <w:rsid w:val="0081714E"/>
    <w:rsid w:val="008221F2"/>
    <w:rsid w:val="00825985"/>
    <w:rsid w:val="008344F6"/>
    <w:rsid w:val="0083510F"/>
    <w:rsid w:val="008408C5"/>
    <w:rsid w:val="00843CB1"/>
    <w:rsid w:val="00851209"/>
    <w:rsid w:val="0085722A"/>
    <w:rsid w:val="0086185B"/>
    <w:rsid w:val="00864B35"/>
    <w:rsid w:val="00882481"/>
    <w:rsid w:val="008833ED"/>
    <w:rsid w:val="00883789"/>
    <w:rsid w:val="008837AC"/>
    <w:rsid w:val="00887302"/>
    <w:rsid w:val="008A587D"/>
    <w:rsid w:val="008B2C5E"/>
    <w:rsid w:val="008B35CD"/>
    <w:rsid w:val="008B5C51"/>
    <w:rsid w:val="008B5FCC"/>
    <w:rsid w:val="008B7544"/>
    <w:rsid w:val="008C0E4B"/>
    <w:rsid w:val="008C3374"/>
    <w:rsid w:val="008C5486"/>
    <w:rsid w:val="008C5970"/>
    <w:rsid w:val="008C708B"/>
    <w:rsid w:val="008D0B85"/>
    <w:rsid w:val="008D1661"/>
    <w:rsid w:val="008D6800"/>
    <w:rsid w:val="008D7091"/>
    <w:rsid w:val="008E7031"/>
    <w:rsid w:val="008E77DE"/>
    <w:rsid w:val="008F07A3"/>
    <w:rsid w:val="008F34DD"/>
    <w:rsid w:val="009001B6"/>
    <w:rsid w:val="00900E1B"/>
    <w:rsid w:val="00901C3C"/>
    <w:rsid w:val="009071C0"/>
    <w:rsid w:val="009223D7"/>
    <w:rsid w:val="009233EE"/>
    <w:rsid w:val="0092379F"/>
    <w:rsid w:val="009272AD"/>
    <w:rsid w:val="009277DC"/>
    <w:rsid w:val="009309F6"/>
    <w:rsid w:val="0093374B"/>
    <w:rsid w:val="009337EC"/>
    <w:rsid w:val="00934788"/>
    <w:rsid w:val="00934ED9"/>
    <w:rsid w:val="00936E04"/>
    <w:rsid w:val="00941317"/>
    <w:rsid w:val="00942B45"/>
    <w:rsid w:val="009460AA"/>
    <w:rsid w:val="00947AF8"/>
    <w:rsid w:val="00951978"/>
    <w:rsid w:val="00961A4A"/>
    <w:rsid w:val="009632E7"/>
    <w:rsid w:val="009661DE"/>
    <w:rsid w:val="00975794"/>
    <w:rsid w:val="00983C25"/>
    <w:rsid w:val="009856B7"/>
    <w:rsid w:val="00985C86"/>
    <w:rsid w:val="00993FA3"/>
    <w:rsid w:val="009A2EC3"/>
    <w:rsid w:val="009A5113"/>
    <w:rsid w:val="009A5FC3"/>
    <w:rsid w:val="009B6F84"/>
    <w:rsid w:val="009B74B0"/>
    <w:rsid w:val="009C2D41"/>
    <w:rsid w:val="009C3085"/>
    <w:rsid w:val="009D1015"/>
    <w:rsid w:val="009D20AC"/>
    <w:rsid w:val="009D3906"/>
    <w:rsid w:val="009D6B46"/>
    <w:rsid w:val="009E13EA"/>
    <w:rsid w:val="009F041B"/>
    <w:rsid w:val="009F057E"/>
    <w:rsid w:val="009F4760"/>
    <w:rsid w:val="009F4940"/>
    <w:rsid w:val="009F5BA1"/>
    <w:rsid w:val="00A02A88"/>
    <w:rsid w:val="00A0424B"/>
    <w:rsid w:val="00A04DC4"/>
    <w:rsid w:val="00A0562E"/>
    <w:rsid w:val="00A06085"/>
    <w:rsid w:val="00A0726D"/>
    <w:rsid w:val="00A106D7"/>
    <w:rsid w:val="00A12F33"/>
    <w:rsid w:val="00A2124B"/>
    <w:rsid w:val="00A2157E"/>
    <w:rsid w:val="00A30095"/>
    <w:rsid w:val="00A32F83"/>
    <w:rsid w:val="00A32FBB"/>
    <w:rsid w:val="00A428EE"/>
    <w:rsid w:val="00A4478A"/>
    <w:rsid w:val="00A44852"/>
    <w:rsid w:val="00A4532E"/>
    <w:rsid w:val="00A4650A"/>
    <w:rsid w:val="00A50502"/>
    <w:rsid w:val="00A57D04"/>
    <w:rsid w:val="00A60A26"/>
    <w:rsid w:val="00A61598"/>
    <w:rsid w:val="00A67508"/>
    <w:rsid w:val="00A718BB"/>
    <w:rsid w:val="00A84A99"/>
    <w:rsid w:val="00A84F46"/>
    <w:rsid w:val="00A871F4"/>
    <w:rsid w:val="00A92ECD"/>
    <w:rsid w:val="00A94E3D"/>
    <w:rsid w:val="00AA2C7F"/>
    <w:rsid w:val="00AB1037"/>
    <w:rsid w:val="00AB78D5"/>
    <w:rsid w:val="00AC1B2C"/>
    <w:rsid w:val="00AC1C84"/>
    <w:rsid w:val="00AC3264"/>
    <w:rsid w:val="00AC50C8"/>
    <w:rsid w:val="00AE1BF1"/>
    <w:rsid w:val="00AE54C2"/>
    <w:rsid w:val="00AF0DD2"/>
    <w:rsid w:val="00AF422C"/>
    <w:rsid w:val="00B0209D"/>
    <w:rsid w:val="00B07CEA"/>
    <w:rsid w:val="00B13048"/>
    <w:rsid w:val="00B1716D"/>
    <w:rsid w:val="00B176F7"/>
    <w:rsid w:val="00B17A1D"/>
    <w:rsid w:val="00B207A0"/>
    <w:rsid w:val="00B222AF"/>
    <w:rsid w:val="00B24AD4"/>
    <w:rsid w:val="00B37996"/>
    <w:rsid w:val="00B40CAA"/>
    <w:rsid w:val="00B47DEC"/>
    <w:rsid w:val="00B514DD"/>
    <w:rsid w:val="00B51F3F"/>
    <w:rsid w:val="00B52AF0"/>
    <w:rsid w:val="00B561BD"/>
    <w:rsid w:val="00B56E03"/>
    <w:rsid w:val="00B61EDF"/>
    <w:rsid w:val="00B64986"/>
    <w:rsid w:val="00B757A6"/>
    <w:rsid w:val="00B8080B"/>
    <w:rsid w:val="00B82021"/>
    <w:rsid w:val="00B82223"/>
    <w:rsid w:val="00B87BA5"/>
    <w:rsid w:val="00B87C39"/>
    <w:rsid w:val="00B9562D"/>
    <w:rsid w:val="00B96B8F"/>
    <w:rsid w:val="00BA1584"/>
    <w:rsid w:val="00BA1C93"/>
    <w:rsid w:val="00BA4665"/>
    <w:rsid w:val="00BA478B"/>
    <w:rsid w:val="00BB2FB2"/>
    <w:rsid w:val="00BB3304"/>
    <w:rsid w:val="00BB3FD7"/>
    <w:rsid w:val="00BB7528"/>
    <w:rsid w:val="00BD310B"/>
    <w:rsid w:val="00BD3446"/>
    <w:rsid w:val="00BD37DE"/>
    <w:rsid w:val="00BE1F1B"/>
    <w:rsid w:val="00BE47B5"/>
    <w:rsid w:val="00BE5D56"/>
    <w:rsid w:val="00BE7C86"/>
    <w:rsid w:val="00BF2A93"/>
    <w:rsid w:val="00C04223"/>
    <w:rsid w:val="00C157CC"/>
    <w:rsid w:val="00C16780"/>
    <w:rsid w:val="00C25FA6"/>
    <w:rsid w:val="00C275C4"/>
    <w:rsid w:val="00C32735"/>
    <w:rsid w:val="00C37B44"/>
    <w:rsid w:val="00C407CF"/>
    <w:rsid w:val="00C42ACA"/>
    <w:rsid w:val="00C44CDA"/>
    <w:rsid w:val="00C47C15"/>
    <w:rsid w:val="00C538A9"/>
    <w:rsid w:val="00C53B5A"/>
    <w:rsid w:val="00C54F5A"/>
    <w:rsid w:val="00C569B4"/>
    <w:rsid w:val="00C56A3E"/>
    <w:rsid w:val="00C67A92"/>
    <w:rsid w:val="00C7497E"/>
    <w:rsid w:val="00C8356A"/>
    <w:rsid w:val="00C84560"/>
    <w:rsid w:val="00C84F52"/>
    <w:rsid w:val="00C86679"/>
    <w:rsid w:val="00C9745C"/>
    <w:rsid w:val="00CA0D07"/>
    <w:rsid w:val="00CA489E"/>
    <w:rsid w:val="00CA52A2"/>
    <w:rsid w:val="00CB0279"/>
    <w:rsid w:val="00CB2B61"/>
    <w:rsid w:val="00CB399F"/>
    <w:rsid w:val="00CB3EB9"/>
    <w:rsid w:val="00CB666B"/>
    <w:rsid w:val="00CC235F"/>
    <w:rsid w:val="00CC3C68"/>
    <w:rsid w:val="00CC7F1D"/>
    <w:rsid w:val="00CD570B"/>
    <w:rsid w:val="00CE484B"/>
    <w:rsid w:val="00CF0DEE"/>
    <w:rsid w:val="00CF2C05"/>
    <w:rsid w:val="00CF6EDE"/>
    <w:rsid w:val="00D006AE"/>
    <w:rsid w:val="00D01CF0"/>
    <w:rsid w:val="00D01EFD"/>
    <w:rsid w:val="00D0442A"/>
    <w:rsid w:val="00D121F6"/>
    <w:rsid w:val="00D1283D"/>
    <w:rsid w:val="00D137F0"/>
    <w:rsid w:val="00D17683"/>
    <w:rsid w:val="00D177B1"/>
    <w:rsid w:val="00D34BC7"/>
    <w:rsid w:val="00D363E4"/>
    <w:rsid w:val="00D423BC"/>
    <w:rsid w:val="00D45694"/>
    <w:rsid w:val="00D61388"/>
    <w:rsid w:val="00D61A54"/>
    <w:rsid w:val="00D64DEA"/>
    <w:rsid w:val="00D67AFF"/>
    <w:rsid w:val="00D7168E"/>
    <w:rsid w:val="00D71E57"/>
    <w:rsid w:val="00D75AA2"/>
    <w:rsid w:val="00D76C03"/>
    <w:rsid w:val="00D80893"/>
    <w:rsid w:val="00D82FE0"/>
    <w:rsid w:val="00D84854"/>
    <w:rsid w:val="00D848B4"/>
    <w:rsid w:val="00D86287"/>
    <w:rsid w:val="00D87E3F"/>
    <w:rsid w:val="00D92CF1"/>
    <w:rsid w:val="00D92D38"/>
    <w:rsid w:val="00D950F5"/>
    <w:rsid w:val="00D95DB3"/>
    <w:rsid w:val="00DA4752"/>
    <w:rsid w:val="00DA61F3"/>
    <w:rsid w:val="00DA6B93"/>
    <w:rsid w:val="00DB0F93"/>
    <w:rsid w:val="00DB1A67"/>
    <w:rsid w:val="00DB5074"/>
    <w:rsid w:val="00DB5B21"/>
    <w:rsid w:val="00DC2EE3"/>
    <w:rsid w:val="00DC5561"/>
    <w:rsid w:val="00DC7981"/>
    <w:rsid w:val="00DD125E"/>
    <w:rsid w:val="00DD1329"/>
    <w:rsid w:val="00DE0714"/>
    <w:rsid w:val="00DE1093"/>
    <w:rsid w:val="00DE4EFA"/>
    <w:rsid w:val="00DE5520"/>
    <w:rsid w:val="00DE563D"/>
    <w:rsid w:val="00DE5E2E"/>
    <w:rsid w:val="00DE772C"/>
    <w:rsid w:val="00DF26C7"/>
    <w:rsid w:val="00DF312A"/>
    <w:rsid w:val="00E03561"/>
    <w:rsid w:val="00E04818"/>
    <w:rsid w:val="00E06442"/>
    <w:rsid w:val="00E06BCF"/>
    <w:rsid w:val="00E1001C"/>
    <w:rsid w:val="00E23993"/>
    <w:rsid w:val="00E257D6"/>
    <w:rsid w:val="00E25B8C"/>
    <w:rsid w:val="00E27C76"/>
    <w:rsid w:val="00E51D65"/>
    <w:rsid w:val="00E6200B"/>
    <w:rsid w:val="00E63A9A"/>
    <w:rsid w:val="00E64769"/>
    <w:rsid w:val="00E65C85"/>
    <w:rsid w:val="00E66199"/>
    <w:rsid w:val="00E6745A"/>
    <w:rsid w:val="00E711C7"/>
    <w:rsid w:val="00E755EC"/>
    <w:rsid w:val="00E7624D"/>
    <w:rsid w:val="00EA2300"/>
    <w:rsid w:val="00EA3D42"/>
    <w:rsid w:val="00EA6B1B"/>
    <w:rsid w:val="00EB5BC8"/>
    <w:rsid w:val="00EB606C"/>
    <w:rsid w:val="00EC04F1"/>
    <w:rsid w:val="00ED0EC2"/>
    <w:rsid w:val="00ED258A"/>
    <w:rsid w:val="00ED7323"/>
    <w:rsid w:val="00EE28F3"/>
    <w:rsid w:val="00EE384C"/>
    <w:rsid w:val="00EE50D1"/>
    <w:rsid w:val="00EE77FA"/>
    <w:rsid w:val="00EE7CCC"/>
    <w:rsid w:val="00EF5110"/>
    <w:rsid w:val="00F0334E"/>
    <w:rsid w:val="00F10411"/>
    <w:rsid w:val="00F11395"/>
    <w:rsid w:val="00F15882"/>
    <w:rsid w:val="00F171E0"/>
    <w:rsid w:val="00F20BD3"/>
    <w:rsid w:val="00F2526A"/>
    <w:rsid w:val="00F30120"/>
    <w:rsid w:val="00F373A5"/>
    <w:rsid w:val="00F47559"/>
    <w:rsid w:val="00F50ED1"/>
    <w:rsid w:val="00F61176"/>
    <w:rsid w:val="00F64C7B"/>
    <w:rsid w:val="00F65B25"/>
    <w:rsid w:val="00F65E22"/>
    <w:rsid w:val="00F676DD"/>
    <w:rsid w:val="00F71667"/>
    <w:rsid w:val="00F75A26"/>
    <w:rsid w:val="00F76706"/>
    <w:rsid w:val="00F768C8"/>
    <w:rsid w:val="00F81B8D"/>
    <w:rsid w:val="00F83FAD"/>
    <w:rsid w:val="00F8653A"/>
    <w:rsid w:val="00F92349"/>
    <w:rsid w:val="00F9442F"/>
    <w:rsid w:val="00F952A0"/>
    <w:rsid w:val="00F96B7B"/>
    <w:rsid w:val="00F97C28"/>
    <w:rsid w:val="00FA3C7F"/>
    <w:rsid w:val="00FB4402"/>
    <w:rsid w:val="00FB60FE"/>
    <w:rsid w:val="00FB7114"/>
    <w:rsid w:val="00FB74E2"/>
    <w:rsid w:val="00FC71DC"/>
    <w:rsid w:val="00FC79BA"/>
    <w:rsid w:val="00FD1E11"/>
    <w:rsid w:val="00FD2ED2"/>
    <w:rsid w:val="00FD51A2"/>
    <w:rsid w:val="00FD5614"/>
    <w:rsid w:val="00FD5E78"/>
    <w:rsid w:val="00FE0BE1"/>
    <w:rsid w:val="00FE1DE9"/>
    <w:rsid w:val="00FE36AF"/>
    <w:rsid w:val="00FE39C2"/>
    <w:rsid w:val="00FE3C32"/>
    <w:rsid w:val="00FE64AE"/>
    <w:rsid w:val="00FE6754"/>
    <w:rsid w:val="00FE6E3B"/>
    <w:rsid w:val="00FF31F7"/>
    <w:rsid w:val="00FF6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2D5654"/>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2D5654"/>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675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F90131-713C-4A14-970F-D63BA94A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915F8BAC</Template>
  <TotalTime>0</TotalTime>
  <Pages>34</Pages>
  <Words>9887</Words>
  <Characters>56361</Characters>
  <Application>Microsoft Office Word</Application>
  <DocSecurity>0</DocSecurity>
  <Lines>469</Lines>
  <Paragraphs>132</Paragraphs>
  <ScaleCrop>false</ScaleCrop>
  <Company/>
  <LinksUpToDate>false</LinksUpToDate>
  <CharactersWithSpaces>66116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2015-11-23T00:50:00Z</dcterms:created>
  <dcterms:modified xsi:type="dcterms:W3CDTF">2015-11-23T00:50:00Z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8432108</vt:lpwstr>
  </property>
</Properties>
</file>