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19AAE00" wp14:editId="361204E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5104EB">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A2EC3">
            <w:t>7</w:t>
          </w:r>
          <w:r w:rsidR="00DA4752">
            <w:t xml:space="preserve"> </w:t>
          </w:r>
          <w:r w:rsidR="00415F31">
            <w:rPr>
              <w:rFonts w:cs="Arial"/>
            </w:rPr>
            <w:t>–</w:t>
          </w:r>
          <w:r w:rsidR="00DA4752">
            <w:t xml:space="preserve"> </w:t>
          </w:r>
          <w:r w:rsidR="009A2EC3">
            <w:t>Operating expenditure</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2900"/>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5104EB">
        <w:t>the</w:t>
      </w:r>
      <w:r w:rsidR="00415F31">
        <w:t xml:space="preserve"> </w:t>
      </w:r>
      <w:r w:rsidR="00CF2C05">
        <w:t>access</w:t>
      </w:r>
      <w:r w:rsidR="00415F31">
        <w:t xml:space="preserve"> </w:t>
      </w:r>
      <w:r w:rsidR="00CF2C05">
        <w:t>arrangement for</w:t>
      </w:r>
      <w:r w:rsidR="00415F31">
        <w:t xml:space="preserve"> </w:t>
      </w:r>
      <w:r w:rsidR="005104EB">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36042901"/>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280ABB" w:rsidRDefault="00631070">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42900" w:history="1">
            <w:r w:rsidR="00280ABB" w:rsidRPr="00914D7B">
              <w:rPr>
                <w:rStyle w:val="Hyperlink"/>
              </w:rPr>
              <w:t>Note</w:t>
            </w:r>
            <w:r w:rsidR="00280ABB">
              <w:rPr>
                <w:webHidden/>
              </w:rPr>
              <w:tab/>
            </w:r>
            <w:r w:rsidR="00280ABB">
              <w:rPr>
                <w:webHidden/>
              </w:rPr>
              <w:fldChar w:fldCharType="begin"/>
            </w:r>
            <w:r w:rsidR="00280ABB">
              <w:rPr>
                <w:webHidden/>
              </w:rPr>
              <w:instrText xml:space="preserve"> PAGEREF _Toc436042900 \h </w:instrText>
            </w:r>
            <w:r w:rsidR="00280ABB">
              <w:rPr>
                <w:webHidden/>
              </w:rPr>
            </w:r>
            <w:r w:rsidR="00280ABB">
              <w:rPr>
                <w:webHidden/>
              </w:rPr>
              <w:fldChar w:fldCharType="separate"/>
            </w:r>
            <w:r w:rsidR="00280ABB">
              <w:rPr>
                <w:webHidden/>
              </w:rPr>
              <w:t>7-2</w:t>
            </w:r>
            <w:r w:rsidR="00280ABB">
              <w:rPr>
                <w:webHidden/>
              </w:rPr>
              <w:fldChar w:fldCharType="end"/>
            </w:r>
          </w:hyperlink>
        </w:p>
        <w:p w:rsidR="00280ABB" w:rsidRDefault="00280ABB">
          <w:pPr>
            <w:pStyle w:val="TOC1"/>
            <w:rPr>
              <w:rFonts w:asciiTheme="minorHAnsi" w:eastAsiaTheme="minorEastAsia" w:hAnsiTheme="minorHAnsi"/>
              <w:b w:val="0"/>
              <w:color w:val="auto"/>
              <w:sz w:val="22"/>
              <w:lang w:val="en-AU" w:eastAsia="en-AU"/>
            </w:rPr>
          </w:pPr>
          <w:hyperlink w:anchor="_Toc436042901" w:history="1">
            <w:r w:rsidRPr="00914D7B">
              <w:rPr>
                <w:rStyle w:val="Hyperlink"/>
              </w:rPr>
              <w:t>Contents</w:t>
            </w:r>
            <w:r>
              <w:rPr>
                <w:webHidden/>
              </w:rPr>
              <w:tab/>
            </w:r>
            <w:r>
              <w:rPr>
                <w:webHidden/>
              </w:rPr>
              <w:fldChar w:fldCharType="begin"/>
            </w:r>
            <w:r>
              <w:rPr>
                <w:webHidden/>
              </w:rPr>
              <w:instrText xml:space="preserve"> PAGEREF _Toc436042901 \h </w:instrText>
            </w:r>
            <w:r>
              <w:rPr>
                <w:webHidden/>
              </w:rPr>
            </w:r>
            <w:r>
              <w:rPr>
                <w:webHidden/>
              </w:rPr>
              <w:fldChar w:fldCharType="separate"/>
            </w:r>
            <w:r>
              <w:rPr>
                <w:webHidden/>
              </w:rPr>
              <w:t>7-3</w:t>
            </w:r>
            <w:r>
              <w:rPr>
                <w:webHidden/>
              </w:rPr>
              <w:fldChar w:fldCharType="end"/>
            </w:r>
          </w:hyperlink>
        </w:p>
        <w:p w:rsidR="00280ABB" w:rsidRDefault="00280ABB">
          <w:pPr>
            <w:pStyle w:val="TOC1"/>
            <w:rPr>
              <w:rFonts w:asciiTheme="minorHAnsi" w:eastAsiaTheme="minorEastAsia" w:hAnsiTheme="minorHAnsi"/>
              <w:b w:val="0"/>
              <w:color w:val="auto"/>
              <w:sz w:val="22"/>
              <w:lang w:val="en-AU" w:eastAsia="en-AU"/>
            </w:rPr>
          </w:pPr>
          <w:hyperlink w:anchor="_Toc436042902" w:history="1">
            <w:r w:rsidRPr="00914D7B">
              <w:rPr>
                <w:rStyle w:val="Hyperlink"/>
              </w:rPr>
              <w:t>Shortened forms</w:t>
            </w:r>
            <w:r>
              <w:rPr>
                <w:webHidden/>
              </w:rPr>
              <w:tab/>
            </w:r>
            <w:r>
              <w:rPr>
                <w:webHidden/>
              </w:rPr>
              <w:fldChar w:fldCharType="begin"/>
            </w:r>
            <w:r>
              <w:rPr>
                <w:webHidden/>
              </w:rPr>
              <w:instrText xml:space="preserve"> PAGEREF _Toc436042902 \h </w:instrText>
            </w:r>
            <w:r>
              <w:rPr>
                <w:webHidden/>
              </w:rPr>
            </w:r>
            <w:r>
              <w:rPr>
                <w:webHidden/>
              </w:rPr>
              <w:fldChar w:fldCharType="separate"/>
            </w:r>
            <w:r>
              <w:rPr>
                <w:webHidden/>
              </w:rPr>
              <w:t>7-4</w:t>
            </w:r>
            <w:r>
              <w:rPr>
                <w:webHidden/>
              </w:rPr>
              <w:fldChar w:fldCharType="end"/>
            </w:r>
          </w:hyperlink>
        </w:p>
        <w:p w:rsidR="00280ABB" w:rsidRDefault="00280ABB">
          <w:pPr>
            <w:pStyle w:val="TOC1"/>
            <w:rPr>
              <w:rFonts w:asciiTheme="minorHAnsi" w:eastAsiaTheme="minorEastAsia" w:hAnsiTheme="minorHAnsi"/>
              <w:b w:val="0"/>
              <w:color w:val="auto"/>
              <w:sz w:val="22"/>
              <w:lang w:val="en-AU" w:eastAsia="en-AU"/>
            </w:rPr>
          </w:pPr>
          <w:hyperlink w:anchor="_Toc436042903" w:history="1">
            <w:r w:rsidRPr="00914D7B">
              <w:rPr>
                <w:rStyle w:val="Hyperlink"/>
              </w:rPr>
              <w:t>7</w:t>
            </w:r>
            <w:r>
              <w:rPr>
                <w:rFonts w:asciiTheme="minorHAnsi" w:eastAsiaTheme="minorEastAsia" w:hAnsiTheme="minorHAnsi"/>
                <w:b w:val="0"/>
                <w:color w:val="auto"/>
                <w:sz w:val="22"/>
                <w:lang w:val="en-AU" w:eastAsia="en-AU"/>
              </w:rPr>
              <w:tab/>
            </w:r>
            <w:r w:rsidRPr="00914D7B">
              <w:rPr>
                <w:rStyle w:val="Hyperlink"/>
              </w:rPr>
              <w:t>Operating expenditure</w:t>
            </w:r>
            <w:r>
              <w:rPr>
                <w:webHidden/>
              </w:rPr>
              <w:tab/>
            </w:r>
            <w:r>
              <w:rPr>
                <w:webHidden/>
              </w:rPr>
              <w:fldChar w:fldCharType="begin"/>
            </w:r>
            <w:r>
              <w:rPr>
                <w:webHidden/>
              </w:rPr>
              <w:instrText xml:space="preserve"> PAGEREF _Toc436042903 \h </w:instrText>
            </w:r>
            <w:r>
              <w:rPr>
                <w:webHidden/>
              </w:rPr>
            </w:r>
            <w:r>
              <w:rPr>
                <w:webHidden/>
              </w:rPr>
              <w:fldChar w:fldCharType="separate"/>
            </w:r>
            <w:r>
              <w:rPr>
                <w:webHidden/>
              </w:rPr>
              <w:t>7-6</w:t>
            </w:r>
            <w:r>
              <w:rPr>
                <w:webHidden/>
              </w:rPr>
              <w:fldChar w:fldCharType="end"/>
            </w:r>
          </w:hyperlink>
        </w:p>
        <w:p w:rsidR="00280ABB" w:rsidRDefault="00280ABB">
          <w:pPr>
            <w:pStyle w:val="TOC2"/>
            <w:rPr>
              <w:rFonts w:asciiTheme="minorHAnsi" w:eastAsiaTheme="minorEastAsia" w:hAnsiTheme="minorHAnsi"/>
              <w:b w:val="0"/>
              <w:color w:val="auto"/>
              <w:sz w:val="22"/>
              <w:lang w:eastAsia="en-AU"/>
            </w:rPr>
          </w:pPr>
          <w:hyperlink w:anchor="_Toc436042904" w:history="1">
            <w:r w:rsidRPr="00914D7B">
              <w:rPr>
                <w:rStyle w:val="Hyperlink"/>
              </w:rPr>
              <w:t>7.1</w:t>
            </w:r>
            <w:r>
              <w:rPr>
                <w:rFonts w:asciiTheme="minorHAnsi" w:eastAsiaTheme="minorEastAsia" w:hAnsiTheme="minorHAnsi"/>
                <w:b w:val="0"/>
                <w:color w:val="auto"/>
                <w:sz w:val="22"/>
                <w:lang w:eastAsia="en-AU"/>
              </w:rPr>
              <w:tab/>
            </w:r>
            <w:r w:rsidRPr="00914D7B">
              <w:rPr>
                <w:rStyle w:val="Hyperlink"/>
              </w:rPr>
              <w:t>Draft decision</w:t>
            </w:r>
            <w:r>
              <w:rPr>
                <w:webHidden/>
              </w:rPr>
              <w:tab/>
            </w:r>
            <w:r>
              <w:rPr>
                <w:webHidden/>
              </w:rPr>
              <w:fldChar w:fldCharType="begin"/>
            </w:r>
            <w:r>
              <w:rPr>
                <w:webHidden/>
              </w:rPr>
              <w:instrText xml:space="preserve"> PAGEREF _Toc436042904 \h </w:instrText>
            </w:r>
            <w:r>
              <w:rPr>
                <w:webHidden/>
              </w:rPr>
            </w:r>
            <w:r>
              <w:rPr>
                <w:webHidden/>
              </w:rPr>
              <w:fldChar w:fldCharType="separate"/>
            </w:r>
            <w:r>
              <w:rPr>
                <w:webHidden/>
              </w:rPr>
              <w:t>7-6</w:t>
            </w:r>
            <w:r>
              <w:rPr>
                <w:webHidden/>
              </w:rPr>
              <w:fldChar w:fldCharType="end"/>
            </w:r>
          </w:hyperlink>
        </w:p>
        <w:p w:rsidR="00280ABB" w:rsidRDefault="00280ABB">
          <w:pPr>
            <w:pStyle w:val="TOC2"/>
            <w:rPr>
              <w:rFonts w:asciiTheme="minorHAnsi" w:eastAsiaTheme="minorEastAsia" w:hAnsiTheme="minorHAnsi"/>
              <w:b w:val="0"/>
              <w:color w:val="auto"/>
              <w:sz w:val="22"/>
              <w:lang w:eastAsia="en-AU"/>
            </w:rPr>
          </w:pPr>
          <w:hyperlink w:anchor="_Toc436042905" w:history="1">
            <w:r w:rsidRPr="00914D7B">
              <w:rPr>
                <w:rStyle w:val="Hyperlink"/>
              </w:rPr>
              <w:t>7.2</w:t>
            </w:r>
            <w:r>
              <w:rPr>
                <w:rFonts w:asciiTheme="minorHAnsi" w:eastAsiaTheme="minorEastAsia" w:hAnsiTheme="minorHAnsi"/>
                <w:b w:val="0"/>
                <w:color w:val="auto"/>
                <w:sz w:val="22"/>
                <w:lang w:eastAsia="en-AU"/>
              </w:rPr>
              <w:tab/>
            </w:r>
            <w:r w:rsidRPr="00914D7B">
              <w:rPr>
                <w:rStyle w:val="Hyperlink"/>
              </w:rPr>
              <w:t>APTNT’s proposal</w:t>
            </w:r>
            <w:r>
              <w:rPr>
                <w:webHidden/>
              </w:rPr>
              <w:tab/>
            </w:r>
            <w:r>
              <w:rPr>
                <w:webHidden/>
              </w:rPr>
              <w:fldChar w:fldCharType="begin"/>
            </w:r>
            <w:r>
              <w:rPr>
                <w:webHidden/>
              </w:rPr>
              <w:instrText xml:space="preserve"> PAGEREF _Toc436042905 \h </w:instrText>
            </w:r>
            <w:r>
              <w:rPr>
                <w:webHidden/>
              </w:rPr>
            </w:r>
            <w:r>
              <w:rPr>
                <w:webHidden/>
              </w:rPr>
              <w:fldChar w:fldCharType="separate"/>
            </w:r>
            <w:r>
              <w:rPr>
                <w:webHidden/>
              </w:rPr>
              <w:t>7-6</w:t>
            </w:r>
            <w:r>
              <w:rPr>
                <w:webHidden/>
              </w:rPr>
              <w:fldChar w:fldCharType="end"/>
            </w:r>
          </w:hyperlink>
        </w:p>
        <w:p w:rsidR="00280ABB" w:rsidRDefault="00280ABB">
          <w:pPr>
            <w:pStyle w:val="TOC2"/>
            <w:rPr>
              <w:rFonts w:asciiTheme="minorHAnsi" w:eastAsiaTheme="minorEastAsia" w:hAnsiTheme="minorHAnsi"/>
              <w:b w:val="0"/>
              <w:color w:val="auto"/>
              <w:sz w:val="22"/>
              <w:lang w:eastAsia="en-AU"/>
            </w:rPr>
          </w:pPr>
          <w:hyperlink w:anchor="_Toc436042906" w:history="1">
            <w:r w:rsidRPr="00914D7B">
              <w:rPr>
                <w:rStyle w:val="Hyperlink"/>
              </w:rPr>
              <w:t>7.3</w:t>
            </w:r>
            <w:r>
              <w:rPr>
                <w:rFonts w:asciiTheme="minorHAnsi" w:eastAsiaTheme="minorEastAsia" w:hAnsiTheme="minorHAnsi"/>
                <w:b w:val="0"/>
                <w:color w:val="auto"/>
                <w:sz w:val="22"/>
                <w:lang w:eastAsia="en-AU"/>
              </w:rPr>
              <w:tab/>
            </w:r>
            <w:r w:rsidRPr="00914D7B">
              <w:rPr>
                <w:rStyle w:val="Hyperlink"/>
              </w:rPr>
              <w:t>AER’s assessment approach</w:t>
            </w:r>
            <w:r>
              <w:rPr>
                <w:webHidden/>
              </w:rPr>
              <w:tab/>
            </w:r>
            <w:r>
              <w:rPr>
                <w:webHidden/>
              </w:rPr>
              <w:fldChar w:fldCharType="begin"/>
            </w:r>
            <w:r>
              <w:rPr>
                <w:webHidden/>
              </w:rPr>
              <w:instrText xml:space="preserve"> PAGEREF _Toc436042906 \h </w:instrText>
            </w:r>
            <w:r>
              <w:rPr>
                <w:webHidden/>
              </w:rPr>
            </w:r>
            <w:r>
              <w:rPr>
                <w:webHidden/>
              </w:rPr>
              <w:fldChar w:fldCharType="separate"/>
            </w:r>
            <w:r>
              <w:rPr>
                <w:webHidden/>
              </w:rPr>
              <w:t>7-8</w:t>
            </w:r>
            <w:r>
              <w:rPr>
                <w:webHidden/>
              </w:rPr>
              <w:fldChar w:fldCharType="end"/>
            </w:r>
          </w:hyperlink>
        </w:p>
        <w:p w:rsidR="00280ABB" w:rsidRDefault="00280ABB">
          <w:pPr>
            <w:pStyle w:val="TOC3"/>
            <w:rPr>
              <w:rFonts w:asciiTheme="minorHAnsi" w:eastAsiaTheme="minorEastAsia" w:hAnsiTheme="minorHAnsi"/>
              <w:lang w:eastAsia="en-AU"/>
            </w:rPr>
          </w:pPr>
          <w:hyperlink w:anchor="_Toc436042907" w:history="1">
            <w:r w:rsidRPr="00914D7B">
              <w:rPr>
                <w:rStyle w:val="Hyperlink"/>
              </w:rPr>
              <w:t>7.3.1</w:t>
            </w:r>
            <w:r>
              <w:rPr>
                <w:rFonts w:asciiTheme="minorHAnsi" w:eastAsiaTheme="minorEastAsia" w:hAnsiTheme="minorHAnsi"/>
                <w:lang w:eastAsia="en-AU"/>
              </w:rPr>
              <w:tab/>
            </w:r>
            <w:r w:rsidRPr="00914D7B">
              <w:rPr>
                <w:rStyle w:val="Hyperlink"/>
              </w:rPr>
              <w:t>Building an alternative estimate of total forecast opex</w:t>
            </w:r>
            <w:r>
              <w:rPr>
                <w:webHidden/>
              </w:rPr>
              <w:tab/>
            </w:r>
            <w:r>
              <w:rPr>
                <w:webHidden/>
              </w:rPr>
              <w:fldChar w:fldCharType="begin"/>
            </w:r>
            <w:r>
              <w:rPr>
                <w:webHidden/>
              </w:rPr>
              <w:instrText xml:space="preserve"> PAGEREF _Toc436042907 \h </w:instrText>
            </w:r>
            <w:r>
              <w:rPr>
                <w:webHidden/>
              </w:rPr>
            </w:r>
            <w:r>
              <w:rPr>
                <w:webHidden/>
              </w:rPr>
              <w:fldChar w:fldCharType="separate"/>
            </w:r>
            <w:r>
              <w:rPr>
                <w:webHidden/>
              </w:rPr>
              <w:t>7-8</w:t>
            </w:r>
            <w:r>
              <w:rPr>
                <w:webHidden/>
              </w:rPr>
              <w:fldChar w:fldCharType="end"/>
            </w:r>
          </w:hyperlink>
        </w:p>
        <w:p w:rsidR="00280ABB" w:rsidRDefault="00280ABB">
          <w:pPr>
            <w:pStyle w:val="TOC3"/>
            <w:rPr>
              <w:rFonts w:asciiTheme="minorHAnsi" w:eastAsiaTheme="minorEastAsia" w:hAnsiTheme="minorHAnsi"/>
              <w:lang w:eastAsia="en-AU"/>
            </w:rPr>
          </w:pPr>
          <w:hyperlink w:anchor="_Toc436042908" w:history="1">
            <w:r w:rsidRPr="00914D7B">
              <w:rPr>
                <w:rStyle w:val="Hyperlink"/>
              </w:rPr>
              <w:t>7.3.2</w:t>
            </w:r>
            <w:r>
              <w:rPr>
                <w:rFonts w:asciiTheme="minorHAnsi" w:eastAsiaTheme="minorEastAsia" w:hAnsiTheme="minorHAnsi"/>
                <w:lang w:eastAsia="en-AU"/>
              </w:rPr>
              <w:tab/>
            </w:r>
            <w:r w:rsidRPr="00914D7B">
              <w:rPr>
                <w:rStyle w:val="Hyperlink"/>
              </w:rPr>
              <w:t>Interrelationships</w:t>
            </w:r>
            <w:r>
              <w:rPr>
                <w:webHidden/>
              </w:rPr>
              <w:tab/>
            </w:r>
            <w:r>
              <w:rPr>
                <w:webHidden/>
              </w:rPr>
              <w:fldChar w:fldCharType="begin"/>
            </w:r>
            <w:r>
              <w:rPr>
                <w:webHidden/>
              </w:rPr>
              <w:instrText xml:space="preserve"> PAGEREF _Toc436042908 \h </w:instrText>
            </w:r>
            <w:r>
              <w:rPr>
                <w:webHidden/>
              </w:rPr>
            </w:r>
            <w:r>
              <w:rPr>
                <w:webHidden/>
              </w:rPr>
              <w:fldChar w:fldCharType="separate"/>
            </w:r>
            <w:r>
              <w:rPr>
                <w:webHidden/>
              </w:rPr>
              <w:t>7-11</w:t>
            </w:r>
            <w:r>
              <w:rPr>
                <w:webHidden/>
              </w:rPr>
              <w:fldChar w:fldCharType="end"/>
            </w:r>
          </w:hyperlink>
        </w:p>
        <w:p w:rsidR="00280ABB" w:rsidRDefault="00280ABB">
          <w:pPr>
            <w:pStyle w:val="TOC2"/>
            <w:rPr>
              <w:rFonts w:asciiTheme="minorHAnsi" w:eastAsiaTheme="minorEastAsia" w:hAnsiTheme="minorHAnsi"/>
              <w:b w:val="0"/>
              <w:color w:val="auto"/>
              <w:sz w:val="22"/>
              <w:lang w:eastAsia="en-AU"/>
            </w:rPr>
          </w:pPr>
          <w:hyperlink w:anchor="_Toc436042909" w:history="1">
            <w:r w:rsidRPr="00914D7B">
              <w:rPr>
                <w:rStyle w:val="Hyperlink"/>
              </w:rPr>
              <w:t>7.4</w:t>
            </w:r>
            <w:r>
              <w:rPr>
                <w:rFonts w:asciiTheme="minorHAnsi" w:eastAsiaTheme="minorEastAsia" w:hAnsiTheme="minorHAnsi"/>
                <w:b w:val="0"/>
                <w:color w:val="auto"/>
                <w:sz w:val="22"/>
                <w:lang w:eastAsia="en-AU"/>
              </w:rPr>
              <w:tab/>
            </w:r>
            <w:r w:rsidRPr="00914D7B">
              <w:rPr>
                <w:rStyle w:val="Hyperlink"/>
              </w:rPr>
              <w:t>Reasons for draft decision</w:t>
            </w:r>
            <w:r>
              <w:rPr>
                <w:webHidden/>
              </w:rPr>
              <w:tab/>
            </w:r>
            <w:r>
              <w:rPr>
                <w:webHidden/>
              </w:rPr>
              <w:fldChar w:fldCharType="begin"/>
            </w:r>
            <w:r>
              <w:rPr>
                <w:webHidden/>
              </w:rPr>
              <w:instrText xml:space="preserve"> PAGEREF _Toc436042909 \h </w:instrText>
            </w:r>
            <w:r>
              <w:rPr>
                <w:webHidden/>
              </w:rPr>
            </w:r>
            <w:r>
              <w:rPr>
                <w:webHidden/>
              </w:rPr>
              <w:fldChar w:fldCharType="separate"/>
            </w:r>
            <w:r>
              <w:rPr>
                <w:webHidden/>
              </w:rPr>
              <w:t>7-11</w:t>
            </w:r>
            <w:r>
              <w:rPr>
                <w:webHidden/>
              </w:rPr>
              <w:fldChar w:fldCharType="end"/>
            </w:r>
          </w:hyperlink>
        </w:p>
        <w:p w:rsidR="00280ABB" w:rsidRDefault="00280ABB">
          <w:pPr>
            <w:pStyle w:val="TOC3"/>
            <w:rPr>
              <w:rFonts w:asciiTheme="minorHAnsi" w:eastAsiaTheme="minorEastAsia" w:hAnsiTheme="minorHAnsi"/>
              <w:lang w:eastAsia="en-AU"/>
            </w:rPr>
          </w:pPr>
          <w:hyperlink w:anchor="_Toc436042910" w:history="1">
            <w:r w:rsidRPr="00914D7B">
              <w:rPr>
                <w:rStyle w:val="Hyperlink"/>
              </w:rPr>
              <w:t>7.4.1</w:t>
            </w:r>
            <w:r>
              <w:rPr>
                <w:rFonts w:asciiTheme="minorHAnsi" w:eastAsiaTheme="minorEastAsia" w:hAnsiTheme="minorHAnsi"/>
                <w:lang w:eastAsia="en-AU"/>
              </w:rPr>
              <w:tab/>
            </w:r>
            <w:r w:rsidRPr="00914D7B">
              <w:rPr>
                <w:rStyle w:val="Hyperlink"/>
              </w:rPr>
              <w:t>Forecasting method</w:t>
            </w:r>
            <w:r>
              <w:rPr>
                <w:webHidden/>
              </w:rPr>
              <w:tab/>
            </w:r>
            <w:r>
              <w:rPr>
                <w:webHidden/>
              </w:rPr>
              <w:fldChar w:fldCharType="begin"/>
            </w:r>
            <w:r>
              <w:rPr>
                <w:webHidden/>
              </w:rPr>
              <w:instrText xml:space="preserve"> PAGEREF _Toc436042910 \h </w:instrText>
            </w:r>
            <w:r>
              <w:rPr>
                <w:webHidden/>
              </w:rPr>
            </w:r>
            <w:r>
              <w:rPr>
                <w:webHidden/>
              </w:rPr>
              <w:fldChar w:fldCharType="separate"/>
            </w:r>
            <w:r>
              <w:rPr>
                <w:webHidden/>
              </w:rPr>
              <w:t>7-12</w:t>
            </w:r>
            <w:r>
              <w:rPr>
                <w:webHidden/>
              </w:rPr>
              <w:fldChar w:fldCharType="end"/>
            </w:r>
          </w:hyperlink>
        </w:p>
        <w:p w:rsidR="00280ABB" w:rsidRDefault="00280ABB">
          <w:pPr>
            <w:pStyle w:val="TOC3"/>
            <w:rPr>
              <w:rFonts w:asciiTheme="minorHAnsi" w:eastAsiaTheme="minorEastAsia" w:hAnsiTheme="minorHAnsi"/>
              <w:lang w:eastAsia="en-AU"/>
            </w:rPr>
          </w:pPr>
          <w:hyperlink w:anchor="_Toc436042911" w:history="1">
            <w:r w:rsidRPr="00914D7B">
              <w:rPr>
                <w:rStyle w:val="Hyperlink"/>
              </w:rPr>
              <w:t>7.4.2</w:t>
            </w:r>
            <w:r>
              <w:rPr>
                <w:rFonts w:asciiTheme="minorHAnsi" w:eastAsiaTheme="minorEastAsia" w:hAnsiTheme="minorHAnsi"/>
                <w:lang w:eastAsia="en-AU"/>
              </w:rPr>
              <w:tab/>
            </w:r>
            <w:r w:rsidRPr="00914D7B">
              <w:rPr>
                <w:rStyle w:val="Hyperlink"/>
              </w:rPr>
              <w:t>Selection of base year</w:t>
            </w:r>
            <w:r>
              <w:rPr>
                <w:webHidden/>
              </w:rPr>
              <w:tab/>
            </w:r>
            <w:r>
              <w:rPr>
                <w:webHidden/>
              </w:rPr>
              <w:fldChar w:fldCharType="begin"/>
            </w:r>
            <w:r>
              <w:rPr>
                <w:webHidden/>
              </w:rPr>
              <w:instrText xml:space="preserve"> PAGEREF _Toc436042911 \h </w:instrText>
            </w:r>
            <w:r>
              <w:rPr>
                <w:webHidden/>
              </w:rPr>
            </w:r>
            <w:r>
              <w:rPr>
                <w:webHidden/>
              </w:rPr>
              <w:fldChar w:fldCharType="separate"/>
            </w:r>
            <w:r>
              <w:rPr>
                <w:webHidden/>
              </w:rPr>
              <w:t>7-13</w:t>
            </w:r>
            <w:r>
              <w:rPr>
                <w:webHidden/>
              </w:rPr>
              <w:fldChar w:fldCharType="end"/>
            </w:r>
          </w:hyperlink>
        </w:p>
        <w:p w:rsidR="00280ABB" w:rsidRDefault="00280ABB">
          <w:pPr>
            <w:pStyle w:val="TOC3"/>
            <w:rPr>
              <w:rFonts w:asciiTheme="minorHAnsi" w:eastAsiaTheme="minorEastAsia" w:hAnsiTheme="minorHAnsi"/>
              <w:lang w:eastAsia="en-AU"/>
            </w:rPr>
          </w:pPr>
          <w:hyperlink w:anchor="_Toc436042912" w:history="1">
            <w:r w:rsidRPr="00914D7B">
              <w:rPr>
                <w:rStyle w:val="Hyperlink"/>
              </w:rPr>
              <w:t>7.4.3</w:t>
            </w:r>
            <w:r>
              <w:rPr>
                <w:rFonts w:asciiTheme="minorHAnsi" w:eastAsiaTheme="minorEastAsia" w:hAnsiTheme="minorHAnsi"/>
                <w:lang w:eastAsia="en-AU"/>
              </w:rPr>
              <w:tab/>
            </w:r>
            <w:r w:rsidRPr="00914D7B">
              <w:rPr>
                <w:rStyle w:val="Hyperlink"/>
              </w:rPr>
              <w:t>Step changes</w:t>
            </w:r>
            <w:r>
              <w:rPr>
                <w:webHidden/>
              </w:rPr>
              <w:tab/>
            </w:r>
            <w:r>
              <w:rPr>
                <w:webHidden/>
              </w:rPr>
              <w:fldChar w:fldCharType="begin"/>
            </w:r>
            <w:r>
              <w:rPr>
                <w:webHidden/>
              </w:rPr>
              <w:instrText xml:space="preserve"> PAGEREF _Toc436042912 \h </w:instrText>
            </w:r>
            <w:r>
              <w:rPr>
                <w:webHidden/>
              </w:rPr>
            </w:r>
            <w:r>
              <w:rPr>
                <w:webHidden/>
              </w:rPr>
              <w:fldChar w:fldCharType="separate"/>
            </w:r>
            <w:r>
              <w:rPr>
                <w:webHidden/>
              </w:rPr>
              <w:t>7-16</w:t>
            </w:r>
            <w:r>
              <w:rPr>
                <w:webHidden/>
              </w:rPr>
              <w:fldChar w:fldCharType="end"/>
            </w:r>
          </w:hyperlink>
        </w:p>
        <w:p w:rsidR="00280ABB" w:rsidRDefault="00280ABB">
          <w:pPr>
            <w:pStyle w:val="TOC3"/>
            <w:rPr>
              <w:rFonts w:asciiTheme="minorHAnsi" w:eastAsiaTheme="minorEastAsia" w:hAnsiTheme="minorHAnsi"/>
              <w:lang w:eastAsia="en-AU"/>
            </w:rPr>
          </w:pPr>
          <w:hyperlink w:anchor="_Toc436042913" w:history="1">
            <w:r w:rsidRPr="00914D7B">
              <w:rPr>
                <w:rStyle w:val="Hyperlink"/>
              </w:rPr>
              <w:t>7.4.4</w:t>
            </w:r>
            <w:r>
              <w:rPr>
                <w:rFonts w:asciiTheme="minorHAnsi" w:eastAsiaTheme="minorEastAsia" w:hAnsiTheme="minorHAnsi"/>
                <w:lang w:eastAsia="en-AU"/>
              </w:rPr>
              <w:tab/>
            </w:r>
            <w:r w:rsidRPr="00914D7B">
              <w:rPr>
                <w:rStyle w:val="Hyperlink"/>
              </w:rPr>
              <w:t>Rate of change</w:t>
            </w:r>
            <w:r>
              <w:rPr>
                <w:webHidden/>
              </w:rPr>
              <w:tab/>
            </w:r>
            <w:r>
              <w:rPr>
                <w:webHidden/>
              </w:rPr>
              <w:fldChar w:fldCharType="begin"/>
            </w:r>
            <w:r>
              <w:rPr>
                <w:webHidden/>
              </w:rPr>
              <w:instrText xml:space="preserve"> PAGEREF _Toc436042913 \h </w:instrText>
            </w:r>
            <w:r>
              <w:rPr>
                <w:webHidden/>
              </w:rPr>
            </w:r>
            <w:r>
              <w:rPr>
                <w:webHidden/>
              </w:rPr>
              <w:fldChar w:fldCharType="separate"/>
            </w:r>
            <w:r>
              <w:rPr>
                <w:webHidden/>
              </w:rPr>
              <w:t>7-16</w:t>
            </w:r>
            <w:r>
              <w:rPr>
                <w:webHidden/>
              </w:rPr>
              <w:fldChar w:fldCharType="end"/>
            </w:r>
          </w:hyperlink>
        </w:p>
        <w:p w:rsidR="00280ABB" w:rsidRDefault="00280ABB">
          <w:pPr>
            <w:pStyle w:val="TOC3"/>
            <w:rPr>
              <w:rFonts w:asciiTheme="minorHAnsi" w:eastAsiaTheme="minorEastAsia" w:hAnsiTheme="minorHAnsi"/>
              <w:lang w:eastAsia="en-AU"/>
            </w:rPr>
          </w:pPr>
          <w:hyperlink w:anchor="_Toc436042914" w:history="1">
            <w:r w:rsidRPr="00914D7B">
              <w:rPr>
                <w:rStyle w:val="Hyperlink"/>
              </w:rPr>
              <w:t>7.4.5</w:t>
            </w:r>
            <w:r>
              <w:rPr>
                <w:rFonts w:asciiTheme="minorHAnsi" w:eastAsiaTheme="minorEastAsia" w:hAnsiTheme="minorHAnsi"/>
                <w:lang w:eastAsia="en-AU"/>
              </w:rPr>
              <w:tab/>
            </w:r>
            <w:r w:rsidRPr="00914D7B">
              <w:rPr>
                <w:rStyle w:val="Hyperlink"/>
              </w:rPr>
              <w:t>Category specific forecasts</w:t>
            </w:r>
            <w:r>
              <w:rPr>
                <w:webHidden/>
              </w:rPr>
              <w:tab/>
            </w:r>
            <w:r>
              <w:rPr>
                <w:webHidden/>
              </w:rPr>
              <w:fldChar w:fldCharType="begin"/>
            </w:r>
            <w:r>
              <w:rPr>
                <w:webHidden/>
              </w:rPr>
              <w:instrText xml:space="preserve"> PAGEREF _Toc436042914 \h </w:instrText>
            </w:r>
            <w:r>
              <w:rPr>
                <w:webHidden/>
              </w:rPr>
            </w:r>
            <w:r>
              <w:rPr>
                <w:webHidden/>
              </w:rPr>
              <w:fldChar w:fldCharType="separate"/>
            </w:r>
            <w:r>
              <w:rPr>
                <w:webHidden/>
              </w:rPr>
              <w:t>7-20</w:t>
            </w:r>
            <w:r>
              <w:rPr>
                <w:webHidden/>
              </w:rPr>
              <w:fldChar w:fldCharType="end"/>
            </w:r>
          </w:hyperlink>
        </w:p>
        <w:p w:rsidR="00DE563D" w:rsidRDefault="00631070" w:rsidP="008F4E5A">
          <w:pPr>
            <w:pStyle w:val="TOC1"/>
          </w:pPr>
          <w:r>
            <w:fldChar w:fldCharType="end"/>
          </w:r>
        </w:p>
      </w:sdtContent>
    </w:sdt>
    <w:p w:rsidR="00EE77FA" w:rsidRDefault="00DE563D" w:rsidP="00DE772C">
      <w:pPr>
        <w:pStyle w:val="UnnumberedHeading"/>
        <w:numPr>
          <w:ilvl w:val="0"/>
          <w:numId w:val="23"/>
        </w:numPr>
      </w:pPr>
      <w:bookmarkStart w:id="8" w:name="_Toc404700925"/>
      <w:bookmarkStart w:id="9" w:name="_Toc436042902"/>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2F539B" w:rsidTr="002F53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Shortened form</w:t>
            </w:r>
          </w:p>
        </w:tc>
        <w:tc>
          <w:tcPr>
            <w:tcW w:w="5041" w:type="dxa"/>
            <w:tcBorders>
              <w:top w:val="nil"/>
              <w:left w:val="nil"/>
              <w:bottom w:val="nil"/>
              <w:right w:val="nil"/>
            </w:tcBorders>
            <w:hideMark/>
          </w:tcPr>
          <w:p w:rsidR="002F539B" w:rsidRPr="002F539B" w:rsidRDefault="002F539B" w:rsidP="002F539B">
            <w:pPr>
              <w:numPr>
                <w:ilvl w:val="0"/>
                <w:numId w:val="24"/>
              </w:numPr>
              <w:cnfStyle w:val="100000000000" w:firstRow="1" w:lastRow="0" w:firstColumn="0" w:lastColumn="0" w:oddVBand="0" w:evenVBand="0" w:oddHBand="0" w:evenHBand="0" w:firstRowFirstColumn="0" w:firstRowLastColumn="0" w:lastRowFirstColumn="0" w:lastRowLastColumn="0"/>
            </w:pPr>
            <w:r w:rsidRPr="002F539B">
              <w:t>Extended form</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AA</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Access Arrangement</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AAI</w:t>
            </w:r>
          </w:p>
        </w:tc>
        <w:tc>
          <w:tcPr>
            <w:tcW w:w="5041" w:type="dxa"/>
            <w:tcBorders>
              <w:top w:val="nil"/>
              <w:left w:val="nil"/>
              <w:bottom w:val="nil"/>
              <w:right w:val="nil"/>
            </w:tcBorders>
            <w:hideMark/>
          </w:tcPr>
          <w:p w:rsidR="002F539B" w:rsidRPr="002F539B" w:rsidRDefault="002F539B" w:rsidP="002F539B">
            <w:pPr>
              <w:cnfStyle w:val="000000010000" w:firstRow="0" w:lastRow="0" w:firstColumn="0" w:lastColumn="0" w:oddVBand="0" w:evenVBand="0" w:oddHBand="0" w:evenHBand="1" w:firstRowFirstColumn="0" w:firstRowLastColumn="0" w:lastRowFirstColumn="0" w:lastRowLastColumn="0"/>
            </w:pPr>
            <w:r w:rsidRPr="002F539B">
              <w:t>Access Arrangement Information</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AER</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Australian Energy Regulator</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AGP</w:t>
            </w:r>
          </w:p>
        </w:tc>
        <w:tc>
          <w:tcPr>
            <w:tcW w:w="5041" w:type="dxa"/>
            <w:tcBorders>
              <w:top w:val="nil"/>
              <w:left w:val="nil"/>
              <w:bottom w:val="nil"/>
              <w:right w:val="nil"/>
            </w:tcBorders>
            <w:hideMark/>
          </w:tcPr>
          <w:p w:rsidR="002F539B" w:rsidRPr="002F539B" w:rsidRDefault="002F539B" w:rsidP="002F539B">
            <w:pPr>
              <w:cnfStyle w:val="000000010000" w:firstRow="0" w:lastRow="0" w:firstColumn="0" w:lastColumn="0" w:oddVBand="0" w:evenVBand="0" w:oddHBand="0" w:evenHBand="1" w:firstRowFirstColumn="0" w:firstRowLastColumn="0" w:lastRowFirstColumn="0" w:lastRowLastColumn="0"/>
            </w:pPr>
            <w:r w:rsidRPr="002F539B">
              <w:t>Amadeus Gas Pipeline</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ATO</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Australian Tax Office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capex</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capital expenditure</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CAPM</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capital asset pricing model</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CESS</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Capital Expenditure Sharing Scheme</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CPI</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consumer price index</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DRP</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debt risk premium</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EBSS</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Efficiency Benefit Sharing Scheme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ERP</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equity risk premium</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Expenditure Guideline</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Expenditure Forecast Assessment Guideline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gamma</w:t>
            </w:r>
          </w:p>
        </w:tc>
        <w:tc>
          <w:tcPr>
            <w:tcW w:w="5041" w:type="dxa"/>
            <w:tcBorders>
              <w:top w:val="nil"/>
              <w:left w:val="nil"/>
              <w:bottom w:val="nil"/>
              <w:right w:val="nil"/>
            </w:tcBorders>
            <w:hideMark/>
          </w:tcPr>
          <w:p w:rsidR="002F539B" w:rsidRPr="002F539B" w:rsidRDefault="002F539B" w:rsidP="002F539B">
            <w:pPr>
              <w:cnfStyle w:val="000000010000" w:firstRow="0" w:lastRow="0" w:firstColumn="0" w:lastColumn="0" w:oddVBand="0" w:evenVBand="0" w:oddHBand="0" w:evenHBand="1" w:firstRowFirstColumn="0" w:firstRowLastColumn="0" w:lastRowFirstColumn="0" w:lastRowLastColumn="0"/>
            </w:pPr>
            <w:r w:rsidRPr="002F539B">
              <w:t>Value of Imputation Credits</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GSL</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Guaranteed Service Level</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MRP</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market risk premium</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NEGI</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north eastern gas interconnector</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NGL</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national gas law</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NGO</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national gas objective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NGR</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national gas rules</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NPV</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net present value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opex</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operating expenditure</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PFP</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partial factor productivity</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PPI</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partial performance indicators</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PTRM</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post-tax revenue model</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RBA</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Reserve Bank of Australia</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RFM</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roll forward model</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RIN</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regulatory information notice</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RPP</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revenue and pricing principles</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SLCAPM</w:t>
            </w:r>
          </w:p>
        </w:tc>
        <w:tc>
          <w:tcPr>
            <w:tcW w:w="5041" w:type="dxa"/>
            <w:tcBorders>
              <w:top w:val="nil"/>
              <w:left w:val="nil"/>
              <w:bottom w:val="nil"/>
              <w:right w:val="nil"/>
            </w:tcBorders>
            <w:hideMark/>
          </w:tcPr>
          <w:p w:rsidR="002F539B" w:rsidRPr="002F539B" w:rsidRDefault="002F539B" w:rsidP="002F539B">
            <w:pPr>
              <w:numPr>
                <w:ilvl w:val="0"/>
                <w:numId w:val="24"/>
              </w:numPr>
              <w:cnfStyle w:val="000000010000" w:firstRow="0" w:lastRow="0" w:firstColumn="0" w:lastColumn="0" w:oddVBand="0" w:evenVBand="0" w:oddHBand="0" w:evenHBand="1" w:firstRowFirstColumn="0" w:firstRowLastColumn="0" w:lastRowFirstColumn="0" w:lastRowLastColumn="0"/>
            </w:pPr>
            <w:r w:rsidRPr="002F539B">
              <w:t>Sharpe-</w:t>
            </w:r>
            <w:proofErr w:type="spellStart"/>
            <w:r w:rsidRPr="002F539B">
              <w:t>Lintner</w:t>
            </w:r>
            <w:proofErr w:type="spellEnd"/>
            <w:r w:rsidRPr="002F539B">
              <w:t xml:space="preserve"> capital asset pricing model</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TAB</w:t>
            </w:r>
          </w:p>
        </w:tc>
        <w:tc>
          <w:tcPr>
            <w:tcW w:w="5041" w:type="dxa"/>
            <w:tcBorders>
              <w:top w:val="nil"/>
              <w:left w:val="nil"/>
              <w:bottom w:val="nil"/>
              <w:right w:val="nil"/>
            </w:tcBorders>
            <w:hideMark/>
          </w:tcPr>
          <w:p w:rsidR="002F539B" w:rsidRPr="002F539B" w:rsidRDefault="002F539B" w:rsidP="002F539B">
            <w:pPr>
              <w:cnfStyle w:val="000000000000" w:firstRow="0" w:lastRow="0" w:firstColumn="0" w:lastColumn="0" w:oddVBand="0" w:evenVBand="0" w:oddHBand="0" w:evenHBand="0" w:firstRowFirstColumn="0" w:firstRowLastColumn="0" w:lastRowFirstColumn="0" w:lastRowLastColumn="0"/>
            </w:pPr>
            <w:r w:rsidRPr="002F539B">
              <w:t>Tax asset base</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UAFG</w:t>
            </w:r>
          </w:p>
        </w:tc>
        <w:tc>
          <w:tcPr>
            <w:tcW w:w="5041" w:type="dxa"/>
            <w:tcBorders>
              <w:top w:val="nil"/>
              <w:left w:val="nil"/>
              <w:bottom w:val="nil"/>
              <w:right w:val="nil"/>
            </w:tcBorders>
            <w:hideMark/>
          </w:tcPr>
          <w:p w:rsidR="002F539B" w:rsidRPr="002F539B" w:rsidRDefault="002F539B" w:rsidP="002F539B">
            <w:pPr>
              <w:cnfStyle w:val="000000010000" w:firstRow="0" w:lastRow="0" w:firstColumn="0" w:lastColumn="0" w:oddVBand="0" w:evenVBand="0" w:oddHBand="0" w:evenHBand="1" w:firstRowFirstColumn="0" w:firstRowLastColumn="0" w:lastRowFirstColumn="0" w:lastRowLastColumn="0"/>
            </w:pPr>
            <w:r w:rsidRPr="002F539B">
              <w:t>Unaccounted for gas</w:t>
            </w:r>
          </w:p>
        </w:tc>
      </w:tr>
      <w:tr w:rsidR="002F539B" w:rsidTr="002F539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F539B" w:rsidRPr="002F539B" w:rsidRDefault="002F539B" w:rsidP="002F539B">
            <w:pPr>
              <w:numPr>
                <w:ilvl w:val="0"/>
                <w:numId w:val="24"/>
              </w:numPr>
            </w:pPr>
            <w:r w:rsidRPr="002F539B">
              <w:t>WACC</w:t>
            </w:r>
          </w:p>
        </w:tc>
        <w:tc>
          <w:tcPr>
            <w:tcW w:w="5041" w:type="dxa"/>
            <w:tcBorders>
              <w:top w:val="nil"/>
              <w:left w:val="nil"/>
              <w:bottom w:val="nil"/>
              <w:right w:val="nil"/>
            </w:tcBorders>
            <w:hideMark/>
          </w:tcPr>
          <w:p w:rsidR="002F539B" w:rsidRPr="002F539B" w:rsidRDefault="002F539B" w:rsidP="002F539B">
            <w:pPr>
              <w:numPr>
                <w:ilvl w:val="0"/>
                <w:numId w:val="24"/>
              </w:numPr>
              <w:cnfStyle w:val="000000000000" w:firstRow="0" w:lastRow="0" w:firstColumn="0" w:lastColumn="0" w:oddVBand="0" w:evenVBand="0" w:oddHBand="0" w:evenHBand="0" w:firstRowFirstColumn="0" w:firstRowLastColumn="0" w:lastRowFirstColumn="0" w:lastRowLastColumn="0"/>
            </w:pPr>
            <w:r w:rsidRPr="002F539B">
              <w:t>weighted average cost of capital</w:t>
            </w:r>
          </w:p>
        </w:tc>
      </w:tr>
      <w:tr w:rsidR="002F539B" w:rsidTr="002F53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F539B" w:rsidRPr="002F539B" w:rsidRDefault="002F539B" w:rsidP="002F539B">
            <w:pPr>
              <w:numPr>
                <w:ilvl w:val="0"/>
                <w:numId w:val="24"/>
              </w:numPr>
            </w:pPr>
            <w:r w:rsidRPr="002F539B">
              <w:t>WPI</w:t>
            </w:r>
          </w:p>
        </w:tc>
        <w:tc>
          <w:tcPr>
            <w:tcW w:w="5041" w:type="dxa"/>
            <w:tcBorders>
              <w:top w:val="nil"/>
              <w:left w:val="nil"/>
              <w:bottom w:val="single" w:sz="4" w:space="0" w:color="365F91"/>
              <w:right w:val="nil"/>
            </w:tcBorders>
            <w:hideMark/>
          </w:tcPr>
          <w:p w:rsidR="002F539B" w:rsidRPr="002F539B" w:rsidRDefault="002F539B" w:rsidP="002F539B">
            <w:pPr>
              <w:cnfStyle w:val="000000010000" w:firstRow="0" w:lastRow="0" w:firstColumn="0" w:lastColumn="0" w:oddVBand="0" w:evenVBand="0" w:oddHBand="0" w:evenHBand="1" w:firstRowFirstColumn="0" w:firstRowLastColumn="0" w:lastRowFirstColumn="0" w:lastRowLastColumn="0"/>
            </w:pPr>
            <w:r w:rsidRPr="002F539B">
              <w:t>Wage Price Index</w:t>
            </w:r>
          </w:p>
        </w:tc>
      </w:tr>
    </w:tbl>
    <w:p w:rsidR="002F539B" w:rsidRPr="002F539B" w:rsidRDefault="002F539B" w:rsidP="002F539B"/>
    <w:p w:rsidR="00DE563D" w:rsidRDefault="009A2EC3" w:rsidP="009A2EC3">
      <w:pPr>
        <w:pStyle w:val="Heading1"/>
      </w:pPr>
      <w:bookmarkStart w:id="10" w:name="_Toc436042903"/>
      <w:r>
        <w:t>Operating expenditure</w:t>
      </w:r>
      <w:bookmarkEnd w:id="10"/>
    </w:p>
    <w:p w:rsidR="00970AF6" w:rsidRPr="00970AF6" w:rsidRDefault="00970AF6" w:rsidP="00970AF6">
      <w:r w:rsidRPr="00970AF6">
        <w:t xml:space="preserve">Forecast </w:t>
      </w:r>
      <w:r w:rsidR="0005421A">
        <w:t>operating expenditure (</w:t>
      </w:r>
      <w:r w:rsidRPr="00970AF6">
        <w:t>opex</w:t>
      </w:r>
      <w:r w:rsidR="0005421A">
        <w:t>)</w:t>
      </w:r>
      <w:r w:rsidRPr="00970AF6">
        <w:t xml:space="preserve"> is the forecast operating, maintenance and other non-capital costs incurred in the provision of </w:t>
      </w:r>
      <w:r w:rsidR="001804F0">
        <w:t>reference</w:t>
      </w:r>
      <w:r w:rsidRPr="00970AF6">
        <w:t xml:space="preserve"> services</w:t>
      </w:r>
      <w:r w:rsidR="001804F0">
        <w:t xml:space="preserve"> for a pipeline</w:t>
      </w:r>
      <w:r w:rsidRPr="00970AF6">
        <w:t xml:space="preserve">. It includes labour costs and other non-capital costs that a prudent service provider is likely to require during </w:t>
      </w:r>
      <w:r w:rsidR="00BC7736">
        <w:t>an</w:t>
      </w:r>
      <w:r w:rsidRPr="00970AF6">
        <w:t xml:space="preserve"> access arrangement period for the efficient operation of its </w:t>
      </w:r>
      <w:r w:rsidR="00D93A97">
        <w:t>pipeline</w:t>
      </w:r>
      <w:r w:rsidRPr="00970AF6">
        <w:t>.</w:t>
      </w:r>
    </w:p>
    <w:p w:rsidR="009A5113" w:rsidRDefault="00CF2C05" w:rsidP="00970AF6">
      <w:pPr>
        <w:pStyle w:val="Heading2"/>
      </w:pPr>
      <w:bookmarkStart w:id="11" w:name="_Toc408404320"/>
      <w:bookmarkStart w:id="12" w:name="_Toc436042904"/>
      <w:r>
        <w:t>Draft</w:t>
      </w:r>
      <w:r w:rsidR="009A5113" w:rsidRPr="0074565D">
        <w:t xml:space="preserve"> decision</w:t>
      </w:r>
      <w:bookmarkEnd w:id="11"/>
      <w:bookmarkEnd w:id="12"/>
    </w:p>
    <w:p w:rsidR="00970AF6" w:rsidRDefault="00970AF6" w:rsidP="00970AF6">
      <w:r>
        <w:t xml:space="preserve">We are satisfied that the forecast of total opex APTNT proposed </w:t>
      </w:r>
      <w:r w:rsidR="00DD62E7">
        <w:t>complies with</w:t>
      </w:r>
      <w:r>
        <w:t xml:space="preserve"> the opex criteria</w:t>
      </w:r>
      <w:r w:rsidR="00BC185B">
        <w:t>, and satisfies the criteria</w:t>
      </w:r>
      <w:r>
        <w:t xml:space="preserve"> for forecasts and estimates.</w:t>
      </w:r>
      <w:r w:rsidR="00F24028">
        <w:rPr>
          <w:rStyle w:val="FootnoteReference"/>
        </w:rPr>
        <w:footnoteReference w:id="1"/>
      </w:r>
      <w:r>
        <w:t xml:space="preserve"> We therefore accept the forecast of opex APTNT included in its </w:t>
      </w:r>
      <w:r w:rsidR="001804F0">
        <w:t>access arrangement</w:t>
      </w:r>
      <w:r>
        <w:t xml:space="preserve"> proposal. APTNT’s </w:t>
      </w:r>
      <w:r w:rsidR="001804F0">
        <w:t xml:space="preserve">proposed </w:t>
      </w:r>
      <w:r>
        <w:t xml:space="preserve">total opex </w:t>
      </w:r>
      <w:r w:rsidR="001804F0">
        <w:t xml:space="preserve">and our draft decision on opex </w:t>
      </w:r>
      <w:r>
        <w:t>for the 201</w:t>
      </w:r>
      <w:r w:rsidR="00D93A97">
        <w:t>6</w:t>
      </w:r>
      <w:r w:rsidR="00C51763">
        <w:t>–</w:t>
      </w:r>
      <w:r>
        <w:t xml:space="preserve">21 access arrangement </w:t>
      </w:r>
      <w:proofErr w:type="gramStart"/>
      <w:r>
        <w:t>period</w:t>
      </w:r>
      <w:proofErr w:type="gramEnd"/>
      <w:r>
        <w:t xml:space="preserve"> </w:t>
      </w:r>
      <w:r w:rsidR="00DD62E7">
        <w:t>are</w:t>
      </w:r>
      <w:r>
        <w:t xml:space="preserve"> in </w:t>
      </w:r>
      <w:r w:rsidR="00C51763">
        <w:fldChar w:fldCharType="begin"/>
      </w:r>
      <w:r w:rsidR="00C51763">
        <w:instrText xml:space="preserve"> REF _Ref404170016 \h </w:instrText>
      </w:r>
      <w:r w:rsidR="00C51763">
        <w:fldChar w:fldCharType="separate"/>
      </w:r>
      <w:r w:rsidR="00557882">
        <w:t xml:space="preserve">Table </w:t>
      </w:r>
      <w:r w:rsidR="00557882">
        <w:rPr>
          <w:noProof/>
        </w:rPr>
        <w:t>7</w:t>
      </w:r>
      <w:r w:rsidR="00557882">
        <w:t>.</w:t>
      </w:r>
      <w:r w:rsidR="00557882">
        <w:rPr>
          <w:noProof/>
        </w:rPr>
        <w:t>1</w:t>
      </w:r>
      <w:r w:rsidR="00C51763">
        <w:fldChar w:fldCharType="end"/>
      </w:r>
      <w:r>
        <w:t>.</w:t>
      </w:r>
    </w:p>
    <w:p w:rsidR="00970AF6" w:rsidRDefault="00970AF6" w:rsidP="00970AF6">
      <w:pPr>
        <w:pStyle w:val="Caption"/>
      </w:pPr>
      <w:bookmarkStart w:id="13" w:name="_Ref404170016"/>
      <w:r>
        <w:t xml:space="preserve">Table </w:t>
      </w:r>
      <w:r w:rsidR="002F539B">
        <w:fldChar w:fldCharType="begin"/>
      </w:r>
      <w:r w:rsidR="002F539B">
        <w:instrText xml:space="preserve"> STYLEREF 1 \s </w:instrText>
      </w:r>
      <w:r w:rsidR="002F539B">
        <w:fldChar w:fldCharType="separate"/>
      </w:r>
      <w:r w:rsidR="009B0CED">
        <w:rPr>
          <w:noProof/>
        </w:rPr>
        <w:t>7</w:t>
      </w:r>
      <w:r w:rsidR="002F539B">
        <w:rPr>
          <w:noProof/>
        </w:rPr>
        <w:fldChar w:fldCharType="end"/>
      </w:r>
      <w:r w:rsidR="009B0CED">
        <w:t>.</w:t>
      </w:r>
      <w:r w:rsidR="002F539B">
        <w:fldChar w:fldCharType="begin"/>
      </w:r>
      <w:r w:rsidR="002F539B">
        <w:instrText xml:space="preserve"> SEQ Table \* ARABIC \s 1 </w:instrText>
      </w:r>
      <w:r w:rsidR="002F539B">
        <w:fldChar w:fldCharType="separate"/>
      </w:r>
      <w:r w:rsidR="009B0CED">
        <w:rPr>
          <w:noProof/>
        </w:rPr>
        <w:t>1</w:t>
      </w:r>
      <w:r w:rsidR="002F539B">
        <w:rPr>
          <w:noProof/>
        </w:rPr>
        <w:fldChar w:fldCharType="end"/>
      </w:r>
      <w:bookmarkEnd w:id="13"/>
      <w:r>
        <w:tab/>
      </w:r>
      <w:bookmarkStart w:id="14" w:name="_Ref388280805"/>
      <w:r w:rsidR="00C51763">
        <w:t xml:space="preserve">AER </w:t>
      </w:r>
      <w:r>
        <w:t xml:space="preserve">draft decision on </w:t>
      </w:r>
      <w:r w:rsidR="00576364">
        <w:t xml:space="preserve">APTNT’s </w:t>
      </w:r>
      <w:r>
        <w:t>total opex ($million, 2015–16)</w:t>
      </w:r>
      <w:bookmarkEnd w:id="14"/>
    </w:p>
    <w:tbl>
      <w:tblPr>
        <w:tblStyle w:val="AERtable-numbers"/>
        <w:tblW w:w="0" w:type="auto"/>
        <w:tblLook w:val="04A0" w:firstRow="1" w:lastRow="0" w:firstColumn="1" w:lastColumn="0" w:noHBand="0" w:noVBand="1"/>
      </w:tblPr>
      <w:tblGrid>
        <w:gridCol w:w="1497"/>
        <w:gridCol w:w="1217"/>
        <w:gridCol w:w="1217"/>
        <w:gridCol w:w="1217"/>
        <w:gridCol w:w="1217"/>
        <w:gridCol w:w="1111"/>
        <w:gridCol w:w="1111"/>
      </w:tblGrid>
      <w:tr w:rsidR="00007FFA" w:rsidTr="00611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rsidR="00007FFA" w:rsidRDefault="00007FFA" w:rsidP="00873434">
            <w:pPr>
              <w:pStyle w:val="AERtabletextleft"/>
            </w:pPr>
          </w:p>
        </w:tc>
        <w:tc>
          <w:tcPr>
            <w:tcW w:w="1217" w:type="dxa"/>
          </w:tcPr>
          <w:p w:rsidR="00007FFA" w:rsidRPr="00574A1D" w:rsidRDefault="00007FFA" w:rsidP="0061140D">
            <w:pPr>
              <w:pStyle w:val="AERtabletextright"/>
              <w:jc w:val="center"/>
              <w:cnfStyle w:val="100000000000" w:firstRow="1" w:lastRow="0" w:firstColumn="0" w:lastColumn="0" w:oddVBand="0" w:evenVBand="0" w:oddHBand="0" w:evenHBand="0" w:firstRowFirstColumn="0" w:firstRowLastColumn="0" w:lastRowFirstColumn="0" w:lastRowLastColumn="0"/>
            </w:pPr>
            <w:r>
              <w:t>2016–17</w:t>
            </w:r>
          </w:p>
        </w:tc>
        <w:tc>
          <w:tcPr>
            <w:tcW w:w="1217" w:type="dxa"/>
          </w:tcPr>
          <w:p w:rsidR="00007FFA" w:rsidRPr="00574A1D" w:rsidRDefault="00007FFA" w:rsidP="0061140D">
            <w:pPr>
              <w:pStyle w:val="AERtabletextright"/>
              <w:jc w:val="center"/>
              <w:cnfStyle w:val="100000000000" w:firstRow="1" w:lastRow="0" w:firstColumn="0" w:lastColumn="0" w:oddVBand="0" w:evenVBand="0" w:oddHBand="0" w:evenHBand="0" w:firstRowFirstColumn="0" w:firstRowLastColumn="0" w:lastRowFirstColumn="0" w:lastRowLastColumn="0"/>
            </w:pPr>
            <w:r>
              <w:t>2017–18</w:t>
            </w:r>
          </w:p>
        </w:tc>
        <w:tc>
          <w:tcPr>
            <w:tcW w:w="1217" w:type="dxa"/>
          </w:tcPr>
          <w:p w:rsidR="00007FFA" w:rsidRPr="00574A1D" w:rsidRDefault="00007FFA" w:rsidP="0061140D">
            <w:pPr>
              <w:pStyle w:val="AERtabletextright"/>
              <w:jc w:val="center"/>
              <w:cnfStyle w:val="100000000000" w:firstRow="1" w:lastRow="0" w:firstColumn="0" w:lastColumn="0" w:oddVBand="0" w:evenVBand="0" w:oddHBand="0" w:evenHBand="0" w:firstRowFirstColumn="0" w:firstRowLastColumn="0" w:lastRowFirstColumn="0" w:lastRowLastColumn="0"/>
            </w:pPr>
            <w:r>
              <w:t>2018–19</w:t>
            </w:r>
          </w:p>
        </w:tc>
        <w:tc>
          <w:tcPr>
            <w:tcW w:w="1217" w:type="dxa"/>
          </w:tcPr>
          <w:p w:rsidR="00007FFA" w:rsidRPr="00574A1D" w:rsidRDefault="00007FFA" w:rsidP="0061140D">
            <w:pPr>
              <w:pStyle w:val="AERtabletextright"/>
              <w:jc w:val="center"/>
              <w:cnfStyle w:val="100000000000" w:firstRow="1" w:lastRow="0" w:firstColumn="0" w:lastColumn="0" w:oddVBand="0" w:evenVBand="0" w:oddHBand="0" w:evenHBand="0" w:firstRowFirstColumn="0" w:firstRowLastColumn="0" w:lastRowFirstColumn="0" w:lastRowLastColumn="0"/>
            </w:pPr>
            <w:r>
              <w:t>2019–20</w:t>
            </w:r>
          </w:p>
        </w:tc>
        <w:tc>
          <w:tcPr>
            <w:tcW w:w="1111" w:type="dxa"/>
          </w:tcPr>
          <w:p w:rsidR="00007FFA" w:rsidRDefault="00007FFA" w:rsidP="00C51763">
            <w:pPr>
              <w:pStyle w:val="AERtabletextright"/>
              <w:jc w:val="center"/>
              <w:cnfStyle w:val="100000000000" w:firstRow="1" w:lastRow="0" w:firstColumn="0" w:lastColumn="0" w:oddVBand="0" w:evenVBand="0" w:oddHBand="0" w:evenHBand="0" w:firstRowFirstColumn="0" w:firstRowLastColumn="0" w:lastRowFirstColumn="0" w:lastRowLastColumn="0"/>
            </w:pPr>
            <w:r>
              <w:t>2020</w:t>
            </w:r>
            <w:r w:rsidR="00C51763">
              <w:t>–</w:t>
            </w:r>
            <w:r>
              <w:t>21</w:t>
            </w:r>
          </w:p>
        </w:tc>
        <w:tc>
          <w:tcPr>
            <w:tcW w:w="1111" w:type="dxa"/>
          </w:tcPr>
          <w:p w:rsidR="00007FFA" w:rsidRPr="00574A1D" w:rsidRDefault="00007FFA" w:rsidP="0061140D">
            <w:pPr>
              <w:pStyle w:val="AERtabletextright"/>
              <w:jc w:val="center"/>
              <w:cnfStyle w:val="100000000000" w:firstRow="1" w:lastRow="0" w:firstColumn="0" w:lastColumn="0" w:oddVBand="0" w:evenVBand="0" w:oddHBand="0" w:evenHBand="0" w:firstRowFirstColumn="0" w:firstRowLastColumn="0" w:lastRowFirstColumn="0" w:lastRowLastColumn="0"/>
            </w:pPr>
            <w:r>
              <w:t>Total</w:t>
            </w:r>
          </w:p>
        </w:tc>
      </w:tr>
      <w:tr w:rsidR="00007FFA" w:rsidTr="0061140D">
        <w:tc>
          <w:tcPr>
            <w:cnfStyle w:val="001000000000" w:firstRow="0" w:lastRow="0" w:firstColumn="1" w:lastColumn="0" w:oddVBand="0" w:evenVBand="0" w:oddHBand="0" w:evenHBand="0" w:firstRowFirstColumn="0" w:firstRowLastColumn="0" w:lastRowFirstColumn="0" w:lastRowLastColumn="0"/>
            <w:tcW w:w="1497" w:type="dxa"/>
          </w:tcPr>
          <w:p w:rsidR="00007FFA" w:rsidRPr="00574A1D" w:rsidRDefault="00007FFA" w:rsidP="00007FFA">
            <w:pPr>
              <w:pStyle w:val="AERtabletextleft"/>
            </w:pPr>
            <w:r>
              <w:t>APTNT</w:t>
            </w:r>
            <w:r w:rsidRPr="00B47806">
              <w:t>'s proposal</w:t>
            </w:r>
          </w:p>
        </w:tc>
        <w:tc>
          <w:tcPr>
            <w:tcW w:w="1217"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11.9</w:t>
            </w:r>
          </w:p>
        </w:tc>
        <w:tc>
          <w:tcPr>
            <w:tcW w:w="1217"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12.9</w:t>
            </w:r>
          </w:p>
        </w:tc>
        <w:tc>
          <w:tcPr>
            <w:tcW w:w="1217"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13.9</w:t>
            </w:r>
          </w:p>
        </w:tc>
        <w:tc>
          <w:tcPr>
            <w:tcW w:w="1217"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11.8</w:t>
            </w:r>
          </w:p>
        </w:tc>
        <w:tc>
          <w:tcPr>
            <w:tcW w:w="1111"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12.3</w:t>
            </w:r>
          </w:p>
        </w:tc>
        <w:tc>
          <w:tcPr>
            <w:tcW w:w="1111" w:type="dxa"/>
          </w:tcPr>
          <w:p w:rsidR="00007FFA" w:rsidRPr="00574A1D" w:rsidRDefault="00007FFA"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62.8</w:t>
            </w:r>
          </w:p>
        </w:tc>
      </w:tr>
      <w:tr w:rsidR="00007FFA" w:rsidTr="006114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rsidR="00007FFA" w:rsidRPr="00574A1D" w:rsidRDefault="00007FFA" w:rsidP="00873434">
            <w:pPr>
              <w:pStyle w:val="AERtabletextleft"/>
            </w:pPr>
            <w:r>
              <w:t>AER draft decision</w:t>
            </w:r>
          </w:p>
        </w:tc>
        <w:tc>
          <w:tcPr>
            <w:tcW w:w="1217"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11.9</w:t>
            </w:r>
          </w:p>
        </w:tc>
        <w:tc>
          <w:tcPr>
            <w:tcW w:w="1217"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12.9</w:t>
            </w:r>
          </w:p>
        </w:tc>
        <w:tc>
          <w:tcPr>
            <w:tcW w:w="1217"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13.9</w:t>
            </w:r>
          </w:p>
        </w:tc>
        <w:tc>
          <w:tcPr>
            <w:tcW w:w="1217"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11.8</w:t>
            </w:r>
          </w:p>
        </w:tc>
        <w:tc>
          <w:tcPr>
            <w:tcW w:w="1111"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12.3</w:t>
            </w:r>
          </w:p>
        </w:tc>
        <w:tc>
          <w:tcPr>
            <w:tcW w:w="1111" w:type="dxa"/>
          </w:tcPr>
          <w:p w:rsidR="00007FFA" w:rsidRPr="00574A1D" w:rsidRDefault="0061140D" w:rsidP="0061140D">
            <w:pPr>
              <w:pStyle w:val="AERtabletextright"/>
              <w:jc w:val="center"/>
              <w:cnfStyle w:val="000000010000" w:firstRow="0" w:lastRow="0" w:firstColumn="0" w:lastColumn="0" w:oddVBand="0" w:evenVBand="0" w:oddHBand="0" w:evenHBand="1" w:firstRowFirstColumn="0" w:firstRowLastColumn="0" w:lastRowFirstColumn="0" w:lastRowLastColumn="0"/>
            </w:pPr>
            <w:r>
              <w:t>62.8</w:t>
            </w:r>
          </w:p>
        </w:tc>
      </w:tr>
      <w:tr w:rsidR="00007FFA" w:rsidTr="0061140D">
        <w:tc>
          <w:tcPr>
            <w:cnfStyle w:val="001000000000" w:firstRow="0" w:lastRow="0" w:firstColumn="1" w:lastColumn="0" w:oddVBand="0" w:evenVBand="0" w:oddHBand="0" w:evenHBand="0" w:firstRowFirstColumn="0" w:firstRowLastColumn="0" w:lastRowFirstColumn="0" w:lastRowLastColumn="0"/>
            <w:tcW w:w="1497" w:type="dxa"/>
          </w:tcPr>
          <w:p w:rsidR="00007FFA" w:rsidRPr="00574A1D" w:rsidRDefault="00007FFA" w:rsidP="00873434">
            <w:pPr>
              <w:pStyle w:val="AERtabletextleft"/>
            </w:pPr>
            <w:r w:rsidRPr="00B47806">
              <w:t>Difference</w:t>
            </w:r>
          </w:p>
        </w:tc>
        <w:tc>
          <w:tcPr>
            <w:tcW w:w="1217" w:type="dxa"/>
          </w:tcPr>
          <w:p w:rsidR="00007FFA" w:rsidRPr="00574A1D"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007FFA" w:rsidRPr="00574A1D"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007FFA" w:rsidRPr="00574A1D"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007FFA" w:rsidRPr="00574A1D"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c>
          <w:tcPr>
            <w:tcW w:w="1111" w:type="dxa"/>
          </w:tcPr>
          <w:p w:rsidR="00007FFA"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c>
          <w:tcPr>
            <w:tcW w:w="1111" w:type="dxa"/>
          </w:tcPr>
          <w:p w:rsidR="00007FFA" w:rsidRPr="00574A1D" w:rsidRDefault="0061140D" w:rsidP="0061140D">
            <w:pPr>
              <w:pStyle w:val="AERtabletextright"/>
              <w:jc w:val="center"/>
              <w:cnfStyle w:val="000000000000" w:firstRow="0" w:lastRow="0" w:firstColumn="0" w:lastColumn="0" w:oddVBand="0" w:evenVBand="0" w:oddHBand="0" w:evenHBand="0" w:firstRowFirstColumn="0" w:firstRowLastColumn="0" w:lastRowFirstColumn="0" w:lastRowLastColumn="0"/>
            </w:pPr>
            <w:r>
              <w:t>–</w:t>
            </w:r>
          </w:p>
        </w:tc>
      </w:tr>
    </w:tbl>
    <w:p w:rsidR="00970AF6" w:rsidRPr="00B47806" w:rsidRDefault="00970AF6" w:rsidP="00970AF6">
      <w:pPr>
        <w:pStyle w:val="AERtablesource"/>
      </w:pPr>
      <w:r w:rsidRPr="00B47806">
        <w:t>Source:</w:t>
      </w:r>
      <w:r w:rsidRPr="00B47806">
        <w:tab/>
      </w:r>
      <w:r w:rsidR="00D93A97">
        <w:t xml:space="preserve">APTNT, </w:t>
      </w:r>
      <w:r w:rsidR="00D93A97" w:rsidRPr="004F0CFB">
        <w:rPr>
          <w:rStyle w:val="AERtextitalic"/>
        </w:rPr>
        <w:t>2016-21 Access arrangement information</w:t>
      </w:r>
      <w:r w:rsidR="00D93A97">
        <w:t>, August 2015 – Opex model;</w:t>
      </w:r>
      <w:r w:rsidR="00D93A97" w:rsidRPr="00B47806">
        <w:t xml:space="preserve"> </w:t>
      </w:r>
      <w:r w:rsidRPr="00B47806">
        <w:t>AER analysis.</w:t>
      </w:r>
    </w:p>
    <w:p w:rsidR="009A5113" w:rsidRDefault="00D93A97" w:rsidP="009A5113">
      <w:pPr>
        <w:pStyle w:val="Heading2"/>
      </w:pPr>
      <w:bookmarkStart w:id="15" w:name="_Toc436042905"/>
      <w:r>
        <w:t>APTNT’s</w:t>
      </w:r>
      <w:r w:rsidR="005C0A7F">
        <w:t xml:space="preserve"> proposal</w:t>
      </w:r>
      <w:bookmarkEnd w:id="15"/>
    </w:p>
    <w:p w:rsidR="00AC2F41" w:rsidRPr="00AC2F41" w:rsidRDefault="00AC2F41" w:rsidP="00AC2F41">
      <w:r>
        <w:t>APTNT proposed total opex of $63 million for the 201</w:t>
      </w:r>
      <w:r w:rsidR="0061140D">
        <w:t>6</w:t>
      </w:r>
      <w:r w:rsidR="00C51763">
        <w:t>–</w:t>
      </w:r>
      <w:r>
        <w:t>21 access arrangement period.</w:t>
      </w:r>
      <w:r w:rsidR="009B0CED">
        <w:rPr>
          <w:rStyle w:val="FootnoteReference"/>
        </w:rPr>
        <w:footnoteReference w:id="2"/>
      </w:r>
      <w:r w:rsidR="00007FFA">
        <w:t xml:space="preserve"> This is an 8 per cent real increase in actual expenditure compared to the </w:t>
      </w:r>
      <w:r w:rsidR="00576BEC">
        <w:t>2011</w:t>
      </w:r>
      <w:r w:rsidR="00C51763">
        <w:t>–</w:t>
      </w:r>
      <w:r w:rsidR="00576BEC">
        <w:t>16</w:t>
      </w:r>
      <w:r w:rsidR="00007FFA">
        <w:t xml:space="preserve"> period.</w:t>
      </w:r>
    </w:p>
    <w:p w:rsidR="00007FFA" w:rsidRDefault="00C51763" w:rsidP="00C51763">
      <w:pPr>
        <w:pStyle w:val="Caption"/>
      </w:pPr>
      <w:r>
        <w:t xml:space="preserve">Figure </w:t>
      </w:r>
      <w:r w:rsidR="002F539B">
        <w:fldChar w:fldCharType="begin"/>
      </w:r>
      <w:r w:rsidR="002F539B">
        <w:instrText xml:space="preserve"> STYLEREF 1 \s </w:instrText>
      </w:r>
      <w:r w:rsidR="002F539B">
        <w:fldChar w:fldCharType="separate"/>
      </w:r>
      <w:r w:rsidR="009B0CED">
        <w:rPr>
          <w:noProof/>
        </w:rPr>
        <w:t>7</w:t>
      </w:r>
      <w:r w:rsidR="002F539B">
        <w:rPr>
          <w:noProof/>
        </w:rPr>
        <w:fldChar w:fldCharType="end"/>
      </w:r>
      <w:r w:rsidR="009B0CED">
        <w:t>.</w:t>
      </w:r>
      <w:r w:rsidR="002F539B">
        <w:fldChar w:fldCharType="begin"/>
      </w:r>
      <w:r w:rsidR="002F539B">
        <w:instrText xml:space="preserve"> SEQ Figure \* ARABIC \s 1 </w:instrText>
      </w:r>
      <w:r w:rsidR="002F539B">
        <w:fldChar w:fldCharType="separate"/>
      </w:r>
      <w:r w:rsidR="009B0CED">
        <w:rPr>
          <w:noProof/>
        </w:rPr>
        <w:t>1</w:t>
      </w:r>
      <w:r w:rsidR="002F539B">
        <w:rPr>
          <w:noProof/>
        </w:rPr>
        <w:fldChar w:fldCharType="end"/>
      </w:r>
      <w:r>
        <w:tab/>
      </w:r>
      <w:r w:rsidR="00FB5D4F">
        <w:t xml:space="preserve">APTNT’s historical and forecast opex ($million, </w:t>
      </w:r>
      <w:r w:rsidR="003D1E73">
        <w:t>2015–16</w:t>
      </w:r>
      <w:r w:rsidR="00FB5D4F">
        <w:t>)</w:t>
      </w:r>
    </w:p>
    <w:p w:rsidR="00970AF6" w:rsidRDefault="001804F0" w:rsidP="00970AF6">
      <w:r>
        <w:rPr>
          <w:noProof/>
          <w:lang w:eastAsia="en-AU"/>
        </w:rPr>
        <w:drawing>
          <wp:inline distT="0" distB="0" distL="0" distR="0" wp14:anchorId="3A3556AA" wp14:editId="2B4A9AF7">
            <wp:extent cx="5400675" cy="365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404126" cy="3659937"/>
                    </a:xfrm>
                    <a:prstGeom prst="rect">
                      <a:avLst/>
                    </a:prstGeom>
                    <a:noFill/>
                    <a:ln>
                      <a:noFill/>
                    </a:ln>
                    <a:extLst>
                      <a:ext uri="{53640926-AAD7-44D8-BBD7-CCE9431645EC}">
                        <a14:shadowObscured xmlns:a14="http://schemas.microsoft.com/office/drawing/2010/main"/>
                      </a:ext>
                    </a:extLst>
                  </pic:spPr>
                </pic:pic>
              </a:graphicData>
            </a:graphic>
          </wp:inline>
        </w:drawing>
      </w:r>
    </w:p>
    <w:p w:rsidR="00AC2F41" w:rsidRDefault="00AC2F41" w:rsidP="004F0CFB">
      <w:pPr>
        <w:pStyle w:val="AERtablesource"/>
      </w:pPr>
      <w:r>
        <w:t xml:space="preserve">Source: </w:t>
      </w:r>
      <w:r>
        <w:tab/>
      </w:r>
      <w:r w:rsidR="004F0CFB">
        <w:t xml:space="preserve">APTNT, </w:t>
      </w:r>
      <w:r w:rsidR="004F0CFB" w:rsidRPr="004F0CFB">
        <w:rPr>
          <w:rStyle w:val="AERtextitalic"/>
        </w:rPr>
        <w:t xml:space="preserve">2016-21 Access </w:t>
      </w:r>
      <w:r w:rsidR="00BC7736" w:rsidRPr="004F0CFB">
        <w:rPr>
          <w:rStyle w:val="AERtextitalic"/>
        </w:rPr>
        <w:t>Arrangement Information</w:t>
      </w:r>
      <w:r w:rsidR="004F0CFB">
        <w:t xml:space="preserve">, </w:t>
      </w:r>
      <w:r w:rsidR="00D93A97">
        <w:t>August 2015 – Opex model</w:t>
      </w:r>
      <w:r w:rsidR="004F0CFB">
        <w:t>; APTNT, RIN response, August 2015.</w:t>
      </w:r>
    </w:p>
    <w:p w:rsidR="00AC2F41" w:rsidRDefault="00FB5D4F" w:rsidP="00970AF6">
      <w:r>
        <w:t xml:space="preserve">APTNT forecast most of its opex using </w:t>
      </w:r>
      <w:r w:rsidR="003D1E73">
        <w:t>2014–15</w:t>
      </w:r>
      <w:r>
        <w:t xml:space="preserve"> </w:t>
      </w:r>
      <w:r w:rsidR="00DD62E7">
        <w:t xml:space="preserve">opex </w:t>
      </w:r>
      <w:r>
        <w:t xml:space="preserve">as a base and trending </w:t>
      </w:r>
      <w:r w:rsidR="00DD62E7">
        <w:t>it</w:t>
      </w:r>
      <w:r>
        <w:t xml:space="preserve"> forward by applying a forecast rate of change, which incorporated changes in labour costs. It then added</w:t>
      </w:r>
      <w:r w:rsidR="00314967">
        <w:t xml:space="preserve"> a specific category</w:t>
      </w:r>
      <w:r>
        <w:t xml:space="preserve"> forecast</w:t>
      </w:r>
      <w:r w:rsidR="00314967">
        <w:t xml:space="preserve"> for</w:t>
      </w:r>
      <w:r>
        <w:t xml:space="preserve"> intelligent pigging</w:t>
      </w:r>
      <w:r w:rsidR="00271955">
        <w:rPr>
          <w:rStyle w:val="FootnoteReference"/>
        </w:rPr>
        <w:footnoteReference w:id="3"/>
      </w:r>
      <w:r>
        <w:t xml:space="preserve"> to derive its total opex forecast. </w:t>
      </w:r>
      <w:r w:rsidR="00C51763">
        <w:fldChar w:fldCharType="begin"/>
      </w:r>
      <w:r w:rsidR="00C51763">
        <w:instrText xml:space="preserve"> REF _Ref433278696 \h </w:instrText>
      </w:r>
      <w:r w:rsidR="00C51763">
        <w:fldChar w:fldCharType="separate"/>
      </w:r>
      <w:r w:rsidR="00C51763">
        <w:t xml:space="preserve">Table </w:t>
      </w:r>
      <w:r w:rsidR="00C51763">
        <w:rPr>
          <w:noProof/>
        </w:rPr>
        <w:t>7</w:t>
      </w:r>
      <w:r w:rsidR="00C51763">
        <w:t>.</w:t>
      </w:r>
      <w:r w:rsidR="00C51763">
        <w:rPr>
          <w:noProof/>
        </w:rPr>
        <w:t>2</w:t>
      </w:r>
      <w:r w:rsidR="00C51763">
        <w:fldChar w:fldCharType="end"/>
      </w:r>
      <w:r w:rsidR="00C51763">
        <w:t xml:space="preserve"> </w:t>
      </w:r>
      <w:r>
        <w:t>disaggregates APTNT’s forecast into its separate components.</w:t>
      </w:r>
    </w:p>
    <w:p w:rsidR="00FB5D4F" w:rsidRDefault="00C51763" w:rsidP="00FB5D4F">
      <w:pPr>
        <w:pStyle w:val="Caption"/>
      </w:pPr>
      <w:bookmarkStart w:id="16" w:name="_Ref433278696"/>
      <w:r>
        <w:t xml:space="preserve">Table </w:t>
      </w:r>
      <w:r w:rsidR="002F539B">
        <w:fldChar w:fldCharType="begin"/>
      </w:r>
      <w:r w:rsidR="002F539B">
        <w:instrText xml:space="preserve"> STYLEREF 1 \s </w:instrText>
      </w:r>
      <w:r w:rsidR="002F539B">
        <w:fldChar w:fldCharType="separate"/>
      </w:r>
      <w:r w:rsidR="009B0CED">
        <w:rPr>
          <w:noProof/>
        </w:rPr>
        <w:t>7</w:t>
      </w:r>
      <w:r w:rsidR="002F539B">
        <w:rPr>
          <w:noProof/>
        </w:rPr>
        <w:fldChar w:fldCharType="end"/>
      </w:r>
      <w:r w:rsidR="009B0CED">
        <w:t>.</w:t>
      </w:r>
      <w:r w:rsidR="002F539B">
        <w:fldChar w:fldCharType="begin"/>
      </w:r>
      <w:r w:rsidR="002F539B">
        <w:instrText xml:space="preserve"> SEQ Table \* ARABIC \s 1 </w:instrText>
      </w:r>
      <w:r w:rsidR="002F539B">
        <w:fldChar w:fldCharType="separate"/>
      </w:r>
      <w:r w:rsidR="009B0CED">
        <w:rPr>
          <w:noProof/>
        </w:rPr>
        <w:t>2</w:t>
      </w:r>
      <w:r w:rsidR="002F539B">
        <w:rPr>
          <w:noProof/>
        </w:rPr>
        <w:fldChar w:fldCharType="end"/>
      </w:r>
      <w:bookmarkEnd w:id="16"/>
      <w:r w:rsidR="00FB5D4F">
        <w:tab/>
        <w:t xml:space="preserve">APTNT’s forecast opex ($ million, </w:t>
      </w:r>
      <w:r w:rsidR="003D1E73">
        <w:t>2015–16</w:t>
      </w:r>
      <w:r w:rsidR="00FB5D4F">
        <w:t>)</w:t>
      </w:r>
    </w:p>
    <w:tbl>
      <w:tblPr>
        <w:tblStyle w:val="AERtable-text1"/>
        <w:tblW w:w="0" w:type="auto"/>
        <w:tblInd w:w="0" w:type="dxa"/>
        <w:tblLook w:val="04A0" w:firstRow="1" w:lastRow="0" w:firstColumn="1" w:lastColumn="0" w:noHBand="0" w:noVBand="1"/>
      </w:tblPr>
      <w:tblGrid>
        <w:gridCol w:w="1757"/>
        <w:gridCol w:w="1070"/>
        <w:gridCol w:w="1070"/>
        <w:gridCol w:w="1072"/>
        <w:gridCol w:w="1072"/>
        <w:gridCol w:w="1072"/>
        <w:gridCol w:w="1070"/>
      </w:tblGrid>
      <w:tr w:rsidR="00FB5D4F" w:rsidTr="003D19CF">
        <w:trPr>
          <w:cnfStyle w:val="100000000000" w:firstRow="1" w:lastRow="0" w:firstColumn="0" w:lastColumn="0" w:oddVBand="0" w:evenVBand="0" w:oddHBand="0" w:evenHBand="0" w:firstRowFirstColumn="0" w:firstRowLastColumn="0" w:lastRowFirstColumn="0" w:lastRowLastColumn="0"/>
        </w:trPr>
        <w:tc>
          <w:tcPr>
            <w:tcW w:w="1757" w:type="dxa"/>
          </w:tcPr>
          <w:p w:rsidR="00FB5D4F" w:rsidRDefault="00FB5D4F" w:rsidP="00970AF6"/>
        </w:tc>
        <w:tc>
          <w:tcPr>
            <w:tcW w:w="1070" w:type="dxa"/>
          </w:tcPr>
          <w:p w:rsidR="00FB5D4F" w:rsidRDefault="00FB5D4F" w:rsidP="003D1E73">
            <w:pPr>
              <w:jc w:val="center"/>
            </w:pPr>
            <w:r>
              <w:t>2016</w:t>
            </w:r>
            <w:r w:rsidR="00C51763">
              <w:t>–</w:t>
            </w:r>
            <w:r>
              <w:t>17</w:t>
            </w:r>
          </w:p>
        </w:tc>
        <w:tc>
          <w:tcPr>
            <w:tcW w:w="1070" w:type="dxa"/>
          </w:tcPr>
          <w:p w:rsidR="00FB5D4F" w:rsidRDefault="00FB5D4F" w:rsidP="003D1E73">
            <w:pPr>
              <w:jc w:val="center"/>
            </w:pPr>
            <w:r>
              <w:t>2017</w:t>
            </w:r>
            <w:r w:rsidR="00C51763">
              <w:t>–</w:t>
            </w:r>
            <w:r>
              <w:t>18</w:t>
            </w:r>
          </w:p>
        </w:tc>
        <w:tc>
          <w:tcPr>
            <w:tcW w:w="1072" w:type="dxa"/>
          </w:tcPr>
          <w:p w:rsidR="00FB5D4F" w:rsidRDefault="00FB5D4F" w:rsidP="003D1E73">
            <w:pPr>
              <w:jc w:val="center"/>
            </w:pPr>
            <w:r>
              <w:t>2018</w:t>
            </w:r>
            <w:r w:rsidR="00C51763">
              <w:t>–</w:t>
            </w:r>
            <w:r>
              <w:t>19</w:t>
            </w:r>
          </w:p>
        </w:tc>
        <w:tc>
          <w:tcPr>
            <w:tcW w:w="1072" w:type="dxa"/>
          </w:tcPr>
          <w:p w:rsidR="00FB5D4F" w:rsidRDefault="00FB5D4F" w:rsidP="003D1E73">
            <w:pPr>
              <w:jc w:val="center"/>
            </w:pPr>
            <w:r>
              <w:t>2019</w:t>
            </w:r>
            <w:r w:rsidR="00C51763">
              <w:t>–</w:t>
            </w:r>
            <w:r>
              <w:t>20</w:t>
            </w:r>
          </w:p>
        </w:tc>
        <w:tc>
          <w:tcPr>
            <w:tcW w:w="1072" w:type="dxa"/>
          </w:tcPr>
          <w:p w:rsidR="00FB5D4F" w:rsidRDefault="00FB5D4F" w:rsidP="003D1E73">
            <w:pPr>
              <w:jc w:val="center"/>
            </w:pPr>
            <w:r>
              <w:t>2020</w:t>
            </w:r>
            <w:r w:rsidR="00C51763">
              <w:t>–</w:t>
            </w:r>
            <w:r>
              <w:t>21</w:t>
            </w:r>
          </w:p>
        </w:tc>
        <w:tc>
          <w:tcPr>
            <w:tcW w:w="1070" w:type="dxa"/>
          </w:tcPr>
          <w:p w:rsidR="00FB5D4F" w:rsidRDefault="00FB5D4F" w:rsidP="003D19CF">
            <w:pPr>
              <w:jc w:val="center"/>
            </w:pPr>
            <w:r>
              <w:t>Total</w:t>
            </w:r>
          </w:p>
        </w:tc>
      </w:tr>
      <w:tr w:rsidR="00FB5D4F" w:rsidTr="003D19CF">
        <w:tc>
          <w:tcPr>
            <w:tcW w:w="1757" w:type="dxa"/>
          </w:tcPr>
          <w:p w:rsidR="00FB5D4F" w:rsidRDefault="00FB5D4F" w:rsidP="00970AF6">
            <w:r>
              <w:t>Base opex</w:t>
            </w:r>
          </w:p>
        </w:tc>
        <w:tc>
          <w:tcPr>
            <w:tcW w:w="1070" w:type="dxa"/>
          </w:tcPr>
          <w:p w:rsidR="00FB5D4F" w:rsidRDefault="00FB5D4F" w:rsidP="001C7719">
            <w:pPr>
              <w:jc w:val="center"/>
            </w:pPr>
            <w:r>
              <w:t>11</w:t>
            </w:r>
            <w:r w:rsidR="003D19CF">
              <w:t>.</w:t>
            </w:r>
            <w:r w:rsidR="001C7719">
              <w:t>4</w:t>
            </w:r>
          </w:p>
        </w:tc>
        <w:tc>
          <w:tcPr>
            <w:tcW w:w="1070" w:type="dxa"/>
          </w:tcPr>
          <w:p w:rsidR="00FB5D4F" w:rsidRDefault="003D19CF" w:rsidP="001C7719">
            <w:pPr>
              <w:jc w:val="center"/>
            </w:pPr>
            <w:r>
              <w:t>11.</w:t>
            </w:r>
            <w:r w:rsidR="001C7719">
              <w:t>4</w:t>
            </w:r>
          </w:p>
        </w:tc>
        <w:tc>
          <w:tcPr>
            <w:tcW w:w="1072" w:type="dxa"/>
          </w:tcPr>
          <w:p w:rsidR="00FB5D4F" w:rsidRDefault="003D19CF" w:rsidP="001C7719">
            <w:pPr>
              <w:jc w:val="center"/>
            </w:pPr>
            <w:r>
              <w:t>11.</w:t>
            </w:r>
            <w:r w:rsidR="001C7719">
              <w:t>4</w:t>
            </w:r>
          </w:p>
        </w:tc>
        <w:tc>
          <w:tcPr>
            <w:tcW w:w="1072" w:type="dxa"/>
          </w:tcPr>
          <w:p w:rsidR="00FB5D4F" w:rsidRDefault="00FB5D4F" w:rsidP="001C7719">
            <w:pPr>
              <w:jc w:val="center"/>
            </w:pPr>
            <w:r w:rsidRPr="00FB5D4F">
              <w:t>11</w:t>
            </w:r>
            <w:r w:rsidR="003D19CF">
              <w:t>.</w:t>
            </w:r>
            <w:r w:rsidR="001C7719">
              <w:t>4</w:t>
            </w:r>
          </w:p>
        </w:tc>
        <w:tc>
          <w:tcPr>
            <w:tcW w:w="1072" w:type="dxa"/>
          </w:tcPr>
          <w:p w:rsidR="00FB5D4F" w:rsidRDefault="003D19CF" w:rsidP="001C7719">
            <w:pPr>
              <w:jc w:val="center"/>
            </w:pPr>
            <w:r>
              <w:t>11.</w:t>
            </w:r>
            <w:r w:rsidR="001C7719">
              <w:t>4</w:t>
            </w:r>
          </w:p>
        </w:tc>
        <w:tc>
          <w:tcPr>
            <w:tcW w:w="1070" w:type="dxa"/>
          </w:tcPr>
          <w:p w:rsidR="00FB5D4F" w:rsidRDefault="003D19CF" w:rsidP="001C7719">
            <w:pPr>
              <w:jc w:val="center"/>
            </w:pPr>
            <w:r>
              <w:t>57.</w:t>
            </w:r>
            <w:r w:rsidR="001C7719">
              <w:t>1</w:t>
            </w:r>
          </w:p>
        </w:tc>
      </w:tr>
      <w:tr w:rsidR="00FB5D4F" w:rsidTr="003D19CF">
        <w:trPr>
          <w:cnfStyle w:val="000000010000" w:firstRow="0" w:lastRow="0" w:firstColumn="0" w:lastColumn="0" w:oddVBand="0" w:evenVBand="0" w:oddHBand="0" w:evenHBand="1" w:firstRowFirstColumn="0" w:firstRowLastColumn="0" w:lastRowFirstColumn="0" w:lastRowLastColumn="0"/>
        </w:trPr>
        <w:tc>
          <w:tcPr>
            <w:tcW w:w="1757" w:type="dxa"/>
          </w:tcPr>
          <w:p w:rsidR="00FB5D4F" w:rsidRDefault="00FB5D4F" w:rsidP="00970AF6">
            <w:r>
              <w:t>Escalation</w:t>
            </w:r>
          </w:p>
        </w:tc>
        <w:tc>
          <w:tcPr>
            <w:tcW w:w="1070" w:type="dxa"/>
          </w:tcPr>
          <w:p w:rsidR="00FB5D4F" w:rsidRDefault="003D19CF" w:rsidP="003D19CF">
            <w:pPr>
              <w:jc w:val="center"/>
            </w:pPr>
            <w:r>
              <w:t>0.1</w:t>
            </w:r>
          </w:p>
        </w:tc>
        <w:tc>
          <w:tcPr>
            <w:tcW w:w="1070" w:type="dxa"/>
          </w:tcPr>
          <w:p w:rsidR="00FB5D4F" w:rsidRDefault="003D19CF" w:rsidP="001C7719">
            <w:pPr>
              <w:jc w:val="center"/>
            </w:pPr>
            <w:r>
              <w:t>0.</w:t>
            </w:r>
            <w:r w:rsidR="001C7719">
              <w:t>3</w:t>
            </w:r>
          </w:p>
        </w:tc>
        <w:tc>
          <w:tcPr>
            <w:tcW w:w="1072" w:type="dxa"/>
          </w:tcPr>
          <w:p w:rsidR="00FB5D4F" w:rsidRDefault="003D19CF" w:rsidP="001C7719">
            <w:pPr>
              <w:jc w:val="center"/>
            </w:pPr>
            <w:r>
              <w:t>0.</w:t>
            </w:r>
            <w:r w:rsidR="001C7719">
              <w:t>4</w:t>
            </w:r>
          </w:p>
        </w:tc>
        <w:tc>
          <w:tcPr>
            <w:tcW w:w="1072" w:type="dxa"/>
          </w:tcPr>
          <w:p w:rsidR="00FB5D4F" w:rsidRDefault="003D19CF" w:rsidP="001C7719">
            <w:pPr>
              <w:jc w:val="center"/>
            </w:pPr>
            <w:r>
              <w:t>0.</w:t>
            </w:r>
            <w:r w:rsidR="001C7719">
              <w:t>4</w:t>
            </w:r>
          </w:p>
        </w:tc>
        <w:tc>
          <w:tcPr>
            <w:tcW w:w="1072" w:type="dxa"/>
          </w:tcPr>
          <w:p w:rsidR="00FB5D4F" w:rsidRDefault="003D19CF" w:rsidP="001C7719">
            <w:pPr>
              <w:jc w:val="center"/>
            </w:pPr>
            <w:r>
              <w:t>0.</w:t>
            </w:r>
            <w:r w:rsidR="001C7719">
              <w:t>5</w:t>
            </w:r>
          </w:p>
        </w:tc>
        <w:tc>
          <w:tcPr>
            <w:tcW w:w="1070" w:type="dxa"/>
          </w:tcPr>
          <w:p w:rsidR="00FB5D4F" w:rsidRDefault="003D19CF" w:rsidP="001C7719">
            <w:pPr>
              <w:jc w:val="center"/>
            </w:pPr>
            <w:r>
              <w:t>1.</w:t>
            </w:r>
            <w:r w:rsidR="001C7719">
              <w:t>7</w:t>
            </w:r>
          </w:p>
        </w:tc>
      </w:tr>
      <w:tr w:rsidR="00FB5D4F" w:rsidTr="003D19CF">
        <w:tc>
          <w:tcPr>
            <w:tcW w:w="1757" w:type="dxa"/>
          </w:tcPr>
          <w:p w:rsidR="00FB5D4F" w:rsidRDefault="00FB5D4F" w:rsidP="00970AF6">
            <w:r>
              <w:t>Intelligent pigging</w:t>
            </w:r>
          </w:p>
        </w:tc>
        <w:tc>
          <w:tcPr>
            <w:tcW w:w="1070" w:type="dxa"/>
          </w:tcPr>
          <w:p w:rsidR="00FB5D4F" w:rsidRDefault="003D19CF" w:rsidP="003D19CF">
            <w:pPr>
              <w:jc w:val="center"/>
            </w:pPr>
            <w:r>
              <w:t>0.4</w:t>
            </w:r>
          </w:p>
        </w:tc>
        <w:tc>
          <w:tcPr>
            <w:tcW w:w="1070" w:type="dxa"/>
          </w:tcPr>
          <w:p w:rsidR="00FB5D4F" w:rsidRDefault="003D19CF" w:rsidP="001C7719">
            <w:pPr>
              <w:jc w:val="center"/>
            </w:pPr>
            <w:r>
              <w:t>1.</w:t>
            </w:r>
            <w:r w:rsidR="001C7719">
              <w:t>2</w:t>
            </w:r>
          </w:p>
        </w:tc>
        <w:tc>
          <w:tcPr>
            <w:tcW w:w="1072" w:type="dxa"/>
          </w:tcPr>
          <w:p w:rsidR="00FB5D4F" w:rsidRDefault="003D19CF" w:rsidP="003D19CF">
            <w:pPr>
              <w:jc w:val="center"/>
            </w:pPr>
            <w:r>
              <w:t>2.1</w:t>
            </w:r>
          </w:p>
        </w:tc>
        <w:tc>
          <w:tcPr>
            <w:tcW w:w="1072" w:type="dxa"/>
          </w:tcPr>
          <w:p w:rsidR="00FB5D4F" w:rsidRDefault="003D19CF" w:rsidP="003D19CF">
            <w:pPr>
              <w:jc w:val="center"/>
            </w:pPr>
            <w:r>
              <w:t>0</w:t>
            </w:r>
          </w:p>
        </w:tc>
        <w:tc>
          <w:tcPr>
            <w:tcW w:w="1072" w:type="dxa"/>
          </w:tcPr>
          <w:p w:rsidR="00FB5D4F" w:rsidRDefault="003D19CF" w:rsidP="003D19CF">
            <w:pPr>
              <w:jc w:val="center"/>
            </w:pPr>
            <w:r>
              <w:t>0.4</w:t>
            </w:r>
          </w:p>
        </w:tc>
        <w:tc>
          <w:tcPr>
            <w:tcW w:w="1070" w:type="dxa"/>
          </w:tcPr>
          <w:p w:rsidR="00FB5D4F" w:rsidRDefault="003D19CF" w:rsidP="001C7719">
            <w:pPr>
              <w:jc w:val="center"/>
            </w:pPr>
            <w:r>
              <w:t>4.</w:t>
            </w:r>
            <w:r w:rsidR="001C7719">
              <w:t>1</w:t>
            </w:r>
          </w:p>
        </w:tc>
      </w:tr>
      <w:tr w:rsidR="00D93A97" w:rsidTr="003D19CF">
        <w:trPr>
          <w:cnfStyle w:val="000000010000" w:firstRow="0" w:lastRow="0" w:firstColumn="0" w:lastColumn="0" w:oddVBand="0" w:evenVBand="0" w:oddHBand="0" w:evenHBand="1" w:firstRowFirstColumn="0" w:firstRowLastColumn="0" w:lastRowFirstColumn="0" w:lastRowLastColumn="0"/>
        </w:trPr>
        <w:tc>
          <w:tcPr>
            <w:tcW w:w="1757" w:type="dxa"/>
          </w:tcPr>
          <w:p w:rsidR="00D93A97" w:rsidRDefault="00D93A97" w:rsidP="00970AF6">
            <w:r>
              <w:t>Debt raising</w:t>
            </w:r>
          </w:p>
        </w:tc>
        <w:tc>
          <w:tcPr>
            <w:tcW w:w="1070" w:type="dxa"/>
          </w:tcPr>
          <w:p w:rsidR="00D93A97" w:rsidRDefault="00D93A97" w:rsidP="003D19CF">
            <w:pPr>
              <w:jc w:val="center"/>
            </w:pPr>
          </w:p>
        </w:tc>
        <w:tc>
          <w:tcPr>
            <w:tcW w:w="1070" w:type="dxa"/>
          </w:tcPr>
          <w:p w:rsidR="00D93A97" w:rsidRDefault="00D93A97" w:rsidP="003D19CF">
            <w:pPr>
              <w:jc w:val="center"/>
            </w:pPr>
          </w:p>
        </w:tc>
        <w:tc>
          <w:tcPr>
            <w:tcW w:w="1072" w:type="dxa"/>
          </w:tcPr>
          <w:p w:rsidR="00D93A97" w:rsidRDefault="00D93A97" w:rsidP="003D19CF">
            <w:pPr>
              <w:jc w:val="center"/>
            </w:pPr>
          </w:p>
        </w:tc>
        <w:tc>
          <w:tcPr>
            <w:tcW w:w="1072" w:type="dxa"/>
          </w:tcPr>
          <w:p w:rsidR="00D93A97" w:rsidRDefault="00D93A97" w:rsidP="003D19CF">
            <w:pPr>
              <w:jc w:val="center"/>
            </w:pPr>
          </w:p>
        </w:tc>
        <w:tc>
          <w:tcPr>
            <w:tcW w:w="1072" w:type="dxa"/>
          </w:tcPr>
          <w:p w:rsidR="00D93A97" w:rsidRDefault="00D93A97" w:rsidP="003D19CF">
            <w:pPr>
              <w:jc w:val="center"/>
            </w:pPr>
          </w:p>
        </w:tc>
        <w:tc>
          <w:tcPr>
            <w:tcW w:w="1070" w:type="dxa"/>
          </w:tcPr>
          <w:p w:rsidR="00D93A97" w:rsidRDefault="00D93A97" w:rsidP="003D19CF">
            <w:pPr>
              <w:jc w:val="center"/>
            </w:pPr>
            <w:r>
              <w:t>0.04</w:t>
            </w:r>
          </w:p>
        </w:tc>
      </w:tr>
      <w:tr w:rsidR="003D19CF" w:rsidTr="003D19CF">
        <w:tc>
          <w:tcPr>
            <w:tcW w:w="1757" w:type="dxa"/>
          </w:tcPr>
          <w:p w:rsidR="003D19CF" w:rsidRDefault="003D19CF" w:rsidP="00970AF6">
            <w:r>
              <w:t>Total opex</w:t>
            </w:r>
          </w:p>
        </w:tc>
        <w:tc>
          <w:tcPr>
            <w:tcW w:w="1070" w:type="dxa"/>
          </w:tcPr>
          <w:p w:rsidR="003D19CF" w:rsidRPr="00314967" w:rsidRDefault="003D19CF" w:rsidP="003D19CF">
            <w:pPr>
              <w:pStyle w:val="AERtabletextright"/>
              <w:jc w:val="center"/>
              <w:rPr>
                <w:sz w:val="16"/>
              </w:rPr>
            </w:pPr>
            <w:r w:rsidRPr="00314967">
              <w:rPr>
                <w:sz w:val="16"/>
              </w:rPr>
              <w:t>11.9</w:t>
            </w:r>
          </w:p>
        </w:tc>
        <w:tc>
          <w:tcPr>
            <w:tcW w:w="1070" w:type="dxa"/>
          </w:tcPr>
          <w:p w:rsidR="003D19CF" w:rsidRPr="00314967" w:rsidRDefault="003D19CF" w:rsidP="003D19CF">
            <w:pPr>
              <w:pStyle w:val="AERtabletextright"/>
              <w:jc w:val="center"/>
              <w:rPr>
                <w:sz w:val="16"/>
              </w:rPr>
            </w:pPr>
            <w:r w:rsidRPr="00314967">
              <w:rPr>
                <w:sz w:val="16"/>
              </w:rPr>
              <w:t>12.9</w:t>
            </w:r>
          </w:p>
        </w:tc>
        <w:tc>
          <w:tcPr>
            <w:tcW w:w="1072" w:type="dxa"/>
          </w:tcPr>
          <w:p w:rsidR="003D19CF" w:rsidRPr="00314967" w:rsidRDefault="003D19CF" w:rsidP="003D19CF">
            <w:pPr>
              <w:pStyle w:val="AERtabletextright"/>
              <w:jc w:val="center"/>
              <w:rPr>
                <w:sz w:val="16"/>
              </w:rPr>
            </w:pPr>
            <w:r w:rsidRPr="00314967">
              <w:rPr>
                <w:sz w:val="16"/>
              </w:rPr>
              <w:t>13.9</w:t>
            </w:r>
          </w:p>
        </w:tc>
        <w:tc>
          <w:tcPr>
            <w:tcW w:w="1072" w:type="dxa"/>
          </w:tcPr>
          <w:p w:rsidR="003D19CF" w:rsidRPr="00314967" w:rsidRDefault="003D19CF" w:rsidP="003D19CF">
            <w:pPr>
              <w:pStyle w:val="AERtabletextright"/>
              <w:jc w:val="center"/>
              <w:rPr>
                <w:sz w:val="16"/>
              </w:rPr>
            </w:pPr>
            <w:r w:rsidRPr="00314967">
              <w:rPr>
                <w:sz w:val="16"/>
              </w:rPr>
              <w:t>11.8</w:t>
            </w:r>
          </w:p>
        </w:tc>
        <w:tc>
          <w:tcPr>
            <w:tcW w:w="1072" w:type="dxa"/>
          </w:tcPr>
          <w:p w:rsidR="003D19CF" w:rsidRPr="00314967" w:rsidRDefault="003D19CF" w:rsidP="003D19CF">
            <w:pPr>
              <w:pStyle w:val="AERtabletextright"/>
              <w:jc w:val="center"/>
              <w:rPr>
                <w:sz w:val="16"/>
              </w:rPr>
            </w:pPr>
            <w:r w:rsidRPr="00314967">
              <w:rPr>
                <w:sz w:val="16"/>
              </w:rPr>
              <w:t>12.3</w:t>
            </w:r>
          </w:p>
        </w:tc>
        <w:tc>
          <w:tcPr>
            <w:tcW w:w="1070" w:type="dxa"/>
          </w:tcPr>
          <w:p w:rsidR="003D19CF" w:rsidRPr="00314967" w:rsidRDefault="003D19CF" w:rsidP="003D19CF">
            <w:pPr>
              <w:pStyle w:val="AERtabletextright"/>
              <w:jc w:val="center"/>
              <w:rPr>
                <w:sz w:val="16"/>
              </w:rPr>
            </w:pPr>
            <w:r w:rsidRPr="00314967">
              <w:rPr>
                <w:sz w:val="16"/>
              </w:rPr>
              <w:t>62.8</w:t>
            </w:r>
          </w:p>
        </w:tc>
      </w:tr>
    </w:tbl>
    <w:p w:rsidR="00271955" w:rsidRDefault="00314967" w:rsidP="00271955">
      <w:pPr>
        <w:pStyle w:val="AERtablesource"/>
      </w:pPr>
      <w:r w:rsidRPr="00B47806">
        <w:t>Source:</w:t>
      </w:r>
      <w:r w:rsidRPr="00B47806">
        <w:tab/>
      </w:r>
      <w:r w:rsidR="00D93A97">
        <w:t xml:space="preserve">APTNT, </w:t>
      </w:r>
      <w:r w:rsidR="00D93A97" w:rsidRPr="004F0CFB">
        <w:rPr>
          <w:rStyle w:val="AERtextitalic"/>
        </w:rPr>
        <w:t xml:space="preserve">2016-21 Access </w:t>
      </w:r>
      <w:r w:rsidR="00BC7736" w:rsidRPr="004F0CFB">
        <w:rPr>
          <w:rStyle w:val="AERtextitalic"/>
        </w:rPr>
        <w:t>Arrangement Information</w:t>
      </w:r>
      <w:r w:rsidR="00D93A97">
        <w:t>, August 2015 – Opex model</w:t>
      </w:r>
      <w:r w:rsidRPr="00B47806">
        <w:t>.</w:t>
      </w:r>
    </w:p>
    <w:p w:rsidR="00271955" w:rsidRPr="00271955" w:rsidRDefault="00C51763" w:rsidP="00271955">
      <w:pPr>
        <w:pStyle w:val="AERtablesource"/>
      </w:pPr>
      <w:r>
        <w:tab/>
      </w:r>
      <w:r w:rsidR="00271955">
        <w:t>Numbers may not add due to rounding.</w:t>
      </w:r>
    </w:p>
    <w:p w:rsidR="009A5113" w:rsidRDefault="009A5113" w:rsidP="00314967">
      <w:pPr>
        <w:pStyle w:val="Heading2"/>
        <w:keepNext/>
        <w:ind w:left="578" w:hanging="578"/>
      </w:pPr>
      <w:bookmarkStart w:id="17" w:name="_Toc408404322"/>
      <w:bookmarkStart w:id="18" w:name="_Ref431211507"/>
      <w:bookmarkStart w:id="19" w:name="_Toc436042906"/>
      <w:r w:rsidRPr="0074565D">
        <w:t>AER’s assessment approach</w:t>
      </w:r>
      <w:bookmarkEnd w:id="17"/>
      <w:bookmarkEnd w:id="18"/>
      <w:bookmarkEnd w:id="19"/>
    </w:p>
    <w:p w:rsidR="004F0CFB" w:rsidRPr="003824BF" w:rsidRDefault="004F0CFB" w:rsidP="004F0CFB">
      <w:pPr>
        <w:rPr>
          <w:rStyle w:val="AERbody"/>
        </w:rPr>
      </w:pPr>
      <w:r w:rsidRPr="003824BF">
        <w:rPr>
          <w:rStyle w:val="AERbody"/>
        </w:rPr>
        <w:t>We decide whether or not to accept a service provider's total forecast opex proposal. We approve the service provider's forecast opex if we are satisfied that it is consistent with the criteria governing operating expenditure (the opex criteria).</w:t>
      </w:r>
      <w:r w:rsidR="00D93A97">
        <w:rPr>
          <w:rStyle w:val="FootnoteReference"/>
        </w:rPr>
        <w:footnoteReference w:id="4"/>
      </w:r>
      <w:r w:rsidRPr="003824BF">
        <w:rPr>
          <w:rStyle w:val="AERbody"/>
        </w:rPr>
        <w:t xml:space="preserve">  </w:t>
      </w:r>
    </w:p>
    <w:p w:rsidR="004F0CFB" w:rsidRDefault="004F0CFB" w:rsidP="003824BF">
      <w:pPr>
        <w:pStyle w:val="AERquote"/>
      </w:pPr>
      <w:r>
        <w:t>Criteria governing operating expenditure</w:t>
      </w:r>
    </w:p>
    <w:p w:rsidR="004F0CFB" w:rsidRDefault="004F0CFB" w:rsidP="00134A45">
      <w:pPr>
        <w:pStyle w:val="AERquote"/>
      </w:pPr>
      <w:r>
        <w:t>Operating expenditure must be as such as would be incurred by a prudent service provider acting efficiently to provide the lowest sustainable cost of delivering pipeline services</w:t>
      </w:r>
      <w:r w:rsidR="008F236B">
        <w:t>.</w:t>
      </w:r>
    </w:p>
    <w:p w:rsidR="004F0CFB" w:rsidRDefault="004F0CFB" w:rsidP="004F0CFB">
      <w:r>
        <w:t>In determining whether forecast opex is consistent with the opex criteria we have regard to the criteria for forecasts and estimates.</w:t>
      </w:r>
      <w:r w:rsidR="00D93A97">
        <w:rPr>
          <w:rStyle w:val="FootnoteReference"/>
        </w:rPr>
        <w:footnoteReference w:id="5"/>
      </w:r>
    </w:p>
    <w:p w:rsidR="004F0CFB" w:rsidRDefault="004F0CFB" w:rsidP="003824BF">
      <w:pPr>
        <w:pStyle w:val="AERquote"/>
      </w:pPr>
      <w:r>
        <w:t>Forecasts and estimates</w:t>
      </w:r>
    </w:p>
    <w:p w:rsidR="004F0CFB" w:rsidRDefault="004F0CFB" w:rsidP="00D93A97">
      <w:pPr>
        <w:pStyle w:val="AERquote"/>
        <w:ind w:left="1418" w:hanging="709"/>
      </w:pPr>
      <w:r>
        <w:t xml:space="preserve">(1) </w:t>
      </w:r>
      <w:r w:rsidR="00D93A97">
        <w:tab/>
      </w:r>
      <w:r>
        <w:t>Information in the nature of a forecast or estimate must be supported by a statement on the basis of the forecast or estimate</w:t>
      </w:r>
      <w:r w:rsidR="008F236B">
        <w:t>.</w:t>
      </w:r>
    </w:p>
    <w:p w:rsidR="004F0CFB" w:rsidRDefault="004F0CFB" w:rsidP="003824BF">
      <w:pPr>
        <w:pStyle w:val="AERquote"/>
      </w:pPr>
      <w:r>
        <w:t xml:space="preserve">(2) </w:t>
      </w:r>
      <w:r w:rsidR="00D93A97">
        <w:tab/>
      </w:r>
      <w:r w:rsidR="00F24028">
        <w:tab/>
      </w:r>
      <w:r>
        <w:t>A forecast or estimate:</w:t>
      </w:r>
    </w:p>
    <w:p w:rsidR="004F0CFB" w:rsidRDefault="004F0CFB" w:rsidP="00271955">
      <w:pPr>
        <w:pStyle w:val="AERquote"/>
        <w:ind w:left="1360"/>
      </w:pPr>
      <w:r>
        <w:t xml:space="preserve">(a) </w:t>
      </w:r>
      <w:r w:rsidR="00D93A97">
        <w:tab/>
      </w:r>
      <w:r>
        <w:t>must be arrived at on a reasonable basis; and</w:t>
      </w:r>
    </w:p>
    <w:p w:rsidR="004F0CFB" w:rsidRDefault="00D93A97" w:rsidP="00271955">
      <w:pPr>
        <w:pStyle w:val="AERquote"/>
        <w:ind w:left="1360"/>
        <w:jc w:val="left"/>
      </w:pPr>
      <w:r>
        <w:t>(b)</w:t>
      </w:r>
      <w:r>
        <w:tab/>
      </w:r>
      <w:r w:rsidR="004F0CFB">
        <w:t xml:space="preserve">must represent the best forecast or estimate possible in the </w:t>
      </w:r>
      <w:r w:rsidR="00DD62E7">
        <w:br/>
        <w:t xml:space="preserve">      </w:t>
      </w:r>
      <w:r w:rsidR="004F0CFB">
        <w:t xml:space="preserve">circumstances. </w:t>
      </w:r>
    </w:p>
    <w:p w:rsidR="004F0CFB" w:rsidRDefault="004F0CFB" w:rsidP="004F0CFB">
      <w:r>
        <w:t xml:space="preserve">Our approach is to compare the service provider's total forecast opex with our alternative estimate of total opex. By doing this, we form a view on the service provider's proposal. If we are not satisfied that the proposal complies with the opex criteria we use our alternative opex estimate as a substitute. </w:t>
      </w:r>
    </w:p>
    <w:p w:rsidR="00970AF6" w:rsidRDefault="004F0CFB" w:rsidP="004F0CFB">
      <w:r>
        <w:t xml:space="preserve">Our estimate is unlikely to exactly match the service provider's forecast because the service provider may adopt a different forecasting method to us. However, if the service provider's inputs and assumptions are reasonable, its method should produce a forecast </w:t>
      </w:r>
      <w:r w:rsidR="00F24028">
        <w:t xml:space="preserve">close to </w:t>
      </w:r>
      <w:r>
        <w:t>our estimate. Accordingly, part of our approach is to assess the service provider's forecasting method as well as the inputs and assumptions it used to form its opex forecast.</w:t>
      </w:r>
    </w:p>
    <w:p w:rsidR="004F0CFB" w:rsidRDefault="004F0CFB" w:rsidP="003824BF">
      <w:pPr>
        <w:pStyle w:val="Heading3"/>
      </w:pPr>
      <w:bookmarkStart w:id="20" w:name="_Toc436042907"/>
      <w:r>
        <w:t>Building an alternative estimate of total forecast opex</w:t>
      </w:r>
      <w:bookmarkEnd w:id="20"/>
    </w:p>
    <w:p w:rsidR="004F0CFB" w:rsidRDefault="004F0CFB" w:rsidP="004F0CFB">
      <w:r>
        <w:t xml:space="preserve">Our approach to </w:t>
      </w:r>
      <w:r w:rsidR="00271955">
        <w:t>building</w:t>
      </w:r>
      <w:r>
        <w:t xml:space="preserve"> an alternative estimate of opex involves five key steps:</w:t>
      </w:r>
    </w:p>
    <w:p w:rsidR="004F0CFB" w:rsidRDefault="004F0CFB" w:rsidP="003824BF">
      <w:pPr>
        <w:pStyle w:val="ListNumber"/>
      </w:pPr>
      <w:r>
        <w:t xml:space="preserve">We typically use the service provider's actual opex in a single year as the starting point for our assessment. While categories of opex can vary from year to year, total opex is relatively recurrent. </w:t>
      </w:r>
    </w:p>
    <w:p w:rsidR="004F0CFB" w:rsidRDefault="004F0CFB" w:rsidP="003824BF">
      <w:pPr>
        <w:pStyle w:val="ListNumber"/>
      </w:pPr>
      <w:r>
        <w:t xml:space="preserve">We assess whether opex in that base year </w:t>
      </w:r>
      <w:r w:rsidR="00DD62E7">
        <w:t>complies with</w:t>
      </w:r>
      <w:r>
        <w:t xml:space="preserve"> the opex criteria. If necessary, we make an adjustment to the base year expenditure to ensure that it </w:t>
      </w:r>
      <w:r w:rsidR="00DD62E7">
        <w:t>complies with</w:t>
      </w:r>
      <w:r>
        <w:t xml:space="preserve"> the opex criteria. </w:t>
      </w:r>
    </w:p>
    <w:p w:rsidR="004F0CFB" w:rsidRDefault="004F0CFB" w:rsidP="003824BF">
      <w:pPr>
        <w:pStyle w:val="ListNumber"/>
      </w:pPr>
      <w:r>
        <w:t>As opex tends to change over time due to price, output and productivity</w:t>
      </w:r>
      <w:r w:rsidR="00DD62E7" w:rsidRPr="00DD62E7">
        <w:t xml:space="preserve"> </w:t>
      </w:r>
      <w:r w:rsidR="00DD62E7">
        <w:t>changes</w:t>
      </w:r>
      <w:r>
        <w:t xml:space="preserve">, we trend the adjusted base year </w:t>
      </w:r>
      <w:r w:rsidR="00DD62E7">
        <w:t>opex</w:t>
      </w:r>
      <w:r>
        <w:t xml:space="preserve"> forward over the access arrangement period to take account of these changes. We refer to this as the rate of change. </w:t>
      </w:r>
    </w:p>
    <w:p w:rsidR="004F0CFB" w:rsidRDefault="004F0CFB" w:rsidP="003824BF">
      <w:pPr>
        <w:pStyle w:val="ListNumber"/>
      </w:pPr>
      <w:r>
        <w:t>We then adjust the base year expenditure to account for any other forecast cost changes that would meet the opex criteria. This may be due to new regulatory obligations and efficient capex/opex trade-offs. We call these step changes.</w:t>
      </w:r>
    </w:p>
    <w:p w:rsidR="004F0CFB" w:rsidRDefault="004F0CFB" w:rsidP="003824BF">
      <w:pPr>
        <w:pStyle w:val="ListNumber"/>
      </w:pPr>
      <w:r>
        <w:t>Finally we add any additional 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of opex in forecasting total opex.</w:t>
      </w:r>
    </w:p>
    <w:p w:rsidR="004F0CFB" w:rsidRDefault="004F0CFB" w:rsidP="004F0CFB">
      <w:r>
        <w:t xml:space="preserve">We have used this general approach in our past decisions. It is a </w:t>
      </w:r>
      <w:r w:rsidR="0005421A">
        <w:t>well-regarded</w:t>
      </w:r>
      <w:r>
        <w:t xml:space="preserve"> top</w:t>
      </w:r>
      <w:r w:rsidR="00271955">
        <w:t xml:space="preserve"> </w:t>
      </w:r>
      <w:r>
        <w:t xml:space="preserve">down forecasting </w:t>
      </w:r>
      <w:r w:rsidR="00191384">
        <w:t>model that</w:t>
      </w:r>
      <w:r>
        <w:t xml:space="preserve"> has been employed by a number of Australian regulators over the last fifteen years. We have sometimes referred to it as the base-step-trend method in our past regulatory decisions.</w:t>
      </w:r>
    </w:p>
    <w:p w:rsidR="004F0CFB" w:rsidRDefault="004F0CFB" w:rsidP="004F0CFB">
      <w:r>
        <w:t>We set out more detail about each of the steps we follow in constructing our forecast below.</w:t>
      </w:r>
    </w:p>
    <w:p w:rsidR="004F0CFB" w:rsidRDefault="004F0CFB" w:rsidP="001C65DB">
      <w:pPr>
        <w:pStyle w:val="HeadingBoldItalic"/>
        <w:keepNext/>
      </w:pPr>
      <w:r>
        <w:t>Step 1 – Starting point - base year expenditure</w:t>
      </w:r>
    </w:p>
    <w:p w:rsidR="004F0CFB" w:rsidRDefault="004F0CFB" w:rsidP="004F0CFB">
      <w:r>
        <w:t xml:space="preserve">When we choose the base year, we aim to use a year that is most representative of efficient, recurrent expenditure. Typically, we start with the service provider's revealed </w:t>
      </w:r>
      <w:r w:rsidR="00271955">
        <w:t xml:space="preserve">actual </w:t>
      </w:r>
      <w:r>
        <w:t xml:space="preserve">expenditure in the second last year of the </w:t>
      </w:r>
      <w:r w:rsidR="00D93A97">
        <w:t>current</w:t>
      </w:r>
      <w:r>
        <w:t xml:space="preserve"> access arrangement period. </w:t>
      </w:r>
      <w:r w:rsidR="00DD62E7">
        <w:t>Actual expenditure in t</w:t>
      </w:r>
      <w:r>
        <w:t xml:space="preserve">he second last year is usually the most recent available at the time we conduct our assessment. Accordingly, to the extent expenditure drivers change over time, it is likely to best reflect the forecast period. However, if this year does not represent efficient, recurrent costs, we may consider another year. </w:t>
      </w:r>
    </w:p>
    <w:p w:rsidR="004F0CFB" w:rsidRDefault="004F0CFB" w:rsidP="004F0CFB">
      <w:r>
        <w:t>In choosing a base year, we need to make a decision as to whether any categories of opex incurred in the base year should be removed. For instance:</w:t>
      </w:r>
    </w:p>
    <w:p w:rsidR="004F0CFB" w:rsidRDefault="004F0CFB" w:rsidP="00E27719">
      <w:pPr>
        <w:pStyle w:val="AERbulletlistfirststyle"/>
      </w:pPr>
      <w:r>
        <w:t>If a material cost was incurred in the base year that is unrepresentative of a service provider's future opex we may remove it from the base year in undertaking our assessment.</w:t>
      </w:r>
    </w:p>
    <w:p w:rsidR="004F0CFB" w:rsidRDefault="004F0CFB" w:rsidP="00E27719">
      <w:pPr>
        <w:pStyle w:val="AERbulletlistfirststyle"/>
      </w:pPr>
      <w:r>
        <w:t xml:space="preserve">Rather than use all opex in the base year, service providers also often forecast specific categories of opex using different methods. We must also assess these methods in deciding what the starting point should be. If we agree that these categories of opex should be </w:t>
      </w:r>
      <w:r w:rsidR="00271955">
        <w:t>forecast separately</w:t>
      </w:r>
      <w:r>
        <w:t>, we will also remove them from the base year.</w:t>
      </w:r>
    </w:p>
    <w:p w:rsidR="004F0CFB" w:rsidRDefault="004F0CFB" w:rsidP="00D93A97">
      <w:pPr>
        <w:pStyle w:val="HeadingBoldItalic"/>
        <w:keepNext/>
      </w:pPr>
      <w:r>
        <w:t>Step 2 - Assessing base year expenditure</w:t>
      </w:r>
    </w:p>
    <w:p w:rsidR="004F0CFB" w:rsidRDefault="004F0CFB" w:rsidP="004F0CFB">
      <w:r>
        <w:t xml:space="preserve">Regardless of the base year we choose, we must test the view that 'revealed expenditure' is the appropriate starting point because the service provider's actual expenditure may not be efficient. We will use all techniques available to us to do this. If we determine that a service provider's revealed expenditure is not efficient, we will not use it as our starting point for our estimate of total forecast opex. </w:t>
      </w:r>
    </w:p>
    <w:p w:rsidR="004F0CFB" w:rsidRDefault="004F0CFB" w:rsidP="003824BF">
      <w:pPr>
        <w:pStyle w:val="HeadingBoldItalic"/>
      </w:pPr>
      <w:r>
        <w:t>Step 3 - Rate of change</w:t>
      </w:r>
    </w:p>
    <w:p w:rsidR="004F0CFB" w:rsidRDefault="004F0CFB" w:rsidP="004F0CFB">
      <w:r>
        <w:t xml:space="preserve">Once we have chosen an efficient starting point, we apply an annual escalator to take account of the likely ongoing changes to efficient opex over the forecast </w:t>
      </w:r>
      <w:r w:rsidR="00271955">
        <w:t>access arrangement</w:t>
      </w:r>
      <w:r>
        <w:t xml:space="preserve"> period. Efficient opex in the forecast </w:t>
      </w:r>
      <w:r w:rsidR="00271955">
        <w:t>access arrangement</w:t>
      </w:r>
      <w:r>
        <w:t xml:space="preserve"> period could reasonably differ from the efficient starting point due to changes in: </w:t>
      </w:r>
    </w:p>
    <w:p w:rsidR="004F0CFB" w:rsidRDefault="004F0CFB" w:rsidP="00C02630">
      <w:pPr>
        <w:pStyle w:val="AERbulletlistfirststyle"/>
      </w:pPr>
      <w:r>
        <w:t>prices</w:t>
      </w:r>
    </w:p>
    <w:p w:rsidR="004F0CFB" w:rsidRDefault="004F0CFB" w:rsidP="00C02630">
      <w:pPr>
        <w:pStyle w:val="AERbulletlistfirststyle"/>
      </w:pPr>
      <w:r>
        <w:t xml:space="preserve">outputs </w:t>
      </w:r>
    </w:p>
    <w:p w:rsidR="004F0CFB" w:rsidRDefault="004F0CFB" w:rsidP="00C02630">
      <w:pPr>
        <w:pStyle w:val="AERbulletlistfirststyle"/>
      </w:pPr>
      <w:r>
        <w:t xml:space="preserve">productivity. </w:t>
      </w:r>
    </w:p>
    <w:p w:rsidR="004F0CFB" w:rsidRDefault="00C02630" w:rsidP="004F0CFB">
      <w:r>
        <w:t>W</w:t>
      </w:r>
      <w:r w:rsidR="004F0CFB">
        <w:t xml:space="preserve">e estimate the change by adding expected changes in prices (such as the cost of labour and materials) and outputs (such as changes in customer numbers and demand). We then incorporate reasonable estimates of changes in productivity. </w:t>
      </w:r>
    </w:p>
    <w:p w:rsidR="004F0CFB" w:rsidRDefault="004F0CFB" w:rsidP="003824BF">
      <w:pPr>
        <w:pStyle w:val="HeadingBoldItalic"/>
      </w:pPr>
      <w:r>
        <w:t>Step 4 - Step changes</w:t>
      </w:r>
    </w:p>
    <w:p w:rsidR="004F0CFB" w:rsidRDefault="004F0CFB" w:rsidP="004F0CFB">
      <w:r>
        <w:t xml:space="preserve">We then consider if there is other opex needed to </w:t>
      </w:r>
      <w:r w:rsidR="00F24028">
        <w:t xml:space="preserve">satisfy </w:t>
      </w:r>
      <w:r>
        <w:t xml:space="preserve">the opex </w:t>
      </w:r>
      <w:r w:rsidR="00F24028">
        <w:t xml:space="preserve">criteria </w:t>
      </w:r>
      <w:r>
        <w:t xml:space="preserve">in the forecast period. We refer to these as ‘step changes’. Step changes may be for new, changed or </w:t>
      </w:r>
      <w:r w:rsidR="00D93A97">
        <w:t>discontinued</w:t>
      </w:r>
      <w:r>
        <w:t xml:space="preserve"> obligations for the service provider in the upcoming </w:t>
      </w:r>
      <w:r w:rsidR="0005421A">
        <w:t xml:space="preserve">access arrangement </w:t>
      </w:r>
      <w:r w:rsidR="00D93A97">
        <w:t>period. They may also account for</w:t>
      </w:r>
      <w:r>
        <w:t xml:space="preserve"> efficient capex/opex trade-offs</w:t>
      </w:r>
      <w:r w:rsidR="00916600">
        <w:t>,</w:t>
      </w:r>
      <w:r>
        <w:t xml:space="preserve"> or other reasons why a service provider would need different opex to that incurred in the base year. We will typically compensate a service provider for step changes only if efficient base year opex and the rate of change in opex of an efficient service provider do not already compensate for the proposed costs.</w:t>
      </w:r>
    </w:p>
    <w:p w:rsidR="004F0CFB" w:rsidRDefault="004F0CFB" w:rsidP="003824BF">
      <w:pPr>
        <w:pStyle w:val="HeadingBoldItalic"/>
      </w:pPr>
      <w:r>
        <w:t>Step 5 - Other costs that are not included in the base year</w:t>
      </w:r>
    </w:p>
    <w:p w:rsidR="004F0CFB" w:rsidRDefault="004F0CFB" w:rsidP="004F0CFB">
      <w:r>
        <w:t xml:space="preserve">In our final step, we make any further adjustments we need for our opex forecast to </w:t>
      </w:r>
      <w:r w:rsidR="00F24028">
        <w:t xml:space="preserve">satisfy </w:t>
      </w:r>
      <w:r>
        <w:t xml:space="preserve">the opex </w:t>
      </w:r>
      <w:r w:rsidR="00F24028">
        <w:t>criteria</w:t>
      </w:r>
      <w:r>
        <w:t>. For instance, our approach is to forecast debt raising costs based on a benchmarking approach rather than a service provider’s actual costs. This is to be consistent the forecast cost of debt in the rate of return building block.</w:t>
      </w:r>
    </w:p>
    <w:p w:rsidR="004F0CFB" w:rsidRDefault="004F0CFB" w:rsidP="004F0CFB">
      <w:r>
        <w:t>After applying these five steps, we arrive at our total opex forecast.</w:t>
      </w:r>
    </w:p>
    <w:p w:rsidR="004F0CFB" w:rsidRDefault="004F0CFB" w:rsidP="001C65DB">
      <w:pPr>
        <w:pStyle w:val="HeadingBoldItalic"/>
      </w:pPr>
      <w:r>
        <w:t>Comparing our opex forecast to the service provider's opex forecast</w:t>
      </w:r>
    </w:p>
    <w:p w:rsidR="004F0CFB" w:rsidRPr="00970AF6" w:rsidRDefault="004F0CFB" w:rsidP="004F0CFB">
      <w:r>
        <w:t xml:space="preserve">If a service provider's total forecast opex is different to our estimate, we will examine </w:t>
      </w:r>
      <w:r w:rsidR="00916600">
        <w:t xml:space="preserve">potential </w:t>
      </w:r>
      <w:r>
        <w:t>reasons for the difference. If there is no satisfactory explanation for this difference, we may form the view that the service provider's forecast does not comply with the opex criteria. Conversely, if our estimate demonstrates that the service provider's forecast is consistent with the opex criteria, we will accept the forecast. Whether or not we accept a service provider's forecast, we will provide the reasons for our decision.</w:t>
      </w:r>
    </w:p>
    <w:p w:rsidR="005C0A7F" w:rsidRDefault="005C0A7F" w:rsidP="005C0A7F">
      <w:pPr>
        <w:pStyle w:val="Heading3"/>
      </w:pPr>
      <w:bookmarkStart w:id="21" w:name="_Toc436042908"/>
      <w:r>
        <w:t>Interrelationships</w:t>
      </w:r>
      <w:bookmarkEnd w:id="21"/>
    </w:p>
    <w:p w:rsidR="00970AF6" w:rsidRDefault="001C65DB" w:rsidP="00970AF6">
      <w:r>
        <w:t xml:space="preserve">There are interrelationships between the opex forecast and other elements of APTNT’s </w:t>
      </w:r>
      <w:r w:rsidR="00DD62E7">
        <w:t>access arrangement</w:t>
      </w:r>
      <w:r>
        <w:t xml:space="preserve"> proposal. In assessing APTNT’s proposed total opex we also took into account:</w:t>
      </w:r>
    </w:p>
    <w:p w:rsidR="001C65DB" w:rsidRDefault="00F24028" w:rsidP="00576BEC">
      <w:pPr>
        <w:pStyle w:val="AERbulletlistfirststyle"/>
      </w:pPr>
      <w:r>
        <w:t xml:space="preserve">forecast </w:t>
      </w:r>
      <w:r w:rsidR="00576BEC">
        <w:t>changes in demand</w:t>
      </w:r>
    </w:p>
    <w:p w:rsidR="00271955" w:rsidRDefault="00F24028" w:rsidP="00576BEC">
      <w:pPr>
        <w:pStyle w:val="AERbulletlistfirststyle"/>
      </w:pPr>
      <w:r>
        <w:t>capex</w:t>
      </w:r>
      <w:r w:rsidR="00271955">
        <w:t>/opex trade</w:t>
      </w:r>
      <w:r w:rsidR="008F236B">
        <w:t>-</w:t>
      </w:r>
      <w:r w:rsidR="00271955">
        <w:t>offs</w:t>
      </w:r>
    </w:p>
    <w:p w:rsidR="00576BEC" w:rsidRDefault="00F24028" w:rsidP="00576BEC">
      <w:pPr>
        <w:pStyle w:val="AERbulletlistfirststyle"/>
      </w:pPr>
      <w:r>
        <w:t xml:space="preserve">the </w:t>
      </w:r>
      <w:r w:rsidR="00271955">
        <w:t>possible impact of</w:t>
      </w:r>
      <w:r w:rsidR="00576BEC">
        <w:t xml:space="preserve"> </w:t>
      </w:r>
      <w:r w:rsidR="008F236B">
        <w:t>the connection of the Amadeus Gas Pipeline to</w:t>
      </w:r>
      <w:r w:rsidR="00576BEC">
        <w:t xml:space="preserve"> south eastern gas markets</w:t>
      </w:r>
      <w:r w:rsidR="00D93A97">
        <w:t>.</w:t>
      </w:r>
    </w:p>
    <w:p w:rsidR="00271955" w:rsidRDefault="009A5113" w:rsidP="00271955">
      <w:pPr>
        <w:pStyle w:val="Heading2"/>
        <w:spacing w:after="240"/>
        <w:ind w:left="578" w:hanging="578"/>
      </w:pPr>
      <w:bookmarkStart w:id="22" w:name="_Toc408404324"/>
      <w:bookmarkStart w:id="23" w:name="_Toc436042909"/>
      <w:r w:rsidRPr="00271955">
        <w:t xml:space="preserve">Reasons for </w:t>
      </w:r>
      <w:r w:rsidR="00CF2C05" w:rsidRPr="00271955">
        <w:t>draft</w:t>
      </w:r>
      <w:r w:rsidR="00651CB2" w:rsidRPr="00271955">
        <w:t xml:space="preserve"> </w:t>
      </w:r>
      <w:r w:rsidRPr="00271955">
        <w:t>decision</w:t>
      </w:r>
      <w:bookmarkEnd w:id="22"/>
      <w:bookmarkEnd w:id="23"/>
    </w:p>
    <w:p w:rsidR="00B03B53" w:rsidRDefault="00DD62E7" w:rsidP="00B03B53">
      <w:pPr>
        <w:numPr>
          <w:ilvl w:val="0"/>
          <w:numId w:val="24"/>
        </w:numPr>
        <w:spacing w:before="0" w:after="240" w:line="288" w:lineRule="auto"/>
        <w:jc w:val="both"/>
      </w:pPr>
      <w:r>
        <w:t xml:space="preserve">In </w:t>
      </w:r>
      <w:r w:rsidR="00B03B53">
        <w:t xml:space="preserve">accordance with the method set out in this chapter </w:t>
      </w:r>
      <w:r>
        <w:t xml:space="preserve">we </w:t>
      </w:r>
      <w:r w:rsidR="00B03B53">
        <w:t xml:space="preserve">derived an alternative forecast of total opex. </w:t>
      </w:r>
      <w:r w:rsidRPr="001C65DB">
        <w:t xml:space="preserve">We have assessed </w:t>
      </w:r>
      <w:r>
        <w:t>APTNT’s</w:t>
      </w:r>
      <w:r w:rsidRPr="001C65DB">
        <w:t xml:space="preserve"> opex forecast against our alternative estimate of opex</w:t>
      </w:r>
      <w:r>
        <w:t xml:space="preserve">. </w:t>
      </w:r>
      <w:r w:rsidR="00B03B53">
        <w:t>Differences between our forecast and the total opex forecast proposed by APTNT arise due to:</w:t>
      </w:r>
    </w:p>
    <w:p w:rsidR="00B03B53" w:rsidRDefault="00B03B53" w:rsidP="00B03B53">
      <w:pPr>
        <w:pStyle w:val="AERbulletlistfirststyle"/>
      </w:pPr>
      <w:r>
        <w:t>substitution of rate of change forecast to reflect alternative input price forecasts and an alternative weighting of labour and non-labour inputs</w:t>
      </w:r>
    </w:p>
    <w:p w:rsidR="00B03B53" w:rsidRDefault="00B03B53" w:rsidP="00B03B53">
      <w:pPr>
        <w:pStyle w:val="AERbulletlistfirststyle"/>
      </w:pPr>
      <w:r>
        <w:t>correction of a minor error in APTNT’s opex model.</w:t>
      </w:r>
    </w:p>
    <w:p w:rsidR="00B03B53" w:rsidRDefault="00B03B53" w:rsidP="00B03B53">
      <w:r>
        <w:fldChar w:fldCharType="begin"/>
      </w:r>
      <w:r>
        <w:instrText xml:space="preserve"> REF _Ref433288216 \h </w:instrText>
      </w:r>
      <w:r>
        <w:fldChar w:fldCharType="separate"/>
      </w:r>
      <w:r>
        <w:t xml:space="preserve">Table </w:t>
      </w:r>
      <w:r>
        <w:rPr>
          <w:noProof/>
        </w:rPr>
        <w:t>7</w:t>
      </w:r>
      <w:r>
        <w:t>.</w:t>
      </w:r>
      <w:r>
        <w:rPr>
          <w:noProof/>
        </w:rPr>
        <w:t>3</w:t>
      </w:r>
      <w:r>
        <w:fldChar w:fldCharType="end"/>
      </w:r>
      <w:r>
        <w:t xml:space="preserve"> compares our forecast total opex to that proposed by APTNT.</w:t>
      </w:r>
    </w:p>
    <w:p w:rsidR="00B03B53" w:rsidRDefault="00B03B53" w:rsidP="00B03B53">
      <w:pPr>
        <w:pStyle w:val="Caption"/>
      </w:pPr>
      <w:bookmarkStart w:id="24" w:name="_Ref433288216"/>
      <w:r>
        <w:t xml:space="preserve">Table </w:t>
      </w:r>
      <w:r w:rsidR="002F539B">
        <w:fldChar w:fldCharType="begin"/>
      </w:r>
      <w:r w:rsidR="002F539B">
        <w:instrText xml:space="preserve"> STYLEREF 1 \s </w:instrText>
      </w:r>
      <w:r w:rsidR="002F539B">
        <w:fldChar w:fldCharType="separate"/>
      </w:r>
      <w:r w:rsidR="009B0CED">
        <w:rPr>
          <w:noProof/>
        </w:rPr>
        <w:t>7</w:t>
      </w:r>
      <w:r w:rsidR="002F539B">
        <w:rPr>
          <w:noProof/>
        </w:rPr>
        <w:fldChar w:fldCharType="end"/>
      </w:r>
      <w:r w:rsidR="009B0CED">
        <w:t>.</w:t>
      </w:r>
      <w:r w:rsidR="002F539B">
        <w:fldChar w:fldCharType="begin"/>
      </w:r>
      <w:r w:rsidR="002F539B">
        <w:instrText xml:space="preserve"> SEQ Table \* ARABIC \s 1 </w:instrText>
      </w:r>
      <w:r w:rsidR="002F539B">
        <w:fldChar w:fldCharType="separate"/>
      </w:r>
      <w:r w:rsidR="009B0CED">
        <w:rPr>
          <w:noProof/>
        </w:rPr>
        <w:t>3</w:t>
      </w:r>
      <w:r w:rsidR="002F539B">
        <w:rPr>
          <w:noProof/>
        </w:rPr>
        <w:fldChar w:fldCharType="end"/>
      </w:r>
      <w:bookmarkEnd w:id="24"/>
      <w:r>
        <w:tab/>
      </w:r>
      <w:r w:rsidRPr="0005421A">
        <w:t>Comparison of total opex forecasts* ($million 2015–16)</w:t>
      </w:r>
    </w:p>
    <w:tbl>
      <w:tblPr>
        <w:tblStyle w:val="AERtable-text1"/>
        <w:tblW w:w="0" w:type="auto"/>
        <w:tblInd w:w="0" w:type="dxa"/>
        <w:tblLook w:val="04A0" w:firstRow="1" w:lastRow="0" w:firstColumn="1" w:lastColumn="0" w:noHBand="0" w:noVBand="1"/>
      </w:tblPr>
      <w:tblGrid>
        <w:gridCol w:w="1809"/>
        <w:gridCol w:w="1043"/>
        <w:gridCol w:w="1247"/>
        <w:gridCol w:w="1110"/>
        <w:gridCol w:w="1110"/>
        <w:gridCol w:w="1110"/>
        <w:gridCol w:w="1110"/>
      </w:tblGrid>
      <w:tr w:rsidR="00B03B53" w:rsidTr="00287572">
        <w:trPr>
          <w:cnfStyle w:val="100000000000" w:firstRow="1" w:lastRow="0" w:firstColumn="0" w:lastColumn="0" w:oddVBand="0" w:evenVBand="0" w:oddHBand="0" w:evenHBand="0" w:firstRowFirstColumn="0" w:firstRowLastColumn="0" w:lastRowFirstColumn="0" w:lastRowLastColumn="0"/>
        </w:trPr>
        <w:tc>
          <w:tcPr>
            <w:tcW w:w="1809" w:type="dxa"/>
          </w:tcPr>
          <w:p w:rsidR="00B03B53" w:rsidRDefault="00B03B53" w:rsidP="00287572">
            <w:pPr>
              <w:pStyle w:val="AERtabletextright"/>
              <w:keepNext/>
              <w:jc w:val="left"/>
            </w:pPr>
          </w:p>
        </w:tc>
        <w:tc>
          <w:tcPr>
            <w:tcW w:w="1043" w:type="dxa"/>
          </w:tcPr>
          <w:p w:rsidR="00B03B53" w:rsidRPr="002824EB" w:rsidRDefault="00B03B53" w:rsidP="00287572">
            <w:pPr>
              <w:pStyle w:val="AERtabletextright"/>
              <w:keepNext/>
              <w:jc w:val="center"/>
            </w:pPr>
            <w:r>
              <w:t>2016–17</w:t>
            </w:r>
          </w:p>
        </w:tc>
        <w:tc>
          <w:tcPr>
            <w:tcW w:w="1247" w:type="dxa"/>
          </w:tcPr>
          <w:p w:rsidR="00B03B53" w:rsidRPr="002824EB" w:rsidRDefault="00B03B53" w:rsidP="00287572">
            <w:pPr>
              <w:pStyle w:val="AERtabletextright"/>
              <w:keepNext/>
              <w:jc w:val="center"/>
            </w:pPr>
            <w:r>
              <w:t>2017–18</w:t>
            </w:r>
          </w:p>
        </w:tc>
        <w:tc>
          <w:tcPr>
            <w:tcW w:w="1110" w:type="dxa"/>
          </w:tcPr>
          <w:p w:rsidR="00B03B53" w:rsidRPr="002824EB" w:rsidRDefault="00B03B53" w:rsidP="00287572">
            <w:pPr>
              <w:pStyle w:val="AERtabletextright"/>
              <w:keepNext/>
              <w:jc w:val="center"/>
            </w:pPr>
            <w:r>
              <w:t>2018–19</w:t>
            </w:r>
          </w:p>
        </w:tc>
        <w:tc>
          <w:tcPr>
            <w:tcW w:w="1110" w:type="dxa"/>
          </w:tcPr>
          <w:p w:rsidR="00B03B53" w:rsidRDefault="00B03B53" w:rsidP="00287572">
            <w:pPr>
              <w:pStyle w:val="AERtabletextright"/>
              <w:keepNext/>
              <w:jc w:val="center"/>
            </w:pPr>
            <w:r>
              <w:t>2019–20</w:t>
            </w:r>
          </w:p>
        </w:tc>
        <w:tc>
          <w:tcPr>
            <w:tcW w:w="1110" w:type="dxa"/>
          </w:tcPr>
          <w:p w:rsidR="00B03B53" w:rsidRDefault="00B03B53" w:rsidP="00287572">
            <w:pPr>
              <w:pStyle w:val="AERtabletextright"/>
              <w:keepNext/>
              <w:jc w:val="center"/>
            </w:pPr>
            <w:r>
              <w:t>2020–21</w:t>
            </w:r>
          </w:p>
        </w:tc>
        <w:tc>
          <w:tcPr>
            <w:tcW w:w="1110" w:type="dxa"/>
          </w:tcPr>
          <w:p w:rsidR="00B03B53" w:rsidRDefault="00B03B53" w:rsidP="00287572">
            <w:pPr>
              <w:pStyle w:val="AERtabletextright"/>
              <w:keepNext/>
              <w:jc w:val="center"/>
            </w:pPr>
            <w:r>
              <w:t xml:space="preserve">Total 2016–21 </w:t>
            </w:r>
          </w:p>
        </w:tc>
      </w:tr>
      <w:tr w:rsidR="00B03B53" w:rsidTr="00287572">
        <w:tc>
          <w:tcPr>
            <w:tcW w:w="1809" w:type="dxa"/>
          </w:tcPr>
          <w:p w:rsidR="00B03B53" w:rsidRDefault="00B03B53" w:rsidP="00287572">
            <w:pPr>
              <w:pStyle w:val="AERtabletextright"/>
              <w:keepNext/>
              <w:jc w:val="left"/>
            </w:pPr>
            <w:r>
              <w:t>APTNT proposed</w:t>
            </w:r>
          </w:p>
        </w:tc>
        <w:tc>
          <w:tcPr>
            <w:tcW w:w="1043" w:type="dxa"/>
          </w:tcPr>
          <w:p w:rsidR="00B03B53" w:rsidRPr="008F249A" w:rsidRDefault="00B03B53" w:rsidP="00287572">
            <w:pPr>
              <w:pStyle w:val="AERtabletextright"/>
              <w:keepNext/>
              <w:jc w:val="center"/>
            </w:pPr>
            <w:r>
              <w:t>11.92</w:t>
            </w:r>
          </w:p>
        </w:tc>
        <w:tc>
          <w:tcPr>
            <w:tcW w:w="1247" w:type="dxa"/>
          </w:tcPr>
          <w:p w:rsidR="00B03B53" w:rsidRPr="008F249A" w:rsidRDefault="00B03B53" w:rsidP="00287572">
            <w:pPr>
              <w:pStyle w:val="AERtabletextright"/>
              <w:keepNext/>
              <w:jc w:val="center"/>
            </w:pPr>
            <w:r>
              <w:t>12.90</w:t>
            </w:r>
          </w:p>
        </w:tc>
        <w:tc>
          <w:tcPr>
            <w:tcW w:w="1110" w:type="dxa"/>
          </w:tcPr>
          <w:p w:rsidR="00B03B53" w:rsidRDefault="00B03B53" w:rsidP="00287572">
            <w:pPr>
              <w:pStyle w:val="AERtabletextright"/>
              <w:keepNext/>
              <w:jc w:val="center"/>
            </w:pPr>
            <w:r>
              <w:t>13.85</w:t>
            </w:r>
          </w:p>
        </w:tc>
        <w:tc>
          <w:tcPr>
            <w:tcW w:w="1110" w:type="dxa"/>
          </w:tcPr>
          <w:p w:rsidR="00B03B53" w:rsidRDefault="00B03B53" w:rsidP="00287572">
            <w:pPr>
              <w:pStyle w:val="AERtabletextright"/>
              <w:keepNext/>
              <w:jc w:val="center"/>
            </w:pPr>
            <w:r>
              <w:t>11.80</w:t>
            </w:r>
          </w:p>
        </w:tc>
        <w:tc>
          <w:tcPr>
            <w:tcW w:w="1110" w:type="dxa"/>
          </w:tcPr>
          <w:p w:rsidR="00B03B53" w:rsidRDefault="00B03B53" w:rsidP="00287572">
            <w:pPr>
              <w:pStyle w:val="AERtabletextright"/>
              <w:keepNext/>
              <w:jc w:val="center"/>
            </w:pPr>
            <w:r>
              <w:t>12.29</w:t>
            </w:r>
          </w:p>
        </w:tc>
        <w:tc>
          <w:tcPr>
            <w:tcW w:w="1110" w:type="dxa"/>
          </w:tcPr>
          <w:p w:rsidR="00B03B53" w:rsidRDefault="00B03B53" w:rsidP="00DD62E7">
            <w:pPr>
              <w:pStyle w:val="AERtabletextright"/>
              <w:keepNext/>
              <w:jc w:val="center"/>
            </w:pPr>
            <w:r>
              <w:t>62.</w:t>
            </w:r>
            <w:r w:rsidR="00DD62E7">
              <w:t>76</w:t>
            </w:r>
          </w:p>
        </w:tc>
      </w:tr>
      <w:tr w:rsidR="00B03B53" w:rsidTr="00287572">
        <w:trPr>
          <w:cnfStyle w:val="000000010000" w:firstRow="0" w:lastRow="0" w:firstColumn="0" w:lastColumn="0" w:oddVBand="0" w:evenVBand="0" w:oddHBand="0" w:evenHBand="1" w:firstRowFirstColumn="0" w:firstRowLastColumn="0" w:lastRowFirstColumn="0" w:lastRowLastColumn="0"/>
        </w:trPr>
        <w:tc>
          <w:tcPr>
            <w:tcW w:w="1809" w:type="dxa"/>
          </w:tcPr>
          <w:p w:rsidR="00B03B53" w:rsidRDefault="00B03B53" w:rsidP="00287572">
            <w:pPr>
              <w:pStyle w:val="AERtabletextright"/>
              <w:keepNext/>
              <w:jc w:val="left"/>
            </w:pPr>
            <w:r>
              <w:t>AER alternative</w:t>
            </w:r>
          </w:p>
        </w:tc>
        <w:tc>
          <w:tcPr>
            <w:tcW w:w="1043" w:type="dxa"/>
          </w:tcPr>
          <w:p w:rsidR="00B03B53" w:rsidRPr="00E4605D" w:rsidRDefault="009B0CED" w:rsidP="00287572">
            <w:pPr>
              <w:pStyle w:val="AERtabletextright"/>
              <w:keepNext/>
              <w:jc w:val="center"/>
            </w:pPr>
            <w:r>
              <w:t>11.84</w:t>
            </w:r>
          </w:p>
        </w:tc>
        <w:tc>
          <w:tcPr>
            <w:tcW w:w="1247" w:type="dxa"/>
          </w:tcPr>
          <w:p w:rsidR="00B03B53" w:rsidRPr="00E4605D" w:rsidRDefault="009B0CED" w:rsidP="00287572">
            <w:pPr>
              <w:pStyle w:val="AERtabletextright"/>
              <w:keepNext/>
              <w:jc w:val="center"/>
            </w:pPr>
            <w:r>
              <w:t>12.78</w:t>
            </w:r>
          </w:p>
        </w:tc>
        <w:tc>
          <w:tcPr>
            <w:tcW w:w="1110" w:type="dxa"/>
          </w:tcPr>
          <w:p w:rsidR="00B03B53" w:rsidRPr="00E4605D" w:rsidRDefault="009B0CED" w:rsidP="009B0CED">
            <w:pPr>
              <w:pStyle w:val="AERtabletextright"/>
              <w:keepNext/>
              <w:jc w:val="center"/>
            </w:pPr>
            <w:r>
              <w:t>13.68</w:t>
            </w:r>
          </w:p>
        </w:tc>
        <w:tc>
          <w:tcPr>
            <w:tcW w:w="1110" w:type="dxa"/>
          </w:tcPr>
          <w:p w:rsidR="00B03B53" w:rsidRPr="00E4605D" w:rsidRDefault="009B0CED" w:rsidP="00287572">
            <w:pPr>
              <w:pStyle w:val="AERtabletextright"/>
              <w:keepNext/>
              <w:jc w:val="center"/>
            </w:pPr>
            <w:r>
              <w:t>11.65</w:t>
            </w:r>
          </w:p>
        </w:tc>
        <w:tc>
          <w:tcPr>
            <w:tcW w:w="1110" w:type="dxa"/>
          </w:tcPr>
          <w:p w:rsidR="00B03B53" w:rsidRPr="00E4605D" w:rsidRDefault="009B0CED" w:rsidP="00287572">
            <w:pPr>
              <w:pStyle w:val="AERtabletextright"/>
              <w:keepNext/>
              <w:jc w:val="center"/>
            </w:pPr>
            <w:r>
              <w:t>12.14</w:t>
            </w:r>
          </w:p>
        </w:tc>
        <w:tc>
          <w:tcPr>
            <w:tcW w:w="1110" w:type="dxa"/>
          </w:tcPr>
          <w:p w:rsidR="00B03B53" w:rsidRPr="00E4605D" w:rsidRDefault="009B0CED" w:rsidP="001C7719">
            <w:pPr>
              <w:pStyle w:val="AERtabletextright"/>
              <w:keepNext/>
              <w:jc w:val="center"/>
            </w:pPr>
            <w:r>
              <w:t>62.09</w:t>
            </w:r>
          </w:p>
        </w:tc>
      </w:tr>
      <w:tr w:rsidR="00B03B53" w:rsidTr="00287572">
        <w:tc>
          <w:tcPr>
            <w:tcW w:w="1809" w:type="dxa"/>
          </w:tcPr>
          <w:p w:rsidR="00B03B53" w:rsidRDefault="00B03B53" w:rsidP="00287572">
            <w:pPr>
              <w:pStyle w:val="AERtabletextright"/>
              <w:keepNext/>
              <w:jc w:val="left"/>
            </w:pPr>
            <w:r>
              <w:t>Difference</w:t>
            </w:r>
          </w:p>
        </w:tc>
        <w:tc>
          <w:tcPr>
            <w:tcW w:w="1043" w:type="dxa"/>
          </w:tcPr>
          <w:p w:rsidR="00B03B53" w:rsidRPr="00E4605D" w:rsidRDefault="009B0CED" w:rsidP="00287572">
            <w:pPr>
              <w:pStyle w:val="AERtabletextright"/>
              <w:keepNext/>
              <w:jc w:val="center"/>
            </w:pPr>
            <w:r>
              <w:t>–0.08</w:t>
            </w:r>
          </w:p>
        </w:tc>
        <w:tc>
          <w:tcPr>
            <w:tcW w:w="1247" w:type="dxa"/>
          </w:tcPr>
          <w:p w:rsidR="00B03B53" w:rsidRPr="00E4605D" w:rsidRDefault="009B0CED" w:rsidP="00287572">
            <w:pPr>
              <w:pStyle w:val="AERtabletextright"/>
              <w:keepNext/>
              <w:jc w:val="center"/>
            </w:pPr>
            <w:r>
              <w:t>–0.12</w:t>
            </w:r>
          </w:p>
        </w:tc>
        <w:tc>
          <w:tcPr>
            <w:tcW w:w="1110" w:type="dxa"/>
          </w:tcPr>
          <w:p w:rsidR="00B03B53" w:rsidRPr="00E4605D" w:rsidRDefault="009B0CED" w:rsidP="00287572">
            <w:pPr>
              <w:pStyle w:val="AERtabletextright"/>
              <w:keepNext/>
              <w:jc w:val="center"/>
            </w:pPr>
            <w:r>
              <w:t>–0.17</w:t>
            </w:r>
          </w:p>
        </w:tc>
        <w:tc>
          <w:tcPr>
            <w:tcW w:w="1110" w:type="dxa"/>
          </w:tcPr>
          <w:p w:rsidR="00B03B53" w:rsidRPr="00E4605D" w:rsidRDefault="009B0CED" w:rsidP="00287572">
            <w:pPr>
              <w:pStyle w:val="AERtabletextright"/>
              <w:keepNext/>
              <w:jc w:val="center"/>
            </w:pPr>
            <w:r>
              <w:t>–0.15</w:t>
            </w:r>
          </w:p>
        </w:tc>
        <w:tc>
          <w:tcPr>
            <w:tcW w:w="1110" w:type="dxa"/>
          </w:tcPr>
          <w:p w:rsidR="00B03B53" w:rsidRPr="00E4605D" w:rsidRDefault="009B0CED" w:rsidP="001C7719">
            <w:pPr>
              <w:pStyle w:val="AERtabletextright"/>
              <w:keepNext/>
              <w:jc w:val="center"/>
            </w:pPr>
            <w:r>
              <w:t>–0.16</w:t>
            </w:r>
          </w:p>
        </w:tc>
        <w:tc>
          <w:tcPr>
            <w:tcW w:w="1110" w:type="dxa"/>
          </w:tcPr>
          <w:p w:rsidR="00B03B53" w:rsidRPr="00E4605D" w:rsidRDefault="009B0CED" w:rsidP="00287572">
            <w:pPr>
              <w:pStyle w:val="AERtabletextright"/>
              <w:keepNext/>
              <w:jc w:val="center"/>
            </w:pPr>
            <w:r>
              <w:t>–0.67</w:t>
            </w:r>
            <w:r>
              <w:br/>
              <w:t>(1.1%)</w:t>
            </w:r>
          </w:p>
        </w:tc>
      </w:tr>
    </w:tbl>
    <w:p w:rsidR="00B03B53" w:rsidRDefault="00B03B53" w:rsidP="00B03B53">
      <w:pPr>
        <w:pStyle w:val="AERtablesource"/>
      </w:pPr>
      <w:r>
        <w:t xml:space="preserve">Source:  </w:t>
      </w:r>
      <w:r>
        <w:tab/>
      </w:r>
      <w:r w:rsidRPr="003C3D38">
        <w:t xml:space="preserve">APA Group, </w:t>
      </w:r>
      <w:r w:rsidRPr="00B03B53">
        <w:rPr>
          <w:rStyle w:val="AERtextitalic"/>
        </w:rPr>
        <w:t>Amadeus Gas Pipeline, Access Arrangement Revision Proposal, Submission, 1 July 2016 to 30 June 2021</w:t>
      </w:r>
      <w:r w:rsidRPr="003C3D38">
        <w:t>, August 2015</w:t>
      </w:r>
      <w:r>
        <w:t>, Opex model; AER analysis.</w:t>
      </w:r>
    </w:p>
    <w:p w:rsidR="00B03B53" w:rsidRPr="003C3D38" w:rsidRDefault="00B03B53" w:rsidP="00B03B53">
      <w:pPr>
        <w:pStyle w:val="AERtablesource"/>
      </w:pPr>
      <w:r>
        <w:t>*</w:t>
      </w:r>
      <w:r>
        <w:tab/>
        <w:t>Excludes debt raising costs.</w:t>
      </w:r>
    </w:p>
    <w:p w:rsidR="00B61EDF" w:rsidRDefault="001C65DB" w:rsidP="00191384">
      <w:r w:rsidRPr="001C65DB">
        <w:t xml:space="preserve">We are satisfied that </w:t>
      </w:r>
      <w:r w:rsidR="00007FFA">
        <w:t>APTNT</w:t>
      </w:r>
      <w:r w:rsidRPr="001C65DB">
        <w:t xml:space="preserve">'s forecast opex for the </w:t>
      </w:r>
      <w:r w:rsidR="00007FFA">
        <w:t>2016–21</w:t>
      </w:r>
      <w:r w:rsidRPr="001C65DB">
        <w:t xml:space="preserve"> access arrangement period complies with the opex criteria</w:t>
      </w:r>
      <w:r w:rsidR="00F24028">
        <w:t xml:space="preserve"> and criteria for forecast and estimates</w:t>
      </w:r>
      <w:r w:rsidRPr="001C65DB">
        <w:t xml:space="preserve">. </w:t>
      </w:r>
      <w:r>
        <w:t xml:space="preserve">We discuss each element of </w:t>
      </w:r>
      <w:r w:rsidR="00007FFA">
        <w:t>APTNT</w:t>
      </w:r>
      <w:r>
        <w:t xml:space="preserve">'s forecast opex in more detail in </w:t>
      </w:r>
      <w:r w:rsidR="009B0CED">
        <w:t>section</w:t>
      </w:r>
      <w:r w:rsidR="00631070">
        <w:t>s</w:t>
      </w:r>
      <w:r w:rsidR="009B0CED">
        <w:t xml:space="preserve"> </w:t>
      </w:r>
      <w:r w:rsidR="00675539">
        <w:fldChar w:fldCharType="begin"/>
      </w:r>
      <w:r w:rsidR="00675539">
        <w:instrText xml:space="preserve"> REF _Ref433279031 \r \h </w:instrText>
      </w:r>
      <w:r w:rsidR="00675539">
        <w:fldChar w:fldCharType="separate"/>
      </w:r>
      <w:r w:rsidR="00675539">
        <w:t>7.4.2</w:t>
      </w:r>
      <w:r w:rsidR="00675539">
        <w:fldChar w:fldCharType="end"/>
      </w:r>
      <w:r w:rsidR="009B0CED">
        <w:t>–</w:t>
      </w:r>
      <w:r w:rsidR="00675539">
        <w:fldChar w:fldCharType="begin"/>
      </w:r>
      <w:r w:rsidR="00675539">
        <w:instrText xml:space="preserve"> REF _Ref435090902 \r \h </w:instrText>
      </w:r>
      <w:r w:rsidR="00675539">
        <w:fldChar w:fldCharType="separate"/>
      </w:r>
      <w:r w:rsidR="00675539">
        <w:t>7.4.5</w:t>
      </w:r>
      <w:r w:rsidR="00675539">
        <w:fldChar w:fldCharType="end"/>
      </w:r>
      <w:r w:rsidR="00675539">
        <w:t xml:space="preserve"> </w:t>
      </w:r>
      <w:r w:rsidR="009B0CED">
        <w:t>of</w:t>
      </w:r>
      <w:r w:rsidR="00D93A97">
        <w:t xml:space="preserve"> this attachment</w:t>
      </w:r>
      <w:r>
        <w:t xml:space="preserve">. </w:t>
      </w:r>
      <w:r w:rsidRPr="0017006D">
        <w:t xml:space="preserve">Debt raising costs </w:t>
      </w:r>
      <w:r w:rsidR="009B0CED">
        <w:t>are</w:t>
      </w:r>
      <w:r w:rsidRPr="0017006D">
        <w:t xml:space="preserve"> discussed </w:t>
      </w:r>
      <w:r w:rsidRPr="00631070">
        <w:t xml:space="preserve">in </w:t>
      </w:r>
      <w:r w:rsidR="00D93A97" w:rsidRPr="00631070">
        <w:t>Attachment 3</w:t>
      </w:r>
      <w:r w:rsidRPr="00631070">
        <w:t>.</w:t>
      </w:r>
      <w:r>
        <w:t xml:space="preserve"> </w:t>
      </w:r>
    </w:p>
    <w:p w:rsidR="00B61EDF" w:rsidRDefault="001C65DB" w:rsidP="00BC7736">
      <w:pPr>
        <w:pStyle w:val="Heading3"/>
      </w:pPr>
      <w:bookmarkStart w:id="25" w:name="_Toc436042910"/>
      <w:r>
        <w:t>Forecasting method</w:t>
      </w:r>
      <w:bookmarkEnd w:id="25"/>
    </w:p>
    <w:p w:rsidR="00F24028" w:rsidRDefault="00314967" w:rsidP="00F24028">
      <w:r>
        <w:t>We have assessed APTNT’s forecasting method to determine if it explains the difference between our forecast opex and that proposed by APTNT. We are satisfied the forecasting method is not a key driver of the difference.</w:t>
      </w:r>
      <w:r w:rsidR="00166C47">
        <w:t xml:space="preserve"> </w:t>
      </w:r>
      <w:r w:rsidR="00F24028">
        <w:t>APTNT describes its forecasting method as involving:</w:t>
      </w:r>
      <w:r w:rsidR="00F24028">
        <w:rPr>
          <w:rStyle w:val="FootnoteReference"/>
        </w:rPr>
        <w:footnoteReference w:id="6"/>
      </w:r>
    </w:p>
    <w:p w:rsidR="00F24028" w:rsidRDefault="003D1E73" w:rsidP="00CF2AB0">
      <w:pPr>
        <w:pStyle w:val="AERbulletlistfirststyle"/>
      </w:pPr>
      <w:r>
        <w:t>i</w:t>
      </w:r>
      <w:r w:rsidR="00F24028">
        <w:t>dentification of an efficient base year and base year costs</w:t>
      </w:r>
    </w:p>
    <w:p w:rsidR="00F24028" w:rsidRDefault="003D1E73" w:rsidP="00CF2AB0">
      <w:pPr>
        <w:pStyle w:val="AERbulletlistfirststyle"/>
      </w:pPr>
      <w:r>
        <w:t>a</w:t>
      </w:r>
      <w:r w:rsidR="00F24028">
        <w:t>djustment for step and scope changes, including removal from the base year of costs that are not indicative of future requirements and adding costs for new expenditures not experienced in the past or embedded in base year costs</w:t>
      </w:r>
    </w:p>
    <w:p w:rsidR="00F24028" w:rsidRDefault="003D1E73" w:rsidP="00CF2AB0">
      <w:pPr>
        <w:pStyle w:val="AERbulletlistfirststyle"/>
      </w:pPr>
      <w:r>
        <w:t>e</w:t>
      </w:r>
      <w:r w:rsidR="00F24028">
        <w:t>scalation of costs for expected changes in input costs.</w:t>
      </w:r>
    </w:p>
    <w:p w:rsidR="00AB7796" w:rsidRDefault="00F24028" w:rsidP="00AB7796">
      <w:r w:rsidRPr="00EB4948">
        <w:rPr>
          <w:rStyle w:val="AERbody"/>
        </w:rPr>
        <w:t xml:space="preserve">APTNT’s forecasting method </w:t>
      </w:r>
      <w:r>
        <w:rPr>
          <w:rStyle w:val="AERbody"/>
        </w:rPr>
        <w:t>reflects</w:t>
      </w:r>
      <w:r w:rsidRPr="00EB4948">
        <w:rPr>
          <w:rStyle w:val="AERbody"/>
        </w:rPr>
        <w:t xml:space="preserve"> our preferred method</w:t>
      </w:r>
      <w:r>
        <w:rPr>
          <w:rStyle w:val="AERbody"/>
        </w:rPr>
        <w:t xml:space="preserve">, applying a rate of change to base year opex, as well developing category specific forecasts </w:t>
      </w:r>
      <w:r w:rsidR="009B0CED">
        <w:rPr>
          <w:rStyle w:val="AERbody"/>
        </w:rPr>
        <w:t>for a limited component of the opex forecast</w:t>
      </w:r>
      <w:r w:rsidRPr="00EB4948">
        <w:rPr>
          <w:rStyle w:val="AERbody"/>
        </w:rPr>
        <w:t>.</w:t>
      </w:r>
      <w:r>
        <w:rPr>
          <w:rStyle w:val="AERbody"/>
        </w:rPr>
        <w:t xml:space="preserve"> </w:t>
      </w:r>
      <w:r w:rsidR="00166C47">
        <w:t xml:space="preserve">The </w:t>
      </w:r>
      <w:r w:rsidR="00271955">
        <w:t>expenditure</w:t>
      </w:r>
      <w:r w:rsidR="00166C47">
        <w:t xml:space="preserve"> impact of APTNT’s forecasting method is shown in </w:t>
      </w:r>
      <w:r w:rsidR="00BC7736">
        <w:fldChar w:fldCharType="begin"/>
      </w:r>
      <w:r w:rsidR="00BC7736">
        <w:instrText xml:space="preserve"> REF _Ref434920787 \h </w:instrText>
      </w:r>
      <w:r w:rsidR="00BC7736">
        <w:fldChar w:fldCharType="separate"/>
      </w:r>
      <w:r w:rsidR="00BC7736">
        <w:t xml:space="preserve">Figure </w:t>
      </w:r>
      <w:r w:rsidR="00BC7736">
        <w:rPr>
          <w:noProof/>
        </w:rPr>
        <w:t>7</w:t>
      </w:r>
      <w:r w:rsidR="00BC7736">
        <w:t>.</w:t>
      </w:r>
      <w:r w:rsidR="00BC7736">
        <w:rPr>
          <w:noProof/>
        </w:rPr>
        <w:t>2</w:t>
      </w:r>
      <w:r w:rsidR="00BC7736">
        <w:fldChar w:fldCharType="end"/>
      </w:r>
      <w:r w:rsidR="00BC7736">
        <w:t xml:space="preserve">. </w:t>
      </w:r>
      <w:r w:rsidR="0005421A">
        <w:t>It</w:t>
      </w:r>
      <w:r w:rsidR="00166C47">
        <w:t xml:space="preserve"> shows the drivers of change between </w:t>
      </w:r>
      <w:r w:rsidR="00271955">
        <w:t xml:space="preserve">a forecast derived using </w:t>
      </w:r>
      <w:r w:rsidR="00166C47">
        <w:t>APTNT’s allowed opex in 2014</w:t>
      </w:r>
      <w:r w:rsidR="003D1E73">
        <w:t>–</w:t>
      </w:r>
      <w:r w:rsidR="00166C47">
        <w:t xml:space="preserve">15 and its proposed opex for </w:t>
      </w:r>
      <w:r w:rsidR="00576BEC">
        <w:t>2016</w:t>
      </w:r>
      <w:r w:rsidR="003D1E73">
        <w:t>–</w:t>
      </w:r>
      <w:r w:rsidR="00576BEC">
        <w:t>21</w:t>
      </w:r>
      <w:r w:rsidR="00166C47">
        <w:t>.</w:t>
      </w:r>
    </w:p>
    <w:p w:rsidR="003D1E73" w:rsidRDefault="00BC7736" w:rsidP="00B03B53">
      <w:pPr>
        <w:pStyle w:val="Caption"/>
      </w:pPr>
      <w:bookmarkStart w:id="26" w:name="_Ref434920787"/>
      <w:bookmarkStart w:id="27" w:name="_Ref434920753"/>
      <w:r>
        <w:t xml:space="preserve">Figure </w:t>
      </w:r>
      <w:r w:rsidR="002F539B">
        <w:fldChar w:fldCharType="begin"/>
      </w:r>
      <w:r w:rsidR="002F539B">
        <w:instrText xml:space="preserve"> STYLEREF 1 \s </w:instrText>
      </w:r>
      <w:r w:rsidR="002F539B">
        <w:fldChar w:fldCharType="separate"/>
      </w:r>
      <w:r w:rsidR="009B0CED">
        <w:rPr>
          <w:noProof/>
        </w:rPr>
        <w:t>7</w:t>
      </w:r>
      <w:r w:rsidR="002F539B">
        <w:rPr>
          <w:noProof/>
        </w:rPr>
        <w:fldChar w:fldCharType="end"/>
      </w:r>
      <w:r w:rsidR="009B0CED">
        <w:t>.</w:t>
      </w:r>
      <w:r w:rsidR="002F539B">
        <w:fldChar w:fldCharType="begin"/>
      </w:r>
      <w:r w:rsidR="002F539B">
        <w:instrText xml:space="preserve"> SEQ Figure \* ARABIC \s 1 </w:instrText>
      </w:r>
      <w:r w:rsidR="002F539B">
        <w:fldChar w:fldCharType="separate"/>
      </w:r>
      <w:r w:rsidR="009B0CED">
        <w:rPr>
          <w:noProof/>
        </w:rPr>
        <w:t>2</w:t>
      </w:r>
      <w:r w:rsidR="002F539B">
        <w:rPr>
          <w:noProof/>
        </w:rPr>
        <w:fldChar w:fldCharType="end"/>
      </w:r>
      <w:bookmarkEnd w:id="26"/>
      <w:r w:rsidR="003D1E73">
        <w:tab/>
      </w:r>
      <w:r w:rsidR="003D1E73" w:rsidRPr="003D1E73">
        <w:t xml:space="preserve">APTNT’s forecasting method impacts ($million, </w:t>
      </w:r>
      <w:r w:rsidR="003D1E73">
        <w:t>2015–16</w:t>
      </w:r>
      <w:r w:rsidR="003D1E73" w:rsidRPr="003D1E73">
        <w:t>)</w:t>
      </w:r>
      <w:bookmarkEnd w:id="27"/>
    </w:p>
    <w:p w:rsidR="00DD2D7E" w:rsidRDefault="00271955" w:rsidP="00AB7796">
      <w:r>
        <w:rPr>
          <w:noProof/>
          <w:lang w:eastAsia="en-AU"/>
        </w:rPr>
        <w:drawing>
          <wp:inline distT="0" distB="0" distL="0" distR="0" wp14:anchorId="6827BC16" wp14:editId="57678756">
            <wp:extent cx="5226088" cy="31458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1013"/>
                    <a:stretch/>
                  </pic:blipFill>
                  <pic:spPr bwMode="auto">
                    <a:xfrm>
                      <a:off x="0" y="0"/>
                      <a:ext cx="5236009" cy="3151781"/>
                    </a:xfrm>
                    <a:prstGeom prst="rect">
                      <a:avLst/>
                    </a:prstGeom>
                    <a:noFill/>
                    <a:ln>
                      <a:noFill/>
                    </a:ln>
                    <a:extLst>
                      <a:ext uri="{53640926-AAD7-44D8-BBD7-CCE9431645EC}">
                        <a14:shadowObscured xmlns:a14="http://schemas.microsoft.com/office/drawing/2010/main"/>
                      </a:ext>
                    </a:extLst>
                  </pic:spPr>
                </pic:pic>
              </a:graphicData>
            </a:graphic>
          </wp:inline>
        </w:drawing>
      </w:r>
    </w:p>
    <w:p w:rsidR="007A62C1" w:rsidRDefault="007A62C1" w:rsidP="007A62C1">
      <w:pPr>
        <w:pStyle w:val="AERtablesource"/>
      </w:pPr>
      <w:r w:rsidRPr="0067776E">
        <w:t xml:space="preserve">Source: </w:t>
      </w:r>
      <w:r w:rsidR="003D1E73">
        <w:tab/>
      </w:r>
      <w:r w:rsidRPr="0067776E">
        <w:t>AER analysis</w:t>
      </w:r>
      <w:r w:rsidR="003D1E73">
        <w:t>.</w:t>
      </w:r>
    </w:p>
    <w:p w:rsidR="00EB4948" w:rsidRPr="00F5768D" w:rsidRDefault="00EB4948" w:rsidP="00F5768D">
      <w:pPr>
        <w:pStyle w:val="AERbulletlistfirststyle"/>
      </w:pPr>
      <w:r w:rsidRPr="00F5768D">
        <w:t>APTNT used revealed</w:t>
      </w:r>
      <w:r w:rsidR="00B24DD3" w:rsidRPr="00F5768D">
        <w:t xml:space="preserve"> actual</w:t>
      </w:r>
      <w:r w:rsidRPr="00F5768D">
        <w:t xml:space="preserve"> expenditure for </w:t>
      </w:r>
      <w:r w:rsidR="003D1E73">
        <w:t>2014–15</w:t>
      </w:r>
      <w:r w:rsidRPr="00F5768D">
        <w:t xml:space="preserve"> as its base opex</w:t>
      </w:r>
      <w:r w:rsidR="00D54A12" w:rsidRPr="00F5768D">
        <w:t xml:space="preserve"> to forecast total opex for the </w:t>
      </w:r>
      <w:r w:rsidR="003D1E73">
        <w:t>2016–21</w:t>
      </w:r>
      <w:r w:rsidR="00D54A12" w:rsidRPr="00F5768D">
        <w:t xml:space="preserve"> period</w:t>
      </w:r>
      <w:r w:rsidRPr="00F5768D">
        <w:t xml:space="preserve">. This </w:t>
      </w:r>
      <w:r w:rsidR="00B24DD3" w:rsidRPr="00F5768D">
        <w:t xml:space="preserve">resulted in </w:t>
      </w:r>
      <w:r w:rsidRPr="00F5768D">
        <w:t xml:space="preserve">its forecast opex </w:t>
      </w:r>
      <w:r w:rsidR="00B24DD3" w:rsidRPr="00F5768D">
        <w:t xml:space="preserve">being </w:t>
      </w:r>
      <w:r w:rsidR="0065456F" w:rsidRPr="001C7719">
        <w:t>$</w:t>
      </w:r>
      <w:r w:rsidR="00D93A97" w:rsidRPr="001C7719">
        <w:t>18.9</w:t>
      </w:r>
      <w:r w:rsidR="00F5768D" w:rsidRPr="001C7719">
        <w:t> </w:t>
      </w:r>
      <w:r w:rsidR="0065456F" w:rsidRPr="001C7719">
        <w:t>million</w:t>
      </w:r>
      <w:r w:rsidR="0065456F" w:rsidRPr="00F5768D">
        <w:t xml:space="preserve"> </w:t>
      </w:r>
      <w:r w:rsidR="00B24DD3" w:rsidRPr="00F5768D">
        <w:t>lower than</w:t>
      </w:r>
      <w:r w:rsidR="00F5768D" w:rsidRPr="00F5768D">
        <w:t xml:space="preserve"> total opex forecast using</w:t>
      </w:r>
      <w:r w:rsidR="00B24DD3" w:rsidRPr="00F5768D">
        <w:t xml:space="preserve"> </w:t>
      </w:r>
      <w:r w:rsidR="0065456F" w:rsidRPr="00F5768D">
        <w:t xml:space="preserve">the </w:t>
      </w:r>
      <w:r w:rsidR="003D1E73">
        <w:t>2014–15</w:t>
      </w:r>
      <w:r w:rsidR="00F5768D" w:rsidRPr="00F5768D">
        <w:t xml:space="preserve"> </w:t>
      </w:r>
      <w:r w:rsidR="0065456F" w:rsidRPr="00F5768D">
        <w:t xml:space="preserve">opex </w:t>
      </w:r>
      <w:r w:rsidR="00B24DD3" w:rsidRPr="00F5768D">
        <w:t xml:space="preserve">allowed </w:t>
      </w:r>
      <w:r w:rsidR="00D54A12" w:rsidRPr="00F5768D">
        <w:t xml:space="preserve">under </w:t>
      </w:r>
      <w:r w:rsidR="00F5768D" w:rsidRPr="00F5768D">
        <w:t xml:space="preserve">the </w:t>
      </w:r>
      <w:r w:rsidR="003D1E73">
        <w:t>2011–16</w:t>
      </w:r>
      <w:r w:rsidR="00D54A12" w:rsidRPr="00F5768D">
        <w:t xml:space="preserve"> access arrangement</w:t>
      </w:r>
      <w:r w:rsidR="0065456F" w:rsidRPr="00F5768D">
        <w:t>.</w:t>
      </w:r>
      <w:r w:rsidR="00221006" w:rsidRPr="00F5768D">
        <w:t xml:space="preserve"> We have assessed APTNT’s base opex in section</w:t>
      </w:r>
      <w:r w:rsidR="008F236B">
        <w:t xml:space="preserve">s </w:t>
      </w:r>
      <w:r w:rsidR="00675539">
        <w:fldChar w:fldCharType="begin"/>
      </w:r>
      <w:r w:rsidR="00675539">
        <w:instrText xml:space="preserve"> REF _Ref433279031 \r \h </w:instrText>
      </w:r>
      <w:r w:rsidR="00675539">
        <w:fldChar w:fldCharType="separate"/>
      </w:r>
      <w:r w:rsidR="00675539">
        <w:t>7.4.2</w:t>
      </w:r>
      <w:r w:rsidR="00675539">
        <w:fldChar w:fldCharType="end"/>
      </w:r>
      <w:r w:rsidR="00221006" w:rsidRPr="00F5768D">
        <w:t>.</w:t>
      </w:r>
    </w:p>
    <w:p w:rsidR="00DD62E7" w:rsidRDefault="00DD62E7" w:rsidP="00DD62E7">
      <w:pPr>
        <w:pStyle w:val="AERbulletlistfirststyle"/>
        <w:rPr>
          <w:rStyle w:val="AERbody"/>
        </w:rPr>
      </w:pPr>
      <w:r>
        <w:rPr>
          <w:rStyle w:val="AERbody"/>
        </w:rPr>
        <w:t xml:space="preserve">APTNT accounted for price changes by applying forecast changes in labour prices to internal and external labour elements of its forecast opex. The application of these forecast price changes increased APTNT’s opex </w:t>
      </w:r>
      <w:r w:rsidRPr="001C7719">
        <w:rPr>
          <w:rStyle w:val="AERbody"/>
        </w:rPr>
        <w:t>forecast by $1.7 million</w:t>
      </w:r>
      <w:r>
        <w:rPr>
          <w:rStyle w:val="AERbody"/>
        </w:rPr>
        <w:t xml:space="preserve">. We have assessed price changes in section </w:t>
      </w:r>
      <w:r>
        <w:rPr>
          <w:rStyle w:val="AERbody"/>
        </w:rPr>
        <w:fldChar w:fldCharType="begin"/>
      </w:r>
      <w:r>
        <w:rPr>
          <w:rStyle w:val="AERbody"/>
        </w:rPr>
        <w:instrText xml:space="preserve"> REF _Ref433279061 \r \h </w:instrText>
      </w:r>
      <w:r>
        <w:rPr>
          <w:rStyle w:val="AERbody"/>
        </w:rPr>
      </w:r>
      <w:r>
        <w:rPr>
          <w:rStyle w:val="AERbody"/>
        </w:rPr>
        <w:fldChar w:fldCharType="separate"/>
      </w:r>
      <w:r>
        <w:rPr>
          <w:rStyle w:val="AERbody"/>
        </w:rPr>
        <w:t>7.4.4</w:t>
      </w:r>
      <w:r>
        <w:rPr>
          <w:rStyle w:val="AERbody"/>
        </w:rPr>
        <w:fldChar w:fldCharType="end"/>
      </w:r>
      <w:r>
        <w:rPr>
          <w:rStyle w:val="AERbody"/>
        </w:rPr>
        <w:t>.</w:t>
      </w:r>
    </w:p>
    <w:p w:rsidR="00DD62E7" w:rsidRDefault="00DD62E7" w:rsidP="00DD62E7">
      <w:pPr>
        <w:pStyle w:val="AERbulletlistfirststyle"/>
        <w:rPr>
          <w:rStyle w:val="AERbody"/>
        </w:rPr>
      </w:pPr>
      <w:r>
        <w:rPr>
          <w:rStyle w:val="AERbody"/>
        </w:rPr>
        <w:t>APTNT did not incorporate any changes in output, productivity or step changes to its forecast opex.</w:t>
      </w:r>
    </w:p>
    <w:p w:rsidR="00F5768D" w:rsidRDefault="00F5768D" w:rsidP="00F5768D">
      <w:pPr>
        <w:pStyle w:val="AERbulletlistfirststyle"/>
        <w:rPr>
          <w:rStyle w:val="AERbody"/>
        </w:rPr>
      </w:pPr>
      <w:r>
        <w:rPr>
          <w:rStyle w:val="AERbody"/>
        </w:rPr>
        <w:t xml:space="preserve">APTNT developed a category specific forecast for its pigging costs of </w:t>
      </w:r>
      <w:r w:rsidRPr="001C7719">
        <w:rPr>
          <w:rStyle w:val="AERbody"/>
        </w:rPr>
        <w:t>$4.1</w:t>
      </w:r>
      <w:r>
        <w:rPr>
          <w:rStyle w:val="AERbody"/>
        </w:rPr>
        <w:t xml:space="preserve"> million in the </w:t>
      </w:r>
      <w:r w:rsidR="003D1E73">
        <w:rPr>
          <w:rStyle w:val="AERbody"/>
        </w:rPr>
        <w:t>2016–21</w:t>
      </w:r>
      <w:r>
        <w:rPr>
          <w:rStyle w:val="AERbody"/>
        </w:rPr>
        <w:t xml:space="preserve"> period. We generally prefer not to incorporate category specific forecasts into opex forecasts</w:t>
      </w:r>
      <w:r>
        <w:rPr>
          <w:rStyle w:val="FootnoteReference"/>
        </w:rPr>
        <w:footnoteReference w:id="7"/>
      </w:r>
      <w:r>
        <w:rPr>
          <w:rStyle w:val="AERbody"/>
        </w:rPr>
        <w:t xml:space="preserve"> but in this instance we are satisfied APTNT’s forecasting approach does not produce opex forecasts that exceed the efficient level of </w:t>
      </w:r>
      <w:r w:rsidR="009B0CED">
        <w:rPr>
          <w:rStyle w:val="AERbody"/>
        </w:rPr>
        <w:t>total opex</w:t>
      </w:r>
      <w:r>
        <w:rPr>
          <w:rStyle w:val="AERbody"/>
        </w:rPr>
        <w:t xml:space="preserve"> required by APTNT to meet the opex criteria.</w:t>
      </w:r>
    </w:p>
    <w:p w:rsidR="001C65DB" w:rsidRDefault="001C65DB" w:rsidP="00BC7736">
      <w:pPr>
        <w:pStyle w:val="Heading3"/>
      </w:pPr>
      <w:bookmarkStart w:id="28" w:name="_Ref433279031"/>
      <w:bookmarkStart w:id="29" w:name="_Toc436042911"/>
      <w:r>
        <w:t>Selection of base year</w:t>
      </w:r>
      <w:bookmarkEnd w:id="28"/>
      <w:bookmarkEnd w:id="29"/>
    </w:p>
    <w:p w:rsidR="00E914AB" w:rsidRDefault="00E914AB" w:rsidP="00E914AB">
      <w:r>
        <w:t>APTNT used revealed expenditure for 2014</w:t>
      </w:r>
      <w:r w:rsidR="003D1E73">
        <w:t>–</w:t>
      </w:r>
      <w:r>
        <w:t>15 as its base opex, and stated:</w:t>
      </w:r>
      <w:r>
        <w:rPr>
          <w:rStyle w:val="FootnoteReference"/>
        </w:rPr>
        <w:footnoteReference w:id="8"/>
      </w:r>
    </w:p>
    <w:p w:rsidR="000C72B7" w:rsidRDefault="000C72B7" w:rsidP="000C72B7">
      <w:pPr>
        <w:pStyle w:val="AERquotebullet1"/>
      </w:pPr>
      <w:r>
        <w:t xml:space="preserve">it is the most recent complete regulatory year for expenditure and is therefore the most indicative of the current operating expenditure of the business; and </w:t>
      </w:r>
    </w:p>
    <w:p w:rsidR="000C72B7" w:rsidRDefault="000C72B7" w:rsidP="000C72B7">
      <w:pPr>
        <w:pStyle w:val="AERquotebullet1"/>
      </w:pPr>
      <w:r>
        <w:t>it is in line with operating expenditure in previous years of the period.</w:t>
      </w:r>
    </w:p>
    <w:p w:rsidR="000C72B7" w:rsidRDefault="000C72B7" w:rsidP="00E914AB">
      <w:r>
        <w:t>We consider APTNT’s proposed base year is a reasonable base year for forecasting opex because:</w:t>
      </w:r>
    </w:p>
    <w:p w:rsidR="000C72B7" w:rsidRDefault="000C72B7" w:rsidP="00A86B2C">
      <w:pPr>
        <w:pStyle w:val="AERbulletlistfirststyle"/>
      </w:pPr>
      <w:r>
        <w:t xml:space="preserve">Most opex is recurrent in nature and actual expenditure in </w:t>
      </w:r>
      <w:r w:rsidR="003D1E73">
        <w:t>2014–15</w:t>
      </w:r>
      <w:r>
        <w:t xml:space="preserve"> is likely to be a good indicator for the efficient expenditure in the </w:t>
      </w:r>
      <w:r w:rsidR="003D1E73">
        <w:t>2016–21</w:t>
      </w:r>
      <w:r>
        <w:t xml:space="preserve"> period</w:t>
      </w:r>
      <w:r w:rsidR="00A86B2C">
        <w:t>.</w:t>
      </w:r>
    </w:p>
    <w:p w:rsidR="000C72B7" w:rsidRDefault="003D1E73" w:rsidP="00A86B2C">
      <w:pPr>
        <w:pStyle w:val="AERbulletlistfirststyle"/>
      </w:pPr>
      <w:r>
        <w:t>2014–15</w:t>
      </w:r>
      <w:r w:rsidR="000C72B7">
        <w:t xml:space="preserve"> is the second last year of the </w:t>
      </w:r>
      <w:r>
        <w:t>2011–16</w:t>
      </w:r>
      <w:r w:rsidR="000C72B7">
        <w:t xml:space="preserve"> period, and is the most recent year for which </w:t>
      </w:r>
      <w:r w:rsidR="00DD62E7">
        <w:t>certified</w:t>
      </w:r>
      <w:r w:rsidR="00935D76">
        <w:t xml:space="preserve"> </w:t>
      </w:r>
      <w:r w:rsidR="000C72B7">
        <w:t xml:space="preserve">actual data </w:t>
      </w:r>
      <w:r w:rsidR="00DD62E7">
        <w:t>is</w:t>
      </w:r>
      <w:r w:rsidR="003C0E8B">
        <w:t xml:space="preserve"> be </w:t>
      </w:r>
      <w:r w:rsidR="000C72B7">
        <w:t>available. To the extent expenditure drivers do not change over time, this year is likely to best reflect future expenditure.</w:t>
      </w:r>
    </w:p>
    <w:p w:rsidR="000C72B7" w:rsidRDefault="000C72B7" w:rsidP="00A86B2C">
      <w:pPr>
        <w:pStyle w:val="AERbulletlistfirststyle"/>
      </w:pPr>
      <w:r>
        <w:t xml:space="preserve">APTNT’s actual opex is relatively stable in the </w:t>
      </w:r>
      <w:r w:rsidR="003D1E73">
        <w:t>2011–16</w:t>
      </w:r>
      <w:r>
        <w:t xml:space="preserve"> period, and there is no evidence to suggest opex has been inflated in the base year to try and increase its opex forecast for the </w:t>
      </w:r>
      <w:r w:rsidR="003D1E73">
        <w:t>2016–21</w:t>
      </w:r>
      <w:r>
        <w:t xml:space="preserve"> period.</w:t>
      </w:r>
    </w:p>
    <w:p w:rsidR="000C72B7" w:rsidRDefault="000C72B7" w:rsidP="00A86B2C">
      <w:pPr>
        <w:pStyle w:val="AERbulletlistfirststyle"/>
      </w:pPr>
      <w:r>
        <w:t>We did not identify any non-recurrent opex in the base year data, except for the pigging costs identified and removed by APTNT.</w:t>
      </w:r>
    </w:p>
    <w:p w:rsidR="00275D3B" w:rsidRDefault="00275D3B" w:rsidP="00A86B2C">
      <w:pPr>
        <w:pStyle w:val="AERbulletlistfirststyle"/>
      </w:pPr>
      <w:r>
        <w:t xml:space="preserve">APTNT’s opex in </w:t>
      </w:r>
      <w:r w:rsidR="003D1E73">
        <w:t>2014–15</w:t>
      </w:r>
      <w:r>
        <w:t xml:space="preserve"> was slightly below the expected average opex for the </w:t>
      </w:r>
      <w:r w:rsidR="003D1E73">
        <w:t>2011–16</w:t>
      </w:r>
      <w:r>
        <w:t xml:space="preserve"> </w:t>
      </w:r>
      <w:proofErr w:type="gramStart"/>
      <w:r>
        <w:t>period</w:t>
      </w:r>
      <w:proofErr w:type="gramEnd"/>
      <w:r>
        <w:t>, after adjustment</w:t>
      </w:r>
      <w:r w:rsidR="00F3634B">
        <w:t>s for non-recurrent expenditure (</w:t>
      </w:r>
      <w:r w:rsidR="009B0CED">
        <w:fldChar w:fldCharType="begin"/>
      </w:r>
      <w:r w:rsidR="009B0CED">
        <w:instrText xml:space="preserve"> REF _Ref434921340 \h </w:instrText>
      </w:r>
      <w:r w:rsidR="009B0CED">
        <w:fldChar w:fldCharType="separate"/>
      </w:r>
      <w:r w:rsidR="009B0CED">
        <w:t xml:space="preserve">Figure </w:t>
      </w:r>
      <w:r w:rsidR="009B0CED">
        <w:rPr>
          <w:noProof/>
        </w:rPr>
        <w:t>7</w:t>
      </w:r>
      <w:r w:rsidR="009B0CED">
        <w:t>.</w:t>
      </w:r>
      <w:r w:rsidR="009B0CED">
        <w:rPr>
          <w:noProof/>
        </w:rPr>
        <w:t>3</w:t>
      </w:r>
      <w:r w:rsidR="009B0CED">
        <w:fldChar w:fldCharType="end"/>
      </w:r>
      <w:r w:rsidR="00F3634B">
        <w:t>).</w:t>
      </w:r>
    </w:p>
    <w:p w:rsidR="00F3634B" w:rsidRDefault="009B0CED" w:rsidP="009B0CED">
      <w:pPr>
        <w:pStyle w:val="Caption"/>
      </w:pPr>
      <w:bookmarkStart w:id="30" w:name="_Ref434921340"/>
      <w:r>
        <w:t xml:space="preserve">Figure </w:t>
      </w:r>
      <w:r w:rsidR="002F539B">
        <w:fldChar w:fldCharType="begin"/>
      </w:r>
      <w:r w:rsidR="002F539B">
        <w:instrText xml:space="preserve"> STYLEREF 1 \s </w:instrText>
      </w:r>
      <w:r w:rsidR="002F539B">
        <w:fldChar w:fldCharType="separate"/>
      </w:r>
      <w:r>
        <w:rPr>
          <w:noProof/>
        </w:rPr>
        <w:t>7</w:t>
      </w:r>
      <w:r w:rsidR="002F539B">
        <w:rPr>
          <w:noProof/>
        </w:rPr>
        <w:fldChar w:fldCharType="end"/>
      </w:r>
      <w:r>
        <w:t>.</w:t>
      </w:r>
      <w:r w:rsidR="002F539B">
        <w:fldChar w:fldCharType="begin"/>
      </w:r>
      <w:r w:rsidR="002F539B">
        <w:instrText xml:space="preserve"> SEQ Figure \* ARABIC \s 1 </w:instrText>
      </w:r>
      <w:r w:rsidR="002F539B">
        <w:fldChar w:fldCharType="separate"/>
      </w:r>
      <w:r>
        <w:rPr>
          <w:noProof/>
        </w:rPr>
        <w:t>3</w:t>
      </w:r>
      <w:r w:rsidR="002F539B">
        <w:rPr>
          <w:noProof/>
        </w:rPr>
        <w:fldChar w:fldCharType="end"/>
      </w:r>
      <w:bookmarkEnd w:id="30"/>
      <w:r w:rsidR="00F3634B">
        <w:tab/>
        <w:t xml:space="preserve">APTNT’s opex </w:t>
      </w:r>
      <w:r w:rsidR="003D1E73">
        <w:t>2011–16</w:t>
      </w:r>
      <w:r w:rsidR="00F3634B">
        <w:t xml:space="preserve"> period </w:t>
      </w:r>
      <w:r w:rsidR="00935D76">
        <w:t>(</w:t>
      </w:r>
      <w:r w:rsidR="00F3634B">
        <w:t xml:space="preserve">$million, </w:t>
      </w:r>
      <w:r w:rsidR="003D1E73">
        <w:t>2015–16</w:t>
      </w:r>
      <w:r w:rsidR="00935D76">
        <w:t>)</w:t>
      </w:r>
    </w:p>
    <w:p w:rsidR="00A86B2C" w:rsidRDefault="00983410" w:rsidP="00E914AB">
      <w:r>
        <w:rPr>
          <w:noProof/>
          <w:lang w:eastAsia="en-AU"/>
        </w:rPr>
        <w:drawing>
          <wp:inline distT="0" distB="0" distL="0" distR="0" wp14:anchorId="39BFC4EF" wp14:editId="0CF2E4BC">
            <wp:extent cx="5391150" cy="313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402969" cy="3140595"/>
                    </a:xfrm>
                    <a:prstGeom prst="rect">
                      <a:avLst/>
                    </a:prstGeom>
                    <a:noFill/>
                    <a:ln>
                      <a:noFill/>
                    </a:ln>
                    <a:extLst>
                      <a:ext uri="{53640926-AAD7-44D8-BBD7-CCE9431645EC}">
                        <a14:shadowObscured xmlns:a14="http://schemas.microsoft.com/office/drawing/2010/main"/>
                      </a:ext>
                    </a:extLst>
                  </pic:spPr>
                </pic:pic>
              </a:graphicData>
            </a:graphic>
          </wp:inline>
        </w:drawing>
      </w:r>
    </w:p>
    <w:p w:rsidR="00631070" w:rsidRDefault="00631070" w:rsidP="008F4E5A">
      <w:pPr>
        <w:pStyle w:val="AERtablesource"/>
      </w:pPr>
      <w:r>
        <w:t>Source:</w:t>
      </w:r>
      <w:r>
        <w:tab/>
      </w:r>
      <w:r w:rsidR="00A92B0F" w:rsidRPr="00A92B0F">
        <w:t xml:space="preserve">APA Group, </w:t>
      </w:r>
      <w:r w:rsidR="00A92B0F" w:rsidRPr="00A92B0F">
        <w:rPr>
          <w:rStyle w:val="AERtextitalic"/>
        </w:rPr>
        <w:t>Amadeus Gas Pipeline, Access Arrangement Revision Proposal, Submission, 1 July 2016 to 30 June 2021</w:t>
      </w:r>
      <w:r w:rsidR="00A92B0F" w:rsidRPr="00A92B0F">
        <w:t>, August 2015, Opex model; AER analysis</w:t>
      </w:r>
      <w:r w:rsidR="00A92B0F">
        <w:t xml:space="preserve">. </w:t>
      </w:r>
    </w:p>
    <w:p w:rsidR="00A86B2C" w:rsidRDefault="00A86B2C" w:rsidP="00E914AB">
      <w:r>
        <w:t>Based on our assessment we are satisfied APTNT’s proposed base year (</w:t>
      </w:r>
      <w:r w:rsidR="003D1E73">
        <w:t>2014–15</w:t>
      </w:r>
      <w:r>
        <w:t xml:space="preserve">) is not biased and </w:t>
      </w:r>
      <w:r w:rsidR="008F236B">
        <w:t xml:space="preserve">is a reasonable base year for forecasting opex. </w:t>
      </w:r>
    </w:p>
    <w:p w:rsidR="001C65DB" w:rsidRDefault="001C65DB" w:rsidP="00BC7736">
      <w:pPr>
        <w:pStyle w:val="HeadingBoldBlue"/>
      </w:pPr>
      <w:bookmarkStart w:id="31" w:name="_Ref433279044"/>
      <w:r>
        <w:t>Efficiency of base year</w:t>
      </w:r>
      <w:bookmarkEnd w:id="31"/>
    </w:p>
    <w:p w:rsidR="000C72B7" w:rsidRPr="000C72B7" w:rsidRDefault="00144FA3" w:rsidP="000C72B7">
      <w:r>
        <w:t xml:space="preserve">APTNT </w:t>
      </w:r>
      <w:r w:rsidR="00DD62E7">
        <w:t>wa</w:t>
      </w:r>
      <w:r>
        <w:t>s not subject to an incentive mechanism</w:t>
      </w:r>
      <w:r w:rsidR="00935D76">
        <w:t>, such as an efficiency carryover mechanism,</w:t>
      </w:r>
      <w:r>
        <w:t xml:space="preserve"> on its opex in the </w:t>
      </w:r>
      <w:r w:rsidR="003D1E73">
        <w:t>2011–16</w:t>
      </w:r>
      <w:r>
        <w:t xml:space="preserve"> period. Without such a mechanism in place APTNT has an incentive to increase its base year opex, in order to drive up forecast opex for the </w:t>
      </w:r>
      <w:r w:rsidR="003D1E73">
        <w:t>2016–21</w:t>
      </w:r>
      <w:r>
        <w:t xml:space="preserve"> period.</w:t>
      </w:r>
      <w:r w:rsidR="00B20EAA">
        <w:rPr>
          <w:rStyle w:val="FootnoteReference"/>
        </w:rPr>
        <w:footnoteReference w:id="9"/>
      </w:r>
      <w:r>
        <w:t xml:space="preserve"> </w:t>
      </w:r>
      <w:r w:rsidRPr="001A6EE6">
        <w:t xml:space="preserve">Given this, we have assessed whether the proposed base year opex includes any increases or one-off costs, </w:t>
      </w:r>
      <w:r w:rsidR="00130A8C">
        <w:t xml:space="preserve">that do not </w:t>
      </w:r>
      <w:r w:rsidRPr="001A6EE6">
        <w:t>reflect recurrent efficient opex.</w:t>
      </w:r>
      <w:r w:rsidR="00B20EAA">
        <w:t xml:space="preserve"> We consider the removal of pigging costs from opex is appropriate, and we found no evidence of other one-off or non-recurrent expenditure in the base year.</w:t>
      </w:r>
    </w:p>
    <w:p w:rsidR="00144FA3" w:rsidRDefault="00935D76" w:rsidP="00E914AB">
      <w:r w:rsidRPr="00144FA3">
        <w:t xml:space="preserve">We </w:t>
      </w:r>
      <w:r w:rsidR="00144FA3" w:rsidRPr="00144FA3">
        <w:t xml:space="preserve">do not have standardised data </w:t>
      </w:r>
      <w:r>
        <w:t>for</w:t>
      </w:r>
      <w:r w:rsidR="00144FA3" w:rsidRPr="00144FA3">
        <w:t xml:space="preserve"> the gas network service providers in order to </w:t>
      </w:r>
      <w:r w:rsidR="009B0CED">
        <w:t>do</w:t>
      </w:r>
      <w:r w:rsidR="00144FA3" w:rsidRPr="00144FA3">
        <w:t xml:space="preserve"> our own economic benchmarking or category analysis </w:t>
      </w:r>
      <w:r w:rsidR="009B0CED">
        <w:t xml:space="preserve">review </w:t>
      </w:r>
      <w:r w:rsidR="00144FA3" w:rsidRPr="00144FA3">
        <w:t xml:space="preserve">to assess the efficiency of the revealed base year. Instead, we rely on analysis of </w:t>
      </w:r>
      <w:r w:rsidR="00144FA3">
        <w:t>APTNT's historical trends</w:t>
      </w:r>
      <w:r w:rsidR="00144FA3" w:rsidRPr="00144FA3">
        <w:t xml:space="preserve">. </w:t>
      </w:r>
      <w:r w:rsidR="00144FA3">
        <w:t xml:space="preserve">We note APTNT has underspent its opex allowance in all years of the </w:t>
      </w:r>
      <w:r w:rsidR="003D1E73">
        <w:t>2011–16</w:t>
      </w:r>
      <w:r w:rsidR="00144FA3">
        <w:t xml:space="preserve"> period, and attributed </w:t>
      </w:r>
      <w:r w:rsidR="00E37B6B">
        <w:t xml:space="preserve">this </w:t>
      </w:r>
      <w:r w:rsidR="00144FA3">
        <w:t>to:</w:t>
      </w:r>
      <w:r w:rsidR="00B20EAA">
        <w:rPr>
          <w:rStyle w:val="FootnoteReference"/>
        </w:rPr>
        <w:footnoteReference w:id="10"/>
      </w:r>
    </w:p>
    <w:p w:rsidR="00144FA3" w:rsidRDefault="00B20EAA" w:rsidP="00F5768D">
      <w:pPr>
        <w:pStyle w:val="AERbulletlistfirststyle"/>
      </w:pPr>
      <w:r>
        <w:t xml:space="preserve">lower </w:t>
      </w:r>
      <w:r w:rsidR="00144FA3">
        <w:t xml:space="preserve">labour costs associated with integration </w:t>
      </w:r>
      <w:r w:rsidR="009B0CED">
        <w:t>with</w:t>
      </w:r>
      <w:r w:rsidR="00144FA3">
        <w:t xml:space="preserve"> the APA Group structure</w:t>
      </w:r>
    </w:p>
    <w:p w:rsidR="00144FA3" w:rsidRDefault="00B20EAA" w:rsidP="00F5768D">
      <w:pPr>
        <w:pStyle w:val="AERbulletlistfirststyle"/>
      </w:pPr>
      <w:r>
        <w:t xml:space="preserve">efficiencies </w:t>
      </w:r>
      <w:r w:rsidR="00144FA3">
        <w:t>associated with business wide initi</w:t>
      </w:r>
      <w:r w:rsidR="006B2683">
        <w:t>a</w:t>
      </w:r>
      <w:r w:rsidR="00144FA3">
        <w:t xml:space="preserve">tives such as </w:t>
      </w:r>
      <w:r w:rsidR="006B2683">
        <w:t>consolidation of engineering an</w:t>
      </w:r>
      <w:r w:rsidR="00144FA3">
        <w:t>d</w:t>
      </w:r>
      <w:r w:rsidR="006B2683">
        <w:t xml:space="preserve"> </w:t>
      </w:r>
      <w:r w:rsidR="00144FA3">
        <w:t>financing resources</w:t>
      </w:r>
    </w:p>
    <w:p w:rsidR="00144FA3" w:rsidRDefault="00B20EAA" w:rsidP="00F5768D">
      <w:pPr>
        <w:pStyle w:val="AERbulletlistfirststyle"/>
      </w:pPr>
      <w:r>
        <w:t xml:space="preserve">difficulties </w:t>
      </w:r>
      <w:r w:rsidR="00144FA3">
        <w:t>in filling some positions in the NT</w:t>
      </w:r>
      <w:r w:rsidR="00935D76">
        <w:t>,</w:t>
      </w:r>
      <w:r w:rsidR="00144FA3">
        <w:t xml:space="preserve"> reducing overall labour costs</w:t>
      </w:r>
    </w:p>
    <w:p w:rsidR="00144FA3" w:rsidRDefault="00B20EAA" w:rsidP="00F5768D">
      <w:pPr>
        <w:pStyle w:val="AERbulletlistfirststyle"/>
      </w:pPr>
      <w:r>
        <w:t xml:space="preserve">delays </w:t>
      </w:r>
      <w:r w:rsidR="00144FA3">
        <w:t xml:space="preserve">and deferrals to </w:t>
      </w:r>
      <w:r>
        <w:t>its</w:t>
      </w:r>
      <w:r w:rsidR="00144FA3">
        <w:t xml:space="preserve"> pigging schedule</w:t>
      </w:r>
      <w:r>
        <w:t>.</w:t>
      </w:r>
    </w:p>
    <w:p w:rsidR="00E914AB" w:rsidRDefault="00B20EAA" w:rsidP="00E914AB">
      <w:r>
        <w:t xml:space="preserve">With the exception of the deferred pigging costs, all of these opex savings are reflected in the base year opex. </w:t>
      </w:r>
      <w:r w:rsidR="006B2683">
        <w:t>All</w:t>
      </w:r>
      <w:r>
        <w:t xml:space="preserve"> pigging costs have been removed from base year opex and are separately forecast. </w:t>
      </w:r>
      <w:r w:rsidR="00100992">
        <w:t xml:space="preserve">We note </w:t>
      </w:r>
      <w:r>
        <w:t xml:space="preserve">APTNT’s </w:t>
      </w:r>
      <w:r w:rsidR="003D1E73">
        <w:t>2014–15</w:t>
      </w:r>
      <w:r>
        <w:t xml:space="preserve"> opex is </w:t>
      </w:r>
      <w:r w:rsidR="00935D76">
        <w:t xml:space="preserve">just </w:t>
      </w:r>
      <w:r>
        <w:t xml:space="preserve">below average opex for the </w:t>
      </w:r>
      <w:r w:rsidR="003D1E73">
        <w:t>2011–16</w:t>
      </w:r>
      <w:r w:rsidR="00100992">
        <w:t xml:space="preserve"> period, and well below the highest opex incurred in 2011</w:t>
      </w:r>
      <w:r w:rsidR="00631070">
        <w:t>–</w:t>
      </w:r>
      <w:r w:rsidR="00100992">
        <w:t xml:space="preserve">12. We consider APTNT’s opex in </w:t>
      </w:r>
      <w:r w:rsidR="003D1E73">
        <w:t>2014–15</w:t>
      </w:r>
      <w:r w:rsidR="00100992">
        <w:t xml:space="preserve"> also captures the benefits of cost savings and efficiencies implemented by APTNT</w:t>
      </w:r>
      <w:r w:rsidR="00935D76">
        <w:t xml:space="preserve"> in the </w:t>
      </w:r>
      <w:r w:rsidR="003D1E73">
        <w:t>2011–16</w:t>
      </w:r>
      <w:r w:rsidR="00935D76">
        <w:t xml:space="preserve"> period</w:t>
      </w:r>
      <w:r w:rsidR="00100992">
        <w:t xml:space="preserve">. </w:t>
      </w:r>
      <w:r w:rsidR="00144FA3" w:rsidRPr="00144FA3">
        <w:t xml:space="preserve">We consider there </w:t>
      </w:r>
      <w:r w:rsidR="00144FA3">
        <w:t>is no evidence to suggest that APTNT</w:t>
      </w:r>
      <w:r w:rsidR="00144FA3" w:rsidRPr="00144FA3">
        <w:t>'s revealed costs in its proposed base year are materially inefficient.</w:t>
      </w:r>
    </w:p>
    <w:p w:rsidR="005C6672" w:rsidRDefault="005C6672" w:rsidP="00BC7736">
      <w:pPr>
        <w:pStyle w:val="HeadingBoldBlue"/>
      </w:pPr>
      <w:r>
        <w:t>North eastern gas interconnector</w:t>
      </w:r>
    </w:p>
    <w:p w:rsidR="00B3467A" w:rsidRDefault="00B3467A" w:rsidP="00B3467A">
      <w:r>
        <w:t>APTNT has noted that duri</w:t>
      </w:r>
      <w:r w:rsidR="006B2683">
        <w:t xml:space="preserve">ng the </w:t>
      </w:r>
      <w:r w:rsidR="003D1E73">
        <w:t>2016–21</w:t>
      </w:r>
      <w:r w:rsidR="006B2683">
        <w:t xml:space="preserve"> period a gas interconnector between the Amadeus </w:t>
      </w:r>
      <w:r w:rsidR="002B7BED">
        <w:t>Gas P</w:t>
      </w:r>
      <w:r w:rsidR="006B2683">
        <w:t xml:space="preserve">ipeline and the south eastern </w:t>
      </w:r>
      <w:r w:rsidR="002B7BED">
        <w:t xml:space="preserve">gas </w:t>
      </w:r>
      <w:r w:rsidR="006B2683">
        <w:t>markets</w:t>
      </w:r>
      <w:r w:rsidR="00DC0495">
        <w:t>—</w:t>
      </w:r>
      <w:r w:rsidR="00935D76">
        <w:t xml:space="preserve">the North Eastern Gas Interconnector </w:t>
      </w:r>
      <w:r w:rsidR="006B2683">
        <w:t>(NEGI)</w:t>
      </w:r>
      <w:r w:rsidR="00DC0495">
        <w:t>—</w:t>
      </w:r>
      <w:r w:rsidR="00935D76">
        <w:t>may</w:t>
      </w:r>
      <w:r w:rsidR="006B2683">
        <w:t xml:space="preserve"> be developed. However, as the timing, route and impact of the NEGI is unknown, </w:t>
      </w:r>
      <w:r w:rsidR="00E37B6B">
        <w:t xml:space="preserve">APTNT </w:t>
      </w:r>
      <w:r w:rsidR="006B2683">
        <w:t>has not factored any potential impact on demand, or changes in pipeline operations and maintenance into its opex forecast.</w:t>
      </w:r>
      <w:r w:rsidR="006B2683">
        <w:rPr>
          <w:rStyle w:val="FootnoteReference"/>
        </w:rPr>
        <w:footnoteReference w:id="11"/>
      </w:r>
    </w:p>
    <w:p w:rsidR="00130A8C" w:rsidRDefault="00F5768D" w:rsidP="00B3467A">
      <w:r>
        <w:t>We</w:t>
      </w:r>
      <w:r w:rsidR="006B2683">
        <w:t xml:space="preserve"> consider that in the event NEGI becomes operational in the </w:t>
      </w:r>
      <w:r w:rsidR="003D1E73">
        <w:t>2016–21</w:t>
      </w:r>
      <w:r w:rsidR="006B2683">
        <w:t xml:space="preserve"> </w:t>
      </w:r>
      <w:r w:rsidR="00130A8C">
        <w:t xml:space="preserve">access arrangement </w:t>
      </w:r>
      <w:r w:rsidR="006B2683">
        <w:t xml:space="preserve">period, </w:t>
      </w:r>
      <w:r w:rsidR="00130A8C">
        <w:t>there</w:t>
      </w:r>
      <w:r w:rsidR="006B2683">
        <w:t xml:space="preserve"> </w:t>
      </w:r>
      <w:r w:rsidR="002B7BED">
        <w:t xml:space="preserve">may </w:t>
      </w:r>
      <w:r w:rsidR="00130A8C">
        <w:t>be</w:t>
      </w:r>
      <w:r w:rsidR="006B2683">
        <w:t xml:space="preserve"> a</w:t>
      </w:r>
      <w:r w:rsidR="00F40CCC">
        <w:t xml:space="preserve">n </w:t>
      </w:r>
      <w:r w:rsidR="006B2683">
        <w:t xml:space="preserve">impact on many of the factors that underlie the proposed access arrangement, including demand, reference tariffs, and opex requirements. </w:t>
      </w:r>
      <w:r w:rsidR="00130A8C">
        <w:t>We propose to treat the interconnection to the south eastern gas markets as a re-opener event, and will review the efficient opex requirements for APTNT</w:t>
      </w:r>
      <w:r w:rsidR="000961B1">
        <w:t xml:space="preserve"> to take into account </w:t>
      </w:r>
      <w:r w:rsidR="00935D76">
        <w:t xml:space="preserve">the </w:t>
      </w:r>
      <w:r w:rsidR="00130A8C">
        <w:t xml:space="preserve">new </w:t>
      </w:r>
      <w:r w:rsidR="000457EA">
        <w:t>operating environment it is facing</w:t>
      </w:r>
      <w:r w:rsidR="00935D76" w:rsidRPr="00935D76">
        <w:t xml:space="preserve"> </w:t>
      </w:r>
      <w:r w:rsidR="00935D76">
        <w:t>at that time</w:t>
      </w:r>
      <w:r w:rsidR="000457EA">
        <w:t>.</w:t>
      </w:r>
      <w:r w:rsidR="00134A45">
        <w:rPr>
          <w:rStyle w:val="FootnoteReference"/>
        </w:rPr>
        <w:footnoteReference w:id="12"/>
      </w:r>
      <w:r w:rsidR="00935D76" w:rsidRPr="00935D76">
        <w:t xml:space="preserve"> </w:t>
      </w:r>
      <w:r>
        <w:t>We</w:t>
      </w:r>
      <w:r w:rsidR="00935D76">
        <w:t xml:space="preserve"> discuss proposed revisions to the access arrangement to address the likely impact of NEGI in attachment </w:t>
      </w:r>
      <w:r w:rsidR="009B0CED">
        <w:t>12</w:t>
      </w:r>
      <w:r w:rsidR="00935D76">
        <w:t>.</w:t>
      </w:r>
    </w:p>
    <w:p w:rsidR="006B2683" w:rsidRDefault="00F5768D" w:rsidP="00B3467A">
      <w:r>
        <w:t>We have</w:t>
      </w:r>
      <w:r w:rsidR="006B2683">
        <w:t xml:space="preserve"> not incorporated any </w:t>
      </w:r>
      <w:r w:rsidR="00442A5E">
        <w:t xml:space="preserve">specific </w:t>
      </w:r>
      <w:r w:rsidR="002B7BED">
        <w:t xml:space="preserve">opex </w:t>
      </w:r>
      <w:r w:rsidR="00442A5E">
        <w:t xml:space="preserve">forecast for NEGI </w:t>
      </w:r>
      <w:r w:rsidR="002B7BED">
        <w:t xml:space="preserve">in </w:t>
      </w:r>
      <w:r>
        <w:t xml:space="preserve">our </w:t>
      </w:r>
      <w:r w:rsidR="00442A5E">
        <w:t>alternative forecast of total opex.</w:t>
      </w:r>
    </w:p>
    <w:p w:rsidR="00BC7736" w:rsidRDefault="00BC7736" w:rsidP="008F4E5A">
      <w:pPr>
        <w:pStyle w:val="Heading3"/>
        <w:keepNext/>
      </w:pPr>
      <w:bookmarkStart w:id="32" w:name="_Toc436042912"/>
      <w:r>
        <w:t>Step changes</w:t>
      </w:r>
      <w:bookmarkEnd w:id="32"/>
    </w:p>
    <w:p w:rsidR="00BC7736" w:rsidRDefault="00BC7736" w:rsidP="00BC7736">
      <w:r>
        <w:t xml:space="preserve">APTNT did not include any step changes in its opex forecast for the 2016–21 access arrangement period. </w:t>
      </w:r>
    </w:p>
    <w:p w:rsidR="00BC7736" w:rsidRPr="00007FFA" w:rsidRDefault="00BC7736" w:rsidP="00BC7736">
      <w:r>
        <w:t>We have not identified any step changes in our alternative opex forecast.</w:t>
      </w:r>
    </w:p>
    <w:p w:rsidR="001C65DB" w:rsidRDefault="001C65DB" w:rsidP="00BC7736">
      <w:pPr>
        <w:pStyle w:val="Heading3"/>
      </w:pPr>
      <w:bookmarkStart w:id="33" w:name="_Ref433279061"/>
      <w:bookmarkStart w:id="34" w:name="_Toc436042913"/>
      <w:r>
        <w:t>Rate of change</w:t>
      </w:r>
      <w:bookmarkEnd w:id="33"/>
      <w:bookmarkEnd w:id="34"/>
    </w:p>
    <w:p w:rsidR="001C65DB" w:rsidRDefault="001C65DB" w:rsidP="00710DC0">
      <w:r>
        <w:t xml:space="preserve">Once we have determined the efficient base level of opex in the </w:t>
      </w:r>
      <w:r w:rsidR="002171B6">
        <w:t>2011</w:t>
      </w:r>
      <w:r>
        <w:t xml:space="preserve">–16 access arrangement period we apply a forecast annual rate of change to forecast opex for the </w:t>
      </w:r>
      <w:r w:rsidR="00007FFA">
        <w:t>2016–21</w:t>
      </w:r>
      <w:r>
        <w:t xml:space="preserve"> access arrangement period. The rate of change is forecast as:</w:t>
      </w:r>
    </w:p>
    <w:p w:rsidR="001C65DB" w:rsidRDefault="001C65DB" w:rsidP="001C65DB">
      <w:r>
        <w:t>∆Opex= ∆price + ∆output</w:t>
      </w:r>
      <w:r w:rsidR="00D3640E">
        <w:t xml:space="preserve"> </w:t>
      </w:r>
      <w:r>
        <w:t>- ∆productivity</w:t>
      </w:r>
    </w:p>
    <w:p w:rsidR="001C65DB" w:rsidRDefault="001C65DB" w:rsidP="001C65DB">
      <w:r>
        <w:t xml:space="preserve">Where ∆ denotes the proportional change in a variable. </w:t>
      </w:r>
    </w:p>
    <w:p w:rsidR="001C65DB" w:rsidRDefault="001C65DB" w:rsidP="001C65DB">
      <w:r>
        <w:t>The rate of change captures the year on year change in efficient expenditure. Specifically it accounts for forecast changes in outputs, prices and productivity. These three opex drivers should explain changes in efficient opex.</w:t>
      </w:r>
      <w:r w:rsidR="00717ECF">
        <w:rPr>
          <w:rStyle w:val="FootnoteReference"/>
        </w:rPr>
        <w:footnoteReference w:id="13"/>
      </w:r>
      <w:r>
        <w:t xml:space="preserve"> The output and productivity change variables capture the forecast change in the </w:t>
      </w:r>
      <w:r w:rsidR="000457EA">
        <w:t xml:space="preserve">volume of </w:t>
      </w:r>
      <w:r>
        <w:t>inputs required</w:t>
      </w:r>
      <w:r w:rsidR="000457EA">
        <w:t xml:space="preserve"> to produce a given output</w:t>
      </w:r>
      <w:r>
        <w:t xml:space="preserve">. The real price change variable captures the forecast change in the prices of those inputs. </w:t>
      </w:r>
    </w:p>
    <w:p w:rsidR="001C65DB" w:rsidRDefault="001C65DB" w:rsidP="001C65DB">
      <w:r>
        <w:t xml:space="preserve">APTNT </w:t>
      </w:r>
      <w:r w:rsidR="00935D76">
        <w:t>used a</w:t>
      </w:r>
      <w:r>
        <w:t xml:space="preserve"> rate of change methodology for estimating its </w:t>
      </w:r>
      <w:r w:rsidR="00134A45">
        <w:t xml:space="preserve">forecast total </w:t>
      </w:r>
      <w:r>
        <w:t xml:space="preserve">opex. We have therefore assessed the inputs </w:t>
      </w:r>
      <w:r w:rsidR="000457EA">
        <w:t>applied by</w:t>
      </w:r>
      <w:r>
        <w:t xml:space="preserve"> APTNT in forecasting its rate of change.</w:t>
      </w:r>
    </w:p>
    <w:p w:rsidR="00100992" w:rsidRDefault="00100992" w:rsidP="001C65DB">
      <w:r>
        <w:t xml:space="preserve">APTNT proposed forecast changes in labour costs to develop its rate of change factor. </w:t>
      </w:r>
      <w:r w:rsidR="004A2CF5">
        <w:t xml:space="preserve">It applied the rate of change to the labour component of its opex forecast. </w:t>
      </w:r>
      <w:r>
        <w:t xml:space="preserve">It has not incorporated any real price changes to materials, or output or productivity </w:t>
      </w:r>
      <w:r w:rsidR="00D3640E">
        <w:t xml:space="preserve">rates of </w:t>
      </w:r>
      <w:r>
        <w:t>change.</w:t>
      </w:r>
      <w:r w:rsidR="00134A45">
        <w:t xml:space="preserve"> </w:t>
      </w:r>
    </w:p>
    <w:p w:rsidR="00140213" w:rsidRDefault="00140213" w:rsidP="001C65DB">
      <w:r>
        <w:t xml:space="preserve">We have used the rate of change method set out in our expenditure forecast assessment guideline </w:t>
      </w:r>
      <w:r w:rsidR="0064544A">
        <w:t>to review the rate of change proposed by APTNT.</w:t>
      </w:r>
      <w:r w:rsidR="0064544A">
        <w:rPr>
          <w:rStyle w:val="FootnoteReference"/>
        </w:rPr>
        <w:footnoteReference w:id="14"/>
      </w:r>
      <w:r w:rsidR="0064544A">
        <w:t xml:space="preserve"> </w:t>
      </w:r>
    </w:p>
    <w:p w:rsidR="008109CC" w:rsidRDefault="000A1FA5" w:rsidP="00BC7736">
      <w:pPr>
        <w:pStyle w:val="HeadingBoldBlue"/>
      </w:pPr>
      <w:r>
        <w:t xml:space="preserve">Price </w:t>
      </w:r>
      <w:r w:rsidR="001A73B4">
        <w:t>growth</w:t>
      </w:r>
    </w:p>
    <w:p w:rsidR="002D2408" w:rsidRDefault="00DC1482" w:rsidP="002D2408">
      <w:r>
        <w:t xml:space="preserve">APTNT used forecast labour cost escalators derived by Deloitte Access Economics (DAE) for the NT Utilities Commission’s 2014 price review of the Power and Water Corporation. </w:t>
      </w:r>
      <w:r w:rsidR="002D2408">
        <w:t>APTNT stated its real price escalators were appropriate as they had been prepared for a regulated business that operated in the Northern Territory, and were previously accepted by the jurisdictional regulator.</w:t>
      </w:r>
      <w:r w:rsidR="002D2408">
        <w:rPr>
          <w:rStyle w:val="FootnoteReference"/>
        </w:rPr>
        <w:footnoteReference w:id="15"/>
      </w:r>
      <w:r w:rsidR="002D2408" w:rsidRPr="00787846">
        <w:t xml:space="preserve"> </w:t>
      </w:r>
      <w:r w:rsidR="002D2408">
        <w:t xml:space="preserve">APTNT’s labour cost escalators are shown in </w:t>
      </w:r>
      <w:r w:rsidR="009B0CED">
        <w:fldChar w:fldCharType="begin"/>
      </w:r>
      <w:r w:rsidR="009B0CED">
        <w:instrText xml:space="preserve"> REF _Ref434922132 \h </w:instrText>
      </w:r>
      <w:r w:rsidR="009B0CED">
        <w:fldChar w:fldCharType="separate"/>
      </w:r>
      <w:r w:rsidR="009B0CED">
        <w:t xml:space="preserve">Table </w:t>
      </w:r>
      <w:r w:rsidR="009B0CED">
        <w:rPr>
          <w:noProof/>
        </w:rPr>
        <w:t>7</w:t>
      </w:r>
      <w:r w:rsidR="009B0CED">
        <w:t>.</w:t>
      </w:r>
      <w:r w:rsidR="009B0CED">
        <w:rPr>
          <w:noProof/>
        </w:rPr>
        <w:t>4</w:t>
      </w:r>
      <w:r w:rsidR="009B0CED">
        <w:fldChar w:fldCharType="end"/>
      </w:r>
      <w:r w:rsidR="009B0CED">
        <w:t>.</w:t>
      </w:r>
    </w:p>
    <w:p w:rsidR="00D3640E" w:rsidRDefault="009B0CED" w:rsidP="009B0CED">
      <w:pPr>
        <w:pStyle w:val="Caption"/>
      </w:pPr>
      <w:bookmarkStart w:id="35" w:name="_Ref434922132"/>
      <w:r>
        <w:t xml:space="preserve">Table </w:t>
      </w:r>
      <w:r w:rsidR="002F539B">
        <w:fldChar w:fldCharType="begin"/>
      </w:r>
      <w:r w:rsidR="002F539B">
        <w:instrText xml:space="preserve"> STYLEREF 1 \s </w:instrText>
      </w:r>
      <w:r w:rsidR="002F539B">
        <w:fldChar w:fldCharType="separate"/>
      </w:r>
      <w:r>
        <w:rPr>
          <w:noProof/>
        </w:rPr>
        <w:t>7</w:t>
      </w:r>
      <w:r w:rsidR="002F539B">
        <w:rPr>
          <w:noProof/>
        </w:rPr>
        <w:fldChar w:fldCharType="end"/>
      </w:r>
      <w:r>
        <w:t>.</w:t>
      </w:r>
      <w:r w:rsidR="002F539B">
        <w:fldChar w:fldCharType="begin"/>
      </w:r>
      <w:r w:rsidR="002F539B">
        <w:instrText xml:space="preserve"> SEQ Table \* ARABIC \s 1 </w:instrText>
      </w:r>
      <w:r w:rsidR="002F539B">
        <w:fldChar w:fldCharType="separate"/>
      </w:r>
      <w:r>
        <w:rPr>
          <w:noProof/>
        </w:rPr>
        <w:t>4</w:t>
      </w:r>
      <w:r w:rsidR="002F539B">
        <w:rPr>
          <w:noProof/>
        </w:rPr>
        <w:fldChar w:fldCharType="end"/>
      </w:r>
      <w:bookmarkEnd w:id="35"/>
      <w:r w:rsidR="000359C0">
        <w:tab/>
      </w:r>
      <w:r w:rsidR="000359C0" w:rsidRPr="000359C0">
        <w:t>APTNT’s forecast real input price escalators</w:t>
      </w:r>
    </w:p>
    <w:tbl>
      <w:tblPr>
        <w:tblStyle w:val="AERtable-text1"/>
        <w:tblW w:w="0" w:type="auto"/>
        <w:tblInd w:w="0" w:type="dxa"/>
        <w:tblLook w:val="04A0" w:firstRow="1" w:lastRow="0" w:firstColumn="1" w:lastColumn="0" w:noHBand="0" w:noVBand="1"/>
      </w:tblPr>
      <w:tblGrid>
        <w:gridCol w:w="1668"/>
        <w:gridCol w:w="1134"/>
        <w:gridCol w:w="1134"/>
        <w:gridCol w:w="1155"/>
        <w:gridCol w:w="1110"/>
        <w:gridCol w:w="1110"/>
        <w:gridCol w:w="1110"/>
      </w:tblGrid>
      <w:tr w:rsidR="00D3640E" w:rsidTr="002D2408">
        <w:trPr>
          <w:cnfStyle w:val="100000000000" w:firstRow="1" w:lastRow="0" w:firstColumn="0" w:lastColumn="0" w:oddVBand="0" w:evenVBand="0" w:oddHBand="0" w:evenHBand="0" w:firstRowFirstColumn="0" w:firstRowLastColumn="0" w:lastRowFirstColumn="0" w:lastRowLastColumn="0"/>
        </w:trPr>
        <w:tc>
          <w:tcPr>
            <w:tcW w:w="1668" w:type="dxa"/>
          </w:tcPr>
          <w:p w:rsidR="00D3640E" w:rsidRDefault="00D3640E" w:rsidP="001773F2">
            <w:pPr>
              <w:pStyle w:val="AERtabletextright"/>
              <w:keepNext/>
              <w:jc w:val="center"/>
            </w:pPr>
          </w:p>
        </w:tc>
        <w:tc>
          <w:tcPr>
            <w:tcW w:w="1134" w:type="dxa"/>
          </w:tcPr>
          <w:p w:rsidR="00D3640E" w:rsidRPr="002824EB" w:rsidRDefault="003D1E73" w:rsidP="001773F2">
            <w:pPr>
              <w:pStyle w:val="AERtabletextright"/>
              <w:keepNext/>
              <w:jc w:val="center"/>
            </w:pPr>
            <w:r>
              <w:t>2015–16</w:t>
            </w:r>
          </w:p>
        </w:tc>
        <w:tc>
          <w:tcPr>
            <w:tcW w:w="1134" w:type="dxa"/>
          </w:tcPr>
          <w:p w:rsidR="00D3640E" w:rsidRPr="002824EB" w:rsidRDefault="003D1E73" w:rsidP="001773F2">
            <w:pPr>
              <w:pStyle w:val="AERtabletextright"/>
              <w:keepNext/>
              <w:jc w:val="center"/>
            </w:pPr>
            <w:r>
              <w:t>2016–17</w:t>
            </w:r>
          </w:p>
        </w:tc>
        <w:tc>
          <w:tcPr>
            <w:tcW w:w="1155" w:type="dxa"/>
          </w:tcPr>
          <w:p w:rsidR="00D3640E" w:rsidRPr="002824EB" w:rsidRDefault="003D1E73" w:rsidP="001773F2">
            <w:pPr>
              <w:pStyle w:val="AERtabletextright"/>
              <w:keepNext/>
              <w:jc w:val="center"/>
            </w:pPr>
            <w:r>
              <w:t>2017–18</w:t>
            </w:r>
          </w:p>
        </w:tc>
        <w:tc>
          <w:tcPr>
            <w:tcW w:w="1110" w:type="dxa"/>
          </w:tcPr>
          <w:p w:rsidR="00D3640E" w:rsidRPr="002824EB" w:rsidRDefault="003D1E73" w:rsidP="001773F2">
            <w:pPr>
              <w:pStyle w:val="AERtabletextright"/>
              <w:keepNext/>
              <w:jc w:val="center"/>
            </w:pPr>
            <w:r>
              <w:t>2018–19</w:t>
            </w:r>
          </w:p>
        </w:tc>
        <w:tc>
          <w:tcPr>
            <w:tcW w:w="1110" w:type="dxa"/>
          </w:tcPr>
          <w:p w:rsidR="00D3640E" w:rsidRDefault="003D1E73" w:rsidP="001773F2">
            <w:pPr>
              <w:pStyle w:val="AERtabletextright"/>
              <w:keepNext/>
              <w:jc w:val="center"/>
            </w:pPr>
            <w:r>
              <w:t>2019–20</w:t>
            </w:r>
          </w:p>
        </w:tc>
        <w:tc>
          <w:tcPr>
            <w:tcW w:w="1110" w:type="dxa"/>
          </w:tcPr>
          <w:p w:rsidR="00D3640E" w:rsidRDefault="003D1E73" w:rsidP="001773F2">
            <w:pPr>
              <w:pStyle w:val="AERtabletextright"/>
              <w:keepNext/>
              <w:jc w:val="center"/>
            </w:pPr>
            <w:r>
              <w:t>2020–21</w:t>
            </w:r>
          </w:p>
        </w:tc>
      </w:tr>
      <w:tr w:rsidR="00D3640E" w:rsidTr="002D2408">
        <w:tc>
          <w:tcPr>
            <w:tcW w:w="1668" w:type="dxa"/>
          </w:tcPr>
          <w:p w:rsidR="00D3640E" w:rsidRDefault="00D3640E" w:rsidP="001773F2">
            <w:pPr>
              <w:pStyle w:val="AERtabletextright"/>
              <w:keepNext/>
              <w:jc w:val="center"/>
            </w:pPr>
            <w:r>
              <w:t>Internal labour</w:t>
            </w:r>
          </w:p>
        </w:tc>
        <w:tc>
          <w:tcPr>
            <w:tcW w:w="1134" w:type="dxa"/>
          </w:tcPr>
          <w:p w:rsidR="00D3640E" w:rsidRPr="008F249A" w:rsidRDefault="00D3640E" w:rsidP="001773F2">
            <w:pPr>
              <w:pStyle w:val="AERtabletextright"/>
              <w:keepNext/>
              <w:jc w:val="center"/>
            </w:pPr>
            <w:r>
              <w:t>1.0</w:t>
            </w:r>
          </w:p>
        </w:tc>
        <w:tc>
          <w:tcPr>
            <w:tcW w:w="1134" w:type="dxa"/>
          </w:tcPr>
          <w:p w:rsidR="00D3640E" w:rsidRPr="008F249A" w:rsidRDefault="00D3640E" w:rsidP="001773F2">
            <w:pPr>
              <w:pStyle w:val="AERtabletextright"/>
              <w:keepNext/>
              <w:jc w:val="center"/>
            </w:pPr>
            <w:r>
              <w:t>0.6</w:t>
            </w:r>
          </w:p>
        </w:tc>
        <w:tc>
          <w:tcPr>
            <w:tcW w:w="1155" w:type="dxa"/>
          </w:tcPr>
          <w:p w:rsidR="00D3640E" w:rsidRPr="008F249A" w:rsidRDefault="00D3640E" w:rsidP="001773F2">
            <w:pPr>
              <w:pStyle w:val="AERtabletextright"/>
              <w:keepNext/>
              <w:jc w:val="center"/>
            </w:pPr>
            <w:r>
              <w:t>0.9</w:t>
            </w:r>
          </w:p>
        </w:tc>
        <w:tc>
          <w:tcPr>
            <w:tcW w:w="1110" w:type="dxa"/>
          </w:tcPr>
          <w:p w:rsidR="00D3640E" w:rsidRDefault="00D3640E" w:rsidP="001773F2">
            <w:pPr>
              <w:pStyle w:val="AERtabletextright"/>
              <w:keepNext/>
              <w:jc w:val="center"/>
            </w:pPr>
            <w:r>
              <w:t>1.0</w:t>
            </w:r>
          </w:p>
        </w:tc>
        <w:tc>
          <w:tcPr>
            <w:tcW w:w="1110" w:type="dxa"/>
          </w:tcPr>
          <w:p w:rsidR="00D3640E" w:rsidRDefault="00983410" w:rsidP="001773F2">
            <w:pPr>
              <w:pStyle w:val="AERtabletextright"/>
              <w:keepNext/>
              <w:jc w:val="center"/>
            </w:pPr>
            <w:r>
              <w:t>0.9</w:t>
            </w:r>
          </w:p>
        </w:tc>
        <w:tc>
          <w:tcPr>
            <w:tcW w:w="1110" w:type="dxa"/>
          </w:tcPr>
          <w:p w:rsidR="00D3640E" w:rsidRDefault="00983410" w:rsidP="001773F2">
            <w:pPr>
              <w:pStyle w:val="AERtabletextright"/>
              <w:keepNext/>
              <w:jc w:val="center"/>
            </w:pPr>
            <w:r>
              <w:t>0.9</w:t>
            </w:r>
          </w:p>
        </w:tc>
      </w:tr>
      <w:tr w:rsidR="00D3640E" w:rsidTr="002D2408">
        <w:trPr>
          <w:cnfStyle w:val="000000010000" w:firstRow="0" w:lastRow="0" w:firstColumn="0" w:lastColumn="0" w:oddVBand="0" w:evenVBand="0" w:oddHBand="0" w:evenHBand="1" w:firstRowFirstColumn="0" w:firstRowLastColumn="0" w:lastRowFirstColumn="0" w:lastRowLastColumn="0"/>
        </w:trPr>
        <w:tc>
          <w:tcPr>
            <w:tcW w:w="1668" w:type="dxa"/>
          </w:tcPr>
          <w:p w:rsidR="00D3640E" w:rsidRDefault="00D3640E" w:rsidP="001773F2">
            <w:pPr>
              <w:pStyle w:val="AERtabletextright"/>
              <w:keepNext/>
              <w:jc w:val="center"/>
            </w:pPr>
            <w:r>
              <w:t>External labour</w:t>
            </w:r>
          </w:p>
        </w:tc>
        <w:tc>
          <w:tcPr>
            <w:tcW w:w="1134" w:type="dxa"/>
          </w:tcPr>
          <w:p w:rsidR="00D3640E" w:rsidRPr="008F249A" w:rsidRDefault="00D3640E" w:rsidP="001773F2">
            <w:pPr>
              <w:pStyle w:val="AERtabletextright"/>
              <w:keepNext/>
              <w:jc w:val="center"/>
            </w:pPr>
            <w:r>
              <w:t>1.1</w:t>
            </w:r>
          </w:p>
        </w:tc>
        <w:tc>
          <w:tcPr>
            <w:tcW w:w="1134" w:type="dxa"/>
          </w:tcPr>
          <w:p w:rsidR="00D3640E" w:rsidRPr="008F249A" w:rsidRDefault="00D3640E" w:rsidP="001773F2">
            <w:pPr>
              <w:pStyle w:val="AERtabletextright"/>
              <w:keepNext/>
              <w:jc w:val="center"/>
            </w:pPr>
            <w:r>
              <w:t>0.9</w:t>
            </w:r>
          </w:p>
        </w:tc>
        <w:tc>
          <w:tcPr>
            <w:tcW w:w="1155" w:type="dxa"/>
          </w:tcPr>
          <w:p w:rsidR="00D3640E" w:rsidRPr="008F249A" w:rsidRDefault="00D3640E" w:rsidP="001773F2">
            <w:pPr>
              <w:pStyle w:val="AERtabletextright"/>
              <w:keepNext/>
              <w:jc w:val="center"/>
            </w:pPr>
            <w:r>
              <w:t>1.0</w:t>
            </w:r>
          </w:p>
        </w:tc>
        <w:tc>
          <w:tcPr>
            <w:tcW w:w="1110" w:type="dxa"/>
          </w:tcPr>
          <w:p w:rsidR="00D3640E" w:rsidRDefault="00D3640E" w:rsidP="001773F2">
            <w:pPr>
              <w:pStyle w:val="AERtabletextright"/>
              <w:keepNext/>
              <w:jc w:val="center"/>
            </w:pPr>
            <w:r>
              <w:t>1.1</w:t>
            </w:r>
          </w:p>
        </w:tc>
        <w:tc>
          <w:tcPr>
            <w:tcW w:w="1110" w:type="dxa"/>
          </w:tcPr>
          <w:p w:rsidR="00D3640E" w:rsidRDefault="00983410" w:rsidP="001773F2">
            <w:pPr>
              <w:pStyle w:val="AERtabletextright"/>
              <w:keepNext/>
              <w:jc w:val="center"/>
            </w:pPr>
            <w:r>
              <w:t>0.9</w:t>
            </w:r>
          </w:p>
        </w:tc>
        <w:tc>
          <w:tcPr>
            <w:tcW w:w="1110" w:type="dxa"/>
          </w:tcPr>
          <w:p w:rsidR="00983410" w:rsidRDefault="00983410" w:rsidP="00983410">
            <w:pPr>
              <w:pStyle w:val="AERtabletextright"/>
              <w:keepNext/>
              <w:jc w:val="center"/>
            </w:pPr>
            <w:r>
              <w:t>0.9</w:t>
            </w:r>
          </w:p>
        </w:tc>
      </w:tr>
    </w:tbl>
    <w:p w:rsidR="00D3640E" w:rsidRDefault="00D3640E" w:rsidP="00D3640E">
      <w:pPr>
        <w:pStyle w:val="AERtablesource"/>
      </w:pPr>
      <w:r>
        <w:t xml:space="preserve">Source: </w:t>
      </w:r>
      <w:r w:rsidR="002D2408">
        <w:tab/>
        <w:t xml:space="preserve">APA Group, </w:t>
      </w:r>
      <w:r w:rsidR="002D2408" w:rsidRPr="002618E5">
        <w:rPr>
          <w:i/>
        </w:rPr>
        <w:t>Amadeus Gas Pipeline,</w:t>
      </w:r>
      <w:r w:rsidR="002D2408">
        <w:t xml:space="preserve"> </w:t>
      </w:r>
      <w:r w:rsidR="002D2408" w:rsidRPr="00B16798">
        <w:rPr>
          <w:i/>
        </w:rPr>
        <w:t xml:space="preserve">Access Arrangement </w:t>
      </w:r>
      <w:r w:rsidR="002D2408">
        <w:rPr>
          <w:i/>
        </w:rPr>
        <w:t>Revision Proposal, Submission</w:t>
      </w:r>
      <w:r>
        <w:t>, Opex model, August 2015.</w:t>
      </w:r>
    </w:p>
    <w:p w:rsidR="00787846" w:rsidRPr="003454A3" w:rsidRDefault="00787846" w:rsidP="00576364">
      <w:pPr>
        <w:pStyle w:val="HeadingBoldItalic"/>
        <w:keepNext/>
      </w:pPr>
      <w:r w:rsidRPr="003454A3">
        <w:t>Internal and external labour costs</w:t>
      </w:r>
    </w:p>
    <w:p w:rsidR="00705AB3" w:rsidRPr="003454A3" w:rsidRDefault="00637B3E" w:rsidP="00787846">
      <w:r w:rsidRPr="003454A3">
        <w:t>APTNT has forecast its opex using separate price escalators for internal and external labour.</w:t>
      </w:r>
      <w:r w:rsidR="00C50F49" w:rsidRPr="003454A3">
        <w:t xml:space="preserve"> </w:t>
      </w:r>
      <w:r w:rsidR="006C2648" w:rsidRPr="003454A3">
        <w:t>It advised that i</w:t>
      </w:r>
      <w:r w:rsidR="00787846" w:rsidRPr="003454A3">
        <w:t xml:space="preserve">nternal labour costs refer to employees of APTNT, and external labour costs refer to contractor labour costs. </w:t>
      </w:r>
      <w:r w:rsidR="006C2648" w:rsidRPr="003454A3">
        <w:t xml:space="preserve">However, </w:t>
      </w:r>
      <w:r w:rsidR="00D45A60">
        <w:t>to develop our alternative forecast of total opex</w:t>
      </w:r>
      <w:r w:rsidR="006C2648" w:rsidRPr="003454A3">
        <w:t xml:space="preserve"> we</w:t>
      </w:r>
      <w:r w:rsidR="001A73B4" w:rsidRPr="003454A3">
        <w:t xml:space="preserve"> do not differentiate between internal and external labour. We escalate gas related labour </w:t>
      </w:r>
      <w:r w:rsidR="00705AB3" w:rsidRPr="003454A3">
        <w:t xml:space="preserve">by </w:t>
      </w:r>
      <w:r w:rsidR="006C2648" w:rsidRPr="003454A3">
        <w:t>the Electricity Gas Water and Waste Services (</w:t>
      </w:r>
      <w:r w:rsidR="00705AB3" w:rsidRPr="003454A3">
        <w:t>EGWWS</w:t>
      </w:r>
      <w:r w:rsidR="006C2648" w:rsidRPr="003454A3">
        <w:t>) sector</w:t>
      </w:r>
      <w:r w:rsidR="00705AB3" w:rsidRPr="003454A3">
        <w:t xml:space="preserve">. </w:t>
      </w:r>
    </w:p>
    <w:p w:rsidR="003E1B50" w:rsidRPr="003E1B50" w:rsidRDefault="003E1B50" w:rsidP="00645CEC">
      <w:pPr>
        <w:rPr>
          <w:rFonts w:eastAsiaTheme="majorEastAsia" w:cstheme="majorBidi"/>
          <w:b/>
          <w:bCs/>
          <w:i/>
          <w:iCs/>
          <w:color w:val="51626F"/>
          <w:sz w:val="24"/>
        </w:rPr>
      </w:pPr>
      <w:r w:rsidRPr="003E1B50">
        <w:rPr>
          <w:rFonts w:eastAsiaTheme="majorEastAsia" w:cstheme="majorBidi"/>
          <w:b/>
          <w:bCs/>
          <w:i/>
          <w:iCs/>
          <w:color w:val="51626F"/>
          <w:sz w:val="24"/>
        </w:rPr>
        <w:t xml:space="preserve">Comparison of </w:t>
      </w:r>
      <w:r w:rsidR="009F363C">
        <w:rPr>
          <w:rFonts w:eastAsiaTheme="majorEastAsia" w:cstheme="majorBidi"/>
          <w:b/>
          <w:bCs/>
          <w:i/>
          <w:iCs/>
          <w:color w:val="51626F"/>
          <w:sz w:val="24"/>
        </w:rPr>
        <w:t xml:space="preserve">input </w:t>
      </w:r>
      <w:r w:rsidRPr="003E1B50">
        <w:rPr>
          <w:rFonts w:eastAsiaTheme="majorEastAsia" w:cstheme="majorBidi"/>
          <w:b/>
          <w:bCs/>
          <w:i/>
          <w:iCs/>
          <w:color w:val="51626F"/>
          <w:sz w:val="24"/>
        </w:rPr>
        <w:t>price esc</w:t>
      </w:r>
      <w:r>
        <w:rPr>
          <w:rFonts w:eastAsiaTheme="majorEastAsia" w:cstheme="majorBidi"/>
          <w:b/>
          <w:bCs/>
          <w:i/>
          <w:iCs/>
          <w:color w:val="51626F"/>
          <w:sz w:val="24"/>
        </w:rPr>
        <w:t>a</w:t>
      </w:r>
      <w:r w:rsidRPr="003E1B50">
        <w:rPr>
          <w:rFonts w:eastAsiaTheme="majorEastAsia" w:cstheme="majorBidi"/>
          <w:b/>
          <w:bCs/>
          <w:i/>
          <w:iCs/>
          <w:color w:val="51626F"/>
          <w:sz w:val="24"/>
        </w:rPr>
        <w:t>lators</w:t>
      </w:r>
    </w:p>
    <w:p w:rsidR="003E1B50" w:rsidRDefault="003E1B50" w:rsidP="00787846">
      <w:r w:rsidRPr="00787846">
        <w:t xml:space="preserve">To assess </w:t>
      </w:r>
      <w:r w:rsidR="009F363C">
        <w:t>input price (</w:t>
      </w:r>
      <w:r w:rsidRPr="00787846">
        <w:t>labour cost</w:t>
      </w:r>
      <w:r w:rsidR="009F363C">
        <w:t>)</w:t>
      </w:r>
      <w:r w:rsidRPr="00787846">
        <w:t xml:space="preserve"> </w:t>
      </w:r>
      <w:r w:rsidR="009F363C">
        <w:t>escalators</w:t>
      </w:r>
      <w:r w:rsidR="0067776E">
        <w:t xml:space="preserve"> </w:t>
      </w:r>
      <w:r w:rsidRPr="00787846">
        <w:t xml:space="preserve">we compared APTNT’s proposed escalators </w:t>
      </w:r>
      <w:r w:rsidR="00D45A60">
        <w:t>to</w:t>
      </w:r>
      <w:r>
        <w:t xml:space="preserve"> </w:t>
      </w:r>
      <w:r w:rsidRPr="00787846">
        <w:t xml:space="preserve">recent </w:t>
      </w:r>
      <w:r>
        <w:t>forecast labour costs in the Northern Territory</w:t>
      </w:r>
      <w:r w:rsidRPr="00787846">
        <w:t>.</w:t>
      </w:r>
      <w:r>
        <w:rPr>
          <w:rStyle w:val="FootnoteReference"/>
        </w:rPr>
        <w:footnoteReference w:id="16"/>
      </w:r>
      <w:r w:rsidRPr="00787846">
        <w:t xml:space="preserve"> </w:t>
      </w:r>
      <w:r>
        <w:t>Differences between the two sets of forecasts arise as</w:t>
      </w:r>
      <w:r w:rsidRPr="000457EA">
        <w:t xml:space="preserve"> </w:t>
      </w:r>
      <w:r>
        <w:t xml:space="preserve">APTNT used a composite escalator from a </w:t>
      </w:r>
      <w:r w:rsidR="009F363C">
        <w:t>number</w:t>
      </w:r>
      <w:r>
        <w:t xml:space="preserve"> of industries to estimate its labour cost forecasts and an average of earlier years to derive forecasts for </w:t>
      </w:r>
      <w:r w:rsidR="003D1E73">
        <w:t>2019–20</w:t>
      </w:r>
      <w:r>
        <w:t xml:space="preserve"> and </w:t>
      </w:r>
      <w:r w:rsidR="003D1E73">
        <w:t>2020–21</w:t>
      </w:r>
      <w:r>
        <w:t>.</w:t>
      </w:r>
    </w:p>
    <w:p w:rsidR="00787846" w:rsidRDefault="003E1B50" w:rsidP="00787846">
      <w:r>
        <w:t>The</w:t>
      </w:r>
      <w:r w:rsidR="00787846">
        <w:t xml:space="preserve"> internal labour index </w:t>
      </w:r>
      <w:r w:rsidR="00881BD2">
        <w:t xml:space="preserve">proposed by APTNT </w:t>
      </w:r>
      <w:r w:rsidR="00787846">
        <w:t xml:space="preserve">is a composite index </w:t>
      </w:r>
      <w:r w:rsidR="0007418D">
        <w:t>that was applied by the NT Utilities Commission for Power and Water Corporation’s 2014 price review</w:t>
      </w:r>
      <w:r w:rsidR="00200435">
        <w:t>. It</w:t>
      </w:r>
      <w:r w:rsidR="00787846">
        <w:t xml:space="preserve"> </w:t>
      </w:r>
      <w:r w:rsidR="000457EA">
        <w:t>weights labour cost forecast</w:t>
      </w:r>
      <w:r w:rsidR="00B7795D">
        <w:t>s</w:t>
      </w:r>
      <w:r w:rsidR="000457EA">
        <w:t xml:space="preserve"> for three industry sectors:</w:t>
      </w:r>
      <w:r w:rsidR="00787846">
        <w:t xml:space="preserve"> Utilities, Administrative</w:t>
      </w:r>
      <w:r w:rsidR="000457EA">
        <w:t>,</w:t>
      </w:r>
      <w:r w:rsidR="00787846">
        <w:t xml:space="preserve"> and Other services. As the EGWWS sector includes </w:t>
      </w:r>
      <w:r w:rsidR="00B7795D">
        <w:t>pipeline</w:t>
      </w:r>
      <w:r w:rsidR="00787846">
        <w:t xml:space="preserve"> labour and general labour </w:t>
      </w:r>
      <w:r w:rsidR="00200435">
        <w:t>we do</w:t>
      </w:r>
      <w:r w:rsidR="00E10019">
        <w:t xml:space="preserve"> not</w:t>
      </w:r>
      <w:r w:rsidR="00200435">
        <w:t xml:space="preserve"> consider it is</w:t>
      </w:r>
      <w:r w:rsidR="00E10019">
        <w:t xml:space="preserve"> necessary</w:t>
      </w:r>
      <w:r w:rsidR="00787846">
        <w:t xml:space="preserve"> to apply labour escalation based on other sectors of the economy to opex forecasts. </w:t>
      </w:r>
      <w:r w:rsidR="009F363C">
        <w:t>Therefore, our</w:t>
      </w:r>
      <w:r w:rsidR="00200435">
        <w:t xml:space="preserve"> labour cost escalator is based only on the EGWWS sector</w:t>
      </w:r>
      <w:r w:rsidR="009B0CED">
        <w:t xml:space="preserve"> and we have applied it to all labour</w:t>
      </w:r>
      <w:r w:rsidR="00200435">
        <w:t xml:space="preserve">. </w:t>
      </w:r>
      <w:r w:rsidR="0007418D">
        <w:t xml:space="preserve">We also do not consider it appropriate to use out of date estimates where updated forecasts are now available. The labour cost forecasts that we have applied are based on </w:t>
      </w:r>
      <w:r w:rsidR="003454A3">
        <w:t>June</w:t>
      </w:r>
      <w:r w:rsidR="0007418D">
        <w:t xml:space="preserve"> 2015 analysis by DAE.</w:t>
      </w:r>
      <w:r w:rsidR="003454A3">
        <w:rPr>
          <w:rStyle w:val="FootnoteReference"/>
        </w:rPr>
        <w:footnoteReference w:id="17"/>
      </w:r>
      <w:r w:rsidR="003454A3">
        <w:t xml:space="preserve"> We will update the labour cost forecasts prior to our final access arrangement decision.</w:t>
      </w:r>
    </w:p>
    <w:p w:rsidR="00200435" w:rsidRDefault="00200435" w:rsidP="00200435">
      <w:r>
        <w:t>APTNT’s labour cost forecast</w:t>
      </w:r>
      <w:r w:rsidR="00B7795D">
        <w:t>s</w:t>
      </w:r>
      <w:r>
        <w:t xml:space="preserve"> for 2019</w:t>
      </w:r>
      <w:r w:rsidR="000457EA">
        <w:t>–</w:t>
      </w:r>
      <w:r>
        <w:t xml:space="preserve">20 and </w:t>
      </w:r>
      <w:r w:rsidR="003D1E73">
        <w:t>2020–21</w:t>
      </w:r>
      <w:r>
        <w:t xml:space="preserve"> are based on forecasts made in 2013, </w:t>
      </w:r>
      <w:r w:rsidR="000457EA">
        <w:t xml:space="preserve">and are an average </w:t>
      </w:r>
      <w:r w:rsidR="00D16BDA">
        <w:t>of</w:t>
      </w:r>
      <w:r w:rsidR="008F7011">
        <w:t xml:space="preserve"> </w:t>
      </w:r>
      <w:r w:rsidR="00B7795D">
        <w:t xml:space="preserve">the forecasts </w:t>
      </w:r>
      <w:r w:rsidR="00D16BDA">
        <w:t>from</w:t>
      </w:r>
      <w:r>
        <w:t xml:space="preserve"> 2013-14 to </w:t>
      </w:r>
      <w:r w:rsidR="003D1E73">
        <w:t>2018–19</w:t>
      </w:r>
      <w:r>
        <w:t xml:space="preserve">. </w:t>
      </w:r>
      <w:r w:rsidR="0007418D">
        <w:t>We consider</w:t>
      </w:r>
      <w:r>
        <w:t xml:space="preserve"> the DAE 2015 </w:t>
      </w:r>
      <w:r w:rsidR="00B7795D">
        <w:t>update</w:t>
      </w:r>
      <w:r w:rsidR="00287EFD">
        <w:t>d</w:t>
      </w:r>
      <w:r w:rsidR="00B7795D">
        <w:t xml:space="preserve"> labour cost forecasts</w:t>
      </w:r>
      <w:r>
        <w:t xml:space="preserve">, which extend to </w:t>
      </w:r>
      <w:r w:rsidR="003D1E73">
        <w:t>2020–21</w:t>
      </w:r>
      <w:r>
        <w:t>, take into account new information about the economic environment in the Northern Territory and are a better indicator of future labour costs.</w:t>
      </w:r>
    </w:p>
    <w:p w:rsidR="000E7104" w:rsidRDefault="000E7104" w:rsidP="003D66F8">
      <w:pPr>
        <w:pStyle w:val="HeadingBoldItalic"/>
      </w:pPr>
      <w:r>
        <w:t>Opex price weightings</w:t>
      </w:r>
    </w:p>
    <w:p w:rsidR="000E7104" w:rsidRDefault="000E7104" w:rsidP="00200435">
      <w:r>
        <w:t>We weight the forecast input price growth to account for the proportion of opex that is labour and non-labour.</w:t>
      </w:r>
      <w:r w:rsidRPr="000E7104">
        <w:t xml:space="preserve"> Labour and non-labour inputs are necessary to undertake opex-related functions and activities. The forecast input price change is weighted by the proportion of opex that is labour and non-labour. </w:t>
      </w:r>
    </w:p>
    <w:p w:rsidR="000E7104" w:rsidRDefault="000E7104" w:rsidP="00200435">
      <w:r>
        <w:t>APTNT has allocated its base year opex costs to categories of labour</w:t>
      </w:r>
      <w:r w:rsidR="003D66F8">
        <w:t xml:space="preserve"> </w:t>
      </w:r>
      <w:r w:rsidR="00E4605D">
        <w:t xml:space="preserve">(internal and external) </w:t>
      </w:r>
      <w:r w:rsidR="003D66F8">
        <w:t>and</w:t>
      </w:r>
      <w:r>
        <w:t xml:space="preserve"> non</w:t>
      </w:r>
      <w:r w:rsidR="00B61C28">
        <w:noBreakHyphen/>
      </w:r>
      <w:r>
        <w:t>labour</w:t>
      </w:r>
      <w:r w:rsidR="00E4605D">
        <w:t xml:space="preserve"> (materials)</w:t>
      </w:r>
      <w:r w:rsidR="003454A3">
        <w:t>.</w:t>
      </w:r>
      <w:r>
        <w:rPr>
          <w:rStyle w:val="FootnoteReference"/>
        </w:rPr>
        <w:footnoteReference w:id="18"/>
      </w:r>
      <w:r>
        <w:t xml:space="preserve"> </w:t>
      </w:r>
      <w:r w:rsidR="000D01B6">
        <w:t xml:space="preserve">Consistent with our recent decision for </w:t>
      </w:r>
      <w:r w:rsidR="003D66F8">
        <w:t>Jemena Gas Networks</w:t>
      </w:r>
      <w:r w:rsidR="000D01B6">
        <w:t xml:space="preserve"> w</w:t>
      </w:r>
      <w:r w:rsidR="000D01B6" w:rsidRPr="000E7104">
        <w:t>e have adopted a 62 per cent weighting for labour and 38 per cent for non</w:t>
      </w:r>
      <w:r w:rsidR="00B61C28">
        <w:noBreakHyphen/>
      </w:r>
      <w:r w:rsidR="000D01B6" w:rsidRPr="000E7104">
        <w:t>labour in forecasting input price changes</w:t>
      </w:r>
      <w:r w:rsidR="003D66F8">
        <w:t xml:space="preserve"> in our alternative opex forecast</w:t>
      </w:r>
      <w:r w:rsidR="000D01B6" w:rsidRPr="000E7104">
        <w:t>.</w:t>
      </w:r>
      <w:r w:rsidR="000D01B6">
        <w:rPr>
          <w:rStyle w:val="FootnoteReference"/>
        </w:rPr>
        <w:footnoteReference w:id="19"/>
      </w:r>
    </w:p>
    <w:p w:rsidR="00787846" w:rsidRDefault="00DC0495" w:rsidP="00787846">
      <w:r>
        <w:t>Our</w:t>
      </w:r>
      <w:r w:rsidR="00787846">
        <w:t xml:space="preserve"> preferred </w:t>
      </w:r>
      <w:r w:rsidR="000E7104">
        <w:t xml:space="preserve">input </w:t>
      </w:r>
      <w:r w:rsidR="000D01B6">
        <w:t xml:space="preserve">price </w:t>
      </w:r>
      <w:r w:rsidR="00787846">
        <w:t>escalators</w:t>
      </w:r>
      <w:r w:rsidR="0067776E">
        <w:t xml:space="preserve"> </w:t>
      </w:r>
      <w:r w:rsidR="00787846">
        <w:t>are set out in</w:t>
      </w:r>
      <w:r w:rsidR="009B0CED">
        <w:t xml:space="preserve"> </w:t>
      </w:r>
      <w:r w:rsidR="009B0CED">
        <w:fldChar w:fldCharType="begin"/>
      </w:r>
      <w:r w:rsidR="009B0CED">
        <w:instrText xml:space="preserve"> REF _Ref433285590 \h </w:instrText>
      </w:r>
      <w:r w:rsidR="009B0CED">
        <w:fldChar w:fldCharType="separate"/>
      </w:r>
      <w:r w:rsidR="009B0CED">
        <w:t xml:space="preserve">Table </w:t>
      </w:r>
      <w:r w:rsidR="009B0CED">
        <w:rPr>
          <w:noProof/>
        </w:rPr>
        <w:t>7</w:t>
      </w:r>
      <w:r w:rsidR="009B0CED">
        <w:t>.</w:t>
      </w:r>
      <w:r w:rsidR="009B0CED">
        <w:rPr>
          <w:noProof/>
        </w:rPr>
        <w:t>5</w:t>
      </w:r>
      <w:r w:rsidR="009B0CED">
        <w:fldChar w:fldCharType="end"/>
      </w:r>
      <w:r w:rsidR="00787846">
        <w:t>.</w:t>
      </w:r>
    </w:p>
    <w:p w:rsidR="00787846" w:rsidRDefault="009B0CED" w:rsidP="009B0CED">
      <w:pPr>
        <w:pStyle w:val="Caption"/>
      </w:pPr>
      <w:bookmarkStart w:id="36" w:name="_Ref433285590"/>
      <w:r>
        <w:t xml:space="preserve">Table </w:t>
      </w:r>
      <w:r w:rsidR="002F539B">
        <w:fldChar w:fldCharType="begin"/>
      </w:r>
      <w:r w:rsidR="002F539B">
        <w:instrText xml:space="preserve"> STYLEREF 1 \s </w:instrText>
      </w:r>
      <w:r w:rsidR="002F539B">
        <w:fldChar w:fldCharType="separate"/>
      </w:r>
      <w:r>
        <w:rPr>
          <w:noProof/>
        </w:rPr>
        <w:t>7</w:t>
      </w:r>
      <w:r w:rsidR="002F539B">
        <w:rPr>
          <w:noProof/>
        </w:rPr>
        <w:fldChar w:fldCharType="end"/>
      </w:r>
      <w:r>
        <w:t>.</w:t>
      </w:r>
      <w:r w:rsidR="002F539B">
        <w:fldChar w:fldCharType="begin"/>
      </w:r>
      <w:r w:rsidR="002F539B">
        <w:instrText xml:space="preserve"> SEQ Table \* ARABIC \s 1 </w:instrText>
      </w:r>
      <w:r w:rsidR="002F539B">
        <w:fldChar w:fldCharType="separate"/>
      </w:r>
      <w:r>
        <w:rPr>
          <w:noProof/>
        </w:rPr>
        <w:t>5</w:t>
      </w:r>
      <w:r w:rsidR="002F539B">
        <w:rPr>
          <w:noProof/>
        </w:rPr>
        <w:fldChar w:fldCharType="end"/>
      </w:r>
      <w:bookmarkEnd w:id="36"/>
      <w:r w:rsidR="0005421A">
        <w:tab/>
      </w:r>
      <w:r w:rsidR="0005421A" w:rsidRPr="0005421A">
        <w:t>AER preferred forecast real input price escalators</w:t>
      </w:r>
    </w:p>
    <w:tbl>
      <w:tblPr>
        <w:tblStyle w:val="AERtable-text1"/>
        <w:tblW w:w="0" w:type="auto"/>
        <w:tblInd w:w="0" w:type="dxa"/>
        <w:tblLook w:val="04A0" w:firstRow="1" w:lastRow="0" w:firstColumn="1" w:lastColumn="0" w:noHBand="0" w:noVBand="1"/>
      </w:tblPr>
      <w:tblGrid>
        <w:gridCol w:w="1668"/>
        <w:gridCol w:w="992"/>
        <w:gridCol w:w="1184"/>
        <w:gridCol w:w="1247"/>
        <w:gridCol w:w="1110"/>
        <w:gridCol w:w="1110"/>
        <w:gridCol w:w="1110"/>
      </w:tblGrid>
      <w:tr w:rsidR="00787846" w:rsidTr="00D3640E">
        <w:trPr>
          <w:cnfStyle w:val="100000000000" w:firstRow="1" w:lastRow="0" w:firstColumn="0" w:lastColumn="0" w:oddVBand="0" w:evenVBand="0" w:oddHBand="0" w:evenHBand="0" w:firstRowFirstColumn="0" w:firstRowLastColumn="0" w:lastRowFirstColumn="0" w:lastRowLastColumn="0"/>
        </w:trPr>
        <w:tc>
          <w:tcPr>
            <w:tcW w:w="1668" w:type="dxa"/>
          </w:tcPr>
          <w:p w:rsidR="00787846" w:rsidRDefault="00787846" w:rsidP="001773F2">
            <w:pPr>
              <w:pStyle w:val="AERtabletextright"/>
              <w:keepNext/>
              <w:jc w:val="center"/>
            </w:pPr>
          </w:p>
        </w:tc>
        <w:tc>
          <w:tcPr>
            <w:tcW w:w="992" w:type="dxa"/>
          </w:tcPr>
          <w:p w:rsidR="00787846" w:rsidRPr="002824EB" w:rsidRDefault="003D1E73" w:rsidP="001773F2">
            <w:pPr>
              <w:pStyle w:val="AERtabletextright"/>
              <w:keepNext/>
              <w:jc w:val="center"/>
            </w:pPr>
            <w:r>
              <w:t>2015–16</w:t>
            </w:r>
          </w:p>
        </w:tc>
        <w:tc>
          <w:tcPr>
            <w:tcW w:w="1184" w:type="dxa"/>
          </w:tcPr>
          <w:p w:rsidR="00787846" w:rsidRPr="002824EB" w:rsidRDefault="003D1E73" w:rsidP="001773F2">
            <w:pPr>
              <w:pStyle w:val="AERtabletextright"/>
              <w:keepNext/>
              <w:jc w:val="center"/>
            </w:pPr>
            <w:r>
              <w:t>2016–17</w:t>
            </w:r>
          </w:p>
        </w:tc>
        <w:tc>
          <w:tcPr>
            <w:tcW w:w="1247" w:type="dxa"/>
          </w:tcPr>
          <w:p w:rsidR="00787846" w:rsidRPr="002824EB" w:rsidRDefault="003D1E73" w:rsidP="001773F2">
            <w:pPr>
              <w:pStyle w:val="AERtabletextright"/>
              <w:keepNext/>
              <w:jc w:val="center"/>
            </w:pPr>
            <w:r>
              <w:t>2017–18</w:t>
            </w:r>
          </w:p>
        </w:tc>
        <w:tc>
          <w:tcPr>
            <w:tcW w:w="1110" w:type="dxa"/>
          </w:tcPr>
          <w:p w:rsidR="00787846" w:rsidRPr="002824EB" w:rsidRDefault="003D1E73" w:rsidP="001773F2">
            <w:pPr>
              <w:pStyle w:val="AERtabletextright"/>
              <w:keepNext/>
              <w:jc w:val="center"/>
            </w:pPr>
            <w:r>
              <w:t>2018–19</w:t>
            </w:r>
          </w:p>
        </w:tc>
        <w:tc>
          <w:tcPr>
            <w:tcW w:w="1110" w:type="dxa"/>
          </w:tcPr>
          <w:p w:rsidR="00787846" w:rsidRDefault="003D1E73" w:rsidP="001773F2">
            <w:pPr>
              <w:pStyle w:val="AERtabletextright"/>
              <w:keepNext/>
              <w:jc w:val="center"/>
            </w:pPr>
            <w:r>
              <w:t>2019–20</w:t>
            </w:r>
          </w:p>
        </w:tc>
        <w:tc>
          <w:tcPr>
            <w:tcW w:w="1110" w:type="dxa"/>
          </w:tcPr>
          <w:p w:rsidR="00787846" w:rsidRDefault="003D1E73" w:rsidP="001773F2">
            <w:pPr>
              <w:pStyle w:val="AERtabletextright"/>
              <w:keepNext/>
              <w:jc w:val="center"/>
            </w:pPr>
            <w:r>
              <w:t>2020–21</w:t>
            </w:r>
          </w:p>
        </w:tc>
      </w:tr>
      <w:tr w:rsidR="00E10019" w:rsidTr="00D3640E">
        <w:tc>
          <w:tcPr>
            <w:tcW w:w="1668" w:type="dxa"/>
          </w:tcPr>
          <w:p w:rsidR="00E10019" w:rsidRDefault="001A73B4" w:rsidP="0090052B">
            <w:pPr>
              <w:pStyle w:val="AERtabletextright"/>
              <w:keepNext/>
              <w:jc w:val="left"/>
            </w:pPr>
            <w:r>
              <w:t>L</w:t>
            </w:r>
            <w:r w:rsidR="00E10019">
              <w:t>abour</w:t>
            </w:r>
          </w:p>
        </w:tc>
        <w:tc>
          <w:tcPr>
            <w:tcW w:w="992" w:type="dxa"/>
          </w:tcPr>
          <w:p w:rsidR="00E10019" w:rsidRPr="008F249A" w:rsidRDefault="00E10019" w:rsidP="001773F2">
            <w:pPr>
              <w:pStyle w:val="AERtabletextright"/>
              <w:keepNext/>
              <w:jc w:val="center"/>
            </w:pPr>
            <w:r w:rsidRPr="008F249A">
              <w:t>0.9</w:t>
            </w:r>
          </w:p>
        </w:tc>
        <w:tc>
          <w:tcPr>
            <w:tcW w:w="1184" w:type="dxa"/>
          </w:tcPr>
          <w:p w:rsidR="00E10019" w:rsidRPr="008F249A" w:rsidRDefault="00E10019" w:rsidP="001773F2">
            <w:pPr>
              <w:pStyle w:val="AERtabletextright"/>
              <w:keepNext/>
              <w:jc w:val="center"/>
            </w:pPr>
            <w:r w:rsidRPr="008F249A">
              <w:t>0.0</w:t>
            </w:r>
          </w:p>
        </w:tc>
        <w:tc>
          <w:tcPr>
            <w:tcW w:w="1247" w:type="dxa"/>
          </w:tcPr>
          <w:p w:rsidR="00E10019" w:rsidRPr="008F249A" w:rsidRDefault="00E10019" w:rsidP="001773F2">
            <w:pPr>
              <w:pStyle w:val="AERtabletextright"/>
              <w:keepNext/>
              <w:jc w:val="center"/>
            </w:pPr>
            <w:r w:rsidRPr="008F249A">
              <w:t>0.8</w:t>
            </w:r>
          </w:p>
        </w:tc>
        <w:tc>
          <w:tcPr>
            <w:tcW w:w="1110" w:type="dxa"/>
          </w:tcPr>
          <w:p w:rsidR="00E10019" w:rsidRDefault="00E10019" w:rsidP="001773F2">
            <w:pPr>
              <w:pStyle w:val="AERtabletextright"/>
              <w:keepNext/>
              <w:jc w:val="center"/>
            </w:pPr>
            <w:r w:rsidRPr="008F249A">
              <w:t>0.7</w:t>
            </w:r>
          </w:p>
        </w:tc>
        <w:tc>
          <w:tcPr>
            <w:tcW w:w="1110" w:type="dxa"/>
          </w:tcPr>
          <w:p w:rsidR="00E10019" w:rsidRDefault="00E10019" w:rsidP="001773F2">
            <w:pPr>
              <w:pStyle w:val="AERtabletextright"/>
              <w:keepNext/>
              <w:jc w:val="center"/>
            </w:pPr>
            <w:r>
              <w:t>1.0</w:t>
            </w:r>
          </w:p>
        </w:tc>
        <w:tc>
          <w:tcPr>
            <w:tcW w:w="1110" w:type="dxa"/>
          </w:tcPr>
          <w:p w:rsidR="00E10019" w:rsidRDefault="00E10019" w:rsidP="001773F2">
            <w:pPr>
              <w:pStyle w:val="AERtabletextright"/>
              <w:keepNext/>
              <w:jc w:val="center"/>
            </w:pPr>
            <w:r>
              <w:t>1.0</w:t>
            </w:r>
          </w:p>
        </w:tc>
      </w:tr>
      <w:tr w:rsidR="00E10019" w:rsidTr="00D3640E">
        <w:trPr>
          <w:cnfStyle w:val="000000010000" w:firstRow="0" w:lastRow="0" w:firstColumn="0" w:lastColumn="0" w:oddVBand="0" w:evenVBand="0" w:oddHBand="0" w:evenHBand="1" w:firstRowFirstColumn="0" w:firstRowLastColumn="0" w:lastRowFirstColumn="0" w:lastRowLastColumn="0"/>
        </w:trPr>
        <w:tc>
          <w:tcPr>
            <w:tcW w:w="1668" w:type="dxa"/>
          </w:tcPr>
          <w:p w:rsidR="00E10019" w:rsidRDefault="000E7104" w:rsidP="0090052B">
            <w:pPr>
              <w:pStyle w:val="AERtabletextright"/>
              <w:keepNext/>
              <w:jc w:val="left"/>
            </w:pPr>
            <w:r>
              <w:t xml:space="preserve">Non- </w:t>
            </w:r>
            <w:r w:rsidR="00E10019">
              <w:t>labour</w:t>
            </w:r>
          </w:p>
        </w:tc>
        <w:tc>
          <w:tcPr>
            <w:tcW w:w="992" w:type="dxa"/>
          </w:tcPr>
          <w:p w:rsidR="00E10019" w:rsidRPr="008F249A" w:rsidRDefault="00BB1AEE" w:rsidP="001773F2">
            <w:pPr>
              <w:pStyle w:val="AERtabletextright"/>
              <w:keepNext/>
              <w:jc w:val="center"/>
            </w:pPr>
            <w:r>
              <w:t>0.0</w:t>
            </w:r>
          </w:p>
        </w:tc>
        <w:tc>
          <w:tcPr>
            <w:tcW w:w="1184" w:type="dxa"/>
          </w:tcPr>
          <w:p w:rsidR="00E10019" w:rsidRPr="008F249A" w:rsidRDefault="00E10019" w:rsidP="001773F2">
            <w:pPr>
              <w:pStyle w:val="AERtabletextright"/>
              <w:keepNext/>
              <w:jc w:val="center"/>
            </w:pPr>
            <w:r w:rsidRPr="008F249A">
              <w:t>0.0</w:t>
            </w:r>
          </w:p>
        </w:tc>
        <w:tc>
          <w:tcPr>
            <w:tcW w:w="1247" w:type="dxa"/>
          </w:tcPr>
          <w:p w:rsidR="00E10019" w:rsidRPr="008F249A" w:rsidRDefault="00BB1AEE" w:rsidP="001773F2">
            <w:pPr>
              <w:pStyle w:val="AERtabletextright"/>
              <w:keepNext/>
              <w:jc w:val="center"/>
            </w:pPr>
            <w:r>
              <w:t>0.0</w:t>
            </w:r>
          </w:p>
        </w:tc>
        <w:tc>
          <w:tcPr>
            <w:tcW w:w="1110" w:type="dxa"/>
          </w:tcPr>
          <w:p w:rsidR="00E10019" w:rsidRDefault="00BB1AEE" w:rsidP="001773F2">
            <w:pPr>
              <w:pStyle w:val="AERtabletextright"/>
              <w:keepNext/>
              <w:jc w:val="center"/>
            </w:pPr>
            <w:r>
              <w:t>0.0</w:t>
            </w:r>
          </w:p>
        </w:tc>
        <w:tc>
          <w:tcPr>
            <w:tcW w:w="1110" w:type="dxa"/>
          </w:tcPr>
          <w:p w:rsidR="00E10019" w:rsidRDefault="00BB1AEE" w:rsidP="001773F2">
            <w:pPr>
              <w:pStyle w:val="AERtabletextright"/>
              <w:keepNext/>
              <w:jc w:val="center"/>
            </w:pPr>
            <w:r>
              <w:t>0.0</w:t>
            </w:r>
          </w:p>
        </w:tc>
        <w:tc>
          <w:tcPr>
            <w:tcW w:w="1110" w:type="dxa"/>
          </w:tcPr>
          <w:p w:rsidR="00E10019" w:rsidRDefault="00BB1AEE" w:rsidP="001773F2">
            <w:pPr>
              <w:pStyle w:val="AERtabletextright"/>
              <w:keepNext/>
              <w:jc w:val="center"/>
            </w:pPr>
            <w:r>
              <w:t>0.0</w:t>
            </w:r>
          </w:p>
        </w:tc>
      </w:tr>
    </w:tbl>
    <w:p w:rsidR="00787846" w:rsidRDefault="00E10019" w:rsidP="00E10019">
      <w:pPr>
        <w:pStyle w:val="AERtablesource"/>
      </w:pPr>
      <w:r w:rsidRPr="00BD700D">
        <w:t xml:space="preserve">Source: </w:t>
      </w:r>
      <w:r w:rsidR="00D70F17">
        <w:tab/>
      </w:r>
      <w:r w:rsidRPr="00BD700D">
        <w:t xml:space="preserve">DAE, </w:t>
      </w:r>
      <w:r w:rsidR="00BD700D" w:rsidRPr="00BD700D">
        <w:rPr>
          <w:i/>
        </w:rPr>
        <w:t>Forecast growth in labour costs in NEM regions of Australia</w:t>
      </w:r>
      <w:r w:rsidR="00BD700D" w:rsidRPr="00BD700D">
        <w:t>, Report prepared for the AER, 15 June 2015, pp. 77</w:t>
      </w:r>
      <w:r w:rsidR="000359C0">
        <w:t>–</w:t>
      </w:r>
      <w:r w:rsidR="00BD700D" w:rsidRPr="00BD700D">
        <w:t>85.</w:t>
      </w:r>
    </w:p>
    <w:p w:rsidR="00DB1763" w:rsidRDefault="0064544A" w:rsidP="00BC7736">
      <w:pPr>
        <w:pStyle w:val="HeadingBoldBlue"/>
      </w:pPr>
      <w:r>
        <w:t xml:space="preserve">Output </w:t>
      </w:r>
      <w:r w:rsidR="00E85BBB">
        <w:t xml:space="preserve">growth </w:t>
      </w:r>
    </w:p>
    <w:p w:rsidR="00DB1763" w:rsidRDefault="00DB1763" w:rsidP="00DB1763">
      <w:r>
        <w:t>APTNT has not escalated its opex forecast by an output growth rate of change.</w:t>
      </w:r>
    </w:p>
    <w:p w:rsidR="00DB1763" w:rsidRPr="00DB1763" w:rsidRDefault="00DB1763" w:rsidP="002B7BED">
      <w:r>
        <w:t xml:space="preserve">We note that the Amadeus </w:t>
      </w:r>
      <w:r w:rsidR="002B7BED">
        <w:t xml:space="preserve">Gas Pipeline </w:t>
      </w:r>
      <w:r>
        <w:t>is characterised by a stable operating environment (in the absence of NEGI)</w:t>
      </w:r>
      <w:r w:rsidR="00D45A60">
        <w:t>.</w:t>
      </w:r>
      <w:r>
        <w:t xml:space="preserve"> </w:t>
      </w:r>
      <w:r w:rsidR="00D45A60">
        <w:t xml:space="preserve">There </w:t>
      </w:r>
      <w:r>
        <w:t>is no expected change in pipeline length or customer numbers, and demand growth of 1.7 per cent per annum</w:t>
      </w:r>
      <w:r w:rsidR="002B7BED">
        <w:t xml:space="preserve"> is forecast</w:t>
      </w:r>
      <w:r>
        <w:t xml:space="preserve"> in the </w:t>
      </w:r>
      <w:r w:rsidR="003D1E73">
        <w:t>2016–21</w:t>
      </w:r>
      <w:r>
        <w:t xml:space="preserve"> access arrangement period. In developing an alternative opex forecast we have applied APTNT’s proposed zero output escalation, reflecting the absence of pipeline expansion, stable customer numbers and low demand growth.</w:t>
      </w:r>
    </w:p>
    <w:p w:rsidR="0064544A" w:rsidRDefault="00DB1763" w:rsidP="00BC7736">
      <w:pPr>
        <w:pStyle w:val="HeadingBoldBlue"/>
      </w:pPr>
      <w:r>
        <w:t>P</w:t>
      </w:r>
      <w:r w:rsidR="0064544A">
        <w:t xml:space="preserve">roductivity </w:t>
      </w:r>
      <w:r w:rsidR="0089481F">
        <w:t>growth</w:t>
      </w:r>
    </w:p>
    <w:p w:rsidR="00D45A60" w:rsidRDefault="00DB1763" w:rsidP="00DB1763">
      <w:r>
        <w:t>APTNT d</w:t>
      </w:r>
      <w:r w:rsidR="006959D8">
        <w:t>id</w:t>
      </w:r>
      <w:r>
        <w:t xml:space="preserve"> not identify any productivity </w:t>
      </w:r>
      <w:r w:rsidR="00435CBB">
        <w:t>growth</w:t>
      </w:r>
      <w:r w:rsidR="002B7BED">
        <w:t xml:space="preserve"> </w:t>
      </w:r>
      <w:r>
        <w:t xml:space="preserve">in developing its forecast opex for the </w:t>
      </w:r>
      <w:r w:rsidR="003D1E73">
        <w:t>2016–21</w:t>
      </w:r>
      <w:r>
        <w:t xml:space="preserve"> access arrangement period.</w:t>
      </w:r>
      <w:r w:rsidR="00435CBB" w:rsidRPr="00435CBB">
        <w:t xml:space="preserve"> </w:t>
      </w:r>
    </w:p>
    <w:p w:rsidR="00DB1763" w:rsidRDefault="00435CBB" w:rsidP="00DB1763">
      <w:r>
        <w:t xml:space="preserve">Productivity growth can </w:t>
      </w:r>
      <w:r w:rsidR="002B7BED">
        <w:t xml:space="preserve">result </w:t>
      </w:r>
      <w:r>
        <w:t>from economies of scale and technological change.</w:t>
      </w:r>
      <w:r w:rsidR="00D45A60">
        <w:t xml:space="preserve"> </w:t>
      </w:r>
      <w:r w:rsidR="00DB1763" w:rsidRPr="000A1FA5">
        <w:t xml:space="preserve">To </w:t>
      </w:r>
      <w:r>
        <w:t>forecast</w:t>
      </w:r>
      <w:r w:rsidR="002B7BED">
        <w:t xml:space="preserve"> </w:t>
      </w:r>
      <w:r w:rsidR="00DB1763">
        <w:t>productivity</w:t>
      </w:r>
      <w:r w:rsidR="00DB1763" w:rsidRPr="000A1FA5">
        <w:t xml:space="preserve"> </w:t>
      </w:r>
      <w:r>
        <w:t>growth</w:t>
      </w:r>
      <w:r w:rsidR="002B7BED">
        <w:t xml:space="preserve"> </w:t>
      </w:r>
      <w:r>
        <w:t xml:space="preserve">for </w:t>
      </w:r>
      <w:r w:rsidR="00DB1763">
        <w:t xml:space="preserve">electricity </w:t>
      </w:r>
      <w:r w:rsidR="00DB1763" w:rsidRPr="000A1FA5">
        <w:t xml:space="preserve">distribution and transmission service providers we relied on Economic Benchmarking data from 2006–13. However, we do not have an equivalent data set </w:t>
      </w:r>
      <w:r w:rsidR="00DB1763">
        <w:t xml:space="preserve">from which to </w:t>
      </w:r>
      <w:r>
        <w:t xml:space="preserve">estimate </w:t>
      </w:r>
      <w:r w:rsidR="00DB1763">
        <w:t xml:space="preserve">productivity </w:t>
      </w:r>
      <w:r>
        <w:t>growth</w:t>
      </w:r>
      <w:r w:rsidR="002B7BED">
        <w:t xml:space="preserve"> </w:t>
      </w:r>
      <w:r w:rsidR="00DB1763" w:rsidRPr="000A1FA5">
        <w:t xml:space="preserve">for </w:t>
      </w:r>
      <w:r w:rsidR="00DB1763">
        <w:t>APTNT.</w:t>
      </w:r>
    </w:p>
    <w:p w:rsidR="0064544A" w:rsidRDefault="00796AB9" w:rsidP="0064544A">
      <w:r>
        <w:t>In the absence of data from which to estimate APTNT</w:t>
      </w:r>
      <w:r w:rsidR="006959D8">
        <w:t>’s</w:t>
      </w:r>
      <w:r>
        <w:t xml:space="preserve"> specific productivity </w:t>
      </w:r>
      <w:r w:rsidR="00ED62E9">
        <w:t>growth</w:t>
      </w:r>
      <w:r>
        <w:t xml:space="preserve">, we considered applying </w:t>
      </w:r>
      <w:r w:rsidR="001A08F5">
        <w:t xml:space="preserve">recent </w:t>
      </w:r>
      <w:r>
        <w:t xml:space="preserve">productivity estimates derived for the gas distribution sector </w:t>
      </w:r>
      <w:r w:rsidR="00D45A60">
        <w:t>or</w:t>
      </w:r>
      <w:r>
        <w:t xml:space="preserve"> electricity transmission sector.</w:t>
      </w:r>
      <w:r w:rsidR="003C5E9A">
        <w:rPr>
          <w:rStyle w:val="FootnoteReference"/>
        </w:rPr>
        <w:footnoteReference w:id="20"/>
      </w:r>
      <w:r>
        <w:t xml:space="preserve"> </w:t>
      </w:r>
      <w:r w:rsidR="001C6E6F">
        <w:t>The</w:t>
      </w:r>
      <w:r w:rsidR="003C5E9A">
        <w:t xml:space="preserve"> estimates </w:t>
      </w:r>
      <w:r w:rsidR="001A08F5">
        <w:t xml:space="preserve">range from 0.7 to 0.86 per cent (average per annum). </w:t>
      </w:r>
      <w:r w:rsidR="00BB05D4">
        <w:t>However, doing so would result in a productivity rate of change that did not take into account the specific circumstances of APTNT, as set out in the expenditure assessment guideline.</w:t>
      </w:r>
      <w:r w:rsidR="00BB05D4">
        <w:rPr>
          <w:rStyle w:val="FootnoteReference"/>
        </w:rPr>
        <w:footnoteReference w:id="21"/>
      </w:r>
      <w:r w:rsidR="00BB05D4">
        <w:t xml:space="preserve"> </w:t>
      </w:r>
      <w:r w:rsidR="000D0A6D">
        <w:t xml:space="preserve">We also note that these productivity measures </w:t>
      </w:r>
      <w:r w:rsidR="00ED62E9">
        <w:t>capture specific circumstances unique to the gas distribution and electricity transmission sectors which may not be applicable to gas transmission</w:t>
      </w:r>
      <w:r w:rsidR="000D0A6D">
        <w:t>.</w:t>
      </w:r>
    </w:p>
    <w:p w:rsidR="0064544A" w:rsidRDefault="003843D6" w:rsidP="0064544A">
      <w:r>
        <w:t>In the absence of appropriate data from which to derive an accurate productivity growth forecast</w:t>
      </w:r>
      <w:r w:rsidR="00192C4D">
        <w:t>,</w:t>
      </w:r>
      <w:r>
        <w:t xml:space="preserve"> we have applied a productivity growth forecast of zero. </w:t>
      </w:r>
      <w:r w:rsidR="0064544A">
        <w:t xml:space="preserve">In </w:t>
      </w:r>
      <w:r w:rsidR="006959D8">
        <w:t>applying a productivity growth forecast of zero</w:t>
      </w:r>
      <w:r w:rsidR="0064544A">
        <w:t xml:space="preserve">, we have </w:t>
      </w:r>
      <w:r>
        <w:t xml:space="preserve">also </w:t>
      </w:r>
      <w:r w:rsidR="0064544A">
        <w:t>taken into account the offsetting impact of output growth and productivity on opex forecasts</w:t>
      </w:r>
      <w:r w:rsidR="00192C4D">
        <w:t>. In this regard, we note that</w:t>
      </w:r>
      <w:r w:rsidR="006959D8">
        <w:t xml:space="preserve"> APTNT has forecast output growth of zero, even though it has forecast moderate demand growth</w:t>
      </w:r>
      <w:r w:rsidR="00192C4D" w:rsidRPr="00192C4D">
        <w:t xml:space="preserve"> for the </w:t>
      </w:r>
      <w:r w:rsidR="003D1E73">
        <w:t>2016–21</w:t>
      </w:r>
      <w:r w:rsidR="00192C4D" w:rsidRPr="00192C4D">
        <w:t xml:space="preserve"> access arrangement period</w:t>
      </w:r>
      <w:r w:rsidR="0064544A">
        <w:t xml:space="preserve">. </w:t>
      </w:r>
    </w:p>
    <w:p w:rsidR="00590263" w:rsidRDefault="00590263" w:rsidP="00590263">
      <w:pPr>
        <w:pStyle w:val="HeadingBoldBlue"/>
      </w:pPr>
      <w:r>
        <w:t>Overall rate of change</w:t>
      </w:r>
    </w:p>
    <w:p w:rsidR="00590263" w:rsidRDefault="00590263" w:rsidP="0064544A">
      <w:r>
        <w:t xml:space="preserve">The overall rate of change applied to the base year opex is shown in </w:t>
      </w:r>
      <w:r>
        <w:fldChar w:fldCharType="begin"/>
      </w:r>
      <w:r>
        <w:instrText xml:space="preserve"> REF _Ref434922572 \h </w:instrText>
      </w:r>
      <w:r>
        <w:fldChar w:fldCharType="separate"/>
      </w:r>
      <w:r>
        <w:t xml:space="preserve">Table </w:t>
      </w:r>
      <w:r w:rsidRPr="00590263">
        <w:t>7</w:t>
      </w:r>
      <w:r>
        <w:t>.</w:t>
      </w:r>
      <w:r>
        <w:rPr>
          <w:noProof/>
        </w:rPr>
        <w:t>6</w:t>
      </w:r>
      <w:r>
        <w:fldChar w:fldCharType="end"/>
      </w:r>
      <w:r>
        <w:t>.</w:t>
      </w:r>
    </w:p>
    <w:p w:rsidR="00590263" w:rsidRDefault="00590263" w:rsidP="00631070">
      <w:pPr>
        <w:pStyle w:val="Caption"/>
      </w:pPr>
      <w:bookmarkStart w:id="37" w:name="_Ref434922572"/>
      <w:r>
        <w:t xml:space="preserve">Table </w:t>
      </w:r>
      <w:r w:rsidR="002F539B">
        <w:fldChar w:fldCharType="begin"/>
      </w:r>
      <w:r w:rsidR="002F539B">
        <w:instrText xml:space="preserve"> STYLEREF 1 \s </w:instrText>
      </w:r>
      <w:r w:rsidR="002F539B">
        <w:fldChar w:fldCharType="separate"/>
      </w:r>
      <w:r w:rsidRPr="00590263">
        <w:t>7</w:t>
      </w:r>
      <w:r w:rsidR="002F539B">
        <w:fldChar w:fldCharType="end"/>
      </w:r>
      <w:r>
        <w:t>.</w:t>
      </w:r>
      <w:r w:rsidR="002F539B">
        <w:fldChar w:fldCharType="begin"/>
      </w:r>
      <w:r w:rsidR="002F539B">
        <w:instrText xml:space="preserve"> SEQ Table \* ARABIC \s 1 </w:instrText>
      </w:r>
      <w:r w:rsidR="002F539B">
        <w:fldChar w:fldCharType="separate"/>
      </w:r>
      <w:r>
        <w:rPr>
          <w:noProof/>
        </w:rPr>
        <w:t>6</w:t>
      </w:r>
      <w:r w:rsidR="002F539B">
        <w:rPr>
          <w:noProof/>
        </w:rPr>
        <w:fldChar w:fldCharType="end"/>
      </w:r>
      <w:bookmarkEnd w:id="37"/>
      <w:r>
        <w:tab/>
        <w:t>AER draft decision - rate of change</w:t>
      </w:r>
    </w:p>
    <w:tbl>
      <w:tblPr>
        <w:tblStyle w:val="AERtable-text1"/>
        <w:tblW w:w="0" w:type="auto"/>
        <w:tblInd w:w="0" w:type="dxa"/>
        <w:tblLook w:val="04A0" w:firstRow="1" w:lastRow="0" w:firstColumn="1" w:lastColumn="0" w:noHBand="0" w:noVBand="1"/>
      </w:tblPr>
      <w:tblGrid>
        <w:gridCol w:w="1526"/>
        <w:gridCol w:w="1134"/>
        <w:gridCol w:w="1184"/>
        <w:gridCol w:w="1247"/>
        <w:gridCol w:w="1110"/>
        <w:gridCol w:w="1110"/>
        <w:gridCol w:w="1110"/>
      </w:tblGrid>
      <w:tr w:rsidR="00590263" w:rsidTr="00590263">
        <w:trPr>
          <w:cnfStyle w:val="100000000000" w:firstRow="1" w:lastRow="0" w:firstColumn="0" w:lastColumn="0" w:oddVBand="0" w:evenVBand="0" w:oddHBand="0" w:evenHBand="0" w:firstRowFirstColumn="0" w:firstRowLastColumn="0" w:lastRowFirstColumn="0" w:lastRowLastColumn="0"/>
        </w:trPr>
        <w:tc>
          <w:tcPr>
            <w:tcW w:w="1526" w:type="dxa"/>
          </w:tcPr>
          <w:p w:rsidR="00590263" w:rsidRDefault="00590263" w:rsidP="008F4E5A">
            <w:pPr>
              <w:pStyle w:val="AERtabletextright"/>
              <w:keepNext/>
            </w:pPr>
          </w:p>
        </w:tc>
        <w:tc>
          <w:tcPr>
            <w:tcW w:w="1134" w:type="dxa"/>
          </w:tcPr>
          <w:p w:rsidR="00590263" w:rsidRPr="00590263" w:rsidRDefault="00590263" w:rsidP="008F4E5A">
            <w:pPr>
              <w:pStyle w:val="AERtabletextright"/>
              <w:keepNext/>
            </w:pPr>
            <w:r>
              <w:t>2015–16</w:t>
            </w:r>
          </w:p>
        </w:tc>
        <w:tc>
          <w:tcPr>
            <w:tcW w:w="1184" w:type="dxa"/>
          </w:tcPr>
          <w:p w:rsidR="00590263" w:rsidRPr="00590263" w:rsidRDefault="00590263" w:rsidP="008F4E5A">
            <w:pPr>
              <w:pStyle w:val="AERtabletextright"/>
              <w:keepNext/>
            </w:pPr>
            <w:r>
              <w:t>2016–17</w:t>
            </w:r>
          </w:p>
        </w:tc>
        <w:tc>
          <w:tcPr>
            <w:tcW w:w="1247" w:type="dxa"/>
          </w:tcPr>
          <w:p w:rsidR="00590263" w:rsidRPr="00590263" w:rsidRDefault="00590263" w:rsidP="008F4E5A">
            <w:pPr>
              <w:pStyle w:val="AERtabletextright"/>
              <w:keepNext/>
            </w:pPr>
            <w:r>
              <w:t>2017–18</w:t>
            </w:r>
          </w:p>
        </w:tc>
        <w:tc>
          <w:tcPr>
            <w:tcW w:w="1110" w:type="dxa"/>
          </w:tcPr>
          <w:p w:rsidR="00590263" w:rsidRPr="00590263" w:rsidRDefault="00590263" w:rsidP="008F4E5A">
            <w:pPr>
              <w:pStyle w:val="AERtabletextright"/>
              <w:keepNext/>
            </w:pPr>
            <w:r>
              <w:t>2018–19</w:t>
            </w:r>
          </w:p>
        </w:tc>
        <w:tc>
          <w:tcPr>
            <w:tcW w:w="1110" w:type="dxa"/>
          </w:tcPr>
          <w:p w:rsidR="00590263" w:rsidRPr="00590263" w:rsidRDefault="00590263" w:rsidP="008F4E5A">
            <w:pPr>
              <w:pStyle w:val="AERtabletextright"/>
              <w:keepNext/>
            </w:pPr>
            <w:r>
              <w:t>2019–20</w:t>
            </w:r>
          </w:p>
        </w:tc>
        <w:tc>
          <w:tcPr>
            <w:tcW w:w="1110" w:type="dxa"/>
          </w:tcPr>
          <w:p w:rsidR="00590263" w:rsidRPr="00590263" w:rsidRDefault="00590263" w:rsidP="008F4E5A">
            <w:pPr>
              <w:pStyle w:val="AERtabletextright"/>
              <w:keepNext/>
            </w:pPr>
            <w:r>
              <w:t>2020–21</w:t>
            </w:r>
          </w:p>
        </w:tc>
      </w:tr>
      <w:tr w:rsidR="00590263" w:rsidTr="00590263">
        <w:tc>
          <w:tcPr>
            <w:tcW w:w="1526" w:type="dxa"/>
          </w:tcPr>
          <w:p w:rsidR="00590263" w:rsidRPr="00590263" w:rsidRDefault="00590263" w:rsidP="008F4E5A">
            <w:pPr>
              <w:pStyle w:val="AERtabletextright"/>
              <w:keepNext/>
            </w:pPr>
            <w:r>
              <w:t>L</w:t>
            </w:r>
            <w:r w:rsidRPr="00590263">
              <w:t>abour</w:t>
            </w:r>
          </w:p>
        </w:tc>
        <w:tc>
          <w:tcPr>
            <w:tcW w:w="1134" w:type="dxa"/>
          </w:tcPr>
          <w:p w:rsidR="00590263" w:rsidRPr="008F249A" w:rsidRDefault="00590263" w:rsidP="008F4E5A">
            <w:pPr>
              <w:pStyle w:val="AERtabletextright"/>
              <w:keepNext/>
            </w:pPr>
            <w:r w:rsidRPr="008F249A">
              <w:t>0.9</w:t>
            </w:r>
          </w:p>
        </w:tc>
        <w:tc>
          <w:tcPr>
            <w:tcW w:w="1184" w:type="dxa"/>
          </w:tcPr>
          <w:p w:rsidR="00590263" w:rsidRPr="008F249A" w:rsidRDefault="00590263" w:rsidP="008F4E5A">
            <w:pPr>
              <w:pStyle w:val="AERtabletextright"/>
              <w:keepNext/>
            </w:pPr>
            <w:r w:rsidRPr="008F249A">
              <w:t>0.0</w:t>
            </w:r>
          </w:p>
        </w:tc>
        <w:tc>
          <w:tcPr>
            <w:tcW w:w="1247" w:type="dxa"/>
          </w:tcPr>
          <w:p w:rsidR="00590263" w:rsidRPr="008F249A" w:rsidRDefault="00590263" w:rsidP="008F4E5A">
            <w:pPr>
              <w:pStyle w:val="AERtabletextright"/>
              <w:keepNext/>
            </w:pPr>
            <w:r w:rsidRPr="008F249A">
              <w:t>0.8</w:t>
            </w:r>
          </w:p>
        </w:tc>
        <w:tc>
          <w:tcPr>
            <w:tcW w:w="1110" w:type="dxa"/>
          </w:tcPr>
          <w:p w:rsidR="00590263" w:rsidRPr="00590263" w:rsidRDefault="00590263" w:rsidP="008F4E5A">
            <w:pPr>
              <w:pStyle w:val="AERtabletextright"/>
              <w:keepNext/>
            </w:pPr>
            <w:r w:rsidRPr="008F249A">
              <w:t>0.7</w:t>
            </w:r>
          </w:p>
        </w:tc>
        <w:tc>
          <w:tcPr>
            <w:tcW w:w="1110" w:type="dxa"/>
          </w:tcPr>
          <w:p w:rsidR="00590263" w:rsidRDefault="00590263" w:rsidP="008F4E5A">
            <w:pPr>
              <w:pStyle w:val="AERtabletextright"/>
              <w:keepNext/>
            </w:pPr>
            <w:r>
              <w:t>1.0</w:t>
            </w:r>
          </w:p>
        </w:tc>
        <w:tc>
          <w:tcPr>
            <w:tcW w:w="1110" w:type="dxa"/>
          </w:tcPr>
          <w:p w:rsidR="00590263" w:rsidRDefault="00590263" w:rsidP="008F4E5A">
            <w:pPr>
              <w:pStyle w:val="AERtabletextright"/>
              <w:keepNext/>
            </w:pPr>
            <w:r>
              <w:t>1.0</w:t>
            </w:r>
          </w:p>
        </w:tc>
      </w:tr>
      <w:tr w:rsidR="00590263" w:rsidTr="00590263">
        <w:trPr>
          <w:cnfStyle w:val="000000010000" w:firstRow="0" w:lastRow="0" w:firstColumn="0" w:lastColumn="0" w:oddVBand="0" w:evenVBand="0" w:oddHBand="0" w:evenHBand="1" w:firstRowFirstColumn="0" w:firstRowLastColumn="0" w:lastRowFirstColumn="0" w:lastRowLastColumn="0"/>
        </w:trPr>
        <w:tc>
          <w:tcPr>
            <w:tcW w:w="1526" w:type="dxa"/>
          </w:tcPr>
          <w:p w:rsidR="00590263" w:rsidRPr="00590263" w:rsidRDefault="00590263" w:rsidP="008F4E5A">
            <w:pPr>
              <w:pStyle w:val="AERtabletextright"/>
              <w:keepNext/>
            </w:pPr>
            <w:r>
              <w:t xml:space="preserve">Non- </w:t>
            </w:r>
            <w:r w:rsidRPr="00590263">
              <w:t>labour</w:t>
            </w:r>
          </w:p>
        </w:tc>
        <w:tc>
          <w:tcPr>
            <w:tcW w:w="1134" w:type="dxa"/>
          </w:tcPr>
          <w:p w:rsidR="00590263" w:rsidRPr="00590263" w:rsidRDefault="00590263" w:rsidP="008F4E5A">
            <w:pPr>
              <w:pStyle w:val="AERtabletextright"/>
              <w:keepNext/>
            </w:pPr>
            <w:r>
              <w:t>0.0</w:t>
            </w:r>
          </w:p>
        </w:tc>
        <w:tc>
          <w:tcPr>
            <w:tcW w:w="1184" w:type="dxa"/>
          </w:tcPr>
          <w:p w:rsidR="00590263" w:rsidRPr="008F249A" w:rsidRDefault="00590263" w:rsidP="008F4E5A">
            <w:pPr>
              <w:pStyle w:val="AERtabletextright"/>
              <w:keepNext/>
            </w:pPr>
            <w:r w:rsidRPr="008F249A">
              <w:t>0.0</w:t>
            </w:r>
          </w:p>
        </w:tc>
        <w:tc>
          <w:tcPr>
            <w:tcW w:w="1247"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r>
      <w:tr w:rsidR="00590263" w:rsidTr="00590263">
        <w:tc>
          <w:tcPr>
            <w:tcW w:w="1526" w:type="dxa"/>
          </w:tcPr>
          <w:p w:rsidR="00590263" w:rsidRPr="00590263" w:rsidRDefault="00590263" w:rsidP="008F4E5A">
            <w:pPr>
              <w:pStyle w:val="AERtabletextright"/>
              <w:keepNext/>
            </w:pPr>
            <w:r>
              <w:t>Output growth</w:t>
            </w:r>
          </w:p>
        </w:tc>
        <w:tc>
          <w:tcPr>
            <w:tcW w:w="1134" w:type="dxa"/>
          </w:tcPr>
          <w:p w:rsidR="00590263" w:rsidRPr="00590263" w:rsidRDefault="00590263" w:rsidP="008F4E5A">
            <w:pPr>
              <w:pStyle w:val="AERtabletextright"/>
              <w:keepNext/>
            </w:pPr>
            <w:r>
              <w:t>0.0</w:t>
            </w:r>
          </w:p>
        </w:tc>
        <w:tc>
          <w:tcPr>
            <w:tcW w:w="1184" w:type="dxa"/>
          </w:tcPr>
          <w:p w:rsidR="00590263" w:rsidRPr="008F249A" w:rsidRDefault="00590263" w:rsidP="008F4E5A">
            <w:pPr>
              <w:pStyle w:val="AERtabletextright"/>
              <w:keepNext/>
            </w:pPr>
            <w:r w:rsidRPr="008F249A">
              <w:t>0.0</w:t>
            </w:r>
          </w:p>
        </w:tc>
        <w:tc>
          <w:tcPr>
            <w:tcW w:w="1247"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r>
      <w:tr w:rsidR="00590263" w:rsidTr="00590263">
        <w:trPr>
          <w:cnfStyle w:val="000000010000" w:firstRow="0" w:lastRow="0" w:firstColumn="0" w:lastColumn="0" w:oddVBand="0" w:evenVBand="0" w:oddHBand="0" w:evenHBand="1" w:firstRowFirstColumn="0" w:firstRowLastColumn="0" w:lastRowFirstColumn="0" w:lastRowLastColumn="0"/>
        </w:trPr>
        <w:tc>
          <w:tcPr>
            <w:tcW w:w="1526" w:type="dxa"/>
          </w:tcPr>
          <w:p w:rsidR="00590263" w:rsidRPr="00590263" w:rsidRDefault="00590263" w:rsidP="008F4E5A">
            <w:pPr>
              <w:pStyle w:val="AERtabletextright"/>
              <w:keepNext/>
            </w:pPr>
            <w:r>
              <w:t>Productivity</w:t>
            </w:r>
          </w:p>
        </w:tc>
        <w:tc>
          <w:tcPr>
            <w:tcW w:w="1134" w:type="dxa"/>
          </w:tcPr>
          <w:p w:rsidR="00590263" w:rsidRPr="00590263" w:rsidRDefault="00590263" w:rsidP="008F4E5A">
            <w:pPr>
              <w:pStyle w:val="AERtabletextright"/>
              <w:keepNext/>
            </w:pPr>
            <w:r>
              <w:t>0.0</w:t>
            </w:r>
          </w:p>
        </w:tc>
        <w:tc>
          <w:tcPr>
            <w:tcW w:w="1184" w:type="dxa"/>
          </w:tcPr>
          <w:p w:rsidR="00590263" w:rsidRPr="008F249A" w:rsidRDefault="00590263" w:rsidP="008F4E5A">
            <w:pPr>
              <w:pStyle w:val="AERtabletextright"/>
              <w:keepNext/>
            </w:pPr>
            <w:r w:rsidRPr="008F249A">
              <w:t>0.0</w:t>
            </w:r>
          </w:p>
        </w:tc>
        <w:tc>
          <w:tcPr>
            <w:tcW w:w="1247"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c>
          <w:tcPr>
            <w:tcW w:w="1110" w:type="dxa"/>
          </w:tcPr>
          <w:p w:rsidR="00590263" w:rsidRPr="00590263" w:rsidRDefault="00590263" w:rsidP="008F4E5A">
            <w:pPr>
              <w:pStyle w:val="AERtabletextright"/>
              <w:keepNext/>
            </w:pPr>
            <w:r>
              <w:t>0.0</w:t>
            </w:r>
          </w:p>
        </w:tc>
      </w:tr>
      <w:tr w:rsidR="00590263" w:rsidTr="00590263">
        <w:tc>
          <w:tcPr>
            <w:tcW w:w="1526" w:type="dxa"/>
          </w:tcPr>
          <w:p w:rsidR="00590263" w:rsidRPr="00590263" w:rsidRDefault="00590263" w:rsidP="008F4E5A">
            <w:pPr>
              <w:pStyle w:val="AERtabletextright"/>
              <w:keepNext/>
            </w:pPr>
            <w:r>
              <w:t>Total rate of change (%)</w:t>
            </w:r>
          </w:p>
        </w:tc>
        <w:tc>
          <w:tcPr>
            <w:tcW w:w="1134" w:type="dxa"/>
          </w:tcPr>
          <w:p w:rsidR="00590263" w:rsidRDefault="00590263" w:rsidP="008F4E5A">
            <w:pPr>
              <w:pStyle w:val="AERtabletextright"/>
              <w:keepNext/>
            </w:pPr>
            <w:r>
              <w:t>0.56</w:t>
            </w:r>
          </w:p>
        </w:tc>
        <w:tc>
          <w:tcPr>
            <w:tcW w:w="1184" w:type="dxa"/>
          </w:tcPr>
          <w:p w:rsidR="00590263" w:rsidRPr="008F249A" w:rsidRDefault="00590263" w:rsidP="008F4E5A">
            <w:pPr>
              <w:pStyle w:val="AERtabletextright"/>
              <w:keepNext/>
            </w:pPr>
            <w:r>
              <w:t>0.0</w:t>
            </w:r>
          </w:p>
        </w:tc>
        <w:tc>
          <w:tcPr>
            <w:tcW w:w="1247" w:type="dxa"/>
          </w:tcPr>
          <w:p w:rsidR="00590263" w:rsidRDefault="00590263" w:rsidP="008F4E5A">
            <w:pPr>
              <w:pStyle w:val="AERtabletextright"/>
              <w:keepNext/>
            </w:pPr>
            <w:r>
              <w:t>0.50</w:t>
            </w:r>
          </w:p>
        </w:tc>
        <w:tc>
          <w:tcPr>
            <w:tcW w:w="1110" w:type="dxa"/>
          </w:tcPr>
          <w:p w:rsidR="00590263" w:rsidRDefault="00590263" w:rsidP="008F4E5A">
            <w:pPr>
              <w:pStyle w:val="AERtabletextright"/>
              <w:keepNext/>
            </w:pPr>
            <w:r>
              <w:t>0.43</w:t>
            </w:r>
          </w:p>
        </w:tc>
        <w:tc>
          <w:tcPr>
            <w:tcW w:w="1110" w:type="dxa"/>
          </w:tcPr>
          <w:p w:rsidR="00590263" w:rsidRDefault="00590263" w:rsidP="008F4E5A">
            <w:pPr>
              <w:pStyle w:val="AERtabletextright"/>
              <w:keepNext/>
            </w:pPr>
            <w:r>
              <w:t>0.62</w:t>
            </w:r>
          </w:p>
        </w:tc>
        <w:tc>
          <w:tcPr>
            <w:tcW w:w="1110" w:type="dxa"/>
          </w:tcPr>
          <w:p w:rsidR="00590263" w:rsidRDefault="00590263" w:rsidP="008F4E5A">
            <w:pPr>
              <w:pStyle w:val="AERtabletextright"/>
              <w:keepNext/>
            </w:pPr>
            <w:r>
              <w:t>0.62</w:t>
            </w:r>
          </w:p>
        </w:tc>
      </w:tr>
    </w:tbl>
    <w:p w:rsidR="00590263" w:rsidRDefault="00590263" w:rsidP="00590263">
      <w:pPr>
        <w:pStyle w:val="AERtablesource"/>
      </w:pPr>
      <w:r w:rsidRPr="00BD700D">
        <w:t xml:space="preserve">Source: </w:t>
      </w:r>
      <w:r>
        <w:tab/>
        <w:t>AER analysis</w:t>
      </w:r>
      <w:r w:rsidRPr="00BD700D">
        <w:t>.</w:t>
      </w:r>
    </w:p>
    <w:p w:rsidR="00E914AB" w:rsidRDefault="00E914AB" w:rsidP="00BC7736">
      <w:pPr>
        <w:pStyle w:val="Heading3"/>
      </w:pPr>
      <w:bookmarkStart w:id="38" w:name="_Ref435090902"/>
      <w:bookmarkStart w:id="39" w:name="_Toc436042914"/>
      <w:r>
        <w:t>Category specific forecasts</w:t>
      </w:r>
      <w:bookmarkEnd w:id="38"/>
      <w:bookmarkEnd w:id="39"/>
    </w:p>
    <w:p w:rsidR="00E914AB" w:rsidRDefault="00E914AB" w:rsidP="00BC7736">
      <w:pPr>
        <w:pStyle w:val="HeadingBoldBlue"/>
      </w:pPr>
      <w:r>
        <w:t>Intelligent pigging</w:t>
      </w:r>
    </w:p>
    <w:p w:rsidR="00873434" w:rsidRDefault="00873434" w:rsidP="00873434">
      <w:r>
        <w:t xml:space="preserve">Intelligent pigging is treated as opex by APTNT but </w:t>
      </w:r>
      <w:r w:rsidR="00B3262C">
        <w:t>was removed from</w:t>
      </w:r>
      <w:r>
        <w:t xml:space="preserve"> the base year opex</w:t>
      </w:r>
      <w:r w:rsidR="00B3262C">
        <w:t xml:space="preserve"> used for forecasting</w:t>
      </w:r>
      <w:r>
        <w:t>. APTNT separately forecast its pigging costs</w:t>
      </w:r>
      <w:r w:rsidR="002B7BED">
        <w:t>,</w:t>
      </w:r>
      <w:r w:rsidR="002070D6">
        <w:t xml:space="preserve"> noting expenditure on this activity is lumpy and not suited to the base year forecasting approach</w:t>
      </w:r>
      <w:r>
        <w:t>.</w:t>
      </w:r>
      <w:r w:rsidR="002070D6">
        <w:rPr>
          <w:rStyle w:val="FootnoteReference"/>
        </w:rPr>
        <w:footnoteReference w:id="22"/>
      </w:r>
      <w:r>
        <w:t xml:space="preserve">  </w:t>
      </w:r>
    </w:p>
    <w:p w:rsidR="00873434" w:rsidRDefault="00873434" w:rsidP="00873434">
      <w:r>
        <w:t xml:space="preserve">Pigging is scheduled to be undertaken 7 or 10 year cycles for different </w:t>
      </w:r>
      <w:r w:rsidR="008F7011">
        <w:t>sections</w:t>
      </w:r>
      <w:r>
        <w:t xml:space="preserve"> of the Amadeus </w:t>
      </w:r>
      <w:r w:rsidR="002B7BED">
        <w:t>Gas P</w:t>
      </w:r>
      <w:r>
        <w:t>ipeline</w:t>
      </w:r>
      <w:r w:rsidR="00EC1DA6">
        <w:t>. A</w:t>
      </w:r>
      <w:r>
        <w:t xml:space="preserve">ctual pigging costs in any specific year are not a good predictor of future pigging costs. </w:t>
      </w:r>
      <w:r w:rsidR="00E87F64">
        <w:t>Pigging costs in the base year are around three per cent of total opex, and range from zero to 15 per</w:t>
      </w:r>
      <w:r w:rsidR="00D45A60">
        <w:t xml:space="preserve"> </w:t>
      </w:r>
      <w:r w:rsidR="00E87F64">
        <w:t xml:space="preserve">cent of opex in the </w:t>
      </w:r>
      <w:r w:rsidR="003D1E73">
        <w:t>2016–21</w:t>
      </w:r>
      <w:r w:rsidR="00E87F64">
        <w:t xml:space="preserve"> period. In such circumstances w</w:t>
      </w:r>
      <w:r>
        <w:t xml:space="preserve">e consider a specific cost forecast is appropriate for pigging costs as the alternative of retaining pigging costs in base year forecast is not likely to result in an efficient forecast of </w:t>
      </w:r>
      <w:r w:rsidR="00310EC5">
        <w:t xml:space="preserve">total </w:t>
      </w:r>
      <w:r>
        <w:t xml:space="preserve">opex. </w:t>
      </w:r>
    </w:p>
    <w:p w:rsidR="00AD76C0" w:rsidRDefault="00873434" w:rsidP="00873434">
      <w:r>
        <w:t xml:space="preserve">APTNT has provided information on its pigging program in its Pipeline Integrity Management Program. The forecast pigging costs </w:t>
      </w:r>
      <w:r w:rsidR="00AD76C0">
        <w:t>align with the cycle of</w:t>
      </w:r>
      <w:r>
        <w:t xml:space="preserve"> the proposed work program, which in turn aligns with the documented pigging cycles.</w:t>
      </w:r>
      <w:r w:rsidR="00AD76C0">
        <w:rPr>
          <w:rStyle w:val="FootnoteReference"/>
        </w:rPr>
        <w:footnoteReference w:id="23"/>
      </w:r>
      <w:r>
        <w:t xml:space="preserve"> </w:t>
      </w:r>
    </w:p>
    <w:p w:rsidR="00E914AB" w:rsidRDefault="00AD76C0" w:rsidP="00873434">
      <w:r>
        <w:t>APTNT has also described the process it used to determine forecast pigging costs.</w:t>
      </w:r>
      <w:r w:rsidR="001A793F">
        <w:rPr>
          <w:rStyle w:val="FootnoteReference"/>
        </w:rPr>
        <w:footnoteReference w:id="24"/>
      </w:r>
      <w:r>
        <w:t xml:space="preserve"> </w:t>
      </w:r>
      <w:r w:rsidR="00873434">
        <w:t xml:space="preserve">The </w:t>
      </w:r>
      <w:r>
        <w:t>forecasts</w:t>
      </w:r>
      <w:r w:rsidR="00873434">
        <w:t xml:space="preserve"> are based on existing contract costs, where the existing contract</w:t>
      </w:r>
      <w:r>
        <w:t xml:space="preserve">s have arisen from </w:t>
      </w:r>
      <w:r w:rsidR="00873434">
        <w:t xml:space="preserve">competitive </w:t>
      </w:r>
      <w:r>
        <w:t>supply arrangements</w:t>
      </w:r>
      <w:r w:rsidR="00873434">
        <w:t>.</w:t>
      </w:r>
      <w:r>
        <w:t xml:space="preserve"> </w:t>
      </w:r>
      <w:r w:rsidR="008F7011">
        <w:t xml:space="preserve">Forecasts for each section of the pipeline </w:t>
      </w:r>
      <w:r>
        <w:t>are prepared separately allowing for variations in the pipeline</w:t>
      </w:r>
      <w:r w:rsidR="008F7011">
        <w:t xml:space="preserve"> specifications</w:t>
      </w:r>
      <w:r>
        <w:t>, pig tool configuration</w:t>
      </w:r>
      <w:r w:rsidR="001A793F">
        <w:t xml:space="preserve"> and operational conditions</w:t>
      </w:r>
      <w:r w:rsidR="00277C44">
        <w:t>.</w:t>
      </w:r>
    </w:p>
    <w:p w:rsidR="00AD76C0" w:rsidRPr="00E914AB" w:rsidRDefault="00AD76C0" w:rsidP="00873434">
      <w:r>
        <w:t xml:space="preserve">We </w:t>
      </w:r>
      <w:r w:rsidR="00277C44">
        <w:t xml:space="preserve">consider forecasting pigging costs using the outcomes of recent competitive supply contracts is likely to result in efficient forecasts. We also note the cost forecasts reflect the planned pigging activities documented in the </w:t>
      </w:r>
      <w:r w:rsidR="00B3262C">
        <w:t>Pipeline Integrity Asset Management Plan</w:t>
      </w:r>
      <w:r w:rsidR="00277C44">
        <w:t>. We have incorporated forecast pigging expenditure into our total opex forecast.</w:t>
      </w:r>
    </w:p>
    <w:p w:rsidR="00E914AB" w:rsidRDefault="00E914AB" w:rsidP="00BC7736">
      <w:pPr>
        <w:pStyle w:val="HeadingBoldBlue"/>
      </w:pPr>
      <w:r>
        <w:t>Debt raising costs</w:t>
      </w:r>
    </w:p>
    <w:p w:rsidR="00E914AB" w:rsidRPr="00E914AB" w:rsidRDefault="00E23013" w:rsidP="00E914AB">
      <w:r>
        <w:t>Our</w:t>
      </w:r>
      <w:r w:rsidR="00E44106">
        <w:t xml:space="preserve"> assessment of debt raising costs is set out at </w:t>
      </w:r>
      <w:r w:rsidR="00E44106" w:rsidRPr="00983410">
        <w:t>Attachment 3 of</w:t>
      </w:r>
      <w:r w:rsidR="00E44106">
        <w:t xml:space="preserve"> this draft decision</w:t>
      </w:r>
      <w:r w:rsidR="00B3262C">
        <w:t>.</w:t>
      </w:r>
      <w:r w:rsidR="00E44106">
        <w:t xml:space="preserve"> </w:t>
      </w:r>
    </w:p>
    <w:p w:rsidR="00E4605D" w:rsidRDefault="00E4605D" w:rsidP="00E914AB"/>
    <w:sectPr w:rsidR="00E4605D"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E7" w:rsidRPr="00290C63" w:rsidRDefault="00DD62E7" w:rsidP="00290C63">
      <w:r>
        <w:separator/>
      </w:r>
    </w:p>
    <w:p w:rsidR="00DD62E7" w:rsidRDefault="00DD62E7"/>
  </w:endnote>
  <w:endnote w:type="continuationSeparator" w:id="0">
    <w:p w:rsidR="00DD62E7" w:rsidRPr="00290C63" w:rsidRDefault="00DD62E7" w:rsidP="00290C63">
      <w:r>
        <w:continuationSeparator/>
      </w:r>
    </w:p>
    <w:p w:rsidR="00DD62E7" w:rsidRDefault="00DD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2E7" w:rsidRDefault="00DD62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D62E7" w:rsidRDefault="00DD62E7">
    <w:pPr>
      <w:pStyle w:val="Footer"/>
    </w:pPr>
  </w:p>
  <w:p w:rsidR="00DD62E7" w:rsidRDefault="00DD62E7">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D62E7" w:rsidRPr="00CA52A2" w:rsidRDefault="00DD62E7" w:rsidP="00CA52A2">
        <w:pPr>
          <w:pStyle w:val="Footer"/>
        </w:pPr>
        <w:r w:rsidRPr="00CA52A2">
          <w:fldChar w:fldCharType="begin"/>
        </w:r>
        <w:r>
          <w:instrText xml:space="preserve"> PAGE   \* MERGEFORMAT </w:instrText>
        </w:r>
        <w:r w:rsidRPr="00CA52A2">
          <w:fldChar w:fldCharType="separate"/>
        </w:r>
        <w:r w:rsidR="008F65A7">
          <w:rPr>
            <w:noProof/>
          </w:rPr>
          <w:t>7-3</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Draft decision: Amadeus Gas Pipeline Access Arrangement 2016</w:t>
        </w:r>
        <w:r w:rsidRPr="00CA52A2">
          <w:t>–</w:t>
        </w:r>
        <w:r>
          <w:t>21</w:t>
        </w:r>
      </w:p>
    </w:sdtContent>
  </w:sdt>
  <w:p w:rsidR="00DD62E7" w:rsidRDefault="00DD62E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E7" w:rsidRPr="00290C63" w:rsidRDefault="00DD62E7" w:rsidP="00290C63">
      <w:r>
        <w:separator/>
      </w:r>
    </w:p>
    <w:p w:rsidR="00DD62E7" w:rsidRDefault="00DD62E7"/>
  </w:footnote>
  <w:footnote w:type="continuationSeparator" w:id="0">
    <w:p w:rsidR="00DD62E7" w:rsidRPr="00290C63" w:rsidRDefault="00DD62E7" w:rsidP="00290C63">
      <w:r>
        <w:continuationSeparator/>
      </w:r>
    </w:p>
    <w:p w:rsidR="00DD62E7" w:rsidRDefault="00DD62E7"/>
  </w:footnote>
  <w:footnote w:id="1">
    <w:p w:rsidR="00DD62E7" w:rsidRDefault="00DD62E7" w:rsidP="00F24028">
      <w:pPr>
        <w:pStyle w:val="FootnoteText"/>
      </w:pPr>
      <w:r>
        <w:rPr>
          <w:rStyle w:val="FootnoteReference"/>
        </w:rPr>
        <w:footnoteRef/>
      </w:r>
      <w:r>
        <w:t xml:space="preserve"> </w:t>
      </w:r>
      <w:r>
        <w:tab/>
        <w:t>NGR, rr. 74, 91(1).</w:t>
      </w:r>
    </w:p>
  </w:footnote>
  <w:footnote w:id="2">
    <w:p w:rsidR="00DD62E7" w:rsidRDefault="00DD62E7">
      <w:pPr>
        <w:pStyle w:val="FootnoteText"/>
      </w:pPr>
      <w:r>
        <w:rPr>
          <w:rStyle w:val="FootnoteReference"/>
        </w:rPr>
        <w:footnoteRef/>
      </w:r>
      <w:r>
        <w:t xml:space="preserve"> </w:t>
      </w:r>
      <w:r>
        <w:tab/>
        <w:t>Unless otherwise indicated, all dollar amounts are specified in $million, 2015-16 throughout this attachment.</w:t>
      </w:r>
    </w:p>
  </w:footnote>
  <w:footnote w:id="3">
    <w:p w:rsidR="00DD62E7" w:rsidRDefault="00DD62E7" w:rsidP="00271955">
      <w:pPr>
        <w:pStyle w:val="FootnoteText"/>
      </w:pPr>
      <w:r>
        <w:rPr>
          <w:rStyle w:val="FootnoteReference"/>
        </w:rPr>
        <w:footnoteRef/>
      </w:r>
      <w:r>
        <w:t xml:space="preserve"> </w:t>
      </w:r>
      <w:r>
        <w:tab/>
        <w:t>Pigging refers to the practice of inserting devices into pipelines to clean (and maintain) the pipelines. Intelligent pigging uses devices that can also monitor pipeline condition, such as the thickness of the pipe walls.</w:t>
      </w:r>
    </w:p>
  </w:footnote>
  <w:footnote w:id="4">
    <w:p w:rsidR="00DD62E7" w:rsidRDefault="00DD62E7">
      <w:pPr>
        <w:pStyle w:val="FootnoteText"/>
      </w:pPr>
      <w:r>
        <w:rPr>
          <w:rStyle w:val="FootnoteReference"/>
        </w:rPr>
        <w:footnoteRef/>
      </w:r>
      <w:r>
        <w:t xml:space="preserve"> </w:t>
      </w:r>
      <w:r>
        <w:tab/>
        <w:t>NGR, r. 91(1).</w:t>
      </w:r>
    </w:p>
  </w:footnote>
  <w:footnote w:id="5">
    <w:p w:rsidR="00DD62E7" w:rsidRDefault="00DD62E7">
      <w:pPr>
        <w:pStyle w:val="FootnoteText"/>
      </w:pPr>
      <w:r>
        <w:rPr>
          <w:rStyle w:val="FootnoteReference"/>
        </w:rPr>
        <w:footnoteRef/>
      </w:r>
      <w:r>
        <w:t xml:space="preserve"> </w:t>
      </w:r>
      <w:r>
        <w:tab/>
        <w:t>NGR, r. 74.</w:t>
      </w:r>
    </w:p>
  </w:footnote>
  <w:footnote w:id="6">
    <w:p w:rsidR="00DD62E7" w:rsidRDefault="00DD62E7" w:rsidP="00F24028">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160.</w:t>
      </w:r>
    </w:p>
  </w:footnote>
  <w:footnote w:id="7">
    <w:p w:rsidR="00DD62E7" w:rsidRDefault="00DD62E7" w:rsidP="00F5768D">
      <w:pPr>
        <w:pStyle w:val="FootnoteText"/>
      </w:pPr>
      <w:r>
        <w:rPr>
          <w:rStyle w:val="FootnoteReference"/>
        </w:rPr>
        <w:footnoteRef/>
      </w:r>
      <w:r>
        <w:t xml:space="preserve"> </w:t>
      </w:r>
      <w:r>
        <w:tab/>
      </w:r>
      <w:r w:rsidRPr="00936021">
        <w:t xml:space="preserve">Generally it is best to use the same forecasting approach for all cost categories of opex </w:t>
      </w:r>
      <w:r>
        <w:t>as</w:t>
      </w:r>
      <w:r w:rsidRPr="00936021">
        <w:t xml:space="preserve"> hybrid forecasting approaches </w:t>
      </w:r>
      <w:r>
        <w:t>may</w:t>
      </w:r>
      <w:r w:rsidRPr="00936021">
        <w:t xml:space="preserve"> produce biased opex forecasts inconsistent with the opex criteria. Using one approach for some cost categories can invalidate the use of another approach for the other categories. For example, the forecast of total opex will systematically exceed the efficient level of opex if a bottom up forecasting approach is used to forecast opex categories with low expenditure in the base year, or with a greater rate of change than total opex.</w:t>
      </w:r>
    </w:p>
  </w:footnote>
  <w:footnote w:id="8">
    <w:p w:rsidR="00DD62E7" w:rsidRDefault="00DD62E7" w:rsidP="00E914AB">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161.</w:t>
      </w:r>
    </w:p>
  </w:footnote>
  <w:footnote w:id="9">
    <w:p w:rsidR="00DD62E7" w:rsidRDefault="00DD62E7">
      <w:pPr>
        <w:pStyle w:val="FootnoteText"/>
      </w:pPr>
      <w:r>
        <w:rPr>
          <w:rStyle w:val="FootnoteReference"/>
        </w:rPr>
        <w:footnoteRef/>
      </w:r>
      <w:r>
        <w:t xml:space="preserve"> </w:t>
      </w:r>
      <w:r>
        <w:tab/>
        <w:t xml:space="preserve">We note APTNT has claimed the regulatory regime and its commercial arrangements provide it with a strong incentive to reduce opex, even in the absence of a specific opex incentive mechanism. 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161.</w:t>
      </w:r>
    </w:p>
  </w:footnote>
  <w:footnote w:id="10">
    <w:p w:rsidR="00DD62E7" w:rsidRDefault="00DD62E7">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158.</w:t>
      </w:r>
    </w:p>
  </w:footnote>
  <w:footnote w:id="11">
    <w:p w:rsidR="00DD62E7" w:rsidRDefault="00DD62E7">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xml:space="preserve">, 1 July 2016 to 30 June </w:t>
      </w:r>
      <w:r w:rsidRPr="00287EFD">
        <w:rPr>
          <w:i/>
        </w:rPr>
        <w:t>2021</w:t>
      </w:r>
      <w:r w:rsidRPr="00287EFD">
        <w:t>, August 2015, pp. 21–22.</w:t>
      </w:r>
    </w:p>
  </w:footnote>
  <w:footnote w:id="12">
    <w:p w:rsidR="00DD62E7" w:rsidRDefault="00DD62E7">
      <w:pPr>
        <w:pStyle w:val="FootnoteText"/>
      </w:pPr>
      <w:r w:rsidRPr="000A0609">
        <w:rPr>
          <w:rStyle w:val="FootnoteReference"/>
        </w:rPr>
        <w:footnoteRef/>
      </w:r>
      <w:r w:rsidRPr="000A0609">
        <w:t xml:space="preserve"> </w:t>
      </w:r>
      <w:r w:rsidRPr="000A0609">
        <w:tab/>
        <w:t>NGR, r</w:t>
      </w:r>
      <w:r>
        <w:t>.</w:t>
      </w:r>
      <w:r w:rsidRPr="000A0609">
        <w:t xml:space="preserve"> 51.</w:t>
      </w:r>
    </w:p>
  </w:footnote>
  <w:footnote w:id="13">
    <w:p w:rsidR="00DD62E7" w:rsidRDefault="00DD62E7">
      <w:pPr>
        <w:pStyle w:val="FootnoteText"/>
      </w:pPr>
      <w:r>
        <w:rPr>
          <w:rStyle w:val="FootnoteReference"/>
        </w:rPr>
        <w:footnoteRef/>
      </w:r>
      <w:r>
        <w:t xml:space="preserve"> </w:t>
      </w:r>
      <w:r>
        <w:tab/>
        <w:t xml:space="preserve">Additional changes in efficient opex are due to changes in obligations facing the regulated business that require an increase or decrease in expenditure. These changes are classified as step changes. APTNT has not forecast any step changes.  </w:t>
      </w:r>
    </w:p>
  </w:footnote>
  <w:footnote w:id="14">
    <w:p w:rsidR="00DD62E7" w:rsidRDefault="00DD62E7">
      <w:pPr>
        <w:pStyle w:val="FootnoteText"/>
      </w:pPr>
      <w:r>
        <w:rPr>
          <w:rStyle w:val="FootnoteReference"/>
        </w:rPr>
        <w:footnoteRef/>
      </w:r>
      <w:r>
        <w:t xml:space="preserve"> </w:t>
      </w:r>
      <w:r>
        <w:tab/>
        <w:t xml:space="preserve">AER, </w:t>
      </w:r>
      <w:r w:rsidRPr="0064544A">
        <w:rPr>
          <w:i/>
        </w:rPr>
        <w:t>Better regulation</w:t>
      </w:r>
      <w:r>
        <w:rPr>
          <w:i/>
        </w:rPr>
        <w:t xml:space="preserve"> –</w:t>
      </w:r>
      <w:r w:rsidRPr="0064544A">
        <w:rPr>
          <w:i/>
        </w:rPr>
        <w:t xml:space="preserve"> </w:t>
      </w:r>
      <w:r>
        <w:rPr>
          <w:i/>
        </w:rPr>
        <w:t>E</w:t>
      </w:r>
      <w:r w:rsidRPr="0064544A">
        <w:rPr>
          <w:i/>
        </w:rPr>
        <w:t>xplanatory Statement, Expenditure forecast assessment guideline</w:t>
      </w:r>
      <w:r>
        <w:t>, November 2013, pp. 98–99.</w:t>
      </w:r>
    </w:p>
  </w:footnote>
  <w:footnote w:id="15">
    <w:p w:rsidR="00DD62E7" w:rsidRDefault="00DD62E7" w:rsidP="002D2408">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xml:space="preserve">, August 2015, p. 163. </w:t>
      </w:r>
    </w:p>
  </w:footnote>
  <w:footnote w:id="16">
    <w:p w:rsidR="00DD62E7" w:rsidRDefault="00DD62E7" w:rsidP="003E1B50">
      <w:pPr>
        <w:pStyle w:val="FootnoteText"/>
      </w:pPr>
      <w:r>
        <w:rPr>
          <w:rStyle w:val="FootnoteReference"/>
        </w:rPr>
        <w:footnoteRef/>
      </w:r>
      <w:r>
        <w:t xml:space="preserve"> </w:t>
      </w:r>
      <w:r>
        <w:tab/>
      </w:r>
      <w:r w:rsidRPr="00EE3B24">
        <w:t xml:space="preserve">DAE, </w:t>
      </w:r>
      <w:r w:rsidRPr="00EE3B24">
        <w:rPr>
          <w:i/>
        </w:rPr>
        <w:t>Forecast growth in labour costs in NEM regions of Australia</w:t>
      </w:r>
      <w:r w:rsidRPr="00EE3B24">
        <w:t>, Report prepared for the AER, 15 June 2015</w:t>
      </w:r>
      <w:r>
        <w:t>.</w:t>
      </w:r>
    </w:p>
  </w:footnote>
  <w:footnote w:id="17">
    <w:p w:rsidR="00DD62E7" w:rsidRDefault="00DD62E7">
      <w:pPr>
        <w:pStyle w:val="FootnoteText"/>
      </w:pPr>
      <w:r>
        <w:rPr>
          <w:rStyle w:val="FootnoteReference"/>
        </w:rPr>
        <w:footnoteRef/>
      </w:r>
      <w:r>
        <w:t xml:space="preserve"> </w:t>
      </w:r>
      <w:r>
        <w:tab/>
      </w:r>
      <w:r w:rsidRPr="00EE3B24">
        <w:t xml:space="preserve">DAE, </w:t>
      </w:r>
      <w:r w:rsidRPr="00EE3B24">
        <w:rPr>
          <w:i/>
        </w:rPr>
        <w:t>Forecast growth in labour costs in NEM regions of Australia</w:t>
      </w:r>
      <w:r w:rsidRPr="00EE3B24">
        <w:t>, Report prepared for the AER, 15 June 2015,</w:t>
      </w:r>
      <w:r>
        <w:t xml:space="preserve"> pp. 77–85.</w:t>
      </w:r>
    </w:p>
  </w:footnote>
  <w:footnote w:id="18">
    <w:p w:rsidR="00DD62E7" w:rsidRDefault="00DD62E7">
      <w:pPr>
        <w:pStyle w:val="FootnoteText"/>
      </w:pPr>
      <w:r>
        <w:rPr>
          <w:rStyle w:val="FootnoteReference"/>
        </w:rPr>
        <w:footnoteRef/>
      </w:r>
      <w:r>
        <w:t xml:space="preserve"> </w:t>
      </w:r>
      <w:r>
        <w:tab/>
        <w:t xml:space="preserve">APTNT categories of external labour and other have been aggregated to the category non-labour. 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Opex Model.</w:t>
      </w:r>
    </w:p>
  </w:footnote>
  <w:footnote w:id="19">
    <w:p w:rsidR="00DD62E7" w:rsidRDefault="00DD62E7" w:rsidP="000D01B6">
      <w:pPr>
        <w:pStyle w:val="FootnoteText"/>
      </w:pPr>
      <w:r>
        <w:rPr>
          <w:rStyle w:val="FootnoteReference"/>
        </w:rPr>
        <w:footnoteRef/>
      </w:r>
      <w:r>
        <w:t xml:space="preserve"> </w:t>
      </w:r>
      <w:r>
        <w:tab/>
        <w:t xml:space="preserve">AER, </w:t>
      </w:r>
      <w:r w:rsidR="00E71054" w:rsidRPr="00191384">
        <w:rPr>
          <w:rStyle w:val="Emphasis"/>
        </w:rPr>
        <w:t>Final decision, Jemena Gas Networks (NSW) Ltd, Access arrangement 2015-20, Attachment 7: Operating expenditure</w:t>
      </w:r>
      <w:r>
        <w:t>, pp. 7-17 –7-18.</w:t>
      </w:r>
    </w:p>
  </w:footnote>
  <w:footnote w:id="20">
    <w:p w:rsidR="00DD62E7" w:rsidRDefault="00DD62E7" w:rsidP="003C5E9A">
      <w:pPr>
        <w:pStyle w:val="FootnoteText"/>
      </w:pPr>
      <w:r>
        <w:rPr>
          <w:rStyle w:val="FootnoteReference"/>
        </w:rPr>
        <w:footnoteRef/>
      </w:r>
      <w:r>
        <w:t xml:space="preserve"> </w:t>
      </w:r>
      <w:r>
        <w:tab/>
        <w:t xml:space="preserve">See AER, </w:t>
      </w:r>
      <w:r w:rsidRPr="00191384">
        <w:rPr>
          <w:rStyle w:val="Emphasis"/>
        </w:rPr>
        <w:t>Final decision, Jemena Gas Networks (NSW) Ltd, Access arrangement 2015-20, Attachment 7: Operating expenditure,</w:t>
      </w:r>
      <w:r>
        <w:t xml:space="preserve"> pp. 7-14–15; and AER, </w:t>
      </w:r>
      <w:r w:rsidRPr="00191384">
        <w:rPr>
          <w:rStyle w:val="Emphasis"/>
        </w:rPr>
        <w:t>Final decision, TransGrid transmission determination 2015–16 to 2017–18, Attachment 7: Operating expenditure,</w:t>
      </w:r>
      <w:r>
        <w:t xml:space="preserve"> p. 7-27.</w:t>
      </w:r>
    </w:p>
  </w:footnote>
  <w:footnote w:id="21">
    <w:p w:rsidR="00DD62E7" w:rsidRDefault="00DD62E7">
      <w:pPr>
        <w:pStyle w:val="FootnoteText"/>
      </w:pPr>
      <w:r>
        <w:rPr>
          <w:rStyle w:val="FootnoteReference"/>
        </w:rPr>
        <w:footnoteRef/>
      </w:r>
      <w:r>
        <w:t xml:space="preserve"> </w:t>
      </w:r>
      <w:r>
        <w:tab/>
        <w:t xml:space="preserve">AER, </w:t>
      </w:r>
      <w:r w:rsidRPr="0064544A">
        <w:rPr>
          <w:i/>
        </w:rPr>
        <w:t>Better regulation</w:t>
      </w:r>
      <w:r>
        <w:rPr>
          <w:i/>
        </w:rPr>
        <w:t xml:space="preserve"> –</w:t>
      </w:r>
      <w:r w:rsidRPr="0064544A">
        <w:rPr>
          <w:i/>
        </w:rPr>
        <w:t xml:space="preserve"> </w:t>
      </w:r>
      <w:r>
        <w:rPr>
          <w:i/>
        </w:rPr>
        <w:t>E</w:t>
      </w:r>
      <w:r w:rsidRPr="0064544A">
        <w:rPr>
          <w:i/>
        </w:rPr>
        <w:t>xplanatory Statement, Expenditure forecast assessment guideline</w:t>
      </w:r>
      <w:r>
        <w:t>, November 2013, p. 105.</w:t>
      </w:r>
    </w:p>
  </w:footnote>
  <w:footnote w:id="22">
    <w:p w:rsidR="00DD62E7" w:rsidRDefault="00DD62E7">
      <w:pPr>
        <w:pStyle w:val="FootnoteText"/>
      </w:pPr>
      <w:r>
        <w:rPr>
          <w:rStyle w:val="FootnoteReference"/>
        </w:rPr>
        <w:footnoteRef/>
      </w:r>
      <w:r>
        <w:t xml:space="preserve"> </w:t>
      </w:r>
      <w:r>
        <w:tab/>
        <w:t xml:space="preserve">APA Group, </w:t>
      </w:r>
      <w:r w:rsidRPr="002618E5">
        <w:rPr>
          <w:i/>
        </w:rPr>
        <w:t>Amadeus Gas Pipeline,</w:t>
      </w:r>
      <w:r>
        <w:t xml:space="preserve"> </w:t>
      </w:r>
      <w:r w:rsidRPr="00B16798">
        <w:rPr>
          <w:i/>
        </w:rPr>
        <w:t xml:space="preserve">Access Arrangement </w:t>
      </w:r>
      <w:r>
        <w:rPr>
          <w:i/>
        </w:rPr>
        <w:t>Revision Proposal, Submission</w:t>
      </w:r>
      <w:r w:rsidRPr="00B16798">
        <w:rPr>
          <w:i/>
        </w:rPr>
        <w:t>, 1 July 2016 to 30 June 2021</w:t>
      </w:r>
      <w:r>
        <w:t>, August 2015, p. 161.</w:t>
      </w:r>
    </w:p>
  </w:footnote>
  <w:footnote w:id="23">
    <w:p w:rsidR="00DD62E7" w:rsidRDefault="00DD62E7" w:rsidP="00AD76C0">
      <w:pPr>
        <w:pStyle w:val="FootnoteText"/>
      </w:pPr>
      <w:r>
        <w:rPr>
          <w:rStyle w:val="FootnoteReference"/>
        </w:rPr>
        <w:footnoteRef/>
      </w:r>
      <w:r>
        <w:t xml:space="preserve"> </w:t>
      </w:r>
      <w:r>
        <w:tab/>
        <w:t xml:space="preserve">APA Group, </w:t>
      </w:r>
      <w:r w:rsidRPr="00277C44">
        <w:rPr>
          <w:i/>
        </w:rPr>
        <w:t>Pipeline Management System, Pipeline Integrity Management Plan, Northern Territory APA Group Assets</w:t>
      </w:r>
      <w:r>
        <w:t>, pp. 10–18.</w:t>
      </w:r>
    </w:p>
  </w:footnote>
  <w:footnote w:id="24">
    <w:p w:rsidR="00DD62E7" w:rsidRDefault="00DD62E7">
      <w:pPr>
        <w:pStyle w:val="FootnoteText"/>
      </w:pPr>
      <w:r>
        <w:rPr>
          <w:rStyle w:val="FootnoteReference"/>
        </w:rPr>
        <w:footnoteRef/>
      </w:r>
      <w:r>
        <w:t xml:space="preserve"> </w:t>
      </w:r>
      <w:r>
        <w:tab/>
        <w:t xml:space="preserve">APTNT, </w:t>
      </w:r>
      <w:r w:rsidRPr="00191384">
        <w:rPr>
          <w:rStyle w:val="Emphasis"/>
        </w:rPr>
        <w:t>Response to information request No. 1</w:t>
      </w:r>
      <w:r>
        <w:t>, 20 August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2E7" w:rsidRDefault="008F65A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D62E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2E7" w:rsidRDefault="008F65A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9B7119F"/>
    <w:multiLevelType w:val="hybridMultilevel"/>
    <w:tmpl w:val="8C94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CE4384"/>
    <w:multiLevelType w:val="multilevel"/>
    <w:tmpl w:val="CD8E6F2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6456"/>
    <w:multiLevelType w:val="hybridMultilevel"/>
    <w:tmpl w:val="B442BF84"/>
    <w:lvl w:ilvl="0" w:tplc="A9F00CF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8DA269B"/>
    <w:multiLevelType w:val="hybridMultilevel"/>
    <w:tmpl w:val="E6085596"/>
    <w:lvl w:ilvl="0" w:tplc="4D344A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8"/>
  </w:num>
  <w:num w:numId="21">
    <w:abstractNumId w:val="23"/>
  </w:num>
  <w:num w:numId="22">
    <w:abstractNumId w:val="21"/>
  </w:num>
  <w:num w:numId="23">
    <w:abstractNumId w:val="15"/>
  </w:num>
  <w:num w:numId="24">
    <w:abstractNumId w:val="22"/>
  </w:num>
  <w:num w:numId="25">
    <w:abstractNumId w:val="25"/>
  </w:num>
  <w:num w:numId="26">
    <w:abstractNumId w:val="17"/>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4"/>
  </w:num>
  <w:num w:numId="31">
    <w:abstractNumId w:val="25"/>
  </w:num>
  <w:num w:numId="32">
    <w:abstractNumId w:val="29"/>
  </w:num>
  <w:num w:numId="3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YYUmdldBoHjW/+Xhb/4nANdcmOsV37o3y6QAYGm5Do=" w:saltValue="MgszZv7HtFdmc+ytIKLAz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7FFA"/>
    <w:rsid w:val="00010286"/>
    <w:rsid w:val="00015A06"/>
    <w:rsid w:val="00021202"/>
    <w:rsid w:val="00021C2B"/>
    <w:rsid w:val="0002517F"/>
    <w:rsid w:val="00026495"/>
    <w:rsid w:val="0003578C"/>
    <w:rsid w:val="000359C0"/>
    <w:rsid w:val="000401AF"/>
    <w:rsid w:val="000457EA"/>
    <w:rsid w:val="0005421A"/>
    <w:rsid w:val="00063247"/>
    <w:rsid w:val="0006606B"/>
    <w:rsid w:val="00070F9F"/>
    <w:rsid w:val="0007137B"/>
    <w:rsid w:val="00071A48"/>
    <w:rsid w:val="00073BC3"/>
    <w:rsid w:val="0007418D"/>
    <w:rsid w:val="00085663"/>
    <w:rsid w:val="00085EBF"/>
    <w:rsid w:val="00091B15"/>
    <w:rsid w:val="000952ED"/>
    <w:rsid w:val="000961B1"/>
    <w:rsid w:val="000A0609"/>
    <w:rsid w:val="000A1B68"/>
    <w:rsid w:val="000A1FA5"/>
    <w:rsid w:val="000A3020"/>
    <w:rsid w:val="000A32CF"/>
    <w:rsid w:val="000A6C7B"/>
    <w:rsid w:val="000C2B40"/>
    <w:rsid w:val="000C72B7"/>
    <w:rsid w:val="000D01B6"/>
    <w:rsid w:val="000D06C1"/>
    <w:rsid w:val="000D0A6D"/>
    <w:rsid w:val="000D122C"/>
    <w:rsid w:val="000D3016"/>
    <w:rsid w:val="000D64F2"/>
    <w:rsid w:val="000E1819"/>
    <w:rsid w:val="000E4821"/>
    <w:rsid w:val="000E6C72"/>
    <w:rsid w:val="000E7104"/>
    <w:rsid w:val="000F0B2B"/>
    <w:rsid w:val="000F205B"/>
    <w:rsid w:val="000F3E72"/>
    <w:rsid w:val="000F48B1"/>
    <w:rsid w:val="001004BD"/>
    <w:rsid w:val="00100992"/>
    <w:rsid w:val="001024AD"/>
    <w:rsid w:val="00103A67"/>
    <w:rsid w:val="001101DA"/>
    <w:rsid w:val="00116EB2"/>
    <w:rsid w:val="00124609"/>
    <w:rsid w:val="00126A4C"/>
    <w:rsid w:val="00130A8C"/>
    <w:rsid w:val="00134A45"/>
    <w:rsid w:val="00140213"/>
    <w:rsid w:val="00142AB6"/>
    <w:rsid w:val="00144FA3"/>
    <w:rsid w:val="0014573B"/>
    <w:rsid w:val="001573E4"/>
    <w:rsid w:val="00160756"/>
    <w:rsid w:val="00166C47"/>
    <w:rsid w:val="0017232E"/>
    <w:rsid w:val="00174102"/>
    <w:rsid w:val="001754EE"/>
    <w:rsid w:val="001773F2"/>
    <w:rsid w:val="00180157"/>
    <w:rsid w:val="001804F0"/>
    <w:rsid w:val="00185CB9"/>
    <w:rsid w:val="00186F77"/>
    <w:rsid w:val="00191384"/>
    <w:rsid w:val="001926A4"/>
    <w:rsid w:val="00192AD5"/>
    <w:rsid w:val="00192C4D"/>
    <w:rsid w:val="001A08F5"/>
    <w:rsid w:val="001A0FEF"/>
    <w:rsid w:val="001A6EE6"/>
    <w:rsid w:val="001A73B4"/>
    <w:rsid w:val="001A793F"/>
    <w:rsid w:val="001B45A0"/>
    <w:rsid w:val="001B7D00"/>
    <w:rsid w:val="001C65DB"/>
    <w:rsid w:val="001C6E6F"/>
    <w:rsid w:val="001C7719"/>
    <w:rsid w:val="001D055E"/>
    <w:rsid w:val="001F05A4"/>
    <w:rsid w:val="001F492E"/>
    <w:rsid w:val="001F6DA3"/>
    <w:rsid w:val="00200435"/>
    <w:rsid w:val="002010BC"/>
    <w:rsid w:val="002016E7"/>
    <w:rsid w:val="00201820"/>
    <w:rsid w:val="00201F98"/>
    <w:rsid w:val="00202E03"/>
    <w:rsid w:val="0020478D"/>
    <w:rsid w:val="0020492C"/>
    <w:rsid w:val="00205A33"/>
    <w:rsid w:val="002070D6"/>
    <w:rsid w:val="002171B6"/>
    <w:rsid w:val="00221006"/>
    <w:rsid w:val="00224DB9"/>
    <w:rsid w:val="00227DCE"/>
    <w:rsid w:val="0023276C"/>
    <w:rsid w:val="00233775"/>
    <w:rsid w:val="002339C6"/>
    <w:rsid w:val="002414A5"/>
    <w:rsid w:val="002504A8"/>
    <w:rsid w:val="00250DBA"/>
    <w:rsid w:val="00251745"/>
    <w:rsid w:val="00263AC0"/>
    <w:rsid w:val="00264264"/>
    <w:rsid w:val="0026772D"/>
    <w:rsid w:val="00271955"/>
    <w:rsid w:val="00275D3B"/>
    <w:rsid w:val="00277C44"/>
    <w:rsid w:val="00280ABB"/>
    <w:rsid w:val="00286874"/>
    <w:rsid w:val="00287572"/>
    <w:rsid w:val="00287EFD"/>
    <w:rsid w:val="00290C63"/>
    <w:rsid w:val="00296B65"/>
    <w:rsid w:val="002A7DEF"/>
    <w:rsid w:val="002B1003"/>
    <w:rsid w:val="002B573C"/>
    <w:rsid w:val="002B7BED"/>
    <w:rsid w:val="002C233C"/>
    <w:rsid w:val="002D2408"/>
    <w:rsid w:val="002D72E8"/>
    <w:rsid w:val="002E7B22"/>
    <w:rsid w:val="002F263B"/>
    <w:rsid w:val="002F531C"/>
    <w:rsid w:val="002F539B"/>
    <w:rsid w:val="002F59F8"/>
    <w:rsid w:val="002F7986"/>
    <w:rsid w:val="00301B40"/>
    <w:rsid w:val="003029EE"/>
    <w:rsid w:val="0030370B"/>
    <w:rsid w:val="00305CC8"/>
    <w:rsid w:val="00307F6D"/>
    <w:rsid w:val="00310EC5"/>
    <w:rsid w:val="00314967"/>
    <w:rsid w:val="003177A2"/>
    <w:rsid w:val="00325042"/>
    <w:rsid w:val="003271B5"/>
    <w:rsid w:val="00327A1E"/>
    <w:rsid w:val="00331264"/>
    <w:rsid w:val="00334C8D"/>
    <w:rsid w:val="00341ADD"/>
    <w:rsid w:val="00343A18"/>
    <w:rsid w:val="00344473"/>
    <w:rsid w:val="003454A3"/>
    <w:rsid w:val="003518B3"/>
    <w:rsid w:val="003824BF"/>
    <w:rsid w:val="003843D6"/>
    <w:rsid w:val="003846F1"/>
    <w:rsid w:val="003931A7"/>
    <w:rsid w:val="003A44B4"/>
    <w:rsid w:val="003B484F"/>
    <w:rsid w:val="003B7FBA"/>
    <w:rsid w:val="003C0E8B"/>
    <w:rsid w:val="003C3D38"/>
    <w:rsid w:val="003C5E9A"/>
    <w:rsid w:val="003D19CF"/>
    <w:rsid w:val="003D1E73"/>
    <w:rsid w:val="003D66F8"/>
    <w:rsid w:val="003E1B50"/>
    <w:rsid w:val="003F174D"/>
    <w:rsid w:val="003F7442"/>
    <w:rsid w:val="00415F31"/>
    <w:rsid w:val="00423A77"/>
    <w:rsid w:val="00435CBB"/>
    <w:rsid w:val="00442A5E"/>
    <w:rsid w:val="0045777E"/>
    <w:rsid w:val="00466650"/>
    <w:rsid w:val="00474EC7"/>
    <w:rsid w:val="00477B65"/>
    <w:rsid w:val="00480B4B"/>
    <w:rsid w:val="00485DC4"/>
    <w:rsid w:val="00493EFC"/>
    <w:rsid w:val="004A2096"/>
    <w:rsid w:val="004A2CF5"/>
    <w:rsid w:val="004A43D1"/>
    <w:rsid w:val="004B355D"/>
    <w:rsid w:val="004B4412"/>
    <w:rsid w:val="004C0383"/>
    <w:rsid w:val="004C314D"/>
    <w:rsid w:val="004C348C"/>
    <w:rsid w:val="004D55BA"/>
    <w:rsid w:val="004E22EC"/>
    <w:rsid w:val="004F0CFB"/>
    <w:rsid w:val="004F6A0E"/>
    <w:rsid w:val="005104EB"/>
    <w:rsid w:val="005166A0"/>
    <w:rsid w:val="00530128"/>
    <w:rsid w:val="00532467"/>
    <w:rsid w:val="00537FD6"/>
    <w:rsid w:val="00557882"/>
    <w:rsid w:val="00563C53"/>
    <w:rsid w:val="00564A4D"/>
    <w:rsid w:val="0056588A"/>
    <w:rsid w:val="00567BA5"/>
    <w:rsid w:val="00571B35"/>
    <w:rsid w:val="00571D57"/>
    <w:rsid w:val="00576364"/>
    <w:rsid w:val="00576BEC"/>
    <w:rsid w:val="005776E3"/>
    <w:rsid w:val="00577A09"/>
    <w:rsid w:val="005829C2"/>
    <w:rsid w:val="00584D8F"/>
    <w:rsid w:val="00586819"/>
    <w:rsid w:val="00590263"/>
    <w:rsid w:val="00594EAE"/>
    <w:rsid w:val="0059704C"/>
    <w:rsid w:val="005A1A4F"/>
    <w:rsid w:val="005A404D"/>
    <w:rsid w:val="005B1E3C"/>
    <w:rsid w:val="005B3FB7"/>
    <w:rsid w:val="005B704A"/>
    <w:rsid w:val="005C0A7F"/>
    <w:rsid w:val="005C26CC"/>
    <w:rsid w:val="005C4C9C"/>
    <w:rsid w:val="005C6672"/>
    <w:rsid w:val="005D07FB"/>
    <w:rsid w:val="005D38E4"/>
    <w:rsid w:val="005D7BA2"/>
    <w:rsid w:val="005E36C2"/>
    <w:rsid w:val="006007DE"/>
    <w:rsid w:val="00601638"/>
    <w:rsid w:val="00605235"/>
    <w:rsid w:val="00610EF9"/>
    <w:rsid w:val="0061140D"/>
    <w:rsid w:val="00612F4F"/>
    <w:rsid w:val="00615C6B"/>
    <w:rsid w:val="00621DCE"/>
    <w:rsid w:val="00627A22"/>
    <w:rsid w:val="00631070"/>
    <w:rsid w:val="00632D6D"/>
    <w:rsid w:val="006376CC"/>
    <w:rsid w:val="00637B3E"/>
    <w:rsid w:val="00642C3E"/>
    <w:rsid w:val="0064544A"/>
    <w:rsid w:val="00645CEC"/>
    <w:rsid w:val="00651C3A"/>
    <w:rsid w:val="00651CB2"/>
    <w:rsid w:val="0065456F"/>
    <w:rsid w:val="006553B6"/>
    <w:rsid w:val="006560CA"/>
    <w:rsid w:val="0066104A"/>
    <w:rsid w:val="00663DAD"/>
    <w:rsid w:val="00665377"/>
    <w:rsid w:val="00665649"/>
    <w:rsid w:val="006672AA"/>
    <w:rsid w:val="00675539"/>
    <w:rsid w:val="00675E20"/>
    <w:rsid w:val="00676679"/>
    <w:rsid w:val="0067776E"/>
    <w:rsid w:val="0068070A"/>
    <w:rsid w:val="00683C89"/>
    <w:rsid w:val="00686E96"/>
    <w:rsid w:val="00691D9A"/>
    <w:rsid w:val="00695060"/>
    <w:rsid w:val="006959D8"/>
    <w:rsid w:val="006B2395"/>
    <w:rsid w:val="006B2683"/>
    <w:rsid w:val="006B45A4"/>
    <w:rsid w:val="006B4CF9"/>
    <w:rsid w:val="006B785B"/>
    <w:rsid w:val="006B7AC8"/>
    <w:rsid w:val="006C1736"/>
    <w:rsid w:val="006C2648"/>
    <w:rsid w:val="006C4798"/>
    <w:rsid w:val="006D550F"/>
    <w:rsid w:val="006F3AD1"/>
    <w:rsid w:val="006F3FC8"/>
    <w:rsid w:val="006F523A"/>
    <w:rsid w:val="0070011E"/>
    <w:rsid w:val="00701CAB"/>
    <w:rsid w:val="00705AB3"/>
    <w:rsid w:val="00707563"/>
    <w:rsid w:val="00710DC0"/>
    <w:rsid w:val="00717ECF"/>
    <w:rsid w:val="0072348C"/>
    <w:rsid w:val="00724A37"/>
    <w:rsid w:val="007303C3"/>
    <w:rsid w:val="0073216A"/>
    <w:rsid w:val="00741C46"/>
    <w:rsid w:val="00741E23"/>
    <w:rsid w:val="007429BE"/>
    <w:rsid w:val="00743223"/>
    <w:rsid w:val="00746E01"/>
    <w:rsid w:val="00747EEA"/>
    <w:rsid w:val="00757364"/>
    <w:rsid w:val="00757BDF"/>
    <w:rsid w:val="007609D0"/>
    <w:rsid w:val="00763E5D"/>
    <w:rsid w:val="00767740"/>
    <w:rsid w:val="00777EE6"/>
    <w:rsid w:val="00782EEA"/>
    <w:rsid w:val="00787846"/>
    <w:rsid w:val="00796AB9"/>
    <w:rsid w:val="007A62C1"/>
    <w:rsid w:val="007B186E"/>
    <w:rsid w:val="007B2C72"/>
    <w:rsid w:val="007B4FFC"/>
    <w:rsid w:val="007C1C53"/>
    <w:rsid w:val="007C74BB"/>
    <w:rsid w:val="007D3506"/>
    <w:rsid w:val="007D456E"/>
    <w:rsid w:val="007E4904"/>
    <w:rsid w:val="007E4CB5"/>
    <w:rsid w:val="007E56FB"/>
    <w:rsid w:val="007F066B"/>
    <w:rsid w:val="007F213A"/>
    <w:rsid w:val="007F75C4"/>
    <w:rsid w:val="008033C4"/>
    <w:rsid w:val="00806C88"/>
    <w:rsid w:val="0081034E"/>
    <w:rsid w:val="008109CC"/>
    <w:rsid w:val="008221F2"/>
    <w:rsid w:val="00825985"/>
    <w:rsid w:val="008344F6"/>
    <w:rsid w:val="0083510F"/>
    <w:rsid w:val="008408C5"/>
    <w:rsid w:val="00851209"/>
    <w:rsid w:val="0085722A"/>
    <w:rsid w:val="00864B35"/>
    <w:rsid w:val="00873434"/>
    <w:rsid w:val="00881BD2"/>
    <w:rsid w:val="00882481"/>
    <w:rsid w:val="008837AC"/>
    <w:rsid w:val="0089481F"/>
    <w:rsid w:val="00895C23"/>
    <w:rsid w:val="008A587D"/>
    <w:rsid w:val="008B35CD"/>
    <w:rsid w:val="008B5FCC"/>
    <w:rsid w:val="008B7544"/>
    <w:rsid w:val="008C3374"/>
    <w:rsid w:val="008C5486"/>
    <w:rsid w:val="008C5970"/>
    <w:rsid w:val="008C708B"/>
    <w:rsid w:val="008D1661"/>
    <w:rsid w:val="008D6800"/>
    <w:rsid w:val="008E6798"/>
    <w:rsid w:val="008E7031"/>
    <w:rsid w:val="008E77DE"/>
    <w:rsid w:val="008F07A3"/>
    <w:rsid w:val="008F236B"/>
    <w:rsid w:val="008F34DD"/>
    <w:rsid w:val="008F4E5A"/>
    <w:rsid w:val="008F65A7"/>
    <w:rsid w:val="008F7011"/>
    <w:rsid w:val="009001B6"/>
    <w:rsid w:val="0090052B"/>
    <w:rsid w:val="00900E1B"/>
    <w:rsid w:val="00901C3C"/>
    <w:rsid w:val="00916600"/>
    <w:rsid w:val="00922467"/>
    <w:rsid w:val="009233EE"/>
    <w:rsid w:val="00925323"/>
    <w:rsid w:val="009272AD"/>
    <w:rsid w:val="009277DC"/>
    <w:rsid w:val="00935D76"/>
    <w:rsid w:val="00936021"/>
    <w:rsid w:val="009460AA"/>
    <w:rsid w:val="00951978"/>
    <w:rsid w:val="0095556B"/>
    <w:rsid w:val="00956311"/>
    <w:rsid w:val="00961A4A"/>
    <w:rsid w:val="009661DE"/>
    <w:rsid w:val="00970AF6"/>
    <w:rsid w:val="00973E64"/>
    <w:rsid w:val="00983410"/>
    <w:rsid w:val="00983C25"/>
    <w:rsid w:val="009856B7"/>
    <w:rsid w:val="00985C86"/>
    <w:rsid w:val="009A2EC3"/>
    <w:rsid w:val="009A5113"/>
    <w:rsid w:val="009A5FC3"/>
    <w:rsid w:val="009B0CED"/>
    <w:rsid w:val="009B6F84"/>
    <w:rsid w:val="009B74B0"/>
    <w:rsid w:val="009D27B5"/>
    <w:rsid w:val="009D3906"/>
    <w:rsid w:val="009D6B46"/>
    <w:rsid w:val="009F363C"/>
    <w:rsid w:val="009F4940"/>
    <w:rsid w:val="009F5BA1"/>
    <w:rsid w:val="00A01760"/>
    <w:rsid w:val="00A02A88"/>
    <w:rsid w:val="00A0562E"/>
    <w:rsid w:val="00A06085"/>
    <w:rsid w:val="00A0726D"/>
    <w:rsid w:val="00A32FBB"/>
    <w:rsid w:val="00A36C2E"/>
    <w:rsid w:val="00A40270"/>
    <w:rsid w:val="00A428EE"/>
    <w:rsid w:val="00A43E94"/>
    <w:rsid w:val="00A4478A"/>
    <w:rsid w:val="00A44852"/>
    <w:rsid w:val="00A4650A"/>
    <w:rsid w:val="00A50502"/>
    <w:rsid w:val="00A57D04"/>
    <w:rsid w:val="00A60A26"/>
    <w:rsid w:val="00A61598"/>
    <w:rsid w:val="00A84A99"/>
    <w:rsid w:val="00A84F46"/>
    <w:rsid w:val="00A86B2C"/>
    <w:rsid w:val="00A871F4"/>
    <w:rsid w:val="00A92B0F"/>
    <w:rsid w:val="00AB7796"/>
    <w:rsid w:val="00AC1B2C"/>
    <w:rsid w:val="00AC2F41"/>
    <w:rsid w:val="00AC3264"/>
    <w:rsid w:val="00AD76C0"/>
    <w:rsid w:val="00AE1BF1"/>
    <w:rsid w:val="00AF0DD2"/>
    <w:rsid w:val="00B0209D"/>
    <w:rsid w:val="00B03B53"/>
    <w:rsid w:val="00B04E6F"/>
    <w:rsid w:val="00B07CEA"/>
    <w:rsid w:val="00B13048"/>
    <w:rsid w:val="00B1716D"/>
    <w:rsid w:val="00B17A1D"/>
    <w:rsid w:val="00B207A0"/>
    <w:rsid w:val="00B20EAA"/>
    <w:rsid w:val="00B24DD3"/>
    <w:rsid w:val="00B3262C"/>
    <w:rsid w:val="00B3467A"/>
    <w:rsid w:val="00B40CAA"/>
    <w:rsid w:val="00B40D8F"/>
    <w:rsid w:val="00B514DD"/>
    <w:rsid w:val="00B51F3F"/>
    <w:rsid w:val="00B52AF0"/>
    <w:rsid w:val="00B561BD"/>
    <w:rsid w:val="00B56E03"/>
    <w:rsid w:val="00B61C28"/>
    <w:rsid w:val="00B61EDF"/>
    <w:rsid w:val="00B757A6"/>
    <w:rsid w:val="00B7795D"/>
    <w:rsid w:val="00B8080B"/>
    <w:rsid w:val="00B82223"/>
    <w:rsid w:val="00B8228B"/>
    <w:rsid w:val="00B87BA5"/>
    <w:rsid w:val="00B87C39"/>
    <w:rsid w:val="00B9562D"/>
    <w:rsid w:val="00BA424B"/>
    <w:rsid w:val="00BA4665"/>
    <w:rsid w:val="00BB05D4"/>
    <w:rsid w:val="00BB1AEE"/>
    <w:rsid w:val="00BB2FB2"/>
    <w:rsid w:val="00BB3304"/>
    <w:rsid w:val="00BB3FD7"/>
    <w:rsid w:val="00BB7528"/>
    <w:rsid w:val="00BC185B"/>
    <w:rsid w:val="00BC3D71"/>
    <w:rsid w:val="00BC7736"/>
    <w:rsid w:val="00BD2A9E"/>
    <w:rsid w:val="00BD310B"/>
    <w:rsid w:val="00BD3446"/>
    <w:rsid w:val="00BD700D"/>
    <w:rsid w:val="00BE1F1B"/>
    <w:rsid w:val="00BE47B5"/>
    <w:rsid w:val="00C02630"/>
    <w:rsid w:val="00C04223"/>
    <w:rsid w:val="00C173AE"/>
    <w:rsid w:val="00C25FA6"/>
    <w:rsid w:val="00C275C4"/>
    <w:rsid w:val="00C42ACA"/>
    <w:rsid w:val="00C50F49"/>
    <w:rsid w:val="00C51763"/>
    <w:rsid w:val="00C538A9"/>
    <w:rsid w:val="00C53B5A"/>
    <w:rsid w:val="00C54F5A"/>
    <w:rsid w:val="00C569B4"/>
    <w:rsid w:val="00C56A3E"/>
    <w:rsid w:val="00C67A92"/>
    <w:rsid w:val="00C7497E"/>
    <w:rsid w:val="00C84560"/>
    <w:rsid w:val="00C84F52"/>
    <w:rsid w:val="00C86679"/>
    <w:rsid w:val="00C950EA"/>
    <w:rsid w:val="00C969E9"/>
    <w:rsid w:val="00CA489E"/>
    <w:rsid w:val="00CA52A2"/>
    <w:rsid w:val="00CB0279"/>
    <w:rsid w:val="00CB666B"/>
    <w:rsid w:val="00CC7F1D"/>
    <w:rsid w:val="00CE4128"/>
    <w:rsid w:val="00CE484B"/>
    <w:rsid w:val="00CF0DEE"/>
    <w:rsid w:val="00CF16E4"/>
    <w:rsid w:val="00CF2AB0"/>
    <w:rsid w:val="00CF2C05"/>
    <w:rsid w:val="00CF6EDE"/>
    <w:rsid w:val="00D006AE"/>
    <w:rsid w:val="00D01CF0"/>
    <w:rsid w:val="00D01EFD"/>
    <w:rsid w:val="00D0442A"/>
    <w:rsid w:val="00D16BDA"/>
    <w:rsid w:val="00D17683"/>
    <w:rsid w:val="00D208E7"/>
    <w:rsid w:val="00D3640E"/>
    <w:rsid w:val="00D45694"/>
    <w:rsid w:val="00D45A60"/>
    <w:rsid w:val="00D467D6"/>
    <w:rsid w:val="00D54A12"/>
    <w:rsid w:val="00D61388"/>
    <w:rsid w:val="00D61A54"/>
    <w:rsid w:val="00D64DEA"/>
    <w:rsid w:val="00D70F17"/>
    <w:rsid w:val="00D7168E"/>
    <w:rsid w:val="00D71E57"/>
    <w:rsid w:val="00D75AA2"/>
    <w:rsid w:val="00D76BE4"/>
    <w:rsid w:val="00D80893"/>
    <w:rsid w:val="00D84854"/>
    <w:rsid w:val="00D848B4"/>
    <w:rsid w:val="00D92CF1"/>
    <w:rsid w:val="00D92D38"/>
    <w:rsid w:val="00D93A97"/>
    <w:rsid w:val="00D950F5"/>
    <w:rsid w:val="00DA4752"/>
    <w:rsid w:val="00DA61F3"/>
    <w:rsid w:val="00DA6B93"/>
    <w:rsid w:val="00DB0F93"/>
    <w:rsid w:val="00DB1763"/>
    <w:rsid w:val="00DB1A67"/>
    <w:rsid w:val="00DB5074"/>
    <w:rsid w:val="00DB5B21"/>
    <w:rsid w:val="00DB6FE1"/>
    <w:rsid w:val="00DC0495"/>
    <w:rsid w:val="00DC1482"/>
    <w:rsid w:val="00DC7981"/>
    <w:rsid w:val="00DD2D7E"/>
    <w:rsid w:val="00DD62E7"/>
    <w:rsid w:val="00DE1093"/>
    <w:rsid w:val="00DE4EFA"/>
    <w:rsid w:val="00DE5520"/>
    <w:rsid w:val="00DE563D"/>
    <w:rsid w:val="00DE5E2E"/>
    <w:rsid w:val="00DE772C"/>
    <w:rsid w:val="00DF312A"/>
    <w:rsid w:val="00E04818"/>
    <w:rsid w:val="00E06442"/>
    <w:rsid w:val="00E06BCF"/>
    <w:rsid w:val="00E10019"/>
    <w:rsid w:val="00E1001C"/>
    <w:rsid w:val="00E23013"/>
    <w:rsid w:val="00E23993"/>
    <w:rsid w:val="00E257D6"/>
    <w:rsid w:val="00E25B8C"/>
    <w:rsid w:val="00E27719"/>
    <w:rsid w:val="00E37B6B"/>
    <w:rsid w:val="00E44106"/>
    <w:rsid w:val="00E4605D"/>
    <w:rsid w:val="00E51D65"/>
    <w:rsid w:val="00E6200B"/>
    <w:rsid w:val="00E65C85"/>
    <w:rsid w:val="00E66199"/>
    <w:rsid w:val="00E71054"/>
    <w:rsid w:val="00E711C7"/>
    <w:rsid w:val="00E755EC"/>
    <w:rsid w:val="00E756AC"/>
    <w:rsid w:val="00E7624D"/>
    <w:rsid w:val="00E85BBB"/>
    <w:rsid w:val="00E87F64"/>
    <w:rsid w:val="00E914AB"/>
    <w:rsid w:val="00E92F5E"/>
    <w:rsid w:val="00EA2300"/>
    <w:rsid w:val="00EA3D42"/>
    <w:rsid w:val="00EA6B1B"/>
    <w:rsid w:val="00EB4948"/>
    <w:rsid w:val="00EB5BC8"/>
    <w:rsid w:val="00EB606C"/>
    <w:rsid w:val="00EC04F1"/>
    <w:rsid w:val="00EC1DA6"/>
    <w:rsid w:val="00ED0EC2"/>
    <w:rsid w:val="00ED62E9"/>
    <w:rsid w:val="00ED7323"/>
    <w:rsid w:val="00EE28F3"/>
    <w:rsid w:val="00EE3B24"/>
    <w:rsid w:val="00EE50D1"/>
    <w:rsid w:val="00EE77FA"/>
    <w:rsid w:val="00EF5110"/>
    <w:rsid w:val="00F0334E"/>
    <w:rsid w:val="00F10411"/>
    <w:rsid w:val="00F15882"/>
    <w:rsid w:val="00F171E0"/>
    <w:rsid w:val="00F20BD3"/>
    <w:rsid w:val="00F22AF6"/>
    <w:rsid w:val="00F24028"/>
    <w:rsid w:val="00F249A0"/>
    <w:rsid w:val="00F2526A"/>
    <w:rsid w:val="00F3634B"/>
    <w:rsid w:val="00F373A5"/>
    <w:rsid w:val="00F40CCC"/>
    <w:rsid w:val="00F43157"/>
    <w:rsid w:val="00F43C94"/>
    <w:rsid w:val="00F47559"/>
    <w:rsid w:val="00F54284"/>
    <w:rsid w:val="00F5768D"/>
    <w:rsid w:val="00F61176"/>
    <w:rsid w:val="00F617D4"/>
    <w:rsid w:val="00F62934"/>
    <w:rsid w:val="00F64C7B"/>
    <w:rsid w:val="00F65B25"/>
    <w:rsid w:val="00F676DD"/>
    <w:rsid w:val="00F71667"/>
    <w:rsid w:val="00F75A26"/>
    <w:rsid w:val="00F76706"/>
    <w:rsid w:val="00F768C8"/>
    <w:rsid w:val="00F81B8D"/>
    <w:rsid w:val="00F83FAD"/>
    <w:rsid w:val="00F8653A"/>
    <w:rsid w:val="00F9225A"/>
    <w:rsid w:val="00F92349"/>
    <w:rsid w:val="00F952A0"/>
    <w:rsid w:val="00FA3C7F"/>
    <w:rsid w:val="00FB4402"/>
    <w:rsid w:val="00FB5D4F"/>
    <w:rsid w:val="00FB60FE"/>
    <w:rsid w:val="00FB74E2"/>
    <w:rsid w:val="00FC71DC"/>
    <w:rsid w:val="00FD2ED2"/>
    <w:rsid w:val="00FD51A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964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801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52BB1B-4B78-4305-AD96-66E375A9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EAC129C6</Template>
  <TotalTime>0</TotalTime>
  <Pages>22</Pages>
  <Words>5051</Words>
  <Characters>28794</Characters>
  <Application>Microsoft Office Word</Application>
  <DocSecurity>0</DocSecurity>
  <Lines>239</Lines>
  <Paragraphs>67</Paragraphs>
  <ScaleCrop>false</ScaleCrop>
  <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2015-11-23T00:53:00Z</dcterms:created>
  <dcterms:modified xsi:type="dcterms:W3CDTF">2015-11-23T00:53:00Z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8561271</vt:lpwstr>
  </property>
</Properties>
</file>