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6A7086E" wp14:editId="10FB3736">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CF2C05">
            <w:t>DRAFT</w:t>
          </w:r>
          <w:r w:rsidR="00DA4752">
            <w:t xml:space="preserve"> DECISION</w:t>
          </w:r>
        </w:p>
        <w:p w:rsidR="00415F31" w:rsidRDefault="000D64F2" w:rsidP="008F07A3">
          <w:pPr>
            <w:pStyle w:val="ReportSubtitle"/>
          </w:pPr>
          <w:r>
            <w:t>Amadeus</w:t>
          </w:r>
          <w:r w:rsidR="00A06085">
            <w:t xml:space="preserve"> </w:t>
          </w:r>
          <w:r w:rsidR="00B97808">
            <w:t>Gas Pipeline</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4C0383">
            <w:t>9</w:t>
          </w:r>
          <w:r w:rsidR="00DA4752">
            <w:t xml:space="preserve"> </w:t>
          </w:r>
          <w:r w:rsidR="00415F31">
            <w:rPr>
              <w:rFonts w:cs="Arial"/>
            </w:rPr>
            <w:t>–</w:t>
          </w:r>
          <w:r w:rsidR="00DA4752">
            <w:t xml:space="preserve"> </w:t>
          </w:r>
          <w:r w:rsidR="004C0383">
            <w:t>Efficiency carryover mechanism</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6044124"/>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CF2C05">
        <w:t>draft</w:t>
      </w:r>
      <w:r w:rsidR="00415F31">
        <w:t xml:space="preserve"> decision on </w:t>
      </w:r>
      <w:r w:rsidR="00B97808">
        <w:t>the</w:t>
      </w:r>
      <w:r w:rsidR="00415F31">
        <w:t xml:space="preserve"> </w:t>
      </w:r>
      <w:r w:rsidR="00CF2C05">
        <w:t>access</w:t>
      </w:r>
      <w:r w:rsidR="00415F31">
        <w:t xml:space="preserve"> </w:t>
      </w:r>
      <w:r w:rsidR="00CF2C05">
        <w:t>arrangement for</w:t>
      </w:r>
      <w:r w:rsidR="00415F31">
        <w:t xml:space="preserve"> </w:t>
      </w:r>
      <w:r w:rsidR="00B97808">
        <w:t xml:space="preserve">the Amadeus Gas Pipeline 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CF2C05">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CF2C05">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36044125"/>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E43AE7" w:rsidRDefault="00E43AE7">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36044124" w:history="1">
            <w:r w:rsidRPr="00DF7058">
              <w:rPr>
                <w:rStyle w:val="Hyperlink"/>
              </w:rPr>
              <w:t>Note</w:t>
            </w:r>
            <w:r>
              <w:rPr>
                <w:webHidden/>
              </w:rPr>
              <w:tab/>
            </w:r>
            <w:r>
              <w:rPr>
                <w:webHidden/>
              </w:rPr>
              <w:fldChar w:fldCharType="begin"/>
            </w:r>
            <w:r>
              <w:rPr>
                <w:webHidden/>
              </w:rPr>
              <w:instrText xml:space="preserve"> PAGEREF _Toc436044124 \h </w:instrText>
            </w:r>
            <w:r>
              <w:rPr>
                <w:webHidden/>
              </w:rPr>
            </w:r>
            <w:r>
              <w:rPr>
                <w:webHidden/>
              </w:rPr>
              <w:fldChar w:fldCharType="separate"/>
            </w:r>
            <w:r>
              <w:rPr>
                <w:webHidden/>
              </w:rPr>
              <w:t>9-2</w:t>
            </w:r>
            <w:r>
              <w:rPr>
                <w:webHidden/>
              </w:rPr>
              <w:fldChar w:fldCharType="end"/>
            </w:r>
          </w:hyperlink>
        </w:p>
        <w:p w:rsidR="00E43AE7" w:rsidRDefault="00E43AE7">
          <w:pPr>
            <w:pStyle w:val="TOC1"/>
            <w:rPr>
              <w:rFonts w:asciiTheme="minorHAnsi" w:eastAsiaTheme="minorEastAsia" w:hAnsiTheme="minorHAnsi"/>
              <w:b w:val="0"/>
              <w:color w:val="auto"/>
              <w:sz w:val="22"/>
              <w:lang w:val="en-AU" w:eastAsia="en-AU"/>
            </w:rPr>
          </w:pPr>
          <w:hyperlink w:anchor="_Toc436044125" w:history="1">
            <w:r w:rsidRPr="00DF7058">
              <w:rPr>
                <w:rStyle w:val="Hyperlink"/>
              </w:rPr>
              <w:t>Contents</w:t>
            </w:r>
            <w:r>
              <w:rPr>
                <w:webHidden/>
              </w:rPr>
              <w:tab/>
            </w:r>
            <w:r>
              <w:rPr>
                <w:webHidden/>
              </w:rPr>
              <w:fldChar w:fldCharType="begin"/>
            </w:r>
            <w:r>
              <w:rPr>
                <w:webHidden/>
              </w:rPr>
              <w:instrText xml:space="preserve"> PAGEREF _Toc436044125 \h </w:instrText>
            </w:r>
            <w:r>
              <w:rPr>
                <w:webHidden/>
              </w:rPr>
            </w:r>
            <w:r>
              <w:rPr>
                <w:webHidden/>
              </w:rPr>
              <w:fldChar w:fldCharType="separate"/>
            </w:r>
            <w:r>
              <w:rPr>
                <w:webHidden/>
              </w:rPr>
              <w:t>9-3</w:t>
            </w:r>
            <w:r>
              <w:rPr>
                <w:webHidden/>
              </w:rPr>
              <w:fldChar w:fldCharType="end"/>
            </w:r>
          </w:hyperlink>
        </w:p>
        <w:p w:rsidR="00E43AE7" w:rsidRDefault="00E43AE7">
          <w:pPr>
            <w:pStyle w:val="TOC1"/>
            <w:rPr>
              <w:rFonts w:asciiTheme="minorHAnsi" w:eastAsiaTheme="minorEastAsia" w:hAnsiTheme="minorHAnsi"/>
              <w:b w:val="0"/>
              <w:color w:val="auto"/>
              <w:sz w:val="22"/>
              <w:lang w:val="en-AU" w:eastAsia="en-AU"/>
            </w:rPr>
          </w:pPr>
          <w:hyperlink w:anchor="_Toc436044126" w:history="1">
            <w:r w:rsidRPr="00DF7058">
              <w:rPr>
                <w:rStyle w:val="Hyperlink"/>
              </w:rPr>
              <w:t>Shortened forms</w:t>
            </w:r>
            <w:r>
              <w:rPr>
                <w:webHidden/>
              </w:rPr>
              <w:tab/>
            </w:r>
            <w:r>
              <w:rPr>
                <w:webHidden/>
              </w:rPr>
              <w:fldChar w:fldCharType="begin"/>
            </w:r>
            <w:r>
              <w:rPr>
                <w:webHidden/>
              </w:rPr>
              <w:instrText xml:space="preserve"> PAGEREF _Toc436044126 \h </w:instrText>
            </w:r>
            <w:r>
              <w:rPr>
                <w:webHidden/>
              </w:rPr>
            </w:r>
            <w:r>
              <w:rPr>
                <w:webHidden/>
              </w:rPr>
              <w:fldChar w:fldCharType="separate"/>
            </w:r>
            <w:r>
              <w:rPr>
                <w:webHidden/>
              </w:rPr>
              <w:t>9-4</w:t>
            </w:r>
            <w:r>
              <w:rPr>
                <w:webHidden/>
              </w:rPr>
              <w:fldChar w:fldCharType="end"/>
            </w:r>
          </w:hyperlink>
        </w:p>
        <w:p w:rsidR="00E43AE7" w:rsidRDefault="00E43AE7">
          <w:pPr>
            <w:pStyle w:val="TOC1"/>
            <w:rPr>
              <w:rFonts w:asciiTheme="minorHAnsi" w:eastAsiaTheme="minorEastAsia" w:hAnsiTheme="minorHAnsi"/>
              <w:b w:val="0"/>
              <w:color w:val="auto"/>
              <w:sz w:val="22"/>
              <w:lang w:val="en-AU" w:eastAsia="en-AU"/>
            </w:rPr>
          </w:pPr>
          <w:hyperlink w:anchor="_Toc436044127" w:history="1">
            <w:r w:rsidRPr="00DF7058">
              <w:rPr>
                <w:rStyle w:val="Hyperlink"/>
              </w:rPr>
              <w:t>9</w:t>
            </w:r>
            <w:r>
              <w:rPr>
                <w:rFonts w:asciiTheme="minorHAnsi" w:eastAsiaTheme="minorEastAsia" w:hAnsiTheme="minorHAnsi"/>
                <w:b w:val="0"/>
                <w:color w:val="auto"/>
                <w:sz w:val="22"/>
                <w:lang w:val="en-AU" w:eastAsia="en-AU"/>
              </w:rPr>
              <w:tab/>
            </w:r>
            <w:r w:rsidRPr="00DF7058">
              <w:rPr>
                <w:rStyle w:val="Hyperlink"/>
              </w:rPr>
              <w:t>Efficiency carryover mechanism</w:t>
            </w:r>
            <w:r>
              <w:rPr>
                <w:webHidden/>
              </w:rPr>
              <w:tab/>
            </w:r>
            <w:r>
              <w:rPr>
                <w:webHidden/>
              </w:rPr>
              <w:fldChar w:fldCharType="begin"/>
            </w:r>
            <w:r>
              <w:rPr>
                <w:webHidden/>
              </w:rPr>
              <w:instrText xml:space="preserve"> PAGEREF _Toc436044127 \h </w:instrText>
            </w:r>
            <w:r>
              <w:rPr>
                <w:webHidden/>
              </w:rPr>
            </w:r>
            <w:r>
              <w:rPr>
                <w:webHidden/>
              </w:rPr>
              <w:fldChar w:fldCharType="separate"/>
            </w:r>
            <w:r>
              <w:rPr>
                <w:webHidden/>
              </w:rPr>
              <w:t>9-6</w:t>
            </w:r>
            <w:r>
              <w:rPr>
                <w:webHidden/>
              </w:rPr>
              <w:fldChar w:fldCharType="end"/>
            </w:r>
          </w:hyperlink>
        </w:p>
        <w:p w:rsidR="00E43AE7" w:rsidRDefault="00E43AE7">
          <w:pPr>
            <w:pStyle w:val="TOC2"/>
            <w:rPr>
              <w:rFonts w:asciiTheme="minorHAnsi" w:eastAsiaTheme="minorEastAsia" w:hAnsiTheme="minorHAnsi"/>
              <w:b w:val="0"/>
              <w:color w:val="auto"/>
              <w:sz w:val="22"/>
              <w:lang w:eastAsia="en-AU"/>
            </w:rPr>
          </w:pPr>
          <w:hyperlink w:anchor="_Toc436044128" w:history="1">
            <w:r w:rsidRPr="00DF7058">
              <w:rPr>
                <w:rStyle w:val="Hyperlink"/>
              </w:rPr>
              <w:t>9.1</w:t>
            </w:r>
            <w:r>
              <w:rPr>
                <w:rFonts w:asciiTheme="minorHAnsi" w:eastAsiaTheme="minorEastAsia" w:hAnsiTheme="minorHAnsi"/>
                <w:b w:val="0"/>
                <w:color w:val="auto"/>
                <w:sz w:val="22"/>
                <w:lang w:eastAsia="en-AU"/>
              </w:rPr>
              <w:tab/>
            </w:r>
            <w:r w:rsidRPr="00DF7058">
              <w:rPr>
                <w:rStyle w:val="Hyperlink"/>
              </w:rPr>
              <w:t>Draft decision</w:t>
            </w:r>
            <w:r>
              <w:rPr>
                <w:webHidden/>
              </w:rPr>
              <w:tab/>
            </w:r>
            <w:r>
              <w:rPr>
                <w:webHidden/>
              </w:rPr>
              <w:fldChar w:fldCharType="begin"/>
            </w:r>
            <w:r>
              <w:rPr>
                <w:webHidden/>
              </w:rPr>
              <w:instrText xml:space="preserve"> PAGEREF _Toc436044128 \h </w:instrText>
            </w:r>
            <w:r>
              <w:rPr>
                <w:webHidden/>
              </w:rPr>
            </w:r>
            <w:r>
              <w:rPr>
                <w:webHidden/>
              </w:rPr>
              <w:fldChar w:fldCharType="separate"/>
            </w:r>
            <w:r>
              <w:rPr>
                <w:webHidden/>
              </w:rPr>
              <w:t>9-6</w:t>
            </w:r>
            <w:r>
              <w:rPr>
                <w:webHidden/>
              </w:rPr>
              <w:fldChar w:fldCharType="end"/>
            </w:r>
          </w:hyperlink>
        </w:p>
        <w:p w:rsidR="00E43AE7" w:rsidRDefault="00E43AE7">
          <w:pPr>
            <w:pStyle w:val="TOC2"/>
            <w:rPr>
              <w:rFonts w:asciiTheme="minorHAnsi" w:eastAsiaTheme="minorEastAsia" w:hAnsiTheme="minorHAnsi"/>
              <w:b w:val="0"/>
              <w:color w:val="auto"/>
              <w:sz w:val="22"/>
              <w:lang w:eastAsia="en-AU"/>
            </w:rPr>
          </w:pPr>
          <w:hyperlink w:anchor="_Toc436044129" w:history="1">
            <w:r w:rsidRPr="00DF7058">
              <w:rPr>
                <w:rStyle w:val="Hyperlink"/>
              </w:rPr>
              <w:t>9.2</w:t>
            </w:r>
            <w:r>
              <w:rPr>
                <w:rFonts w:asciiTheme="minorHAnsi" w:eastAsiaTheme="minorEastAsia" w:hAnsiTheme="minorHAnsi"/>
                <w:b w:val="0"/>
                <w:color w:val="auto"/>
                <w:sz w:val="22"/>
                <w:lang w:eastAsia="en-AU"/>
              </w:rPr>
              <w:tab/>
            </w:r>
            <w:r w:rsidRPr="00DF7058">
              <w:rPr>
                <w:rStyle w:val="Hyperlink"/>
              </w:rPr>
              <w:t>APTNT’s proposal</w:t>
            </w:r>
            <w:r>
              <w:rPr>
                <w:webHidden/>
              </w:rPr>
              <w:tab/>
            </w:r>
            <w:r>
              <w:rPr>
                <w:webHidden/>
              </w:rPr>
              <w:fldChar w:fldCharType="begin"/>
            </w:r>
            <w:r>
              <w:rPr>
                <w:webHidden/>
              </w:rPr>
              <w:instrText xml:space="preserve"> PAGEREF _Toc436044129 \h </w:instrText>
            </w:r>
            <w:r>
              <w:rPr>
                <w:webHidden/>
              </w:rPr>
            </w:r>
            <w:r>
              <w:rPr>
                <w:webHidden/>
              </w:rPr>
              <w:fldChar w:fldCharType="separate"/>
            </w:r>
            <w:r>
              <w:rPr>
                <w:webHidden/>
              </w:rPr>
              <w:t>9-6</w:t>
            </w:r>
            <w:r>
              <w:rPr>
                <w:webHidden/>
              </w:rPr>
              <w:fldChar w:fldCharType="end"/>
            </w:r>
          </w:hyperlink>
        </w:p>
        <w:p w:rsidR="00E43AE7" w:rsidRDefault="00E43AE7">
          <w:pPr>
            <w:pStyle w:val="TOC2"/>
            <w:rPr>
              <w:rFonts w:asciiTheme="minorHAnsi" w:eastAsiaTheme="minorEastAsia" w:hAnsiTheme="minorHAnsi"/>
              <w:b w:val="0"/>
              <w:color w:val="auto"/>
              <w:sz w:val="22"/>
              <w:lang w:eastAsia="en-AU"/>
            </w:rPr>
          </w:pPr>
          <w:hyperlink w:anchor="_Toc436044130" w:history="1">
            <w:r w:rsidRPr="00DF7058">
              <w:rPr>
                <w:rStyle w:val="Hyperlink"/>
              </w:rPr>
              <w:t>9.3</w:t>
            </w:r>
            <w:r>
              <w:rPr>
                <w:rFonts w:asciiTheme="minorHAnsi" w:eastAsiaTheme="minorEastAsia" w:hAnsiTheme="minorHAnsi"/>
                <w:b w:val="0"/>
                <w:color w:val="auto"/>
                <w:sz w:val="22"/>
                <w:lang w:eastAsia="en-AU"/>
              </w:rPr>
              <w:tab/>
            </w:r>
            <w:r w:rsidRPr="00DF7058">
              <w:rPr>
                <w:rStyle w:val="Hyperlink"/>
              </w:rPr>
              <w:t>AER’s assessment approach</w:t>
            </w:r>
            <w:r>
              <w:rPr>
                <w:webHidden/>
              </w:rPr>
              <w:tab/>
            </w:r>
            <w:r>
              <w:rPr>
                <w:webHidden/>
              </w:rPr>
              <w:fldChar w:fldCharType="begin"/>
            </w:r>
            <w:r>
              <w:rPr>
                <w:webHidden/>
              </w:rPr>
              <w:instrText xml:space="preserve"> PAGEREF _Toc436044130 \h </w:instrText>
            </w:r>
            <w:r>
              <w:rPr>
                <w:webHidden/>
              </w:rPr>
            </w:r>
            <w:r>
              <w:rPr>
                <w:webHidden/>
              </w:rPr>
              <w:fldChar w:fldCharType="separate"/>
            </w:r>
            <w:r>
              <w:rPr>
                <w:webHidden/>
              </w:rPr>
              <w:t>9-7</w:t>
            </w:r>
            <w:r>
              <w:rPr>
                <w:webHidden/>
              </w:rPr>
              <w:fldChar w:fldCharType="end"/>
            </w:r>
          </w:hyperlink>
        </w:p>
        <w:p w:rsidR="00E43AE7" w:rsidRDefault="00E43AE7">
          <w:pPr>
            <w:pStyle w:val="TOC2"/>
            <w:rPr>
              <w:rFonts w:asciiTheme="minorHAnsi" w:eastAsiaTheme="minorEastAsia" w:hAnsiTheme="minorHAnsi"/>
              <w:b w:val="0"/>
              <w:color w:val="auto"/>
              <w:sz w:val="22"/>
              <w:lang w:eastAsia="en-AU"/>
            </w:rPr>
          </w:pPr>
          <w:hyperlink w:anchor="_Toc436044131" w:history="1">
            <w:r w:rsidRPr="00DF7058">
              <w:rPr>
                <w:rStyle w:val="Hyperlink"/>
              </w:rPr>
              <w:t>9.4</w:t>
            </w:r>
            <w:r>
              <w:rPr>
                <w:rFonts w:asciiTheme="minorHAnsi" w:eastAsiaTheme="minorEastAsia" w:hAnsiTheme="minorHAnsi"/>
                <w:b w:val="0"/>
                <w:color w:val="auto"/>
                <w:sz w:val="22"/>
                <w:lang w:eastAsia="en-AU"/>
              </w:rPr>
              <w:tab/>
            </w:r>
            <w:r w:rsidRPr="00DF7058">
              <w:rPr>
                <w:rStyle w:val="Hyperlink"/>
              </w:rPr>
              <w:t>Reasons for draft decision</w:t>
            </w:r>
            <w:r>
              <w:rPr>
                <w:webHidden/>
              </w:rPr>
              <w:tab/>
            </w:r>
            <w:r>
              <w:rPr>
                <w:webHidden/>
              </w:rPr>
              <w:fldChar w:fldCharType="begin"/>
            </w:r>
            <w:r>
              <w:rPr>
                <w:webHidden/>
              </w:rPr>
              <w:instrText xml:space="preserve"> PAGEREF _Toc436044131 \h </w:instrText>
            </w:r>
            <w:r>
              <w:rPr>
                <w:webHidden/>
              </w:rPr>
            </w:r>
            <w:r>
              <w:rPr>
                <w:webHidden/>
              </w:rPr>
              <w:fldChar w:fldCharType="separate"/>
            </w:r>
            <w:r>
              <w:rPr>
                <w:webHidden/>
              </w:rPr>
              <w:t>9-8</w:t>
            </w:r>
            <w:r>
              <w:rPr>
                <w:webHidden/>
              </w:rPr>
              <w:fldChar w:fldCharType="end"/>
            </w:r>
          </w:hyperlink>
        </w:p>
        <w:p w:rsidR="00E43AE7" w:rsidRDefault="00E43AE7">
          <w:pPr>
            <w:pStyle w:val="TOC2"/>
            <w:rPr>
              <w:rFonts w:asciiTheme="minorHAnsi" w:eastAsiaTheme="minorEastAsia" w:hAnsiTheme="minorHAnsi"/>
              <w:b w:val="0"/>
              <w:color w:val="auto"/>
              <w:sz w:val="22"/>
              <w:lang w:eastAsia="en-AU"/>
            </w:rPr>
          </w:pPr>
          <w:hyperlink w:anchor="_Toc436044132" w:history="1">
            <w:r w:rsidRPr="00DF7058">
              <w:rPr>
                <w:rStyle w:val="Hyperlink"/>
              </w:rPr>
              <w:t>9.5</w:t>
            </w:r>
            <w:r>
              <w:rPr>
                <w:rFonts w:asciiTheme="minorHAnsi" w:eastAsiaTheme="minorEastAsia" w:hAnsiTheme="minorHAnsi"/>
                <w:b w:val="0"/>
                <w:color w:val="auto"/>
                <w:sz w:val="22"/>
                <w:lang w:eastAsia="en-AU"/>
              </w:rPr>
              <w:tab/>
            </w:r>
            <w:r w:rsidRPr="00DF7058">
              <w:rPr>
                <w:rStyle w:val="Hyperlink"/>
              </w:rPr>
              <w:t>Revisions to APTNT’s proposed access arrangement</w:t>
            </w:r>
            <w:r>
              <w:rPr>
                <w:webHidden/>
              </w:rPr>
              <w:tab/>
            </w:r>
            <w:r>
              <w:rPr>
                <w:webHidden/>
              </w:rPr>
              <w:fldChar w:fldCharType="begin"/>
            </w:r>
            <w:r>
              <w:rPr>
                <w:webHidden/>
              </w:rPr>
              <w:instrText xml:space="preserve"> PAGEREF _Toc436044132 \h </w:instrText>
            </w:r>
            <w:r>
              <w:rPr>
                <w:webHidden/>
              </w:rPr>
            </w:r>
            <w:r>
              <w:rPr>
                <w:webHidden/>
              </w:rPr>
              <w:fldChar w:fldCharType="separate"/>
            </w:r>
            <w:r>
              <w:rPr>
                <w:webHidden/>
              </w:rPr>
              <w:t>9-10</w:t>
            </w:r>
            <w:r>
              <w:rPr>
                <w:webHidden/>
              </w:rPr>
              <w:fldChar w:fldCharType="end"/>
            </w:r>
          </w:hyperlink>
        </w:p>
        <w:p w:rsidR="00DE563D" w:rsidRDefault="00E43AE7" w:rsidP="00E43AE7">
          <w:pPr>
            <w:pStyle w:val="TOC1"/>
          </w:pPr>
          <w:r>
            <w:rPr>
              <w:color w:val="auto"/>
              <w:sz w:val="22"/>
            </w:rPr>
            <w:fldChar w:fldCharType="end"/>
          </w:r>
        </w:p>
      </w:sdtContent>
    </w:sdt>
    <w:p w:rsidR="00DE563D" w:rsidRDefault="00C84560">
      <w:pPr>
        <w:spacing w:line="240" w:lineRule="auto"/>
      </w:pPr>
      <w:r>
        <w:t xml:space="preserve"> </w:t>
      </w:r>
      <w:bookmarkStart w:id="7" w:name="_GoBack"/>
      <w:bookmarkEnd w:id="7"/>
    </w:p>
    <w:p w:rsidR="00EE77FA" w:rsidRDefault="00DE563D" w:rsidP="00DE772C">
      <w:pPr>
        <w:pStyle w:val="UnnumberedHeading"/>
        <w:numPr>
          <w:ilvl w:val="0"/>
          <w:numId w:val="23"/>
        </w:numPr>
      </w:pPr>
      <w:bookmarkStart w:id="8" w:name="_Toc404700925"/>
      <w:bookmarkStart w:id="9" w:name="_Toc436044126"/>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04207F" w:rsidTr="00042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Shortened form</w:t>
            </w:r>
          </w:p>
        </w:tc>
        <w:tc>
          <w:tcPr>
            <w:tcW w:w="5041" w:type="dxa"/>
            <w:tcBorders>
              <w:top w:val="nil"/>
              <w:left w:val="nil"/>
              <w:bottom w:val="nil"/>
              <w:right w:val="nil"/>
            </w:tcBorders>
            <w:hideMark/>
          </w:tcPr>
          <w:p w:rsidR="0004207F" w:rsidRPr="0004207F" w:rsidRDefault="0004207F" w:rsidP="0004207F">
            <w:pPr>
              <w:numPr>
                <w:ilvl w:val="0"/>
                <w:numId w:val="24"/>
              </w:numPr>
              <w:cnfStyle w:val="100000000000" w:firstRow="1" w:lastRow="0" w:firstColumn="0" w:lastColumn="0" w:oddVBand="0" w:evenVBand="0" w:oddHBand="0" w:evenHBand="0" w:firstRowFirstColumn="0" w:firstRowLastColumn="0" w:lastRowFirstColumn="0" w:lastRowLastColumn="0"/>
            </w:pPr>
            <w:r w:rsidRPr="0004207F">
              <w:t>Extended form</w:t>
            </w:r>
          </w:p>
        </w:tc>
      </w:tr>
      <w:tr w:rsidR="0004207F" w:rsidTr="0004207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AA</w:t>
            </w:r>
          </w:p>
        </w:tc>
        <w:tc>
          <w:tcPr>
            <w:tcW w:w="5041" w:type="dxa"/>
            <w:tcBorders>
              <w:top w:val="nil"/>
              <w:left w:val="nil"/>
              <w:bottom w:val="nil"/>
              <w:right w:val="nil"/>
            </w:tcBorders>
            <w:hideMark/>
          </w:tcPr>
          <w:p w:rsidR="0004207F" w:rsidRPr="0004207F" w:rsidRDefault="0004207F" w:rsidP="0004207F">
            <w:pPr>
              <w:cnfStyle w:val="000000000000" w:firstRow="0" w:lastRow="0" w:firstColumn="0" w:lastColumn="0" w:oddVBand="0" w:evenVBand="0" w:oddHBand="0" w:evenHBand="0" w:firstRowFirstColumn="0" w:firstRowLastColumn="0" w:lastRowFirstColumn="0" w:lastRowLastColumn="0"/>
            </w:pPr>
            <w:r w:rsidRPr="0004207F">
              <w:t>Access Arrangement</w:t>
            </w:r>
          </w:p>
        </w:tc>
      </w:tr>
      <w:tr w:rsidR="0004207F" w:rsidTr="00042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AAI</w:t>
            </w:r>
          </w:p>
        </w:tc>
        <w:tc>
          <w:tcPr>
            <w:tcW w:w="5041" w:type="dxa"/>
            <w:tcBorders>
              <w:top w:val="nil"/>
              <w:left w:val="nil"/>
              <w:bottom w:val="nil"/>
              <w:right w:val="nil"/>
            </w:tcBorders>
            <w:hideMark/>
          </w:tcPr>
          <w:p w:rsidR="0004207F" w:rsidRPr="0004207F" w:rsidRDefault="0004207F" w:rsidP="0004207F">
            <w:pPr>
              <w:cnfStyle w:val="000000010000" w:firstRow="0" w:lastRow="0" w:firstColumn="0" w:lastColumn="0" w:oddVBand="0" w:evenVBand="0" w:oddHBand="0" w:evenHBand="1" w:firstRowFirstColumn="0" w:firstRowLastColumn="0" w:lastRowFirstColumn="0" w:lastRowLastColumn="0"/>
            </w:pPr>
            <w:r w:rsidRPr="0004207F">
              <w:t>Access Arrangement Information</w:t>
            </w:r>
          </w:p>
        </w:tc>
      </w:tr>
      <w:tr w:rsidR="0004207F" w:rsidTr="0004207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AER</w:t>
            </w:r>
          </w:p>
        </w:tc>
        <w:tc>
          <w:tcPr>
            <w:tcW w:w="5041" w:type="dxa"/>
            <w:tcBorders>
              <w:top w:val="nil"/>
              <w:left w:val="nil"/>
              <w:bottom w:val="nil"/>
              <w:right w:val="nil"/>
            </w:tcBorders>
            <w:hideMark/>
          </w:tcPr>
          <w:p w:rsidR="0004207F" w:rsidRPr="0004207F" w:rsidRDefault="0004207F" w:rsidP="0004207F">
            <w:pPr>
              <w:numPr>
                <w:ilvl w:val="0"/>
                <w:numId w:val="24"/>
              </w:numPr>
              <w:cnfStyle w:val="000000000000" w:firstRow="0" w:lastRow="0" w:firstColumn="0" w:lastColumn="0" w:oddVBand="0" w:evenVBand="0" w:oddHBand="0" w:evenHBand="0" w:firstRowFirstColumn="0" w:firstRowLastColumn="0" w:lastRowFirstColumn="0" w:lastRowLastColumn="0"/>
            </w:pPr>
            <w:r w:rsidRPr="0004207F">
              <w:t>Australian Energy Regulator</w:t>
            </w:r>
          </w:p>
        </w:tc>
      </w:tr>
      <w:tr w:rsidR="0004207F" w:rsidTr="00042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AGP</w:t>
            </w:r>
          </w:p>
        </w:tc>
        <w:tc>
          <w:tcPr>
            <w:tcW w:w="5041" w:type="dxa"/>
            <w:tcBorders>
              <w:top w:val="nil"/>
              <w:left w:val="nil"/>
              <w:bottom w:val="nil"/>
              <w:right w:val="nil"/>
            </w:tcBorders>
            <w:hideMark/>
          </w:tcPr>
          <w:p w:rsidR="0004207F" w:rsidRPr="0004207F" w:rsidRDefault="0004207F" w:rsidP="0004207F">
            <w:pPr>
              <w:cnfStyle w:val="000000010000" w:firstRow="0" w:lastRow="0" w:firstColumn="0" w:lastColumn="0" w:oddVBand="0" w:evenVBand="0" w:oddHBand="0" w:evenHBand="1" w:firstRowFirstColumn="0" w:firstRowLastColumn="0" w:lastRowFirstColumn="0" w:lastRowLastColumn="0"/>
            </w:pPr>
            <w:r w:rsidRPr="0004207F">
              <w:t>Amadeus Gas Pipeline</w:t>
            </w:r>
          </w:p>
        </w:tc>
      </w:tr>
      <w:tr w:rsidR="0004207F" w:rsidTr="0004207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ATO</w:t>
            </w:r>
          </w:p>
        </w:tc>
        <w:tc>
          <w:tcPr>
            <w:tcW w:w="5041" w:type="dxa"/>
            <w:tcBorders>
              <w:top w:val="nil"/>
              <w:left w:val="nil"/>
              <w:bottom w:val="nil"/>
              <w:right w:val="nil"/>
            </w:tcBorders>
            <w:hideMark/>
          </w:tcPr>
          <w:p w:rsidR="0004207F" w:rsidRPr="0004207F" w:rsidRDefault="0004207F" w:rsidP="0004207F">
            <w:pPr>
              <w:cnfStyle w:val="000000000000" w:firstRow="0" w:lastRow="0" w:firstColumn="0" w:lastColumn="0" w:oddVBand="0" w:evenVBand="0" w:oddHBand="0" w:evenHBand="0" w:firstRowFirstColumn="0" w:firstRowLastColumn="0" w:lastRowFirstColumn="0" w:lastRowLastColumn="0"/>
            </w:pPr>
            <w:r w:rsidRPr="0004207F">
              <w:t>Australian Tax Office</w:t>
            </w:r>
          </w:p>
        </w:tc>
      </w:tr>
      <w:tr w:rsidR="0004207F" w:rsidTr="00042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capex</w:t>
            </w:r>
          </w:p>
        </w:tc>
        <w:tc>
          <w:tcPr>
            <w:tcW w:w="5041" w:type="dxa"/>
            <w:tcBorders>
              <w:top w:val="nil"/>
              <w:left w:val="nil"/>
              <w:bottom w:val="nil"/>
              <w:right w:val="nil"/>
            </w:tcBorders>
            <w:hideMark/>
          </w:tcPr>
          <w:p w:rsidR="0004207F" w:rsidRPr="0004207F" w:rsidRDefault="0004207F" w:rsidP="0004207F">
            <w:pPr>
              <w:numPr>
                <w:ilvl w:val="0"/>
                <w:numId w:val="24"/>
              </w:numPr>
              <w:cnfStyle w:val="000000010000" w:firstRow="0" w:lastRow="0" w:firstColumn="0" w:lastColumn="0" w:oddVBand="0" w:evenVBand="0" w:oddHBand="0" w:evenHBand="1" w:firstRowFirstColumn="0" w:firstRowLastColumn="0" w:lastRowFirstColumn="0" w:lastRowLastColumn="0"/>
            </w:pPr>
            <w:r w:rsidRPr="0004207F">
              <w:t>capital expenditure</w:t>
            </w:r>
          </w:p>
        </w:tc>
      </w:tr>
      <w:tr w:rsidR="0004207F" w:rsidTr="0004207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CAPM</w:t>
            </w:r>
          </w:p>
        </w:tc>
        <w:tc>
          <w:tcPr>
            <w:tcW w:w="5041" w:type="dxa"/>
            <w:tcBorders>
              <w:top w:val="nil"/>
              <w:left w:val="nil"/>
              <w:bottom w:val="nil"/>
              <w:right w:val="nil"/>
            </w:tcBorders>
            <w:hideMark/>
          </w:tcPr>
          <w:p w:rsidR="0004207F" w:rsidRPr="0004207F" w:rsidRDefault="0004207F" w:rsidP="0004207F">
            <w:pPr>
              <w:numPr>
                <w:ilvl w:val="0"/>
                <w:numId w:val="24"/>
              </w:numPr>
              <w:cnfStyle w:val="000000000000" w:firstRow="0" w:lastRow="0" w:firstColumn="0" w:lastColumn="0" w:oddVBand="0" w:evenVBand="0" w:oddHBand="0" w:evenHBand="0" w:firstRowFirstColumn="0" w:firstRowLastColumn="0" w:lastRowFirstColumn="0" w:lastRowLastColumn="0"/>
            </w:pPr>
            <w:r w:rsidRPr="0004207F">
              <w:t>capital asset pricing model</w:t>
            </w:r>
          </w:p>
        </w:tc>
      </w:tr>
      <w:tr w:rsidR="0004207F" w:rsidTr="00042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CESS</w:t>
            </w:r>
          </w:p>
        </w:tc>
        <w:tc>
          <w:tcPr>
            <w:tcW w:w="5041" w:type="dxa"/>
            <w:tcBorders>
              <w:top w:val="nil"/>
              <w:left w:val="nil"/>
              <w:bottom w:val="nil"/>
              <w:right w:val="nil"/>
            </w:tcBorders>
            <w:hideMark/>
          </w:tcPr>
          <w:p w:rsidR="0004207F" w:rsidRPr="0004207F" w:rsidRDefault="0004207F" w:rsidP="0004207F">
            <w:pPr>
              <w:numPr>
                <w:ilvl w:val="0"/>
                <w:numId w:val="24"/>
              </w:numPr>
              <w:cnfStyle w:val="000000010000" w:firstRow="0" w:lastRow="0" w:firstColumn="0" w:lastColumn="0" w:oddVBand="0" w:evenVBand="0" w:oddHBand="0" w:evenHBand="1" w:firstRowFirstColumn="0" w:firstRowLastColumn="0" w:lastRowFirstColumn="0" w:lastRowLastColumn="0"/>
            </w:pPr>
            <w:r w:rsidRPr="0004207F">
              <w:t>Capital Expenditure Sharing Scheme</w:t>
            </w:r>
          </w:p>
        </w:tc>
      </w:tr>
      <w:tr w:rsidR="0004207F" w:rsidTr="0004207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CPI</w:t>
            </w:r>
          </w:p>
        </w:tc>
        <w:tc>
          <w:tcPr>
            <w:tcW w:w="5041" w:type="dxa"/>
            <w:tcBorders>
              <w:top w:val="nil"/>
              <w:left w:val="nil"/>
              <w:bottom w:val="nil"/>
              <w:right w:val="nil"/>
            </w:tcBorders>
            <w:hideMark/>
          </w:tcPr>
          <w:p w:rsidR="0004207F" w:rsidRPr="0004207F" w:rsidRDefault="0004207F" w:rsidP="0004207F">
            <w:pPr>
              <w:numPr>
                <w:ilvl w:val="0"/>
                <w:numId w:val="24"/>
              </w:numPr>
              <w:cnfStyle w:val="000000000000" w:firstRow="0" w:lastRow="0" w:firstColumn="0" w:lastColumn="0" w:oddVBand="0" w:evenVBand="0" w:oddHBand="0" w:evenHBand="0" w:firstRowFirstColumn="0" w:firstRowLastColumn="0" w:lastRowFirstColumn="0" w:lastRowLastColumn="0"/>
            </w:pPr>
            <w:r w:rsidRPr="0004207F">
              <w:t>consumer price index</w:t>
            </w:r>
          </w:p>
        </w:tc>
      </w:tr>
      <w:tr w:rsidR="0004207F" w:rsidTr="00042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DRP</w:t>
            </w:r>
          </w:p>
        </w:tc>
        <w:tc>
          <w:tcPr>
            <w:tcW w:w="5041" w:type="dxa"/>
            <w:tcBorders>
              <w:top w:val="nil"/>
              <w:left w:val="nil"/>
              <w:bottom w:val="nil"/>
              <w:right w:val="nil"/>
            </w:tcBorders>
            <w:hideMark/>
          </w:tcPr>
          <w:p w:rsidR="0004207F" w:rsidRPr="0004207F" w:rsidRDefault="0004207F" w:rsidP="0004207F">
            <w:pPr>
              <w:numPr>
                <w:ilvl w:val="0"/>
                <w:numId w:val="24"/>
              </w:numPr>
              <w:cnfStyle w:val="000000010000" w:firstRow="0" w:lastRow="0" w:firstColumn="0" w:lastColumn="0" w:oddVBand="0" w:evenVBand="0" w:oddHBand="0" w:evenHBand="1" w:firstRowFirstColumn="0" w:firstRowLastColumn="0" w:lastRowFirstColumn="0" w:lastRowLastColumn="0"/>
            </w:pPr>
            <w:r w:rsidRPr="0004207F">
              <w:t>debt risk premium</w:t>
            </w:r>
          </w:p>
        </w:tc>
      </w:tr>
      <w:tr w:rsidR="0004207F" w:rsidTr="0004207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EBSS</w:t>
            </w:r>
          </w:p>
        </w:tc>
        <w:tc>
          <w:tcPr>
            <w:tcW w:w="5041" w:type="dxa"/>
            <w:tcBorders>
              <w:top w:val="nil"/>
              <w:left w:val="nil"/>
              <w:bottom w:val="nil"/>
              <w:right w:val="nil"/>
            </w:tcBorders>
            <w:hideMark/>
          </w:tcPr>
          <w:p w:rsidR="0004207F" w:rsidRPr="0004207F" w:rsidRDefault="0004207F" w:rsidP="0004207F">
            <w:pPr>
              <w:cnfStyle w:val="000000000000" w:firstRow="0" w:lastRow="0" w:firstColumn="0" w:lastColumn="0" w:oddVBand="0" w:evenVBand="0" w:oddHBand="0" w:evenHBand="0" w:firstRowFirstColumn="0" w:firstRowLastColumn="0" w:lastRowFirstColumn="0" w:lastRowLastColumn="0"/>
            </w:pPr>
            <w:r w:rsidRPr="0004207F">
              <w:t>Efficiency Benefit Sharing Scheme</w:t>
            </w:r>
          </w:p>
        </w:tc>
      </w:tr>
      <w:tr w:rsidR="0004207F" w:rsidTr="00042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ERP</w:t>
            </w:r>
          </w:p>
        </w:tc>
        <w:tc>
          <w:tcPr>
            <w:tcW w:w="5041" w:type="dxa"/>
            <w:tcBorders>
              <w:top w:val="nil"/>
              <w:left w:val="nil"/>
              <w:bottom w:val="nil"/>
              <w:right w:val="nil"/>
            </w:tcBorders>
            <w:hideMark/>
          </w:tcPr>
          <w:p w:rsidR="0004207F" w:rsidRPr="0004207F" w:rsidRDefault="0004207F" w:rsidP="0004207F">
            <w:pPr>
              <w:numPr>
                <w:ilvl w:val="0"/>
                <w:numId w:val="24"/>
              </w:numPr>
              <w:cnfStyle w:val="000000010000" w:firstRow="0" w:lastRow="0" w:firstColumn="0" w:lastColumn="0" w:oddVBand="0" w:evenVBand="0" w:oddHBand="0" w:evenHBand="1" w:firstRowFirstColumn="0" w:firstRowLastColumn="0" w:lastRowFirstColumn="0" w:lastRowLastColumn="0"/>
            </w:pPr>
            <w:r w:rsidRPr="0004207F">
              <w:t>equity risk premium</w:t>
            </w:r>
          </w:p>
        </w:tc>
      </w:tr>
      <w:tr w:rsidR="0004207F" w:rsidTr="0004207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Expenditure Guideline</w:t>
            </w:r>
          </w:p>
        </w:tc>
        <w:tc>
          <w:tcPr>
            <w:tcW w:w="5041" w:type="dxa"/>
            <w:tcBorders>
              <w:top w:val="nil"/>
              <w:left w:val="nil"/>
              <w:bottom w:val="nil"/>
              <w:right w:val="nil"/>
            </w:tcBorders>
            <w:hideMark/>
          </w:tcPr>
          <w:p w:rsidR="0004207F" w:rsidRPr="0004207F" w:rsidRDefault="0004207F" w:rsidP="0004207F">
            <w:pPr>
              <w:cnfStyle w:val="000000000000" w:firstRow="0" w:lastRow="0" w:firstColumn="0" w:lastColumn="0" w:oddVBand="0" w:evenVBand="0" w:oddHBand="0" w:evenHBand="0" w:firstRowFirstColumn="0" w:firstRowLastColumn="0" w:lastRowFirstColumn="0" w:lastRowLastColumn="0"/>
            </w:pPr>
            <w:r w:rsidRPr="0004207F">
              <w:t>Expenditure Forecast Assessment Guideline</w:t>
            </w:r>
          </w:p>
        </w:tc>
      </w:tr>
      <w:tr w:rsidR="0004207F" w:rsidTr="00042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gamma</w:t>
            </w:r>
          </w:p>
        </w:tc>
        <w:tc>
          <w:tcPr>
            <w:tcW w:w="5041" w:type="dxa"/>
            <w:tcBorders>
              <w:top w:val="nil"/>
              <w:left w:val="nil"/>
              <w:bottom w:val="nil"/>
              <w:right w:val="nil"/>
            </w:tcBorders>
            <w:hideMark/>
          </w:tcPr>
          <w:p w:rsidR="0004207F" w:rsidRPr="0004207F" w:rsidRDefault="0004207F" w:rsidP="0004207F">
            <w:pPr>
              <w:cnfStyle w:val="000000010000" w:firstRow="0" w:lastRow="0" w:firstColumn="0" w:lastColumn="0" w:oddVBand="0" w:evenVBand="0" w:oddHBand="0" w:evenHBand="1" w:firstRowFirstColumn="0" w:firstRowLastColumn="0" w:lastRowFirstColumn="0" w:lastRowLastColumn="0"/>
            </w:pPr>
            <w:r w:rsidRPr="0004207F">
              <w:t>Value of Imputation Credits</w:t>
            </w:r>
          </w:p>
        </w:tc>
      </w:tr>
      <w:tr w:rsidR="0004207F" w:rsidTr="0004207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GSL</w:t>
            </w:r>
          </w:p>
        </w:tc>
        <w:tc>
          <w:tcPr>
            <w:tcW w:w="5041" w:type="dxa"/>
            <w:tcBorders>
              <w:top w:val="nil"/>
              <w:left w:val="nil"/>
              <w:bottom w:val="nil"/>
              <w:right w:val="nil"/>
            </w:tcBorders>
            <w:hideMark/>
          </w:tcPr>
          <w:p w:rsidR="0004207F" w:rsidRPr="0004207F" w:rsidRDefault="0004207F" w:rsidP="0004207F">
            <w:pPr>
              <w:cnfStyle w:val="000000000000" w:firstRow="0" w:lastRow="0" w:firstColumn="0" w:lastColumn="0" w:oddVBand="0" w:evenVBand="0" w:oddHBand="0" w:evenHBand="0" w:firstRowFirstColumn="0" w:firstRowLastColumn="0" w:lastRowFirstColumn="0" w:lastRowLastColumn="0"/>
            </w:pPr>
            <w:r w:rsidRPr="0004207F">
              <w:t>Guaranteed Service Level</w:t>
            </w:r>
          </w:p>
        </w:tc>
      </w:tr>
      <w:tr w:rsidR="0004207F" w:rsidTr="00042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MRP</w:t>
            </w:r>
          </w:p>
        </w:tc>
        <w:tc>
          <w:tcPr>
            <w:tcW w:w="5041" w:type="dxa"/>
            <w:tcBorders>
              <w:top w:val="nil"/>
              <w:left w:val="nil"/>
              <w:bottom w:val="nil"/>
              <w:right w:val="nil"/>
            </w:tcBorders>
            <w:hideMark/>
          </w:tcPr>
          <w:p w:rsidR="0004207F" w:rsidRPr="0004207F" w:rsidRDefault="0004207F" w:rsidP="0004207F">
            <w:pPr>
              <w:numPr>
                <w:ilvl w:val="0"/>
                <w:numId w:val="24"/>
              </w:numPr>
              <w:cnfStyle w:val="000000010000" w:firstRow="0" w:lastRow="0" w:firstColumn="0" w:lastColumn="0" w:oddVBand="0" w:evenVBand="0" w:oddHBand="0" w:evenHBand="1" w:firstRowFirstColumn="0" w:firstRowLastColumn="0" w:lastRowFirstColumn="0" w:lastRowLastColumn="0"/>
            </w:pPr>
            <w:r w:rsidRPr="0004207F">
              <w:t>market risk premium</w:t>
            </w:r>
          </w:p>
        </w:tc>
      </w:tr>
      <w:tr w:rsidR="0004207F" w:rsidTr="0004207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NEGI</w:t>
            </w:r>
          </w:p>
        </w:tc>
        <w:tc>
          <w:tcPr>
            <w:tcW w:w="5041" w:type="dxa"/>
            <w:tcBorders>
              <w:top w:val="nil"/>
              <w:left w:val="nil"/>
              <w:bottom w:val="nil"/>
              <w:right w:val="nil"/>
            </w:tcBorders>
            <w:hideMark/>
          </w:tcPr>
          <w:p w:rsidR="0004207F" w:rsidRPr="0004207F" w:rsidRDefault="0004207F" w:rsidP="0004207F">
            <w:pPr>
              <w:numPr>
                <w:ilvl w:val="0"/>
                <w:numId w:val="24"/>
              </w:numPr>
              <w:cnfStyle w:val="000000000000" w:firstRow="0" w:lastRow="0" w:firstColumn="0" w:lastColumn="0" w:oddVBand="0" w:evenVBand="0" w:oddHBand="0" w:evenHBand="0" w:firstRowFirstColumn="0" w:firstRowLastColumn="0" w:lastRowFirstColumn="0" w:lastRowLastColumn="0"/>
            </w:pPr>
            <w:r w:rsidRPr="0004207F">
              <w:t>north eastern gas interconnector</w:t>
            </w:r>
          </w:p>
        </w:tc>
      </w:tr>
      <w:tr w:rsidR="0004207F" w:rsidTr="00042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NGL</w:t>
            </w:r>
          </w:p>
        </w:tc>
        <w:tc>
          <w:tcPr>
            <w:tcW w:w="5041" w:type="dxa"/>
            <w:tcBorders>
              <w:top w:val="nil"/>
              <w:left w:val="nil"/>
              <w:bottom w:val="nil"/>
              <w:right w:val="nil"/>
            </w:tcBorders>
            <w:hideMark/>
          </w:tcPr>
          <w:p w:rsidR="0004207F" w:rsidRPr="0004207F" w:rsidRDefault="0004207F" w:rsidP="0004207F">
            <w:pPr>
              <w:numPr>
                <w:ilvl w:val="0"/>
                <w:numId w:val="24"/>
              </w:numPr>
              <w:cnfStyle w:val="000000010000" w:firstRow="0" w:lastRow="0" w:firstColumn="0" w:lastColumn="0" w:oddVBand="0" w:evenVBand="0" w:oddHBand="0" w:evenHBand="1" w:firstRowFirstColumn="0" w:firstRowLastColumn="0" w:lastRowFirstColumn="0" w:lastRowLastColumn="0"/>
            </w:pPr>
            <w:r w:rsidRPr="0004207F">
              <w:t>national gas law</w:t>
            </w:r>
          </w:p>
        </w:tc>
      </w:tr>
      <w:tr w:rsidR="0004207F" w:rsidTr="0004207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NGO</w:t>
            </w:r>
          </w:p>
        </w:tc>
        <w:tc>
          <w:tcPr>
            <w:tcW w:w="5041" w:type="dxa"/>
            <w:tcBorders>
              <w:top w:val="nil"/>
              <w:left w:val="nil"/>
              <w:bottom w:val="nil"/>
              <w:right w:val="nil"/>
            </w:tcBorders>
            <w:hideMark/>
          </w:tcPr>
          <w:p w:rsidR="0004207F" w:rsidRPr="0004207F" w:rsidRDefault="0004207F" w:rsidP="0004207F">
            <w:pPr>
              <w:numPr>
                <w:ilvl w:val="0"/>
                <w:numId w:val="24"/>
              </w:numPr>
              <w:cnfStyle w:val="000000000000" w:firstRow="0" w:lastRow="0" w:firstColumn="0" w:lastColumn="0" w:oddVBand="0" w:evenVBand="0" w:oddHBand="0" w:evenHBand="0" w:firstRowFirstColumn="0" w:firstRowLastColumn="0" w:lastRowFirstColumn="0" w:lastRowLastColumn="0"/>
            </w:pPr>
            <w:r w:rsidRPr="0004207F">
              <w:t>national gas objective</w:t>
            </w:r>
          </w:p>
        </w:tc>
      </w:tr>
      <w:tr w:rsidR="0004207F" w:rsidTr="00042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NGR</w:t>
            </w:r>
          </w:p>
        </w:tc>
        <w:tc>
          <w:tcPr>
            <w:tcW w:w="5041" w:type="dxa"/>
            <w:tcBorders>
              <w:top w:val="nil"/>
              <w:left w:val="nil"/>
              <w:bottom w:val="nil"/>
              <w:right w:val="nil"/>
            </w:tcBorders>
            <w:hideMark/>
          </w:tcPr>
          <w:p w:rsidR="0004207F" w:rsidRPr="0004207F" w:rsidRDefault="0004207F" w:rsidP="0004207F">
            <w:pPr>
              <w:numPr>
                <w:ilvl w:val="0"/>
                <w:numId w:val="24"/>
              </w:numPr>
              <w:cnfStyle w:val="000000010000" w:firstRow="0" w:lastRow="0" w:firstColumn="0" w:lastColumn="0" w:oddVBand="0" w:evenVBand="0" w:oddHBand="0" w:evenHBand="1" w:firstRowFirstColumn="0" w:firstRowLastColumn="0" w:lastRowFirstColumn="0" w:lastRowLastColumn="0"/>
            </w:pPr>
            <w:r w:rsidRPr="0004207F">
              <w:t>national gas rules</w:t>
            </w:r>
          </w:p>
        </w:tc>
      </w:tr>
      <w:tr w:rsidR="0004207F" w:rsidTr="0004207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NPV</w:t>
            </w:r>
          </w:p>
        </w:tc>
        <w:tc>
          <w:tcPr>
            <w:tcW w:w="5041" w:type="dxa"/>
            <w:tcBorders>
              <w:top w:val="nil"/>
              <w:left w:val="nil"/>
              <w:bottom w:val="nil"/>
              <w:right w:val="nil"/>
            </w:tcBorders>
            <w:hideMark/>
          </w:tcPr>
          <w:p w:rsidR="0004207F" w:rsidRPr="0004207F" w:rsidRDefault="0004207F" w:rsidP="0004207F">
            <w:pPr>
              <w:cnfStyle w:val="000000000000" w:firstRow="0" w:lastRow="0" w:firstColumn="0" w:lastColumn="0" w:oddVBand="0" w:evenVBand="0" w:oddHBand="0" w:evenHBand="0" w:firstRowFirstColumn="0" w:firstRowLastColumn="0" w:lastRowFirstColumn="0" w:lastRowLastColumn="0"/>
            </w:pPr>
            <w:r w:rsidRPr="0004207F">
              <w:t>net present value</w:t>
            </w:r>
          </w:p>
        </w:tc>
      </w:tr>
      <w:tr w:rsidR="0004207F" w:rsidTr="00042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opex</w:t>
            </w:r>
          </w:p>
        </w:tc>
        <w:tc>
          <w:tcPr>
            <w:tcW w:w="5041" w:type="dxa"/>
            <w:tcBorders>
              <w:top w:val="nil"/>
              <w:left w:val="nil"/>
              <w:bottom w:val="nil"/>
              <w:right w:val="nil"/>
            </w:tcBorders>
            <w:hideMark/>
          </w:tcPr>
          <w:p w:rsidR="0004207F" w:rsidRPr="0004207F" w:rsidRDefault="0004207F" w:rsidP="0004207F">
            <w:pPr>
              <w:numPr>
                <w:ilvl w:val="0"/>
                <w:numId w:val="24"/>
              </w:numPr>
              <w:cnfStyle w:val="000000010000" w:firstRow="0" w:lastRow="0" w:firstColumn="0" w:lastColumn="0" w:oddVBand="0" w:evenVBand="0" w:oddHBand="0" w:evenHBand="1" w:firstRowFirstColumn="0" w:firstRowLastColumn="0" w:lastRowFirstColumn="0" w:lastRowLastColumn="0"/>
            </w:pPr>
            <w:r w:rsidRPr="0004207F">
              <w:t>operating expenditure</w:t>
            </w:r>
          </w:p>
        </w:tc>
      </w:tr>
      <w:tr w:rsidR="0004207F" w:rsidTr="0004207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PFP</w:t>
            </w:r>
          </w:p>
        </w:tc>
        <w:tc>
          <w:tcPr>
            <w:tcW w:w="5041" w:type="dxa"/>
            <w:tcBorders>
              <w:top w:val="nil"/>
              <w:left w:val="nil"/>
              <w:bottom w:val="nil"/>
              <w:right w:val="nil"/>
            </w:tcBorders>
            <w:hideMark/>
          </w:tcPr>
          <w:p w:rsidR="0004207F" w:rsidRPr="0004207F" w:rsidRDefault="0004207F" w:rsidP="0004207F">
            <w:pPr>
              <w:cnfStyle w:val="000000000000" w:firstRow="0" w:lastRow="0" w:firstColumn="0" w:lastColumn="0" w:oddVBand="0" w:evenVBand="0" w:oddHBand="0" w:evenHBand="0" w:firstRowFirstColumn="0" w:firstRowLastColumn="0" w:lastRowFirstColumn="0" w:lastRowLastColumn="0"/>
            </w:pPr>
            <w:r w:rsidRPr="0004207F">
              <w:t>partial factor productivity</w:t>
            </w:r>
          </w:p>
        </w:tc>
      </w:tr>
      <w:tr w:rsidR="0004207F" w:rsidTr="00042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PPI</w:t>
            </w:r>
          </w:p>
        </w:tc>
        <w:tc>
          <w:tcPr>
            <w:tcW w:w="5041" w:type="dxa"/>
            <w:tcBorders>
              <w:top w:val="nil"/>
              <w:left w:val="nil"/>
              <w:bottom w:val="nil"/>
              <w:right w:val="nil"/>
            </w:tcBorders>
            <w:hideMark/>
          </w:tcPr>
          <w:p w:rsidR="0004207F" w:rsidRPr="0004207F" w:rsidRDefault="0004207F" w:rsidP="0004207F">
            <w:pPr>
              <w:numPr>
                <w:ilvl w:val="0"/>
                <w:numId w:val="24"/>
              </w:numPr>
              <w:cnfStyle w:val="000000010000" w:firstRow="0" w:lastRow="0" w:firstColumn="0" w:lastColumn="0" w:oddVBand="0" w:evenVBand="0" w:oddHBand="0" w:evenHBand="1" w:firstRowFirstColumn="0" w:firstRowLastColumn="0" w:lastRowFirstColumn="0" w:lastRowLastColumn="0"/>
            </w:pPr>
            <w:r w:rsidRPr="0004207F">
              <w:t>partial performance indicators</w:t>
            </w:r>
          </w:p>
        </w:tc>
      </w:tr>
      <w:tr w:rsidR="0004207F" w:rsidTr="0004207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PTRM</w:t>
            </w:r>
          </w:p>
        </w:tc>
        <w:tc>
          <w:tcPr>
            <w:tcW w:w="5041" w:type="dxa"/>
            <w:tcBorders>
              <w:top w:val="nil"/>
              <w:left w:val="nil"/>
              <w:bottom w:val="nil"/>
              <w:right w:val="nil"/>
            </w:tcBorders>
            <w:hideMark/>
          </w:tcPr>
          <w:p w:rsidR="0004207F" w:rsidRPr="0004207F" w:rsidRDefault="0004207F" w:rsidP="0004207F">
            <w:pPr>
              <w:numPr>
                <w:ilvl w:val="0"/>
                <w:numId w:val="24"/>
              </w:numPr>
              <w:cnfStyle w:val="000000000000" w:firstRow="0" w:lastRow="0" w:firstColumn="0" w:lastColumn="0" w:oddVBand="0" w:evenVBand="0" w:oddHBand="0" w:evenHBand="0" w:firstRowFirstColumn="0" w:firstRowLastColumn="0" w:lastRowFirstColumn="0" w:lastRowLastColumn="0"/>
            </w:pPr>
            <w:r w:rsidRPr="0004207F">
              <w:t>post-tax revenue model</w:t>
            </w:r>
          </w:p>
        </w:tc>
      </w:tr>
      <w:tr w:rsidR="0004207F" w:rsidTr="00042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RBA</w:t>
            </w:r>
          </w:p>
        </w:tc>
        <w:tc>
          <w:tcPr>
            <w:tcW w:w="5041" w:type="dxa"/>
            <w:tcBorders>
              <w:top w:val="nil"/>
              <w:left w:val="nil"/>
              <w:bottom w:val="nil"/>
              <w:right w:val="nil"/>
            </w:tcBorders>
            <w:hideMark/>
          </w:tcPr>
          <w:p w:rsidR="0004207F" w:rsidRPr="0004207F" w:rsidRDefault="0004207F" w:rsidP="0004207F">
            <w:pPr>
              <w:numPr>
                <w:ilvl w:val="0"/>
                <w:numId w:val="24"/>
              </w:numPr>
              <w:cnfStyle w:val="000000010000" w:firstRow="0" w:lastRow="0" w:firstColumn="0" w:lastColumn="0" w:oddVBand="0" w:evenVBand="0" w:oddHBand="0" w:evenHBand="1" w:firstRowFirstColumn="0" w:firstRowLastColumn="0" w:lastRowFirstColumn="0" w:lastRowLastColumn="0"/>
            </w:pPr>
            <w:r w:rsidRPr="0004207F">
              <w:t>Reserve Bank of Australia</w:t>
            </w:r>
          </w:p>
        </w:tc>
      </w:tr>
      <w:tr w:rsidR="0004207F" w:rsidTr="0004207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RFM</w:t>
            </w:r>
          </w:p>
        </w:tc>
        <w:tc>
          <w:tcPr>
            <w:tcW w:w="5041" w:type="dxa"/>
            <w:tcBorders>
              <w:top w:val="nil"/>
              <w:left w:val="nil"/>
              <w:bottom w:val="nil"/>
              <w:right w:val="nil"/>
            </w:tcBorders>
            <w:hideMark/>
          </w:tcPr>
          <w:p w:rsidR="0004207F" w:rsidRPr="0004207F" w:rsidRDefault="0004207F" w:rsidP="0004207F">
            <w:pPr>
              <w:numPr>
                <w:ilvl w:val="0"/>
                <w:numId w:val="24"/>
              </w:numPr>
              <w:cnfStyle w:val="000000000000" w:firstRow="0" w:lastRow="0" w:firstColumn="0" w:lastColumn="0" w:oddVBand="0" w:evenVBand="0" w:oddHBand="0" w:evenHBand="0" w:firstRowFirstColumn="0" w:firstRowLastColumn="0" w:lastRowFirstColumn="0" w:lastRowLastColumn="0"/>
            </w:pPr>
            <w:r w:rsidRPr="0004207F">
              <w:t>roll forward model</w:t>
            </w:r>
          </w:p>
        </w:tc>
      </w:tr>
      <w:tr w:rsidR="0004207F" w:rsidTr="00042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RIN</w:t>
            </w:r>
          </w:p>
        </w:tc>
        <w:tc>
          <w:tcPr>
            <w:tcW w:w="5041" w:type="dxa"/>
            <w:tcBorders>
              <w:top w:val="nil"/>
              <w:left w:val="nil"/>
              <w:bottom w:val="nil"/>
              <w:right w:val="nil"/>
            </w:tcBorders>
            <w:hideMark/>
          </w:tcPr>
          <w:p w:rsidR="0004207F" w:rsidRPr="0004207F" w:rsidRDefault="0004207F" w:rsidP="0004207F">
            <w:pPr>
              <w:numPr>
                <w:ilvl w:val="0"/>
                <w:numId w:val="24"/>
              </w:numPr>
              <w:cnfStyle w:val="000000010000" w:firstRow="0" w:lastRow="0" w:firstColumn="0" w:lastColumn="0" w:oddVBand="0" w:evenVBand="0" w:oddHBand="0" w:evenHBand="1" w:firstRowFirstColumn="0" w:firstRowLastColumn="0" w:lastRowFirstColumn="0" w:lastRowLastColumn="0"/>
            </w:pPr>
            <w:r w:rsidRPr="0004207F">
              <w:t>regulatory information notice</w:t>
            </w:r>
          </w:p>
        </w:tc>
      </w:tr>
      <w:tr w:rsidR="0004207F" w:rsidTr="0004207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RPP</w:t>
            </w:r>
          </w:p>
        </w:tc>
        <w:tc>
          <w:tcPr>
            <w:tcW w:w="5041" w:type="dxa"/>
            <w:tcBorders>
              <w:top w:val="nil"/>
              <w:left w:val="nil"/>
              <w:bottom w:val="nil"/>
              <w:right w:val="nil"/>
            </w:tcBorders>
            <w:hideMark/>
          </w:tcPr>
          <w:p w:rsidR="0004207F" w:rsidRPr="0004207F" w:rsidRDefault="0004207F" w:rsidP="0004207F">
            <w:pPr>
              <w:numPr>
                <w:ilvl w:val="0"/>
                <w:numId w:val="24"/>
              </w:numPr>
              <w:cnfStyle w:val="000000000000" w:firstRow="0" w:lastRow="0" w:firstColumn="0" w:lastColumn="0" w:oddVBand="0" w:evenVBand="0" w:oddHBand="0" w:evenHBand="0" w:firstRowFirstColumn="0" w:firstRowLastColumn="0" w:lastRowFirstColumn="0" w:lastRowLastColumn="0"/>
            </w:pPr>
            <w:r w:rsidRPr="0004207F">
              <w:t>revenue and pricing principles</w:t>
            </w:r>
          </w:p>
        </w:tc>
      </w:tr>
      <w:tr w:rsidR="0004207F" w:rsidTr="00042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SLCAPM</w:t>
            </w:r>
          </w:p>
        </w:tc>
        <w:tc>
          <w:tcPr>
            <w:tcW w:w="5041" w:type="dxa"/>
            <w:tcBorders>
              <w:top w:val="nil"/>
              <w:left w:val="nil"/>
              <w:bottom w:val="nil"/>
              <w:right w:val="nil"/>
            </w:tcBorders>
            <w:hideMark/>
          </w:tcPr>
          <w:p w:rsidR="0004207F" w:rsidRPr="0004207F" w:rsidRDefault="0004207F" w:rsidP="0004207F">
            <w:pPr>
              <w:numPr>
                <w:ilvl w:val="0"/>
                <w:numId w:val="24"/>
              </w:numPr>
              <w:cnfStyle w:val="000000010000" w:firstRow="0" w:lastRow="0" w:firstColumn="0" w:lastColumn="0" w:oddVBand="0" w:evenVBand="0" w:oddHBand="0" w:evenHBand="1" w:firstRowFirstColumn="0" w:firstRowLastColumn="0" w:lastRowFirstColumn="0" w:lastRowLastColumn="0"/>
            </w:pPr>
            <w:r w:rsidRPr="0004207F">
              <w:t>Sharpe-</w:t>
            </w:r>
            <w:proofErr w:type="spellStart"/>
            <w:r w:rsidRPr="0004207F">
              <w:t>Lintner</w:t>
            </w:r>
            <w:proofErr w:type="spellEnd"/>
            <w:r w:rsidRPr="0004207F">
              <w:t xml:space="preserve"> capital asset pricing model</w:t>
            </w:r>
          </w:p>
        </w:tc>
      </w:tr>
      <w:tr w:rsidR="0004207F" w:rsidTr="0004207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TAB</w:t>
            </w:r>
          </w:p>
        </w:tc>
        <w:tc>
          <w:tcPr>
            <w:tcW w:w="5041" w:type="dxa"/>
            <w:tcBorders>
              <w:top w:val="nil"/>
              <w:left w:val="nil"/>
              <w:bottom w:val="nil"/>
              <w:right w:val="nil"/>
            </w:tcBorders>
            <w:hideMark/>
          </w:tcPr>
          <w:p w:rsidR="0004207F" w:rsidRPr="0004207F" w:rsidRDefault="0004207F" w:rsidP="0004207F">
            <w:pPr>
              <w:cnfStyle w:val="000000000000" w:firstRow="0" w:lastRow="0" w:firstColumn="0" w:lastColumn="0" w:oddVBand="0" w:evenVBand="0" w:oddHBand="0" w:evenHBand="0" w:firstRowFirstColumn="0" w:firstRowLastColumn="0" w:lastRowFirstColumn="0" w:lastRowLastColumn="0"/>
            </w:pPr>
            <w:r w:rsidRPr="0004207F">
              <w:t>Tax asset base</w:t>
            </w:r>
          </w:p>
        </w:tc>
      </w:tr>
      <w:tr w:rsidR="0004207F" w:rsidTr="00042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UAFG</w:t>
            </w:r>
          </w:p>
        </w:tc>
        <w:tc>
          <w:tcPr>
            <w:tcW w:w="5041" w:type="dxa"/>
            <w:tcBorders>
              <w:top w:val="nil"/>
              <w:left w:val="nil"/>
              <w:bottom w:val="nil"/>
              <w:right w:val="nil"/>
            </w:tcBorders>
            <w:hideMark/>
          </w:tcPr>
          <w:p w:rsidR="0004207F" w:rsidRPr="0004207F" w:rsidRDefault="0004207F" w:rsidP="0004207F">
            <w:pPr>
              <w:cnfStyle w:val="000000010000" w:firstRow="0" w:lastRow="0" w:firstColumn="0" w:lastColumn="0" w:oddVBand="0" w:evenVBand="0" w:oddHBand="0" w:evenHBand="1" w:firstRowFirstColumn="0" w:firstRowLastColumn="0" w:lastRowFirstColumn="0" w:lastRowLastColumn="0"/>
            </w:pPr>
            <w:r w:rsidRPr="0004207F">
              <w:t>Unaccounted for gas</w:t>
            </w:r>
          </w:p>
        </w:tc>
      </w:tr>
      <w:tr w:rsidR="0004207F" w:rsidTr="0004207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4207F" w:rsidRPr="0004207F" w:rsidRDefault="0004207F" w:rsidP="0004207F">
            <w:pPr>
              <w:numPr>
                <w:ilvl w:val="0"/>
                <w:numId w:val="24"/>
              </w:numPr>
            </w:pPr>
            <w:r w:rsidRPr="0004207F">
              <w:t>WACC</w:t>
            </w:r>
          </w:p>
        </w:tc>
        <w:tc>
          <w:tcPr>
            <w:tcW w:w="5041" w:type="dxa"/>
            <w:tcBorders>
              <w:top w:val="nil"/>
              <w:left w:val="nil"/>
              <w:bottom w:val="nil"/>
              <w:right w:val="nil"/>
            </w:tcBorders>
            <w:hideMark/>
          </w:tcPr>
          <w:p w:rsidR="0004207F" w:rsidRPr="0004207F" w:rsidRDefault="0004207F" w:rsidP="0004207F">
            <w:pPr>
              <w:numPr>
                <w:ilvl w:val="0"/>
                <w:numId w:val="24"/>
              </w:numPr>
              <w:cnfStyle w:val="000000000000" w:firstRow="0" w:lastRow="0" w:firstColumn="0" w:lastColumn="0" w:oddVBand="0" w:evenVBand="0" w:oddHBand="0" w:evenHBand="0" w:firstRowFirstColumn="0" w:firstRowLastColumn="0" w:lastRowFirstColumn="0" w:lastRowLastColumn="0"/>
            </w:pPr>
            <w:r w:rsidRPr="0004207F">
              <w:t>weighted average cost of capital</w:t>
            </w:r>
          </w:p>
        </w:tc>
      </w:tr>
      <w:tr w:rsidR="0004207F" w:rsidTr="00042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04207F" w:rsidRPr="0004207F" w:rsidRDefault="0004207F" w:rsidP="0004207F">
            <w:pPr>
              <w:numPr>
                <w:ilvl w:val="0"/>
                <w:numId w:val="24"/>
              </w:numPr>
            </w:pPr>
            <w:r w:rsidRPr="0004207F">
              <w:t>WPI</w:t>
            </w:r>
          </w:p>
        </w:tc>
        <w:tc>
          <w:tcPr>
            <w:tcW w:w="5041" w:type="dxa"/>
            <w:tcBorders>
              <w:top w:val="nil"/>
              <w:left w:val="nil"/>
              <w:bottom w:val="single" w:sz="4" w:space="0" w:color="365F91"/>
              <w:right w:val="nil"/>
            </w:tcBorders>
            <w:hideMark/>
          </w:tcPr>
          <w:p w:rsidR="0004207F" w:rsidRPr="0004207F" w:rsidRDefault="0004207F" w:rsidP="0004207F">
            <w:pPr>
              <w:cnfStyle w:val="000000010000" w:firstRow="0" w:lastRow="0" w:firstColumn="0" w:lastColumn="0" w:oddVBand="0" w:evenVBand="0" w:oddHBand="0" w:evenHBand="1" w:firstRowFirstColumn="0" w:firstRowLastColumn="0" w:lastRowFirstColumn="0" w:lastRowLastColumn="0"/>
            </w:pPr>
            <w:r w:rsidRPr="0004207F">
              <w:t>Wage Price Index</w:t>
            </w:r>
          </w:p>
        </w:tc>
      </w:tr>
    </w:tbl>
    <w:p w:rsidR="0004207F" w:rsidRPr="0004207F" w:rsidRDefault="0004207F" w:rsidP="0004207F"/>
    <w:p w:rsidR="00DE563D" w:rsidRDefault="004C0383" w:rsidP="004C0383">
      <w:pPr>
        <w:pStyle w:val="Heading1"/>
      </w:pPr>
      <w:bookmarkStart w:id="10" w:name="_Toc436044127"/>
      <w:r>
        <w:t>Efficiency carryover mechanism</w:t>
      </w:r>
      <w:bookmarkEnd w:id="10"/>
    </w:p>
    <w:p w:rsidR="00AA5AE3" w:rsidRDefault="00AA5AE3" w:rsidP="00AA5AE3">
      <w:r>
        <w:t xml:space="preserve">An efficiency carryover mechanism </w:t>
      </w:r>
      <w:r w:rsidR="00D71464">
        <w:t xml:space="preserve">(ECM) </w:t>
      </w:r>
      <w:r>
        <w:t>provides an additional incentive for service providers to pursue efficiency improvements in operating expenditure (opex).</w:t>
      </w:r>
      <w:r w:rsidR="00D71464">
        <w:t xml:space="preserve"> </w:t>
      </w:r>
      <w:r>
        <w:t xml:space="preserve">It is often used </w:t>
      </w:r>
      <w:r w:rsidR="00D71464">
        <w:t>in</w:t>
      </w:r>
      <w:r>
        <w:t xml:space="preserve"> incentive regulation. Given that opex is largely recurrent and predictable, opex in one period is generally a good indicator of opex in the next period. Where a service provider is relatively efficient, we use the actual opex it incurred in a chosen base year to forecast its opex for the next access arrangement period. </w:t>
      </w:r>
    </w:p>
    <w:p w:rsidR="00AA5AE3" w:rsidRDefault="00AA5AE3" w:rsidP="00AA5AE3">
      <w:r>
        <w:t xml:space="preserve">To encourage a service provider to become more efficient during the access arrangement period it is allowed to keep any difference between its approved forecast and its actual opex during an access arrangement period. This is supplemented by the efficiency carryover mechanism which allows the service provider to retain efficiency savings and efficiency losses for a longer period of time. In total these rewards and penalties work together to provide a continuous incentive for a service provider to pursue efficiency gains over the access arrangement period. The efficiency carryover mechanism also discourages a service provider from incurring </w:t>
      </w:r>
      <w:r w:rsidR="00E562C3">
        <w:t xml:space="preserve">inefficient </w:t>
      </w:r>
      <w:r>
        <w:t xml:space="preserve">opex in the expected base year in order to receive a higher opex allowance in the following access arrangement period.  </w:t>
      </w:r>
    </w:p>
    <w:p w:rsidR="00E63800" w:rsidRDefault="00E63800" w:rsidP="00AA5AE3">
      <w:r w:rsidRPr="00E63800">
        <w:t xml:space="preserve">When a service provider is rewarded for making efficiency gains, consumers benefit through lower prices in the next access arrangement period. This is because forecast opex in the next access arrangement period will reflect the service provider's lower level of opex in the current access arrangement period. As a result, regulated prices will be lower. </w:t>
      </w:r>
    </w:p>
    <w:p w:rsidR="00AA5AE3" w:rsidRPr="00AA5AE3" w:rsidRDefault="00AA5AE3" w:rsidP="00AA5AE3">
      <w:r>
        <w:t xml:space="preserve">An efficiency carryover mechanism did not apply to APTNT during the 2011–16 access arrangement </w:t>
      </w:r>
      <w:proofErr w:type="gramStart"/>
      <w:r>
        <w:t>period</w:t>
      </w:r>
      <w:proofErr w:type="gramEnd"/>
      <w:r>
        <w:t xml:space="preserve">. APTNT </w:t>
      </w:r>
      <w:r w:rsidR="00DD4D42">
        <w:t xml:space="preserve">did not </w:t>
      </w:r>
      <w:r>
        <w:t>propose</w:t>
      </w:r>
      <w:r w:rsidR="00DD4D42">
        <w:t xml:space="preserve"> to</w:t>
      </w:r>
      <w:r w:rsidR="003B3CA6">
        <w:t xml:space="preserve"> </w:t>
      </w:r>
      <w:r>
        <w:t>apply an efficiency carryover mechanism to its opex in the 201</w:t>
      </w:r>
      <w:r w:rsidR="005F7655">
        <w:t>6</w:t>
      </w:r>
      <w:r>
        <w:t xml:space="preserve">–21 access arrangement </w:t>
      </w:r>
      <w:proofErr w:type="gramStart"/>
      <w:r>
        <w:t>period</w:t>
      </w:r>
      <w:proofErr w:type="gramEnd"/>
      <w:r>
        <w:t>.</w:t>
      </w:r>
    </w:p>
    <w:p w:rsidR="009A5113" w:rsidRDefault="00CF2C05" w:rsidP="009A5113">
      <w:pPr>
        <w:pStyle w:val="Heading2"/>
      </w:pPr>
      <w:bookmarkStart w:id="11" w:name="_Toc408404320"/>
      <w:bookmarkStart w:id="12" w:name="_Toc436044128"/>
      <w:r>
        <w:t>Draft</w:t>
      </w:r>
      <w:r w:rsidR="009A5113" w:rsidRPr="0074565D">
        <w:t xml:space="preserve"> decision</w:t>
      </w:r>
      <w:bookmarkEnd w:id="11"/>
      <w:bookmarkEnd w:id="12"/>
    </w:p>
    <w:p w:rsidR="000D511D" w:rsidRDefault="000D511D" w:rsidP="000D511D">
      <w:r>
        <w:t>Our draft decision is to apply an efficiency carryover mechanism to APTNT in the 201</w:t>
      </w:r>
      <w:r w:rsidR="005F7655">
        <w:t>6</w:t>
      </w:r>
      <w:r w:rsidR="006E305B">
        <w:t>–</w:t>
      </w:r>
      <w:r>
        <w:t>21 access arrangement</w:t>
      </w:r>
      <w:r w:rsidR="00BA29B8">
        <w:t xml:space="preserve"> </w:t>
      </w:r>
      <w:proofErr w:type="gramStart"/>
      <w:r>
        <w:t>period</w:t>
      </w:r>
      <w:proofErr w:type="gramEnd"/>
      <w:r>
        <w:t>.</w:t>
      </w:r>
    </w:p>
    <w:p w:rsidR="009A5113" w:rsidRDefault="00E07FEF" w:rsidP="009A5113">
      <w:pPr>
        <w:pStyle w:val="Heading2"/>
      </w:pPr>
      <w:bookmarkStart w:id="13" w:name="_Toc436044129"/>
      <w:r>
        <w:t>APTNT’s</w:t>
      </w:r>
      <w:r w:rsidR="005C0A7F">
        <w:t xml:space="preserve"> proposal</w:t>
      </w:r>
      <w:bookmarkEnd w:id="13"/>
    </w:p>
    <w:p w:rsidR="00AA5AE3" w:rsidRDefault="00E63800" w:rsidP="00AA5AE3">
      <w:r>
        <w:t>APTNT did not propose any incentive mechanism</w:t>
      </w:r>
      <w:r w:rsidR="00BA29B8">
        <w:t xml:space="preserve"> </w:t>
      </w:r>
      <w:r>
        <w:t xml:space="preserve">for the Amadeus </w:t>
      </w:r>
      <w:r w:rsidR="00BA29B8">
        <w:t>Gas Pipeline (AGP)</w:t>
      </w:r>
      <w:r>
        <w:t>, beyond the incentives implicit in the regulatory regime.</w:t>
      </w:r>
      <w:r w:rsidR="00BA29B8">
        <w:rPr>
          <w:rStyle w:val="FootnoteReference"/>
        </w:rPr>
        <w:footnoteReference w:id="1"/>
      </w:r>
    </w:p>
    <w:p w:rsidR="00E63800" w:rsidRDefault="00454EBC" w:rsidP="00AA5AE3">
      <w:r>
        <w:t xml:space="preserve">In its Access Arrangement Revision Proposal, </w:t>
      </w:r>
      <w:r w:rsidR="00E63800">
        <w:t>APTNT stated:</w:t>
      </w:r>
      <w:r w:rsidR="00F63AC4">
        <w:rPr>
          <w:rStyle w:val="FootnoteReference"/>
        </w:rPr>
        <w:footnoteReference w:id="2"/>
      </w:r>
    </w:p>
    <w:p w:rsidR="00E63800" w:rsidRDefault="00E63800" w:rsidP="001C4DB7">
      <w:pPr>
        <w:pStyle w:val="AERquoteindent1"/>
      </w:pPr>
      <w:r w:rsidRPr="00F63AC4">
        <w:t>Under</w:t>
      </w:r>
      <w:r>
        <w:t xml:space="preserve"> the price cap regime, </w:t>
      </w:r>
      <w:r w:rsidR="00F63AC4">
        <w:t>t</w:t>
      </w:r>
      <w:r>
        <w:t>he service provider has clear incentives to:</w:t>
      </w:r>
    </w:p>
    <w:p w:rsidR="00E63800" w:rsidRDefault="00E63800" w:rsidP="001C4DB7">
      <w:pPr>
        <w:pStyle w:val="AERquotebullet1"/>
      </w:pPr>
      <w:r>
        <w:t>Reduce operating expenditure from approved forecast levels</w:t>
      </w:r>
    </w:p>
    <w:p w:rsidR="00E63800" w:rsidRDefault="00E63800" w:rsidP="001C4DB7">
      <w:pPr>
        <w:pStyle w:val="AERquotebullet1"/>
      </w:pPr>
      <w:r>
        <w:t>Defer or avoid</w:t>
      </w:r>
      <w:r w:rsidR="00F63AC4">
        <w:t xml:space="preserve"> capital expenditure relative to the approved forecast</w:t>
      </w:r>
      <w:r w:rsidR="00BA29B8">
        <w:t>;</w:t>
      </w:r>
      <w:r w:rsidR="00F63AC4">
        <w:t xml:space="preserve"> and</w:t>
      </w:r>
    </w:p>
    <w:p w:rsidR="00F63AC4" w:rsidRDefault="00F63AC4" w:rsidP="001C4DB7">
      <w:pPr>
        <w:pStyle w:val="AERquotebullet1"/>
      </w:pPr>
      <w:r>
        <w:t>Increase the utilisation of the pipeline.</w:t>
      </w:r>
    </w:p>
    <w:p w:rsidR="00F63AC4" w:rsidRDefault="00F63AC4" w:rsidP="00AA5AE3">
      <w:r>
        <w:t xml:space="preserve">APTNT also stated it faces strong incentives to reduce operating costs, as its actual revenue for the </w:t>
      </w:r>
      <w:r w:rsidR="00BA29B8">
        <w:t>AGP</w:t>
      </w:r>
      <w:r>
        <w:t xml:space="preserve"> is governed by a long term contract, and is not linked to regulated outcomes. It </w:t>
      </w:r>
      <w:r w:rsidR="00BA29B8">
        <w:t xml:space="preserve">stated that </w:t>
      </w:r>
      <w:r>
        <w:t>it faces a continuous incentive to reduce operating costs over the life of the existing contract.</w:t>
      </w:r>
      <w:r>
        <w:rPr>
          <w:rStyle w:val="FootnoteReference"/>
        </w:rPr>
        <w:footnoteReference w:id="3"/>
      </w:r>
    </w:p>
    <w:p w:rsidR="00684A09" w:rsidRDefault="00684A09" w:rsidP="00AA5AE3">
      <w:r>
        <w:t xml:space="preserve">In response to an information request from the AER, APTNT </w:t>
      </w:r>
      <w:r w:rsidR="002301B3">
        <w:t>stated</w:t>
      </w:r>
      <w:r>
        <w:t>:</w:t>
      </w:r>
      <w:r>
        <w:rPr>
          <w:rStyle w:val="FootnoteReference"/>
        </w:rPr>
        <w:footnoteReference w:id="4"/>
      </w:r>
      <w:r>
        <w:t xml:space="preserve"> </w:t>
      </w:r>
    </w:p>
    <w:p w:rsidR="00684A09" w:rsidRDefault="00684A09" w:rsidP="00684A09">
      <w:pPr>
        <w:pStyle w:val="AERquote"/>
      </w:pPr>
      <w:proofErr w:type="gramStart"/>
      <w:r>
        <w:t>an</w:t>
      </w:r>
      <w:proofErr w:type="gramEnd"/>
      <w:r>
        <w:t xml:space="preserve"> ECM would be an unnecessary additional administrative/regulatory burden and … is not suitable for application to a regulated asset with commercial arrangements in place such as those on the</w:t>
      </w:r>
      <w:r w:rsidR="00BA29B8">
        <w:t xml:space="preserve"> AGP</w:t>
      </w:r>
      <w:r>
        <w:t>.</w:t>
      </w:r>
    </w:p>
    <w:p w:rsidR="00684A09" w:rsidRDefault="0043536D" w:rsidP="00AA5AE3">
      <w:r>
        <w:t xml:space="preserve">APTNT </w:t>
      </w:r>
      <w:r w:rsidR="00684A09">
        <w:t>noted there are no customers using the reference service on the pipeline and all firm capacity is expected to remain contracted throughout the 2016</w:t>
      </w:r>
      <w:r w:rsidR="006E305B">
        <w:t>–</w:t>
      </w:r>
      <w:r w:rsidR="00684A09">
        <w:t xml:space="preserve">21 </w:t>
      </w:r>
      <w:proofErr w:type="gramStart"/>
      <w:r w:rsidR="00684A09">
        <w:t>period</w:t>
      </w:r>
      <w:proofErr w:type="gramEnd"/>
      <w:r w:rsidR="00684A09">
        <w:t>. Further, it contended the contracts in place include incentives for APTNT to minimise opex regardless of the operation of the access arrangement.</w:t>
      </w:r>
      <w:r w:rsidR="00684A09">
        <w:rPr>
          <w:rStyle w:val="FootnoteReference"/>
        </w:rPr>
        <w:footnoteReference w:id="5"/>
      </w:r>
      <w:r w:rsidR="002301B3">
        <w:t xml:space="preserve"> </w:t>
      </w:r>
    </w:p>
    <w:p w:rsidR="002301B3" w:rsidRDefault="002301B3" w:rsidP="00AA5AE3">
      <w:r w:rsidRPr="002301B3">
        <w:t>APTNT note</w:t>
      </w:r>
      <w:r>
        <w:t>d</w:t>
      </w:r>
      <w:r w:rsidRPr="002301B3">
        <w:t xml:space="preserve"> that the AER </w:t>
      </w:r>
      <w:r>
        <w:t>was considering</w:t>
      </w:r>
      <w:r w:rsidRPr="002301B3">
        <w:t xml:space="preserve"> imposin</w:t>
      </w:r>
      <w:r>
        <w:t>g</w:t>
      </w:r>
      <w:r w:rsidRPr="002301B3">
        <w:t xml:space="preserve"> a trigger mechanism to address </w:t>
      </w:r>
      <w:r w:rsidR="00DD4D42">
        <w:t xml:space="preserve">the potential demand impact on APG from the foreshadowed connection of </w:t>
      </w:r>
      <w:r w:rsidR="006E305B">
        <w:t>North East Gas Interconnector (NEGI)</w:t>
      </w:r>
      <w:r w:rsidR="00DD4D42">
        <w:t>. It</w:t>
      </w:r>
      <w:r>
        <w:t xml:space="preserve"> </w:t>
      </w:r>
      <w:r w:rsidR="00DD4D42">
        <w:t>considered</w:t>
      </w:r>
      <w:r w:rsidRPr="002301B3">
        <w:t xml:space="preserve"> a trigger mechanism would significantly undermine the operation of an ECM, and that it would be inappropriate to impose both a trigger event and an ECM in the forecast period.</w:t>
      </w:r>
      <w:r>
        <w:t xml:space="preserve"> It stated any opex associated with NEGI should be excluded from the ECM.</w:t>
      </w:r>
      <w:r>
        <w:rPr>
          <w:rStyle w:val="FootnoteReference"/>
        </w:rPr>
        <w:footnoteReference w:id="6"/>
      </w:r>
    </w:p>
    <w:p w:rsidR="009A5113" w:rsidRDefault="009A5113" w:rsidP="009A5113">
      <w:pPr>
        <w:pStyle w:val="Heading2"/>
      </w:pPr>
      <w:bookmarkStart w:id="14" w:name="_Toc408404322"/>
      <w:bookmarkStart w:id="15" w:name="_Toc436044130"/>
      <w:r w:rsidRPr="0074565D">
        <w:t>AER’s assessment approach</w:t>
      </w:r>
      <w:bookmarkEnd w:id="14"/>
      <w:bookmarkEnd w:id="15"/>
    </w:p>
    <w:p w:rsidR="00F63AC4" w:rsidRDefault="00F63AC4" w:rsidP="00F63AC4">
      <w:r>
        <w:t xml:space="preserve">An efficiency carryover mechanism is a form of incentive mechanism. A full access arrangement may include (and </w:t>
      </w:r>
      <w:r w:rsidR="000D797B">
        <w:t>we</w:t>
      </w:r>
      <w:r>
        <w:t xml:space="preserve"> may require it to include) one or more incentive mechanisms to encourage efficiency in the provision of services by the service provider.</w:t>
      </w:r>
      <w:r w:rsidR="00D22BE2">
        <w:rPr>
          <w:rStyle w:val="FootnoteReference"/>
        </w:rPr>
        <w:footnoteReference w:id="7"/>
      </w:r>
      <w:r>
        <w:t xml:space="preserve"> An incentive mechanism must be consistent with the revenue and pricing principles.</w:t>
      </w:r>
      <w:r w:rsidR="00AD3ADD">
        <w:rPr>
          <w:rStyle w:val="FootnoteReference"/>
        </w:rPr>
        <w:footnoteReference w:id="8"/>
      </w:r>
      <w:r>
        <w:t xml:space="preserve"> </w:t>
      </w:r>
    </w:p>
    <w:p w:rsidR="00F63AC4" w:rsidRDefault="00F63AC4" w:rsidP="00F63AC4">
      <w:r>
        <w:t>We consider the following revenue and pricing principle is most relevant for assessing APTNT's proposal to not apply an efficiency carryover mechanism.</w:t>
      </w:r>
      <w:r w:rsidR="00AD3ADD">
        <w:rPr>
          <w:rStyle w:val="FootnoteReference"/>
        </w:rPr>
        <w:footnoteReference w:id="9"/>
      </w:r>
    </w:p>
    <w:p w:rsidR="00F63AC4" w:rsidRDefault="00F63AC4" w:rsidP="00EA6AC5">
      <w:pPr>
        <w:pStyle w:val="AERquote"/>
      </w:pPr>
      <w:r>
        <w:t>A service provider should be provided with effective incentives in order to promote economic efficiency with respect to reference services the service provider provides.</w:t>
      </w:r>
    </w:p>
    <w:p w:rsidR="00F63AC4" w:rsidRDefault="00F63AC4" w:rsidP="00EA6AC5">
      <w:pPr>
        <w:pStyle w:val="AERquote"/>
      </w:pPr>
      <w:r>
        <w:t>The economic efficiency that should be promoted includes—</w:t>
      </w:r>
    </w:p>
    <w:p w:rsidR="00F63AC4" w:rsidRDefault="00F63AC4" w:rsidP="00EA6AC5">
      <w:pPr>
        <w:pStyle w:val="AERquote"/>
      </w:pPr>
      <w:r>
        <w:t xml:space="preserve">(a) </w:t>
      </w:r>
      <w:proofErr w:type="gramStart"/>
      <w:r>
        <w:t>efficient</w:t>
      </w:r>
      <w:proofErr w:type="gramEnd"/>
      <w:r>
        <w:t xml:space="preserve"> investment in, or in connection with, a pipeline with which the service provider provides reference services; and</w:t>
      </w:r>
    </w:p>
    <w:p w:rsidR="00F63AC4" w:rsidRDefault="00F63AC4" w:rsidP="00EA6AC5">
      <w:pPr>
        <w:pStyle w:val="AERquote"/>
      </w:pPr>
      <w:r>
        <w:t xml:space="preserve">(b) </w:t>
      </w:r>
      <w:proofErr w:type="gramStart"/>
      <w:r>
        <w:t>the</w:t>
      </w:r>
      <w:proofErr w:type="gramEnd"/>
      <w:r>
        <w:t xml:space="preserve"> efficient provision of pipeline services; and</w:t>
      </w:r>
    </w:p>
    <w:p w:rsidR="00F63AC4" w:rsidRPr="00AA5AE3" w:rsidRDefault="00F63AC4" w:rsidP="00EA6AC5">
      <w:pPr>
        <w:pStyle w:val="AERquote"/>
      </w:pPr>
      <w:r>
        <w:t xml:space="preserve">(c) </w:t>
      </w:r>
      <w:proofErr w:type="gramStart"/>
      <w:r>
        <w:t>the</w:t>
      </w:r>
      <w:proofErr w:type="gramEnd"/>
      <w:r>
        <w:t xml:space="preserve"> efficient use of the pipeline.</w:t>
      </w:r>
    </w:p>
    <w:p w:rsidR="00EB3EF1" w:rsidRDefault="00C96256" w:rsidP="00D71464">
      <w:pPr>
        <w:pStyle w:val="HeadingBoldBlue"/>
      </w:pPr>
      <w:r>
        <w:t xml:space="preserve">Interrelationships </w:t>
      </w:r>
    </w:p>
    <w:p w:rsidR="00EB3EF1" w:rsidRDefault="00EB3EF1" w:rsidP="00EB3EF1">
      <w:r>
        <w:t xml:space="preserve">The efficiency carryover mechanism we apply to opex is intrinsically linked to </w:t>
      </w:r>
      <w:r w:rsidR="000D797B">
        <w:t xml:space="preserve">our </w:t>
      </w:r>
      <w:r>
        <w:t>revealed cost forecasting approach. Under this forecasting approach, the efficiency carryover mechanism has two specific functions:</w:t>
      </w:r>
    </w:p>
    <w:p w:rsidR="00EB3EF1" w:rsidRDefault="00EB3EF1" w:rsidP="00EB3EF1">
      <w:pPr>
        <w:pStyle w:val="AERbulletlistfirststyle"/>
      </w:pPr>
      <w:r>
        <w:t>To mitigate the incentive for a service provider to increase opex in the expected 'base year' to increase its forecast opex allowance for the following access arrangement period.</w:t>
      </w:r>
    </w:p>
    <w:p w:rsidR="00EB3EF1" w:rsidRPr="00AA5AE3" w:rsidRDefault="00EB3EF1" w:rsidP="00EB3EF1">
      <w:pPr>
        <w:pStyle w:val="AERbulletlistfirststyle"/>
      </w:pPr>
      <w:r>
        <w:t>To provide a continuous incentive for a service provider to make efficiency gains</w:t>
      </w:r>
      <w:r w:rsidR="00BA29B8">
        <w:t xml:space="preserve"> (</w:t>
      </w:r>
      <w:proofErr w:type="gramStart"/>
      <w:r>
        <w:t>an underspend</w:t>
      </w:r>
      <w:proofErr w:type="gramEnd"/>
      <w:r>
        <w:t xml:space="preserve"> </w:t>
      </w:r>
      <w:r w:rsidR="00133A12">
        <w:t>or</w:t>
      </w:r>
      <w:r>
        <w:t xml:space="preserve"> overspend</w:t>
      </w:r>
      <w:r w:rsidR="00133A12">
        <w:t xml:space="preserve"> will result in the service provider receiving </w:t>
      </w:r>
      <w:r w:rsidR="00C84B77">
        <w:t>an equivalent</w:t>
      </w:r>
      <w:r w:rsidR="00133A12">
        <w:t xml:space="preserve"> reward or penalty</w:t>
      </w:r>
      <w:r>
        <w:t xml:space="preserve"> in each year of the access arrangement period</w:t>
      </w:r>
      <w:r w:rsidR="00BA29B8">
        <w:t>)</w:t>
      </w:r>
      <w:r>
        <w:t>.</w:t>
      </w:r>
    </w:p>
    <w:p w:rsidR="002249C1" w:rsidRDefault="00C96256" w:rsidP="009F52C5">
      <w:pPr>
        <w:pStyle w:val="Heading2"/>
      </w:pPr>
      <w:bookmarkStart w:id="16" w:name="_Toc436044131"/>
      <w:r>
        <w:t>Reasons for draft decision</w:t>
      </w:r>
      <w:bookmarkEnd w:id="16"/>
      <w:r>
        <w:t xml:space="preserve"> </w:t>
      </w:r>
    </w:p>
    <w:p w:rsidR="002249C1" w:rsidRDefault="000D797B" w:rsidP="002249C1">
      <w:r>
        <w:t>Our draft decision is to apply</w:t>
      </w:r>
      <w:r w:rsidR="002249C1">
        <w:t xml:space="preserve"> an efficiency carryover mechanism to APTNT for the 201</w:t>
      </w:r>
      <w:r w:rsidR="005F7655">
        <w:t>6</w:t>
      </w:r>
      <w:r w:rsidR="002249C1">
        <w:t xml:space="preserve">-21 access arrangement </w:t>
      </w:r>
      <w:proofErr w:type="gramStart"/>
      <w:r w:rsidR="002249C1">
        <w:t>period</w:t>
      </w:r>
      <w:proofErr w:type="gramEnd"/>
      <w:r w:rsidR="002249C1">
        <w:t xml:space="preserve">. </w:t>
      </w:r>
    </w:p>
    <w:p w:rsidR="002249C1" w:rsidRDefault="002249C1" w:rsidP="002249C1">
      <w:r>
        <w:t xml:space="preserve">In </w:t>
      </w:r>
      <w:r w:rsidR="002301B3">
        <w:t xml:space="preserve">reviewing </w:t>
      </w:r>
      <w:r>
        <w:t xml:space="preserve">APTNT’s proposal we have considered whether the existing regulatory regime provides effective incentives to promote economic efficiency in the provision of reference services. We have also </w:t>
      </w:r>
      <w:r w:rsidR="002301B3">
        <w:t xml:space="preserve">reviewed </w:t>
      </w:r>
      <w:r w:rsidR="00BA29B8">
        <w:t xml:space="preserve">APTNT’s </w:t>
      </w:r>
      <w:r>
        <w:t>claim that the regulatory framework and existing operating environment provides it with a continuous incentive to reduce operating costs.</w:t>
      </w:r>
    </w:p>
    <w:p w:rsidR="001C4DB7" w:rsidRDefault="001C4DB7" w:rsidP="002249C1">
      <w:r>
        <w:t xml:space="preserve">Under the existing regime, if APTNT </w:t>
      </w:r>
      <w:r w:rsidR="007219C0">
        <w:t xml:space="preserve">spends less than the </w:t>
      </w:r>
      <w:r>
        <w:t xml:space="preserve">approved opex allowance, it retains the benefit of that underspend in all remaining years of the access arrangement period. The incentive to reduce opex is greatest at the beginning of the period, where the benefit can be retained for longer. APTNT also </w:t>
      </w:r>
      <w:r w:rsidR="00BA29B8">
        <w:t xml:space="preserve">stated </w:t>
      </w:r>
      <w:r>
        <w:t>the current long term contract that governs the operation of the pipeline imposes an incentive upon it to continuously seek opex efficiencies.</w:t>
      </w:r>
      <w:r>
        <w:rPr>
          <w:rStyle w:val="FootnoteReference"/>
        </w:rPr>
        <w:footnoteReference w:id="10"/>
      </w:r>
    </w:p>
    <w:p w:rsidR="003D0FD3" w:rsidRDefault="005716C2" w:rsidP="005716C2">
      <w:r>
        <w:t xml:space="preserve">The efficiency carryover mechanism is an integral component of the base-step-trend </w:t>
      </w:r>
      <w:r w:rsidR="000D797B">
        <w:t xml:space="preserve">(revealed cost) </w:t>
      </w:r>
      <w:r>
        <w:t xml:space="preserve">forecasting method we apply to opex. </w:t>
      </w:r>
      <w:r w:rsidR="000205FE">
        <w:t xml:space="preserve">The </w:t>
      </w:r>
      <w:r w:rsidR="0043536D">
        <w:t>base–step–trend</w:t>
      </w:r>
      <w:r w:rsidR="000205FE">
        <w:t xml:space="preserve"> forecasting method relies on identifying an efficient opex amount </w:t>
      </w:r>
      <w:r w:rsidR="00D71EF9">
        <w:t xml:space="preserve">in the </w:t>
      </w:r>
      <w:r w:rsidR="000205FE">
        <w:t>base year</w:t>
      </w:r>
      <w:r w:rsidR="00D71EF9">
        <w:t xml:space="preserve"> (the ‘revealed costs’ of the service provider)</w:t>
      </w:r>
      <w:r w:rsidR="000205FE">
        <w:t xml:space="preserve">, from which to develop a total opex forecast. </w:t>
      </w:r>
      <w:r w:rsidR="003D0FD3">
        <w:t xml:space="preserve">In this context, </w:t>
      </w:r>
      <w:r w:rsidR="000D797B">
        <w:t xml:space="preserve">as noted above, </w:t>
      </w:r>
      <w:r w:rsidR="003D0FD3">
        <w:t>the application of an efficiency carryover mechanism serves two important functions:</w:t>
      </w:r>
    </w:p>
    <w:p w:rsidR="003D0FD3" w:rsidRDefault="00D71464" w:rsidP="007219C0">
      <w:pPr>
        <w:pStyle w:val="AERbulletlistfirststyle"/>
      </w:pPr>
      <w:r>
        <w:t xml:space="preserve">it </w:t>
      </w:r>
      <w:r w:rsidR="003D0FD3" w:rsidRPr="00A120B3">
        <w:t>provide</w:t>
      </w:r>
      <w:r w:rsidR="003D0FD3">
        <w:t>s</w:t>
      </w:r>
      <w:r w:rsidR="003D0FD3" w:rsidRPr="00A120B3">
        <w:t xml:space="preserve"> a continuous incentive for </w:t>
      </w:r>
      <w:r w:rsidR="003D0FD3">
        <w:t>service providers</w:t>
      </w:r>
      <w:r w:rsidR="003D0FD3" w:rsidRPr="00A120B3">
        <w:t xml:space="preserve"> to pursue efficiency improvements</w:t>
      </w:r>
      <w:r w:rsidR="003D0FD3">
        <w:t xml:space="preserve"> across the access arrangement period</w:t>
      </w:r>
    </w:p>
    <w:p w:rsidR="003D0FD3" w:rsidRDefault="00D71464" w:rsidP="007219C0">
      <w:pPr>
        <w:pStyle w:val="AERbulletlistfirststyle"/>
      </w:pPr>
      <w:proofErr w:type="gramStart"/>
      <w:r>
        <w:t>it</w:t>
      </w:r>
      <w:proofErr w:type="gramEnd"/>
      <w:r>
        <w:t xml:space="preserve"> </w:t>
      </w:r>
      <w:r w:rsidR="00D71EF9">
        <w:t>reduces the incentive for the service provider to inflate its cost</w:t>
      </w:r>
      <w:r w:rsidR="000F5954">
        <w:t>s</w:t>
      </w:r>
      <w:r w:rsidR="00D71EF9">
        <w:t xml:space="preserve"> in the expected base year in order to increase its opex forecast for the next access arrangement period.  </w:t>
      </w:r>
    </w:p>
    <w:p w:rsidR="00D71EF9" w:rsidRDefault="00D71EF9" w:rsidP="003D0FD3">
      <w:r>
        <w:t>The application of an</w:t>
      </w:r>
      <w:r w:rsidR="007219C0">
        <w:t xml:space="preserve"> </w:t>
      </w:r>
      <w:r w:rsidR="000205FE">
        <w:t>efficiency carryover mechanism</w:t>
      </w:r>
      <w:r>
        <w:t xml:space="preserve"> allows us to </w:t>
      </w:r>
      <w:r w:rsidR="000205FE">
        <w:t>undertake a non</w:t>
      </w:r>
      <w:r w:rsidR="007219C0">
        <w:noBreakHyphen/>
      </w:r>
      <w:r w:rsidR="000205FE">
        <w:t>intrusive</w:t>
      </w:r>
      <w:r>
        <w:t xml:space="preserve"> top-down</w:t>
      </w:r>
      <w:r w:rsidR="000205FE">
        <w:t xml:space="preserve"> assessment of opex forecasts. </w:t>
      </w:r>
      <w:r w:rsidR="003D0FD3">
        <w:t xml:space="preserve">The application of an efficiency carryover mechanism is consistent with our approach to other regulated </w:t>
      </w:r>
      <w:r>
        <w:t>se</w:t>
      </w:r>
      <w:r w:rsidR="000D797B">
        <w:t>r</w:t>
      </w:r>
      <w:r>
        <w:t>vice providers</w:t>
      </w:r>
      <w:r w:rsidR="000D797B">
        <w:t xml:space="preserve"> </w:t>
      </w:r>
      <w:r>
        <w:t>where we use</w:t>
      </w:r>
      <w:r w:rsidRPr="00D71EF9">
        <w:t xml:space="preserve"> </w:t>
      </w:r>
      <w:r>
        <w:t>the base-step-trend forecasting method to forecast opex</w:t>
      </w:r>
      <w:r w:rsidR="003D0FD3">
        <w:t>.</w:t>
      </w:r>
      <w:r w:rsidR="000D797B">
        <w:t xml:space="preserve"> </w:t>
      </w:r>
      <w:r>
        <w:t xml:space="preserve">APTNT </w:t>
      </w:r>
      <w:r w:rsidR="007219C0">
        <w:t>stated</w:t>
      </w:r>
      <w:r>
        <w:t xml:space="preserve"> that </w:t>
      </w:r>
      <w:r w:rsidR="000F5954">
        <w:t xml:space="preserve">the application of efficiency carryover mechanism is not required given its current commercial arrangements. </w:t>
      </w:r>
      <w:r w:rsidR="009D32C7">
        <w:t>While APTNT</w:t>
      </w:r>
      <w:r w:rsidR="000D797B">
        <w:t>’s</w:t>
      </w:r>
      <w:r w:rsidR="009D32C7">
        <w:t xml:space="preserve"> </w:t>
      </w:r>
      <w:r w:rsidR="00FE1907">
        <w:t xml:space="preserve">actual </w:t>
      </w:r>
      <w:r w:rsidR="009D32C7">
        <w:t>opex has been stable</w:t>
      </w:r>
      <w:r w:rsidR="00FE1907">
        <w:t xml:space="preserve"> </w:t>
      </w:r>
      <w:r w:rsidR="009D32C7">
        <w:t xml:space="preserve">over the 2011-16 access arrangement </w:t>
      </w:r>
      <w:proofErr w:type="gramStart"/>
      <w:r w:rsidR="009D32C7">
        <w:t>period</w:t>
      </w:r>
      <w:proofErr w:type="gramEnd"/>
      <w:r w:rsidR="009D32C7">
        <w:t>, it</w:t>
      </w:r>
      <w:r w:rsidR="000F5954">
        <w:t xml:space="preserve"> is difficult for us to properly assess the efficacy of these commercial arrangements in</w:t>
      </w:r>
      <w:r w:rsidR="009D32C7">
        <w:t xml:space="preserve"> constraining</w:t>
      </w:r>
      <w:r w:rsidR="000F5954">
        <w:t xml:space="preserve"> APTNT’s monopoly power. </w:t>
      </w:r>
      <w:r w:rsidR="00FE1907">
        <w:t>Similarly</w:t>
      </w:r>
      <w:r w:rsidR="000F5954">
        <w:t xml:space="preserve">, it </w:t>
      </w:r>
      <w:r w:rsidR="00FE1907">
        <w:t xml:space="preserve">will be </w:t>
      </w:r>
      <w:r w:rsidR="000F5954">
        <w:t xml:space="preserve">difficult for us to </w:t>
      </w:r>
      <w:r w:rsidR="00FE1907">
        <w:t xml:space="preserve">assess </w:t>
      </w:r>
      <w:r w:rsidR="000F5954">
        <w:t>the efficacy of any commercial arrangements when we choose a base year for the purpose of our opex forecast for the next access arrangement period.</w:t>
      </w:r>
      <w:r w:rsidR="009D32C7">
        <w:t xml:space="preserve"> </w:t>
      </w:r>
    </w:p>
    <w:p w:rsidR="002249C1" w:rsidRDefault="002F1F68" w:rsidP="002249C1">
      <w:r>
        <w:t>We do not consider t</w:t>
      </w:r>
      <w:r w:rsidR="002249C1">
        <w:t xml:space="preserve">he application of the </w:t>
      </w:r>
      <w:r w:rsidR="000D511D">
        <w:t xml:space="preserve">efficiency carryover mechanism </w:t>
      </w:r>
      <w:r>
        <w:t>will</w:t>
      </w:r>
      <w:r w:rsidR="002249C1">
        <w:t xml:space="preserve"> significant</w:t>
      </w:r>
      <w:r>
        <w:t>ly</w:t>
      </w:r>
      <w:r w:rsidR="002249C1">
        <w:t xml:space="preserve"> increase in the regulatory burden </w:t>
      </w:r>
      <w:r w:rsidR="00CE4D2E">
        <w:t>on</w:t>
      </w:r>
      <w:r w:rsidR="002249C1">
        <w:t xml:space="preserve"> APTNT. </w:t>
      </w:r>
      <w:r w:rsidR="001C4DB7">
        <w:t>We have</w:t>
      </w:r>
      <w:r w:rsidR="002249C1">
        <w:t xml:space="preserve"> identified</w:t>
      </w:r>
      <w:r w:rsidR="002249C1" w:rsidRPr="00EB3EF1">
        <w:t xml:space="preserve"> the additional costs </w:t>
      </w:r>
      <w:r w:rsidR="002249C1">
        <w:t>as</w:t>
      </w:r>
      <w:r w:rsidR="002249C1" w:rsidRPr="00EB3EF1">
        <w:t xml:space="preserve"> the incremental costs of compiling, auditing and reporting opex data in the form required to derive the carryover amounts</w:t>
      </w:r>
      <w:r w:rsidR="00C84B77">
        <w:t>.</w:t>
      </w:r>
      <w:r w:rsidR="002249C1" w:rsidRPr="00EB3EF1">
        <w:t xml:space="preserve"> </w:t>
      </w:r>
      <w:r w:rsidR="00F42DF8">
        <w:t xml:space="preserve">Given that the required data is already largely </w:t>
      </w:r>
      <w:r w:rsidR="002249C1">
        <w:t>compiled</w:t>
      </w:r>
      <w:r w:rsidR="00C84B77">
        <w:t>,</w:t>
      </w:r>
      <w:r w:rsidR="002249C1">
        <w:t xml:space="preserve"> audited and reported</w:t>
      </w:r>
      <w:r w:rsidR="00F42DF8">
        <w:t xml:space="preserve"> by APTNT we consider that the </w:t>
      </w:r>
      <w:r w:rsidR="000D511D">
        <w:t xml:space="preserve">additional regulatory costs associated with applying an efficiency carryover mechanism to APTNT are minimal. </w:t>
      </w:r>
    </w:p>
    <w:p w:rsidR="00CE4D2E" w:rsidRDefault="001C2C91" w:rsidP="002249C1">
      <w:r>
        <w:t xml:space="preserve">We also note APTNT’s operating environment may change during the next access arrangement period, due to the </w:t>
      </w:r>
      <w:r w:rsidR="0043536D">
        <w:t xml:space="preserve">potential </w:t>
      </w:r>
      <w:r>
        <w:t>connection</w:t>
      </w:r>
      <w:r w:rsidR="00CE4D2E">
        <w:t xml:space="preserve"> of AGP to</w:t>
      </w:r>
      <w:r>
        <w:t xml:space="preserve"> with eastern gas pipelines.</w:t>
      </w:r>
      <w:r>
        <w:rPr>
          <w:rStyle w:val="FootnoteReference"/>
        </w:rPr>
        <w:footnoteReference w:id="11"/>
      </w:r>
      <w:r>
        <w:t xml:space="preserve"> The NT Government has commenced a process to enable gas from the Northern Territory to</w:t>
      </w:r>
      <w:r w:rsidR="00FE1907">
        <w:t xml:space="preserve"> reach</w:t>
      </w:r>
      <w:r>
        <w:t xml:space="preserve"> south eastern gas markets, with gas flows currently scheduled to commence in 2018. The interconnection of the </w:t>
      </w:r>
      <w:r w:rsidR="00F42DF8">
        <w:t>AGP</w:t>
      </w:r>
      <w:r>
        <w:t xml:space="preserve"> with south-eastern gas markets has potential to impact on opex </w:t>
      </w:r>
      <w:r w:rsidR="00F42DF8">
        <w:t>due to</w:t>
      </w:r>
      <w:r>
        <w:t xml:space="preserve"> increased demand for gas through the </w:t>
      </w:r>
      <w:r w:rsidR="00F42DF8">
        <w:t>pipeline</w:t>
      </w:r>
      <w:r>
        <w:t>. </w:t>
      </w:r>
      <w:r w:rsidR="00CE4D2E">
        <w:t>APTNT noted:</w:t>
      </w:r>
      <w:r w:rsidR="00CE4D2E">
        <w:rPr>
          <w:rStyle w:val="FootnoteReference"/>
        </w:rPr>
        <w:footnoteReference w:id="12"/>
      </w:r>
    </w:p>
    <w:p w:rsidR="00CE4D2E" w:rsidRDefault="00CE4D2E" w:rsidP="00CE4D2E">
      <w:pPr>
        <w:pStyle w:val="AERquote"/>
      </w:pPr>
      <w:r>
        <w:t xml:space="preserve">Increased opex arising from the connection of the NEGI would be as a result of growing the market, rather than a loss of efficiency in opex related to serving existing demand. In this respect, an ECM, without an exclusion for additional costs resulting from the NEGI, would not target opex efficiency, and could operate as a disincentive for APTNT to connect the NEGI. </w:t>
      </w:r>
    </w:p>
    <w:p w:rsidR="001C2C91" w:rsidRDefault="00CE4D2E" w:rsidP="00CE4D2E">
      <w:r>
        <w:t>No</w:t>
      </w:r>
      <w:r w:rsidR="001C2C91">
        <w:t xml:space="preserve"> additional opex required </w:t>
      </w:r>
      <w:r>
        <w:t xml:space="preserve">as a result of </w:t>
      </w:r>
      <w:r w:rsidR="006E305B">
        <w:t xml:space="preserve">NEGI </w:t>
      </w:r>
      <w:r w:rsidR="001C2C91">
        <w:t>has been included in the opex forecast for the 2016</w:t>
      </w:r>
      <w:r w:rsidR="006E305B">
        <w:t>–</w:t>
      </w:r>
      <w:r w:rsidR="001C2C91">
        <w:t xml:space="preserve">21 period, and therefore </w:t>
      </w:r>
      <w:r>
        <w:t xml:space="preserve">the impact of NEGI on opex should also be excluded from the </w:t>
      </w:r>
      <w:r w:rsidR="001C2C91">
        <w:t>efficiency carryover mechanism</w:t>
      </w:r>
      <w:r>
        <w:t xml:space="preserve"> that we will apply to APTNT</w:t>
      </w:r>
      <w:r w:rsidR="001C2C91">
        <w:t>.</w:t>
      </w:r>
    </w:p>
    <w:p w:rsidR="002249C1" w:rsidRDefault="002249C1" w:rsidP="002249C1">
      <w:r>
        <w:t>In applying the efficiency carryover mechanism to APTNT in the 201</w:t>
      </w:r>
      <w:r w:rsidR="005F7655">
        <w:t>6</w:t>
      </w:r>
      <w:r>
        <w:t>–21 access arrangement period we propose:</w:t>
      </w:r>
    </w:p>
    <w:p w:rsidR="00750084" w:rsidRDefault="002249C1" w:rsidP="002249C1">
      <w:pPr>
        <w:pStyle w:val="AERbulletlistfirststyle"/>
      </w:pPr>
      <w:r>
        <w:t xml:space="preserve">excluding pigging costs </w:t>
      </w:r>
    </w:p>
    <w:p w:rsidR="002249C1" w:rsidRDefault="00F42DF8" w:rsidP="002249C1">
      <w:pPr>
        <w:pStyle w:val="AERbulletlistfirststyle"/>
      </w:pPr>
      <w:r>
        <w:t>excluding</w:t>
      </w:r>
      <w:r w:rsidR="002249C1">
        <w:t xml:space="preserve"> any other cost categories that are not forecast using a single year revealed cost approach in the access arrang</w:t>
      </w:r>
      <w:r w:rsidR="00C84B77">
        <w:t>ement period commencing in 2021</w:t>
      </w:r>
      <w:r w:rsidR="002249C1">
        <w:t xml:space="preserve"> </w:t>
      </w:r>
    </w:p>
    <w:p w:rsidR="002F1F68" w:rsidRDefault="00E040EB" w:rsidP="002249C1">
      <w:pPr>
        <w:pStyle w:val="AERbulletlistfirststyle"/>
      </w:pPr>
      <w:r>
        <w:t xml:space="preserve">excluding </w:t>
      </w:r>
      <w:r w:rsidR="001C2C91">
        <w:t xml:space="preserve">additional opex associated with </w:t>
      </w:r>
      <w:r w:rsidR="000846FC">
        <w:t xml:space="preserve">connection of the </w:t>
      </w:r>
      <w:r>
        <w:t>NEGI</w:t>
      </w:r>
      <w:r w:rsidR="000846FC">
        <w:t xml:space="preserve"> to </w:t>
      </w:r>
      <w:r w:rsidR="00D449BE">
        <w:t>AGP</w:t>
      </w:r>
    </w:p>
    <w:p w:rsidR="002249C1" w:rsidRDefault="002249C1" w:rsidP="002249C1">
      <w:pPr>
        <w:pStyle w:val="AERbulletlistfirststyle"/>
      </w:pPr>
      <w:r>
        <w:t>adjusting APTNT's opex forecast to account for</w:t>
      </w:r>
      <w:r w:rsidR="00F42DF8">
        <w:t xml:space="preserve"> any</w:t>
      </w:r>
      <w:r>
        <w:t xml:space="preserve"> </w:t>
      </w:r>
      <w:r w:rsidR="00F42DF8">
        <w:t>D</w:t>
      </w:r>
      <w:r>
        <w:t xml:space="preserve">etermined </w:t>
      </w:r>
      <w:r w:rsidR="00F42DF8">
        <w:t>P</w:t>
      </w:r>
      <w:r>
        <w:t xml:space="preserve">ass </w:t>
      </w:r>
      <w:r w:rsidR="00F42DF8">
        <w:t>T</w:t>
      </w:r>
      <w:r>
        <w:t xml:space="preserve">hrough </w:t>
      </w:r>
      <w:r w:rsidR="00F42DF8">
        <w:t>A</w:t>
      </w:r>
      <w:r>
        <w:t>mounts</w:t>
      </w:r>
    </w:p>
    <w:p w:rsidR="002249C1" w:rsidRDefault="002249C1" w:rsidP="002249C1">
      <w:pPr>
        <w:pStyle w:val="AERbulletlistfirststyle"/>
      </w:pPr>
      <w:proofErr w:type="gramStart"/>
      <w:r>
        <w:t>adjusting</w:t>
      </w:r>
      <w:proofErr w:type="gramEnd"/>
      <w:r>
        <w:t xml:space="preserve"> APTNT's opex forecast to account for any capitalisation policy changes.</w:t>
      </w:r>
    </w:p>
    <w:p w:rsidR="00C96256" w:rsidRDefault="00C96256" w:rsidP="00C96256">
      <w:pPr>
        <w:pStyle w:val="Heading2"/>
      </w:pPr>
      <w:bookmarkStart w:id="17" w:name="_Toc436044132"/>
      <w:r>
        <w:t>Revisions to APTNT’s proposed access arrangement</w:t>
      </w:r>
      <w:bookmarkEnd w:id="17"/>
      <w:r w:rsidRPr="002249C1">
        <w:t xml:space="preserve"> </w:t>
      </w:r>
    </w:p>
    <w:p w:rsidR="00B36376" w:rsidRDefault="00B36376" w:rsidP="00B36376">
      <w:r>
        <w:t>We require the following revisions to make the access arrangement proposal acceptable:</w:t>
      </w:r>
    </w:p>
    <w:p w:rsidR="00C96256" w:rsidRDefault="00C96256" w:rsidP="00B36376">
      <w:pPr>
        <w:pStyle w:val="AERrevisionbox"/>
      </w:pPr>
      <w:r w:rsidRPr="00B36376">
        <w:rPr>
          <w:rStyle w:val="Strong"/>
        </w:rPr>
        <w:t>Revision 9.1:</w:t>
      </w:r>
      <w:r>
        <w:t xml:space="preserve"> Amend the Amadeus Gas Pipeline access arrangement </w:t>
      </w:r>
      <w:r w:rsidR="00BD0CCD">
        <w:t>to include the following clause</w:t>
      </w:r>
      <w:r>
        <w:t>:</w:t>
      </w:r>
    </w:p>
    <w:p w:rsidR="00285908" w:rsidRDefault="00BD0CCD" w:rsidP="00B36376">
      <w:pPr>
        <w:shd w:val="clear" w:color="auto" w:fill="F2F2F2" w:themeFill="background2" w:themeFillShade="F2"/>
        <w:spacing w:line="240" w:lineRule="auto"/>
      </w:pPr>
      <w:r>
        <w:t>8</w:t>
      </w:r>
      <w:r w:rsidR="005E2FC3">
        <w:t>.1</w:t>
      </w:r>
      <w:r w:rsidR="005E2FC3">
        <w:tab/>
        <w:t xml:space="preserve">Efficiency Carryover </w:t>
      </w:r>
      <w:proofErr w:type="gramStart"/>
      <w:r w:rsidR="005E2FC3">
        <w:t>mechanism</w:t>
      </w:r>
      <w:proofErr w:type="gramEnd"/>
    </w:p>
    <w:p w:rsidR="00C96256" w:rsidRDefault="00285908" w:rsidP="00B36376">
      <w:pPr>
        <w:pStyle w:val="AERnumberedlistsecondstyle"/>
        <w:shd w:val="clear" w:color="auto" w:fill="F2F2F2" w:themeFill="background2" w:themeFillShade="F2"/>
      </w:pPr>
      <w:r>
        <w:t>An efficiency carryover mechanism will apply to operating expenditure.</w:t>
      </w:r>
    </w:p>
    <w:p w:rsidR="005E2FC3" w:rsidRDefault="005E2FC3" w:rsidP="00B36376">
      <w:pPr>
        <w:pStyle w:val="AERnumberedlistsecondstyle"/>
        <w:shd w:val="clear" w:color="auto" w:fill="F2F2F2" w:themeFill="background2" w:themeFillShade="F2"/>
      </w:pPr>
      <w:r>
        <w:t>The incentive mechanism will operate in the following way:</w:t>
      </w:r>
    </w:p>
    <w:p w:rsidR="005E2FC3" w:rsidRDefault="005E2FC3" w:rsidP="00B36376">
      <w:pPr>
        <w:pStyle w:val="AERnumberedlistthirdstyle"/>
        <w:shd w:val="clear" w:color="auto" w:fill="F2F2F2" w:themeFill="background2" w:themeFillShade="F2"/>
      </w:pPr>
      <w:r>
        <w:t>the Service Provider will retain the benefit of actual operating expenditure being lower, or incur the cost of actual operating expenditure being higher, than forecast operating expenditure included in the Total Revenue in each Financial Year of the Access Arrangement Period;</w:t>
      </w:r>
    </w:p>
    <w:p w:rsidR="005E2FC3" w:rsidRDefault="005E2FC3" w:rsidP="00B36376">
      <w:pPr>
        <w:pStyle w:val="AERnumberedlistthirdstyle"/>
        <w:shd w:val="clear" w:color="auto" w:fill="F2F2F2" w:themeFill="background2" w:themeFillShade="F2"/>
      </w:pPr>
      <w:r>
        <w:t xml:space="preserve">the mechanism carries forward the Service Provider’s incremental efficiency gains (or losses) for five Financial Years from the Financial Year those gains (or losses) occur; </w:t>
      </w:r>
    </w:p>
    <w:p w:rsidR="005E2FC3" w:rsidRDefault="005E2FC3" w:rsidP="00B36376">
      <w:pPr>
        <w:pStyle w:val="AERnumberedlistthirdstyle"/>
        <w:shd w:val="clear" w:color="auto" w:fill="F2F2F2" w:themeFill="background2" w:themeFillShade="F2"/>
      </w:pPr>
      <w:r>
        <w:t>annual carryover amounts accrue in each Financial Year of the subsequent access arrangement period as the summation of the incremental efficiency gains (or losses) in the immediately prior access arrangement period that are carried forward for five years or less into the Financial Year; and</w:t>
      </w:r>
    </w:p>
    <w:p w:rsidR="005E2FC3" w:rsidRDefault="005E2FC3" w:rsidP="00B36376">
      <w:pPr>
        <w:pStyle w:val="AERnumberedlistthirdstyle"/>
        <w:shd w:val="clear" w:color="auto" w:fill="F2F2F2" w:themeFill="background2" w:themeFillShade="F2"/>
      </w:pPr>
      <w:proofErr w:type="gramStart"/>
      <w:r>
        <w:t>the</w:t>
      </w:r>
      <w:proofErr w:type="gramEnd"/>
      <w:r>
        <w:t xml:space="preserve"> annual carryover amounts are added to the Service Provider’s Total Revenue in each Financial Year of the subsequent</w:t>
      </w:r>
      <w:r w:rsidR="00427862">
        <w:t xml:space="preserve"> access arrangement period. </w:t>
      </w:r>
      <w:r>
        <w:t>If necessary, the annual efficiency gain (or loss) is carried forward into the access arrangement period commencing 1 July 202</w:t>
      </w:r>
      <w:r w:rsidR="00F42DF8">
        <w:t>1</w:t>
      </w:r>
      <w:r>
        <w:t xml:space="preserve"> until it has been retained by the Service Provider for a period of five</w:t>
      </w:r>
      <w:r w:rsidR="00F42DF8">
        <w:t> </w:t>
      </w:r>
      <w:r>
        <w:t>years.</w:t>
      </w:r>
    </w:p>
    <w:p w:rsidR="005E2FC3" w:rsidRDefault="005E2FC3" w:rsidP="00B36376">
      <w:pPr>
        <w:pStyle w:val="AERnumberedlistsecondstyle"/>
        <w:shd w:val="clear" w:color="auto" w:fill="F2F2F2" w:themeFill="background2" w:themeFillShade="F2"/>
      </w:pPr>
      <w:r>
        <w:t>The incremental efficiency gain (or loss) for the Financial Year 2016-17 will be calculated as:</w:t>
      </w:r>
    </w:p>
    <w:p w:rsidR="005E2FC3" w:rsidRDefault="005E2FC3" w:rsidP="00B36376">
      <w:pPr>
        <w:shd w:val="clear" w:color="auto" w:fill="F2F2F2" w:themeFill="background2" w:themeFillShade="F2"/>
        <w:spacing w:line="240" w:lineRule="auto"/>
        <w:ind w:left="680"/>
      </w:pPr>
      <w:proofErr w:type="gramStart"/>
      <w:r>
        <w:t>F</w:t>
      </w:r>
      <w:r w:rsidRPr="005E2FC3">
        <w:rPr>
          <w:rStyle w:val="AERsubscript"/>
        </w:rPr>
        <w:t>(</w:t>
      </w:r>
      <w:proofErr w:type="gramEnd"/>
      <w:r w:rsidRPr="005E2FC3">
        <w:rPr>
          <w:rStyle w:val="AERsubscript"/>
        </w:rPr>
        <w:t>2016-17)</w:t>
      </w:r>
      <w:r>
        <w:t xml:space="preserve"> – A</w:t>
      </w:r>
      <w:r w:rsidRPr="005E2FC3">
        <w:rPr>
          <w:rStyle w:val="AERsubscript"/>
        </w:rPr>
        <w:t>(2016-17)</w:t>
      </w:r>
    </w:p>
    <w:p w:rsidR="005E2FC3" w:rsidRDefault="005E2FC3" w:rsidP="00B36376">
      <w:pPr>
        <w:shd w:val="clear" w:color="auto" w:fill="F2F2F2" w:themeFill="background2" w:themeFillShade="F2"/>
        <w:spacing w:line="240" w:lineRule="auto"/>
        <w:ind w:left="680"/>
      </w:pPr>
      <w:proofErr w:type="gramStart"/>
      <w:r>
        <w:t>where</w:t>
      </w:r>
      <w:proofErr w:type="gramEnd"/>
      <w:r>
        <w:t>:</w:t>
      </w:r>
    </w:p>
    <w:p w:rsidR="005E2FC3" w:rsidRDefault="005E2FC3" w:rsidP="00B36376">
      <w:pPr>
        <w:shd w:val="clear" w:color="auto" w:fill="F2F2F2" w:themeFill="background2" w:themeFillShade="F2"/>
        <w:spacing w:line="240" w:lineRule="auto"/>
        <w:ind w:left="1531" w:hanging="851"/>
      </w:pPr>
      <w:proofErr w:type="gramStart"/>
      <w:r>
        <w:t>F</w:t>
      </w:r>
      <w:r w:rsidRPr="005E2FC3">
        <w:rPr>
          <w:rStyle w:val="AERsubscript"/>
        </w:rPr>
        <w:t>(</w:t>
      </w:r>
      <w:proofErr w:type="gramEnd"/>
      <w:r w:rsidRPr="005E2FC3">
        <w:rPr>
          <w:rStyle w:val="AERsubscript"/>
        </w:rPr>
        <w:t>2016-17)</w:t>
      </w:r>
      <w:r>
        <w:tab/>
        <w:t>is the forecast operating expenditure for Financial Year 2016-17; and</w:t>
      </w:r>
    </w:p>
    <w:p w:rsidR="005E2FC3" w:rsidRDefault="005E2FC3" w:rsidP="00B36376">
      <w:pPr>
        <w:shd w:val="clear" w:color="auto" w:fill="F2F2F2" w:themeFill="background2" w:themeFillShade="F2"/>
        <w:spacing w:line="240" w:lineRule="auto"/>
        <w:ind w:left="1531" w:hanging="851"/>
      </w:pPr>
      <w:proofErr w:type="gramStart"/>
      <w:r>
        <w:t>A</w:t>
      </w:r>
      <w:r w:rsidRPr="005E2FC3">
        <w:rPr>
          <w:rStyle w:val="AERsubscript"/>
        </w:rPr>
        <w:t>(</w:t>
      </w:r>
      <w:proofErr w:type="gramEnd"/>
      <w:r w:rsidRPr="005E2FC3">
        <w:rPr>
          <w:rStyle w:val="AERsubscript"/>
        </w:rPr>
        <w:t>2016-17)</w:t>
      </w:r>
      <w:r>
        <w:tab/>
        <w:t>is the actual operating expenditure for Financial Year 2016-17.</w:t>
      </w:r>
    </w:p>
    <w:p w:rsidR="005E2FC3" w:rsidRDefault="005E2FC3" w:rsidP="00B36376">
      <w:pPr>
        <w:shd w:val="clear" w:color="auto" w:fill="F2F2F2" w:themeFill="background2" w:themeFillShade="F2"/>
        <w:spacing w:line="240" w:lineRule="auto"/>
        <w:ind w:left="680"/>
      </w:pPr>
    </w:p>
    <w:p w:rsidR="005E2FC3" w:rsidRDefault="005E2FC3" w:rsidP="00B36376">
      <w:pPr>
        <w:pStyle w:val="AERnumberedlistsecondstyle"/>
        <w:shd w:val="clear" w:color="auto" w:fill="F2F2F2" w:themeFill="background2" w:themeFillShade="F2"/>
      </w:pPr>
      <w:r>
        <w:t>The incremental efficiency gain (or loss) for Financial Years 2017-18 to 2019-20 (inclusive) will be calculated as:</w:t>
      </w:r>
    </w:p>
    <w:p w:rsidR="005E2FC3" w:rsidRDefault="005E2FC3" w:rsidP="00B36376">
      <w:pPr>
        <w:shd w:val="clear" w:color="auto" w:fill="F2F2F2" w:themeFill="background2" w:themeFillShade="F2"/>
        <w:spacing w:line="240" w:lineRule="auto"/>
        <w:ind w:left="680"/>
      </w:pPr>
      <w:r>
        <w:t>E</w:t>
      </w:r>
      <w:r w:rsidRPr="005E2FC3">
        <w:rPr>
          <w:rStyle w:val="AERsubscript"/>
        </w:rPr>
        <w:t>t</w:t>
      </w:r>
      <w:r>
        <w:t>= (F</w:t>
      </w:r>
      <w:r w:rsidRPr="005E2FC3">
        <w:rPr>
          <w:rStyle w:val="AERsubscript"/>
        </w:rPr>
        <w:t>t</w:t>
      </w:r>
      <w:r>
        <w:t xml:space="preserve"> – A</w:t>
      </w:r>
      <w:r w:rsidRPr="005E2FC3">
        <w:rPr>
          <w:rStyle w:val="AERsubscript"/>
        </w:rPr>
        <w:t>t</w:t>
      </w:r>
      <w:r>
        <w:t>) – (</w:t>
      </w:r>
      <w:proofErr w:type="gramStart"/>
      <w:r>
        <w:t>F</w:t>
      </w:r>
      <w:r w:rsidRPr="005E2FC3">
        <w:rPr>
          <w:rStyle w:val="AERsubscript"/>
        </w:rPr>
        <w:t>(</w:t>
      </w:r>
      <w:proofErr w:type="gramEnd"/>
      <w:r w:rsidRPr="005E2FC3">
        <w:rPr>
          <w:rStyle w:val="AERsubscript"/>
        </w:rPr>
        <w:t>t-1)</w:t>
      </w:r>
      <w:r>
        <w:t>– A</w:t>
      </w:r>
      <w:r w:rsidRPr="005E2FC3">
        <w:rPr>
          <w:rStyle w:val="AERsubscript"/>
        </w:rPr>
        <w:t>(t-1)</w:t>
      </w:r>
      <w:r>
        <w:t>)</w:t>
      </w:r>
    </w:p>
    <w:p w:rsidR="005E2FC3" w:rsidRDefault="005E2FC3" w:rsidP="00B36376">
      <w:pPr>
        <w:shd w:val="clear" w:color="auto" w:fill="F2F2F2" w:themeFill="background2" w:themeFillShade="F2"/>
        <w:spacing w:line="240" w:lineRule="auto"/>
        <w:ind w:left="680"/>
      </w:pPr>
      <w:proofErr w:type="gramStart"/>
      <w:r>
        <w:t>where</w:t>
      </w:r>
      <w:proofErr w:type="gramEnd"/>
      <w:r>
        <w:t>:</w:t>
      </w:r>
    </w:p>
    <w:p w:rsidR="005E2FC3" w:rsidRDefault="005E2FC3" w:rsidP="00B36376">
      <w:pPr>
        <w:shd w:val="clear" w:color="auto" w:fill="F2F2F2" w:themeFill="background2" w:themeFillShade="F2"/>
        <w:spacing w:line="240" w:lineRule="auto"/>
        <w:ind w:left="1531" w:hanging="851"/>
      </w:pPr>
      <w:proofErr w:type="spellStart"/>
      <w:proofErr w:type="gramStart"/>
      <w:r>
        <w:t>E</w:t>
      </w:r>
      <w:r w:rsidRPr="005E2FC3">
        <w:rPr>
          <w:rStyle w:val="AERsubscript"/>
        </w:rPr>
        <w:t>t</w:t>
      </w:r>
      <w:proofErr w:type="spellEnd"/>
      <w:proofErr w:type="gramEnd"/>
      <w:r>
        <w:tab/>
        <w:t>is the incremental efficiency gain (or loss) in Financial Year t of the Access Arrangement Period;</w:t>
      </w:r>
    </w:p>
    <w:p w:rsidR="005E2FC3" w:rsidRDefault="005E2FC3" w:rsidP="00B36376">
      <w:pPr>
        <w:shd w:val="clear" w:color="auto" w:fill="F2F2F2" w:themeFill="background2" w:themeFillShade="F2"/>
        <w:spacing w:line="240" w:lineRule="auto"/>
        <w:ind w:left="1531" w:hanging="851"/>
      </w:pPr>
      <w:r>
        <w:t>F</w:t>
      </w:r>
      <w:r w:rsidRPr="005E2FC3">
        <w:rPr>
          <w:rStyle w:val="AERsubscript"/>
        </w:rPr>
        <w:t>t</w:t>
      </w:r>
      <w:r>
        <w:tab/>
        <w:t>is the forecast operating expenditure in Financial Year t of the Access Arrangement Period;</w:t>
      </w:r>
    </w:p>
    <w:p w:rsidR="005E2FC3" w:rsidRDefault="005E2FC3" w:rsidP="00B36376">
      <w:pPr>
        <w:shd w:val="clear" w:color="auto" w:fill="F2F2F2" w:themeFill="background2" w:themeFillShade="F2"/>
        <w:spacing w:line="240" w:lineRule="auto"/>
        <w:ind w:left="1531" w:hanging="851"/>
      </w:pPr>
      <w:r>
        <w:t>A</w:t>
      </w:r>
      <w:r w:rsidRPr="005E2FC3">
        <w:rPr>
          <w:rStyle w:val="AERsubscript"/>
        </w:rPr>
        <w:t>t</w:t>
      </w:r>
      <w:r>
        <w:tab/>
        <w:t>is the actual operating expenditure in Financial Year t of the Access Arrangement Period;</w:t>
      </w:r>
    </w:p>
    <w:p w:rsidR="005E2FC3" w:rsidRDefault="005E2FC3" w:rsidP="00B36376">
      <w:pPr>
        <w:shd w:val="clear" w:color="auto" w:fill="F2F2F2" w:themeFill="background2" w:themeFillShade="F2"/>
        <w:spacing w:line="240" w:lineRule="auto"/>
        <w:ind w:left="1531" w:hanging="851"/>
      </w:pPr>
      <w:proofErr w:type="gramStart"/>
      <w:r>
        <w:t>F</w:t>
      </w:r>
      <w:r w:rsidRPr="005E2FC3">
        <w:rPr>
          <w:rStyle w:val="AERsubscript"/>
        </w:rPr>
        <w:t>(</w:t>
      </w:r>
      <w:proofErr w:type="gramEnd"/>
      <w:r w:rsidRPr="005E2FC3">
        <w:rPr>
          <w:rStyle w:val="AERsubscript"/>
        </w:rPr>
        <w:t>t-1)</w:t>
      </w:r>
      <w:r>
        <w:rPr>
          <w:rStyle w:val="AERsubscript"/>
        </w:rPr>
        <w:tab/>
      </w:r>
      <w:r>
        <w:t>is the forecast operating expenditure in Financial Year t–1 of the Access Arrangement Period; and</w:t>
      </w:r>
    </w:p>
    <w:p w:rsidR="005E2FC3" w:rsidRDefault="005E2FC3" w:rsidP="00B36376">
      <w:pPr>
        <w:shd w:val="clear" w:color="auto" w:fill="F2F2F2" w:themeFill="background2" w:themeFillShade="F2"/>
        <w:spacing w:line="240" w:lineRule="auto"/>
        <w:ind w:left="1531" w:hanging="851"/>
      </w:pPr>
      <w:proofErr w:type="gramStart"/>
      <w:r>
        <w:t>A</w:t>
      </w:r>
      <w:r w:rsidRPr="005E2FC3">
        <w:rPr>
          <w:rStyle w:val="AERsubscript"/>
        </w:rPr>
        <w:t>(</w:t>
      </w:r>
      <w:proofErr w:type="gramEnd"/>
      <w:r w:rsidRPr="005E2FC3">
        <w:rPr>
          <w:rStyle w:val="AERsubscript"/>
        </w:rPr>
        <w:t>t-1)</w:t>
      </w:r>
      <w:r>
        <w:rPr>
          <w:rStyle w:val="AERsubscript"/>
        </w:rPr>
        <w:tab/>
      </w:r>
      <w:r>
        <w:t xml:space="preserve">is the </w:t>
      </w:r>
      <w:r w:rsidR="008954BE">
        <w:t>actual</w:t>
      </w:r>
      <w:r>
        <w:t xml:space="preserve"> operating expenditure in Financial Year t–1 of the Access Arrangement Period.</w:t>
      </w:r>
    </w:p>
    <w:p w:rsidR="00952EED" w:rsidRDefault="00952EED" w:rsidP="00B36376">
      <w:pPr>
        <w:shd w:val="clear" w:color="auto" w:fill="F2F2F2" w:themeFill="background2" w:themeFillShade="F2"/>
        <w:spacing w:line="240" w:lineRule="auto"/>
        <w:ind w:left="1701" w:hanging="1021"/>
      </w:pPr>
    </w:p>
    <w:p w:rsidR="005E2FC3" w:rsidRDefault="005E2FC3" w:rsidP="00B36376">
      <w:pPr>
        <w:pStyle w:val="AERnumberedlistsecondstyle"/>
        <w:shd w:val="clear" w:color="auto" w:fill="F2F2F2" w:themeFill="background2" w:themeFillShade="F2"/>
      </w:pPr>
      <w:r>
        <w:t>Actual operating expenditure in the Financial Year 20</w:t>
      </w:r>
      <w:r w:rsidR="00952EED">
        <w:t>20</w:t>
      </w:r>
      <w:r>
        <w:t>-2</w:t>
      </w:r>
      <w:r w:rsidR="00952EED">
        <w:t>1</w:t>
      </w:r>
      <w:r>
        <w:t xml:space="preserve"> is to be estimated using the following equation:</w:t>
      </w:r>
    </w:p>
    <w:p w:rsidR="005E2FC3" w:rsidRDefault="00952EED" w:rsidP="00B36376">
      <w:pPr>
        <w:shd w:val="clear" w:color="auto" w:fill="F2F2F2" w:themeFill="background2" w:themeFillShade="F2"/>
        <w:spacing w:line="240" w:lineRule="auto"/>
        <w:ind w:left="680"/>
      </w:pPr>
      <w:proofErr w:type="gramStart"/>
      <w:r>
        <w:t>A</w:t>
      </w:r>
      <w:r w:rsidR="005E2FC3" w:rsidRPr="00952EED">
        <w:rPr>
          <w:rStyle w:val="AERsubscript"/>
        </w:rPr>
        <w:t>(</w:t>
      </w:r>
      <w:proofErr w:type="gramEnd"/>
      <w:r w:rsidR="005E2FC3" w:rsidRPr="00952EED">
        <w:rPr>
          <w:rStyle w:val="AERsubscript"/>
        </w:rPr>
        <w:t>20</w:t>
      </w:r>
      <w:r w:rsidRPr="00952EED">
        <w:rPr>
          <w:rStyle w:val="AERsubscript"/>
        </w:rPr>
        <w:t>20</w:t>
      </w:r>
      <w:r w:rsidR="005E2FC3" w:rsidRPr="00952EED">
        <w:rPr>
          <w:rStyle w:val="AERsubscript"/>
        </w:rPr>
        <w:t>-2</w:t>
      </w:r>
      <w:r w:rsidRPr="00952EED">
        <w:rPr>
          <w:rStyle w:val="AERsubscript"/>
        </w:rPr>
        <w:t>1)</w:t>
      </w:r>
      <w:r>
        <w:t>* = A</w:t>
      </w:r>
      <w:r w:rsidR="005E2FC3" w:rsidRPr="00952EED">
        <w:rPr>
          <w:rStyle w:val="AERsubscript"/>
        </w:rPr>
        <w:t>(201</w:t>
      </w:r>
      <w:r w:rsidRPr="00952EED">
        <w:rPr>
          <w:rStyle w:val="AERsubscript"/>
        </w:rPr>
        <w:t>9</w:t>
      </w:r>
      <w:r w:rsidR="005E2FC3" w:rsidRPr="00952EED">
        <w:rPr>
          <w:rStyle w:val="AERsubscript"/>
        </w:rPr>
        <w:t>-</w:t>
      </w:r>
      <w:r w:rsidRPr="00952EED">
        <w:rPr>
          <w:rStyle w:val="AERsubscript"/>
        </w:rPr>
        <w:t>20)</w:t>
      </w:r>
      <w:r>
        <w:t xml:space="preserve">  + F</w:t>
      </w:r>
      <w:r w:rsidR="005E2FC3" w:rsidRPr="00952EED">
        <w:rPr>
          <w:rStyle w:val="AERsubscript"/>
        </w:rPr>
        <w:t>(2020</w:t>
      </w:r>
      <w:r w:rsidRPr="00952EED">
        <w:rPr>
          <w:rStyle w:val="AERsubscript"/>
        </w:rPr>
        <w:t>-21)</w:t>
      </w:r>
      <w:r>
        <w:t xml:space="preserve">  – F</w:t>
      </w:r>
      <w:r w:rsidR="005E2FC3" w:rsidRPr="00952EED">
        <w:rPr>
          <w:rStyle w:val="AERsubscript"/>
        </w:rPr>
        <w:t>(201</w:t>
      </w:r>
      <w:r w:rsidRPr="00952EED">
        <w:rPr>
          <w:rStyle w:val="AERsubscript"/>
        </w:rPr>
        <w:t>9</w:t>
      </w:r>
      <w:r w:rsidR="005E2FC3" w:rsidRPr="00952EED">
        <w:rPr>
          <w:rStyle w:val="AERsubscript"/>
        </w:rPr>
        <w:t>-</w:t>
      </w:r>
      <w:r w:rsidRPr="00952EED">
        <w:rPr>
          <w:rStyle w:val="AERsubscript"/>
        </w:rPr>
        <w:t>20</w:t>
      </w:r>
      <w:r w:rsidR="005E2FC3" w:rsidRPr="00952EED">
        <w:rPr>
          <w:rStyle w:val="AERsubscript"/>
        </w:rPr>
        <w:t>)</w:t>
      </w:r>
    </w:p>
    <w:p w:rsidR="005E2FC3" w:rsidRDefault="005E2FC3" w:rsidP="00B36376">
      <w:pPr>
        <w:shd w:val="clear" w:color="auto" w:fill="F2F2F2" w:themeFill="background2" w:themeFillShade="F2"/>
        <w:spacing w:line="240" w:lineRule="auto"/>
        <w:ind w:left="680"/>
      </w:pPr>
      <w:proofErr w:type="gramStart"/>
      <w:r>
        <w:t>where</w:t>
      </w:r>
      <w:proofErr w:type="gramEnd"/>
      <w:r>
        <w:t>:</w:t>
      </w:r>
    </w:p>
    <w:p w:rsidR="005E2FC3" w:rsidRDefault="00952EED" w:rsidP="00B36376">
      <w:pPr>
        <w:shd w:val="clear" w:color="auto" w:fill="F2F2F2" w:themeFill="background2" w:themeFillShade="F2"/>
        <w:spacing w:line="240" w:lineRule="auto"/>
        <w:ind w:left="1531" w:hanging="851"/>
      </w:pPr>
      <w:proofErr w:type="gramStart"/>
      <w:r>
        <w:t>A</w:t>
      </w:r>
      <w:r w:rsidRPr="00952EED">
        <w:rPr>
          <w:rStyle w:val="AERsubscript"/>
        </w:rPr>
        <w:t>(</w:t>
      </w:r>
      <w:proofErr w:type="gramEnd"/>
      <w:r w:rsidRPr="00952EED">
        <w:rPr>
          <w:rStyle w:val="AERsubscript"/>
        </w:rPr>
        <w:t>2020-21)</w:t>
      </w:r>
      <w:r>
        <w:t xml:space="preserve">* </w:t>
      </w:r>
      <w:r>
        <w:tab/>
      </w:r>
      <w:r w:rsidR="005E2FC3">
        <w:t>is the estimate of operating expe</w:t>
      </w:r>
      <w:r>
        <w:t>nditure for Financial Year 20</w:t>
      </w:r>
      <w:r w:rsidR="005E2FC3">
        <w:t>20</w:t>
      </w:r>
      <w:r>
        <w:t>-21</w:t>
      </w:r>
      <w:r w:rsidR="005E2FC3">
        <w:t>;</w:t>
      </w:r>
    </w:p>
    <w:p w:rsidR="005E2FC3" w:rsidRDefault="00952EED" w:rsidP="00B36376">
      <w:pPr>
        <w:shd w:val="clear" w:color="auto" w:fill="F2F2F2" w:themeFill="background2" w:themeFillShade="F2"/>
        <w:spacing w:line="240" w:lineRule="auto"/>
        <w:ind w:left="1531" w:hanging="851"/>
      </w:pPr>
      <w:proofErr w:type="gramStart"/>
      <w:r>
        <w:t>A</w:t>
      </w:r>
      <w:r w:rsidRPr="00952EED">
        <w:rPr>
          <w:rStyle w:val="AERsubscript"/>
        </w:rPr>
        <w:t>(</w:t>
      </w:r>
      <w:proofErr w:type="gramEnd"/>
      <w:r w:rsidRPr="00952EED">
        <w:rPr>
          <w:rStyle w:val="AERsubscript"/>
        </w:rPr>
        <w:t>2019-20)</w:t>
      </w:r>
      <w:r w:rsidR="005E2FC3">
        <w:tab/>
        <w:t>is the actual operating expenditure for Financial Year 201</w:t>
      </w:r>
      <w:r>
        <w:t>9-20</w:t>
      </w:r>
      <w:r w:rsidR="005E2FC3">
        <w:t>;</w:t>
      </w:r>
    </w:p>
    <w:p w:rsidR="005E2FC3" w:rsidRDefault="00952EED" w:rsidP="00B36376">
      <w:pPr>
        <w:shd w:val="clear" w:color="auto" w:fill="F2F2F2" w:themeFill="background2" w:themeFillShade="F2"/>
        <w:spacing w:line="240" w:lineRule="auto"/>
        <w:ind w:left="1531" w:hanging="851"/>
      </w:pPr>
      <w:proofErr w:type="gramStart"/>
      <w:r>
        <w:t>F</w:t>
      </w:r>
      <w:r w:rsidRPr="00952EED">
        <w:rPr>
          <w:rStyle w:val="AERsubscript"/>
        </w:rPr>
        <w:t>(</w:t>
      </w:r>
      <w:proofErr w:type="gramEnd"/>
      <w:r w:rsidRPr="00952EED">
        <w:rPr>
          <w:rStyle w:val="AERsubscript"/>
        </w:rPr>
        <w:t>2020-21)</w:t>
      </w:r>
      <w:r w:rsidR="005E2FC3">
        <w:t xml:space="preserve"> </w:t>
      </w:r>
      <w:r w:rsidR="005E2FC3">
        <w:tab/>
        <w:t>is the forecast operating expenditure for Financial Year 20</w:t>
      </w:r>
      <w:r>
        <w:t>20</w:t>
      </w:r>
      <w:r w:rsidR="005E2FC3">
        <w:t>-2</w:t>
      </w:r>
      <w:r>
        <w:t>1</w:t>
      </w:r>
      <w:r w:rsidR="005E2FC3">
        <w:t>; and</w:t>
      </w:r>
    </w:p>
    <w:p w:rsidR="005E2FC3" w:rsidRDefault="00952EED" w:rsidP="00B36376">
      <w:pPr>
        <w:shd w:val="clear" w:color="auto" w:fill="F2F2F2" w:themeFill="background2" w:themeFillShade="F2"/>
        <w:spacing w:line="240" w:lineRule="auto"/>
        <w:ind w:left="1531" w:hanging="851"/>
      </w:pPr>
      <w:proofErr w:type="gramStart"/>
      <w:r>
        <w:t>F</w:t>
      </w:r>
      <w:r w:rsidRPr="00952EED">
        <w:rPr>
          <w:rStyle w:val="AERsubscript"/>
        </w:rPr>
        <w:t>(</w:t>
      </w:r>
      <w:proofErr w:type="gramEnd"/>
      <w:r w:rsidRPr="00952EED">
        <w:rPr>
          <w:rStyle w:val="AERsubscript"/>
        </w:rPr>
        <w:t>2019-20)</w:t>
      </w:r>
      <w:r w:rsidR="005E2FC3">
        <w:tab/>
        <w:t>is the forecast operating exp</w:t>
      </w:r>
      <w:r>
        <w:t>enditure for Financial Year 20</w:t>
      </w:r>
      <w:r w:rsidR="005E2FC3">
        <w:t>19</w:t>
      </w:r>
      <w:r>
        <w:t>-20</w:t>
      </w:r>
      <w:r w:rsidR="005E2FC3">
        <w:t>.</w:t>
      </w:r>
    </w:p>
    <w:p w:rsidR="00952EED" w:rsidRDefault="00952EED" w:rsidP="00B36376">
      <w:pPr>
        <w:shd w:val="clear" w:color="auto" w:fill="F2F2F2" w:themeFill="background2" w:themeFillShade="F2"/>
        <w:spacing w:line="240" w:lineRule="auto"/>
        <w:ind w:left="1531" w:hanging="851"/>
      </w:pPr>
    </w:p>
    <w:p w:rsidR="005E2FC3" w:rsidRDefault="005E2FC3" w:rsidP="00B36376">
      <w:pPr>
        <w:pStyle w:val="AERnumberedlistsecondstyle"/>
        <w:shd w:val="clear" w:color="auto" w:fill="F2F2F2" w:themeFill="background2" w:themeFillShade="F2"/>
      </w:pPr>
      <w:r>
        <w:t>For the avoidance of doubt:</w:t>
      </w:r>
    </w:p>
    <w:p w:rsidR="005E2FC3" w:rsidRDefault="005E2FC3" w:rsidP="00B36376">
      <w:pPr>
        <w:pStyle w:val="AERnumberedlistthirdstyle"/>
        <w:numPr>
          <w:ilvl w:val="0"/>
          <w:numId w:val="33"/>
        </w:numPr>
        <w:shd w:val="clear" w:color="auto" w:fill="F2F2F2" w:themeFill="background2" w:themeFillShade="F2"/>
      </w:pPr>
      <w:r>
        <w:t>the incremental efficiency gain (or loss) for Financial Year 20</w:t>
      </w:r>
      <w:r w:rsidR="00952EED">
        <w:t>20</w:t>
      </w:r>
      <w:r>
        <w:t>-2</w:t>
      </w:r>
      <w:r w:rsidR="00952EED">
        <w:t>1</w:t>
      </w:r>
      <w:r>
        <w:t xml:space="preserve"> will be assumed to equal zero;</w:t>
      </w:r>
    </w:p>
    <w:p w:rsidR="005E2FC3" w:rsidRDefault="005E2FC3" w:rsidP="00B36376">
      <w:pPr>
        <w:pStyle w:val="AERnumberedlistthirdstyle"/>
        <w:numPr>
          <w:ilvl w:val="0"/>
          <w:numId w:val="33"/>
        </w:numPr>
        <w:shd w:val="clear" w:color="auto" w:fill="F2F2F2" w:themeFill="background2" w:themeFillShade="F2"/>
      </w:pPr>
      <w:r>
        <w:t>the incremental efficiency gain (or loss) for Financial Year 202</w:t>
      </w:r>
      <w:r w:rsidR="00952EED">
        <w:t>1</w:t>
      </w:r>
      <w:r>
        <w:t>-2</w:t>
      </w:r>
      <w:r w:rsidR="00952EED">
        <w:t>2</w:t>
      </w:r>
      <w:r>
        <w:t xml:space="preserve"> will be carried over for 5 years and be calculated with reference to the actual operating expenditure for Financial Year </w:t>
      </w:r>
      <w:r w:rsidR="00952EED">
        <w:t>2020-</w:t>
      </w:r>
      <w:r>
        <w:t>2</w:t>
      </w:r>
      <w:r w:rsidR="00952EED">
        <w:t>1</w:t>
      </w:r>
      <w:r>
        <w:t xml:space="preserve"> and not A</w:t>
      </w:r>
      <w:r w:rsidRPr="00952EED">
        <w:rPr>
          <w:rStyle w:val="AERsubscript"/>
        </w:rPr>
        <w:t>(2020</w:t>
      </w:r>
      <w:r w:rsidR="00952EED" w:rsidRPr="00952EED">
        <w:rPr>
          <w:rStyle w:val="AERsubscript"/>
        </w:rPr>
        <w:t>-21</w:t>
      </w:r>
      <w:r w:rsidRPr="00952EED">
        <w:rPr>
          <w:rStyle w:val="AERsubscript"/>
        </w:rPr>
        <w:t>)</w:t>
      </w:r>
      <w:r>
        <w:t>*; and</w:t>
      </w:r>
    </w:p>
    <w:p w:rsidR="00EA6AC5" w:rsidRPr="00D449BE" w:rsidRDefault="005E2FC3" w:rsidP="00B36376">
      <w:pPr>
        <w:pStyle w:val="AERnumberedlistthirdstyle"/>
        <w:numPr>
          <w:ilvl w:val="0"/>
          <w:numId w:val="33"/>
        </w:numPr>
        <w:shd w:val="clear" w:color="auto" w:fill="F2F2F2" w:themeFill="background2" w:themeFillShade="F2"/>
      </w:pPr>
      <w:proofErr w:type="gramStart"/>
      <w:r>
        <w:t>the</w:t>
      </w:r>
      <w:proofErr w:type="gramEnd"/>
      <w:r>
        <w:t xml:space="preserve"> incremental efficiency gains (or losses) are carried over from Financial Year to Financial Year in real dollars to ensure that these gains (or losses) </w:t>
      </w:r>
      <w:r w:rsidRPr="00D449BE">
        <w:t xml:space="preserve">are not eroded by inflation. The price indices used in this calculation are to be consistent with those used in the Access Arrangement </w:t>
      </w:r>
      <w:r w:rsidR="00FE1907" w:rsidRPr="00D449BE">
        <w:t>determination</w:t>
      </w:r>
      <w:r w:rsidRPr="00D449BE">
        <w:t>.</w:t>
      </w:r>
    </w:p>
    <w:p w:rsidR="00E040EB" w:rsidRDefault="005E2FC3" w:rsidP="00B36376">
      <w:pPr>
        <w:pStyle w:val="AERnumberedlistsecondstyle"/>
        <w:shd w:val="clear" w:color="auto" w:fill="F2F2F2" w:themeFill="background2" w:themeFillShade="F2"/>
      </w:pPr>
      <w:r>
        <w:t>Increments or decrements from the summation of incremental efficiency gains or losses calculated in accordance with the approved incentive mechanism in the Access Arrangement Period will give rise to an additional ‘building block’ in the calculation of the Total Revenue amounts for each Financial Year of the subsequent access arrangement period.</w:t>
      </w:r>
    </w:p>
    <w:p w:rsidR="005E2FC3" w:rsidRDefault="005E2FC3" w:rsidP="00B36376">
      <w:pPr>
        <w:pStyle w:val="AERnumberedlistsecondstyle"/>
        <w:shd w:val="clear" w:color="auto" w:fill="F2F2F2" w:themeFill="background2" w:themeFillShade="F2"/>
      </w:pPr>
      <w:r>
        <w:t>The following costs will be excluded from the operation of the efficiency carryover mechanism:</w:t>
      </w:r>
    </w:p>
    <w:p w:rsidR="000846FC" w:rsidRDefault="00952EED" w:rsidP="00B36376">
      <w:pPr>
        <w:pStyle w:val="AERnumberedlistthirdstyle"/>
        <w:numPr>
          <w:ilvl w:val="0"/>
          <w:numId w:val="32"/>
        </w:numPr>
        <w:shd w:val="clear" w:color="auto" w:fill="F2F2F2" w:themeFill="background2" w:themeFillShade="F2"/>
      </w:pPr>
      <w:r>
        <w:t>pigging costs</w:t>
      </w:r>
      <w:r w:rsidR="005E2FC3">
        <w:t xml:space="preserve">; </w:t>
      </w:r>
    </w:p>
    <w:p w:rsidR="005E2FC3" w:rsidRDefault="00F0279C" w:rsidP="00B36376">
      <w:pPr>
        <w:pStyle w:val="AERnumberedlistthirdstyle"/>
        <w:numPr>
          <w:ilvl w:val="0"/>
          <w:numId w:val="32"/>
        </w:numPr>
        <w:shd w:val="clear" w:color="auto" w:fill="F2F2F2" w:themeFill="background2" w:themeFillShade="F2"/>
      </w:pPr>
      <w:r>
        <w:t xml:space="preserve">any </w:t>
      </w:r>
      <w:r w:rsidR="000846FC" w:rsidRPr="000846FC">
        <w:t>additional opex associated with interconnection of the North Eastern Gas Interconnector to the Amadeus Gas Pipelin</w:t>
      </w:r>
      <w:r w:rsidR="000846FC">
        <w:t xml:space="preserve">e; </w:t>
      </w:r>
      <w:r w:rsidR="005E2FC3">
        <w:t>and</w:t>
      </w:r>
    </w:p>
    <w:p w:rsidR="00F0279C" w:rsidRDefault="00F0279C" w:rsidP="00B36376">
      <w:pPr>
        <w:pStyle w:val="AERnumberedlistthirdstyle"/>
        <w:numPr>
          <w:ilvl w:val="0"/>
          <w:numId w:val="32"/>
        </w:numPr>
        <w:shd w:val="clear" w:color="auto" w:fill="F2F2F2" w:themeFill="background2" w:themeFillShade="F2"/>
      </w:pPr>
      <w:r>
        <w:t xml:space="preserve">any cost category that: </w:t>
      </w:r>
      <w:r>
        <w:br/>
        <w:t xml:space="preserve">(1) is not forecast using a single year revealed cost approach in the access arrangement period following this Access Arrangement Period (intended to </w:t>
      </w:r>
      <w:r w:rsidRPr="00F0279C">
        <w:t>commence</w:t>
      </w:r>
      <w:r>
        <w:t xml:space="preserve"> 1 July 2021); and </w:t>
      </w:r>
      <w:r>
        <w:br/>
        <w:t>(2) the AER determines, as part of a decision on revisions to apply to this Access Arrangement, to exclude from the operation of the efficiency carryover mechanism because it is satisfied that it would not promote the National Gas Objective.</w:t>
      </w:r>
    </w:p>
    <w:p w:rsidR="005C7312" w:rsidRPr="005C7312" w:rsidRDefault="005C7312" w:rsidP="00B36376">
      <w:pPr>
        <w:pStyle w:val="AERnumberedlistsecondstyle"/>
        <w:shd w:val="clear" w:color="auto" w:fill="F2F2F2" w:themeFill="background2" w:themeFillShade="F2"/>
      </w:pPr>
      <w:r w:rsidRPr="005C7312">
        <w:t xml:space="preserve">The forecast operating expenditure amount for each year of the Applicable Access Arrangement Period will be adjusted to include any Determined Pass Through Amounts or other AER approved expenditure arising from Cost Pass Through Events which apply in respect of that year </w:t>
      </w:r>
    </w:p>
    <w:p w:rsidR="005E2FC3" w:rsidRDefault="005E2FC3" w:rsidP="00B36376">
      <w:pPr>
        <w:pStyle w:val="AERnumberedlistsecondstyle"/>
        <w:shd w:val="clear" w:color="auto" w:fill="F2F2F2" w:themeFill="background2" w:themeFillShade="F2"/>
      </w:pPr>
      <w:r>
        <w:t xml:space="preserve">Where the Service Provider changes its approach to classifying costs as either capital expenditure or operating expenditure during the Access Arrangement Period, the Service Provider will adjust the forecast operating expenditure in the </w:t>
      </w:r>
      <w:r w:rsidRPr="00FE1907">
        <w:t>Access Arrangement so that the forecast expenditures are</w:t>
      </w:r>
      <w:r>
        <w:t xml:space="preserve"> consistent with the capitalisation policy changes.</w:t>
      </w:r>
    </w:p>
    <w:p w:rsidR="005E2FC3" w:rsidRDefault="005E2FC3" w:rsidP="00B36376">
      <w:pPr>
        <w:pStyle w:val="AERnumberedlistsecondstyle"/>
        <w:shd w:val="clear" w:color="auto" w:fill="F2F2F2" w:themeFill="background2" w:themeFillShade="F2"/>
      </w:pPr>
      <w:r>
        <w:t>If there is a change in the Service Provider’s approach to classifying costs as either capital expenditure or operating expenditure</w:t>
      </w:r>
      <w:r w:rsidR="00EF2894">
        <w:t xml:space="preserve"> during the access arrangement period</w:t>
      </w:r>
      <w:r>
        <w:t>, the Service Provider must provide to the AER a detailed description of the change and a calculation of its impact on forecast and actual operating expenditure</w:t>
      </w:r>
      <w:r w:rsidR="00EF2894">
        <w:t xml:space="preserve"> for the access arrangement period</w:t>
      </w:r>
      <w:r>
        <w:t xml:space="preserve">. </w:t>
      </w:r>
    </w:p>
    <w:sectPr w:rsidR="005E2FC3"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DE77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DE772C" w:rsidRDefault="00DE772C">
    <w:pPr>
      <w:pStyle w:val="Footer"/>
    </w:pPr>
  </w:p>
  <w:p w:rsidR="00DE772C" w:rsidRDefault="00D17683">
    <w:pPr>
      <w:pStyle w:val="Footer"/>
    </w:pPr>
    <w:r>
      <w:fldChar w:fldCharType="begin"/>
    </w:r>
    <w:r>
      <w:instrText xml:space="preserve"> DOCPROPERTY DocumentID \* MERGEFORMAT </w:instrText>
    </w:r>
    <w:r>
      <w:fldChar w:fldCharType="separate"/>
    </w:r>
    <w:r w:rsidR="003A3487">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CA52A2" w:rsidRPr="00CA52A2" w:rsidRDefault="00CA52A2" w:rsidP="00CA52A2">
        <w:pPr>
          <w:pStyle w:val="Footer"/>
        </w:pPr>
        <w:r w:rsidRPr="00CA52A2">
          <w:fldChar w:fldCharType="begin"/>
        </w:r>
        <w:r>
          <w:instrText xml:space="preserve"> PAGE   \* MERGEFORMAT </w:instrText>
        </w:r>
        <w:r w:rsidRPr="00CA52A2">
          <w:fldChar w:fldCharType="separate"/>
        </w:r>
        <w:r w:rsidR="00010009">
          <w:rPr>
            <w:noProof/>
          </w:rPr>
          <w:t>9-3</w:t>
        </w:r>
        <w:r w:rsidRPr="00CA52A2">
          <w:fldChar w:fldCharType="end"/>
        </w:r>
        <w:r w:rsidRPr="00CA52A2">
          <w:t xml:space="preserve">          Attachment </w:t>
        </w:r>
        <w:r w:rsidR="004C0383">
          <w:t>9</w:t>
        </w:r>
        <w:r w:rsidR="00CF6EDE">
          <w:t xml:space="preserve"> </w:t>
        </w:r>
        <w:r w:rsidR="006553B6" w:rsidRPr="00CA52A2">
          <w:t xml:space="preserve">– </w:t>
        </w:r>
        <w:r w:rsidR="004C0383">
          <w:t>Efficiency carryover mechanism</w:t>
        </w:r>
        <w:r w:rsidR="00EA2300">
          <w:t xml:space="preserve"> </w:t>
        </w:r>
        <w:r w:rsidRPr="00CA52A2">
          <w:t xml:space="preserve">| </w:t>
        </w:r>
        <w:r w:rsidR="00CF2C05">
          <w:t xml:space="preserve">Draft decision: </w:t>
        </w:r>
        <w:r w:rsidR="000D64F2">
          <w:t>Amadeu</w:t>
        </w:r>
        <w:r w:rsidR="00C275C4">
          <w:t>s</w:t>
        </w:r>
        <w:r w:rsidR="00EE77FA">
          <w:t xml:space="preserve"> </w:t>
        </w:r>
        <w:r w:rsidR="00B97808">
          <w:t xml:space="preserve">Gas Pipeline </w:t>
        </w:r>
        <w:r w:rsidR="00CF2C05">
          <w:t>Access Arrangement</w:t>
        </w:r>
        <w:r w:rsidR="001B7D00">
          <w:t xml:space="preserve"> 2016</w:t>
        </w:r>
        <w:r w:rsidRPr="00CA52A2">
          <w:t>–</w:t>
        </w:r>
        <w:r w:rsidR="001B7D00">
          <w:t>2</w:t>
        </w:r>
        <w:r w:rsidR="00EE77FA">
          <w:t>1</w:t>
        </w:r>
      </w:p>
    </w:sdtContent>
  </w:sdt>
  <w:p w:rsidR="00DE772C" w:rsidRDefault="00DE772C">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BA29B8" w:rsidRDefault="00BA29B8" w:rsidP="00BA29B8">
      <w:pPr>
        <w:pStyle w:val="FootnoteText"/>
      </w:pPr>
      <w:r>
        <w:rPr>
          <w:rStyle w:val="FootnoteReference"/>
        </w:rPr>
        <w:footnoteRef/>
      </w:r>
      <w:r>
        <w:t xml:space="preserve"> </w:t>
      </w:r>
      <w:r>
        <w:tab/>
        <w:t xml:space="preserve">APTNT, </w:t>
      </w:r>
      <w:r w:rsidRPr="00F63AC4">
        <w:rPr>
          <w:rStyle w:val="AERtextitalic"/>
        </w:rPr>
        <w:t>Amadeus Gas Pipeline Access Arrangement Revision Proposal, Submission</w:t>
      </w:r>
      <w:r>
        <w:t xml:space="preserve">, August 2015, p. 169. </w:t>
      </w:r>
    </w:p>
  </w:footnote>
  <w:footnote w:id="2">
    <w:p w:rsidR="00F63AC4" w:rsidRDefault="00F63AC4">
      <w:pPr>
        <w:pStyle w:val="FootnoteText"/>
      </w:pPr>
      <w:r>
        <w:rPr>
          <w:rStyle w:val="FootnoteReference"/>
        </w:rPr>
        <w:footnoteRef/>
      </w:r>
      <w:r>
        <w:t xml:space="preserve"> </w:t>
      </w:r>
      <w:r>
        <w:tab/>
        <w:t xml:space="preserve">APTNT, </w:t>
      </w:r>
      <w:r w:rsidRPr="00F63AC4">
        <w:rPr>
          <w:rStyle w:val="AERtextitalic"/>
        </w:rPr>
        <w:t>Amadeus Gas Pipeline Access Arrangement Revision Proposal, Submission</w:t>
      </w:r>
      <w:r>
        <w:t>, August 2015, p. 169.</w:t>
      </w:r>
    </w:p>
  </w:footnote>
  <w:footnote w:id="3">
    <w:p w:rsidR="00F63AC4" w:rsidRDefault="00F63AC4">
      <w:pPr>
        <w:pStyle w:val="FootnoteText"/>
      </w:pPr>
      <w:r>
        <w:rPr>
          <w:rStyle w:val="FootnoteReference"/>
        </w:rPr>
        <w:footnoteRef/>
      </w:r>
      <w:r>
        <w:t xml:space="preserve"> </w:t>
      </w:r>
      <w:r>
        <w:tab/>
        <w:t xml:space="preserve">APTNT, </w:t>
      </w:r>
      <w:r w:rsidRPr="00F63AC4">
        <w:rPr>
          <w:rStyle w:val="AERtextitalic"/>
        </w:rPr>
        <w:t>Amadeus Gas Pipeline Access Arrangement Revision Proposal, Submission</w:t>
      </w:r>
      <w:r>
        <w:t>, August 2015, p. 161.</w:t>
      </w:r>
    </w:p>
  </w:footnote>
  <w:footnote w:id="4">
    <w:p w:rsidR="00684A09" w:rsidRDefault="00684A09">
      <w:pPr>
        <w:pStyle w:val="FootnoteText"/>
      </w:pPr>
      <w:r>
        <w:rPr>
          <w:rStyle w:val="FootnoteReference"/>
        </w:rPr>
        <w:footnoteRef/>
      </w:r>
      <w:r>
        <w:t xml:space="preserve"> </w:t>
      </w:r>
      <w:r>
        <w:tab/>
        <w:t>APTNT, Response to information request no. 11, 7 October 2015</w:t>
      </w:r>
      <w:r w:rsidR="002301B3">
        <w:t>, p. 2</w:t>
      </w:r>
      <w:r>
        <w:t>.</w:t>
      </w:r>
    </w:p>
  </w:footnote>
  <w:footnote w:id="5">
    <w:p w:rsidR="00684A09" w:rsidRDefault="00684A09">
      <w:pPr>
        <w:pStyle w:val="FootnoteText"/>
      </w:pPr>
      <w:r>
        <w:rPr>
          <w:rStyle w:val="FootnoteReference"/>
        </w:rPr>
        <w:footnoteRef/>
      </w:r>
      <w:r>
        <w:t xml:space="preserve"> </w:t>
      </w:r>
      <w:r>
        <w:tab/>
        <w:t>APTNT, Response to information request no. 11, 7 October 2015</w:t>
      </w:r>
      <w:r w:rsidR="002301B3">
        <w:t>, p. 2</w:t>
      </w:r>
      <w:r>
        <w:t>.</w:t>
      </w:r>
    </w:p>
  </w:footnote>
  <w:footnote w:id="6">
    <w:p w:rsidR="002301B3" w:rsidRDefault="002301B3" w:rsidP="002301B3">
      <w:pPr>
        <w:pStyle w:val="FootnoteText"/>
      </w:pPr>
      <w:r>
        <w:rPr>
          <w:rStyle w:val="FootnoteReference"/>
        </w:rPr>
        <w:footnoteRef/>
      </w:r>
      <w:r>
        <w:t xml:space="preserve"> </w:t>
      </w:r>
      <w:r>
        <w:tab/>
        <w:t>APTNT, Response to information request no. 11, 7 October 2015, p. 2.</w:t>
      </w:r>
    </w:p>
  </w:footnote>
  <w:footnote w:id="7">
    <w:p w:rsidR="00D22BE2" w:rsidRDefault="00D22BE2">
      <w:pPr>
        <w:pStyle w:val="FootnoteText"/>
      </w:pPr>
      <w:r>
        <w:rPr>
          <w:rStyle w:val="FootnoteReference"/>
        </w:rPr>
        <w:footnoteRef/>
      </w:r>
      <w:r>
        <w:t xml:space="preserve"> </w:t>
      </w:r>
      <w:r>
        <w:tab/>
      </w:r>
      <w:proofErr w:type="gramStart"/>
      <w:r>
        <w:t>NGR, r.</w:t>
      </w:r>
      <w:r w:rsidR="006E305B">
        <w:t xml:space="preserve"> </w:t>
      </w:r>
      <w:r>
        <w:t>98(1)</w:t>
      </w:r>
      <w:r w:rsidR="00172391">
        <w:t>.</w:t>
      </w:r>
      <w:proofErr w:type="gramEnd"/>
    </w:p>
  </w:footnote>
  <w:footnote w:id="8">
    <w:p w:rsidR="00AD3ADD" w:rsidRDefault="00AD3ADD">
      <w:pPr>
        <w:pStyle w:val="FootnoteText"/>
      </w:pPr>
      <w:r>
        <w:rPr>
          <w:rStyle w:val="FootnoteReference"/>
        </w:rPr>
        <w:footnoteRef/>
      </w:r>
      <w:r>
        <w:t xml:space="preserve"> </w:t>
      </w:r>
      <w:r>
        <w:tab/>
      </w:r>
      <w:proofErr w:type="gramStart"/>
      <w:r>
        <w:t>NGR, r.</w:t>
      </w:r>
      <w:r w:rsidR="006E305B">
        <w:t xml:space="preserve"> </w:t>
      </w:r>
      <w:r>
        <w:t>98</w:t>
      </w:r>
      <w:r w:rsidR="00D22BE2">
        <w:t>(3).</w:t>
      </w:r>
      <w:proofErr w:type="gramEnd"/>
    </w:p>
  </w:footnote>
  <w:footnote w:id="9">
    <w:p w:rsidR="00AD3ADD" w:rsidRDefault="00AD3ADD">
      <w:pPr>
        <w:pStyle w:val="FootnoteText"/>
      </w:pPr>
      <w:r>
        <w:rPr>
          <w:rStyle w:val="FootnoteReference"/>
        </w:rPr>
        <w:footnoteRef/>
      </w:r>
      <w:r>
        <w:t xml:space="preserve"> </w:t>
      </w:r>
      <w:r>
        <w:tab/>
      </w:r>
      <w:proofErr w:type="gramStart"/>
      <w:r>
        <w:t>NGL, s. 24(3).</w:t>
      </w:r>
      <w:proofErr w:type="gramEnd"/>
    </w:p>
  </w:footnote>
  <w:footnote w:id="10">
    <w:p w:rsidR="001C4DB7" w:rsidRDefault="001C4DB7" w:rsidP="001C4DB7">
      <w:pPr>
        <w:pStyle w:val="FootnoteText"/>
      </w:pPr>
      <w:r>
        <w:rPr>
          <w:rStyle w:val="FootnoteReference"/>
        </w:rPr>
        <w:footnoteRef/>
      </w:r>
      <w:r>
        <w:t xml:space="preserve"> </w:t>
      </w:r>
      <w:r>
        <w:tab/>
        <w:t xml:space="preserve">APTNT, </w:t>
      </w:r>
      <w:r w:rsidRPr="00F63AC4">
        <w:rPr>
          <w:rStyle w:val="AERtextitalic"/>
        </w:rPr>
        <w:t>Amadeus Gas Pipeline Access Arrangement Revision Proposal, Submission</w:t>
      </w:r>
      <w:r>
        <w:t>, August 2015, p. 161.</w:t>
      </w:r>
    </w:p>
  </w:footnote>
  <w:footnote w:id="11">
    <w:p w:rsidR="001C2C91" w:rsidRDefault="001C2C91" w:rsidP="001C2C91">
      <w:pPr>
        <w:pStyle w:val="FootnoteText"/>
      </w:pPr>
      <w:r>
        <w:rPr>
          <w:rStyle w:val="FootnoteReference"/>
        </w:rPr>
        <w:footnoteRef/>
      </w:r>
      <w:r>
        <w:t xml:space="preserve"> </w:t>
      </w:r>
      <w:r>
        <w:tab/>
        <w:t xml:space="preserve">NT Government, </w:t>
      </w:r>
      <w:r w:rsidRPr="00EB3EF1">
        <w:rPr>
          <w:i/>
        </w:rPr>
        <w:t>North East Gas Interconnector, Request for final proposals</w:t>
      </w:r>
      <w:r>
        <w:t xml:space="preserve">, website accessed 2 September 2015, </w:t>
      </w:r>
      <w:hyperlink r:id="rId1" w:history="1">
        <w:r w:rsidRPr="00E06264">
          <w:rPr>
            <w:rStyle w:val="Hyperlink"/>
            <w:sz w:val="16"/>
          </w:rPr>
          <w:t>http://dcm.nt.gov.au/territory_economy/north_east_gas_interconnector</w:t>
        </w:r>
      </w:hyperlink>
      <w:r>
        <w:t xml:space="preserve">. </w:t>
      </w:r>
    </w:p>
  </w:footnote>
  <w:footnote w:id="12">
    <w:p w:rsidR="00CE4D2E" w:rsidRDefault="00CE4D2E">
      <w:pPr>
        <w:pStyle w:val="FootnoteText"/>
      </w:pPr>
      <w:r>
        <w:rPr>
          <w:rStyle w:val="FootnoteReference"/>
        </w:rPr>
        <w:footnoteRef/>
      </w:r>
      <w:r>
        <w:t xml:space="preserve"> </w:t>
      </w:r>
      <w:r>
        <w:tab/>
        <w:t xml:space="preserve">APTNT, </w:t>
      </w:r>
      <w:r w:rsidR="00D449BE" w:rsidRPr="00A56D16">
        <w:rPr>
          <w:rStyle w:val="Emphasis"/>
        </w:rPr>
        <w:t>Response to information request no. 11</w:t>
      </w:r>
      <w:r w:rsidR="00D449BE">
        <w:t>, 7 October 2015,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010009">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DE772C">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010009">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4502F73"/>
    <w:multiLevelType w:val="hybridMultilevel"/>
    <w:tmpl w:val="02C471C8"/>
    <w:lvl w:ilvl="0" w:tplc="0C090001">
      <w:start w:val="1"/>
      <w:numFmt w:val="bullet"/>
      <w:lvlText w:val=""/>
      <w:lvlJc w:val="left"/>
      <w:pPr>
        <w:ind w:left="1721" w:hanging="360"/>
      </w:pPr>
      <w:rPr>
        <w:rFonts w:ascii="Symbol" w:hAnsi="Symbol" w:hint="default"/>
      </w:rPr>
    </w:lvl>
    <w:lvl w:ilvl="1" w:tplc="0C090003" w:tentative="1">
      <w:start w:val="1"/>
      <w:numFmt w:val="bullet"/>
      <w:lvlText w:val="o"/>
      <w:lvlJc w:val="left"/>
      <w:pPr>
        <w:ind w:left="2441" w:hanging="360"/>
      </w:pPr>
      <w:rPr>
        <w:rFonts w:ascii="Courier New" w:hAnsi="Courier New" w:cs="Courier New" w:hint="default"/>
      </w:rPr>
    </w:lvl>
    <w:lvl w:ilvl="2" w:tplc="0C090005" w:tentative="1">
      <w:start w:val="1"/>
      <w:numFmt w:val="bullet"/>
      <w:lvlText w:val=""/>
      <w:lvlJc w:val="left"/>
      <w:pPr>
        <w:ind w:left="3161" w:hanging="360"/>
      </w:pPr>
      <w:rPr>
        <w:rFonts w:ascii="Wingdings" w:hAnsi="Wingdings" w:hint="default"/>
      </w:rPr>
    </w:lvl>
    <w:lvl w:ilvl="3" w:tplc="0C090001" w:tentative="1">
      <w:start w:val="1"/>
      <w:numFmt w:val="bullet"/>
      <w:lvlText w:val=""/>
      <w:lvlJc w:val="left"/>
      <w:pPr>
        <w:ind w:left="3881" w:hanging="360"/>
      </w:pPr>
      <w:rPr>
        <w:rFonts w:ascii="Symbol" w:hAnsi="Symbol" w:hint="default"/>
      </w:rPr>
    </w:lvl>
    <w:lvl w:ilvl="4" w:tplc="0C090003" w:tentative="1">
      <w:start w:val="1"/>
      <w:numFmt w:val="bullet"/>
      <w:lvlText w:val="o"/>
      <w:lvlJc w:val="left"/>
      <w:pPr>
        <w:ind w:left="4601" w:hanging="360"/>
      </w:pPr>
      <w:rPr>
        <w:rFonts w:ascii="Courier New" w:hAnsi="Courier New" w:cs="Courier New" w:hint="default"/>
      </w:rPr>
    </w:lvl>
    <w:lvl w:ilvl="5" w:tplc="0C090005" w:tentative="1">
      <w:start w:val="1"/>
      <w:numFmt w:val="bullet"/>
      <w:lvlText w:val=""/>
      <w:lvlJc w:val="left"/>
      <w:pPr>
        <w:ind w:left="5321" w:hanging="360"/>
      </w:pPr>
      <w:rPr>
        <w:rFonts w:ascii="Wingdings" w:hAnsi="Wingdings" w:hint="default"/>
      </w:rPr>
    </w:lvl>
    <w:lvl w:ilvl="6" w:tplc="0C090001" w:tentative="1">
      <w:start w:val="1"/>
      <w:numFmt w:val="bullet"/>
      <w:lvlText w:val=""/>
      <w:lvlJc w:val="left"/>
      <w:pPr>
        <w:ind w:left="6041" w:hanging="360"/>
      </w:pPr>
      <w:rPr>
        <w:rFonts w:ascii="Symbol" w:hAnsi="Symbol" w:hint="default"/>
      </w:rPr>
    </w:lvl>
    <w:lvl w:ilvl="7" w:tplc="0C090003" w:tentative="1">
      <w:start w:val="1"/>
      <w:numFmt w:val="bullet"/>
      <w:lvlText w:val="o"/>
      <w:lvlJc w:val="left"/>
      <w:pPr>
        <w:ind w:left="6761" w:hanging="360"/>
      </w:pPr>
      <w:rPr>
        <w:rFonts w:ascii="Courier New" w:hAnsi="Courier New" w:cs="Courier New" w:hint="default"/>
      </w:rPr>
    </w:lvl>
    <w:lvl w:ilvl="8" w:tplc="0C090005" w:tentative="1">
      <w:start w:val="1"/>
      <w:numFmt w:val="bullet"/>
      <w:lvlText w:val=""/>
      <w:lvlJc w:val="left"/>
      <w:pPr>
        <w:ind w:left="7481"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ECE4384"/>
    <w:multiLevelType w:val="multilevel"/>
    <w:tmpl w:val="CF080076"/>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6">
    <w:nsid w:val="71052EFE"/>
    <w:multiLevelType w:val="hybridMultilevel"/>
    <w:tmpl w:val="52FCFAA8"/>
    <w:lvl w:ilvl="0" w:tplc="C846CA5C">
      <w:start w:val="1"/>
      <w:numFmt w:val="lowerRoman"/>
      <w:pStyle w:val="AERnumberedlistthirdstyle"/>
      <w:lvlText w:val="%1."/>
      <w:lvlJc w:val="right"/>
      <w:pPr>
        <w:ind w:left="1040" w:hanging="360"/>
      </w:p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8"/>
  </w:num>
  <w:num w:numId="14">
    <w:abstractNumId w:val="11"/>
  </w:num>
  <w:num w:numId="15">
    <w:abstractNumId w:val="13"/>
  </w:num>
  <w:num w:numId="16">
    <w:abstractNumId w:val="19"/>
  </w:num>
  <w:num w:numId="17">
    <w:abstractNumId w:val="10"/>
  </w:num>
  <w:num w:numId="18">
    <w:abstractNumId w:val="15"/>
  </w:num>
  <w:num w:numId="19">
    <w:abstractNumId w:val="20"/>
  </w:num>
  <w:num w:numId="20">
    <w:abstractNumId w:val="26"/>
  </w:num>
  <w:num w:numId="21">
    <w:abstractNumId w:val="23"/>
  </w:num>
  <w:num w:numId="22">
    <w:abstractNumId w:val="21"/>
  </w:num>
  <w:num w:numId="23">
    <w:abstractNumId w:val="16"/>
  </w:num>
  <w:num w:numId="24">
    <w:abstractNumId w:val="22"/>
  </w:num>
  <w:num w:numId="25">
    <w:abstractNumId w:val="24"/>
  </w:num>
  <w:num w:numId="26">
    <w:abstractNumId w:val="17"/>
  </w:num>
  <w:num w:numId="27">
    <w:abstractNumId w:val="14"/>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4"/>
  </w:num>
  <w:num w:numId="31">
    <w:abstractNumId w:val="24"/>
  </w:num>
  <w:num w:numId="32">
    <w:abstractNumId w:val="26"/>
    <w:lvlOverride w:ilvl="0">
      <w:startOverride w:val="1"/>
    </w:lvlOverride>
  </w:num>
  <w:num w:numId="33">
    <w:abstractNumId w:val="26"/>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nwRMtlGtuqm44KIpbLuLF1RliUNxauGoZ69tyRLTe+4=" w:saltValue="85a/v2k34GqtOOrzVJr1+Q=="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140\D15 156687  Draft decision - amadeus gas pipeline access arrangement - attachment 9 - efficiency carryover mechanism - 16 October 2015.DOCX"/>
  </w:docVars>
  <w:rsids>
    <w:rsidRoot w:val="00961A4A"/>
    <w:rsid w:val="00004780"/>
    <w:rsid w:val="00010009"/>
    <w:rsid w:val="00010286"/>
    <w:rsid w:val="000205FE"/>
    <w:rsid w:val="00021202"/>
    <w:rsid w:val="00021C2B"/>
    <w:rsid w:val="0002517F"/>
    <w:rsid w:val="00026495"/>
    <w:rsid w:val="00030F47"/>
    <w:rsid w:val="000353BF"/>
    <w:rsid w:val="0003578C"/>
    <w:rsid w:val="00037949"/>
    <w:rsid w:val="000401AF"/>
    <w:rsid w:val="0004207F"/>
    <w:rsid w:val="000577FD"/>
    <w:rsid w:val="00063247"/>
    <w:rsid w:val="00070F9F"/>
    <w:rsid w:val="0007137B"/>
    <w:rsid w:val="000846FC"/>
    <w:rsid w:val="00085663"/>
    <w:rsid w:val="00085EBF"/>
    <w:rsid w:val="00091B15"/>
    <w:rsid w:val="0009530A"/>
    <w:rsid w:val="000A3020"/>
    <w:rsid w:val="000A4A0A"/>
    <w:rsid w:val="000A6C7B"/>
    <w:rsid w:val="000C2B40"/>
    <w:rsid w:val="000D06C1"/>
    <w:rsid w:val="000D122C"/>
    <w:rsid w:val="000D3016"/>
    <w:rsid w:val="000D473F"/>
    <w:rsid w:val="000D511D"/>
    <w:rsid w:val="000D64F2"/>
    <w:rsid w:val="000D797B"/>
    <w:rsid w:val="000E1819"/>
    <w:rsid w:val="000E4821"/>
    <w:rsid w:val="000E6C72"/>
    <w:rsid w:val="000F0B2B"/>
    <w:rsid w:val="000F3E72"/>
    <w:rsid w:val="000F48B1"/>
    <w:rsid w:val="000F5954"/>
    <w:rsid w:val="00103A67"/>
    <w:rsid w:val="00106361"/>
    <w:rsid w:val="00116EB2"/>
    <w:rsid w:val="00124609"/>
    <w:rsid w:val="00126A4C"/>
    <w:rsid w:val="00133A12"/>
    <w:rsid w:val="00142AB6"/>
    <w:rsid w:val="0014573B"/>
    <w:rsid w:val="001573E4"/>
    <w:rsid w:val="00160756"/>
    <w:rsid w:val="0017232E"/>
    <w:rsid w:val="00172391"/>
    <w:rsid w:val="00174102"/>
    <w:rsid w:val="00174BD5"/>
    <w:rsid w:val="001754EE"/>
    <w:rsid w:val="00180157"/>
    <w:rsid w:val="00185CB9"/>
    <w:rsid w:val="00186F77"/>
    <w:rsid w:val="001926A4"/>
    <w:rsid w:val="00192AD5"/>
    <w:rsid w:val="001B45A0"/>
    <w:rsid w:val="001B7D00"/>
    <w:rsid w:val="001C2C91"/>
    <w:rsid w:val="001C4DB7"/>
    <w:rsid w:val="001D055E"/>
    <w:rsid w:val="001F05A4"/>
    <w:rsid w:val="001F492E"/>
    <w:rsid w:val="001F6DA3"/>
    <w:rsid w:val="002010BC"/>
    <w:rsid w:val="002016E7"/>
    <w:rsid w:val="00201F98"/>
    <w:rsid w:val="00202E03"/>
    <w:rsid w:val="0020478D"/>
    <w:rsid w:val="0020492C"/>
    <w:rsid w:val="00205A33"/>
    <w:rsid w:val="002249C1"/>
    <w:rsid w:val="00224DB9"/>
    <w:rsid w:val="00227DCE"/>
    <w:rsid w:val="002301B3"/>
    <w:rsid w:val="0023276C"/>
    <w:rsid w:val="00233775"/>
    <w:rsid w:val="00251745"/>
    <w:rsid w:val="00263AC0"/>
    <w:rsid w:val="00264264"/>
    <w:rsid w:val="002663A0"/>
    <w:rsid w:val="0026772D"/>
    <w:rsid w:val="00285908"/>
    <w:rsid w:val="00286874"/>
    <w:rsid w:val="00290C63"/>
    <w:rsid w:val="00296B65"/>
    <w:rsid w:val="002A7DEF"/>
    <w:rsid w:val="002B1003"/>
    <w:rsid w:val="002B573C"/>
    <w:rsid w:val="002B5A36"/>
    <w:rsid w:val="002C233C"/>
    <w:rsid w:val="002D72E8"/>
    <w:rsid w:val="002E7B22"/>
    <w:rsid w:val="002F1F68"/>
    <w:rsid w:val="002F7986"/>
    <w:rsid w:val="00301B40"/>
    <w:rsid w:val="003029EE"/>
    <w:rsid w:val="0030370B"/>
    <w:rsid w:val="00305CC8"/>
    <w:rsid w:val="00307F6D"/>
    <w:rsid w:val="003177A2"/>
    <w:rsid w:val="003271B5"/>
    <w:rsid w:val="00327A1E"/>
    <w:rsid w:val="00331264"/>
    <w:rsid w:val="00334C8D"/>
    <w:rsid w:val="00343A18"/>
    <w:rsid w:val="00344473"/>
    <w:rsid w:val="003518B3"/>
    <w:rsid w:val="003846F1"/>
    <w:rsid w:val="003931A7"/>
    <w:rsid w:val="003A3487"/>
    <w:rsid w:val="003B1A2D"/>
    <w:rsid w:val="003B3CA6"/>
    <w:rsid w:val="003B484F"/>
    <w:rsid w:val="003B7FBA"/>
    <w:rsid w:val="003D0FD3"/>
    <w:rsid w:val="003E227D"/>
    <w:rsid w:val="003E566A"/>
    <w:rsid w:val="003E7F9A"/>
    <w:rsid w:val="003F174D"/>
    <w:rsid w:val="003F7442"/>
    <w:rsid w:val="00415F31"/>
    <w:rsid w:val="00423A77"/>
    <w:rsid w:val="00427862"/>
    <w:rsid w:val="0043536D"/>
    <w:rsid w:val="00454EBC"/>
    <w:rsid w:val="0045777E"/>
    <w:rsid w:val="00474EC7"/>
    <w:rsid w:val="00480B4B"/>
    <w:rsid w:val="00485DC4"/>
    <w:rsid w:val="004A43D1"/>
    <w:rsid w:val="004B355D"/>
    <w:rsid w:val="004B4412"/>
    <w:rsid w:val="004C0383"/>
    <w:rsid w:val="004C348C"/>
    <w:rsid w:val="004D55BA"/>
    <w:rsid w:val="004E22EC"/>
    <w:rsid w:val="004E33BA"/>
    <w:rsid w:val="004F6A0E"/>
    <w:rsid w:val="005248C2"/>
    <w:rsid w:val="00530128"/>
    <w:rsid w:val="00532467"/>
    <w:rsid w:val="00537FD6"/>
    <w:rsid w:val="00564A4D"/>
    <w:rsid w:val="0056588A"/>
    <w:rsid w:val="00567BA5"/>
    <w:rsid w:val="005716C2"/>
    <w:rsid w:val="00571B35"/>
    <w:rsid w:val="00571D57"/>
    <w:rsid w:val="00577A09"/>
    <w:rsid w:val="005829C2"/>
    <w:rsid w:val="00584D8F"/>
    <w:rsid w:val="00586819"/>
    <w:rsid w:val="0059704C"/>
    <w:rsid w:val="005A404D"/>
    <w:rsid w:val="005B1E3C"/>
    <w:rsid w:val="005B3FB7"/>
    <w:rsid w:val="005B704A"/>
    <w:rsid w:val="005C0A7F"/>
    <w:rsid w:val="005C26CC"/>
    <w:rsid w:val="005C4C9C"/>
    <w:rsid w:val="005C53C3"/>
    <w:rsid w:val="005C7312"/>
    <w:rsid w:val="005D7BA2"/>
    <w:rsid w:val="005E2FC3"/>
    <w:rsid w:val="005E36C2"/>
    <w:rsid w:val="005F7655"/>
    <w:rsid w:val="006007DE"/>
    <w:rsid w:val="00601638"/>
    <w:rsid w:val="00610EF9"/>
    <w:rsid w:val="00612F4F"/>
    <w:rsid w:val="00615C6B"/>
    <w:rsid w:val="00621DCE"/>
    <w:rsid w:val="00632D6D"/>
    <w:rsid w:val="00642C3E"/>
    <w:rsid w:val="00651C3A"/>
    <w:rsid w:val="00651CB2"/>
    <w:rsid w:val="006553B6"/>
    <w:rsid w:val="006560CA"/>
    <w:rsid w:val="0066104A"/>
    <w:rsid w:val="00663DAD"/>
    <w:rsid w:val="00665649"/>
    <w:rsid w:val="006672AA"/>
    <w:rsid w:val="00675E20"/>
    <w:rsid w:val="00676679"/>
    <w:rsid w:val="00681EAA"/>
    <w:rsid w:val="00683C89"/>
    <w:rsid w:val="00684A09"/>
    <w:rsid w:val="00691D9A"/>
    <w:rsid w:val="006B2395"/>
    <w:rsid w:val="006B45A4"/>
    <w:rsid w:val="006B4CF9"/>
    <w:rsid w:val="006B785B"/>
    <w:rsid w:val="006B7AC8"/>
    <w:rsid w:val="006C1736"/>
    <w:rsid w:val="006C4798"/>
    <w:rsid w:val="006D550F"/>
    <w:rsid w:val="006E305B"/>
    <w:rsid w:val="006F26CB"/>
    <w:rsid w:val="006F3AD1"/>
    <w:rsid w:val="006F3FC8"/>
    <w:rsid w:val="006F6DC6"/>
    <w:rsid w:val="0070011E"/>
    <w:rsid w:val="00701CAB"/>
    <w:rsid w:val="00707563"/>
    <w:rsid w:val="007219C0"/>
    <w:rsid w:val="0072348C"/>
    <w:rsid w:val="00724A37"/>
    <w:rsid w:val="007303C3"/>
    <w:rsid w:val="00741C46"/>
    <w:rsid w:val="00741E23"/>
    <w:rsid w:val="007429BE"/>
    <w:rsid w:val="00743223"/>
    <w:rsid w:val="00746E01"/>
    <w:rsid w:val="00747EEA"/>
    <w:rsid w:val="00750084"/>
    <w:rsid w:val="007566A5"/>
    <w:rsid w:val="00757364"/>
    <w:rsid w:val="00757BDF"/>
    <w:rsid w:val="007609D0"/>
    <w:rsid w:val="00763E5D"/>
    <w:rsid w:val="00764CA6"/>
    <w:rsid w:val="00767740"/>
    <w:rsid w:val="00777EE6"/>
    <w:rsid w:val="00782EEA"/>
    <w:rsid w:val="007A54DC"/>
    <w:rsid w:val="007B186E"/>
    <w:rsid w:val="007B2C72"/>
    <w:rsid w:val="007C1C53"/>
    <w:rsid w:val="007C74BB"/>
    <w:rsid w:val="007D456E"/>
    <w:rsid w:val="007E3646"/>
    <w:rsid w:val="007E4904"/>
    <w:rsid w:val="007E4CB5"/>
    <w:rsid w:val="007F066B"/>
    <w:rsid w:val="007F213A"/>
    <w:rsid w:val="007F75C4"/>
    <w:rsid w:val="008033C4"/>
    <w:rsid w:val="00806C88"/>
    <w:rsid w:val="0081034E"/>
    <w:rsid w:val="008221F2"/>
    <w:rsid w:val="00825985"/>
    <w:rsid w:val="008344F6"/>
    <w:rsid w:val="0083510F"/>
    <w:rsid w:val="008408C5"/>
    <w:rsid w:val="00851209"/>
    <w:rsid w:val="0085722A"/>
    <w:rsid w:val="00864B35"/>
    <w:rsid w:val="00882481"/>
    <w:rsid w:val="008837AC"/>
    <w:rsid w:val="00892011"/>
    <w:rsid w:val="008954BE"/>
    <w:rsid w:val="008A587D"/>
    <w:rsid w:val="008B35CD"/>
    <w:rsid w:val="008B5FCC"/>
    <w:rsid w:val="008B7544"/>
    <w:rsid w:val="008C3374"/>
    <w:rsid w:val="008C5486"/>
    <w:rsid w:val="008C5970"/>
    <w:rsid w:val="008C708B"/>
    <w:rsid w:val="008D1661"/>
    <w:rsid w:val="008D6800"/>
    <w:rsid w:val="008E7031"/>
    <w:rsid w:val="008E77DE"/>
    <w:rsid w:val="008F07A3"/>
    <w:rsid w:val="008F34DD"/>
    <w:rsid w:val="009001B6"/>
    <w:rsid w:val="00900E1B"/>
    <w:rsid w:val="00901C3C"/>
    <w:rsid w:val="009233EE"/>
    <w:rsid w:val="009272AD"/>
    <w:rsid w:val="009277DC"/>
    <w:rsid w:val="00931D81"/>
    <w:rsid w:val="009460AA"/>
    <w:rsid w:val="00951978"/>
    <w:rsid w:val="00952EED"/>
    <w:rsid w:val="00961A4A"/>
    <w:rsid w:val="009661DE"/>
    <w:rsid w:val="00983C25"/>
    <w:rsid w:val="009856B7"/>
    <w:rsid w:val="00985C86"/>
    <w:rsid w:val="009A5113"/>
    <w:rsid w:val="009A5FC3"/>
    <w:rsid w:val="009A65D6"/>
    <w:rsid w:val="009B6F84"/>
    <w:rsid w:val="009B74B0"/>
    <w:rsid w:val="009D32C7"/>
    <w:rsid w:val="009D3906"/>
    <w:rsid w:val="009D6B46"/>
    <w:rsid w:val="009F4940"/>
    <w:rsid w:val="009F52C5"/>
    <w:rsid w:val="009F5BA1"/>
    <w:rsid w:val="00A02A88"/>
    <w:rsid w:val="00A0562E"/>
    <w:rsid w:val="00A06085"/>
    <w:rsid w:val="00A0726D"/>
    <w:rsid w:val="00A120B3"/>
    <w:rsid w:val="00A14A2C"/>
    <w:rsid w:val="00A32FBB"/>
    <w:rsid w:val="00A428EE"/>
    <w:rsid w:val="00A4478A"/>
    <w:rsid w:val="00A44852"/>
    <w:rsid w:val="00A4650A"/>
    <w:rsid w:val="00A50502"/>
    <w:rsid w:val="00A56D16"/>
    <w:rsid w:val="00A57D04"/>
    <w:rsid w:val="00A60A26"/>
    <w:rsid w:val="00A61598"/>
    <w:rsid w:val="00A84A99"/>
    <w:rsid w:val="00A84F46"/>
    <w:rsid w:val="00A871F4"/>
    <w:rsid w:val="00AA5AE3"/>
    <w:rsid w:val="00AC1B2C"/>
    <w:rsid w:val="00AC3264"/>
    <w:rsid w:val="00AD17F4"/>
    <w:rsid w:val="00AD3ADD"/>
    <w:rsid w:val="00AE1BF1"/>
    <w:rsid w:val="00AF0DD2"/>
    <w:rsid w:val="00B0209D"/>
    <w:rsid w:val="00B07CEA"/>
    <w:rsid w:val="00B13048"/>
    <w:rsid w:val="00B1716D"/>
    <w:rsid w:val="00B17A1D"/>
    <w:rsid w:val="00B207A0"/>
    <w:rsid w:val="00B3207B"/>
    <w:rsid w:val="00B36376"/>
    <w:rsid w:val="00B40CAA"/>
    <w:rsid w:val="00B42478"/>
    <w:rsid w:val="00B514DD"/>
    <w:rsid w:val="00B51F3F"/>
    <w:rsid w:val="00B52AF0"/>
    <w:rsid w:val="00B561BD"/>
    <w:rsid w:val="00B56E03"/>
    <w:rsid w:val="00B61EDF"/>
    <w:rsid w:val="00B757A6"/>
    <w:rsid w:val="00B8080B"/>
    <w:rsid w:val="00B82223"/>
    <w:rsid w:val="00B87BA5"/>
    <w:rsid w:val="00B87C39"/>
    <w:rsid w:val="00B9562D"/>
    <w:rsid w:val="00B97808"/>
    <w:rsid w:val="00BA29B8"/>
    <w:rsid w:val="00BA4665"/>
    <w:rsid w:val="00BB2FB2"/>
    <w:rsid w:val="00BB3304"/>
    <w:rsid w:val="00BB3FD7"/>
    <w:rsid w:val="00BB7528"/>
    <w:rsid w:val="00BC19E0"/>
    <w:rsid w:val="00BD0CCD"/>
    <w:rsid w:val="00BD310B"/>
    <w:rsid w:val="00BD3446"/>
    <w:rsid w:val="00BD3749"/>
    <w:rsid w:val="00BE1F1B"/>
    <w:rsid w:val="00BE47B5"/>
    <w:rsid w:val="00C04223"/>
    <w:rsid w:val="00C25FA6"/>
    <w:rsid w:val="00C275C4"/>
    <w:rsid w:val="00C42ACA"/>
    <w:rsid w:val="00C538A9"/>
    <w:rsid w:val="00C53B5A"/>
    <w:rsid w:val="00C54F5A"/>
    <w:rsid w:val="00C569B4"/>
    <w:rsid w:val="00C56A3E"/>
    <w:rsid w:val="00C67A92"/>
    <w:rsid w:val="00C723B5"/>
    <w:rsid w:val="00C7497E"/>
    <w:rsid w:val="00C84560"/>
    <w:rsid w:val="00C84B77"/>
    <w:rsid w:val="00C84F52"/>
    <w:rsid w:val="00C86679"/>
    <w:rsid w:val="00C96256"/>
    <w:rsid w:val="00CA489E"/>
    <w:rsid w:val="00CA52A2"/>
    <w:rsid w:val="00CB0279"/>
    <w:rsid w:val="00CB666B"/>
    <w:rsid w:val="00CC7F1D"/>
    <w:rsid w:val="00CE484B"/>
    <w:rsid w:val="00CE4D2E"/>
    <w:rsid w:val="00CF0DEE"/>
    <w:rsid w:val="00CF1912"/>
    <w:rsid w:val="00CF2C05"/>
    <w:rsid w:val="00CF6EDE"/>
    <w:rsid w:val="00D006AE"/>
    <w:rsid w:val="00D01CF0"/>
    <w:rsid w:val="00D01EFD"/>
    <w:rsid w:val="00D0442A"/>
    <w:rsid w:val="00D15903"/>
    <w:rsid w:val="00D17683"/>
    <w:rsid w:val="00D22BE2"/>
    <w:rsid w:val="00D449BE"/>
    <w:rsid w:val="00D45694"/>
    <w:rsid w:val="00D510BF"/>
    <w:rsid w:val="00D61388"/>
    <w:rsid w:val="00D61A54"/>
    <w:rsid w:val="00D64DEA"/>
    <w:rsid w:val="00D71464"/>
    <w:rsid w:val="00D7168E"/>
    <w:rsid w:val="00D71E57"/>
    <w:rsid w:val="00D71EF9"/>
    <w:rsid w:val="00D75AA2"/>
    <w:rsid w:val="00D80893"/>
    <w:rsid w:val="00D84854"/>
    <w:rsid w:val="00D848B4"/>
    <w:rsid w:val="00D92CF1"/>
    <w:rsid w:val="00D92D38"/>
    <w:rsid w:val="00D950F5"/>
    <w:rsid w:val="00DA13F8"/>
    <w:rsid w:val="00DA4752"/>
    <w:rsid w:val="00DA61F3"/>
    <w:rsid w:val="00DA6B93"/>
    <w:rsid w:val="00DB0F93"/>
    <w:rsid w:val="00DB1A67"/>
    <w:rsid w:val="00DB5074"/>
    <w:rsid w:val="00DB5B21"/>
    <w:rsid w:val="00DC7981"/>
    <w:rsid w:val="00DD4D42"/>
    <w:rsid w:val="00DE1093"/>
    <w:rsid w:val="00DE4EFA"/>
    <w:rsid w:val="00DE5520"/>
    <w:rsid w:val="00DE563D"/>
    <w:rsid w:val="00DE5E2E"/>
    <w:rsid w:val="00DE772C"/>
    <w:rsid w:val="00DF312A"/>
    <w:rsid w:val="00E040EB"/>
    <w:rsid w:val="00E04818"/>
    <w:rsid w:val="00E06442"/>
    <w:rsid w:val="00E06BCF"/>
    <w:rsid w:val="00E07FEF"/>
    <w:rsid w:val="00E1001C"/>
    <w:rsid w:val="00E23993"/>
    <w:rsid w:val="00E257D6"/>
    <w:rsid w:val="00E25B8C"/>
    <w:rsid w:val="00E43AE7"/>
    <w:rsid w:val="00E51D65"/>
    <w:rsid w:val="00E52F72"/>
    <w:rsid w:val="00E562C3"/>
    <w:rsid w:val="00E6200B"/>
    <w:rsid w:val="00E63800"/>
    <w:rsid w:val="00E65C85"/>
    <w:rsid w:val="00E66199"/>
    <w:rsid w:val="00E711C7"/>
    <w:rsid w:val="00E755EC"/>
    <w:rsid w:val="00E7624D"/>
    <w:rsid w:val="00EA2300"/>
    <w:rsid w:val="00EA3D42"/>
    <w:rsid w:val="00EA6AC5"/>
    <w:rsid w:val="00EA6B1B"/>
    <w:rsid w:val="00EB3EF1"/>
    <w:rsid w:val="00EB5BC8"/>
    <w:rsid w:val="00EB606C"/>
    <w:rsid w:val="00EC04F1"/>
    <w:rsid w:val="00ED0EC2"/>
    <w:rsid w:val="00ED7323"/>
    <w:rsid w:val="00EE28F3"/>
    <w:rsid w:val="00EE50D1"/>
    <w:rsid w:val="00EE77FA"/>
    <w:rsid w:val="00EF2894"/>
    <w:rsid w:val="00EF5110"/>
    <w:rsid w:val="00EF70B6"/>
    <w:rsid w:val="00F0279C"/>
    <w:rsid w:val="00F0334E"/>
    <w:rsid w:val="00F10411"/>
    <w:rsid w:val="00F15882"/>
    <w:rsid w:val="00F171E0"/>
    <w:rsid w:val="00F20BD3"/>
    <w:rsid w:val="00F2526A"/>
    <w:rsid w:val="00F373A5"/>
    <w:rsid w:val="00F42DF8"/>
    <w:rsid w:val="00F454FE"/>
    <w:rsid w:val="00F47559"/>
    <w:rsid w:val="00F61176"/>
    <w:rsid w:val="00F63AC4"/>
    <w:rsid w:val="00F64C7B"/>
    <w:rsid w:val="00F65B25"/>
    <w:rsid w:val="00F676DD"/>
    <w:rsid w:val="00F71667"/>
    <w:rsid w:val="00F75A26"/>
    <w:rsid w:val="00F76706"/>
    <w:rsid w:val="00F768C8"/>
    <w:rsid w:val="00F81B8D"/>
    <w:rsid w:val="00F83FAD"/>
    <w:rsid w:val="00F8653A"/>
    <w:rsid w:val="00F92349"/>
    <w:rsid w:val="00F952A0"/>
    <w:rsid w:val="00F95C58"/>
    <w:rsid w:val="00FA3C7F"/>
    <w:rsid w:val="00FB4402"/>
    <w:rsid w:val="00FB60FE"/>
    <w:rsid w:val="00FB74E2"/>
    <w:rsid w:val="00FC71DC"/>
    <w:rsid w:val="00FD2ED2"/>
    <w:rsid w:val="00FD5614"/>
    <w:rsid w:val="00FD5E78"/>
    <w:rsid w:val="00FE0BE1"/>
    <w:rsid w:val="00FE1907"/>
    <w:rsid w:val="00FE1DE9"/>
    <w:rsid w:val="00FE36AF"/>
    <w:rsid w:val="00FE39C2"/>
    <w:rsid w:val="00FE3C32"/>
    <w:rsid w:val="00FE54B3"/>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customStyle="1" w:styleId="Default">
    <w:name w:val="Default"/>
    <w:rsid w:val="00CE4D2E"/>
    <w:pPr>
      <w:autoSpaceDE w:val="0"/>
      <w:autoSpaceDN w:val="0"/>
      <w:adjustRightInd w:val="0"/>
      <w:spacing w:before="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customStyle="1" w:styleId="Default">
    <w:name w:val="Default"/>
    <w:rsid w:val="00CE4D2E"/>
    <w:pPr>
      <w:autoSpaceDE w:val="0"/>
      <w:autoSpaceDN w:val="0"/>
      <w:adjustRightInd w:val="0"/>
      <w:spacing w:before="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2511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dcm.nt.gov.au/territory_economy/north_east_gas_interconnector"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3F01FE-0618-4E81-B238-54B1C8451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827FE0E9</Template>
  <TotalTime>0</TotalTime>
  <Pages>13</Pages>
  <Words>2960</Words>
  <Characters>16874</Characters>
  <Application>Microsoft Office Word</Application>
  <DocSecurity>0</DocSecurity>
  <Lines>140</Lines>
  <Paragraphs>39</Paragraphs>
  <ScaleCrop>false</ScaleCrop>
  <Company/>
  <LinksUpToDate>false</LinksUpToDate>
  <CharactersWithSpaces>19795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2015-11-23T01:14:00Z</dcterms:created>
  <dcterms:modified xsi:type="dcterms:W3CDTF">2015-11-23T01:14:00Z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8561326</vt:lpwstr>
  </property>
</Properties>
</file>