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A641E3" w:rsidP="00290C63">
          <w:r w:rsidRPr="00DB723B">
            <w:rPr>
              <w:noProof/>
              <w:lang w:eastAsia="en-AU"/>
            </w:rPr>
            <w:drawing>
              <wp:anchor distT="0" distB="0" distL="114300" distR="114300" simplePos="0" relativeHeight="251661312" behindDoc="1" locked="0" layoutInCell="1" allowOverlap="1" wp14:anchorId="481D69AB" wp14:editId="2B6B8F60">
                <wp:simplePos x="0" y="0"/>
                <wp:positionH relativeFrom="column">
                  <wp:posOffset>-1097915</wp:posOffset>
                </wp:positionH>
                <wp:positionV relativeFrom="paragraph">
                  <wp:posOffset>-908398</wp:posOffset>
                </wp:positionV>
                <wp:extent cx="7572375" cy="1070356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9733D">
            <w:t>DRAFT</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Pr="009822FF">
            <w:t>201</w:t>
          </w:r>
          <w:r w:rsidR="00357283" w:rsidRPr="009822FF">
            <w:t>7</w:t>
          </w:r>
          <w:r w:rsidRPr="009822FF">
            <w:rPr>
              <w:rFonts w:cs="Arial"/>
            </w:rPr>
            <w:t>−</w:t>
          </w:r>
          <w:r w:rsidRPr="009822FF">
            <w:t>1</w:t>
          </w:r>
          <w:r w:rsidR="00357283" w:rsidRPr="009822FF">
            <w:t>8</w:t>
          </w:r>
          <w:r w:rsidRPr="009822FF">
            <w:t xml:space="preserve"> to 20</w:t>
          </w:r>
          <w:r w:rsidR="00B9733D" w:rsidRPr="009822FF">
            <w:t>21</w:t>
          </w:r>
          <w:r w:rsidRPr="009822FF">
            <w:rPr>
              <w:rFonts w:cs="Arial"/>
            </w:rPr>
            <w:t>−</w:t>
          </w:r>
          <w:r w:rsidR="00B9733D" w:rsidRPr="009822FF">
            <w:rPr>
              <w:rFonts w:cs="Arial"/>
            </w:rPr>
            <w:t>22</w:t>
          </w:r>
        </w:p>
        <w:p w:rsidR="008F07A3" w:rsidRPr="000A6C7B" w:rsidRDefault="008F07A3" w:rsidP="008F07A3">
          <w:pPr>
            <w:pStyle w:val="ReportSubtitle"/>
          </w:pPr>
        </w:p>
        <w:p w:rsidR="000A6C7B" w:rsidRPr="000A6C7B" w:rsidRDefault="00DA4752" w:rsidP="008F07A3">
          <w:pPr>
            <w:pStyle w:val="ReportSubtitle"/>
          </w:pPr>
          <w:r>
            <w:t xml:space="preserve">Attachment 1 </w:t>
          </w:r>
          <w:r w:rsidR="00415F31">
            <w:rPr>
              <w:rFonts w:cs="Arial"/>
            </w:rPr>
            <w:t>–</w:t>
          </w:r>
          <w:r>
            <w:t xml:space="preserve"> </w:t>
          </w:r>
          <w:r w:rsidR="00C51F98">
            <w:t>M</w:t>
          </w:r>
          <w:r w:rsidR="00415F31">
            <w:t>aximum allowed revenue</w:t>
          </w:r>
        </w:p>
        <w:p w:rsidR="00B9733D" w:rsidRDefault="00B9733D" w:rsidP="00327A1E">
          <w:pPr>
            <w:pStyle w:val="ReportDate"/>
          </w:pPr>
        </w:p>
        <w:p w:rsidR="000A6C7B" w:rsidRPr="00327A1E" w:rsidRDefault="00B9733D" w:rsidP="00327A1E">
          <w:pPr>
            <w:pStyle w:val="ReportDate"/>
          </w:pPr>
          <w:r w:rsidRPr="000145A0">
            <w:t>July</w:t>
          </w:r>
          <w:r w:rsidR="00DA4752">
            <w:t xml:space="preserve"> 201</w:t>
          </w:r>
          <w:r>
            <w:t>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ED6698">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B9562D" w:rsidRDefault="000A6C7B" w:rsidP="00B9562D">
      <w:pPr>
        <w:pStyle w:val="Copyright"/>
      </w:pPr>
      <w:r>
        <w:t xml:space="preserve">Tel: </w:t>
      </w:r>
      <w:r w:rsidR="00847B4E">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53444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5616986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0B321F">
        <w:t>draft</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0B321F">
        <w:t>draft</w:t>
      </w:r>
      <w:r w:rsidR="00415F31">
        <w:t xml:space="preserve"> decision.</w:t>
      </w:r>
    </w:p>
    <w:p w:rsidR="00415F31" w:rsidRDefault="00415F31" w:rsidP="00415F31">
      <w:pPr>
        <w:numPr>
          <w:ilvl w:val="0"/>
          <w:numId w:val="25"/>
        </w:numPr>
        <w:spacing w:before="0" w:after="240" w:line="288" w:lineRule="auto"/>
        <w:jc w:val="both"/>
      </w:pPr>
      <w:r>
        <w:t xml:space="preserve">The </w:t>
      </w:r>
      <w:r w:rsidR="000B321F">
        <w:t>draft</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5616986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847B4E" w:rsidRDefault="00DE563D">
          <w:pPr>
            <w:pStyle w:val="TOC1"/>
            <w:rPr>
              <w:rFonts w:eastAsiaTheme="minorEastAsia"/>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56169865" w:history="1">
            <w:r w:rsidR="00847B4E" w:rsidRPr="00BF13EB">
              <w:rPr>
                <w:rStyle w:val="Hyperlink"/>
              </w:rPr>
              <w:t>Note</w:t>
            </w:r>
            <w:r w:rsidR="00847B4E">
              <w:rPr>
                <w:webHidden/>
              </w:rPr>
              <w:tab/>
            </w:r>
            <w:r w:rsidR="00847B4E">
              <w:rPr>
                <w:webHidden/>
              </w:rPr>
              <w:fldChar w:fldCharType="begin"/>
            </w:r>
            <w:r w:rsidR="00847B4E">
              <w:rPr>
                <w:webHidden/>
              </w:rPr>
              <w:instrText xml:space="preserve"> PAGEREF _Toc456169865 \h </w:instrText>
            </w:r>
            <w:r w:rsidR="00847B4E">
              <w:rPr>
                <w:webHidden/>
              </w:rPr>
            </w:r>
            <w:r w:rsidR="00847B4E">
              <w:rPr>
                <w:webHidden/>
              </w:rPr>
              <w:fldChar w:fldCharType="separate"/>
            </w:r>
            <w:r w:rsidR="00AD2B38">
              <w:rPr>
                <w:webHidden/>
              </w:rPr>
              <w:t>1-2</w:t>
            </w:r>
            <w:r w:rsidR="00847B4E">
              <w:rPr>
                <w:webHidden/>
              </w:rPr>
              <w:fldChar w:fldCharType="end"/>
            </w:r>
          </w:hyperlink>
        </w:p>
        <w:p w:rsidR="00847B4E" w:rsidRDefault="002347F2">
          <w:pPr>
            <w:pStyle w:val="TOC1"/>
            <w:rPr>
              <w:rFonts w:eastAsiaTheme="minorEastAsia"/>
              <w:b w:val="0"/>
              <w:color w:val="auto"/>
              <w:sz w:val="22"/>
              <w:lang w:val="en-AU" w:eastAsia="en-AU"/>
            </w:rPr>
          </w:pPr>
          <w:hyperlink w:anchor="_Toc456169866" w:history="1">
            <w:r w:rsidR="00847B4E" w:rsidRPr="00BF13EB">
              <w:rPr>
                <w:rStyle w:val="Hyperlink"/>
              </w:rPr>
              <w:t>Contents</w:t>
            </w:r>
            <w:r w:rsidR="00847B4E">
              <w:rPr>
                <w:webHidden/>
              </w:rPr>
              <w:tab/>
            </w:r>
            <w:r w:rsidR="00847B4E">
              <w:rPr>
                <w:webHidden/>
              </w:rPr>
              <w:fldChar w:fldCharType="begin"/>
            </w:r>
            <w:r w:rsidR="00847B4E">
              <w:rPr>
                <w:webHidden/>
              </w:rPr>
              <w:instrText xml:space="preserve"> PAGEREF _Toc456169866 \h </w:instrText>
            </w:r>
            <w:r w:rsidR="00847B4E">
              <w:rPr>
                <w:webHidden/>
              </w:rPr>
            </w:r>
            <w:r w:rsidR="00847B4E">
              <w:rPr>
                <w:webHidden/>
              </w:rPr>
              <w:fldChar w:fldCharType="separate"/>
            </w:r>
            <w:r w:rsidR="00AD2B38">
              <w:rPr>
                <w:webHidden/>
              </w:rPr>
              <w:t>1-3</w:t>
            </w:r>
            <w:r w:rsidR="00847B4E">
              <w:rPr>
                <w:webHidden/>
              </w:rPr>
              <w:fldChar w:fldCharType="end"/>
            </w:r>
          </w:hyperlink>
        </w:p>
        <w:p w:rsidR="00847B4E" w:rsidRDefault="002347F2">
          <w:pPr>
            <w:pStyle w:val="TOC1"/>
            <w:rPr>
              <w:rFonts w:eastAsiaTheme="minorEastAsia"/>
              <w:b w:val="0"/>
              <w:color w:val="auto"/>
              <w:sz w:val="22"/>
              <w:lang w:val="en-AU" w:eastAsia="en-AU"/>
            </w:rPr>
          </w:pPr>
          <w:hyperlink w:anchor="_Toc456169867" w:history="1">
            <w:r w:rsidR="00847B4E" w:rsidRPr="00BF13EB">
              <w:rPr>
                <w:rStyle w:val="Hyperlink"/>
              </w:rPr>
              <w:t>Shortened forms</w:t>
            </w:r>
            <w:r w:rsidR="00847B4E">
              <w:rPr>
                <w:webHidden/>
              </w:rPr>
              <w:tab/>
            </w:r>
            <w:r w:rsidR="00847B4E">
              <w:rPr>
                <w:webHidden/>
              </w:rPr>
              <w:fldChar w:fldCharType="begin"/>
            </w:r>
            <w:r w:rsidR="00847B4E">
              <w:rPr>
                <w:webHidden/>
              </w:rPr>
              <w:instrText xml:space="preserve"> PAGEREF _Toc456169867 \h </w:instrText>
            </w:r>
            <w:r w:rsidR="00847B4E">
              <w:rPr>
                <w:webHidden/>
              </w:rPr>
            </w:r>
            <w:r w:rsidR="00847B4E">
              <w:rPr>
                <w:webHidden/>
              </w:rPr>
              <w:fldChar w:fldCharType="separate"/>
            </w:r>
            <w:r w:rsidR="00AD2B38">
              <w:rPr>
                <w:webHidden/>
              </w:rPr>
              <w:t>1-4</w:t>
            </w:r>
            <w:r w:rsidR="00847B4E">
              <w:rPr>
                <w:webHidden/>
              </w:rPr>
              <w:fldChar w:fldCharType="end"/>
            </w:r>
          </w:hyperlink>
        </w:p>
        <w:p w:rsidR="00847B4E" w:rsidRDefault="002347F2">
          <w:pPr>
            <w:pStyle w:val="TOC1"/>
            <w:rPr>
              <w:rFonts w:eastAsiaTheme="minorEastAsia"/>
              <w:b w:val="0"/>
              <w:color w:val="auto"/>
              <w:sz w:val="22"/>
              <w:lang w:val="en-AU" w:eastAsia="en-AU"/>
            </w:rPr>
          </w:pPr>
          <w:hyperlink w:anchor="_Toc456169868" w:history="1">
            <w:r w:rsidR="00847B4E" w:rsidRPr="00BF13EB">
              <w:rPr>
                <w:rStyle w:val="Hyperlink"/>
              </w:rPr>
              <w:t>1</w:t>
            </w:r>
            <w:r w:rsidR="00847B4E">
              <w:rPr>
                <w:rFonts w:eastAsiaTheme="minorEastAsia"/>
                <w:b w:val="0"/>
                <w:color w:val="auto"/>
                <w:sz w:val="22"/>
                <w:lang w:val="en-AU" w:eastAsia="en-AU"/>
              </w:rPr>
              <w:tab/>
            </w:r>
            <w:r w:rsidR="00847B4E" w:rsidRPr="00BF13EB">
              <w:rPr>
                <w:rStyle w:val="Hyperlink"/>
              </w:rPr>
              <w:t>Maximum allowed revenue</w:t>
            </w:r>
            <w:r w:rsidR="00847B4E">
              <w:rPr>
                <w:webHidden/>
              </w:rPr>
              <w:tab/>
            </w:r>
            <w:r w:rsidR="00847B4E">
              <w:rPr>
                <w:webHidden/>
              </w:rPr>
              <w:fldChar w:fldCharType="begin"/>
            </w:r>
            <w:r w:rsidR="00847B4E">
              <w:rPr>
                <w:webHidden/>
              </w:rPr>
              <w:instrText xml:space="preserve"> PAGEREF _Toc456169868 \h </w:instrText>
            </w:r>
            <w:r w:rsidR="00847B4E">
              <w:rPr>
                <w:webHidden/>
              </w:rPr>
            </w:r>
            <w:r w:rsidR="00847B4E">
              <w:rPr>
                <w:webHidden/>
              </w:rPr>
              <w:fldChar w:fldCharType="separate"/>
            </w:r>
            <w:r w:rsidR="00AD2B38">
              <w:rPr>
                <w:webHidden/>
              </w:rPr>
              <w:t>1-6</w:t>
            </w:r>
            <w:r w:rsidR="00847B4E">
              <w:rPr>
                <w:webHidden/>
              </w:rPr>
              <w:fldChar w:fldCharType="end"/>
            </w:r>
          </w:hyperlink>
        </w:p>
        <w:p w:rsidR="00847B4E" w:rsidRDefault="002347F2">
          <w:pPr>
            <w:pStyle w:val="TOC2"/>
            <w:rPr>
              <w:rFonts w:eastAsiaTheme="minorEastAsia"/>
              <w:b w:val="0"/>
              <w:color w:val="auto"/>
              <w:sz w:val="22"/>
              <w:lang w:eastAsia="en-AU"/>
            </w:rPr>
          </w:pPr>
          <w:hyperlink w:anchor="_Toc456169869" w:history="1">
            <w:r w:rsidR="00847B4E" w:rsidRPr="00BF13EB">
              <w:rPr>
                <w:rStyle w:val="Hyperlink"/>
              </w:rPr>
              <w:t>1.1</w:t>
            </w:r>
            <w:r w:rsidR="00847B4E">
              <w:rPr>
                <w:rFonts w:eastAsiaTheme="minorEastAsia"/>
                <w:b w:val="0"/>
                <w:color w:val="auto"/>
                <w:sz w:val="22"/>
                <w:lang w:eastAsia="en-AU"/>
              </w:rPr>
              <w:tab/>
            </w:r>
            <w:r w:rsidR="00847B4E" w:rsidRPr="00BF13EB">
              <w:rPr>
                <w:rStyle w:val="Hyperlink"/>
              </w:rPr>
              <w:t>Draft decision</w:t>
            </w:r>
            <w:r w:rsidR="00847B4E">
              <w:rPr>
                <w:webHidden/>
              </w:rPr>
              <w:tab/>
            </w:r>
            <w:r w:rsidR="00847B4E">
              <w:rPr>
                <w:webHidden/>
              </w:rPr>
              <w:fldChar w:fldCharType="begin"/>
            </w:r>
            <w:r w:rsidR="00847B4E">
              <w:rPr>
                <w:webHidden/>
              </w:rPr>
              <w:instrText xml:space="preserve"> PAGEREF _Toc456169869 \h </w:instrText>
            </w:r>
            <w:r w:rsidR="00847B4E">
              <w:rPr>
                <w:webHidden/>
              </w:rPr>
            </w:r>
            <w:r w:rsidR="00847B4E">
              <w:rPr>
                <w:webHidden/>
              </w:rPr>
              <w:fldChar w:fldCharType="separate"/>
            </w:r>
            <w:r w:rsidR="00AD2B38">
              <w:rPr>
                <w:webHidden/>
              </w:rPr>
              <w:t>1-6</w:t>
            </w:r>
            <w:r w:rsidR="00847B4E">
              <w:rPr>
                <w:webHidden/>
              </w:rPr>
              <w:fldChar w:fldCharType="end"/>
            </w:r>
          </w:hyperlink>
        </w:p>
        <w:p w:rsidR="00847B4E" w:rsidRDefault="002347F2">
          <w:pPr>
            <w:pStyle w:val="TOC2"/>
            <w:rPr>
              <w:rFonts w:eastAsiaTheme="minorEastAsia"/>
              <w:b w:val="0"/>
              <w:color w:val="auto"/>
              <w:sz w:val="22"/>
              <w:lang w:eastAsia="en-AU"/>
            </w:rPr>
          </w:pPr>
          <w:hyperlink w:anchor="_Toc456169870" w:history="1">
            <w:r w:rsidR="00847B4E" w:rsidRPr="00BF13EB">
              <w:rPr>
                <w:rStyle w:val="Hyperlink"/>
              </w:rPr>
              <w:t>1.2</w:t>
            </w:r>
            <w:r w:rsidR="00847B4E">
              <w:rPr>
                <w:rFonts w:eastAsiaTheme="minorEastAsia"/>
                <w:b w:val="0"/>
                <w:color w:val="auto"/>
                <w:sz w:val="22"/>
                <w:lang w:eastAsia="en-AU"/>
              </w:rPr>
              <w:tab/>
            </w:r>
            <w:r w:rsidR="00847B4E" w:rsidRPr="00BF13EB">
              <w:rPr>
                <w:rStyle w:val="Hyperlink"/>
              </w:rPr>
              <w:t>AusNet Services’ proposal</w:t>
            </w:r>
            <w:r w:rsidR="00847B4E">
              <w:rPr>
                <w:webHidden/>
              </w:rPr>
              <w:tab/>
            </w:r>
            <w:r w:rsidR="00847B4E">
              <w:rPr>
                <w:webHidden/>
              </w:rPr>
              <w:fldChar w:fldCharType="begin"/>
            </w:r>
            <w:r w:rsidR="00847B4E">
              <w:rPr>
                <w:webHidden/>
              </w:rPr>
              <w:instrText xml:space="preserve"> PAGEREF _Toc456169870 \h </w:instrText>
            </w:r>
            <w:r w:rsidR="00847B4E">
              <w:rPr>
                <w:webHidden/>
              </w:rPr>
            </w:r>
            <w:r w:rsidR="00847B4E">
              <w:rPr>
                <w:webHidden/>
              </w:rPr>
              <w:fldChar w:fldCharType="separate"/>
            </w:r>
            <w:r w:rsidR="00AD2B38">
              <w:rPr>
                <w:webHidden/>
              </w:rPr>
              <w:t>1-7</w:t>
            </w:r>
            <w:r w:rsidR="00847B4E">
              <w:rPr>
                <w:webHidden/>
              </w:rPr>
              <w:fldChar w:fldCharType="end"/>
            </w:r>
          </w:hyperlink>
        </w:p>
        <w:p w:rsidR="00847B4E" w:rsidRDefault="002347F2">
          <w:pPr>
            <w:pStyle w:val="TOC2"/>
            <w:rPr>
              <w:rFonts w:eastAsiaTheme="minorEastAsia"/>
              <w:b w:val="0"/>
              <w:color w:val="auto"/>
              <w:sz w:val="22"/>
              <w:lang w:eastAsia="en-AU"/>
            </w:rPr>
          </w:pPr>
          <w:hyperlink w:anchor="_Toc456169871" w:history="1">
            <w:r w:rsidR="00847B4E" w:rsidRPr="00BF13EB">
              <w:rPr>
                <w:rStyle w:val="Hyperlink"/>
              </w:rPr>
              <w:t>1.3</w:t>
            </w:r>
            <w:r w:rsidR="00847B4E">
              <w:rPr>
                <w:rFonts w:eastAsiaTheme="minorEastAsia"/>
                <w:b w:val="0"/>
                <w:color w:val="auto"/>
                <w:sz w:val="22"/>
                <w:lang w:eastAsia="en-AU"/>
              </w:rPr>
              <w:tab/>
            </w:r>
            <w:r w:rsidR="00847B4E" w:rsidRPr="00BF13EB">
              <w:rPr>
                <w:rStyle w:val="Hyperlink"/>
              </w:rPr>
              <w:t>AER’s assessment approach</w:t>
            </w:r>
            <w:r w:rsidR="00847B4E">
              <w:rPr>
                <w:webHidden/>
              </w:rPr>
              <w:tab/>
            </w:r>
            <w:r w:rsidR="00847B4E">
              <w:rPr>
                <w:webHidden/>
              </w:rPr>
              <w:fldChar w:fldCharType="begin"/>
            </w:r>
            <w:r w:rsidR="00847B4E">
              <w:rPr>
                <w:webHidden/>
              </w:rPr>
              <w:instrText xml:space="preserve"> PAGEREF _Toc456169871 \h </w:instrText>
            </w:r>
            <w:r w:rsidR="00847B4E">
              <w:rPr>
                <w:webHidden/>
              </w:rPr>
            </w:r>
            <w:r w:rsidR="00847B4E">
              <w:rPr>
                <w:webHidden/>
              </w:rPr>
              <w:fldChar w:fldCharType="separate"/>
            </w:r>
            <w:r w:rsidR="00AD2B38">
              <w:rPr>
                <w:webHidden/>
              </w:rPr>
              <w:t>1-8</w:t>
            </w:r>
            <w:r w:rsidR="00847B4E">
              <w:rPr>
                <w:webHidden/>
              </w:rPr>
              <w:fldChar w:fldCharType="end"/>
            </w:r>
          </w:hyperlink>
        </w:p>
        <w:p w:rsidR="00847B4E" w:rsidRDefault="002347F2">
          <w:pPr>
            <w:pStyle w:val="TOC3"/>
            <w:rPr>
              <w:rFonts w:eastAsiaTheme="minorEastAsia"/>
              <w:lang w:eastAsia="en-AU"/>
            </w:rPr>
          </w:pPr>
          <w:hyperlink w:anchor="_Toc456169872" w:history="1">
            <w:r w:rsidR="00847B4E" w:rsidRPr="00BF13EB">
              <w:rPr>
                <w:rStyle w:val="Hyperlink"/>
              </w:rPr>
              <w:t>1.3.1</w:t>
            </w:r>
            <w:r w:rsidR="00847B4E">
              <w:rPr>
                <w:rFonts w:eastAsiaTheme="minorEastAsia"/>
                <w:lang w:eastAsia="en-AU"/>
              </w:rPr>
              <w:tab/>
            </w:r>
            <w:r w:rsidR="00847B4E" w:rsidRPr="00BF13EB">
              <w:rPr>
                <w:rStyle w:val="Hyperlink"/>
              </w:rPr>
              <w:t>The building block approach</w:t>
            </w:r>
            <w:r w:rsidR="00847B4E">
              <w:rPr>
                <w:webHidden/>
              </w:rPr>
              <w:tab/>
            </w:r>
            <w:r w:rsidR="00847B4E">
              <w:rPr>
                <w:webHidden/>
              </w:rPr>
              <w:fldChar w:fldCharType="begin"/>
            </w:r>
            <w:r w:rsidR="00847B4E">
              <w:rPr>
                <w:webHidden/>
              </w:rPr>
              <w:instrText xml:space="preserve"> PAGEREF _Toc456169872 \h </w:instrText>
            </w:r>
            <w:r w:rsidR="00847B4E">
              <w:rPr>
                <w:webHidden/>
              </w:rPr>
            </w:r>
            <w:r w:rsidR="00847B4E">
              <w:rPr>
                <w:webHidden/>
              </w:rPr>
              <w:fldChar w:fldCharType="separate"/>
            </w:r>
            <w:r w:rsidR="00AD2B38">
              <w:rPr>
                <w:webHidden/>
              </w:rPr>
              <w:t>1-8</w:t>
            </w:r>
            <w:r w:rsidR="00847B4E">
              <w:rPr>
                <w:webHidden/>
              </w:rPr>
              <w:fldChar w:fldCharType="end"/>
            </w:r>
          </w:hyperlink>
        </w:p>
        <w:p w:rsidR="00847B4E" w:rsidRDefault="002347F2">
          <w:pPr>
            <w:pStyle w:val="TOC3"/>
            <w:rPr>
              <w:rFonts w:eastAsiaTheme="minorEastAsia"/>
              <w:lang w:eastAsia="en-AU"/>
            </w:rPr>
          </w:pPr>
          <w:hyperlink w:anchor="_Toc456169873" w:history="1">
            <w:r w:rsidR="00847B4E" w:rsidRPr="00BF13EB">
              <w:rPr>
                <w:rStyle w:val="Hyperlink"/>
              </w:rPr>
              <w:t>1.3.2</w:t>
            </w:r>
            <w:r w:rsidR="00847B4E">
              <w:rPr>
                <w:rFonts w:eastAsiaTheme="minorEastAsia"/>
                <w:lang w:eastAsia="en-AU"/>
              </w:rPr>
              <w:tab/>
            </w:r>
            <w:r w:rsidR="00847B4E" w:rsidRPr="00BF13EB">
              <w:rPr>
                <w:rStyle w:val="Hyperlink"/>
              </w:rPr>
              <w:t>The building block costs</w:t>
            </w:r>
            <w:r w:rsidR="00847B4E">
              <w:rPr>
                <w:webHidden/>
              </w:rPr>
              <w:tab/>
            </w:r>
            <w:r w:rsidR="00847B4E">
              <w:rPr>
                <w:webHidden/>
              </w:rPr>
              <w:fldChar w:fldCharType="begin"/>
            </w:r>
            <w:r w:rsidR="00847B4E">
              <w:rPr>
                <w:webHidden/>
              </w:rPr>
              <w:instrText xml:space="preserve"> PAGEREF _Toc456169873 \h </w:instrText>
            </w:r>
            <w:r w:rsidR="00847B4E">
              <w:rPr>
                <w:webHidden/>
              </w:rPr>
            </w:r>
            <w:r w:rsidR="00847B4E">
              <w:rPr>
                <w:webHidden/>
              </w:rPr>
              <w:fldChar w:fldCharType="separate"/>
            </w:r>
            <w:r w:rsidR="00AD2B38">
              <w:rPr>
                <w:webHidden/>
              </w:rPr>
              <w:t>1-11</w:t>
            </w:r>
            <w:r w:rsidR="00847B4E">
              <w:rPr>
                <w:webHidden/>
              </w:rPr>
              <w:fldChar w:fldCharType="end"/>
            </w:r>
          </w:hyperlink>
        </w:p>
        <w:p w:rsidR="00847B4E" w:rsidRDefault="002347F2">
          <w:pPr>
            <w:pStyle w:val="TOC3"/>
            <w:rPr>
              <w:rFonts w:eastAsiaTheme="minorEastAsia"/>
              <w:lang w:eastAsia="en-AU"/>
            </w:rPr>
          </w:pPr>
          <w:hyperlink w:anchor="_Toc456169874" w:history="1">
            <w:r w:rsidR="00847B4E" w:rsidRPr="00BF13EB">
              <w:rPr>
                <w:rStyle w:val="Hyperlink"/>
              </w:rPr>
              <w:t>1.3.3</w:t>
            </w:r>
            <w:r w:rsidR="00847B4E">
              <w:rPr>
                <w:rFonts w:eastAsiaTheme="minorEastAsia"/>
                <w:lang w:eastAsia="en-AU"/>
              </w:rPr>
              <w:tab/>
            </w:r>
            <w:r w:rsidR="00847B4E" w:rsidRPr="00BF13EB">
              <w:rPr>
                <w:rStyle w:val="Hyperlink"/>
              </w:rPr>
              <w:t>Annual revenue adjustment process</w:t>
            </w:r>
            <w:r w:rsidR="00847B4E">
              <w:rPr>
                <w:webHidden/>
              </w:rPr>
              <w:tab/>
            </w:r>
            <w:r w:rsidR="00847B4E">
              <w:rPr>
                <w:webHidden/>
              </w:rPr>
              <w:fldChar w:fldCharType="begin"/>
            </w:r>
            <w:r w:rsidR="00847B4E">
              <w:rPr>
                <w:webHidden/>
              </w:rPr>
              <w:instrText xml:space="preserve"> PAGEREF _Toc456169874 \h </w:instrText>
            </w:r>
            <w:r w:rsidR="00847B4E">
              <w:rPr>
                <w:webHidden/>
              </w:rPr>
            </w:r>
            <w:r w:rsidR="00847B4E">
              <w:rPr>
                <w:webHidden/>
              </w:rPr>
              <w:fldChar w:fldCharType="separate"/>
            </w:r>
            <w:r w:rsidR="00AD2B38">
              <w:rPr>
                <w:webHidden/>
              </w:rPr>
              <w:t>1-11</w:t>
            </w:r>
            <w:r w:rsidR="00847B4E">
              <w:rPr>
                <w:webHidden/>
              </w:rPr>
              <w:fldChar w:fldCharType="end"/>
            </w:r>
          </w:hyperlink>
        </w:p>
        <w:p w:rsidR="00847B4E" w:rsidRDefault="002347F2">
          <w:pPr>
            <w:pStyle w:val="TOC3"/>
            <w:rPr>
              <w:rFonts w:eastAsiaTheme="minorEastAsia"/>
              <w:lang w:eastAsia="en-AU"/>
            </w:rPr>
          </w:pPr>
          <w:hyperlink w:anchor="_Toc456169875" w:history="1">
            <w:r w:rsidR="00847B4E" w:rsidRPr="00BF13EB">
              <w:rPr>
                <w:rStyle w:val="Hyperlink"/>
              </w:rPr>
              <w:t>1.3.4</w:t>
            </w:r>
            <w:r w:rsidR="00847B4E">
              <w:rPr>
                <w:rFonts w:eastAsiaTheme="minorEastAsia"/>
                <w:lang w:eastAsia="en-AU"/>
              </w:rPr>
              <w:tab/>
            </w:r>
            <w:r w:rsidR="00847B4E" w:rsidRPr="00BF13EB">
              <w:rPr>
                <w:rStyle w:val="Hyperlink"/>
              </w:rPr>
              <w:t>Average transmission charges</w:t>
            </w:r>
            <w:r w:rsidR="00847B4E">
              <w:rPr>
                <w:webHidden/>
              </w:rPr>
              <w:tab/>
            </w:r>
            <w:r w:rsidR="00847B4E">
              <w:rPr>
                <w:webHidden/>
              </w:rPr>
              <w:fldChar w:fldCharType="begin"/>
            </w:r>
            <w:r w:rsidR="00847B4E">
              <w:rPr>
                <w:webHidden/>
              </w:rPr>
              <w:instrText xml:space="preserve"> PAGEREF _Toc456169875 \h </w:instrText>
            </w:r>
            <w:r w:rsidR="00847B4E">
              <w:rPr>
                <w:webHidden/>
              </w:rPr>
            </w:r>
            <w:r w:rsidR="00847B4E">
              <w:rPr>
                <w:webHidden/>
              </w:rPr>
              <w:fldChar w:fldCharType="separate"/>
            </w:r>
            <w:r w:rsidR="00AD2B38">
              <w:rPr>
                <w:webHidden/>
              </w:rPr>
              <w:t>1-13</w:t>
            </w:r>
            <w:r w:rsidR="00847B4E">
              <w:rPr>
                <w:webHidden/>
              </w:rPr>
              <w:fldChar w:fldCharType="end"/>
            </w:r>
          </w:hyperlink>
        </w:p>
        <w:p w:rsidR="00847B4E" w:rsidRDefault="002347F2">
          <w:pPr>
            <w:pStyle w:val="TOC2"/>
            <w:rPr>
              <w:rFonts w:eastAsiaTheme="minorEastAsia"/>
              <w:b w:val="0"/>
              <w:color w:val="auto"/>
              <w:sz w:val="22"/>
              <w:lang w:eastAsia="en-AU"/>
            </w:rPr>
          </w:pPr>
          <w:hyperlink w:anchor="_Toc456169876" w:history="1">
            <w:r w:rsidR="00847B4E" w:rsidRPr="00BF13EB">
              <w:rPr>
                <w:rStyle w:val="Hyperlink"/>
              </w:rPr>
              <w:t>1.4</w:t>
            </w:r>
            <w:r w:rsidR="00847B4E">
              <w:rPr>
                <w:rFonts w:eastAsiaTheme="minorEastAsia"/>
                <w:b w:val="0"/>
                <w:color w:val="auto"/>
                <w:sz w:val="22"/>
                <w:lang w:eastAsia="en-AU"/>
              </w:rPr>
              <w:tab/>
            </w:r>
            <w:r w:rsidR="00847B4E" w:rsidRPr="00BF13EB">
              <w:rPr>
                <w:rStyle w:val="Hyperlink"/>
              </w:rPr>
              <w:t>Reasons for draft decision</w:t>
            </w:r>
            <w:r w:rsidR="00847B4E">
              <w:rPr>
                <w:webHidden/>
              </w:rPr>
              <w:tab/>
            </w:r>
            <w:r w:rsidR="00847B4E">
              <w:rPr>
                <w:webHidden/>
              </w:rPr>
              <w:fldChar w:fldCharType="begin"/>
            </w:r>
            <w:r w:rsidR="00847B4E">
              <w:rPr>
                <w:webHidden/>
              </w:rPr>
              <w:instrText xml:space="preserve"> PAGEREF _Toc456169876 \h </w:instrText>
            </w:r>
            <w:r w:rsidR="00847B4E">
              <w:rPr>
                <w:webHidden/>
              </w:rPr>
            </w:r>
            <w:r w:rsidR="00847B4E">
              <w:rPr>
                <w:webHidden/>
              </w:rPr>
              <w:fldChar w:fldCharType="separate"/>
            </w:r>
            <w:r w:rsidR="00AD2B38">
              <w:rPr>
                <w:webHidden/>
              </w:rPr>
              <w:t>1-14</w:t>
            </w:r>
            <w:r w:rsidR="00847B4E">
              <w:rPr>
                <w:webHidden/>
              </w:rPr>
              <w:fldChar w:fldCharType="end"/>
            </w:r>
          </w:hyperlink>
        </w:p>
        <w:p w:rsidR="00847B4E" w:rsidRDefault="002347F2">
          <w:pPr>
            <w:pStyle w:val="TOC3"/>
            <w:rPr>
              <w:rFonts w:eastAsiaTheme="minorEastAsia"/>
              <w:lang w:eastAsia="en-AU"/>
            </w:rPr>
          </w:pPr>
          <w:hyperlink w:anchor="_Toc456169877" w:history="1">
            <w:r w:rsidR="00847B4E" w:rsidRPr="00BF13EB">
              <w:rPr>
                <w:rStyle w:val="Hyperlink"/>
              </w:rPr>
              <w:t>1.4.1</w:t>
            </w:r>
            <w:r w:rsidR="00847B4E">
              <w:rPr>
                <w:rFonts w:eastAsiaTheme="minorEastAsia"/>
                <w:lang w:eastAsia="en-AU"/>
              </w:rPr>
              <w:tab/>
            </w:r>
            <w:r w:rsidR="00847B4E" w:rsidRPr="00BF13EB">
              <w:rPr>
                <w:rStyle w:val="Hyperlink"/>
              </w:rPr>
              <w:t>X factor, annual expected MAR and estimated total revenue cap</w:t>
            </w:r>
            <w:r w:rsidR="00847B4E">
              <w:rPr>
                <w:webHidden/>
              </w:rPr>
              <w:tab/>
            </w:r>
            <w:r w:rsidR="00847B4E">
              <w:rPr>
                <w:webHidden/>
              </w:rPr>
              <w:fldChar w:fldCharType="begin"/>
            </w:r>
            <w:r w:rsidR="00847B4E">
              <w:rPr>
                <w:webHidden/>
              </w:rPr>
              <w:instrText xml:space="preserve"> PAGEREF _Toc456169877 \h </w:instrText>
            </w:r>
            <w:r w:rsidR="00847B4E">
              <w:rPr>
                <w:webHidden/>
              </w:rPr>
            </w:r>
            <w:r w:rsidR="00847B4E">
              <w:rPr>
                <w:webHidden/>
              </w:rPr>
              <w:fldChar w:fldCharType="separate"/>
            </w:r>
            <w:r w:rsidR="00AD2B38">
              <w:rPr>
                <w:webHidden/>
              </w:rPr>
              <w:t>1-15</w:t>
            </w:r>
            <w:r w:rsidR="00847B4E">
              <w:rPr>
                <w:webHidden/>
              </w:rPr>
              <w:fldChar w:fldCharType="end"/>
            </w:r>
          </w:hyperlink>
        </w:p>
        <w:p w:rsidR="00847B4E" w:rsidRDefault="002347F2">
          <w:pPr>
            <w:pStyle w:val="TOC3"/>
            <w:rPr>
              <w:rFonts w:eastAsiaTheme="minorEastAsia"/>
              <w:lang w:eastAsia="en-AU"/>
            </w:rPr>
          </w:pPr>
          <w:hyperlink w:anchor="_Toc456169878" w:history="1">
            <w:r w:rsidR="00847B4E" w:rsidRPr="00BF13EB">
              <w:rPr>
                <w:rStyle w:val="Hyperlink"/>
              </w:rPr>
              <w:t>1.4.2</w:t>
            </w:r>
            <w:r w:rsidR="00847B4E">
              <w:rPr>
                <w:rFonts w:eastAsiaTheme="minorEastAsia"/>
                <w:lang w:eastAsia="en-AU"/>
              </w:rPr>
              <w:tab/>
            </w:r>
            <w:r w:rsidR="00847B4E" w:rsidRPr="00BF13EB">
              <w:rPr>
                <w:rStyle w:val="Hyperlink"/>
              </w:rPr>
              <w:t>Shared assets</w:t>
            </w:r>
            <w:r w:rsidR="00847B4E">
              <w:rPr>
                <w:webHidden/>
              </w:rPr>
              <w:tab/>
            </w:r>
            <w:r w:rsidR="00847B4E">
              <w:rPr>
                <w:webHidden/>
              </w:rPr>
              <w:fldChar w:fldCharType="begin"/>
            </w:r>
            <w:r w:rsidR="00847B4E">
              <w:rPr>
                <w:webHidden/>
              </w:rPr>
              <w:instrText xml:space="preserve"> PAGEREF _Toc456169878 \h </w:instrText>
            </w:r>
            <w:r w:rsidR="00847B4E">
              <w:rPr>
                <w:webHidden/>
              </w:rPr>
            </w:r>
            <w:r w:rsidR="00847B4E">
              <w:rPr>
                <w:webHidden/>
              </w:rPr>
              <w:fldChar w:fldCharType="separate"/>
            </w:r>
            <w:r w:rsidR="00AD2B38">
              <w:rPr>
                <w:webHidden/>
              </w:rPr>
              <w:t>1-17</w:t>
            </w:r>
            <w:r w:rsidR="00847B4E">
              <w:rPr>
                <w:webHidden/>
              </w:rPr>
              <w:fldChar w:fldCharType="end"/>
            </w:r>
          </w:hyperlink>
        </w:p>
        <w:p w:rsidR="00847B4E" w:rsidRDefault="002347F2">
          <w:pPr>
            <w:pStyle w:val="TOC3"/>
            <w:rPr>
              <w:rFonts w:eastAsiaTheme="minorEastAsia"/>
              <w:lang w:eastAsia="en-AU"/>
            </w:rPr>
          </w:pPr>
          <w:hyperlink w:anchor="_Toc456169879" w:history="1">
            <w:r w:rsidR="00847B4E" w:rsidRPr="00BF13EB">
              <w:rPr>
                <w:rStyle w:val="Hyperlink"/>
              </w:rPr>
              <w:t>1.4.3</w:t>
            </w:r>
            <w:r w:rsidR="00847B4E">
              <w:rPr>
                <w:rFonts w:eastAsiaTheme="minorEastAsia"/>
                <w:lang w:eastAsia="en-AU"/>
              </w:rPr>
              <w:tab/>
            </w:r>
            <w:r w:rsidR="00847B4E" w:rsidRPr="00BF13EB">
              <w:rPr>
                <w:rStyle w:val="Hyperlink"/>
              </w:rPr>
              <w:t>Indicative transmission charges and impact on electricity bills</w:t>
            </w:r>
            <w:r w:rsidR="00847B4E">
              <w:rPr>
                <w:webHidden/>
              </w:rPr>
              <w:tab/>
            </w:r>
            <w:r w:rsidR="00847B4E">
              <w:rPr>
                <w:webHidden/>
              </w:rPr>
              <w:fldChar w:fldCharType="begin"/>
            </w:r>
            <w:r w:rsidR="00847B4E">
              <w:rPr>
                <w:webHidden/>
              </w:rPr>
              <w:instrText xml:space="preserve"> PAGEREF _Toc456169879 \h </w:instrText>
            </w:r>
            <w:r w:rsidR="00847B4E">
              <w:rPr>
                <w:webHidden/>
              </w:rPr>
            </w:r>
            <w:r w:rsidR="00847B4E">
              <w:rPr>
                <w:webHidden/>
              </w:rPr>
              <w:fldChar w:fldCharType="separate"/>
            </w:r>
            <w:r w:rsidR="00AD2B38">
              <w:rPr>
                <w:webHidden/>
              </w:rPr>
              <w:t>1-19</w:t>
            </w:r>
            <w:r w:rsidR="00847B4E">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56169867"/>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415F31" w:rsidP="001754EE">
      <w:pPr>
        <w:pStyle w:val="Heading1"/>
      </w:pPr>
      <w:bookmarkStart w:id="10" w:name="_Toc456169868"/>
      <w:r w:rsidRPr="001754EE">
        <w:lastRenderedPageBreak/>
        <w:t>Maximum allowed revenue</w:t>
      </w:r>
      <w:bookmarkEnd w:id="10"/>
    </w:p>
    <w:p w:rsidR="00C26737" w:rsidRPr="00C10597" w:rsidRDefault="00C26737" w:rsidP="009822FF">
      <w:bookmarkStart w:id="11" w:name="_Toc403144136"/>
      <w:r w:rsidRPr="00C10597">
        <w:t xml:space="preserve">This attachment sets out the AER's </w:t>
      </w:r>
      <w:r w:rsidR="00821FFA">
        <w:t xml:space="preserve">draft </w:t>
      </w:r>
      <w:r w:rsidRPr="00C10597">
        <w:t xml:space="preserve">decision on </w:t>
      </w:r>
      <w:r>
        <w:t>the</w:t>
      </w:r>
      <w:r w:rsidRPr="00C10597">
        <w:t xml:space="preserve"> maximum allowed revenue (MAR) for the provision of prescribed transmission services </w:t>
      </w:r>
      <w:r>
        <w:t xml:space="preserve">for each year of </w:t>
      </w:r>
      <w:r w:rsidR="009822FF">
        <w:t>AusNet Services’</w:t>
      </w:r>
      <w:r>
        <w:t xml:space="preserve"> 201</w:t>
      </w:r>
      <w:r w:rsidR="009822FF">
        <w:t>7</w:t>
      </w:r>
      <w:r>
        <w:t>–</w:t>
      </w:r>
      <w:r w:rsidR="009822FF">
        <w:t>22</w:t>
      </w:r>
      <w:r>
        <w:t xml:space="preserve"> </w:t>
      </w:r>
      <w:r w:rsidR="00821FFA">
        <w:t xml:space="preserve">regulatory control </w:t>
      </w:r>
      <w:r>
        <w:t>period.</w:t>
      </w:r>
      <w:r w:rsidRPr="00C10597">
        <w:t xml:space="preserve"> Specifically, the attachment addresses:</w:t>
      </w:r>
      <w:r w:rsidRPr="00C10597">
        <w:rPr>
          <w:rStyle w:val="FootnoteReference"/>
        </w:rPr>
        <w:footnoteReference w:id="1"/>
      </w:r>
    </w:p>
    <w:p w:rsidR="00C26737" w:rsidRPr="00005540" w:rsidRDefault="00C26737" w:rsidP="00005540">
      <w:pPr>
        <w:pStyle w:val="AERbulletlistfirststyle"/>
      </w:pPr>
      <w:r w:rsidRPr="00005540">
        <w:t xml:space="preserve">the estimated total revenue cap, which is the sum of the annual expected MAR </w:t>
      </w:r>
    </w:p>
    <w:p w:rsidR="00C26737" w:rsidRPr="00005540" w:rsidRDefault="00C26737" w:rsidP="00005540">
      <w:pPr>
        <w:pStyle w:val="AERbulletlistfirststyle"/>
      </w:pPr>
      <w:r w:rsidRPr="00005540">
        <w:t>the annual building block revenue requirement</w:t>
      </w:r>
    </w:p>
    <w:p w:rsidR="00C26737" w:rsidRPr="00005540" w:rsidRDefault="00C26737" w:rsidP="00005540">
      <w:pPr>
        <w:pStyle w:val="AERbulletlistfirststyle"/>
      </w:pPr>
      <w:r w:rsidRPr="00005540">
        <w:t xml:space="preserve">the annual expected MAR </w:t>
      </w:r>
    </w:p>
    <w:p w:rsidR="00C26737" w:rsidRPr="00005540" w:rsidRDefault="00C26737" w:rsidP="00005540">
      <w:pPr>
        <w:pStyle w:val="AERbulletlistfirststyle"/>
      </w:pPr>
      <w:r w:rsidRPr="00005540">
        <w:t>the X factor.</w:t>
      </w:r>
    </w:p>
    <w:p w:rsidR="00C26737" w:rsidRPr="0096157E" w:rsidRDefault="00C26737" w:rsidP="00005540">
      <w:r w:rsidRPr="00C10597">
        <w:t xml:space="preserve">We determine </w:t>
      </w:r>
      <w:r>
        <w:t>the TNSP's</w:t>
      </w:r>
      <w:r w:rsidRPr="00C10597">
        <w:t xml:space="preserve"> annual building block revenue requirement using a building block approach</w:t>
      </w:r>
      <w:r>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DE563D" w:rsidRPr="001754EE" w:rsidRDefault="009822FF" w:rsidP="009822FF">
      <w:pPr>
        <w:pStyle w:val="Heading2"/>
        <w:keepNext/>
      </w:pPr>
      <w:bookmarkStart w:id="12" w:name="_Toc456169869"/>
      <w:r>
        <w:t>Draft</w:t>
      </w:r>
      <w:r w:rsidR="00DE563D" w:rsidRPr="001754EE">
        <w:t xml:space="preserve"> decision</w:t>
      </w:r>
      <w:bookmarkEnd w:id="11"/>
      <w:bookmarkEnd w:id="12"/>
    </w:p>
    <w:p w:rsidR="00492389" w:rsidRDefault="009822FF" w:rsidP="009822FF">
      <w:bookmarkStart w:id="13" w:name="_Toc403144137"/>
      <w:r>
        <w:t>We do not accept AusNet Services’ proposed annual building block revenue requirement, annual expected MAR and total revenue cap. For the reasons discussed in the attachments to this draft determination, our decisions on AusNet Services’ proposed building block costs have a consequential impact on its annual building block revenue requirement. We have calculated the X factor and the annual expected MAR (smoothed) to reflect our draft decision on AusNet Services’ annual building block revenue requirement.</w:t>
      </w:r>
    </w:p>
    <w:p w:rsidR="009822FF" w:rsidRDefault="009822FF" w:rsidP="009822FF">
      <w:r>
        <w:t>We determine a total annual building block revenue requirement for AusNet Services of $</w:t>
      </w:r>
      <w:r w:rsidR="00A66547">
        <w:t>2</w:t>
      </w:r>
      <w:r w:rsidR="009F66BE">
        <w:t>6</w:t>
      </w:r>
      <w:r w:rsidR="00336954">
        <w:t>94.</w:t>
      </w:r>
      <w:r w:rsidR="00A0149E">
        <w:t xml:space="preserve">3 </w:t>
      </w:r>
      <w:r>
        <w:t xml:space="preserve">million ($ nominal) for the 2017–22 </w:t>
      </w:r>
      <w:r w:rsidR="00821FFA">
        <w:t xml:space="preserve">regulatory control </w:t>
      </w:r>
      <w:r>
        <w:t>period. This is a reduction of $</w:t>
      </w:r>
      <w:r w:rsidR="00A66547">
        <w:t>4</w:t>
      </w:r>
      <w:r w:rsidR="00336954">
        <w:t>63.</w:t>
      </w:r>
      <w:r w:rsidR="00A0149E">
        <w:t xml:space="preserve">3 </w:t>
      </w:r>
      <w:r>
        <w:t xml:space="preserve">million ($ nominal) or </w:t>
      </w:r>
      <w:r w:rsidR="00A66547">
        <w:t>14.</w:t>
      </w:r>
      <w:r w:rsidR="00336954">
        <w:t>7</w:t>
      </w:r>
      <w:r>
        <w:t> per cent to AusNet Services’ proposal and reflects the impact of our draft decisions on the various building block costs.</w:t>
      </w:r>
    </w:p>
    <w:p w:rsidR="009822FF" w:rsidRDefault="00DD1300" w:rsidP="00DD1300">
      <w:r>
        <w:t xml:space="preserve">As a result of our smoothing of the annual building block revenue requirement, our draft decision on the annual expected MAR and X factor for each regulatory year of the 2017–22 regulatory control period is set out in </w:t>
      </w:r>
      <w:r>
        <w:fldChar w:fldCharType="begin"/>
      </w:r>
      <w:r>
        <w:instrText xml:space="preserve"> REF _Ref437858402 \h </w:instrText>
      </w:r>
      <w:r>
        <w:fldChar w:fldCharType="separate"/>
      </w:r>
      <w:r w:rsidR="00D56C84">
        <w:t xml:space="preserve">Table </w:t>
      </w:r>
      <w:r w:rsidR="00D56C84">
        <w:rPr>
          <w:noProof/>
        </w:rPr>
        <w:t>1</w:t>
      </w:r>
      <w:r w:rsidR="00D56C84">
        <w:t>.</w:t>
      </w:r>
      <w:r w:rsidR="00D56C84">
        <w:rPr>
          <w:noProof/>
        </w:rPr>
        <w:t>1</w:t>
      </w:r>
      <w:r>
        <w:fldChar w:fldCharType="end"/>
      </w:r>
      <w:r>
        <w:t>. Our draft decision is to approve an estimated total revenue cap of $</w:t>
      </w:r>
      <w:r w:rsidR="00A66547">
        <w:t>2</w:t>
      </w:r>
      <w:r w:rsidR="00336954">
        <w:t>69</w:t>
      </w:r>
      <w:r w:rsidR="00A0149E">
        <w:t xml:space="preserve">5.0 </w:t>
      </w:r>
      <w:r>
        <w:t xml:space="preserve">million ($ nominal) for AusNet Services for the 2017–22 regulatory control period. Our approved X factor for </w:t>
      </w:r>
      <w:r w:rsidR="002078BC">
        <w:t xml:space="preserve">2018–19 to 2021–22 </w:t>
      </w:r>
      <w:r w:rsidR="00595223">
        <w:t>is</w:t>
      </w:r>
      <w:r>
        <w:t xml:space="preserve"> </w:t>
      </w:r>
      <w:r w:rsidR="00336954">
        <w:t>1.08</w:t>
      </w:r>
      <w:r>
        <w:t xml:space="preserve"> per cent </w:t>
      </w:r>
      <w:r w:rsidR="00595223">
        <w:t>per annum</w:t>
      </w:r>
      <w:r>
        <w:t>.</w:t>
      </w:r>
      <w:r w:rsidR="00595223">
        <w:rPr>
          <w:rStyle w:val="FootnoteReference"/>
        </w:rPr>
        <w:footnoteReference w:id="2"/>
      </w:r>
    </w:p>
    <w:p w:rsidR="00DD1300" w:rsidRDefault="00DD1300" w:rsidP="00DD1300">
      <w:r>
        <w:fldChar w:fldCharType="begin"/>
      </w:r>
      <w:r>
        <w:instrText xml:space="preserve"> REF _Ref437858402 \h </w:instrText>
      </w:r>
      <w:r>
        <w:fldChar w:fldCharType="separate"/>
      </w:r>
      <w:r w:rsidR="00D56C84">
        <w:t xml:space="preserve">Table </w:t>
      </w:r>
      <w:r w:rsidR="00D56C84">
        <w:rPr>
          <w:noProof/>
        </w:rPr>
        <w:t>1</w:t>
      </w:r>
      <w:r w:rsidR="00D56C84">
        <w:t>.</w:t>
      </w:r>
      <w:r w:rsidR="00D56C84">
        <w:rPr>
          <w:noProof/>
        </w:rPr>
        <w:t>1</w:t>
      </w:r>
      <w:r>
        <w:fldChar w:fldCharType="end"/>
      </w:r>
      <w:r>
        <w:t xml:space="preserve"> sets out our draft decision on AusNet Services’ annual building block revenue requirement, the X factor, the annual expected MAR and the estimated total revenue cap for the 2017–22 regulatory control period.</w:t>
      </w:r>
    </w:p>
    <w:p w:rsidR="00DD1300" w:rsidRDefault="00DD1300" w:rsidP="00DD1300">
      <w:pPr>
        <w:pStyle w:val="Caption"/>
      </w:pPr>
      <w:bookmarkStart w:id="14" w:name="_Ref437858402"/>
      <w:r>
        <w:lastRenderedPageBreak/>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3A7EEB">
        <w:t>.</w:t>
      </w:r>
      <w:fldSimple w:instr=" SEQ Table \* ARABIC \s 1 ">
        <w:r w:rsidR="00D56C84">
          <w:rPr>
            <w:noProof/>
          </w:rPr>
          <w:t>1</w:t>
        </w:r>
      </w:fldSimple>
      <w:bookmarkEnd w:id="14"/>
      <w:r>
        <w:tab/>
        <w:t>AER's draft decision on AusNet Services’ annual building block revenue requirement, annual expected MAR, estimated total revenue cap and X factor ($ million, nominal)</w:t>
      </w:r>
    </w:p>
    <w:tbl>
      <w:tblPr>
        <w:tblStyle w:val="AERtable-numbers"/>
        <w:tblW w:w="8880" w:type="dxa"/>
        <w:tblLayout w:type="fixed"/>
        <w:tblLook w:val="04A0" w:firstRow="1" w:lastRow="0" w:firstColumn="1" w:lastColumn="0" w:noHBand="0" w:noVBand="1"/>
      </w:tblPr>
      <w:tblGrid>
        <w:gridCol w:w="3369"/>
        <w:gridCol w:w="918"/>
        <w:gridCol w:w="919"/>
        <w:gridCol w:w="918"/>
        <w:gridCol w:w="919"/>
        <w:gridCol w:w="918"/>
        <w:gridCol w:w="919"/>
      </w:tblGrid>
      <w:tr w:rsidR="00DD1300" w:rsidRPr="00DD1300" w:rsidTr="003C031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DD1300">
            <w:pPr>
              <w:keepNext/>
            </w:pPr>
            <w:r w:rsidRPr="00DD1300">
              <w:t> </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2017–18</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2018–19</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2019–20</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2020–21</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2021–22</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Total</w:t>
            </w:r>
          </w:p>
        </w:tc>
      </w:tr>
      <w:tr w:rsidR="00A0149E" w:rsidRPr="00DD1300" w:rsidTr="006149A6">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A0149E" w:rsidRPr="00DD1300" w:rsidRDefault="00A0149E" w:rsidP="00DD1300">
            <w:pPr>
              <w:keepNext/>
            </w:pPr>
            <w:r w:rsidRPr="00DD1300">
              <w:t>Return on capital</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196.9</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200.7</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202.4</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202.8</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202.7</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1005.4</w:t>
            </w:r>
          </w:p>
        </w:tc>
      </w:tr>
      <w:tr w:rsidR="00A0149E" w:rsidRPr="00DD1300" w:rsidTr="006149A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A0149E" w:rsidRPr="00DD1300" w:rsidRDefault="00A0149E" w:rsidP="00DD1300">
            <w:pPr>
              <w:keepNext/>
            </w:pPr>
            <w:r w:rsidRPr="00DD1300">
              <w:t>Regulatory depreciation</w:t>
            </w:r>
            <w:r w:rsidRPr="00DD1300">
              <w:rPr>
                <w:rStyle w:val="AERsuperscript"/>
              </w:rPr>
              <w:t>a</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102.0</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102.5</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109.4</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112.2</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95.2</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521.3</w:t>
            </w:r>
          </w:p>
        </w:tc>
      </w:tr>
      <w:tr w:rsidR="00A0149E" w:rsidRPr="00DD1300" w:rsidTr="006149A6">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A0149E" w:rsidRPr="006149A6" w:rsidRDefault="00A0149E" w:rsidP="00DD1300">
            <w:pPr>
              <w:keepNext/>
              <w:rPr>
                <w:rStyle w:val="AERsuperscript"/>
              </w:rPr>
            </w:pPr>
            <w:r w:rsidRPr="00DD1300">
              <w:t>Operating expenditure</w:t>
            </w:r>
            <w:r w:rsidR="00B16832">
              <w:rPr>
                <w:rStyle w:val="AERsuperscript"/>
              </w:rPr>
              <w:t>b</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210.8</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216.2</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221.9</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227.7</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233.6</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1110.2</w:t>
            </w:r>
          </w:p>
        </w:tc>
      </w:tr>
      <w:tr w:rsidR="00A0149E" w:rsidRPr="00DD1300" w:rsidTr="006149A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A0149E" w:rsidRPr="00DD1300" w:rsidRDefault="00A0149E" w:rsidP="00DD1300">
            <w:pPr>
              <w:keepNext/>
            </w:pPr>
            <w:r w:rsidRPr="00DD1300">
              <w:t>Revenue adjustments</w:t>
            </w:r>
            <w:r w:rsidR="00B16832">
              <w:rPr>
                <w:rStyle w:val="AERsuperscript"/>
              </w:rPr>
              <w:t>c</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–0.2</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–0.2</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–0.3</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–1.8</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–0.8</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–3.3</w:t>
            </w:r>
          </w:p>
        </w:tc>
      </w:tr>
      <w:tr w:rsidR="00A0149E" w:rsidRPr="00DD1300" w:rsidTr="006149A6">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A0149E" w:rsidRPr="00DD1300" w:rsidRDefault="00A0149E" w:rsidP="00DD1300">
            <w:pPr>
              <w:keepNext/>
            </w:pPr>
            <w:r w:rsidRPr="00DD1300">
              <w:t>Net tax allowance</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13.4</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10.9</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12.6</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14.3</w:t>
            </w:r>
          </w:p>
        </w:tc>
        <w:tc>
          <w:tcPr>
            <w:tcW w:w="918"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9.4</w:t>
            </w:r>
          </w:p>
        </w:tc>
        <w:tc>
          <w:tcPr>
            <w:tcW w:w="919" w:type="dxa"/>
            <w:noWrap/>
            <w:vAlign w:val="top"/>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pPr>
            <w:r w:rsidRPr="007C1F2E">
              <w:t>60.6</w:t>
            </w:r>
          </w:p>
        </w:tc>
      </w:tr>
      <w:tr w:rsidR="00A0149E" w:rsidRPr="00DD1300" w:rsidTr="006149A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A0149E" w:rsidRPr="003C0311" w:rsidRDefault="00A0149E" w:rsidP="003C0311">
            <w:r w:rsidRPr="003C0311">
              <w:t>Annual building block revenue requirement</w:t>
            </w:r>
            <w:r w:rsidRPr="003C0311">
              <w:br/>
              <w:t>(unsmoothed)</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523.1</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530.0</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546.0</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555.0</w:t>
            </w:r>
          </w:p>
        </w:tc>
        <w:tc>
          <w:tcPr>
            <w:tcW w:w="918"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540.2</w:t>
            </w:r>
          </w:p>
        </w:tc>
        <w:tc>
          <w:tcPr>
            <w:tcW w:w="919" w:type="dxa"/>
            <w:noWrap/>
            <w:vAlign w:val="top"/>
          </w:tcPr>
          <w:p w:rsidR="00A0149E" w:rsidRPr="00477F4B" w:rsidRDefault="00A0149E" w:rsidP="00477F4B">
            <w:pPr>
              <w:cnfStyle w:val="000000010000" w:firstRow="0" w:lastRow="0" w:firstColumn="0" w:lastColumn="0" w:oddVBand="0" w:evenVBand="0" w:oddHBand="0" w:evenHBand="1" w:firstRowFirstColumn="0" w:firstRowLastColumn="0" w:lastRowFirstColumn="0" w:lastRowLastColumn="0"/>
            </w:pPr>
            <w:r w:rsidRPr="007C1F2E">
              <w:t>2694.3</w:t>
            </w:r>
          </w:p>
        </w:tc>
      </w:tr>
      <w:tr w:rsidR="00A0149E" w:rsidRPr="00477F4B" w:rsidTr="006149A6">
        <w:trPr>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A0149E" w:rsidRPr="00477F4B" w:rsidRDefault="00A0149E" w:rsidP="00B408B4">
            <w:pPr>
              <w:rPr>
                <w:rStyle w:val="Strong"/>
              </w:rPr>
            </w:pPr>
            <w:r w:rsidRPr="00477F4B">
              <w:rPr>
                <w:rStyle w:val="Strong"/>
              </w:rPr>
              <w:t>Annual expected MAR (smoothed)</w:t>
            </w:r>
          </w:p>
        </w:tc>
        <w:tc>
          <w:tcPr>
            <w:tcW w:w="918" w:type="dxa"/>
            <w:noWrap/>
            <w:vAlign w:val="bottom"/>
          </w:tcPr>
          <w:p w:rsidR="00A0149E" w:rsidRPr="00477F4B" w:rsidRDefault="00A0149E" w:rsidP="00477F4B">
            <w:pPr>
              <w:cnfStyle w:val="000000000000" w:firstRow="0" w:lastRow="0" w:firstColumn="0" w:lastColumn="0" w:oddVBand="0" w:evenVBand="0" w:oddHBand="0" w:evenHBand="0" w:firstRowFirstColumn="0" w:firstRowLastColumn="0" w:lastRowFirstColumn="0" w:lastRowLastColumn="0"/>
              <w:rPr>
                <w:rStyle w:val="Strong"/>
              </w:rPr>
            </w:pPr>
            <w:r w:rsidRPr="00477F4B">
              <w:rPr>
                <w:rStyle w:val="Strong"/>
              </w:rPr>
              <w:t>524.8</w:t>
            </w:r>
          </w:p>
        </w:tc>
        <w:tc>
          <w:tcPr>
            <w:tcW w:w="919" w:type="dxa"/>
            <w:noWrap/>
            <w:vAlign w:val="top"/>
          </w:tcPr>
          <w:p w:rsidR="00A0149E" w:rsidRPr="00915F5D" w:rsidRDefault="00A0149E" w:rsidP="00477F4B">
            <w:pPr>
              <w:cnfStyle w:val="000000000000" w:firstRow="0" w:lastRow="0" w:firstColumn="0" w:lastColumn="0" w:oddVBand="0" w:evenVBand="0" w:oddHBand="0" w:evenHBand="0" w:firstRowFirstColumn="0" w:firstRowLastColumn="0" w:lastRowFirstColumn="0" w:lastRowLastColumn="0"/>
              <w:rPr>
                <w:rStyle w:val="Strong"/>
              </w:rPr>
            </w:pPr>
            <w:r w:rsidRPr="006149A6">
              <w:rPr>
                <w:rStyle w:val="Strong"/>
              </w:rPr>
              <w:t>531.8</w:t>
            </w:r>
          </w:p>
        </w:tc>
        <w:tc>
          <w:tcPr>
            <w:tcW w:w="918" w:type="dxa"/>
            <w:noWrap/>
            <w:vAlign w:val="top"/>
          </w:tcPr>
          <w:p w:rsidR="00A0149E" w:rsidRPr="006149A6" w:rsidRDefault="00A0149E" w:rsidP="00477F4B">
            <w:pPr>
              <w:cnfStyle w:val="000000000000" w:firstRow="0" w:lastRow="0" w:firstColumn="0" w:lastColumn="0" w:oddVBand="0" w:evenVBand="0" w:oddHBand="0" w:evenHBand="0" w:firstRowFirstColumn="0" w:firstRowLastColumn="0" w:lastRowFirstColumn="0" w:lastRowLastColumn="0"/>
              <w:rPr>
                <w:rStyle w:val="Strong"/>
              </w:rPr>
            </w:pPr>
            <w:r w:rsidRPr="006149A6">
              <w:rPr>
                <w:rStyle w:val="Strong"/>
              </w:rPr>
              <w:t>538.9</w:t>
            </w:r>
          </w:p>
        </w:tc>
        <w:tc>
          <w:tcPr>
            <w:tcW w:w="919" w:type="dxa"/>
            <w:noWrap/>
            <w:vAlign w:val="top"/>
          </w:tcPr>
          <w:p w:rsidR="00A0149E" w:rsidRPr="006149A6" w:rsidRDefault="00A0149E" w:rsidP="00477F4B">
            <w:pPr>
              <w:cnfStyle w:val="000000000000" w:firstRow="0" w:lastRow="0" w:firstColumn="0" w:lastColumn="0" w:oddVBand="0" w:evenVBand="0" w:oddHBand="0" w:evenHBand="0" w:firstRowFirstColumn="0" w:firstRowLastColumn="0" w:lastRowFirstColumn="0" w:lastRowLastColumn="0"/>
              <w:rPr>
                <w:rStyle w:val="Strong"/>
              </w:rPr>
            </w:pPr>
            <w:r w:rsidRPr="006149A6">
              <w:rPr>
                <w:rStyle w:val="Strong"/>
              </w:rPr>
              <w:t>546.1</w:t>
            </w:r>
          </w:p>
        </w:tc>
        <w:tc>
          <w:tcPr>
            <w:tcW w:w="918" w:type="dxa"/>
            <w:noWrap/>
            <w:vAlign w:val="top"/>
          </w:tcPr>
          <w:p w:rsidR="00A0149E" w:rsidRPr="006149A6" w:rsidRDefault="00A0149E" w:rsidP="00477F4B">
            <w:pPr>
              <w:cnfStyle w:val="000000000000" w:firstRow="0" w:lastRow="0" w:firstColumn="0" w:lastColumn="0" w:oddVBand="0" w:evenVBand="0" w:oddHBand="0" w:evenHBand="0" w:firstRowFirstColumn="0" w:firstRowLastColumn="0" w:lastRowFirstColumn="0" w:lastRowLastColumn="0"/>
              <w:rPr>
                <w:rStyle w:val="Strong"/>
              </w:rPr>
            </w:pPr>
            <w:r w:rsidRPr="006149A6">
              <w:rPr>
                <w:rStyle w:val="Strong"/>
              </w:rPr>
              <w:t>553.4</w:t>
            </w:r>
          </w:p>
        </w:tc>
        <w:tc>
          <w:tcPr>
            <w:tcW w:w="919" w:type="dxa"/>
            <w:noWrap/>
          </w:tcPr>
          <w:p w:rsidR="00A0149E" w:rsidRPr="00A0149E" w:rsidRDefault="00A0149E" w:rsidP="00477F4B">
            <w:pPr>
              <w:keepNext/>
              <w:cnfStyle w:val="000000000000" w:firstRow="0" w:lastRow="0" w:firstColumn="0" w:lastColumn="0" w:oddVBand="0" w:evenVBand="0" w:oddHBand="0" w:evenHBand="0" w:firstRowFirstColumn="0" w:firstRowLastColumn="0" w:lastRowFirstColumn="0" w:lastRowLastColumn="0"/>
              <w:rPr>
                <w:rStyle w:val="Strong"/>
              </w:rPr>
            </w:pPr>
            <w:r w:rsidRPr="00A0149E">
              <w:rPr>
                <w:rStyle w:val="Strong"/>
              </w:rPr>
              <w:t>2</w:t>
            </w:r>
            <w:r w:rsidRPr="00915F5D">
              <w:rPr>
                <w:rStyle w:val="Strong"/>
              </w:rPr>
              <w:t>69</w:t>
            </w:r>
            <w:r w:rsidRPr="00EB42D0">
              <w:rPr>
                <w:rStyle w:val="Strong"/>
              </w:rPr>
              <w:t>5</w:t>
            </w:r>
            <w:r w:rsidRPr="00A0149E">
              <w:rPr>
                <w:rStyle w:val="Strong"/>
              </w:rPr>
              <w:t>.0</w:t>
            </w:r>
            <w:r w:rsidR="00B16832" w:rsidRPr="006149A6">
              <w:rPr>
                <w:rStyle w:val="AERsuperscript"/>
                <w:b/>
              </w:rPr>
              <w:t>d</w:t>
            </w:r>
          </w:p>
        </w:tc>
      </w:tr>
      <w:tr w:rsidR="00336954" w:rsidRPr="00DD1300" w:rsidTr="006149A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336954" w:rsidRPr="00DD1300" w:rsidRDefault="00336954" w:rsidP="00AF0649">
            <w:pPr>
              <w:keepNext/>
            </w:pPr>
            <w:r w:rsidRPr="00DD1300">
              <w:t>X factor (%)</w:t>
            </w:r>
            <w:r w:rsidR="00B16832">
              <w:rPr>
                <w:rStyle w:val="AERsuperscript"/>
              </w:rPr>
              <w:t>e</w:t>
            </w:r>
          </w:p>
        </w:tc>
        <w:tc>
          <w:tcPr>
            <w:tcW w:w="918" w:type="dxa"/>
            <w:noWrap/>
          </w:tcPr>
          <w:p w:rsidR="00336954" w:rsidRPr="00821FFA" w:rsidRDefault="00336954" w:rsidP="00DD1300">
            <w:pPr>
              <w:keepNext/>
              <w:cnfStyle w:val="000000010000" w:firstRow="0" w:lastRow="0" w:firstColumn="0" w:lastColumn="0" w:oddVBand="0" w:evenVBand="0" w:oddHBand="0" w:evenHBand="1" w:firstRowFirstColumn="0" w:firstRowLastColumn="0" w:lastRowFirstColumn="0" w:lastRowLastColumn="0"/>
              <w:rPr>
                <w:rStyle w:val="AERsuperscript"/>
              </w:rPr>
            </w:pPr>
            <w:r w:rsidRPr="00B408B4">
              <w:t>n/a</w:t>
            </w:r>
            <w:r w:rsidR="00B16832">
              <w:rPr>
                <w:rStyle w:val="AERsuperscript"/>
              </w:rPr>
              <w:t>f</w:t>
            </w:r>
          </w:p>
        </w:tc>
        <w:tc>
          <w:tcPr>
            <w:tcW w:w="919" w:type="dxa"/>
            <w:noWrap/>
            <w:vAlign w:val="top"/>
          </w:tcPr>
          <w:p w:rsidR="00336954" w:rsidRPr="00A66547" w:rsidRDefault="00336954" w:rsidP="00A66547">
            <w:pPr>
              <w:cnfStyle w:val="000000010000" w:firstRow="0" w:lastRow="0" w:firstColumn="0" w:lastColumn="0" w:oddVBand="0" w:evenVBand="0" w:oddHBand="0" w:evenHBand="1" w:firstRowFirstColumn="0" w:firstRowLastColumn="0" w:lastRowFirstColumn="0" w:lastRowLastColumn="0"/>
            </w:pPr>
            <w:r w:rsidRPr="00537EE7">
              <w:t>1.08%</w:t>
            </w:r>
          </w:p>
        </w:tc>
        <w:tc>
          <w:tcPr>
            <w:tcW w:w="918" w:type="dxa"/>
            <w:noWrap/>
            <w:vAlign w:val="top"/>
          </w:tcPr>
          <w:p w:rsidR="00336954" w:rsidRPr="00A66547" w:rsidRDefault="00336954" w:rsidP="00A66547">
            <w:pPr>
              <w:cnfStyle w:val="000000010000" w:firstRow="0" w:lastRow="0" w:firstColumn="0" w:lastColumn="0" w:oddVBand="0" w:evenVBand="0" w:oddHBand="0" w:evenHBand="1" w:firstRowFirstColumn="0" w:firstRowLastColumn="0" w:lastRowFirstColumn="0" w:lastRowLastColumn="0"/>
            </w:pPr>
            <w:r w:rsidRPr="00537EE7">
              <w:t>1.08%</w:t>
            </w:r>
          </w:p>
        </w:tc>
        <w:tc>
          <w:tcPr>
            <w:tcW w:w="919" w:type="dxa"/>
            <w:noWrap/>
            <w:vAlign w:val="top"/>
          </w:tcPr>
          <w:p w:rsidR="00336954" w:rsidRPr="00A66547" w:rsidRDefault="00336954" w:rsidP="00A66547">
            <w:pPr>
              <w:cnfStyle w:val="000000010000" w:firstRow="0" w:lastRow="0" w:firstColumn="0" w:lastColumn="0" w:oddVBand="0" w:evenVBand="0" w:oddHBand="0" w:evenHBand="1" w:firstRowFirstColumn="0" w:firstRowLastColumn="0" w:lastRowFirstColumn="0" w:lastRowLastColumn="0"/>
            </w:pPr>
            <w:r w:rsidRPr="00537EE7">
              <w:t>1.08%</w:t>
            </w:r>
          </w:p>
        </w:tc>
        <w:tc>
          <w:tcPr>
            <w:tcW w:w="918" w:type="dxa"/>
            <w:noWrap/>
            <w:vAlign w:val="top"/>
          </w:tcPr>
          <w:p w:rsidR="00336954" w:rsidRPr="00A66547" w:rsidRDefault="00336954" w:rsidP="00A66547">
            <w:pPr>
              <w:cnfStyle w:val="000000010000" w:firstRow="0" w:lastRow="0" w:firstColumn="0" w:lastColumn="0" w:oddVBand="0" w:evenVBand="0" w:oddHBand="0" w:evenHBand="1" w:firstRowFirstColumn="0" w:firstRowLastColumn="0" w:lastRowFirstColumn="0" w:lastRowLastColumn="0"/>
            </w:pPr>
            <w:r w:rsidRPr="00537EE7">
              <w:t>1.08%</w:t>
            </w:r>
          </w:p>
        </w:tc>
        <w:tc>
          <w:tcPr>
            <w:tcW w:w="919" w:type="dxa"/>
            <w:noWrap/>
            <w:vAlign w:val="bottom"/>
          </w:tcPr>
          <w:p w:rsidR="00336954" w:rsidRPr="00A66547" w:rsidRDefault="00336954" w:rsidP="00A66547">
            <w:pPr>
              <w:cnfStyle w:val="000000010000" w:firstRow="0" w:lastRow="0" w:firstColumn="0" w:lastColumn="0" w:oddVBand="0" w:evenVBand="0" w:oddHBand="0" w:evenHBand="1" w:firstRowFirstColumn="0" w:firstRowLastColumn="0" w:lastRowFirstColumn="0" w:lastRowLastColumn="0"/>
            </w:pPr>
            <w:r w:rsidRPr="00A66547">
              <w:t>n/a</w:t>
            </w:r>
          </w:p>
        </w:tc>
      </w:tr>
    </w:tbl>
    <w:p w:rsidR="00DD1300" w:rsidRDefault="00DD1300" w:rsidP="00DD1300">
      <w:pPr>
        <w:pStyle w:val="AERtablesource"/>
      </w:pPr>
      <w:r>
        <w:t>Source:</w:t>
      </w:r>
      <w:r>
        <w:tab/>
        <w:t>AER analysis.</w:t>
      </w:r>
    </w:p>
    <w:p w:rsidR="00DD1300" w:rsidRDefault="00DD1300" w:rsidP="00DD1300">
      <w:pPr>
        <w:pStyle w:val="AERtablesource"/>
      </w:pPr>
      <w:r>
        <w:t>(a)</w:t>
      </w:r>
      <w:r>
        <w:tab/>
      </w:r>
      <w:r w:rsidRPr="00DD1300">
        <w:t xml:space="preserve">Regulatory depreciation is </w:t>
      </w:r>
      <w:r w:rsidR="002F01AF">
        <w:t>straight-line</w:t>
      </w:r>
      <w:r w:rsidRPr="00DD1300">
        <w:t xml:space="preserve"> depreciation net of the inflation indexation on the opening RAB.</w:t>
      </w:r>
    </w:p>
    <w:p w:rsidR="00B16832" w:rsidRDefault="00B16832" w:rsidP="00DD1300">
      <w:pPr>
        <w:pStyle w:val="AERtablesource"/>
      </w:pPr>
      <w:r>
        <w:t>(b)</w:t>
      </w:r>
      <w:r>
        <w:tab/>
        <w:t>Operating expenditure includes debt raising costs.</w:t>
      </w:r>
    </w:p>
    <w:p w:rsidR="00B408B4" w:rsidRDefault="00B408B4" w:rsidP="00DD1300">
      <w:pPr>
        <w:pStyle w:val="AERtablesource"/>
      </w:pPr>
      <w:r>
        <w:t>(</w:t>
      </w:r>
      <w:r w:rsidR="00B16832">
        <w:t>c</w:t>
      </w:r>
      <w:r>
        <w:t>)</w:t>
      </w:r>
      <w:r>
        <w:tab/>
        <w:t>Includes efficiency benefit sharing scheme and shared asset amounts.</w:t>
      </w:r>
    </w:p>
    <w:p w:rsidR="00DD1300" w:rsidRPr="00DD1300" w:rsidRDefault="00DD1300" w:rsidP="00DD1300">
      <w:pPr>
        <w:pStyle w:val="AERtablesource"/>
      </w:pPr>
      <w:r>
        <w:t>(</w:t>
      </w:r>
      <w:r w:rsidR="00B16832">
        <w:t>d</w:t>
      </w:r>
      <w:r>
        <w:t>)</w:t>
      </w:r>
      <w:r>
        <w:tab/>
      </w:r>
      <w:r w:rsidRPr="00DD1300">
        <w:t>The estimated total revenue cap is equal to the total annual expected MAR.</w:t>
      </w:r>
    </w:p>
    <w:p w:rsidR="00DD1300" w:rsidRDefault="00B408B4" w:rsidP="00DD1300">
      <w:pPr>
        <w:pStyle w:val="AERtablesource"/>
      </w:pPr>
      <w:r>
        <w:t>(</w:t>
      </w:r>
      <w:r w:rsidR="00B16832">
        <w:t>e</w:t>
      </w:r>
      <w:r w:rsidR="00DD1300">
        <w:t>)</w:t>
      </w:r>
      <w:r w:rsidR="00DD1300">
        <w:tab/>
      </w:r>
      <w:r w:rsidR="00DD1300" w:rsidRPr="00DD1300">
        <w:t>The X factor</w:t>
      </w:r>
      <w:r w:rsidR="00DD1300">
        <w:t>s</w:t>
      </w:r>
      <w:r w:rsidR="00DD1300" w:rsidRPr="00DD1300">
        <w:t xml:space="preserve"> will be revised to reflect the annual return on debt update.</w:t>
      </w:r>
      <w:r w:rsidR="00B16832">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821FFA" w:rsidRPr="00821FFA" w:rsidRDefault="00B408B4" w:rsidP="00821FFA">
      <w:pPr>
        <w:pStyle w:val="AERtablesource"/>
      </w:pPr>
      <w:r>
        <w:t>(</w:t>
      </w:r>
      <w:r w:rsidR="00B16832">
        <w:t>f</w:t>
      </w:r>
      <w:r w:rsidR="00821FFA">
        <w:t>)</w:t>
      </w:r>
      <w:r w:rsidR="00821FFA">
        <w:tab/>
        <w:t>AusNet Services</w:t>
      </w:r>
      <w:r w:rsidR="00821FFA" w:rsidRPr="00C10597">
        <w:t xml:space="preserve"> is not required to apply an X factor for 201</w:t>
      </w:r>
      <w:r w:rsidR="00821FFA">
        <w:t>7</w:t>
      </w:r>
      <w:r w:rsidR="00821FFA" w:rsidRPr="00C10597">
        <w:t>–1</w:t>
      </w:r>
      <w:r w:rsidR="00821FFA">
        <w:t>8</w:t>
      </w:r>
      <w:r w:rsidR="00821FFA" w:rsidRPr="00C10597">
        <w:t xml:space="preserve"> </w:t>
      </w:r>
      <w:r w:rsidR="00821FFA" w:rsidRPr="006D43B4">
        <w:t xml:space="preserve">because </w:t>
      </w:r>
      <w:r w:rsidR="00821FFA">
        <w:t xml:space="preserve">we </w:t>
      </w:r>
      <w:r w:rsidR="00821FFA" w:rsidRPr="006D43B4">
        <w:t>set</w:t>
      </w:r>
      <w:r w:rsidR="00821FFA">
        <w:t xml:space="preserve"> the 2017–18 MAR</w:t>
      </w:r>
      <w:r w:rsidR="00821FFA" w:rsidRPr="006D43B4">
        <w:t xml:space="preserve"> in </w:t>
      </w:r>
      <w:r w:rsidR="00821FFA">
        <w:t>this</w:t>
      </w:r>
      <w:r w:rsidR="00821FFA" w:rsidRPr="006D43B4">
        <w:t xml:space="preserve"> </w:t>
      </w:r>
      <w:r w:rsidR="00821FFA">
        <w:t>decision</w:t>
      </w:r>
      <w:r w:rsidR="00821FFA" w:rsidRPr="00C10597">
        <w:t>. The</w:t>
      </w:r>
      <w:r w:rsidR="00821FFA">
        <w:t xml:space="preserve"> </w:t>
      </w:r>
      <w:r w:rsidR="00821FFA" w:rsidRPr="00C10597">
        <w:t>MAR for 201</w:t>
      </w:r>
      <w:r w:rsidR="00821FFA">
        <w:t>7</w:t>
      </w:r>
      <w:r w:rsidR="00821FFA" w:rsidRPr="00C10597">
        <w:t>–1</w:t>
      </w:r>
      <w:r w:rsidR="00821FFA">
        <w:t>8 i</w:t>
      </w:r>
      <w:r w:rsidR="00821FFA" w:rsidRPr="00C10597">
        <w:t xml:space="preserve">s around </w:t>
      </w:r>
      <w:r w:rsidR="00A66547">
        <w:t>3.</w:t>
      </w:r>
      <w:r w:rsidR="00477F4B">
        <w:t>0</w:t>
      </w:r>
      <w:r w:rsidR="00821FFA" w:rsidRPr="00C10597">
        <w:t xml:space="preserve"> per cent lower than</w:t>
      </w:r>
      <w:r w:rsidR="00821FFA">
        <w:t xml:space="preserve"> the</w:t>
      </w:r>
      <w:r w:rsidR="00821FFA" w:rsidRPr="00C10597">
        <w:t xml:space="preserve"> </w:t>
      </w:r>
      <w:r w:rsidR="00821FFA">
        <w:t xml:space="preserve">approved </w:t>
      </w:r>
      <w:r w:rsidR="00821FFA" w:rsidRPr="00C10597">
        <w:t>MAR</w:t>
      </w:r>
      <w:r w:rsidR="00821FFA">
        <w:t xml:space="preserve"> for 2016–17</w:t>
      </w:r>
      <w:r w:rsidR="00821FFA" w:rsidRPr="00C10597">
        <w:t xml:space="preserve"> in real terms, or </w:t>
      </w:r>
      <w:r w:rsidR="00A66547">
        <w:t>0.</w:t>
      </w:r>
      <w:r w:rsidR="00477F4B">
        <w:t>6</w:t>
      </w:r>
      <w:r w:rsidR="00821FFA" w:rsidRPr="00C10597">
        <w:t xml:space="preserve"> p</w:t>
      </w:r>
      <w:r w:rsidR="00821FFA">
        <w:t>er cent lower in nominal terms.</w:t>
      </w:r>
    </w:p>
    <w:p w:rsidR="00DE563D" w:rsidRPr="001754EE" w:rsidRDefault="000B321F" w:rsidP="009822FF">
      <w:pPr>
        <w:pStyle w:val="Heading2"/>
        <w:keepNext/>
      </w:pPr>
      <w:bookmarkStart w:id="15" w:name="_Toc456169870"/>
      <w:r>
        <w:t>AusNet Services</w:t>
      </w:r>
      <w:r w:rsidR="00415F31" w:rsidRPr="001754EE">
        <w:t>’</w:t>
      </w:r>
      <w:r w:rsidR="00DE563D" w:rsidRPr="001754EE">
        <w:t xml:space="preserve"> proposal</w:t>
      </w:r>
      <w:bookmarkEnd w:id="13"/>
      <w:bookmarkEnd w:id="15"/>
    </w:p>
    <w:p w:rsidR="00866A2D" w:rsidRDefault="00DD1300" w:rsidP="00DD1300">
      <w:r>
        <w:t>AusNet Services proposed a total (smoothed) revenue cap of $3160.5 million ($ nominal) for the 2017–22</w:t>
      </w:r>
      <w:r w:rsidR="00821FFA">
        <w:t xml:space="preserve"> regulatory control</w:t>
      </w:r>
      <w:r>
        <w:t xml:space="preserve"> period.</w:t>
      </w:r>
    </w:p>
    <w:p w:rsidR="00DD1300" w:rsidRDefault="00866A2D" w:rsidP="00DD1300">
      <w:r>
        <w:fldChar w:fldCharType="begin"/>
      </w:r>
      <w:r>
        <w:instrText xml:space="preserve"> REF _Ref437859178 \h </w:instrText>
      </w:r>
      <w:r>
        <w:fldChar w:fldCharType="separate"/>
      </w:r>
      <w:r w:rsidR="00D56C84">
        <w:t xml:space="preserve">Table </w:t>
      </w:r>
      <w:r w:rsidR="00D56C84">
        <w:rPr>
          <w:noProof/>
        </w:rPr>
        <w:t>1</w:t>
      </w:r>
      <w:r w:rsidR="00D56C84">
        <w:t>.</w:t>
      </w:r>
      <w:r w:rsidR="00D56C84">
        <w:rPr>
          <w:noProof/>
        </w:rPr>
        <w:t>2</w:t>
      </w:r>
      <w:r>
        <w:fldChar w:fldCharType="end"/>
      </w:r>
      <w:r w:rsidR="00DD1300">
        <w:t xml:space="preserve"> sets out AusNet Services’ proposed annual building block revenue requirement, the X factor, the annual expected MAR and the estimated total revenue cap.</w:t>
      </w:r>
    </w:p>
    <w:p w:rsidR="00866A2D" w:rsidRDefault="00866A2D" w:rsidP="00E44BBC">
      <w:pPr>
        <w:pStyle w:val="Caption"/>
      </w:pPr>
      <w:bookmarkStart w:id="16" w:name="_Ref437859178"/>
      <w:r>
        <w:lastRenderedPageBreak/>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3A7EEB">
        <w:t>.</w:t>
      </w:r>
      <w:fldSimple w:instr=" SEQ Table \* ARABIC \s 1 ">
        <w:r w:rsidR="00D56C84">
          <w:rPr>
            <w:noProof/>
          </w:rPr>
          <w:t>2</w:t>
        </w:r>
      </w:fldSimple>
      <w:bookmarkEnd w:id="16"/>
      <w:r>
        <w:tab/>
        <w:t>AusNet Services’ proposed annual building block revenue requirement, annual expected MAR, estimated total revenue cap and X factor ($ million, nominal)</w:t>
      </w:r>
    </w:p>
    <w:tbl>
      <w:tblPr>
        <w:tblStyle w:val="AERtable-numbers"/>
        <w:tblW w:w="8897" w:type="dxa"/>
        <w:tblLayout w:type="fixed"/>
        <w:tblLook w:val="04A0" w:firstRow="1" w:lastRow="0" w:firstColumn="1" w:lastColumn="0" w:noHBand="0" w:noVBand="1"/>
      </w:tblPr>
      <w:tblGrid>
        <w:gridCol w:w="3369"/>
        <w:gridCol w:w="921"/>
        <w:gridCol w:w="921"/>
        <w:gridCol w:w="922"/>
        <w:gridCol w:w="921"/>
        <w:gridCol w:w="921"/>
        <w:gridCol w:w="922"/>
      </w:tblGrid>
      <w:tr w:rsidR="00DD1300" w:rsidRPr="00DD1300" w:rsidTr="00EC76C0">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E44BBC">
            <w:pPr>
              <w:keepNext/>
            </w:pPr>
            <w:r w:rsidRPr="00DD1300">
              <w:t> </w:t>
            </w:r>
          </w:p>
        </w:tc>
        <w:tc>
          <w:tcPr>
            <w:tcW w:w="921"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2017–18</w:t>
            </w:r>
          </w:p>
        </w:tc>
        <w:tc>
          <w:tcPr>
            <w:tcW w:w="921"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2018–19</w:t>
            </w:r>
          </w:p>
        </w:tc>
        <w:tc>
          <w:tcPr>
            <w:tcW w:w="922"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2019–20</w:t>
            </w:r>
          </w:p>
        </w:tc>
        <w:tc>
          <w:tcPr>
            <w:tcW w:w="921"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2020–21</w:t>
            </w:r>
          </w:p>
        </w:tc>
        <w:tc>
          <w:tcPr>
            <w:tcW w:w="921"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2021–22</w:t>
            </w:r>
          </w:p>
        </w:tc>
        <w:tc>
          <w:tcPr>
            <w:tcW w:w="922" w:type="dxa"/>
            <w:noWrap/>
            <w:hideMark/>
          </w:tcPr>
          <w:p w:rsidR="00DD1300" w:rsidRPr="00DD1300" w:rsidRDefault="00DD1300" w:rsidP="00E44BBC">
            <w:pPr>
              <w:keepNext/>
              <w:cnfStyle w:val="100000000000" w:firstRow="1" w:lastRow="0" w:firstColumn="0" w:lastColumn="0" w:oddVBand="0" w:evenVBand="0" w:oddHBand="0" w:evenHBand="0" w:firstRowFirstColumn="0" w:firstRowLastColumn="0" w:lastRowFirstColumn="0" w:lastRowLastColumn="0"/>
            </w:pPr>
            <w:r w:rsidRPr="00DD1300">
              <w:t>Total</w:t>
            </w:r>
          </w:p>
        </w:tc>
      </w:tr>
      <w:tr w:rsidR="00DD1300" w:rsidRPr="00DD1300" w:rsidTr="00EC76C0">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E44BBC">
            <w:pPr>
              <w:keepNext/>
            </w:pPr>
            <w:r w:rsidRPr="00DD1300">
              <w:t>Return on capital</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233.2</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239.2</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242.8</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245.4</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247.2</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1207.8</w:t>
            </w:r>
          </w:p>
        </w:tc>
      </w:tr>
      <w:tr w:rsidR="00DD1300" w:rsidRPr="00DD1300" w:rsidTr="00EC76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E44BBC">
            <w:pPr>
              <w:keepNext/>
            </w:pPr>
            <w:r w:rsidRPr="00DD1300">
              <w:t>Regulatory depreciation</w:t>
            </w:r>
            <w:r w:rsidR="00866A2D" w:rsidRPr="00866A2D">
              <w:rPr>
                <w:rStyle w:val="AERsuperscript"/>
              </w:rPr>
              <w:t>a</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103.5</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117.0</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129.9</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133.7</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118.7</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602.8</w:t>
            </w:r>
          </w:p>
        </w:tc>
      </w:tr>
      <w:tr w:rsidR="00DD1300" w:rsidRPr="00DD1300" w:rsidTr="00EC76C0">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6149A6" w:rsidRDefault="00DD1300" w:rsidP="00E44BBC">
            <w:pPr>
              <w:keepNext/>
              <w:rPr>
                <w:rStyle w:val="AERsuperscript"/>
              </w:rPr>
            </w:pPr>
            <w:r w:rsidRPr="00DD1300">
              <w:t>Operating expenditure</w:t>
            </w:r>
            <w:r w:rsidR="00B16832">
              <w:rPr>
                <w:rStyle w:val="AERsuperscript"/>
              </w:rPr>
              <w:t>b</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227.3</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227.6</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234.6</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242.6</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249.8</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1182.0</w:t>
            </w:r>
          </w:p>
        </w:tc>
      </w:tr>
      <w:tr w:rsidR="00DD1300" w:rsidRPr="00DD1300" w:rsidTr="00EC76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B408B4" w:rsidRDefault="00DD1300" w:rsidP="00E44BBC">
            <w:pPr>
              <w:keepNext/>
              <w:rPr>
                <w:rStyle w:val="AERsuperscript"/>
              </w:rPr>
            </w:pPr>
            <w:r w:rsidRPr="00DD1300">
              <w:t>Revenue adjustments</w:t>
            </w:r>
            <w:r w:rsidR="00B16832">
              <w:rPr>
                <w:rStyle w:val="AERsuperscript"/>
              </w:rPr>
              <w:t>c</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0.2</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0.1</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0.1</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–1.3</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–2.0</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–2.8</w:t>
            </w:r>
          </w:p>
        </w:tc>
      </w:tr>
      <w:tr w:rsidR="00DD1300" w:rsidRPr="00DD1300" w:rsidTr="00EC76C0">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E44BBC">
            <w:pPr>
              <w:keepNext/>
            </w:pPr>
            <w:r w:rsidRPr="00DD1300">
              <w:t>Net tax allowance</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31.2</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31.7</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35.8</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37.8</w:t>
            </w:r>
          </w:p>
        </w:tc>
        <w:tc>
          <w:tcPr>
            <w:tcW w:w="921"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31.5</w:t>
            </w:r>
          </w:p>
        </w:tc>
        <w:tc>
          <w:tcPr>
            <w:tcW w:w="922" w:type="dxa"/>
            <w:noWrap/>
            <w:hideMark/>
          </w:tcPr>
          <w:p w:rsidR="00DD1300" w:rsidRPr="00DD1300" w:rsidRDefault="00DD1300" w:rsidP="00E44BBC">
            <w:pPr>
              <w:keepNext/>
              <w:cnfStyle w:val="000000000000" w:firstRow="0" w:lastRow="0" w:firstColumn="0" w:lastColumn="0" w:oddVBand="0" w:evenVBand="0" w:oddHBand="0" w:evenHBand="0" w:firstRowFirstColumn="0" w:firstRowLastColumn="0" w:lastRowFirstColumn="0" w:lastRowLastColumn="0"/>
            </w:pPr>
            <w:r w:rsidRPr="00DD1300">
              <w:t>167.9</w:t>
            </w:r>
          </w:p>
        </w:tc>
      </w:tr>
      <w:tr w:rsidR="003C0311" w:rsidRPr="00DD1300" w:rsidTr="00EC76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3C0311" w:rsidRPr="003C0311" w:rsidRDefault="003C0311" w:rsidP="00E44BBC">
            <w:pPr>
              <w:keepNext/>
            </w:pPr>
            <w:r w:rsidRPr="003C0311">
              <w:t>Annual building block revenue requirement</w:t>
            </w:r>
            <w:r w:rsidRPr="003C0311">
              <w:br/>
              <w:t>(unsmoothed)</w:t>
            </w:r>
          </w:p>
        </w:tc>
        <w:tc>
          <w:tcPr>
            <w:tcW w:w="921"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595.4</w:t>
            </w:r>
          </w:p>
        </w:tc>
        <w:tc>
          <w:tcPr>
            <w:tcW w:w="921"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615.7</w:t>
            </w:r>
          </w:p>
        </w:tc>
        <w:tc>
          <w:tcPr>
            <w:tcW w:w="922"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643.2</w:t>
            </w:r>
          </w:p>
        </w:tc>
        <w:tc>
          <w:tcPr>
            <w:tcW w:w="921"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658.2</w:t>
            </w:r>
          </w:p>
        </w:tc>
        <w:tc>
          <w:tcPr>
            <w:tcW w:w="921"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645.1</w:t>
            </w:r>
          </w:p>
        </w:tc>
        <w:tc>
          <w:tcPr>
            <w:tcW w:w="922" w:type="dxa"/>
            <w:noWrap/>
            <w:hideMark/>
          </w:tcPr>
          <w:p w:rsidR="003C0311" w:rsidRPr="00DD1300" w:rsidRDefault="003C0311" w:rsidP="00E44BBC">
            <w:pPr>
              <w:keepNext/>
              <w:cnfStyle w:val="000000010000" w:firstRow="0" w:lastRow="0" w:firstColumn="0" w:lastColumn="0" w:oddVBand="0" w:evenVBand="0" w:oddHBand="0" w:evenHBand="1" w:firstRowFirstColumn="0" w:firstRowLastColumn="0" w:lastRowFirstColumn="0" w:lastRowLastColumn="0"/>
            </w:pPr>
            <w:r w:rsidRPr="00DD1300">
              <w:t>3157.6</w:t>
            </w:r>
          </w:p>
        </w:tc>
      </w:tr>
      <w:tr w:rsidR="003C0311" w:rsidRPr="003C0311" w:rsidTr="00EC76C0">
        <w:trPr>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3C0311" w:rsidRPr="003C0311" w:rsidRDefault="003C0311" w:rsidP="00E44BBC">
            <w:pPr>
              <w:keepNext/>
              <w:rPr>
                <w:rStyle w:val="Strong"/>
              </w:rPr>
            </w:pPr>
            <w:r w:rsidRPr="003C0311">
              <w:rPr>
                <w:rStyle w:val="Strong"/>
              </w:rPr>
              <w:t>Annual expected MAR (smoothed)</w:t>
            </w:r>
          </w:p>
        </w:tc>
        <w:tc>
          <w:tcPr>
            <w:tcW w:w="921"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595.4</w:t>
            </w:r>
          </w:p>
        </w:tc>
        <w:tc>
          <w:tcPr>
            <w:tcW w:w="921"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613.2</w:t>
            </w:r>
          </w:p>
        </w:tc>
        <w:tc>
          <w:tcPr>
            <w:tcW w:w="922"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631.6</w:t>
            </w:r>
          </w:p>
        </w:tc>
        <w:tc>
          <w:tcPr>
            <w:tcW w:w="921"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650.4</w:t>
            </w:r>
          </w:p>
        </w:tc>
        <w:tc>
          <w:tcPr>
            <w:tcW w:w="921"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669.9</w:t>
            </w:r>
          </w:p>
        </w:tc>
        <w:tc>
          <w:tcPr>
            <w:tcW w:w="922" w:type="dxa"/>
            <w:noWrap/>
            <w:hideMark/>
          </w:tcPr>
          <w:p w:rsidR="003C0311" w:rsidRPr="003C0311" w:rsidRDefault="003C0311" w:rsidP="00E44BBC">
            <w:pPr>
              <w:keepNext/>
              <w:cnfStyle w:val="000000000000" w:firstRow="0" w:lastRow="0" w:firstColumn="0" w:lastColumn="0" w:oddVBand="0" w:evenVBand="0" w:oddHBand="0" w:evenHBand="0" w:firstRowFirstColumn="0" w:firstRowLastColumn="0" w:lastRowFirstColumn="0" w:lastRowLastColumn="0"/>
              <w:rPr>
                <w:rStyle w:val="Strong"/>
              </w:rPr>
            </w:pPr>
            <w:r w:rsidRPr="003C0311">
              <w:rPr>
                <w:rStyle w:val="Strong"/>
              </w:rPr>
              <w:t>3160.5</w:t>
            </w:r>
            <w:r w:rsidR="00B16832">
              <w:rPr>
                <w:rStyle w:val="AERsuperscript"/>
                <w:b/>
              </w:rPr>
              <w:t>d</w:t>
            </w:r>
          </w:p>
        </w:tc>
      </w:tr>
      <w:tr w:rsidR="00DD1300" w:rsidRPr="00DD1300" w:rsidTr="00EC76C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E44BBC">
            <w:pPr>
              <w:keepNext/>
            </w:pPr>
            <w:r w:rsidRPr="00DD1300">
              <w:t>X factor (%)</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–10.17%</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–0.62%</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–0.62%</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–0.62%</w:t>
            </w:r>
          </w:p>
        </w:tc>
        <w:tc>
          <w:tcPr>
            <w:tcW w:w="921"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–0.62%</w:t>
            </w:r>
          </w:p>
        </w:tc>
        <w:tc>
          <w:tcPr>
            <w:tcW w:w="922" w:type="dxa"/>
            <w:noWrap/>
            <w:hideMark/>
          </w:tcPr>
          <w:p w:rsidR="00DD1300" w:rsidRPr="00DD1300" w:rsidRDefault="00DD1300" w:rsidP="00E44BBC">
            <w:pPr>
              <w:keepNext/>
              <w:cnfStyle w:val="000000010000" w:firstRow="0" w:lastRow="0" w:firstColumn="0" w:lastColumn="0" w:oddVBand="0" w:evenVBand="0" w:oddHBand="0" w:evenHBand="1" w:firstRowFirstColumn="0" w:firstRowLastColumn="0" w:lastRowFirstColumn="0" w:lastRowLastColumn="0"/>
            </w:pPr>
            <w:r w:rsidRPr="00DD1300">
              <w:t>n/a</w:t>
            </w:r>
          </w:p>
        </w:tc>
      </w:tr>
    </w:tbl>
    <w:p w:rsidR="00DD1300" w:rsidRDefault="00866A2D" w:rsidP="00E44BBC">
      <w:pPr>
        <w:pStyle w:val="AERtablesource"/>
        <w:keepNext/>
        <w:rPr>
          <w:rStyle w:val="AERsuperscript"/>
          <w:vertAlign w:val="baseline"/>
        </w:rPr>
      </w:pPr>
      <w:r w:rsidRPr="00866A2D">
        <w:rPr>
          <w:rStyle w:val="AERsuperscript"/>
          <w:vertAlign w:val="baseline"/>
        </w:rPr>
        <w:t>Source:</w:t>
      </w:r>
      <w:r w:rsidRPr="00866A2D">
        <w:rPr>
          <w:rStyle w:val="AERsuperscript"/>
          <w:vertAlign w:val="baseline"/>
        </w:rPr>
        <w:tab/>
      </w:r>
      <w:r w:rsidR="00B408B4">
        <w:rPr>
          <w:rStyle w:val="AERsuperscript"/>
          <w:vertAlign w:val="baseline"/>
        </w:rPr>
        <w:t xml:space="preserve">AusNet Services, </w:t>
      </w:r>
      <w:r w:rsidR="00B408B4" w:rsidRPr="00B408B4">
        <w:rPr>
          <w:rStyle w:val="AERtextitalic"/>
        </w:rPr>
        <w:t>Revenue proposal</w:t>
      </w:r>
      <w:r w:rsidR="00B408B4">
        <w:rPr>
          <w:rStyle w:val="AERsuperscript"/>
          <w:vertAlign w:val="baseline"/>
        </w:rPr>
        <w:t xml:space="preserve">, </w:t>
      </w:r>
      <w:r w:rsidR="005D291E">
        <w:rPr>
          <w:rStyle w:val="AERsuperscript"/>
          <w:vertAlign w:val="baseline"/>
        </w:rPr>
        <w:t xml:space="preserve">October 2015, </w:t>
      </w:r>
      <w:r w:rsidR="00B408B4">
        <w:rPr>
          <w:rStyle w:val="AERsuperscript"/>
          <w:vertAlign w:val="baseline"/>
        </w:rPr>
        <w:t>pp. 323–324</w:t>
      </w:r>
      <w:r w:rsidRPr="00866A2D">
        <w:rPr>
          <w:rStyle w:val="AERsuperscript"/>
          <w:vertAlign w:val="baseline"/>
        </w:rPr>
        <w:t>.</w:t>
      </w:r>
    </w:p>
    <w:p w:rsidR="00866A2D" w:rsidRDefault="00866A2D" w:rsidP="00E44BBC">
      <w:pPr>
        <w:pStyle w:val="AERtablesource"/>
        <w:keepNext/>
      </w:pPr>
      <w:r>
        <w:t>(a)</w:t>
      </w:r>
      <w:r>
        <w:tab/>
      </w:r>
      <w:r w:rsidRPr="00DD1300">
        <w:t xml:space="preserve">Regulatory depreciation is </w:t>
      </w:r>
      <w:r w:rsidR="00AF0649">
        <w:t>RAB</w:t>
      </w:r>
      <w:r w:rsidRPr="00DD1300">
        <w:t xml:space="preserve"> depreciation net of the inflation indexation on the opening RAB.</w:t>
      </w:r>
    </w:p>
    <w:p w:rsidR="00B16832" w:rsidRDefault="00B16832" w:rsidP="00B408B4">
      <w:pPr>
        <w:pStyle w:val="AERtablesource"/>
      </w:pPr>
      <w:r>
        <w:t>(b)</w:t>
      </w:r>
      <w:r>
        <w:tab/>
        <w:t>Operating expenditure includes debt raising costs.</w:t>
      </w:r>
    </w:p>
    <w:p w:rsidR="00B408B4" w:rsidRPr="00B408B4" w:rsidRDefault="00B408B4" w:rsidP="00B408B4">
      <w:pPr>
        <w:pStyle w:val="AERtablesource"/>
      </w:pPr>
      <w:r>
        <w:t>(</w:t>
      </w:r>
      <w:r w:rsidR="00B16832">
        <w:t>c</w:t>
      </w:r>
      <w:r>
        <w:t>)</w:t>
      </w:r>
      <w:r>
        <w:tab/>
        <w:t>Includes efficiency benefit sharing scheme and shared asset amounts.</w:t>
      </w:r>
    </w:p>
    <w:p w:rsidR="00866A2D" w:rsidRPr="00866A2D" w:rsidRDefault="00B408B4" w:rsidP="00866A2D">
      <w:pPr>
        <w:pStyle w:val="AERtablesource"/>
      </w:pPr>
      <w:r>
        <w:t>(</w:t>
      </w:r>
      <w:r w:rsidR="00B16832">
        <w:t>d</w:t>
      </w:r>
      <w:r w:rsidR="00866A2D">
        <w:t>)</w:t>
      </w:r>
      <w:r w:rsidR="00866A2D">
        <w:tab/>
      </w:r>
      <w:r w:rsidR="00866A2D" w:rsidRPr="00DD1300">
        <w:t>The estimated total revenue cap is equal to the total annual expected MAR.</w:t>
      </w:r>
    </w:p>
    <w:p w:rsidR="00DE563D" w:rsidRDefault="00DE563D" w:rsidP="009822FF">
      <w:pPr>
        <w:pStyle w:val="Heading2"/>
        <w:keepNext/>
      </w:pPr>
      <w:bookmarkStart w:id="17" w:name="_Toc403144138"/>
      <w:bookmarkStart w:id="18" w:name="_Toc456169871"/>
      <w:r w:rsidRPr="001754EE">
        <w:t>AER’s</w:t>
      </w:r>
      <w:r>
        <w:t xml:space="preserve"> assessment approach</w:t>
      </w:r>
      <w:bookmarkEnd w:id="17"/>
      <w:bookmarkEnd w:id="18"/>
    </w:p>
    <w:p w:rsidR="00DD25CD" w:rsidRDefault="00DD25CD" w:rsidP="009E4C22">
      <w:r>
        <w:t>In this section, we describe the building block approach used to determine the TNSP’s expected MAR. We also set out the annual revenue adjustment to be applied to AusNet Services’ MAR over the 2017–22 regulatory control period.</w:t>
      </w:r>
    </w:p>
    <w:p w:rsidR="00DD25CD" w:rsidRDefault="00DD25CD" w:rsidP="00DD25CD">
      <w:pPr>
        <w:pStyle w:val="Heading3"/>
      </w:pPr>
      <w:bookmarkStart w:id="19" w:name="_Toc456169872"/>
      <w:r>
        <w:t>The building block approach</w:t>
      </w:r>
      <w:bookmarkEnd w:id="19"/>
    </w:p>
    <w:p w:rsidR="00574EC2" w:rsidRDefault="00574EC2" w:rsidP="009E4C22">
      <w:r>
        <w:t>The MAR is calculated using the post-tax revenue model (PTRM).</w:t>
      </w:r>
      <w:r>
        <w:rPr>
          <w:rStyle w:val="FootnoteReference"/>
        </w:rPr>
        <w:footnoteReference w:id="3"/>
      </w:r>
      <w:r>
        <w:t xml:space="preserve"> The PTRM must be such that the expected MAR for each year of the regulatory control period is equal to the net present value (NPV) of the annual building block revenue requirement for the TNSP for each year, and the total revenue cap is the sum of the MARs for each year.</w:t>
      </w:r>
      <w:r>
        <w:rPr>
          <w:rStyle w:val="FootnoteReference"/>
        </w:rPr>
        <w:footnoteReference w:id="4"/>
      </w:r>
      <w:r>
        <w:t xml:space="preserve"> In turn, the annual building block revenue requirement must be determined using a building block approach.</w:t>
      </w:r>
      <w:r>
        <w:rPr>
          <w:rStyle w:val="FootnoteReference"/>
        </w:rPr>
        <w:footnoteReference w:id="5"/>
      </w:r>
      <w:r>
        <w:t xml:space="preserve"> Therefore, we adopt a building block approach when making our decision on a TNSP's total revenue cap and expected MAR for each regulatory year of the regulatory control period. Under this approach we determine the value of the building block costs that make up the annual building block revenue requirement for each regulatory year</w:t>
      </w:r>
      <w:r w:rsidR="009E4C22">
        <w:t xml:space="preserve">. </w:t>
      </w:r>
      <w:r w:rsidR="009E4C22" w:rsidRPr="009E4C22">
        <w:t>These building block costs are set out in section</w:t>
      </w:r>
      <w:r w:rsidR="005F406B">
        <w:t xml:space="preserve"> </w:t>
      </w:r>
      <w:r w:rsidR="005F406B">
        <w:fldChar w:fldCharType="begin"/>
      </w:r>
      <w:r w:rsidR="005F406B">
        <w:instrText xml:space="preserve"> REF _Ref456076306 \r \h </w:instrText>
      </w:r>
      <w:r w:rsidR="005F406B">
        <w:fldChar w:fldCharType="separate"/>
      </w:r>
      <w:r w:rsidR="00D56C84">
        <w:t>1.3.2</w:t>
      </w:r>
      <w:r w:rsidR="005F406B">
        <w:fldChar w:fldCharType="end"/>
      </w:r>
      <w:r w:rsidR="009E4C22">
        <w:t>.</w:t>
      </w:r>
    </w:p>
    <w:p w:rsidR="00574EC2" w:rsidRDefault="00574EC2" w:rsidP="00574EC2">
      <w:r>
        <w:lastRenderedPageBreak/>
        <w:t>We developed the PTRM, which brings together the various building block costs and calculates the annual building block revenue requirement for each year of the regulatory control period.</w:t>
      </w:r>
      <w:r>
        <w:rPr>
          <w:rStyle w:val="FootnoteReference"/>
        </w:rPr>
        <w:footnoteReference w:id="6"/>
      </w:r>
      <w:r>
        <w:t xml:space="preserve"> The PTRM also calculates the X factors required under the CPI–X methodology which is used to escalate the MAR for each year </w:t>
      </w:r>
      <w:r w:rsidR="0057588D">
        <w:t>(other than the first year)</w:t>
      </w:r>
      <w:r>
        <w:t xml:space="preserve"> of the regulatory control period.</w:t>
      </w:r>
      <w:r>
        <w:rPr>
          <w:rStyle w:val="FootnoteReference"/>
        </w:rPr>
        <w:footnoteReference w:id="7"/>
      </w:r>
      <w:r>
        <w:t xml:space="preserve"> Using the X factors and annual building block revenue requirement, the annual expected MAR (smoothed) is forecast for each year of the regulatory control period. A TNSP’s revenue proposal must be prepared using our PTRM.</w:t>
      </w:r>
      <w:r>
        <w:rPr>
          <w:rStyle w:val="FootnoteReference"/>
        </w:rPr>
        <w:footnoteReference w:id="8"/>
      </w:r>
    </w:p>
    <w:p w:rsidR="00DD25CD" w:rsidRDefault="00DD25CD" w:rsidP="00DD25CD">
      <w:r w:rsidRPr="0076152C">
        <w:t xml:space="preserve">The annual building block revenue requirement can be lumpy over the regulatory control period. To minimise price shocks, revenues are smoothed within a regulatory control period while maintaining the principle of cost recovery under the building block approach. Smoothing requires diverting some of the cost recovery to adjacent years within the regulatory control period so that the </w:t>
      </w:r>
      <w:r>
        <w:t>NPV</w:t>
      </w:r>
      <w:r w:rsidRPr="0076152C">
        <w:t xml:space="preserve"> of the annual expected MAR (smoothed revenues) is equal to the </w:t>
      </w:r>
      <w:r>
        <w:t>NPV</w:t>
      </w:r>
      <w:r w:rsidRPr="0076152C">
        <w:t xml:space="preserve"> of the annual building block revenue requirement (unsmoothed revenues). That is, a smoothed profile of the expected MAR is determined for the regulatory control period under the CPI–X methodology.</w:t>
      </w:r>
      <w:r>
        <w:t xml:space="preserve"> </w:t>
      </w:r>
    </w:p>
    <w:p w:rsidR="00DD25CD" w:rsidRDefault="00DD25CD" w:rsidP="00DD25CD">
      <w:r>
        <w:t>The expected MAR for the first year is generally set equal to the annual building block revenue requirement for the first year of the regulatory control period.</w:t>
      </w:r>
      <w:r w:rsidRPr="00C00D0B">
        <w:t xml:space="preserve"> </w:t>
      </w:r>
      <w:r>
        <w:t>It may be appropriate to set the expected MAR for the first year to align with the MAR from the last year of the previous regulatory control period to avoid any large revenue variation between periods (or P</w:t>
      </w:r>
      <w:r w:rsidRPr="006560A1">
        <w:rPr>
          <w:rStyle w:val="AERsubscript"/>
        </w:rPr>
        <w:t>0</w:t>
      </w:r>
      <w:r>
        <w:t>):</w:t>
      </w:r>
      <w:r>
        <w:rPr>
          <w:rStyle w:val="FootnoteReference"/>
        </w:rPr>
        <w:footnoteReference w:id="9"/>
      </w:r>
    </w:p>
    <w:p w:rsidR="00DD25CD" w:rsidRPr="00A6711D" w:rsidRDefault="00DD25CD" w:rsidP="00DD25CD">
      <w:pPr>
        <w:rPr>
          <w:rStyle w:val="AERsubscript"/>
        </w:rPr>
      </w:pPr>
      <w:r>
        <w:tab/>
        <w:t>MAR</w:t>
      </w:r>
      <w:r w:rsidRPr="00AE034B">
        <w:rPr>
          <w:rStyle w:val="AERsubscript"/>
        </w:rPr>
        <w:t>1</w:t>
      </w:r>
      <w:r>
        <w:tab/>
        <w:t>=</w:t>
      </w:r>
      <w:r>
        <w:tab/>
        <w:t>AR</w:t>
      </w:r>
      <w:r w:rsidRPr="00AE034B">
        <w:rPr>
          <w:rStyle w:val="AERsubscript"/>
        </w:rPr>
        <w:t>1</w:t>
      </w:r>
      <w:r w:rsidRPr="00A6711D">
        <w:t xml:space="preserve"> </w:t>
      </w:r>
      <w:r>
        <w:t>or MAR</w:t>
      </w:r>
      <w:r>
        <w:rPr>
          <w:rStyle w:val="AERsubscript"/>
        </w:rPr>
        <w:t>L</w:t>
      </w:r>
    </w:p>
    <w:p w:rsidR="00DD25CD" w:rsidRDefault="00DD25CD" w:rsidP="00DD25CD">
      <w:r>
        <w:t>where:</w:t>
      </w:r>
    </w:p>
    <w:p w:rsidR="00DD25CD" w:rsidRDefault="00DD25CD" w:rsidP="00DD25CD">
      <w:r>
        <w:tab/>
        <w:t>MAR</w:t>
      </w:r>
      <w:r w:rsidRPr="00AE034B">
        <w:rPr>
          <w:rStyle w:val="AERsubscript"/>
        </w:rPr>
        <w:t>1</w:t>
      </w:r>
      <w:r>
        <w:t xml:space="preserve"> </w:t>
      </w:r>
      <w:r>
        <w:tab/>
        <w:t>=</w:t>
      </w:r>
      <w:r>
        <w:tab/>
        <w:t xml:space="preserve">the maximum allowed revenue for year 1 of the next regulatory </w:t>
      </w:r>
      <w:r>
        <w:tab/>
      </w:r>
      <w:r>
        <w:tab/>
      </w:r>
      <w:r>
        <w:tab/>
      </w:r>
      <w:r>
        <w:tab/>
      </w:r>
      <w:r>
        <w:tab/>
      </w:r>
      <w:r>
        <w:tab/>
        <w:t>control period</w:t>
      </w:r>
    </w:p>
    <w:p w:rsidR="00DD25CD" w:rsidRDefault="00DD25CD" w:rsidP="00DD25CD">
      <w:r>
        <w:tab/>
        <w:t>AR</w:t>
      </w:r>
      <w:r w:rsidRPr="00AE034B">
        <w:rPr>
          <w:rStyle w:val="AERsubscript"/>
        </w:rPr>
        <w:t>1</w:t>
      </w:r>
      <w:r>
        <w:t xml:space="preserve"> </w:t>
      </w:r>
      <w:r>
        <w:tab/>
        <w:t>=</w:t>
      </w:r>
      <w:r>
        <w:tab/>
        <w:t xml:space="preserve">the annual building block revenue requirement for year 1 of the next </w:t>
      </w:r>
      <w:r>
        <w:tab/>
      </w:r>
      <w:r>
        <w:tab/>
      </w:r>
      <w:r>
        <w:tab/>
      </w:r>
      <w:r>
        <w:tab/>
      </w:r>
      <w:r>
        <w:tab/>
        <w:t>regulatory control period</w:t>
      </w:r>
    </w:p>
    <w:p w:rsidR="00DD25CD" w:rsidRDefault="00DD25CD" w:rsidP="00DD25CD">
      <w:r>
        <w:tab/>
        <w:t>MAR</w:t>
      </w:r>
      <w:r>
        <w:rPr>
          <w:rStyle w:val="AERsubscript"/>
        </w:rPr>
        <w:t>L</w:t>
      </w:r>
      <w:r>
        <w:t xml:space="preserve"> </w:t>
      </w:r>
      <w:r>
        <w:tab/>
        <w:t>~</w:t>
      </w:r>
      <w:r>
        <w:tab/>
        <w:t xml:space="preserve">the maximum allowed revenue for the last year of the previous </w:t>
      </w:r>
      <w:r>
        <w:tab/>
      </w:r>
      <w:r>
        <w:tab/>
      </w:r>
      <w:r>
        <w:tab/>
      </w:r>
      <w:r>
        <w:tab/>
      </w:r>
      <w:r>
        <w:tab/>
      </w:r>
      <w:r>
        <w:tab/>
        <w:t>regulatory control period.</w:t>
      </w:r>
    </w:p>
    <w:p w:rsidR="00DD25CD" w:rsidRPr="0076152C" w:rsidRDefault="00DD25CD" w:rsidP="00DD25CD">
      <w:r>
        <w:t xml:space="preserve">To enable the formula for the annual revenue adjustment process (discussed below in section </w:t>
      </w:r>
      <w:r w:rsidR="003918A1">
        <w:fldChar w:fldCharType="begin"/>
      </w:r>
      <w:r w:rsidR="003918A1">
        <w:instrText xml:space="preserve"> REF _Ref456170002 \r \h </w:instrText>
      </w:r>
      <w:r w:rsidR="003918A1">
        <w:fldChar w:fldCharType="separate"/>
      </w:r>
      <w:r w:rsidR="00D56C84">
        <w:t>1.3.3</w:t>
      </w:r>
      <w:r w:rsidR="003918A1">
        <w:fldChar w:fldCharType="end"/>
      </w:r>
      <w:r>
        <w:t xml:space="preserve">) to operate correctly, we will refer to the MAR determined in this decision using the building block costs as the allowed revenue (AR). This is because the expected MAR determined using the building block costs do not incorporate </w:t>
      </w:r>
      <w:r>
        <w:lastRenderedPageBreak/>
        <w:t>performance incentive scheme revenue adjustments and pass through amounts that may apply to each regulatory year.</w:t>
      </w:r>
    </w:p>
    <w:p w:rsidR="00DD25CD" w:rsidRPr="000E3B05" w:rsidRDefault="00DD25CD" w:rsidP="00DD25CD">
      <w:r w:rsidRPr="000E3B05">
        <w:t xml:space="preserve">In this determination we first calculate </w:t>
      </w:r>
      <w:r>
        <w:t>annual building block revenue requirements</w:t>
      </w:r>
      <w:r w:rsidRPr="000E3B05">
        <w:t xml:space="preserve"> for each year of the 201</w:t>
      </w:r>
      <w:r>
        <w:t>7</w:t>
      </w:r>
      <w:r w:rsidRPr="000E3B05">
        <w:t>–</w:t>
      </w:r>
      <w:r>
        <w:t>22</w:t>
      </w:r>
      <w:r w:rsidRPr="000E3B05">
        <w:t xml:space="preserve"> </w:t>
      </w:r>
      <w:r>
        <w:t xml:space="preserve">regulatory control </w:t>
      </w:r>
      <w:r w:rsidRPr="000E3B05">
        <w:t xml:space="preserve">period. To do this we consider the various costs facing the </w:t>
      </w:r>
      <w:r>
        <w:t>TNSP</w:t>
      </w:r>
      <w:r w:rsidRPr="000E3B05">
        <w:t xml:space="preserve"> and the trade-offs and interactions between these costs, service quality and across years. This reflects the AER's holistic assessment of the </w:t>
      </w:r>
      <w:r>
        <w:t>TNSP's</w:t>
      </w:r>
      <w:r w:rsidRPr="000E3B05">
        <w:t xml:space="preserve"> proposal.</w:t>
      </w:r>
    </w:p>
    <w:p w:rsidR="00361E04" w:rsidRDefault="00361E04" w:rsidP="00574EC2">
      <w:r w:rsidRPr="00361E04">
        <w:t>We understand the trade-offs that occur between building block costs and test the sensitivity of these costs to their various driver elements. These trade-offs are</w:t>
      </w:r>
      <w:r>
        <w:t xml:space="preserve"> </w:t>
      </w:r>
      <w:r w:rsidRPr="00361E04">
        <w:t xml:space="preserve">discussed in the interrelationships section of the various attachments to this </w:t>
      </w:r>
      <w:r>
        <w:t xml:space="preserve">draft </w:t>
      </w:r>
      <w:r w:rsidRPr="00361E04">
        <w:t>decision and are reflected in the calculations made in the PTRM developed by the AER.</w:t>
      </w:r>
      <w:r>
        <w:rPr>
          <w:rStyle w:val="FootnoteReference"/>
        </w:rPr>
        <w:footnoteReference w:id="10"/>
      </w:r>
      <w:r w:rsidRPr="00361E04">
        <w:t xml:space="preserve"> Such understanding allows the AER to exercise judgement in determining the final inputs into the PTRM and the </w:t>
      </w:r>
      <w:r w:rsidR="0057588D">
        <w:t>annual building block revenue requirements</w:t>
      </w:r>
      <w:r w:rsidRPr="00361E04">
        <w:t xml:space="preserve"> that result from this modelling.</w:t>
      </w:r>
    </w:p>
    <w:p w:rsidR="00B10FB1" w:rsidRDefault="00DD25CD" w:rsidP="00B10FB1">
      <w:bookmarkStart w:id="20" w:name="_Ref437864063"/>
      <w:r w:rsidRPr="00DD25CD">
        <w:t xml:space="preserve">Having determined the total annual building block revenue requirement for the </w:t>
      </w:r>
      <w:r>
        <w:br/>
      </w:r>
      <w:r w:rsidRPr="00DD25CD">
        <w:t>201</w:t>
      </w:r>
      <w:r>
        <w:t>7</w:t>
      </w:r>
      <w:r w:rsidRPr="00DD25CD">
        <w:t>–2</w:t>
      </w:r>
      <w:r>
        <w:t>2</w:t>
      </w:r>
      <w:r w:rsidRPr="00DD25CD">
        <w:t xml:space="preserve"> regulatory control period, the annual building block revenue requirements for each regulatory year are smoothed across that period to reduce revenue variations between years and to come up with the expected MAR for each year.</w:t>
      </w:r>
      <w:r w:rsidRPr="000E3B05">
        <w:t xml:space="preserve"> </w:t>
      </w:r>
      <w:r w:rsidR="00B10FB1">
        <w:t>This is done through the determination of the X factors.</w:t>
      </w:r>
      <w:r>
        <w:rPr>
          <w:rStyle w:val="FootnoteReference"/>
        </w:rPr>
        <w:footnoteReference w:id="11"/>
      </w:r>
      <w:r w:rsidR="00B10FB1">
        <w:t xml:space="preserve"> The X factors must equalise (in </w:t>
      </w:r>
      <w:r>
        <w:t>NPV</w:t>
      </w:r>
      <w:r w:rsidR="00B10FB1">
        <w:t xml:space="preserve"> terms) the total expected revenue cap to be earned by the TNSP with the total building block revenue requirement for the 2017–22 </w:t>
      </w:r>
      <w:r>
        <w:t xml:space="preserve">regulatory control </w:t>
      </w:r>
      <w:r w:rsidR="00B10FB1">
        <w:t>period.</w:t>
      </w:r>
      <w:r w:rsidR="00B10FB1">
        <w:rPr>
          <w:rStyle w:val="FootnoteReference"/>
        </w:rPr>
        <w:footnoteReference w:id="12"/>
      </w:r>
      <w:r w:rsidR="00B10FB1">
        <w:t xml:space="preserve"> The X factor must minimise, as far as reasonably possible, the variance between the expected MAR and annual building block revenue requirement for the last </w:t>
      </w:r>
      <w:r w:rsidR="00D905AD">
        <w:t>regulatory year of the period.</w:t>
      </w:r>
      <w:r w:rsidR="00D905AD">
        <w:rPr>
          <w:rStyle w:val="FootnoteReference"/>
        </w:rPr>
        <w:footnoteReference w:id="13"/>
      </w:r>
      <w:r>
        <w:t xml:space="preserve"> </w:t>
      </w:r>
      <w:r w:rsidRPr="000E3B05">
        <w:t xml:space="preserve">We therefore consider a divergence of up to 3 per cent between the expected </w:t>
      </w:r>
      <w:r>
        <w:t>MAR</w:t>
      </w:r>
      <w:r w:rsidRPr="000E3B05">
        <w:t xml:space="preserve"> and </w:t>
      </w:r>
      <w:r>
        <w:t>annual building block revenue requirement</w:t>
      </w:r>
      <w:r w:rsidRPr="000E3B05">
        <w:t xml:space="preserve"> for the last year of the regulatory control period is reasonable, if this can promote smoother price changes over the regulatory control period.</w:t>
      </w:r>
    </w:p>
    <w:p w:rsidR="00B10FB1" w:rsidRDefault="00D905AD" w:rsidP="00D905AD">
      <w:r>
        <w:t>The building block costs (and the elements that drive those costs) used to determine the unsmoothed annual building block revenue requirements are set out below.</w:t>
      </w:r>
    </w:p>
    <w:p w:rsidR="00DD25CD" w:rsidRDefault="00DD25CD" w:rsidP="00D905AD"/>
    <w:p w:rsidR="00DD25CD" w:rsidRDefault="00DD25CD" w:rsidP="00D905AD"/>
    <w:p w:rsidR="009E4C22" w:rsidRDefault="009E4C22" w:rsidP="009E4C22">
      <w:pPr>
        <w:pStyle w:val="Heading3"/>
      </w:pPr>
      <w:bookmarkStart w:id="21" w:name="_Ref456076306"/>
      <w:bookmarkStart w:id="22" w:name="_Toc456169873"/>
      <w:r>
        <w:lastRenderedPageBreak/>
        <w:t>The building block costs</w:t>
      </w:r>
      <w:bookmarkEnd w:id="20"/>
      <w:bookmarkEnd w:id="21"/>
      <w:bookmarkEnd w:id="22"/>
    </w:p>
    <w:p w:rsidR="007C438A" w:rsidRDefault="00D905AD" w:rsidP="00D905AD">
      <w:r>
        <w:t xml:space="preserve">The efficient costs to be recovered by a TNSP can be thought of as being made up of various building block costs. Our draft decision assesses each of the building block costs and the elements that drive these costs. The building block costs are approved reflecting trade-offs and interactions between the cost elements, service quality and across years. </w:t>
      </w:r>
    </w:p>
    <w:p w:rsidR="009E4C22" w:rsidRDefault="00D905AD" w:rsidP="00D905AD">
      <w:r>
        <w:fldChar w:fldCharType="begin"/>
      </w:r>
      <w:r>
        <w:instrText xml:space="preserve"> REF _Ref437865892 \h </w:instrText>
      </w:r>
      <w:r>
        <w:fldChar w:fldCharType="separate"/>
      </w:r>
      <w:r w:rsidR="00D56C84">
        <w:t xml:space="preserve">Table </w:t>
      </w:r>
      <w:r w:rsidR="00D56C84">
        <w:rPr>
          <w:noProof/>
        </w:rPr>
        <w:t>1</w:t>
      </w:r>
      <w:r w:rsidR="00D56C84">
        <w:t>.</w:t>
      </w:r>
      <w:r w:rsidR="00D56C84">
        <w:rPr>
          <w:noProof/>
        </w:rPr>
        <w:t>3</w:t>
      </w:r>
      <w:r>
        <w:fldChar w:fldCharType="end"/>
      </w:r>
      <w:r>
        <w:t xml:space="preserve"> shows the building block costs that form the annual building block revenue requirement for each year and where discussion on the elements that drive these costs can be found within this draft decision.</w:t>
      </w:r>
    </w:p>
    <w:p w:rsidR="00D905AD" w:rsidRDefault="00D905AD" w:rsidP="00D905AD">
      <w:pPr>
        <w:pStyle w:val="Caption"/>
      </w:pPr>
      <w:bookmarkStart w:id="23" w:name="_Ref437865892"/>
      <w:r>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3A7EEB">
        <w:t>.</w:t>
      </w:r>
      <w:r w:rsidR="002347F2">
        <w:fldChar w:fldCharType="begin"/>
      </w:r>
      <w:r w:rsidR="002347F2">
        <w:instrText xml:space="preserve"> SEQ Table \* ARABIC \s 1 </w:instrText>
      </w:r>
      <w:r w:rsidR="002347F2">
        <w:fldChar w:fldCharType="separate"/>
      </w:r>
      <w:r w:rsidR="00D56C84">
        <w:rPr>
          <w:noProof/>
        </w:rPr>
        <w:t>3</w:t>
      </w:r>
      <w:r w:rsidR="002347F2">
        <w:rPr>
          <w:noProof/>
        </w:rPr>
        <w:fldChar w:fldCharType="end"/>
      </w:r>
      <w:bookmarkEnd w:id="23"/>
      <w:r>
        <w:tab/>
        <w:t>Building block costs</w:t>
      </w:r>
    </w:p>
    <w:tbl>
      <w:tblPr>
        <w:tblStyle w:val="AERtable-numbers"/>
        <w:tblW w:w="0" w:type="auto"/>
        <w:tblLook w:val="04A0" w:firstRow="1" w:lastRow="0" w:firstColumn="1" w:lastColumn="0" w:noHBand="0" w:noVBand="1"/>
      </w:tblPr>
      <w:tblGrid>
        <w:gridCol w:w="4346"/>
        <w:gridCol w:w="4347"/>
      </w:tblGrid>
      <w:tr w:rsidR="00D905AD" w:rsidRPr="00D905AD" w:rsidTr="00167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05AD" w:rsidRPr="00D905AD" w:rsidRDefault="00D905AD" w:rsidP="00D905AD">
            <w:pPr>
              <w:keepNext/>
            </w:pPr>
            <w:r w:rsidRPr="00D905AD">
              <w:t>Building block costs</w:t>
            </w:r>
          </w:p>
        </w:tc>
        <w:tc>
          <w:tcPr>
            <w:tcW w:w="4347" w:type="dxa"/>
            <w:vAlign w:val="top"/>
          </w:tcPr>
          <w:p w:rsidR="00D905AD" w:rsidRPr="00D905AD" w:rsidRDefault="00D905AD" w:rsidP="00D905AD">
            <w:pPr>
              <w:keepNext/>
              <w:cnfStyle w:val="100000000000" w:firstRow="1" w:lastRow="0" w:firstColumn="0" w:lastColumn="0" w:oddVBand="0" w:evenVBand="0" w:oddHBand="0" w:evenHBand="0" w:firstRowFirstColumn="0" w:firstRowLastColumn="0" w:lastRowFirstColumn="0" w:lastRowLastColumn="0"/>
            </w:pPr>
            <w:r w:rsidRPr="00D905AD">
              <w:t>Attachments where elements are discussed</w:t>
            </w:r>
          </w:p>
        </w:tc>
      </w:tr>
      <w:tr w:rsidR="00D905AD" w:rsidRPr="00D905AD" w:rsidTr="00167E3A">
        <w:tc>
          <w:tcPr>
            <w:cnfStyle w:val="001000000000" w:firstRow="0" w:lastRow="0" w:firstColumn="1" w:lastColumn="0" w:oddVBand="0" w:evenVBand="0" w:oddHBand="0" w:evenHBand="0" w:firstRowFirstColumn="0" w:firstRowLastColumn="0" w:lastRowFirstColumn="0" w:lastRowLastColumn="0"/>
            <w:tcW w:w="4346" w:type="dxa"/>
            <w:vAlign w:val="top"/>
          </w:tcPr>
          <w:p w:rsidR="00D905AD" w:rsidRPr="00D905AD" w:rsidRDefault="00D905AD" w:rsidP="00D905AD">
            <w:pPr>
              <w:keepNext/>
            </w:pPr>
            <w:r w:rsidRPr="00D905AD">
              <w:t>Return on capital</w:t>
            </w:r>
          </w:p>
        </w:tc>
        <w:tc>
          <w:tcPr>
            <w:tcW w:w="4347" w:type="dxa"/>
            <w:vAlign w:val="top"/>
          </w:tcPr>
          <w:p w:rsidR="00D905AD" w:rsidRPr="00D905AD" w:rsidRDefault="00D905AD" w:rsidP="00D905AD">
            <w:pPr>
              <w:keepNext/>
              <w:cnfStyle w:val="000000000000" w:firstRow="0" w:lastRow="0" w:firstColumn="0" w:lastColumn="0" w:oddVBand="0" w:evenVBand="0" w:oddHBand="0" w:evenHBand="0" w:firstRowFirstColumn="0" w:firstRowLastColumn="0" w:lastRowFirstColumn="0" w:lastRowLastColumn="0"/>
            </w:pPr>
            <w:r w:rsidRPr="00D905AD">
              <w:t>Regulatory asset base (attachment 2)</w:t>
            </w:r>
          </w:p>
          <w:p w:rsidR="00D905AD" w:rsidRPr="00D905AD" w:rsidRDefault="00D905AD" w:rsidP="00D905AD">
            <w:pPr>
              <w:keepNext/>
              <w:cnfStyle w:val="000000000000" w:firstRow="0" w:lastRow="0" w:firstColumn="0" w:lastColumn="0" w:oddVBand="0" w:evenVBand="0" w:oddHBand="0" w:evenHBand="0" w:firstRowFirstColumn="0" w:firstRowLastColumn="0" w:lastRowFirstColumn="0" w:lastRowLastColumn="0"/>
            </w:pPr>
            <w:r w:rsidRPr="00D905AD">
              <w:t>Capex (attachment 6)</w:t>
            </w:r>
          </w:p>
          <w:p w:rsidR="00D905AD" w:rsidRPr="00D905AD" w:rsidRDefault="00D905AD" w:rsidP="00D905AD">
            <w:pPr>
              <w:keepNext/>
              <w:cnfStyle w:val="000000000000" w:firstRow="0" w:lastRow="0" w:firstColumn="0" w:lastColumn="0" w:oddVBand="0" w:evenVBand="0" w:oddHBand="0" w:evenHBand="0" w:firstRowFirstColumn="0" w:firstRowLastColumn="0" w:lastRowFirstColumn="0" w:lastRowLastColumn="0"/>
            </w:pPr>
            <w:r w:rsidRPr="00D905AD">
              <w:t>Rate of return (attachment 3)</w:t>
            </w:r>
          </w:p>
        </w:tc>
      </w:tr>
      <w:tr w:rsidR="00D905AD" w:rsidRPr="00D905AD" w:rsidTr="00167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905AD" w:rsidRPr="00D905AD" w:rsidRDefault="00D905AD" w:rsidP="00D905AD">
            <w:pPr>
              <w:keepNext/>
            </w:pPr>
            <w:r w:rsidRPr="00D905AD">
              <w:t>Regulatory depreciation (return of capital)</w:t>
            </w:r>
          </w:p>
        </w:tc>
        <w:tc>
          <w:tcPr>
            <w:tcW w:w="4347" w:type="dxa"/>
            <w:vAlign w:val="top"/>
          </w:tcPr>
          <w:p w:rsidR="00D905AD" w:rsidRPr="00D905AD" w:rsidRDefault="00D905AD" w:rsidP="00D905AD">
            <w:pPr>
              <w:keepNext/>
              <w:cnfStyle w:val="000000010000" w:firstRow="0" w:lastRow="0" w:firstColumn="0" w:lastColumn="0" w:oddVBand="0" w:evenVBand="0" w:oddHBand="0" w:evenHBand="1" w:firstRowFirstColumn="0" w:firstRowLastColumn="0" w:lastRowFirstColumn="0" w:lastRowLastColumn="0"/>
            </w:pPr>
            <w:r w:rsidRPr="00D905AD">
              <w:t>Regulatory asset base (attachment 2)</w:t>
            </w:r>
          </w:p>
          <w:p w:rsidR="00D905AD" w:rsidRPr="00D905AD" w:rsidRDefault="00D905AD" w:rsidP="00D905AD">
            <w:pPr>
              <w:keepNext/>
              <w:cnfStyle w:val="000000010000" w:firstRow="0" w:lastRow="0" w:firstColumn="0" w:lastColumn="0" w:oddVBand="0" w:evenVBand="0" w:oddHBand="0" w:evenHBand="1" w:firstRowFirstColumn="0" w:firstRowLastColumn="0" w:lastRowFirstColumn="0" w:lastRowLastColumn="0"/>
            </w:pPr>
            <w:r w:rsidRPr="00D905AD">
              <w:t>Capex (attachment 6)</w:t>
            </w:r>
          </w:p>
          <w:p w:rsidR="00D905AD" w:rsidRPr="00D905AD" w:rsidRDefault="00D905AD" w:rsidP="00D905AD">
            <w:pPr>
              <w:keepNext/>
              <w:cnfStyle w:val="000000010000" w:firstRow="0" w:lastRow="0" w:firstColumn="0" w:lastColumn="0" w:oddVBand="0" w:evenVBand="0" w:oddHBand="0" w:evenHBand="1" w:firstRowFirstColumn="0" w:firstRowLastColumn="0" w:lastRowFirstColumn="0" w:lastRowLastColumn="0"/>
            </w:pPr>
            <w:r w:rsidRPr="00D905AD">
              <w:t>Depreciation (attachment 5)</w:t>
            </w:r>
          </w:p>
        </w:tc>
      </w:tr>
      <w:tr w:rsidR="00D905AD" w:rsidRPr="00D905AD" w:rsidTr="00167E3A">
        <w:tc>
          <w:tcPr>
            <w:cnfStyle w:val="001000000000" w:firstRow="0" w:lastRow="0" w:firstColumn="1" w:lastColumn="0" w:oddVBand="0" w:evenVBand="0" w:oddHBand="0" w:evenHBand="0" w:firstRowFirstColumn="0" w:firstRowLastColumn="0" w:lastRowFirstColumn="0" w:lastRowLastColumn="0"/>
            <w:tcW w:w="4346" w:type="dxa"/>
            <w:vAlign w:val="top"/>
          </w:tcPr>
          <w:p w:rsidR="00D905AD" w:rsidRPr="00D905AD" w:rsidRDefault="00D905AD" w:rsidP="00D905AD">
            <w:pPr>
              <w:keepNext/>
            </w:pPr>
            <w:r w:rsidRPr="00D905AD">
              <w:t>Operating expenditure (opex)</w:t>
            </w:r>
          </w:p>
        </w:tc>
        <w:tc>
          <w:tcPr>
            <w:tcW w:w="4347" w:type="dxa"/>
            <w:vAlign w:val="top"/>
          </w:tcPr>
          <w:p w:rsidR="00D905AD" w:rsidRPr="00D905AD" w:rsidRDefault="00D905AD" w:rsidP="00D905AD">
            <w:pPr>
              <w:keepNext/>
              <w:cnfStyle w:val="000000000000" w:firstRow="0" w:lastRow="0" w:firstColumn="0" w:lastColumn="0" w:oddVBand="0" w:evenVBand="0" w:oddHBand="0" w:evenHBand="0" w:firstRowFirstColumn="0" w:firstRowLastColumn="0" w:lastRowFirstColumn="0" w:lastRowLastColumn="0"/>
            </w:pPr>
            <w:r w:rsidRPr="00D905AD">
              <w:t>Opex (attachment 7)</w:t>
            </w:r>
          </w:p>
        </w:tc>
      </w:tr>
      <w:tr w:rsidR="00D905AD" w:rsidRPr="00D905AD" w:rsidTr="00167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D905AD" w:rsidRPr="00D905AD" w:rsidRDefault="00D905AD" w:rsidP="00D905AD">
            <w:pPr>
              <w:keepNext/>
            </w:pPr>
            <w:r w:rsidRPr="00D905AD">
              <w:t>Efficiency benefits/penalties</w:t>
            </w:r>
          </w:p>
        </w:tc>
        <w:tc>
          <w:tcPr>
            <w:tcW w:w="4347" w:type="dxa"/>
            <w:vAlign w:val="top"/>
          </w:tcPr>
          <w:p w:rsidR="00D905AD" w:rsidRPr="00D905AD" w:rsidRDefault="00D905AD" w:rsidP="00D905AD">
            <w:pPr>
              <w:keepNext/>
              <w:cnfStyle w:val="000000010000" w:firstRow="0" w:lastRow="0" w:firstColumn="0" w:lastColumn="0" w:oddVBand="0" w:evenVBand="0" w:oddHBand="0" w:evenHBand="1" w:firstRowFirstColumn="0" w:firstRowLastColumn="0" w:lastRowFirstColumn="0" w:lastRowLastColumn="0"/>
            </w:pPr>
            <w:r w:rsidRPr="00D905AD">
              <w:t>Efficiency benefit sharing scheme (attachment 9)</w:t>
            </w:r>
          </w:p>
        </w:tc>
      </w:tr>
      <w:tr w:rsidR="00D905AD" w:rsidRPr="00D905AD" w:rsidTr="00167E3A">
        <w:tc>
          <w:tcPr>
            <w:cnfStyle w:val="001000000000" w:firstRow="0" w:lastRow="0" w:firstColumn="1" w:lastColumn="0" w:oddVBand="0" w:evenVBand="0" w:oddHBand="0" w:evenHBand="0" w:firstRowFirstColumn="0" w:firstRowLastColumn="0" w:lastRowFirstColumn="0" w:lastRowLastColumn="0"/>
            <w:tcW w:w="4346" w:type="dxa"/>
            <w:vAlign w:val="top"/>
          </w:tcPr>
          <w:p w:rsidR="00D905AD" w:rsidRPr="00D905AD" w:rsidRDefault="00D905AD" w:rsidP="00D905AD">
            <w:r w:rsidRPr="00D905AD">
              <w:t>Estimated cost of corporate tax</w:t>
            </w:r>
          </w:p>
        </w:tc>
        <w:tc>
          <w:tcPr>
            <w:tcW w:w="4347" w:type="dxa"/>
            <w:vAlign w:val="top"/>
          </w:tcPr>
          <w:p w:rsidR="00D905AD" w:rsidRPr="00D905AD" w:rsidRDefault="00D905AD" w:rsidP="00D905AD">
            <w:pPr>
              <w:cnfStyle w:val="000000000000" w:firstRow="0" w:lastRow="0" w:firstColumn="0" w:lastColumn="0" w:oddVBand="0" w:evenVBand="0" w:oddHBand="0" w:evenHBand="0" w:firstRowFirstColumn="0" w:firstRowLastColumn="0" w:lastRowFirstColumn="0" w:lastRowLastColumn="0"/>
            </w:pPr>
            <w:r w:rsidRPr="00D905AD">
              <w:t>Corporate income tax (attachment 8)</w:t>
            </w:r>
          </w:p>
          <w:p w:rsidR="00D905AD" w:rsidRPr="00D905AD" w:rsidRDefault="00D905AD" w:rsidP="00D905AD">
            <w:pPr>
              <w:cnfStyle w:val="000000000000" w:firstRow="0" w:lastRow="0" w:firstColumn="0" w:lastColumn="0" w:oddVBand="0" w:evenVBand="0" w:oddHBand="0" w:evenHBand="0" w:firstRowFirstColumn="0" w:firstRowLastColumn="0" w:lastRowFirstColumn="0" w:lastRowLastColumn="0"/>
            </w:pPr>
            <w:r w:rsidRPr="00D905AD">
              <w:t>Value of imputation credits (attachment 4)</w:t>
            </w:r>
          </w:p>
        </w:tc>
      </w:tr>
      <w:tr w:rsidR="003C36D2" w:rsidRPr="00D905AD" w:rsidTr="00167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3C36D2" w:rsidRPr="00D905AD" w:rsidRDefault="003C36D2" w:rsidP="00D905AD">
            <w:r>
              <w:t>Adjustment for shared assets</w:t>
            </w:r>
          </w:p>
        </w:tc>
        <w:tc>
          <w:tcPr>
            <w:tcW w:w="4347" w:type="dxa"/>
            <w:vAlign w:val="top"/>
          </w:tcPr>
          <w:p w:rsidR="003C36D2" w:rsidRPr="00D905AD" w:rsidRDefault="003C36D2" w:rsidP="00D905AD">
            <w:pPr>
              <w:cnfStyle w:val="000000010000" w:firstRow="0" w:lastRow="0" w:firstColumn="0" w:lastColumn="0" w:oddVBand="0" w:evenVBand="0" w:oddHBand="0" w:evenHBand="1" w:firstRowFirstColumn="0" w:firstRowLastColumn="0" w:lastRowFirstColumn="0" w:lastRowLastColumn="0"/>
            </w:pPr>
            <w:r>
              <w:t>Maximum allowed revenue (attachment 1)</w:t>
            </w:r>
          </w:p>
        </w:tc>
      </w:tr>
    </w:tbl>
    <w:p w:rsidR="007C438A" w:rsidRDefault="007C438A" w:rsidP="007C438A">
      <w:pPr>
        <w:pStyle w:val="AERtablesource"/>
      </w:pPr>
      <w:bookmarkStart w:id="24" w:name="_Ref441233137"/>
      <w:bookmarkStart w:id="25" w:name="_Toc403144140"/>
      <w:r>
        <w:t xml:space="preserve">Source: </w:t>
      </w:r>
      <w:r>
        <w:tab/>
        <w:t>AER analysis.</w:t>
      </w:r>
    </w:p>
    <w:p w:rsidR="00D905AD" w:rsidRDefault="00D905AD" w:rsidP="00D905AD">
      <w:pPr>
        <w:pStyle w:val="Heading3"/>
      </w:pPr>
      <w:bookmarkStart w:id="26" w:name="_Toc456169874"/>
      <w:bookmarkStart w:id="27" w:name="_Ref456170002"/>
      <w:r>
        <w:t>Annual revenue adjustment process</w:t>
      </w:r>
      <w:bookmarkEnd w:id="24"/>
      <w:bookmarkEnd w:id="26"/>
      <w:bookmarkEnd w:id="27"/>
    </w:p>
    <w:p w:rsidR="00D905AD" w:rsidRDefault="00CB51D7" w:rsidP="00CB51D7">
      <w:r>
        <w:t>The PTRM incorporates a</w:t>
      </w:r>
      <w:r w:rsidR="005D291E">
        <w:t>n</w:t>
      </w:r>
      <w:r>
        <w:t xml:space="preserve"> </w:t>
      </w:r>
      <w:r w:rsidR="00513714">
        <w:t>expected</w:t>
      </w:r>
      <w:r>
        <w:t xml:space="preserve"> inflation rate to calculate the expected MAR (excluding performance incentive scheme revenue adjustments and pass through amount that may apply to each regulatory year) in nominal dollar terms, whereas the actual MAR for each year is adjusted for actual inflation. As discussed in the return on debt appendix</w:t>
      </w:r>
      <w:r w:rsidR="00595223">
        <w:t xml:space="preserve"> of attachment 3</w:t>
      </w:r>
      <w:r>
        <w:t>, we will update AusNet Services’ return on debt annually. This means the actual MAR for each year will also be adjusted for revised X factors after the annual return on debt update. This annual revenue adjustment process is set out below.</w:t>
      </w:r>
    </w:p>
    <w:p w:rsidR="00CB51D7" w:rsidRDefault="00CB51D7" w:rsidP="00CB51D7">
      <w:r>
        <w:lastRenderedPageBreak/>
        <w:t xml:space="preserve">The MAR for the subsequent year of the regulatory control period requires an annual adjustment based on the previous year’s </w:t>
      </w:r>
      <w:r w:rsidR="005D291E">
        <w:t>allowed revenue</w:t>
      </w:r>
      <w:r>
        <w:t>.</w:t>
      </w:r>
      <w:r>
        <w:rPr>
          <w:rStyle w:val="FootnoteReference"/>
        </w:rPr>
        <w:footnoteReference w:id="14"/>
      </w:r>
      <w:r>
        <w:t xml:space="preserve"> That is, the subsequent year’s </w:t>
      </w:r>
      <w:r w:rsidR="005D291E">
        <w:t>allowed revenue</w:t>
      </w:r>
      <w:r>
        <w:t xml:space="preserve"> is determined by adjusting the previous year’s </w:t>
      </w:r>
      <w:r w:rsidR="005D291E">
        <w:t>allowed revenue</w:t>
      </w:r>
      <w:r>
        <w:t xml:space="preserve"> for actual inflation and the X factor determined after the annual return on debt update:</w:t>
      </w:r>
    </w:p>
    <w:p w:rsidR="00167E3A" w:rsidRDefault="00167E3A" w:rsidP="00CB51D7"/>
    <w:tbl>
      <w:tblPr>
        <w:tblStyle w:val="ACCCTable3"/>
        <w:tblW w:w="0" w:type="auto"/>
        <w:tblInd w:w="817" w:type="dxa"/>
        <w:tblLook w:val="0480" w:firstRow="0" w:lastRow="0" w:firstColumn="1" w:lastColumn="0" w:noHBand="0" w:noVBand="1"/>
      </w:tblPr>
      <w:tblGrid>
        <w:gridCol w:w="992"/>
        <w:gridCol w:w="851"/>
        <w:gridCol w:w="5812"/>
      </w:tblGrid>
      <w:tr w:rsidR="00AA50BF" w:rsidRPr="00AA50BF" w:rsidTr="00167E3A">
        <w:tc>
          <w:tcPr>
            <w:cnfStyle w:val="001000000000" w:firstRow="0" w:lastRow="0" w:firstColumn="1" w:lastColumn="0" w:oddVBand="0" w:evenVBand="0" w:oddHBand="0" w:evenHBand="0" w:firstRowFirstColumn="0" w:firstRowLastColumn="0" w:lastRowFirstColumn="0" w:lastRowLastColumn="0"/>
            <w:tcW w:w="992" w:type="dxa"/>
          </w:tcPr>
          <w:p w:rsidR="00AA50BF" w:rsidRPr="00AA50BF" w:rsidRDefault="00AA50BF" w:rsidP="00167E3A">
            <w:pPr>
              <w:rPr>
                <w:rStyle w:val="AERbody"/>
                <w:b w:val="0"/>
              </w:rPr>
            </w:pPr>
            <w:r w:rsidRPr="00AA50BF">
              <w:rPr>
                <w:rStyle w:val="AERbody"/>
                <w:b w:val="0"/>
              </w:rPr>
              <w:t>AR</w:t>
            </w:r>
            <w:r w:rsidRPr="007C438A">
              <w:rPr>
                <w:rStyle w:val="AERsuperscript"/>
                <w:b w:val="0"/>
                <w:i/>
                <w:vertAlign w:val="baseline"/>
              </w:rPr>
              <w:t>t</w:t>
            </w:r>
          </w:p>
        </w:tc>
        <w:tc>
          <w:tcPr>
            <w:tcW w:w="851" w:type="dxa"/>
          </w:tcPr>
          <w:p w:rsidR="00AA50BF" w:rsidRPr="00AA50BF" w:rsidRDefault="00AA50BF" w:rsidP="00167E3A">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5812" w:type="dxa"/>
          </w:tcPr>
          <w:p w:rsidR="00AA50BF" w:rsidRPr="00CE4F90" w:rsidRDefault="002347F2" w:rsidP="00CE4F90">
            <w:pPr>
              <w:cnfStyle w:val="000000000000" w:firstRow="0" w:lastRow="0" w:firstColumn="0" w:lastColumn="0" w:oddVBand="0" w:evenVBand="0" w:oddHBand="0" w:evenHBand="0" w:firstRowFirstColumn="0" w:firstRowLastColumn="0" w:lastRowFirstColumn="0" w:lastRowLastColumn="0"/>
              <w:rPr>
                <w:rStyle w:val="AERbody"/>
                <w:sz w:val="24"/>
                <w:szCs w:val="24"/>
              </w:rPr>
            </w:pPr>
            <m:oMathPara>
              <m:oMathParaPr>
                <m:jc m:val="left"/>
              </m:oMathParaPr>
              <m:oMath>
                <m:sSub>
                  <m:sSubPr>
                    <m:ctrlPr>
                      <w:rPr>
                        <w:rFonts w:ascii="Cambria Math" w:hAnsi="Cambria Math"/>
                        <w:i/>
                        <w:sz w:val="24"/>
                        <w:szCs w:val="24"/>
                      </w:rPr>
                    </m:ctrlPr>
                  </m:sSubPr>
                  <m:e>
                    <m:r>
                      <m:rPr>
                        <m:sty m:val="p"/>
                      </m:rPr>
                      <w:rPr>
                        <w:rFonts w:ascii="Cambria Math" w:hAnsi="Cambria Math"/>
                        <w:sz w:val="24"/>
                        <w:szCs w:val="24"/>
                      </w:rPr>
                      <m:t>AR</m:t>
                    </m:r>
                  </m:e>
                  <m:sub>
                    <m:r>
                      <w:rPr>
                        <w:rFonts w:ascii="Cambria Math" w:hAnsi="Cambria Math"/>
                        <w:sz w:val="24"/>
                        <w:szCs w:val="24"/>
                      </w:rPr>
                      <m:t>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r>
                      <m:rPr>
                        <m:sty m:val="p"/>
                      </m:rPr>
                      <w:rPr>
                        <w:rFonts w:ascii="Cambria Math" w:hAnsi="Cambria Math"/>
                        <w:sz w:val="24"/>
                        <w:szCs w:val="24"/>
                      </w:rPr>
                      <m:t>CPI</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t</m:t>
                        </m:r>
                      </m:sub>
                    </m:sSub>
                  </m:e>
                </m:d>
              </m:oMath>
            </m:oMathPara>
          </w:p>
        </w:tc>
      </w:tr>
    </w:tbl>
    <w:p w:rsidR="00CB51D7" w:rsidRDefault="00CB51D7" w:rsidP="00CB51D7">
      <w:pPr>
        <w:rPr>
          <w:rFonts w:eastAsiaTheme="minorEastAsia"/>
        </w:rPr>
      </w:pPr>
      <w:r>
        <w:rPr>
          <w:rFonts w:eastAsiaTheme="minorEastAsia"/>
        </w:rPr>
        <w:t>where:</w:t>
      </w:r>
    </w:p>
    <w:tbl>
      <w:tblPr>
        <w:tblStyle w:val="ACCCTable3"/>
        <w:tblW w:w="7938" w:type="dxa"/>
        <w:tblInd w:w="817" w:type="dxa"/>
        <w:tblLook w:val="0480" w:firstRow="0" w:lastRow="0" w:firstColumn="1" w:lastColumn="0" w:noHBand="0" w:noVBand="1"/>
      </w:tblPr>
      <w:tblGrid>
        <w:gridCol w:w="1011"/>
        <w:gridCol w:w="868"/>
        <w:gridCol w:w="6059"/>
      </w:tblGrid>
      <w:tr w:rsidR="00CB51D7" w:rsidRPr="00AA50BF" w:rsidTr="00AA50BF">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CB51D7" w:rsidRPr="00AA50BF" w:rsidRDefault="00CB51D7" w:rsidP="00AA50BF">
            <w:pPr>
              <w:rPr>
                <w:rStyle w:val="AERbody"/>
                <w:b w:val="0"/>
              </w:rPr>
            </w:pPr>
            <w:r w:rsidRPr="00AA50BF">
              <w:rPr>
                <w:rStyle w:val="AERbody"/>
                <w:b w:val="0"/>
              </w:rPr>
              <w:t>AR</w:t>
            </w:r>
          </w:p>
        </w:tc>
        <w:tc>
          <w:tcPr>
            <w:tcW w:w="868" w:type="dxa"/>
          </w:tcPr>
          <w:p w:rsidR="00CB51D7"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CB51D7" w:rsidRDefault="007C438A" w:rsidP="00AA50BF">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t</w:t>
            </w:r>
            <w:r w:rsidR="00AA50BF">
              <w:rPr>
                <w:rStyle w:val="AERbody"/>
              </w:rPr>
              <w:t>he allowed revenue</w:t>
            </w:r>
          </w:p>
          <w:p w:rsidR="00AA50BF"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p>
        </w:tc>
      </w:tr>
      <w:tr w:rsidR="00CB51D7" w:rsidRPr="00AA50BF" w:rsidTr="00AA50BF">
        <w:trPr>
          <w:trHeight w:val="74"/>
        </w:trPr>
        <w:tc>
          <w:tcPr>
            <w:cnfStyle w:val="001000000000" w:firstRow="0" w:lastRow="0" w:firstColumn="1" w:lastColumn="0" w:oddVBand="0" w:evenVBand="0" w:oddHBand="0" w:evenHBand="0" w:firstRowFirstColumn="0" w:firstRowLastColumn="0" w:lastRowFirstColumn="0" w:lastRowLastColumn="0"/>
            <w:tcW w:w="1011" w:type="dxa"/>
          </w:tcPr>
          <w:p w:rsidR="00CB51D7" w:rsidRPr="00AA50BF" w:rsidRDefault="00AA50BF" w:rsidP="00AA50BF">
            <w:pPr>
              <w:rPr>
                <w:rStyle w:val="AERbody"/>
                <w:b w:val="0"/>
                <w:i/>
              </w:rPr>
            </w:pPr>
            <w:r w:rsidRPr="00AA50BF">
              <w:rPr>
                <w:rStyle w:val="AERbody"/>
                <w:b w:val="0"/>
                <w:i/>
              </w:rPr>
              <w:t>t</w:t>
            </w:r>
          </w:p>
        </w:tc>
        <w:tc>
          <w:tcPr>
            <w:tcW w:w="868" w:type="dxa"/>
          </w:tcPr>
          <w:p w:rsidR="00CB51D7"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CB51D7"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 xml:space="preserve">time period/financial year (for t = </w:t>
            </w:r>
            <w:r w:rsidR="007C438A">
              <w:rPr>
                <w:rStyle w:val="AERbody"/>
              </w:rPr>
              <w:t>2</w:t>
            </w:r>
            <w:r w:rsidRPr="00AA50BF">
              <w:rPr>
                <w:rStyle w:val="AERbody"/>
              </w:rPr>
              <w:t xml:space="preserve"> (201</w:t>
            </w:r>
            <w:r w:rsidR="007C438A">
              <w:rPr>
                <w:rStyle w:val="AERbody"/>
              </w:rPr>
              <w:t>8</w:t>
            </w:r>
            <w:r w:rsidRPr="00AA50BF">
              <w:rPr>
                <w:rStyle w:val="AERbody"/>
              </w:rPr>
              <w:t>–1</w:t>
            </w:r>
            <w:r w:rsidR="007C438A">
              <w:rPr>
                <w:rStyle w:val="AERbody"/>
              </w:rPr>
              <w:t>9</w:t>
            </w:r>
            <w:r w:rsidRPr="00AA50BF">
              <w:rPr>
                <w:rStyle w:val="AERbody"/>
              </w:rPr>
              <w:t xml:space="preserve">), </w:t>
            </w:r>
            <w:r w:rsidR="007C438A">
              <w:rPr>
                <w:rStyle w:val="AERbody"/>
              </w:rPr>
              <w:t xml:space="preserve">3 (2019–20), 4 (2020–21), </w:t>
            </w:r>
            <w:r>
              <w:rPr>
                <w:rStyle w:val="AERbody"/>
              </w:rPr>
              <w:t>5</w:t>
            </w:r>
            <w:r w:rsidRPr="00AA50BF">
              <w:rPr>
                <w:rStyle w:val="AERbody"/>
              </w:rPr>
              <w:t xml:space="preserve"> (20</w:t>
            </w:r>
            <w:r>
              <w:rPr>
                <w:rStyle w:val="AERbody"/>
              </w:rPr>
              <w:t>21</w:t>
            </w:r>
            <w:r w:rsidRPr="00AA50BF">
              <w:rPr>
                <w:rStyle w:val="AERbody"/>
              </w:rPr>
              <w:t>–</w:t>
            </w:r>
            <w:r>
              <w:rPr>
                <w:rStyle w:val="AERbody"/>
              </w:rPr>
              <w:t>22</w:t>
            </w:r>
            <w:r w:rsidRPr="00AA50BF">
              <w:rPr>
                <w:rStyle w:val="AERbody"/>
              </w:rPr>
              <w:t>))</w:t>
            </w:r>
          </w:p>
          <w:p w:rsidR="00AA50BF"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p>
        </w:tc>
      </w:tr>
      <w:tr w:rsidR="00CB51D7" w:rsidRPr="00AA50BF" w:rsidTr="00AA50BF">
        <w:trPr>
          <w:trHeight w:val="299"/>
        </w:trPr>
        <w:tc>
          <w:tcPr>
            <w:cnfStyle w:val="001000000000" w:firstRow="0" w:lastRow="0" w:firstColumn="1" w:lastColumn="0" w:oddVBand="0" w:evenVBand="0" w:oddHBand="0" w:evenHBand="0" w:firstRowFirstColumn="0" w:firstRowLastColumn="0" w:lastRowFirstColumn="0" w:lastRowLastColumn="0"/>
            <w:tcW w:w="1011" w:type="dxa"/>
          </w:tcPr>
          <w:p w:rsidR="00CB51D7" w:rsidRPr="00AA50BF" w:rsidRDefault="00AA50BF" w:rsidP="00AA50BF">
            <w:pPr>
              <w:rPr>
                <w:rStyle w:val="AERbody"/>
                <w:b w:val="0"/>
              </w:rPr>
            </w:pPr>
            <w:r>
              <w:rPr>
                <w:rStyle w:val="AERbody"/>
                <w:rFonts w:cs="Arial"/>
                <w:b w:val="0"/>
              </w:rPr>
              <w:t>∆</w:t>
            </w:r>
            <w:r>
              <w:rPr>
                <w:rStyle w:val="AERbody"/>
                <w:b w:val="0"/>
              </w:rPr>
              <w:t>CPI</w:t>
            </w:r>
          </w:p>
        </w:tc>
        <w:tc>
          <w:tcPr>
            <w:tcW w:w="868" w:type="dxa"/>
          </w:tcPr>
          <w:p w:rsidR="00CB51D7"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CB51D7"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the annual percentage change in the ABS Consumer price index all</w:t>
            </w:r>
            <w:r>
              <w:rPr>
                <w:rStyle w:val="AERbody"/>
              </w:rPr>
              <w:t xml:space="preserve"> </w:t>
            </w:r>
            <w:r w:rsidRPr="00AA50BF">
              <w:rPr>
                <w:rStyle w:val="AERbody"/>
              </w:rPr>
              <w:t xml:space="preserve">groups, weighted average of eight capital cities from </w:t>
            </w:r>
            <w:r>
              <w:rPr>
                <w:rStyle w:val="AERbody"/>
              </w:rPr>
              <w:t>September</w:t>
            </w:r>
            <w:r w:rsidRPr="00AA50BF">
              <w:rPr>
                <w:rStyle w:val="AERbody"/>
              </w:rPr>
              <w:t xml:space="preserve"> in</w:t>
            </w:r>
            <w:r>
              <w:rPr>
                <w:rStyle w:val="AERbody"/>
              </w:rPr>
              <w:t xml:space="preserve"> </w:t>
            </w:r>
            <w:r w:rsidRPr="00AA50BF">
              <w:rPr>
                <w:rStyle w:val="AERbody"/>
              </w:rPr>
              <w:t xml:space="preserve">year </w:t>
            </w:r>
            <w:r w:rsidRPr="007C438A">
              <w:rPr>
                <w:rStyle w:val="AERtextitalic"/>
              </w:rPr>
              <w:t>t</w:t>
            </w:r>
            <w:r w:rsidRPr="00AA50BF">
              <w:rPr>
                <w:rStyle w:val="AERbody"/>
              </w:rPr>
              <w:t xml:space="preserve"> – 2 to </w:t>
            </w:r>
            <w:r>
              <w:rPr>
                <w:rStyle w:val="AERbody"/>
              </w:rPr>
              <w:t>September</w:t>
            </w:r>
            <w:r w:rsidRPr="00AA50BF">
              <w:rPr>
                <w:rStyle w:val="AERbody"/>
              </w:rPr>
              <w:t xml:space="preserve"> in year </w:t>
            </w:r>
            <w:r w:rsidRPr="007C438A">
              <w:rPr>
                <w:rStyle w:val="AERtextitalic"/>
              </w:rPr>
              <w:t>t</w:t>
            </w:r>
            <w:r w:rsidRPr="00AA50BF">
              <w:rPr>
                <w:rStyle w:val="AERbody"/>
              </w:rPr>
              <w:t xml:space="preserve"> – 1</w:t>
            </w:r>
          </w:p>
          <w:p w:rsidR="00AA50BF"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p>
        </w:tc>
      </w:tr>
      <w:tr w:rsidR="00CB51D7" w:rsidRPr="00AA50BF" w:rsidTr="00AA50BF">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CB51D7" w:rsidRPr="00AA50BF" w:rsidRDefault="00AA50BF" w:rsidP="00AA50BF">
            <w:pPr>
              <w:rPr>
                <w:rStyle w:val="AERbody"/>
                <w:b w:val="0"/>
              </w:rPr>
            </w:pPr>
            <w:r>
              <w:rPr>
                <w:rStyle w:val="AERbody"/>
                <w:b w:val="0"/>
              </w:rPr>
              <w:t>X</w:t>
            </w:r>
          </w:p>
        </w:tc>
        <w:tc>
          <w:tcPr>
            <w:tcW w:w="868" w:type="dxa"/>
          </w:tcPr>
          <w:p w:rsidR="00CB51D7"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CB51D7"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the smoothing factor determined in accordance with the PTRM as approved</w:t>
            </w:r>
            <w:r>
              <w:rPr>
                <w:rStyle w:val="AERbody"/>
              </w:rPr>
              <w:t xml:space="preserve"> </w:t>
            </w:r>
            <w:r w:rsidRPr="00AA50BF">
              <w:rPr>
                <w:rStyle w:val="AERbody"/>
              </w:rPr>
              <w:t>in the AER's final decision, and annually revised for the return on debt update</w:t>
            </w:r>
            <w:r>
              <w:rPr>
                <w:rStyle w:val="AERbody"/>
              </w:rPr>
              <w:t xml:space="preserve"> </w:t>
            </w:r>
            <w:r w:rsidRPr="00AA50BF">
              <w:rPr>
                <w:rStyle w:val="AERbody"/>
              </w:rPr>
              <w:t>in accordance with the formula specified in the return on debt appendix</w:t>
            </w:r>
            <w:r>
              <w:rPr>
                <w:rStyle w:val="AERbody"/>
              </w:rPr>
              <w:t xml:space="preserve"> </w:t>
            </w:r>
            <w:r w:rsidRPr="00AA50BF">
              <w:rPr>
                <w:rStyle w:val="AERbody"/>
              </w:rPr>
              <w:t>calculated for the relevant year.</w:t>
            </w:r>
          </w:p>
        </w:tc>
      </w:tr>
    </w:tbl>
    <w:p w:rsidR="00AA50BF" w:rsidRPr="00AA50BF" w:rsidRDefault="00AA50BF" w:rsidP="00AA50BF">
      <w:pPr>
        <w:rPr>
          <w:rFonts w:eastAsiaTheme="minorEastAsia"/>
        </w:rPr>
      </w:pPr>
      <w:r w:rsidRPr="00AA50BF">
        <w:rPr>
          <w:rFonts w:eastAsiaTheme="minorEastAsia"/>
        </w:rPr>
        <w:t>The MAR is determined annually in accordance with the NER by adding to (or deducting from) the</w:t>
      </w:r>
      <w:r>
        <w:rPr>
          <w:rFonts w:eastAsiaTheme="minorEastAsia"/>
        </w:rPr>
        <w:t xml:space="preserve"> </w:t>
      </w:r>
      <w:r w:rsidR="005D291E">
        <w:rPr>
          <w:rFonts w:eastAsiaTheme="minorEastAsia"/>
        </w:rPr>
        <w:t>allowed revenue</w:t>
      </w:r>
      <w:r w:rsidRPr="00AA50BF">
        <w:rPr>
          <w:rFonts w:eastAsiaTheme="minorEastAsia"/>
        </w:rPr>
        <w:t>:</w:t>
      </w:r>
    </w:p>
    <w:p w:rsidR="00AA50BF" w:rsidRPr="00AA50BF" w:rsidRDefault="00AA50BF" w:rsidP="00AA50BF">
      <w:pPr>
        <w:pStyle w:val="AERbulletlistfirststyle"/>
      </w:pPr>
      <w:r w:rsidRPr="00AA50BF">
        <w:t>the service target performance incentive scheme revenue in</w:t>
      </w:r>
      <w:r>
        <w:t>crement (or revenue decrement)</w:t>
      </w:r>
      <w:r>
        <w:rPr>
          <w:rStyle w:val="FootnoteReference"/>
        </w:rPr>
        <w:footnoteReference w:id="15"/>
      </w:r>
    </w:p>
    <w:p w:rsidR="00CB51D7" w:rsidRPr="00CB51D7" w:rsidRDefault="00AA50BF" w:rsidP="00AA50BF">
      <w:pPr>
        <w:pStyle w:val="AERbulletlistfirststyle"/>
        <w:rPr>
          <w:rFonts w:cstheme="minorBidi"/>
        </w:rPr>
      </w:pPr>
      <w:r w:rsidRPr="00AA50BF">
        <w:t xml:space="preserve">any </w:t>
      </w:r>
      <w:r>
        <w:t>approved pass through amounts.</w:t>
      </w:r>
      <w:r>
        <w:rPr>
          <w:rStyle w:val="FootnoteReference"/>
        </w:rPr>
        <w:footnoteReference w:id="16"/>
      </w:r>
    </w:p>
    <w:p w:rsidR="00AA50BF" w:rsidRDefault="007C438A" w:rsidP="00AA50BF">
      <w:pPr>
        <w:rPr>
          <w:rFonts w:eastAsiaTheme="minorEastAsia"/>
        </w:rPr>
      </w:pPr>
      <w:r>
        <w:rPr>
          <w:rFonts w:eastAsiaTheme="minorEastAsia"/>
        </w:rPr>
        <w:fldChar w:fldCharType="begin"/>
      </w:r>
      <w:r>
        <w:rPr>
          <w:rFonts w:eastAsiaTheme="minorEastAsia"/>
        </w:rPr>
        <w:instrText xml:space="preserve"> REF _Ref441233881 \h </w:instrText>
      </w:r>
      <w:r>
        <w:rPr>
          <w:rFonts w:eastAsiaTheme="minorEastAsia"/>
        </w:rPr>
      </w:r>
      <w:r>
        <w:rPr>
          <w:rFonts w:eastAsiaTheme="minorEastAsia"/>
        </w:rPr>
        <w:fldChar w:fldCharType="separate"/>
      </w:r>
      <w:r w:rsidR="00D56C84">
        <w:t xml:space="preserve">Table </w:t>
      </w:r>
      <w:r w:rsidR="00D56C84">
        <w:rPr>
          <w:noProof/>
        </w:rPr>
        <w:t>1</w:t>
      </w:r>
      <w:r w:rsidR="00D56C84">
        <w:t>.</w:t>
      </w:r>
      <w:r w:rsidR="00D56C84">
        <w:rPr>
          <w:noProof/>
        </w:rPr>
        <w:t>4</w:t>
      </w:r>
      <w:r>
        <w:rPr>
          <w:rFonts w:eastAsiaTheme="minorEastAsia"/>
        </w:rPr>
        <w:fldChar w:fldCharType="end"/>
      </w:r>
      <w:r>
        <w:rPr>
          <w:rFonts w:eastAsiaTheme="minorEastAsia"/>
        </w:rPr>
        <w:t xml:space="preserve"> </w:t>
      </w:r>
      <w:r w:rsidR="00AA50BF" w:rsidRPr="00AA50BF">
        <w:rPr>
          <w:rFonts w:eastAsiaTheme="minorEastAsia"/>
        </w:rPr>
        <w:t>sets out the timing of the annual calculation of the AR and performance incentive:</w:t>
      </w:r>
    </w:p>
    <w:p w:rsidR="00AA50BF" w:rsidRPr="00AA50BF" w:rsidRDefault="00AA50BF" w:rsidP="00AA50BF">
      <w:pPr>
        <w:rPr>
          <w:rFonts w:eastAsiaTheme="minorEastAsia"/>
        </w:rPr>
      </w:pPr>
    </w:p>
    <w:tbl>
      <w:tblPr>
        <w:tblStyle w:val="ACCCTable3"/>
        <w:tblW w:w="7938" w:type="dxa"/>
        <w:tblInd w:w="817" w:type="dxa"/>
        <w:tblLook w:val="0480" w:firstRow="0" w:lastRow="0" w:firstColumn="1" w:lastColumn="0" w:noHBand="0" w:noVBand="1"/>
      </w:tblPr>
      <w:tblGrid>
        <w:gridCol w:w="1011"/>
        <w:gridCol w:w="868"/>
        <w:gridCol w:w="6059"/>
      </w:tblGrid>
      <w:tr w:rsidR="00AA50BF" w:rsidRPr="00AA50BF" w:rsidTr="00167E3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AA50BF" w:rsidRPr="00AA50BF" w:rsidRDefault="00AA50BF" w:rsidP="00167E3A">
            <w:pPr>
              <w:rPr>
                <w:rStyle w:val="AERbody"/>
                <w:b w:val="0"/>
              </w:rPr>
            </w:pPr>
            <w:r>
              <w:rPr>
                <w:rStyle w:val="AERbody"/>
                <w:b w:val="0"/>
              </w:rPr>
              <w:t>M</w:t>
            </w:r>
            <w:r w:rsidRPr="00AA50BF">
              <w:rPr>
                <w:rStyle w:val="AERbody"/>
                <w:b w:val="0"/>
              </w:rPr>
              <w:t>AR</w:t>
            </w:r>
            <w:r w:rsidRPr="007C438A">
              <w:rPr>
                <w:rStyle w:val="AERsuperscript"/>
                <w:b w:val="0"/>
                <w:i/>
                <w:vertAlign w:val="baseline"/>
              </w:rPr>
              <w:t>t</w:t>
            </w:r>
          </w:p>
        </w:tc>
        <w:tc>
          <w:tcPr>
            <w:tcW w:w="868" w:type="dxa"/>
          </w:tcPr>
          <w:p w:rsidR="00AA50BF" w:rsidRPr="00AA50BF" w:rsidRDefault="00AA50BF" w:rsidP="00167E3A">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AA50BF" w:rsidRDefault="00AA50BF" w:rsidP="00167E3A">
            <w:pPr>
              <w:cnfStyle w:val="000000000000" w:firstRow="0" w:lastRow="0" w:firstColumn="0" w:lastColumn="0" w:oddVBand="0" w:evenVBand="0" w:oddHBand="0" w:evenHBand="0" w:firstRowFirstColumn="0" w:firstRowLastColumn="0" w:lastRowFirstColumn="0" w:lastRowLastColumn="0"/>
              <w:rPr>
                <w:rStyle w:val="AERbody"/>
              </w:rPr>
            </w:pPr>
            <w:r w:rsidRPr="00AA50BF">
              <w:rPr>
                <w:rStyle w:val="AERbody"/>
              </w:rPr>
              <w:t>(allowed revenue) + (performance incentive) + (pass through)</w:t>
            </w:r>
          </w:p>
          <w:p w:rsidR="009C02C2" w:rsidRPr="00AA50BF" w:rsidRDefault="009C02C2" w:rsidP="00167E3A">
            <w:pPr>
              <w:cnfStyle w:val="000000000000" w:firstRow="0" w:lastRow="0" w:firstColumn="0" w:lastColumn="0" w:oddVBand="0" w:evenVBand="0" w:oddHBand="0" w:evenHBand="0" w:firstRowFirstColumn="0" w:firstRowLastColumn="0" w:lastRowFirstColumn="0" w:lastRowLastColumn="0"/>
              <w:rPr>
                <w:rStyle w:val="AERbody"/>
              </w:rPr>
            </w:pPr>
          </w:p>
        </w:tc>
      </w:tr>
      <w:tr w:rsidR="00AA50BF" w:rsidRPr="00AA50BF" w:rsidTr="009C02C2">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AA50BF" w:rsidRDefault="00AA50BF" w:rsidP="00167E3A">
            <w:pPr>
              <w:rPr>
                <w:rStyle w:val="AERbody"/>
                <w:b w:val="0"/>
              </w:rPr>
            </w:pPr>
          </w:p>
        </w:tc>
        <w:tc>
          <w:tcPr>
            <w:tcW w:w="868" w:type="dxa"/>
            <w:vAlign w:val="center"/>
          </w:tcPr>
          <w:p w:rsidR="009C02C2" w:rsidRDefault="00AA50BF" w:rsidP="009C02C2">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p w:rsidR="00AA50BF" w:rsidRPr="009C02C2" w:rsidRDefault="00AA50BF" w:rsidP="009C02C2">
            <w:pPr>
              <w:cnfStyle w:val="000000000000" w:firstRow="0" w:lastRow="0" w:firstColumn="0" w:lastColumn="0" w:oddVBand="0" w:evenVBand="0" w:oddHBand="0" w:evenHBand="0" w:firstRowFirstColumn="0" w:firstRowLastColumn="0" w:lastRowFirstColumn="0" w:lastRowLastColumn="0"/>
              <w:rPr>
                <w:sz w:val="22"/>
              </w:rPr>
            </w:pPr>
          </w:p>
        </w:tc>
        <w:tc>
          <w:tcPr>
            <w:tcW w:w="6059" w:type="dxa"/>
          </w:tcPr>
          <w:p w:rsidR="009C02C2" w:rsidRPr="00AC0F99" w:rsidRDefault="002347F2" w:rsidP="009C02C2">
            <w:pPr>
              <w:cnfStyle w:val="000000000000" w:firstRow="0" w:lastRow="0" w:firstColumn="0" w:lastColumn="0" w:oddVBand="0" w:evenVBand="0" w:oddHBand="0" w:evenHBand="0" w:firstRowFirstColumn="0" w:firstRowLastColumn="0" w:lastRowFirstColumn="0" w:lastRowLastColumn="0"/>
              <w:rPr>
                <w:rFonts w:ascii="Cambria Math" w:hAnsi="Cambria Math" w:cs="Arial"/>
                <w:sz w:val="24"/>
                <w:szCs w:val="24"/>
                <w:oMath/>
              </w:rPr>
            </w:pPr>
            <m:oMathPara>
              <m:oMathParaPr>
                <m:jc m:val="left"/>
              </m:oMathParaPr>
              <m:oMath>
                <m:sSub>
                  <m:sSubPr>
                    <m:ctrlPr>
                      <w:rPr>
                        <w:rFonts w:ascii="Cambria Math" w:hAnsi="Cambria Math" w:cs="Arial"/>
                        <w:i/>
                        <w:sz w:val="24"/>
                        <w:szCs w:val="24"/>
                      </w:rPr>
                    </m:ctrlPr>
                  </m:sSubPr>
                  <m:e>
                    <m:r>
                      <m:rPr>
                        <m:sty m:val="p"/>
                      </m:rPr>
                      <w:rPr>
                        <w:rFonts w:ascii="Cambria Math" w:hAnsi="Cambria Math" w:cs="Arial"/>
                        <w:sz w:val="24"/>
                        <w:szCs w:val="24"/>
                      </w:rPr>
                      <m:t>AR</m:t>
                    </m:r>
                    <m:ctrlPr>
                      <w:rPr>
                        <w:rFonts w:ascii="Cambria Math" w:hAnsi="Cambria Math" w:cs="Arial"/>
                        <w:sz w:val="24"/>
                        <w:szCs w:val="24"/>
                      </w:rPr>
                    </m:ctrlPr>
                  </m:e>
                  <m:sub>
                    <m:r>
                      <w:rPr>
                        <w:rFonts w:ascii="Cambria Math" w:hAnsi="Cambria Math" w:cs="Arial"/>
                        <w:sz w:val="24"/>
                        <w:szCs w:val="24"/>
                      </w:rPr>
                      <m:t>t</m:t>
                    </m:r>
                  </m:sub>
                </m:sSub>
                <m:r>
                  <w:rPr>
                    <w:rFonts w:ascii="Cambria Math" w:hAnsi="Cambria Math" w:cs="Arial"/>
                    <w:sz w:val="24"/>
                    <w:szCs w:val="24"/>
                  </w:rPr>
                  <m:t>+</m:t>
                </m:r>
                <m:d>
                  <m:dPr>
                    <m:ctrlPr>
                      <w:rPr>
                        <w:rFonts w:ascii="Cambria Math" w:hAnsi="Cambria Math" w:cs="Arial"/>
                        <w:i/>
                        <w:sz w:val="24"/>
                        <w:szCs w:val="24"/>
                      </w:rPr>
                    </m:ctrlPr>
                  </m:dPr>
                  <m:e>
                    <m:d>
                      <m:dPr>
                        <m:ctrlPr>
                          <w:rPr>
                            <w:rFonts w:ascii="Cambria Math" w:hAnsi="Cambria Math" w:cs="Arial"/>
                            <w:i/>
                            <w:sz w:val="24"/>
                            <w:szCs w:val="24"/>
                          </w:rPr>
                        </m:ctrlPr>
                      </m:dPr>
                      <m:e>
                        <m:sSub>
                          <m:sSubPr>
                            <m:ctrlPr>
                              <w:rPr>
                                <w:rFonts w:ascii="Cambria Math" w:hAnsi="Cambria Math" w:cs="Arial"/>
                                <w:i/>
                                <w:sz w:val="24"/>
                                <w:szCs w:val="24"/>
                              </w:rPr>
                            </m:ctrlPr>
                          </m:sSubPr>
                          <m:e>
                            <m:r>
                              <m:rPr>
                                <m:sty m:val="p"/>
                              </m:rPr>
                              <w:rPr>
                                <w:rFonts w:ascii="Cambria Math" w:hAnsi="Cambria Math" w:cs="Arial"/>
                                <w:sz w:val="24"/>
                                <w:szCs w:val="24"/>
                              </w:rPr>
                              <m:t>AR</m:t>
                            </m:r>
                          </m:e>
                          <m:sub>
                            <m:r>
                              <w:rPr>
                                <w:rFonts w:ascii="Cambria Math" w:hAnsi="Cambria Math" w:cs="Arial"/>
                                <w:sz w:val="24"/>
                                <w:szCs w:val="24"/>
                              </w:rPr>
                              <m:t>t-2</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12</m:t>
                            </m:r>
                          </m:den>
                        </m:f>
                      </m:e>
                    </m:d>
                    <m:r>
                      <w:rPr>
                        <w:rFonts w:ascii="Cambria Math" w:hAns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r>
                              <m:rPr>
                                <m:sty m:val="p"/>
                              </m:rPr>
                              <w:rPr>
                                <w:rFonts w:ascii="Cambria Math" w:hAnsi="Cambria Math" w:cs="Arial"/>
                                <w:sz w:val="24"/>
                                <w:szCs w:val="24"/>
                              </w:rPr>
                              <m:t>AR</m:t>
                            </m:r>
                          </m:e>
                          <m:sub>
                            <m:r>
                              <w:rPr>
                                <w:rFonts w:ascii="Cambria Math" w:hAnsi="Cambria Math" w:cs="Arial"/>
                                <w:sz w:val="24"/>
                                <w:szCs w:val="24"/>
                              </w:rPr>
                              <m:t>t-1</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9</m:t>
                            </m:r>
                          </m:num>
                          <m:den>
                            <m:r>
                              <w:rPr>
                                <w:rFonts w:ascii="Cambria Math" w:hAnsi="Cambria Math" w:cs="Arial"/>
                                <w:sz w:val="24"/>
                                <w:szCs w:val="24"/>
                              </w:rPr>
                              <m:t>12</m:t>
                            </m:r>
                          </m:den>
                        </m:f>
                      </m:e>
                    </m:d>
                  </m:e>
                </m:d>
                <m:r>
                  <w:rPr>
                    <w:rFonts w:ascii="Cambria Math" w:hAnsi="Cambria Math" w:cs="Arial"/>
                    <w:sz w:val="24"/>
                    <w:szCs w:val="24"/>
                  </w:rPr>
                  <m:t>×</m:t>
                </m:r>
                <m:sSub>
                  <m:sSubPr>
                    <m:ctrlPr>
                      <w:rPr>
                        <w:rFonts w:ascii="Cambria Math" w:hAnsi="Cambria Math" w:cs="Arial"/>
                        <w:i/>
                        <w:sz w:val="24"/>
                        <w:szCs w:val="24"/>
                      </w:rPr>
                    </m:ctrlPr>
                  </m:sSubPr>
                  <m:e>
                    <m:r>
                      <m:rPr>
                        <m:sty m:val="p"/>
                      </m:rPr>
                      <w:rPr>
                        <w:rFonts w:ascii="Cambria Math" w:hAnsi="Cambria Math" w:cs="Arial"/>
                        <w:sz w:val="24"/>
                        <w:szCs w:val="24"/>
                      </w:rPr>
                      <m:t>S</m:t>
                    </m:r>
                  </m:e>
                  <m:sub>
                    <m:r>
                      <w:rPr>
                        <w:rFonts w:ascii="Cambria Math" w:hAnsi="Cambria Math" w:cs="Arial"/>
                        <w:sz w:val="24"/>
                        <w:szCs w:val="24"/>
                      </w:rPr>
                      <m:t>ct</m:t>
                    </m:r>
                  </m:sub>
                </m:sSub>
                <m:r>
                  <w:rPr>
                    <w:rFonts w:ascii="Cambria Math" w:hAnsi="Cambria Math" w:cs="Arial"/>
                    <w:sz w:val="24"/>
                    <w:szCs w:val="24"/>
                  </w:rPr>
                  <m:t>+</m:t>
                </m:r>
                <m:sSub>
                  <m:sSubPr>
                    <m:ctrlPr>
                      <w:rPr>
                        <w:rFonts w:ascii="Cambria Math" w:hAnsi="Cambria Math" w:cs="Arial"/>
                        <w:i/>
                        <w:sz w:val="24"/>
                        <w:szCs w:val="24"/>
                      </w:rPr>
                    </m:ctrlPr>
                  </m:sSubPr>
                  <m:e>
                    <m:r>
                      <m:rPr>
                        <m:sty m:val="p"/>
                      </m:rPr>
                      <w:rPr>
                        <w:rFonts w:ascii="Cambria Math" w:hAnsi="Cambria Math" w:cs="Arial"/>
                        <w:sz w:val="24"/>
                        <w:szCs w:val="24"/>
                      </w:rPr>
                      <m:t>P</m:t>
                    </m:r>
                  </m:e>
                  <m:sub>
                    <m:r>
                      <w:rPr>
                        <w:rFonts w:ascii="Cambria Math" w:hAnsi="Cambria Math" w:cs="Arial"/>
                        <w:sz w:val="24"/>
                        <w:szCs w:val="24"/>
                      </w:rPr>
                      <m:t>t</m:t>
                    </m:r>
                  </m:sub>
                </m:sSub>
              </m:oMath>
            </m:oMathPara>
          </w:p>
          <w:p w:rsidR="00AA50BF" w:rsidRPr="00AA50BF" w:rsidRDefault="00AA50BF" w:rsidP="00AA50BF">
            <w:pPr>
              <w:cnfStyle w:val="000000000000" w:firstRow="0" w:lastRow="0" w:firstColumn="0" w:lastColumn="0" w:oddVBand="0" w:evenVBand="0" w:oddHBand="0" w:evenHBand="0" w:firstRowFirstColumn="0" w:firstRowLastColumn="0" w:lastRowFirstColumn="0" w:lastRowLastColumn="0"/>
              <w:rPr>
                <w:rStyle w:val="AERbody"/>
              </w:rPr>
            </w:pPr>
          </w:p>
        </w:tc>
      </w:tr>
    </w:tbl>
    <w:p w:rsidR="009C02C2" w:rsidRDefault="009C02C2" w:rsidP="009C02C2">
      <w:pPr>
        <w:rPr>
          <w:rFonts w:eastAsiaTheme="minorEastAsia"/>
        </w:rPr>
      </w:pPr>
      <w:r>
        <w:rPr>
          <w:rFonts w:eastAsiaTheme="minorEastAsia"/>
        </w:rPr>
        <w:lastRenderedPageBreak/>
        <w:t>where:</w:t>
      </w:r>
    </w:p>
    <w:tbl>
      <w:tblPr>
        <w:tblStyle w:val="ACCCTable3"/>
        <w:tblW w:w="7938" w:type="dxa"/>
        <w:tblInd w:w="817" w:type="dxa"/>
        <w:tblLook w:val="0480" w:firstRow="0" w:lastRow="0" w:firstColumn="1" w:lastColumn="0" w:noHBand="0" w:noVBand="1"/>
      </w:tblPr>
      <w:tblGrid>
        <w:gridCol w:w="1011"/>
        <w:gridCol w:w="868"/>
        <w:gridCol w:w="6059"/>
      </w:tblGrid>
      <w:tr w:rsidR="009C02C2" w:rsidRPr="00AA50BF" w:rsidTr="00167E3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9C02C2" w:rsidRPr="007C438A" w:rsidRDefault="009C02C2" w:rsidP="007C438A">
            <w:pPr>
              <w:rPr>
                <w:b w:val="0"/>
                <w:sz w:val="22"/>
              </w:rPr>
            </w:pPr>
            <w:r w:rsidRPr="007C438A">
              <w:rPr>
                <w:b w:val="0"/>
                <w:sz w:val="22"/>
              </w:rPr>
              <w:t>MAR</w:t>
            </w:r>
          </w:p>
        </w:tc>
        <w:tc>
          <w:tcPr>
            <w:tcW w:w="868" w:type="dxa"/>
          </w:tcPr>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r w:rsidRPr="007C438A">
              <w:rPr>
                <w:sz w:val="22"/>
              </w:rPr>
              <w:t>=</w:t>
            </w:r>
          </w:p>
        </w:tc>
        <w:tc>
          <w:tcPr>
            <w:tcW w:w="6059" w:type="dxa"/>
          </w:tcPr>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r w:rsidRPr="007C438A">
              <w:rPr>
                <w:sz w:val="22"/>
              </w:rPr>
              <w:t>the maximum allowed revenue</w:t>
            </w:r>
          </w:p>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p>
        </w:tc>
      </w:tr>
      <w:tr w:rsidR="009C02C2" w:rsidRPr="00AA50BF" w:rsidTr="00167E3A">
        <w:trPr>
          <w:trHeight w:val="74"/>
        </w:trPr>
        <w:tc>
          <w:tcPr>
            <w:cnfStyle w:val="001000000000" w:firstRow="0" w:lastRow="0" w:firstColumn="1" w:lastColumn="0" w:oddVBand="0" w:evenVBand="0" w:oddHBand="0" w:evenHBand="0" w:firstRowFirstColumn="0" w:firstRowLastColumn="0" w:lastRowFirstColumn="0" w:lastRowLastColumn="0"/>
            <w:tcW w:w="1011" w:type="dxa"/>
          </w:tcPr>
          <w:p w:rsidR="009C02C2" w:rsidRPr="007C438A" w:rsidRDefault="009C02C2" w:rsidP="007C438A">
            <w:pPr>
              <w:rPr>
                <w:b w:val="0"/>
                <w:sz w:val="22"/>
              </w:rPr>
            </w:pPr>
            <w:r w:rsidRPr="007C438A">
              <w:rPr>
                <w:b w:val="0"/>
                <w:sz w:val="22"/>
              </w:rPr>
              <w:t>AR</w:t>
            </w:r>
          </w:p>
        </w:tc>
        <w:tc>
          <w:tcPr>
            <w:tcW w:w="868" w:type="dxa"/>
          </w:tcPr>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r w:rsidRPr="007C438A">
              <w:rPr>
                <w:sz w:val="22"/>
              </w:rPr>
              <w:t>=</w:t>
            </w:r>
          </w:p>
        </w:tc>
        <w:tc>
          <w:tcPr>
            <w:tcW w:w="6059" w:type="dxa"/>
          </w:tcPr>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r w:rsidRPr="007C438A">
              <w:rPr>
                <w:sz w:val="22"/>
              </w:rPr>
              <w:t>the allowed revenue</w:t>
            </w:r>
          </w:p>
          <w:p w:rsidR="009C02C2" w:rsidRPr="007C438A" w:rsidRDefault="009C02C2" w:rsidP="007C438A">
            <w:pPr>
              <w:cnfStyle w:val="000000000000" w:firstRow="0" w:lastRow="0" w:firstColumn="0" w:lastColumn="0" w:oddVBand="0" w:evenVBand="0" w:oddHBand="0" w:evenHBand="0" w:firstRowFirstColumn="0" w:firstRowLastColumn="0" w:lastRowFirstColumn="0" w:lastRowLastColumn="0"/>
              <w:rPr>
                <w:sz w:val="22"/>
              </w:rPr>
            </w:pPr>
          </w:p>
        </w:tc>
      </w:tr>
      <w:tr w:rsidR="009C02C2" w:rsidRPr="00AA50BF" w:rsidTr="00167E3A">
        <w:trPr>
          <w:trHeight w:val="299"/>
        </w:trPr>
        <w:tc>
          <w:tcPr>
            <w:cnfStyle w:val="001000000000" w:firstRow="0" w:lastRow="0" w:firstColumn="1" w:lastColumn="0" w:oddVBand="0" w:evenVBand="0" w:oddHBand="0" w:evenHBand="0" w:firstRowFirstColumn="0" w:firstRowLastColumn="0" w:lastRowFirstColumn="0" w:lastRowLastColumn="0"/>
            <w:tcW w:w="1011" w:type="dxa"/>
          </w:tcPr>
          <w:p w:rsidR="009C02C2" w:rsidRPr="000F2B6A" w:rsidRDefault="009C02C2" w:rsidP="009C02C2">
            <w:pPr>
              <w:rPr>
                <w:b w:val="0"/>
                <w:sz w:val="22"/>
              </w:rPr>
            </w:pPr>
            <w:r w:rsidRPr="000F2B6A">
              <w:rPr>
                <w:b w:val="0"/>
                <w:sz w:val="22"/>
              </w:rPr>
              <w:t>S</w:t>
            </w:r>
          </w:p>
        </w:tc>
        <w:tc>
          <w:tcPr>
            <w:tcW w:w="868" w:type="dxa"/>
          </w:tcPr>
          <w:p w:rsidR="009C02C2" w:rsidRPr="00AA50BF" w:rsidRDefault="009C02C2" w:rsidP="00167E3A">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9C02C2" w:rsidRDefault="009C02C2" w:rsidP="009C02C2">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the revenue increment or decrement determined in accordance with</w:t>
            </w:r>
            <w:r>
              <w:rPr>
                <w:rStyle w:val="AERbody"/>
              </w:rPr>
              <w:t xml:space="preserve"> </w:t>
            </w:r>
            <w:r w:rsidRPr="009C02C2">
              <w:rPr>
                <w:rStyle w:val="AERbody"/>
              </w:rPr>
              <w:t>the service target performance incentive scheme</w:t>
            </w:r>
          </w:p>
          <w:p w:rsidR="009C02C2" w:rsidRPr="00AA50BF" w:rsidRDefault="009C02C2" w:rsidP="009C02C2">
            <w:pPr>
              <w:cnfStyle w:val="000000000000" w:firstRow="0" w:lastRow="0" w:firstColumn="0" w:lastColumn="0" w:oddVBand="0" w:evenVBand="0" w:oddHBand="0" w:evenHBand="0" w:firstRowFirstColumn="0" w:firstRowLastColumn="0" w:lastRowFirstColumn="0" w:lastRowLastColumn="0"/>
              <w:rPr>
                <w:rStyle w:val="AERbody"/>
              </w:rPr>
            </w:pPr>
          </w:p>
        </w:tc>
      </w:tr>
      <w:tr w:rsidR="009C02C2" w:rsidRPr="00AA50BF" w:rsidTr="00167E3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9C02C2" w:rsidRPr="000F2B6A" w:rsidRDefault="009C02C2" w:rsidP="009C02C2">
            <w:pPr>
              <w:rPr>
                <w:b w:val="0"/>
                <w:sz w:val="22"/>
              </w:rPr>
            </w:pPr>
            <w:r w:rsidRPr="000F2B6A">
              <w:rPr>
                <w:b w:val="0"/>
                <w:sz w:val="22"/>
              </w:rPr>
              <w:t>P</w:t>
            </w:r>
          </w:p>
        </w:tc>
        <w:tc>
          <w:tcPr>
            <w:tcW w:w="868" w:type="dxa"/>
          </w:tcPr>
          <w:p w:rsidR="009C02C2" w:rsidRPr="00AA50BF" w:rsidRDefault="009C02C2" w:rsidP="00167E3A">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9C02C2" w:rsidRDefault="009C02C2" w:rsidP="009C02C2">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the pass through amount (positive or negative) that the AER has determined</w:t>
            </w:r>
            <w:r>
              <w:rPr>
                <w:rStyle w:val="AERbody"/>
              </w:rPr>
              <w:t xml:space="preserve"> </w:t>
            </w:r>
            <w:r w:rsidRPr="009C02C2">
              <w:rPr>
                <w:rStyle w:val="AERbody"/>
              </w:rPr>
              <w:t>in accordance with clauses 6A.7.2 and 6A.7.3 of the NER</w:t>
            </w:r>
          </w:p>
          <w:p w:rsidR="009C02C2" w:rsidRPr="00AA50BF" w:rsidRDefault="009C02C2" w:rsidP="009C02C2">
            <w:pPr>
              <w:cnfStyle w:val="000000000000" w:firstRow="0" w:lastRow="0" w:firstColumn="0" w:lastColumn="0" w:oddVBand="0" w:evenVBand="0" w:oddHBand="0" w:evenHBand="0" w:firstRowFirstColumn="0" w:firstRowLastColumn="0" w:lastRowFirstColumn="0" w:lastRowLastColumn="0"/>
              <w:rPr>
                <w:rStyle w:val="AERbody"/>
              </w:rPr>
            </w:pPr>
          </w:p>
        </w:tc>
      </w:tr>
      <w:tr w:rsidR="009C02C2" w:rsidRPr="00AA50BF" w:rsidTr="00167E3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9C02C2" w:rsidRPr="000F2B6A" w:rsidRDefault="009C02C2" w:rsidP="009C02C2">
            <w:pPr>
              <w:rPr>
                <w:rStyle w:val="AERtextitalic"/>
                <w:b w:val="0"/>
              </w:rPr>
            </w:pPr>
            <w:r w:rsidRPr="000F2B6A">
              <w:rPr>
                <w:rStyle w:val="AERtextitalic"/>
                <w:b w:val="0"/>
              </w:rPr>
              <w:t>t</w:t>
            </w:r>
          </w:p>
        </w:tc>
        <w:tc>
          <w:tcPr>
            <w:tcW w:w="868" w:type="dxa"/>
          </w:tcPr>
          <w:p w:rsidR="009C02C2" w:rsidRDefault="009C02C2" w:rsidP="00167E3A">
            <w:pPr>
              <w:cnfStyle w:val="000000000000" w:firstRow="0" w:lastRow="0" w:firstColumn="0" w:lastColumn="0" w:oddVBand="0" w:evenVBand="0" w:oddHBand="0" w:evenHBand="0" w:firstRowFirstColumn="0" w:firstRowLastColumn="0" w:lastRowFirstColumn="0" w:lastRowLastColumn="0"/>
              <w:rPr>
                <w:rStyle w:val="AERbody"/>
              </w:rPr>
            </w:pPr>
            <w:r>
              <w:rPr>
                <w:rStyle w:val="AERbody"/>
              </w:rPr>
              <w:t>=</w:t>
            </w:r>
          </w:p>
        </w:tc>
        <w:tc>
          <w:tcPr>
            <w:tcW w:w="6059" w:type="dxa"/>
          </w:tcPr>
          <w:p w:rsidR="000F2B6A" w:rsidRDefault="009C02C2" w:rsidP="000F2B6A">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 xml:space="preserve">time period/financial year (for </w:t>
            </w:r>
            <w:r w:rsidRPr="000F2B6A">
              <w:rPr>
                <w:rStyle w:val="AERtextitalic"/>
              </w:rPr>
              <w:t>t</w:t>
            </w:r>
            <w:r w:rsidRPr="009C02C2">
              <w:rPr>
                <w:rStyle w:val="AERbody"/>
              </w:rPr>
              <w:t xml:space="preserve"> = </w:t>
            </w:r>
            <w:r w:rsidR="000F2B6A">
              <w:rPr>
                <w:rStyle w:val="AERbody"/>
              </w:rPr>
              <w:t>2</w:t>
            </w:r>
            <w:r w:rsidRPr="009C02C2">
              <w:rPr>
                <w:rStyle w:val="AERbody"/>
              </w:rPr>
              <w:t xml:space="preserve"> (201</w:t>
            </w:r>
            <w:r w:rsidR="000F2B6A">
              <w:rPr>
                <w:rStyle w:val="AERbody"/>
              </w:rPr>
              <w:t>8</w:t>
            </w:r>
            <w:r w:rsidRPr="009C02C2">
              <w:rPr>
                <w:rStyle w:val="AERbody"/>
              </w:rPr>
              <w:t>–</w:t>
            </w:r>
            <w:r>
              <w:rPr>
                <w:rStyle w:val="AERbody"/>
              </w:rPr>
              <w:t>1</w:t>
            </w:r>
            <w:r w:rsidR="000F2B6A">
              <w:rPr>
                <w:rStyle w:val="AERbody"/>
              </w:rPr>
              <w:t>9</w:t>
            </w:r>
            <w:r w:rsidR="000F2B6A" w:rsidRPr="00AA50BF">
              <w:rPr>
                <w:rStyle w:val="AERbody"/>
              </w:rPr>
              <w:t xml:space="preserve">), </w:t>
            </w:r>
            <w:r w:rsidR="000F2B6A">
              <w:rPr>
                <w:rStyle w:val="AERbody"/>
              </w:rPr>
              <w:t>3 (2019–20), 4 (2020–21), 5</w:t>
            </w:r>
            <w:r w:rsidR="000F2B6A" w:rsidRPr="00AA50BF">
              <w:rPr>
                <w:rStyle w:val="AERbody"/>
              </w:rPr>
              <w:t xml:space="preserve"> (20</w:t>
            </w:r>
            <w:r w:rsidR="000F2B6A">
              <w:rPr>
                <w:rStyle w:val="AERbody"/>
              </w:rPr>
              <w:t>21</w:t>
            </w:r>
            <w:r w:rsidR="000F2B6A" w:rsidRPr="00AA50BF">
              <w:rPr>
                <w:rStyle w:val="AERbody"/>
              </w:rPr>
              <w:t>–</w:t>
            </w:r>
            <w:r w:rsidR="000F2B6A">
              <w:rPr>
                <w:rStyle w:val="AERbody"/>
              </w:rPr>
              <w:t>22</w:t>
            </w:r>
            <w:r w:rsidR="000F2B6A" w:rsidRPr="00AA50BF">
              <w:rPr>
                <w:rStyle w:val="AERbody"/>
              </w:rPr>
              <w:t>))</w:t>
            </w:r>
          </w:p>
          <w:p w:rsidR="009C02C2" w:rsidRPr="00AA50BF" w:rsidRDefault="009C02C2" w:rsidP="000F2B6A">
            <w:pPr>
              <w:cnfStyle w:val="000000000000" w:firstRow="0" w:lastRow="0" w:firstColumn="0" w:lastColumn="0" w:oddVBand="0" w:evenVBand="0" w:oddHBand="0" w:evenHBand="0" w:firstRowFirstColumn="0" w:firstRowLastColumn="0" w:lastRowFirstColumn="0" w:lastRowLastColumn="0"/>
              <w:rPr>
                <w:rStyle w:val="AERbody"/>
              </w:rPr>
            </w:pPr>
          </w:p>
        </w:tc>
      </w:tr>
      <w:tr w:rsidR="009C02C2" w:rsidRPr="00AA50BF" w:rsidTr="00167E3A">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9C02C2" w:rsidRPr="000F2B6A" w:rsidRDefault="009C02C2" w:rsidP="009C02C2">
            <w:pPr>
              <w:rPr>
                <w:rStyle w:val="AERtextitalic"/>
                <w:b w:val="0"/>
              </w:rPr>
            </w:pPr>
            <w:r w:rsidRPr="000F2B6A">
              <w:rPr>
                <w:rStyle w:val="AERtextitalic"/>
                <w:b w:val="0"/>
              </w:rPr>
              <w:t>ct</w:t>
            </w:r>
          </w:p>
        </w:tc>
        <w:tc>
          <w:tcPr>
            <w:tcW w:w="868" w:type="dxa"/>
          </w:tcPr>
          <w:p w:rsidR="009C02C2" w:rsidRPr="009C02C2" w:rsidRDefault="009C02C2" w:rsidP="009C02C2">
            <w:pPr>
              <w:cnfStyle w:val="000000000000" w:firstRow="0" w:lastRow="0" w:firstColumn="0" w:lastColumn="0" w:oddVBand="0" w:evenVBand="0" w:oddHBand="0" w:evenHBand="0" w:firstRowFirstColumn="0" w:firstRowLastColumn="0" w:lastRowFirstColumn="0" w:lastRowLastColumn="0"/>
            </w:pPr>
            <w:r>
              <w:t>=</w:t>
            </w:r>
          </w:p>
        </w:tc>
        <w:tc>
          <w:tcPr>
            <w:tcW w:w="6059" w:type="dxa"/>
          </w:tcPr>
          <w:p w:rsidR="009C02C2" w:rsidRPr="00AA50BF" w:rsidRDefault="009C02C2" w:rsidP="000F2B6A">
            <w:pPr>
              <w:cnfStyle w:val="000000000000" w:firstRow="0" w:lastRow="0" w:firstColumn="0" w:lastColumn="0" w:oddVBand="0" w:evenVBand="0" w:oddHBand="0" w:evenHBand="0" w:firstRowFirstColumn="0" w:firstRowLastColumn="0" w:lastRowFirstColumn="0" w:lastRowLastColumn="0"/>
              <w:rPr>
                <w:rStyle w:val="AERbody"/>
              </w:rPr>
            </w:pPr>
            <w:r w:rsidRPr="009C02C2">
              <w:rPr>
                <w:rStyle w:val="AERbody"/>
              </w:rPr>
              <w:t>time</w:t>
            </w:r>
            <w:r w:rsidR="002624C0">
              <w:rPr>
                <w:rStyle w:val="AERbody"/>
              </w:rPr>
              <w:t xml:space="preserve"> period/calendar year (for </w:t>
            </w:r>
            <w:r w:rsidR="002624C0" w:rsidRPr="000F2B6A">
              <w:rPr>
                <w:rStyle w:val="AERtextitalic"/>
              </w:rPr>
              <w:t>t</w:t>
            </w:r>
            <w:r w:rsidR="002624C0">
              <w:rPr>
                <w:rStyle w:val="AERbody"/>
              </w:rPr>
              <w:t xml:space="preserve"> = </w:t>
            </w:r>
            <w:r w:rsidR="000F2B6A">
              <w:rPr>
                <w:rStyle w:val="AERbody"/>
              </w:rPr>
              <w:t>2</w:t>
            </w:r>
            <w:r w:rsidRPr="009C02C2">
              <w:rPr>
                <w:rStyle w:val="AERbody"/>
              </w:rPr>
              <w:t xml:space="preserve"> (201</w:t>
            </w:r>
            <w:r w:rsidR="000F2B6A">
              <w:rPr>
                <w:rStyle w:val="AERbody"/>
              </w:rPr>
              <w:t>7</w:t>
            </w:r>
            <w:r w:rsidRPr="009C02C2">
              <w:rPr>
                <w:rStyle w:val="AERbody"/>
              </w:rPr>
              <w:t xml:space="preserve">), </w:t>
            </w:r>
            <w:r w:rsidR="000F2B6A">
              <w:rPr>
                <w:rStyle w:val="AERbody"/>
              </w:rPr>
              <w:t xml:space="preserve">3 (2018), 4 (2019), </w:t>
            </w:r>
            <w:r w:rsidR="002624C0">
              <w:rPr>
                <w:rStyle w:val="AERbody"/>
              </w:rPr>
              <w:t xml:space="preserve">5 </w:t>
            </w:r>
            <w:r>
              <w:rPr>
                <w:rStyle w:val="AERbody"/>
              </w:rPr>
              <w:t>(</w:t>
            </w:r>
            <w:r w:rsidR="002624C0">
              <w:rPr>
                <w:rStyle w:val="AERbody"/>
              </w:rPr>
              <w:t>202</w:t>
            </w:r>
            <w:r w:rsidR="000F2B6A">
              <w:rPr>
                <w:rStyle w:val="AERbody"/>
              </w:rPr>
              <w:t>0</w:t>
            </w:r>
            <w:r w:rsidRPr="009C02C2">
              <w:rPr>
                <w:rStyle w:val="AERbody"/>
              </w:rPr>
              <w:t>)).</w:t>
            </w:r>
          </w:p>
        </w:tc>
      </w:tr>
    </w:tbl>
    <w:p w:rsidR="009C02C2" w:rsidRDefault="002624C0" w:rsidP="002624C0">
      <w:r>
        <w:t>Under the NER, a TNSP may also adjust the MAR for under or over-recovery amounts.</w:t>
      </w:r>
      <w:r>
        <w:rPr>
          <w:rStyle w:val="FootnoteReference"/>
        </w:rPr>
        <w:footnoteReference w:id="17"/>
      </w:r>
      <w:r>
        <w:t xml:space="preserve"> That is, the revenue amounts recovered higher or lower than the approved MAR for each year would be included in the subsequent year's MAR. In the case of an under-recovery, the amount would be added to the future year's MAR. In the case of an over-recovery, the amount would be subtracted from the future year's MAR.</w:t>
      </w:r>
    </w:p>
    <w:p w:rsidR="002624C0" w:rsidRDefault="002624C0" w:rsidP="002624C0">
      <w:pPr>
        <w:pStyle w:val="Caption"/>
      </w:pPr>
      <w:bookmarkStart w:id="28" w:name="_Ref441233881"/>
      <w:r>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3A7EEB">
        <w:t>.</w:t>
      </w:r>
      <w:r w:rsidR="002347F2">
        <w:fldChar w:fldCharType="begin"/>
      </w:r>
      <w:r w:rsidR="002347F2">
        <w:instrText xml:space="preserve"> SEQ Table \* ARABIC \s 1 </w:instrText>
      </w:r>
      <w:r w:rsidR="002347F2">
        <w:fldChar w:fldCharType="separate"/>
      </w:r>
      <w:r w:rsidR="00D56C84">
        <w:rPr>
          <w:noProof/>
        </w:rPr>
        <w:t>4</w:t>
      </w:r>
      <w:r w:rsidR="002347F2">
        <w:rPr>
          <w:noProof/>
        </w:rPr>
        <w:fldChar w:fldCharType="end"/>
      </w:r>
      <w:bookmarkEnd w:id="28"/>
      <w:r>
        <w:tab/>
        <w:t>Timing of the calculation of allowed revenues and the performance incentive for AusNet Services</w:t>
      </w:r>
    </w:p>
    <w:tbl>
      <w:tblPr>
        <w:tblStyle w:val="AERtable-text0"/>
        <w:tblW w:w="0" w:type="auto"/>
        <w:tblLook w:val="04A0" w:firstRow="1" w:lastRow="0" w:firstColumn="1" w:lastColumn="0" w:noHBand="0" w:noVBand="1"/>
      </w:tblPr>
      <w:tblGrid>
        <w:gridCol w:w="675"/>
        <w:gridCol w:w="3671"/>
        <w:gridCol w:w="724"/>
        <w:gridCol w:w="3623"/>
      </w:tblGrid>
      <w:tr w:rsidR="002624C0" w:rsidRPr="002624C0" w:rsidTr="002624C0">
        <w:trPr>
          <w:cnfStyle w:val="100000000000" w:firstRow="1" w:lastRow="0" w:firstColumn="0" w:lastColumn="0" w:oddVBand="0" w:evenVBand="0" w:oddHBand="0" w:evenHBand="0" w:firstRowFirstColumn="0" w:firstRowLastColumn="0" w:lastRowFirstColumn="0" w:lastRowLastColumn="0"/>
        </w:trPr>
        <w:tc>
          <w:tcPr>
            <w:tcW w:w="675" w:type="dxa"/>
          </w:tcPr>
          <w:p w:rsidR="002624C0" w:rsidRPr="000F2B6A" w:rsidRDefault="002624C0" w:rsidP="002624C0">
            <w:pPr>
              <w:rPr>
                <w:i/>
              </w:rPr>
            </w:pPr>
            <w:r w:rsidRPr="000F2B6A">
              <w:rPr>
                <w:i/>
              </w:rPr>
              <w:t>t</w:t>
            </w:r>
          </w:p>
        </w:tc>
        <w:tc>
          <w:tcPr>
            <w:tcW w:w="3671" w:type="dxa"/>
          </w:tcPr>
          <w:p w:rsidR="002624C0" w:rsidRPr="002624C0" w:rsidRDefault="002624C0" w:rsidP="002624C0">
            <w:r w:rsidRPr="002624C0">
              <w:t>Allowed revenue (financial year)</w:t>
            </w:r>
          </w:p>
        </w:tc>
        <w:tc>
          <w:tcPr>
            <w:tcW w:w="724" w:type="dxa"/>
          </w:tcPr>
          <w:p w:rsidR="002624C0" w:rsidRPr="000F2B6A" w:rsidRDefault="002624C0" w:rsidP="002624C0">
            <w:pPr>
              <w:rPr>
                <w:i/>
              </w:rPr>
            </w:pPr>
            <w:r w:rsidRPr="000F2B6A">
              <w:rPr>
                <w:i/>
              </w:rPr>
              <w:t>ct</w:t>
            </w:r>
          </w:p>
        </w:tc>
        <w:tc>
          <w:tcPr>
            <w:tcW w:w="3623" w:type="dxa"/>
          </w:tcPr>
          <w:p w:rsidR="002624C0" w:rsidRPr="002624C0" w:rsidRDefault="002624C0" w:rsidP="002624C0">
            <w:r w:rsidRPr="002624C0">
              <w:t>Performance incentive (calendar year)</w:t>
            </w:r>
          </w:p>
        </w:tc>
      </w:tr>
      <w:tr w:rsidR="002624C0" w:rsidRPr="002624C0" w:rsidTr="002624C0">
        <w:tc>
          <w:tcPr>
            <w:tcW w:w="675" w:type="dxa"/>
          </w:tcPr>
          <w:p w:rsidR="002624C0" w:rsidRPr="002624C0" w:rsidRDefault="002624C0" w:rsidP="002624C0">
            <w:r>
              <w:t>2</w:t>
            </w:r>
          </w:p>
        </w:tc>
        <w:tc>
          <w:tcPr>
            <w:tcW w:w="3671" w:type="dxa"/>
          </w:tcPr>
          <w:p w:rsidR="002624C0" w:rsidRPr="002624C0" w:rsidRDefault="002624C0" w:rsidP="002624C0">
            <w:r>
              <w:t>1 April 2018– 31 March 2019</w:t>
            </w:r>
          </w:p>
        </w:tc>
        <w:tc>
          <w:tcPr>
            <w:tcW w:w="724" w:type="dxa"/>
          </w:tcPr>
          <w:p w:rsidR="002624C0" w:rsidRPr="002624C0" w:rsidRDefault="002624C0" w:rsidP="002624C0">
            <w:r>
              <w:t>2</w:t>
            </w:r>
          </w:p>
        </w:tc>
        <w:tc>
          <w:tcPr>
            <w:tcW w:w="3623" w:type="dxa"/>
          </w:tcPr>
          <w:p w:rsidR="002624C0" w:rsidRPr="002624C0" w:rsidRDefault="002624C0" w:rsidP="002624C0">
            <w:r>
              <w:t>1 January 2017– 31 December 2017</w:t>
            </w:r>
          </w:p>
        </w:tc>
      </w:tr>
      <w:tr w:rsidR="002624C0" w:rsidRPr="002624C0" w:rsidTr="002624C0">
        <w:trPr>
          <w:cnfStyle w:val="000000010000" w:firstRow="0" w:lastRow="0" w:firstColumn="0" w:lastColumn="0" w:oddVBand="0" w:evenVBand="0" w:oddHBand="0" w:evenHBand="1" w:firstRowFirstColumn="0" w:firstRowLastColumn="0" w:lastRowFirstColumn="0" w:lastRowLastColumn="0"/>
        </w:trPr>
        <w:tc>
          <w:tcPr>
            <w:tcW w:w="675" w:type="dxa"/>
          </w:tcPr>
          <w:p w:rsidR="002624C0" w:rsidRPr="002624C0" w:rsidRDefault="002624C0" w:rsidP="002624C0">
            <w:r>
              <w:t>3</w:t>
            </w:r>
          </w:p>
        </w:tc>
        <w:tc>
          <w:tcPr>
            <w:tcW w:w="3671" w:type="dxa"/>
          </w:tcPr>
          <w:p w:rsidR="002624C0" w:rsidRPr="002624C0" w:rsidRDefault="002624C0" w:rsidP="002624C0">
            <w:r>
              <w:t>1 April 2019– 31 March 2020</w:t>
            </w:r>
          </w:p>
        </w:tc>
        <w:tc>
          <w:tcPr>
            <w:tcW w:w="724" w:type="dxa"/>
          </w:tcPr>
          <w:p w:rsidR="002624C0" w:rsidRPr="002624C0" w:rsidRDefault="002624C0" w:rsidP="002624C0">
            <w:r>
              <w:t>3</w:t>
            </w:r>
          </w:p>
        </w:tc>
        <w:tc>
          <w:tcPr>
            <w:tcW w:w="3623" w:type="dxa"/>
          </w:tcPr>
          <w:p w:rsidR="002624C0" w:rsidRPr="002624C0" w:rsidRDefault="002624C0" w:rsidP="002624C0">
            <w:r>
              <w:t>1 January 2018– 31 December 2018</w:t>
            </w:r>
          </w:p>
        </w:tc>
      </w:tr>
      <w:tr w:rsidR="002624C0" w:rsidRPr="002624C0" w:rsidTr="002624C0">
        <w:tc>
          <w:tcPr>
            <w:tcW w:w="675" w:type="dxa"/>
          </w:tcPr>
          <w:p w:rsidR="002624C0" w:rsidRPr="002624C0" w:rsidRDefault="002624C0" w:rsidP="002624C0">
            <w:r>
              <w:t>4</w:t>
            </w:r>
          </w:p>
        </w:tc>
        <w:tc>
          <w:tcPr>
            <w:tcW w:w="3671" w:type="dxa"/>
          </w:tcPr>
          <w:p w:rsidR="002624C0" w:rsidRPr="002624C0" w:rsidRDefault="002624C0" w:rsidP="002624C0">
            <w:r>
              <w:t>1 April 2020– 31 March 2021</w:t>
            </w:r>
          </w:p>
        </w:tc>
        <w:tc>
          <w:tcPr>
            <w:tcW w:w="724" w:type="dxa"/>
          </w:tcPr>
          <w:p w:rsidR="002624C0" w:rsidRPr="002624C0" w:rsidRDefault="002624C0" w:rsidP="002624C0">
            <w:r>
              <w:t>4</w:t>
            </w:r>
          </w:p>
        </w:tc>
        <w:tc>
          <w:tcPr>
            <w:tcW w:w="3623" w:type="dxa"/>
          </w:tcPr>
          <w:p w:rsidR="002624C0" w:rsidRPr="002624C0" w:rsidRDefault="002624C0" w:rsidP="002624C0">
            <w:r>
              <w:t>1 January 2019– 31 December 2019</w:t>
            </w:r>
          </w:p>
        </w:tc>
      </w:tr>
      <w:tr w:rsidR="002624C0" w:rsidRPr="002624C0" w:rsidTr="002624C0">
        <w:trPr>
          <w:cnfStyle w:val="000000010000" w:firstRow="0" w:lastRow="0" w:firstColumn="0" w:lastColumn="0" w:oddVBand="0" w:evenVBand="0" w:oddHBand="0" w:evenHBand="1" w:firstRowFirstColumn="0" w:firstRowLastColumn="0" w:lastRowFirstColumn="0" w:lastRowLastColumn="0"/>
        </w:trPr>
        <w:tc>
          <w:tcPr>
            <w:tcW w:w="675" w:type="dxa"/>
          </w:tcPr>
          <w:p w:rsidR="002624C0" w:rsidRPr="002624C0" w:rsidRDefault="002624C0" w:rsidP="002624C0">
            <w:r>
              <w:t>5</w:t>
            </w:r>
          </w:p>
        </w:tc>
        <w:tc>
          <w:tcPr>
            <w:tcW w:w="3671" w:type="dxa"/>
          </w:tcPr>
          <w:p w:rsidR="002624C0" w:rsidRPr="002624C0" w:rsidRDefault="002624C0" w:rsidP="002624C0">
            <w:r>
              <w:t>1 April 2021– 31 March 2022</w:t>
            </w:r>
          </w:p>
        </w:tc>
        <w:tc>
          <w:tcPr>
            <w:tcW w:w="724" w:type="dxa"/>
          </w:tcPr>
          <w:p w:rsidR="002624C0" w:rsidRPr="002624C0" w:rsidRDefault="002624C0" w:rsidP="002624C0">
            <w:r>
              <w:t>5</w:t>
            </w:r>
          </w:p>
        </w:tc>
        <w:tc>
          <w:tcPr>
            <w:tcW w:w="3623" w:type="dxa"/>
          </w:tcPr>
          <w:p w:rsidR="002624C0" w:rsidRPr="002624C0" w:rsidRDefault="002624C0" w:rsidP="002624C0">
            <w:r>
              <w:t>1 January 2020– 31 December 2020</w:t>
            </w:r>
          </w:p>
        </w:tc>
      </w:tr>
    </w:tbl>
    <w:p w:rsidR="000F2B6A" w:rsidRPr="000F2B6A" w:rsidRDefault="000F2B6A" w:rsidP="000F2B6A">
      <w:pPr>
        <w:pStyle w:val="AERtablesource"/>
      </w:pPr>
      <w:r>
        <w:t>Note:</w:t>
      </w:r>
      <w:r>
        <w:tab/>
      </w:r>
      <w:r w:rsidRPr="004568E4">
        <w:t>The performance incentive for 1 January 201</w:t>
      </w:r>
      <w:r>
        <w:t>6</w:t>
      </w:r>
      <w:r w:rsidRPr="004568E4">
        <w:t>–31 December 201</w:t>
      </w:r>
      <w:r>
        <w:t>6</w:t>
      </w:r>
      <w:r w:rsidRPr="004568E4">
        <w:t xml:space="preserve"> is to be applied to the AR determined for </w:t>
      </w:r>
      <w:r w:rsidRPr="004568E4">
        <w:br/>
        <w:t>201</w:t>
      </w:r>
      <w:r>
        <w:t>7</w:t>
      </w:r>
      <w:r w:rsidRPr="004568E4">
        <w:t>–1</w:t>
      </w:r>
      <w:r>
        <w:t>8</w:t>
      </w:r>
      <w:r w:rsidRPr="004568E4">
        <w:t xml:space="preserve"> (AR</w:t>
      </w:r>
      <w:r w:rsidRPr="000F2B6A">
        <w:rPr>
          <w:rStyle w:val="AERsubscript"/>
        </w:rPr>
        <w:t>1</w:t>
      </w:r>
      <w:r>
        <w:t>).</w:t>
      </w:r>
    </w:p>
    <w:p w:rsidR="00D905AD" w:rsidRDefault="00D905AD" w:rsidP="00167E3A">
      <w:pPr>
        <w:pStyle w:val="Heading3"/>
        <w:keepNext/>
      </w:pPr>
      <w:bookmarkStart w:id="29" w:name="_Toc456169875"/>
      <w:r>
        <w:t>Average transmission charges</w:t>
      </w:r>
      <w:bookmarkEnd w:id="29"/>
    </w:p>
    <w:p w:rsidR="00D905AD" w:rsidRPr="00D905AD" w:rsidRDefault="00E92071" w:rsidP="00E92071">
      <w:r>
        <w:t xml:space="preserve">The NER does not require an estimate of transmission charges for a revenue determination of a TNSP. Nonetheless, we typically provide some indicative transmission charges (and the resulting impact on annual electricity bills) flowing from </w:t>
      </w:r>
      <w:r>
        <w:lastRenderedPageBreak/>
        <w:t>the revenue determination as discussed in section</w:t>
      </w:r>
      <w:r w:rsidR="0088272F">
        <w:t xml:space="preserve"> </w:t>
      </w:r>
      <w:r w:rsidR="0088272F">
        <w:fldChar w:fldCharType="begin"/>
      </w:r>
      <w:r w:rsidR="0088272F">
        <w:instrText xml:space="preserve"> REF _Ref437867027 \r \h </w:instrText>
      </w:r>
      <w:r w:rsidR="0088272F">
        <w:fldChar w:fldCharType="separate"/>
      </w:r>
      <w:r w:rsidR="00D56C84">
        <w:t>1.4.3</w:t>
      </w:r>
      <w:r w:rsidR="0088272F">
        <w:fldChar w:fldCharType="end"/>
      </w:r>
      <w:r>
        <w:t>. Although we assess AusNet Services’ proposed pricing methodolog</w:t>
      </w:r>
      <w:r w:rsidR="00AC0F99">
        <w:t>y</w:t>
      </w:r>
      <w:r>
        <w:t xml:space="preserve"> as part of this determination, actual transmission charges established at particular connection points are not determined by us. AusNet Services</w:t>
      </w:r>
      <w:r w:rsidR="00F05F77">
        <w:t xml:space="preserve"> </w:t>
      </w:r>
      <w:r>
        <w:t>establish</w:t>
      </w:r>
      <w:r w:rsidR="001A05A2">
        <w:t>es</w:t>
      </w:r>
      <w:r>
        <w:t xml:space="preserve"> the transmissio</w:t>
      </w:r>
      <w:r w:rsidR="00ED6698">
        <w:t xml:space="preserve">n charges in accordance with </w:t>
      </w:r>
      <w:r w:rsidR="001A05A2">
        <w:t xml:space="preserve">its </w:t>
      </w:r>
      <w:r>
        <w:t>approved pricing methodolog</w:t>
      </w:r>
      <w:r w:rsidR="00AC0F99">
        <w:t>y</w:t>
      </w:r>
      <w:r>
        <w:t xml:space="preserve"> and the NER.</w:t>
      </w:r>
      <w:r>
        <w:rPr>
          <w:rStyle w:val="FootnoteReference"/>
        </w:rPr>
        <w:footnoteReference w:id="18"/>
      </w:r>
    </w:p>
    <w:p w:rsidR="00DE563D" w:rsidRDefault="00DE563D" w:rsidP="009822FF">
      <w:pPr>
        <w:pStyle w:val="Heading2"/>
        <w:keepNext/>
      </w:pPr>
      <w:bookmarkStart w:id="30" w:name="_Toc456169876"/>
      <w:r w:rsidRPr="001754EE">
        <w:t>Reasons</w:t>
      </w:r>
      <w:r>
        <w:t xml:space="preserve"> for </w:t>
      </w:r>
      <w:r w:rsidR="000B321F">
        <w:t>draft</w:t>
      </w:r>
      <w:r>
        <w:t xml:space="preserve"> decision</w:t>
      </w:r>
      <w:bookmarkEnd w:id="25"/>
      <w:bookmarkEnd w:id="30"/>
      <w:r>
        <w:t xml:space="preserve"> </w:t>
      </w:r>
    </w:p>
    <w:p w:rsidR="003366A6" w:rsidRDefault="00167E3A" w:rsidP="00167E3A">
      <w:pPr>
        <w:rPr>
          <w:rStyle w:val="AERbody"/>
        </w:rPr>
      </w:pPr>
      <w:r w:rsidRPr="00167E3A">
        <w:rPr>
          <w:rStyle w:val="AERbody"/>
        </w:rPr>
        <w:t>We determine a total annual building block revenue requirement of $</w:t>
      </w:r>
      <w:r w:rsidR="00A66547">
        <w:rPr>
          <w:rStyle w:val="AERbody"/>
        </w:rPr>
        <w:t>2</w:t>
      </w:r>
      <w:r w:rsidR="00915F5D">
        <w:rPr>
          <w:rStyle w:val="AERbody"/>
        </w:rPr>
        <w:t>694.3</w:t>
      </w:r>
      <w:r>
        <w:rPr>
          <w:rStyle w:val="AERbody"/>
        </w:rPr>
        <w:t> </w:t>
      </w:r>
      <w:r w:rsidRPr="00167E3A">
        <w:rPr>
          <w:rStyle w:val="AERbody"/>
        </w:rPr>
        <w:t>million ($</w:t>
      </w:r>
      <w:r>
        <w:rPr>
          <w:rStyle w:val="AERbody"/>
        </w:rPr>
        <w:t> </w:t>
      </w:r>
      <w:r w:rsidRPr="00167E3A">
        <w:rPr>
          <w:rStyle w:val="AERbody"/>
        </w:rPr>
        <w:t>nominal) for</w:t>
      </w:r>
      <w:r>
        <w:rPr>
          <w:rStyle w:val="AERbody"/>
        </w:rPr>
        <w:t xml:space="preserve"> AusNet Services</w:t>
      </w:r>
      <w:r w:rsidRPr="00167E3A">
        <w:rPr>
          <w:rStyle w:val="AERbody"/>
        </w:rPr>
        <w:t xml:space="preserve"> for the 201</w:t>
      </w:r>
      <w:r>
        <w:rPr>
          <w:rStyle w:val="AERbody"/>
        </w:rPr>
        <w:t>7</w:t>
      </w:r>
      <w:r w:rsidRPr="00167E3A">
        <w:rPr>
          <w:rStyle w:val="AERbody"/>
        </w:rPr>
        <w:t>–</w:t>
      </w:r>
      <w:r>
        <w:rPr>
          <w:rStyle w:val="AERbody"/>
        </w:rPr>
        <w:t>22</w:t>
      </w:r>
      <w:r w:rsidRPr="00167E3A">
        <w:rPr>
          <w:rStyle w:val="AERbody"/>
        </w:rPr>
        <w:t xml:space="preserve"> </w:t>
      </w:r>
      <w:r w:rsidR="003366A6">
        <w:rPr>
          <w:rStyle w:val="AERbody"/>
        </w:rPr>
        <w:t xml:space="preserve">regulatory control </w:t>
      </w:r>
      <w:r w:rsidRPr="00167E3A">
        <w:rPr>
          <w:rStyle w:val="AERbody"/>
        </w:rPr>
        <w:t xml:space="preserve">period. This compares to </w:t>
      </w:r>
      <w:r>
        <w:rPr>
          <w:rStyle w:val="AERbody"/>
        </w:rPr>
        <w:t>AusNet Services’</w:t>
      </w:r>
      <w:r w:rsidRPr="00167E3A">
        <w:rPr>
          <w:rStyle w:val="AERbody"/>
        </w:rPr>
        <w:t xml:space="preserve"> proposed total annual building block</w:t>
      </w:r>
      <w:r>
        <w:rPr>
          <w:rStyle w:val="AERbody"/>
        </w:rPr>
        <w:t xml:space="preserve"> </w:t>
      </w:r>
      <w:r w:rsidRPr="00167E3A">
        <w:rPr>
          <w:rStyle w:val="AERbody"/>
        </w:rPr>
        <w:t>revenue requirement of $</w:t>
      </w:r>
      <w:r>
        <w:rPr>
          <w:rStyle w:val="AERbody"/>
        </w:rPr>
        <w:t>3157.6 </w:t>
      </w:r>
      <w:r w:rsidRPr="00167E3A">
        <w:rPr>
          <w:rStyle w:val="AERbody"/>
        </w:rPr>
        <w:t>million ($</w:t>
      </w:r>
      <w:r>
        <w:rPr>
          <w:rStyle w:val="AERbody"/>
        </w:rPr>
        <w:t> </w:t>
      </w:r>
      <w:r w:rsidRPr="00167E3A">
        <w:rPr>
          <w:rStyle w:val="AERbody"/>
        </w:rPr>
        <w:t>nominal) for this period.</w:t>
      </w:r>
      <w:r w:rsidR="0017507C">
        <w:rPr>
          <w:rStyle w:val="AERbody"/>
        </w:rPr>
        <w:t xml:space="preserve"> </w:t>
      </w:r>
    </w:p>
    <w:p w:rsidR="00167E3A" w:rsidRDefault="00167E3A" w:rsidP="00167E3A">
      <w:pPr>
        <w:rPr>
          <w:rStyle w:val="AERbody"/>
        </w:rPr>
      </w:pPr>
      <w:r>
        <w:rPr>
          <w:rStyle w:val="AERbody"/>
        </w:rPr>
        <w:fldChar w:fldCharType="begin"/>
      </w:r>
      <w:r>
        <w:rPr>
          <w:rStyle w:val="AERbody"/>
        </w:rPr>
        <w:instrText xml:space="preserve"> REF _Ref437935040 \h </w:instrText>
      </w:r>
      <w:r>
        <w:rPr>
          <w:rStyle w:val="AERbody"/>
        </w:rPr>
      </w:r>
      <w:r>
        <w:rPr>
          <w:rStyle w:val="AERbody"/>
        </w:rPr>
        <w:fldChar w:fldCharType="separate"/>
      </w:r>
      <w:r w:rsidR="00D56C84">
        <w:t xml:space="preserve">Figure </w:t>
      </w:r>
      <w:r w:rsidR="00D56C84">
        <w:rPr>
          <w:noProof/>
        </w:rPr>
        <w:t>1</w:t>
      </w:r>
      <w:r w:rsidR="00D56C84">
        <w:t>.</w:t>
      </w:r>
      <w:r w:rsidR="00D56C84">
        <w:rPr>
          <w:noProof/>
        </w:rPr>
        <w:t>1</w:t>
      </w:r>
      <w:r>
        <w:rPr>
          <w:rStyle w:val="AERbody"/>
        </w:rPr>
        <w:fldChar w:fldCharType="end"/>
      </w:r>
      <w:r>
        <w:rPr>
          <w:rStyle w:val="AERbody"/>
        </w:rPr>
        <w:t xml:space="preserve"> </w:t>
      </w:r>
      <w:r w:rsidRPr="00167E3A">
        <w:rPr>
          <w:rStyle w:val="AERbody"/>
        </w:rPr>
        <w:t>shows the building block components from our determination that make up the annual</w:t>
      </w:r>
      <w:r>
        <w:rPr>
          <w:rStyle w:val="AERbody"/>
        </w:rPr>
        <w:t xml:space="preserve"> </w:t>
      </w:r>
      <w:r w:rsidRPr="00167E3A">
        <w:rPr>
          <w:rStyle w:val="AERbody"/>
        </w:rPr>
        <w:t xml:space="preserve">building block revenue requirement for </w:t>
      </w:r>
      <w:r>
        <w:rPr>
          <w:rStyle w:val="AERbody"/>
        </w:rPr>
        <w:t>AusNet Service</w:t>
      </w:r>
      <w:r w:rsidR="003366A6">
        <w:rPr>
          <w:rStyle w:val="AERbody"/>
        </w:rPr>
        <w:t>s</w:t>
      </w:r>
      <w:r w:rsidRPr="00167E3A">
        <w:rPr>
          <w:rStyle w:val="AERbody"/>
        </w:rPr>
        <w:t>, and the corresponding components from its</w:t>
      </w:r>
      <w:r>
        <w:rPr>
          <w:rStyle w:val="AERbody"/>
        </w:rPr>
        <w:t xml:space="preserve"> </w:t>
      </w:r>
      <w:r w:rsidRPr="00167E3A">
        <w:rPr>
          <w:rStyle w:val="AERbody"/>
        </w:rPr>
        <w:t>proposal.</w:t>
      </w:r>
    </w:p>
    <w:p w:rsidR="00167E3A" w:rsidRDefault="00167E3A" w:rsidP="00167E3A">
      <w:pPr>
        <w:pStyle w:val="Caption"/>
      </w:pPr>
      <w:bookmarkStart w:id="31" w:name="_Ref437935040"/>
      <w:r>
        <w:t xml:space="preserve">Figure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211DCF">
        <w:t>.</w:t>
      </w:r>
      <w:fldSimple w:instr=" SEQ Figure \* ARABIC \s 1 ">
        <w:r w:rsidR="00D56C84">
          <w:rPr>
            <w:noProof/>
          </w:rPr>
          <w:t>1</w:t>
        </w:r>
      </w:fldSimple>
      <w:bookmarkEnd w:id="31"/>
      <w:r>
        <w:tab/>
        <w:t>AER's draft decision and AusNet Services’ proposed annual building block revenue requirement ($ million, nominal)</w:t>
      </w:r>
    </w:p>
    <w:p w:rsidR="00167E3A" w:rsidRPr="00906396" w:rsidRDefault="00EC7935" w:rsidP="00167E3A">
      <w:pPr>
        <w:pStyle w:val="AERtablesource"/>
      </w:pPr>
      <w:r w:rsidRPr="00EC7935">
        <w:rPr>
          <w:noProof/>
          <w:lang w:eastAsia="en-AU"/>
        </w:rPr>
        <w:drawing>
          <wp:inline distT="0" distB="0" distL="0" distR="0" wp14:anchorId="374C1DC9" wp14:editId="7E1F89F3">
            <wp:extent cx="5382895" cy="355167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551673"/>
                    </a:xfrm>
                    <a:prstGeom prst="rect">
                      <a:avLst/>
                    </a:prstGeom>
                    <a:noFill/>
                    <a:ln>
                      <a:noFill/>
                    </a:ln>
                  </pic:spPr>
                </pic:pic>
              </a:graphicData>
            </a:graphic>
          </wp:inline>
        </w:drawing>
      </w:r>
    </w:p>
    <w:p w:rsidR="00906396" w:rsidRDefault="00906396" w:rsidP="00906396">
      <w:pPr>
        <w:pStyle w:val="AERtablesource"/>
      </w:pPr>
      <w:r>
        <w:t xml:space="preserve">Source: </w:t>
      </w:r>
      <w:r>
        <w:tab/>
        <w:t>AER analysis.</w:t>
      </w:r>
    </w:p>
    <w:p w:rsidR="0017507C" w:rsidRDefault="0017507C" w:rsidP="0017507C">
      <w:r>
        <w:t>The most significant changes to AusNet Services' proposal include:</w:t>
      </w:r>
    </w:p>
    <w:p w:rsidR="0017507C" w:rsidRDefault="0017507C" w:rsidP="0017507C">
      <w:pPr>
        <w:pStyle w:val="AERbulletlistfirststyle"/>
      </w:pPr>
      <w:r>
        <w:lastRenderedPageBreak/>
        <w:t xml:space="preserve">a reduction in the return on capital allowance of </w:t>
      </w:r>
      <w:r w:rsidR="00A66547">
        <w:t>16.</w:t>
      </w:r>
      <w:r w:rsidR="00906396">
        <w:t>8</w:t>
      </w:r>
      <w:r>
        <w:t xml:space="preserve"> per cent (attachments 2 and 3)</w:t>
      </w:r>
    </w:p>
    <w:p w:rsidR="0017507C" w:rsidRDefault="0017507C" w:rsidP="0017507C">
      <w:pPr>
        <w:pStyle w:val="AERbulletlistfirststyle"/>
      </w:pPr>
      <w:r>
        <w:t xml:space="preserve">a reduction in the regulatory depreciation allowance of </w:t>
      </w:r>
      <w:r w:rsidR="00477F4B">
        <w:t>13.</w:t>
      </w:r>
      <w:r w:rsidR="00015209">
        <w:t>5</w:t>
      </w:r>
      <w:r>
        <w:t xml:space="preserve"> per cent (attachment 5)</w:t>
      </w:r>
    </w:p>
    <w:p w:rsidR="0017507C" w:rsidRDefault="0017507C" w:rsidP="0017507C">
      <w:pPr>
        <w:pStyle w:val="AERbulletlistfirststyle"/>
      </w:pPr>
      <w:r>
        <w:t xml:space="preserve">a reduction in the capex allowance of </w:t>
      </w:r>
      <w:r w:rsidR="00A66547">
        <w:t>23.7</w:t>
      </w:r>
      <w:r>
        <w:t xml:space="preserve"> per cent (attachment 6)</w:t>
      </w:r>
    </w:p>
    <w:p w:rsidR="0017507C" w:rsidRDefault="0017507C" w:rsidP="0017507C">
      <w:pPr>
        <w:pStyle w:val="AERbulletlistfirststyle"/>
      </w:pPr>
      <w:r>
        <w:t xml:space="preserve">a reduction in the opex allowance of </w:t>
      </w:r>
      <w:r w:rsidR="00907A05">
        <w:t>6.1</w:t>
      </w:r>
      <w:r>
        <w:t xml:space="preserve"> per cent (attachment 7)</w:t>
      </w:r>
    </w:p>
    <w:p w:rsidR="0017507C" w:rsidRPr="0017507C" w:rsidRDefault="0017507C" w:rsidP="0017507C">
      <w:pPr>
        <w:pStyle w:val="AERbulletlistfirststyle"/>
      </w:pPr>
      <w:r>
        <w:t xml:space="preserve">a reduction in the cost of corporate income tax allowance of </w:t>
      </w:r>
      <w:r w:rsidR="00477F4B">
        <w:t>63.</w:t>
      </w:r>
      <w:r w:rsidR="00015209">
        <w:t>9</w:t>
      </w:r>
      <w:r>
        <w:t xml:space="preserve"> per cent (attachment 8).</w:t>
      </w:r>
    </w:p>
    <w:p w:rsidR="00CB51D7" w:rsidRPr="00CB51D7" w:rsidRDefault="00CB51D7" w:rsidP="00167E3A">
      <w:pPr>
        <w:pStyle w:val="Heading3"/>
        <w:keepNext/>
        <w:rPr>
          <w:rStyle w:val="AERbody"/>
          <w:color w:val="70635A" w:themeColor="text2"/>
          <w:sz w:val="28"/>
        </w:rPr>
      </w:pPr>
      <w:bookmarkStart w:id="32" w:name="_Toc456169877"/>
      <w:r w:rsidRPr="00CB51D7">
        <w:rPr>
          <w:rStyle w:val="AERbody"/>
          <w:color w:val="70635A" w:themeColor="text2"/>
          <w:sz w:val="28"/>
        </w:rPr>
        <w:t>X factor, annual expected MAR and estimated total revenue cap</w:t>
      </w:r>
      <w:bookmarkEnd w:id="32"/>
    </w:p>
    <w:p w:rsidR="00CB51D7" w:rsidRDefault="0017507C" w:rsidP="0017507C">
      <w:pPr>
        <w:rPr>
          <w:rStyle w:val="AERbody"/>
        </w:rPr>
      </w:pPr>
      <w:r w:rsidRPr="0017507C">
        <w:rPr>
          <w:rStyle w:val="AERbody"/>
        </w:rPr>
        <w:t>For this</w:t>
      </w:r>
      <w:r w:rsidR="00F05F77">
        <w:rPr>
          <w:rStyle w:val="AERbody"/>
        </w:rPr>
        <w:t xml:space="preserve"> draft decision, we determine </w:t>
      </w:r>
      <w:r w:rsidR="00906396">
        <w:rPr>
          <w:rStyle w:val="AERbody"/>
        </w:rPr>
        <w:t xml:space="preserve">an </w:t>
      </w:r>
      <w:r w:rsidRPr="0017507C">
        <w:rPr>
          <w:rStyle w:val="AERbody"/>
        </w:rPr>
        <w:t>X factor</w:t>
      </w:r>
      <w:r w:rsidR="00014B8C">
        <w:rPr>
          <w:rStyle w:val="AERbody"/>
        </w:rPr>
        <w:t xml:space="preserve"> for AusNet Services</w:t>
      </w:r>
      <w:r w:rsidRPr="0017507C">
        <w:rPr>
          <w:rStyle w:val="AERbody"/>
        </w:rPr>
        <w:t xml:space="preserve"> of </w:t>
      </w:r>
      <w:r w:rsidR="000358DD">
        <w:rPr>
          <w:rStyle w:val="AERbody"/>
        </w:rPr>
        <w:t>1.08</w:t>
      </w:r>
      <w:r w:rsidR="00014B8C">
        <w:rPr>
          <w:rStyle w:val="AERbody"/>
        </w:rPr>
        <w:t xml:space="preserve"> per cent per annum </w:t>
      </w:r>
      <w:r w:rsidR="003366A6">
        <w:rPr>
          <w:rStyle w:val="AERbody"/>
        </w:rPr>
        <w:t>for the four</w:t>
      </w:r>
      <w:r>
        <w:rPr>
          <w:rStyle w:val="AERbody"/>
        </w:rPr>
        <w:t xml:space="preserve"> years of the regulatory control period </w:t>
      </w:r>
      <w:r w:rsidR="00B66780">
        <w:rPr>
          <w:rStyle w:val="AERbody"/>
        </w:rPr>
        <w:t xml:space="preserve">from </w:t>
      </w:r>
      <w:r w:rsidRPr="0017507C">
        <w:rPr>
          <w:rStyle w:val="AERbody"/>
        </w:rPr>
        <w:t>201</w:t>
      </w:r>
      <w:r>
        <w:rPr>
          <w:rStyle w:val="AERbody"/>
        </w:rPr>
        <w:t>8</w:t>
      </w:r>
      <w:r w:rsidRPr="0017507C">
        <w:rPr>
          <w:rStyle w:val="AERbody"/>
        </w:rPr>
        <w:t>–1</w:t>
      </w:r>
      <w:r>
        <w:rPr>
          <w:rStyle w:val="AERbody"/>
        </w:rPr>
        <w:t xml:space="preserve">9 to </w:t>
      </w:r>
      <w:r w:rsidR="00B66780">
        <w:rPr>
          <w:rStyle w:val="AERbody"/>
        </w:rPr>
        <w:br/>
      </w:r>
      <w:r>
        <w:rPr>
          <w:rStyle w:val="AERbody"/>
        </w:rPr>
        <w:t>2021–22</w:t>
      </w:r>
      <w:r w:rsidRPr="0017507C">
        <w:rPr>
          <w:rStyle w:val="AERbody"/>
        </w:rPr>
        <w:t>.</w:t>
      </w:r>
      <w:r w:rsidR="002078BC">
        <w:rPr>
          <w:rStyle w:val="FootnoteReference"/>
          <w:rFonts w:ascii="Arial" w:hAnsi="Arial"/>
        </w:rPr>
        <w:footnoteReference w:id="19"/>
      </w:r>
      <w:r w:rsidRPr="0017507C">
        <w:rPr>
          <w:rStyle w:val="AERbody"/>
        </w:rPr>
        <w:t xml:space="preserve"> The NPV of the annual building block revenue requirement is</w:t>
      </w:r>
      <w:r>
        <w:rPr>
          <w:rStyle w:val="AERbody"/>
        </w:rPr>
        <w:t xml:space="preserve"> </w:t>
      </w:r>
      <w:r w:rsidRPr="0017507C">
        <w:rPr>
          <w:rStyle w:val="AERbody"/>
        </w:rPr>
        <w:t>$</w:t>
      </w:r>
      <w:r w:rsidR="00A66547">
        <w:rPr>
          <w:rStyle w:val="AERbody"/>
        </w:rPr>
        <w:t>22</w:t>
      </w:r>
      <w:r w:rsidR="000358DD">
        <w:rPr>
          <w:rStyle w:val="AERbody"/>
        </w:rPr>
        <w:t>5</w:t>
      </w:r>
      <w:r w:rsidR="00477F4B">
        <w:rPr>
          <w:rStyle w:val="AERbody"/>
        </w:rPr>
        <w:t>6.</w:t>
      </w:r>
      <w:r w:rsidR="00EB42D0">
        <w:rPr>
          <w:rStyle w:val="AERbody"/>
        </w:rPr>
        <w:t>8</w:t>
      </w:r>
      <w:r>
        <w:rPr>
          <w:rStyle w:val="AERbody"/>
        </w:rPr>
        <w:t> </w:t>
      </w:r>
      <w:r w:rsidRPr="0017507C">
        <w:rPr>
          <w:rStyle w:val="AERbody"/>
        </w:rPr>
        <w:t>million ($</w:t>
      </w:r>
      <w:r>
        <w:rPr>
          <w:rStyle w:val="AERbody"/>
        </w:rPr>
        <w:t> </w:t>
      </w:r>
      <w:r w:rsidRPr="0017507C">
        <w:rPr>
          <w:rStyle w:val="AERbody"/>
        </w:rPr>
        <w:t xml:space="preserve">nominal) as at 1 </w:t>
      </w:r>
      <w:r>
        <w:rPr>
          <w:rStyle w:val="AERbody"/>
        </w:rPr>
        <w:t>April</w:t>
      </w:r>
      <w:r w:rsidRPr="0017507C">
        <w:rPr>
          <w:rStyle w:val="AERbody"/>
        </w:rPr>
        <w:t xml:space="preserve"> 201</w:t>
      </w:r>
      <w:r>
        <w:rPr>
          <w:rStyle w:val="AERbody"/>
        </w:rPr>
        <w:t>7</w:t>
      </w:r>
      <w:r w:rsidRPr="0017507C">
        <w:rPr>
          <w:rStyle w:val="AERbody"/>
        </w:rPr>
        <w:t>. Based on this NPV and applying the CPI–X method, we determine that the</w:t>
      </w:r>
      <w:r>
        <w:rPr>
          <w:rStyle w:val="AERbody"/>
        </w:rPr>
        <w:t xml:space="preserve"> </w:t>
      </w:r>
      <w:r w:rsidRPr="0017507C">
        <w:rPr>
          <w:rStyle w:val="AERbody"/>
        </w:rPr>
        <w:t xml:space="preserve">annual expected MAR (smoothed) for </w:t>
      </w:r>
      <w:r>
        <w:rPr>
          <w:rStyle w:val="AERbody"/>
        </w:rPr>
        <w:t>AusNet Services</w:t>
      </w:r>
      <w:r w:rsidRPr="0017507C">
        <w:rPr>
          <w:rStyle w:val="AERbody"/>
        </w:rPr>
        <w:t xml:space="preserve"> </w:t>
      </w:r>
      <w:r w:rsidR="00A66547">
        <w:rPr>
          <w:rStyle w:val="AERbody"/>
        </w:rPr>
        <w:t>in</w:t>
      </w:r>
      <w:r w:rsidRPr="0017507C">
        <w:rPr>
          <w:rStyle w:val="AERbody"/>
        </w:rPr>
        <w:t>creases from $</w:t>
      </w:r>
      <w:r w:rsidR="00A66547">
        <w:rPr>
          <w:rStyle w:val="AERbody"/>
        </w:rPr>
        <w:t>524.</w:t>
      </w:r>
      <w:r w:rsidR="00477F4B">
        <w:rPr>
          <w:rStyle w:val="AERbody"/>
        </w:rPr>
        <w:t>8</w:t>
      </w:r>
      <w:r>
        <w:rPr>
          <w:rStyle w:val="AERbody"/>
        </w:rPr>
        <w:t> </w:t>
      </w:r>
      <w:r w:rsidRPr="0017507C">
        <w:rPr>
          <w:rStyle w:val="AERbody"/>
        </w:rPr>
        <w:t>million in 201</w:t>
      </w:r>
      <w:r>
        <w:rPr>
          <w:rStyle w:val="AERbody"/>
        </w:rPr>
        <w:t>7</w:t>
      </w:r>
      <w:r w:rsidRPr="0017507C">
        <w:rPr>
          <w:rStyle w:val="AERbody"/>
        </w:rPr>
        <w:t>–1</w:t>
      </w:r>
      <w:r>
        <w:rPr>
          <w:rStyle w:val="AERbody"/>
        </w:rPr>
        <w:t>8</w:t>
      </w:r>
      <w:r w:rsidRPr="0017507C">
        <w:rPr>
          <w:rStyle w:val="AERbody"/>
        </w:rPr>
        <w:t xml:space="preserve"> to</w:t>
      </w:r>
      <w:r>
        <w:rPr>
          <w:rStyle w:val="AERbody"/>
        </w:rPr>
        <w:t xml:space="preserve"> </w:t>
      </w:r>
      <w:r w:rsidRPr="0017507C">
        <w:rPr>
          <w:rStyle w:val="AERbody"/>
        </w:rPr>
        <w:t>$</w:t>
      </w:r>
      <w:r w:rsidR="00A66547">
        <w:rPr>
          <w:rStyle w:val="AERbody"/>
        </w:rPr>
        <w:t>55</w:t>
      </w:r>
      <w:r w:rsidR="000358DD">
        <w:rPr>
          <w:rStyle w:val="AERbody"/>
        </w:rPr>
        <w:t>3</w:t>
      </w:r>
      <w:r w:rsidR="00477F4B">
        <w:rPr>
          <w:rStyle w:val="AERbody"/>
        </w:rPr>
        <w:t>.</w:t>
      </w:r>
      <w:r w:rsidR="00EB42D0">
        <w:rPr>
          <w:rStyle w:val="AERbody"/>
        </w:rPr>
        <w:t>4</w:t>
      </w:r>
      <w:r>
        <w:rPr>
          <w:rStyle w:val="AERbody"/>
        </w:rPr>
        <w:t> </w:t>
      </w:r>
      <w:r w:rsidRPr="0017507C">
        <w:rPr>
          <w:rStyle w:val="AERbody"/>
        </w:rPr>
        <w:t>million in 20</w:t>
      </w:r>
      <w:r>
        <w:rPr>
          <w:rStyle w:val="AERbody"/>
        </w:rPr>
        <w:t>21</w:t>
      </w:r>
      <w:r w:rsidRPr="0017507C">
        <w:rPr>
          <w:rStyle w:val="AERbody"/>
        </w:rPr>
        <w:t>–</w:t>
      </w:r>
      <w:r>
        <w:rPr>
          <w:rStyle w:val="AERbody"/>
        </w:rPr>
        <w:t>22</w:t>
      </w:r>
      <w:r w:rsidRPr="0017507C">
        <w:rPr>
          <w:rStyle w:val="AERbody"/>
        </w:rPr>
        <w:t xml:space="preserve"> ($</w:t>
      </w:r>
      <w:r>
        <w:rPr>
          <w:rStyle w:val="AERbody"/>
        </w:rPr>
        <w:t> </w:t>
      </w:r>
      <w:r w:rsidRPr="0017507C">
        <w:rPr>
          <w:rStyle w:val="AERbody"/>
        </w:rPr>
        <w:t xml:space="preserve">nominal). The resulting estimated total revenue cap for </w:t>
      </w:r>
      <w:r>
        <w:rPr>
          <w:rStyle w:val="AERbody"/>
        </w:rPr>
        <w:t>AusNet Services</w:t>
      </w:r>
      <w:r w:rsidRPr="0017507C">
        <w:rPr>
          <w:rStyle w:val="AERbody"/>
        </w:rPr>
        <w:t xml:space="preserve"> is</w:t>
      </w:r>
      <w:r>
        <w:rPr>
          <w:rStyle w:val="AERbody"/>
        </w:rPr>
        <w:t xml:space="preserve"> </w:t>
      </w:r>
      <w:r w:rsidRPr="0017507C">
        <w:rPr>
          <w:rStyle w:val="AERbody"/>
        </w:rPr>
        <w:t>$</w:t>
      </w:r>
      <w:r w:rsidR="00477F4B">
        <w:rPr>
          <w:rStyle w:val="AERbody"/>
        </w:rPr>
        <w:t>2</w:t>
      </w:r>
      <w:r w:rsidR="00EB42D0">
        <w:rPr>
          <w:rStyle w:val="AERbody"/>
        </w:rPr>
        <w:t>695.0</w:t>
      </w:r>
      <w:r>
        <w:rPr>
          <w:rStyle w:val="AERbody"/>
        </w:rPr>
        <w:t> </w:t>
      </w:r>
      <w:r w:rsidRPr="0017507C">
        <w:rPr>
          <w:rStyle w:val="AERbody"/>
        </w:rPr>
        <w:t>million for the 201</w:t>
      </w:r>
      <w:r>
        <w:rPr>
          <w:rStyle w:val="AERbody"/>
        </w:rPr>
        <w:t>7</w:t>
      </w:r>
      <w:r w:rsidRPr="0017507C">
        <w:rPr>
          <w:rStyle w:val="AERbody"/>
        </w:rPr>
        <w:t>–</w:t>
      </w:r>
      <w:r>
        <w:rPr>
          <w:rStyle w:val="AERbody"/>
        </w:rPr>
        <w:t>22</w:t>
      </w:r>
      <w:r w:rsidRPr="0017507C">
        <w:rPr>
          <w:rStyle w:val="AERbody"/>
        </w:rPr>
        <w:t xml:space="preserve"> </w:t>
      </w:r>
      <w:r>
        <w:rPr>
          <w:rStyle w:val="AERbody"/>
        </w:rPr>
        <w:t xml:space="preserve">regulatory control </w:t>
      </w:r>
      <w:r w:rsidRPr="0017507C">
        <w:rPr>
          <w:rStyle w:val="AERbody"/>
        </w:rPr>
        <w:t>period.</w:t>
      </w:r>
    </w:p>
    <w:p w:rsidR="00014B8C" w:rsidRDefault="003366A6" w:rsidP="00014B8C">
      <w:pPr>
        <w:rPr>
          <w:rStyle w:val="AERbody"/>
        </w:rPr>
      </w:pPr>
      <w:r>
        <w:rPr>
          <w:rStyle w:val="AERbody"/>
        </w:rPr>
        <w:fldChar w:fldCharType="begin"/>
      </w:r>
      <w:r>
        <w:rPr>
          <w:rStyle w:val="AERbody"/>
        </w:rPr>
        <w:instrText xml:space="preserve"> REF _Ref441235635 \h </w:instrText>
      </w:r>
      <w:r>
        <w:rPr>
          <w:rStyle w:val="AERbody"/>
        </w:rPr>
      </w:r>
      <w:r>
        <w:rPr>
          <w:rStyle w:val="AERbody"/>
        </w:rPr>
        <w:fldChar w:fldCharType="separate"/>
      </w:r>
      <w:r w:rsidR="00D56C84">
        <w:t xml:space="preserve">Figure </w:t>
      </w:r>
      <w:r w:rsidR="00D56C84">
        <w:rPr>
          <w:noProof/>
        </w:rPr>
        <w:t>1</w:t>
      </w:r>
      <w:r w:rsidR="00D56C84">
        <w:t>.</w:t>
      </w:r>
      <w:r w:rsidR="00D56C84">
        <w:rPr>
          <w:noProof/>
        </w:rPr>
        <w:t>2</w:t>
      </w:r>
      <w:r>
        <w:rPr>
          <w:rStyle w:val="AERbody"/>
        </w:rPr>
        <w:fldChar w:fldCharType="end"/>
      </w:r>
      <w:r>
        <w:rPr>
          <w:rStyle w:val="AERbody"/>
        </w:rPr>
        <w:t xml:space="preserve"> </w:t>
      </w:r>
      <w:r w:rsidR="00014B8C" w:rsidRPr="00014B8C">
        <w:rPr>
          <w:rStyle w:val="AERbody"/>
        </w:rPr>
        <w:t xml:space="preserve">shows our draft decision on </w:t>
      </w:r>
      <w:r w:rsidR="00014B8C">
        <w:rPr>
          <w:rStyle w:val="AERbody"/>
        </w:rPr>
        <w:t>AusNet Services’</w:t>
      </w:r>
      <w:r w:rsidR="00014B8C" w:rsidRPr="00014B8C">
        <w:rPr>
          <w:rStyle w:val="AERbody"/>
        </w:rPr>
        <w:t xml:space="preserve"> annual expected MAR (smoothed revenue) and</w:t>
      </w:r>
      <w:r w:rsidR="00014B8C">
        <w:rPr>
          <w:rStyle w:val="AERbody"/>
        </w:rPr>
        <w:t xml:space="preserve"> </w:t>
      </w:r>
      <w:r w:rsidR="00014B8C" w:rsidRPr="00014B8C">
        <w:rPr>
          <w:rStyle w:val="AERbody"/>
        </w:rPr>
        <w:t>the annual building block revenue requirement (unsmoothed revenue) for the 201</w:t>
      </w:r>
      <w:r w:rsidR="00BB3456">
        <w:rPr>
          <w:rStyle w:val="AERbody"/>
        </w:rPr>
        <w:t>7</w:t>
      </w:r>
      <w:r w:rsidR="00014B8C" w:rsidRPr="00014B8C">
        <w:rPr>
          <w:rStyle w:val="AERbody"/>
        </w:rPr>
        <w:t>–</w:t>
      </w:r>
      <w:r w:rsidR="00BB3456">
        <w:rPr>
          <w:rStyle w:val="AERbody"/>
        </w:rPr>
        <w:t>22</w:t>
      </w:r>
      <w:r w:rsidR="00014B8C" w:rsidRPr="00014B8C">
        <w:rPr>
          <w:rStyle w:val="AERbody"/>
        </w:rPr>
        <w:t xml:space="preserve"> </w:t>
      </w:r>
      <w:r w:rsidR="00BB3456">
        <w:rPr>
          <w:rStyle w:val="AERbody"/>
        </w:rPr>
        <w:t xml:space="preserve">regulatory control </w:t>
      </w:r>
      <w:r w:rsidR="00014B8C" w:rsidRPr="00014B8C">
        <w:rPr>
          <w:rStyle w:val="AERbody"/>
        </w:rPr>
        <w:t>period.</w:t>
      </w:r>
    </w:p>
    <w:p w:rsidR="00BB3456" w:rsidRDefault="00BB3456" w:rsidP="00BB3456">
      <w:pPr>
        <w:pStyle w:val="Caption"/>
      </w:pPr>
      <w:bookmarkStart w:id="33" w:name="_Ref441235635"/>
      <w:r>
        <w:lastRenderedPageBreak/>
        <w:t xml:space="preserve">Figure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211DCF">
        <w:t>.</w:t>
      </w:r>
      <w:fldSimple w:instr=" SEQ Figure \* ARABIC \s 1 ">
        <w:r w:rsidR="00D56C84">
          <w:rPr>
            <w:noProof/>
          </w:rPr>
          <w:t>2</w:t>
        </w:r>
      </w:fldSimple>
      <w:bookmarkEnd w:id="33"/>
      <w:r>
        <w:tab/>
        <w:t>AER's draft decision on AusNet Services’ annual expected MAR (smoothed) and annual building block revenue requirement (unsmoothed) ($ million, nominal)</w:t>
      </w:r>
    </w:p>
    <w:p w:rsidR="00BB3456" w:rsidRPr="00BB3456" w:rsidRDefault="00EC7935" w:rsidP="00BB3456">
      <w:pPr>
        <w:pStyle w:val="AERtablesource"/>
        <w:rPr>
          <w:rStyle w:val="AERsuperscript"/>
          <w:vertAlign w:val="baseline"/>
        </w:rPr>
      </w:pPr>
      <w:r w:rsidRPr="00EC7935">
        <w:rPr>
          <w:noProof/>
          <w:lang w:eastAsia="en-AU"/>
        </w:rPr>
        <w:drawing>
          <wp:inline distT="0" distB="0" distL="0" distR="0" wp14:anchorId="1AFC18A1" wp14:editId="54499ACD">
            <wp:extent cx="5348605" cy="323469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8605" cy="3234690"/>
                    </a:xfrm>
                    <a:prstGeom prst="rect">
                      <a:avLst/>
                    </a:prstGeom>
                    <a:noFill/>
                    <a:ln>
                      <a:noFill/>
                    </a:ln>
                  </pic:spPr>
                </pic:pic>
              </a:graphicData>
            </a:graphic>
          </wp:inline>
        </w:drawing>
      </w:r>
    </w:p>
    <w:p w:rsidR="00906396" w:rsidRDefault="00906396" w:rsidP="00906396">
      <w:pPr>
        <w:pStyle w:val="AERtablesource"/>
      </w:pPr>
      <w:r>
        <w:t xml:space="preserve">Source: </w:t>
      </w:r>
      <w:r>
        <w:tab/>
        <w:t>AER analysis.</w:t>
      </w:r>
    </w:p>
    <w:p w:rsidR="003366A6" w:rsidRPr="00C729DC" w:rsidRDefault="003366A6" w:rsidP="003366A6">
      <w:r w:rsidRPr="00C729DC">
        <w:t>To determine t</w:t>
      </w:r>
      <w:r>
        <w:t>he expected MAR for AusNet Services</w:t>
      </w:r>
      <w:r w:rsidRPr="00C729DC">
        <w:t xml:space="preserve">, </w:t>
      </w:r>
      <w:r>
        <w:t>we have set the MAR for the first regulatory year at $</w:t>
      </w:r>
      <w:r w:rsidR="00A66547">
        <w:t>524.</w:t>
      </w:r>
      <w:r w:rsidR="00477F4B">
        <w:t>8</w:t>
      </w:r>
      <w:r>
        <w:t xml:space="preserve"> million ($ nominal) which is $</w:t>
      </w:r>
      <w:r w:rsidR="00EB42D0">
        <w:t>1.7</w:t>
      </w:r>
      <w:r w:rsidR="000358DD">
        <w:t xml:space="preserve"> </w:t>
      </w:r>
      <w:r>
        <w:t xml:space="preserve">million </w:t>
      </w:r>
      <w:r w:rsidR="00906396">
        <w:t>higher</w:t>
      </w:r>
      <w:r>
        <w:t xml:space="preserve"> than the annual building block revenue requirement. W</w:t>
      </w:r>
      <w:r w:rsidRPr="00C729DC">
        <w:t xml:space="preserve">e </w:t>
      </w:r>
      <w:r>
        <w:t xml:space="preserve">then </w:t>
      </w:r>
      <w:r w:rsidRPr="00C729DC">
        <w:t xml:space="preserve">applied an X factor of </w:t>
      </w:r>
      <w:r w:rsidR="000358DD">
        <w:t>1.08</w:t>
      </w:r>
      <w:r w:rsidRPr="00C729DC">
        <w:t xml:space="preserve"> per cent per annum</w:t>
      </w:r>
      <w:r>
        <w:t xml:space="preserve"> t</w:t>
      </w:r>
      <w:r w:rsidRPr="00C729DC">
        <w:t>o determine the expected MAR in subsequent years.</w:t>
      </w:r>
      <w:r w:rsidRPr="00C729DC">
        <w:rPr>
          <w:rStyle w:val="FootnoteReference"/>
        </w:rPr>
        <w:footnoteReference w:id="20"/>
      </w:r>
      <w:r w:rsidRPr="00C729DC">
        <w:t xml:space="preserve"> 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t>.</w:t>
      </w:r>
      <w:r>
        <w:rPr>
          <w:rStyle w:val="FootnoteReference"/>
        </w:rPr>
        <w:footnoteReference w:id="21"/>
      </w:r>
      <w:r>
        <w:t xml:space="preserve"> </w:t>
      </w:r>
    </w:p>
    <w:p w:rsidR="00BB3456" w:rsidRDefault="00BB3456" w:rsidP="00BB3456">
      <w:pPr>
        <w:rPr>
          <w:rStyle w:val="AERbody"/>
        </w:rPr>
      </w:pPr>
      <w:r w:rsidRPr="00BB3456">
        <w:rPr>
          <w:rStyle w:val="AERbody"/>
        </w:rPr>
        <w:t xml:space="preserve">The average </w:t>
      </w:r>
      <w:r w:rsidR="00D82349">
        <w:rPr>
          <w:rStyle w:val="AERbody"/>
        </w:rPr>
        <w:t>in</w:t>
      </w:r>
      <w:r w:rsidRPr="00BB3456">
        <w:rPr>
          <w:rStyle w:val="AERbody"/>
        </w:rPr>
        <w:t xml:space="preserve">crease in our approved expected MAR is </w:t>
      </w:r>
      <w:r w:rsidR="004565DD">
        <w:rPr>
          <w:rStyle w:val="AERbody"/>
        </w:rPr>
        <w:t>0.9</w:t>
      </w:r>
      <w:r>
        <w:rPr>
          <w:rStyle w:val="AERbody"/>
        </w:rPr>
        <w:t> </w:t>
      </w:r>
      <w:r w:rsidRPr="00BB3456">
        <w:rPr>
          <w:rStyle w:val="AERbody"/>
        </w:rPr>
        <w:t>per cent per annum ($</w:t>
      </w:r>
      <w:r>
        <w:rPr>
          <w:rStyle w:val="AERbody"/>
        </w:rPr>
        <w:t> </w:t>
      </w:r>
      <w:r w:rsidRPr="00BB3456">
        <w:rPr>
          <w:rStyle w:val="AERbody"/>
        </w:rPr>
        <w:t>nominal) over the</w:t>
      </w:r>
      <w:r>
        <w:rPr>
          <w:rStyle w:val="AERbody"/>
        </w:rPr>
        <w:t xml:space="preserve"> 2017</w:t>
      </w:r>
      <w:r w:rsidRPr="00BB3456">
        <w:rPr>
          <w:rStyle w:val="AERbody"/>
        </w:rPr>
        <w:t>–</w:t>
      </w:r>
      <w:r>
        <w:rPr>
          <w:rStyle w:val="AERbody"/>
        </w:rPr>
        <w:t>22</w:t>
      </w:r>
      <w:r w:rsidR="00571B3F">
        <w:rPr>
          <w:rStyle w:val="AERbody"/>
        </w:rPr>
        <w:t xml:space="preserve"> regulatory control</w:t>
      </w:r>
      <w:r w:rsidRPr="00BB3456">
        <w:rPr>
          <w:rStyle w:val="AERbody"/>
        </w:rPr>
        <w:t xml:space="preserve"> period.</w:t>
      </w:r>
      <w:r>
        <w:rPr>
          <w:rStyle w:val="FootnoteReference"/>
        </w:rPr>
        <w:footnoteReference w:id="22"/>
      </w:r>
      <w:r w:rsidRPr="00BB3456">
        <w:rPr>
          <w:rStyle w:val="AERbody"/>
        </w:rPr>
        <w:t xml:space="preserve"> This consists of an initial decrease of </w:t>
      </w:r>
      <w:r w:rsidR="00D82349">
        <w:rPr>
          <w:rStyle w:val="AERbody"/>
        </w:rPr>
        <w:t>0.</w:t>
      </w:r>
      <w:r w:rsidR="00477F4B">
        <w:rPr>
          <w:rStyle w:val="AERbody"/>
        </w:rPr>
        <w:t>6</w:t>
      </w:r>
      <w:r w:rsidR="009B1601">
        <w:rPr>
          <w:rStyle w:val="AERbody"/>
        </w:rPr>
        <w:t> </w:t>
      </w:r>
      <w:r w:rsidRPr="00BB3456">
        <w:rPr>
          <w:rStyle w:val="AERbody"/>
        </w:rPr>
        <w:t>per cent from 201</w:t>
      </w:r>
      <w:r w:rsidR="009B1601">
        <w:rPr>
          <w:rStyle w:val="AERbody"/>
        </w:rPr>
        <w:t>6</w:t>
      </w:r>
      <w:r w:rsidRPr="00BB3456">
        <w:rPr>
          <w:rStyle w:val="AERbody"/>
        </w:rPr>
        <w:t>–1</w:t>
      </w:r>
      <w:r w:rsidR="009B1601">
        <w:rPr>
          <w:rStyle w:val="AERbody"/>
        </w:rPr>
        <w:t>7</w:t>
      </w:r>
      <w:r w:rsidRPr="00BB3456">
        <w:rPr>
          <w:rStyle w:val="AERbody"/>
        </w:rPr>
        <w:t xml:space="preserve"> to 201</w:t>
      </w:r>
      <w:r w:rsidR="009B1601">
        <w:rPr>
          <w:rStyle w:val="AERbody"/>
        </w:rPr>
        <w:t>7</w:t>
      </w:r>
      <w:r w:rsidRPr="00BB3456">
        <w:rPr>
          <w:rStyle w:val="AERbody"/>
        </w:rPr>
        <w:t>–</w:t>
      </w:r>
      <w:r w:rsidR="009B1601">
        <w:rPr>
          <w:rStyle w:val="AERbody"/>
        </w:rPr>
        <w:t>18</w:t>
      </w:r>
      <w:r w:rsidRPr="00BB3456">
        <w:rPr>
          <w:rStyle w:val="AERbody"/>
        </w:rPr>
        <w:t>,</w:t>
      </w:r>
      <w:r>
        <w:rPr>
          <w:rStyle w:val="AERbody"/>
        </w:rPr>
        <w:t xml:space="preserve"> </w:t>
      </w:r>
      <w:r w:rsidRPr="00BB3456">
        <w:rPr>
          <w:rStyle w:val="AERbody"/>
        </w:rPr>
        <w:t>followed by average annual</w:t>
      </w:r>
      <w:r>
        <w:rPr>
          <w:rStyle w:val="AERbody"/>
        </w:rPr>
        <w:t xml:space="preserve"> </w:t>
      </w:r>
      <w:r w:rsidRPr="00BB3456">
        <w:rPr>
          <w:rStyle w:val="AERbody"/>
        </w:rPr>
        <w:t>increase</w:t>
      </w:r>
      <w:r w:rsidR="009B1601">
        <w:rPr>
          <w:rStyle w:val="AERbody"/>
        </w:rPr>
        <w:t>s</w:t>
      </w:r>
      <w:r w:rsidRPr="00BB3456">
        <w:rPr>
          <w:rStyle w:val="AERbody"/>
        </w:rPr>
        <w:t xml:space="preserve"> of </w:t>
      </w:r>
      <w:r w:rsidR="00D82349">
        <w:rPr>
          <w:rStyle w:val="AERbody"/>
        </w:rPr>
        <w:t>1.</w:t>
      </w:r>
      <w:r w:rsidR="00B551BA">
        <w:rPr>
          <w:rStyle w:val="AERbody"/>
        </w:rPr>
        <w:t>3</w:t>
      </w:r>
      <w:r w:rsidR="009B1601">
        <w:rPr>
          <w:rStyle w:val="AERbody"/>
        </w:rPr>
        <w:t> </w:t>
      </w:r>
      <w:r w:rsidRPr="00BB3456">
        <w:rPr>
          <w:rStyle w:val="AERbody"/>
        </w:rPr>
        <w:t>per cent during the remainder of the 201</w:t>
      </w:r>
      <w:r w:rsidR="009B1601">
        <w:rPr>
          <w:rStyle w:val="AERbody"/>
        </w:rPr>
        <w:t>7</w:t>
      </w:r>
      <w:r w:rsidRPr="00BB3456">
        <w:rPr>
          <w:rStyle w:val="AERbody"/>
        </w:rPr>
        <w:t>–</w:t>
      </w:r>
      <w:r w:rsidR="009B1601">
        <w:rPr>
          <w:rStyle w:val="AERbody"/>
        </w:rPr>
        <w:t>22</w:t>
      </w:r>
      <w:r w:rsidRPr="00BB3456">
        <w:rPr>
          <w:rStyle w:val="AERbody"/>
        </w:rPr>
        <w:t xml:space="preserve"> </w:t>
      </w:r>
      <w:r w:rsidR="009B1601">
        <w:rPr>
          <w:rStyle w:val="AERbody"/>
        </w:rPr>
        <w:t xml:space="preserve">regulatory control </w:t>
      </w:r>
      <w:r w:rsidRPr="00BB3456">
        <w:rPr>
          <w:rStyle w:val="AERbody"/>
        </w:rPr>
        <w:lastRenderedPageBreak/>
        <w:t>period.</w:t>
      </w:r>
      <w:r w:rsidR="009B1601">
        <w:rPr>
          <w:rStyle w:val="FootnoteReference"/>
        </w:rPr>
        <w:footnoteReference w:id="23"/>
      </w:r>
      <w:r w:rsidRPr="00BB3456">
        <w:rPr>
          <w:rStyle w:val="AERbody"/>
        </w:rPr>
        <w:t xml:space="preserve"> Our draft decision results in a</w:t>
      </w:r>
      <w:r>
        <w:rPr>
          <w:rStyle w:val="AERbody"/>
        </w:rPr>
        <w:t xml:space="preserve"> </w:t>
      </w:r>
      <w:r w:rsidRPr="00BB3456">
        <w:rPr>
          <w:rStyle w:val="AERbody"/>
        </w:rPr>
        <w:t xml:space="preserve">decrease of </w:t>
      </w:r>
      <w:r w:rsidR="00A9087C">
        <w:rPr>
          <w:rStyle w:val="AERbody"/>
        </w:rPr>
        <w:t>8.0</w:t>
      </w:r>
      <w:r w:rsidR="009B1601">
        <w:rPr>
          <w:rStyle w:val="AERbody"/>
        </w:rPr>
        <w:t> </w:t>
      </w:r>
      <w:r w:rsidRPr="00BB3456">
        <w:rPr>
          <w:rStyle w:val="AERbody"/>
        </w:rPr>
        <w:t>per cent in real terms ($201</w:t>
      </w:r>
      <w:r w:rsidR="009B1601">
        <w:rPr>
          <w:rStyle w:val="AERbody"/>
        </w:rPr>
        <w:t>6</w:t>
      </w:r>
      <w:r w:rsidRPr="00BB3456">
        <w:rPr>
          <w:rStyle w:val="AERbody"/>
        </w:rPr>
        <w:t>–1</w:t>
      </w:r>
      <w:r w:rsidR="009B1601">
        <w:rPr>
          <w:rStyle w:val="AERbody"/>
        </w:rPr>
        <w:t>7</w:t>
      </w:r>
      <w:r w:rsidRPr="00BB3456">
        <w:rPr>
          <w:rStyle w:val="AERbody"/>
        </w:rPr>
        <w:t xml:space="preserve">) to </w:t>
      </w:r>
      <w:r w:rsidR="009B1601">
        <w:rPr>
          <w:rStyle w:val="AERbody"/>
        </w:rPr>
        <w:t>AusNet Services’</w:t>
      </w:r>
      <w:r w:rsidRPr="00BB3456">
        <w:rPr>
          <w:rStyle w:val="AERbody"/>
        </w:rPr>
        <w:t xml:space="preserve"> </w:t>
      </w:r>
      <w:r w:rsidR="009B1601">
        <w:rPr>
          <w:rStyle w:val="AERbody"/>
        </w:rPr>
        <w:t xml:space="preserve">average annual </w:t>
      </w:r>
      <w:r w:rsidR="00477F4B">
        <w:rPr>
          <w:rStyle w:val="AERbody"/>
        </w:rPr>
        <w:t xml:space="preserve">allowed </w:t>
      </w:r>
      <w:r w:rsidRPr="00BB3456">
        <w:rPr>
          <w:rStyle w:val="AERbody"/>
        </w:rPr>
        <w:t>revenue relative to that in the</w:t>
      </w:r>
      <w:r>
        <w:rPr>
          <w:rStyle w:val="AERbody"/>
        </w:rPr>
        <w:t xml:space="preserve"> </w:t>
      </w:r>
      <w:r w:rsidRPr="00BB3456">
        <w:rPr>
          <w:rStyle w:val="AERbody"/>
        </w:rPr>
        <w:t>20</w:t>
      </w:r>
      <w:r w:rsidR="009B1601">
        <w:rPr>
          <w:rStyle w:val="AERbody"/>
        </w:rPr>
        <w:t>14</w:t>
      </w:r>
      <w:r w:rsidRPr="00BB3456">
        <w:rPr>
          <w:rStyle w:val="AERbody"/>
        </w:rPr>
        <w:t>–</w:t>
      </w:r>
      <w:r w:rsidR="009B1601">
        <w:rPr>
          <w:rStyle w:val="AERbody"/>
        </w:rPr>
        <w:t>17</w:t>
      </w:r>
      <w:r w:rsidRPr="00BB3456">
        <w:rPr>
          <w:rStyle w:val="AERbody"/>
        </w:rPr>
        <w:t xml:space="preserve"> regulatory control period. This decrease is primarily because of a lower rate of return</w:t>
      </w:r>
      <w:r>
        <w:rPr>
          <w:rStyle w:val="AERbody"/>
        </w:rPr>
        <w:t xml:space="preserve"> </w:t>
      </w:r>
      <w:r w:rsidRPr="00BB3456">
        <w:rPr>
          <w:rStyle w:val="AERbody"/>
        </w:rPr>
        <w:t>and capex applied in this draft decision for the 201</w:t>
      </w:r>
      <w:r w:rsidR="009B1601">
        <w:rPr>
          <w:rStyle w:val="AERbody"/>
        </w:rPr>
        <w:t>7</w:t>
      </w:r>
      <w:r w:rsidRPr="00BB3456">
        <w:rPr>
          <w:rStyle w:val="AERbody"/>
        </w:rPr>
        <w:t>–</w:t>
      </w:r>
      <w:r w:rsidR="009B1601">
        <w:rPr>
          <w:rStyle w:val="AERbody"/>
        </w:rPr>
        <w:t>22 regulatory control</w:t>
      </w:r>
      <w:r w:rsidRPr="00BB3456">
        <w:rPr>
          <w:rStyle w:val="AERbody"/>
        </w:rPr>
        <w:t xml:space="preserve"> period than were approved in</w:t>
      </w:r>
      <w:r>
        <w:rPr>
          <w:rStyle w:val="AERbody"/>
        </w:rPr>
        <w:t xml:space="preserve"> </w:t>
      </w:r>
      <w:r w:rsidRPr="00BB3456">
        <w:rPr>
          <w:rStyle w:val="AERbody"/>
        </w:rPr>
        <w:t>the 20</w:t>
      </w:r>
      <w:r w:rsidR="009B1601">
        <w:rPr>
          <w:rStyle w:val="AERbody"/>
        </w:rPr>
        <w:t>14</w:t>
      </w:r>
      <w:r w:rsidRPr="00BB3456">
        <w:rPr>
          <w:rStyle w:val="AERbody"/>
        </w:rPr>
        <w:t>–1</w:t>
      </w:r>
      <w:r w:rsidR="009B1601">
        <w:rPr>
          <w:rStyle w:val="AERbody"/>
        </w:rPr>
        <w:t>7</w:t>
      </w:r>
      <w:r w:rsidRPr="00BB3456">
        <w:rPr>
          <w:rStyle w:val="AERbody"/>
        </w:rPr>
        <w:t xml:space="preserve"> </w:t>
      </w:r>
      <w:r w:rsidR="009B1601">
        <w:rPr>
          <w:rStyle w:val="AERbody"/>
        </w:rPr>
        <w:t>determination</w:t>
      </w:r>
      <w:r w:rsidRPr="00BB3456">
        <w:rPr>
          <w:rStyle w:val="AERbody"/>
        </w:rPr>
        <w:t>.</w:t>
      </w:r>
      <w:r w:rsidR="00571B3F">
        <w:rPr>
          <w:rStyle w:val="AERbody"/>
        </w:rPr>
        <w:t xml:space="preserve"> </w:t>
      </w:r>
    </w:p>
    <w:p w:rsidR="009B1601" w:rsidRDefault="00157EA3" w:rsidP="009B1601">
      <w:pPr>
        <w:rPr>
          <w:rStyle w:val="AERbody"/>
        </w:rPr>
      </w:pPr>
      <w:r>
        <w:rPr>
          <w:rStyle w:val="AERbody"/>
        </w:rPr>
        <w:fldChar w:fldCharType="begin"/>
      </w:r>
      <w:r>
        <w:rPr>
          <w:rStyle w:val="AERbody"/>
        </w:rPr>
        <w:instrText xml:space="preserve"> REF _Ref438112640 \h </w:instrText>
      </w:r>
      <w:r>
        <w:rPr>
          <w:rStyle w:val="AERbody"/>
        </w:rPr>
      </w:r>
      <w:r>
        <w:rPr>
          <w:rStyle w:val="AERbody"/>
        </w:rPr>
        <w:fldChar w:fldCharType="separate"/>
      </w:r>
      <w:r w:rsidR="00D56C84">
        <w:t xml:space="preserve">Figure </w:t>
      </w:r>
      <w:r w:rsidR="00D56C84">
        <w:rPr>
          <w:noProof/>
        </w:rPr>
        <w:t>1</w:t>
      </w:r>
      <w:r w:rsidR="00D56C84">
        <w:t>.</w:t>
      </w:r>
      <w:r w:rsidR="00D56C84">
        <w:rPr>
          <w:noProof/>
        </w:rPr>
        <w:t>3</w:t>
      </w:r>
      <w:r>
        <w:rPr>
          <w:rStyle w:val="AERbody"/>
        </w:rPr>
        <w:fldChar w:fldCharType="end"/>
      </w:r>
      <w:r>
        <w:rPr>
          <w:rStyle w:val="AERbody"/>
        </w:rPr>
        <w:t xml:space="preserve"> </w:t>
      </w:r>
      <w:r w:rsidR="009B1601" w:rsidRPr="009B1601">
        <w:rPr>
          <w:rStyle w:val="AERbody"/>
        </w:rPr>
        <w:t xml:space="preserve">compares our draft decision building blocks for </w:t>
      </w:r>
      <w:r w:rsidR="009B1601">
        <w:rPr>
          <w:rStyle w:val="AERbody"/>
        </w:rPr>
        <w:t>AusNet Services’</w:t>
      </w:r>
      <w:r w:rsidR="009B1601" w:rsidRPr="009B1601">
        <w:rPr>
          <w:rStyle w:val="AERbody"/>
        </w:rPr>
        <w:t xml:space="preserve"> 201</w:t>
      </w:r>
      <w:r w:rsidR="009B1601">
        <w:rPr>
          <w:rStyle w:val="AERbody"/>
        </w:rPr>
        <w:t>7</w:t>
      </w:r>
      <w:r w:rsidR="009B1601" w:rsidRPr="009B1601">
        <w:rPr>
          <w:rStyle w:val="AERbody"/>
        </w:rPr>
        <w:t>–</w:t>
      </w:r>
      <w:r w:rsidR="009B1601">
        <w:rPr>
          <w:rStyle w:val="AERbody"/>
        </w:rPr>
        <w:t>22 regulatory control</w:t>
      </w:r>
      <w:r w:rsidR="009B1601" w:rsidRPr="009B1601">
        <w:rPr>
          <w:rStyle w:val="AERbody"/>
        </w:rPr>
        <w:t xml:space="preserve"> period with</w:t>
      </w:r>
      <w:r w:rsidR="009B1601">
        <w:rPr>
          <w:rStyle w:val="AERbody"/>
        </w:rPr>
        <w:t xml:space="preserve"> AusNet Services’ </w:t>
      </w:r>
      <w:r w:rsidR="009B1601" w:rsidRPr="009B1601">
        <w:rPr>
          <w:rStyle w:val="AERbody"/>
        </w:rPr>
        <w:t xml:space="preserve">proposed revenue requirement for </w:t>
      </w:r>
      <w:r w:rsidR="009B1601">
        <w:rPr>
          <w:rStyle w:val="AERbody"/>
        </w:rPr>
        <w:t>the</w:t>
      </w:r>
      <w:r w:rsidR="009B1601" w:rsidRPr="009B1601">
        <w:rPr>
          <w:rStyle w:val="AERbody"/>
        </w:rPr>
        <w:t xml:space="preserve"> same period, and the approved revenue for the</w:t>
      </w:r>
      <w:r w:rsidR="009B1601">
        <w:rPr>
          <w:rStyle w:val="AERbody"/>
        </w:rPr>
        <w:t xml:space="preserve"> </w:t>
      </w:r>
      <w:r w:rsidR="009B1601" w:rsidRPr="009B1601">
        <w:rPr>
          <w:rStyle w:val="AERbody"/>
        </w:rPr>
        <w:t>20</w:t>
      </w:r>
      <w:r w:rsidR="009B1601">
        <w:rPr>
          <w:rStyle w:val="AERbody"/>
        </w:rPr>
        <w:t>14</w:t>
      </w:r>
      <w:r w:rsidR="009B1601" w:rsidRPr="009B1601">
        <w:rPr>
          <w:rStyle w:val="AERbody"/>
        </w:rPr>
        <w:t>–1</w:t>
      </w:r>
      <w:r w:rsidR="009B1601">
        <w:rPr>
          <w:rStyle w:val="AERbody"/>
        </w:rPr>
        <w:t>7</w:t>
      </w:r>
      <w:r w:rsidR="009B1601" w:rsidRPr="009B1601">
        <w:rPr>
          <w:rStyle w:val="AERbody"/>
        </w:rPr>
        <w:t xml:space="preserve"> regulatory control period.</w:t>
      </w:r>
    </w:p>
    <w:p w:rsidR="009B1601" w:rsidRDefault="009B1601" w:rsidP="009B1601">
      <w:pPr>
        <w:pStyle w:val="Caption"/>
      </w:pPr>
      <w:bookmarkStart w:id="34" w:name="_Ref438112640"/>
      <w:r>
        <w:t xml:space="preserve">Figure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211DCF">
        <w:t>.</w:t>
      </w:r>
      <w:fldSimple w:instr=" SEQ Figure \* ARABIC \s 1 ">
        <w:r w:rsidR="00D56C84">
          <w:rPr>
            <w:noProof/>
          </w:rPr>
          <w:t>3</w:t>
        </w:r>
      </w:fldSimple>
      <w:bookmarkEnd w:id="34"/>
      <w:r>
        <w:tab/>
        <w:t>Annual average of AER's draft decision building blocks compared to AusNet Services’ proposed revenue requirement and approved revenue for 2014–17 ($ million, 2016–17)</w:t>
      </w:r>
    </w:p>
    <w:p w:rsidR="009B1601" w:rsidRDefault="00EC7935" w:rsidP="009B1601">
      <w:pPr>
        <w:rPr>
          <w:rStyle w:val="AERbody"/>
        </w:rPr>
      </w:pPr>
      <w:r w:rsidRPr="00EC7935">
        <w:rPr>
          <w:noProof/>
          <w:lang w:eastAsia="en-AU"/>
        </w:rPr>
        <w:drawing>
          <wp:inline distT="0" distB="0" distL="0" distR="0" wp14:anchorId="26C47ACC" wp14:editId="5AA7B328">
            <wp:extent cx="5382895" cy="32244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224420"/>
                    </a:xfrm>
                    <a:prstGeom prst="rect">
                      <a:avLst/>
                    </a:prstGeom>
                    <a:noFill/>
                    <a:ln>
                      <a:noFill/>
                    </a:ln>
                  </pic:spPr>
                </pic:pic>
              </a:graphicData>
            </a:graphic>
          </wp:inline>
        </w:drawing>
      </w:r>
    </w:p>
    <w:p w:rsidR="009B1601" w:rsidRPr="009B1601" w:rsidRDefault="009B1601" w:rsidP="009B1601">
      <w:pPr>
        <w:pStyle w:val="AERtablesource"/>
        <w:rPr>
          <w:rStyle w:val="AERsuperscript"/>
          <w:vertAlign w:val="baseline"/>
        </w:rPr>
      </w:pPr>
      <w:r w:rsidRPr="009B1601">
        <w:rPr>
          <w:rStyle w:val="AERsuperscript"/>
          <w:vertAlign w:val="baseline"/>
        </w:rPr>
        <w:t>Source:</w:t>
      </w:r>
      <w:r w:rsidRPr="009B1601">
        <w:rPr>
          <w:rStyle w:val="AERsuperscript"/>
          <w:vertAlign w:val="baseline"/>
        </w:rPr>
        <w:tab/>
        <w:t>AER analysis.</w:t>
      </w:r>
    </w:p>
    <w:p w:rsidR="00CB51D7" w:rsidRPr="00CB51D7" w:rsidRDefault="00CB51D7" w:rsidP="00167E3A">
      <w:pPr>
        <w:pStyle w:val="Heading3"/>
        <w:keepNext/>
        <w:rPr>
          <w:rStyle w:val="AERbody"/>
          <w:color w:val="70635A" w:themeColor="text2"/>
          <w:sz w:val="28"/>
        </w:rPr>
      </w:pPr>
      <w:bookmarkStart w:id="35" w:name="_Toc456169878"/>
      <w:r w:rsidRPr="00CB51D7">
        <w:rPr>
          <w:rStyle w:val="AERbody"/>
          <w:color w:val="70635A" w:themeColor="text2"/>
          <w:sz w:val="28"/>
        </w:rPr>
        <w:t>Shared assets</w:t>
      </w:r>
      <w:bookmarkEnd w:id="35"/>
    </w:p>
    <w:p w:rsidR="006F7DFD" w:rsidRDefault="009610A4" w:rsidP="009610A4">
      <w:pPr>
        <w:rPr>
          <w:rStyle w:val="AERbody"/>
        </w:rPr>
      </w:pPr>
      <w:r w:rsidRPr="009610A4">
        <w:rPr>
          <w:rStyle w:val="AERbody"/>
        </w:rPr>
        <w:t xml:space="preserve">Service providers, such as </w:t>
      </w:r>
      <w:r w:rsidR="006F7DFD">
        <w:rPr>
          <w:rStyle w:val="AERbody"/>
        </w:rPr>
        <w:t>AusNet Services</w:t>
      </w:r>
      <w:r w:rsidRPr="009610A4">
        <w:rPr>
          <w:rStyle w:val="AERbody"/>
        </w:rPr>
        <w:t>, may use assets to provide both prescribed transmission</w:t>
      </w:r>
      <w:r>
        <w:rPr>
          <w:rStyle w:val="AERbody"/>
        </w:rPr>
        <w:t xml:space="preserve"> </w:t>
      </w:r>
      <w:r w:rsidRPr="009610A4">
        <w:rPr>
          <w:rStyle w:val="AERbody"/>
        </w:rPr>
        <w:t>services we regulate and unregulated services. These assets are called 'shared assets'.</w:t>
      </w:r>
      <w:r>
        <w:rPr>
          <w:rStyle w:val="FootnoteReference"/>
        </w:rPr>
        <w:footnoteReference w:id="24"/>
      </w:r>
      <w:r w:rsidRPr="009610A4">
        <w:rPr>
          <w:rStyle w:val="AERbody"/>
        </w:rPr>
        <w:t xml:space="preserve"> Of the</w:t>
      </w:r>
      <w:r>
        <w:rPr>
          <w:rStyle w:val="AERbody"/>
        </w:rPr>
        <w:t xml:space="preserve"> </w:t>
      </w:r>
      <w:r w:rsidRPr="009610A4">
        <w:rPr>
          <w:rStyle w:val="AERbody"/>
        </w:rPr>
        <w:t xml:space="preserve">unregulated revenues a service provider earns from </w:t>
      </w:r>
      <w:r w:rsidRPr="009610A4">
        <w:rPr>
          <w:rStyle w:val="AERbody"/>
        </w:rPr>
        <w:lastRenderedPageBreak/>
        <w:t>shared assets, 10 per cent will be used to reduce</w:t>
      </w:r>
      <w:r>
        <w:rPr>
          <w:rStyle w:val="AERbody"/>
        </w:rPr>
        <w:t xml:space="preserve"> </w:t>
      </w:r>
      <w:r w:rsidRPr="009610A4">
        <w:rPr>
          <w:rStyle w:val="AERbody"/>
        </w:rPr>
        <w:t>the service provider's prices for prescribed transmission services.</w:t>
      </w:r>
      <w:r>
        <w:rPr>
          <w:rStyle w:val="FootnoteReference"/>
        </w:rPr>
        <w:footnoteReference w:id="25"/>
      </w:r>
      <w:r w:rsidRPr="009610A4">
        <w:rPr>
          <w:rStyle w:val="AERbody"/>
        </w:rPr>
        <w:t xml:space="preserve"> </w:t>
      </w:r>
    </w:p>
    <w:p w:rsidR="00CB51D7" w:rsidRDefault="006F7DFD" w:rsidP="009610A4">
      <w:pPr>
        <w:rPr>
          <w:rStyle w:val="AERbody"/>
        </w:rPr>
      </w:pPr>
      <w:r>
        <w:rPr>
          <w:rStyle w:val="AERbody"/>
        </w:rPr>
        <w:t>Shared asset revenue</w:t>
      </w:r>
      <w:r w:rsidR="009610A4" w:rsidRPr="009610A4">
        <w:rPr>
          <w:rStyle w:val="AERbody"/>
        </w:rPr>
        <w:t xml:space="preserve"> r</w:t>
      </w:r>
      <w:r w:rsidR="009610A4">
        <w:rPr>
          <w:rStyle w:val="AERbody"/>
        </w:rPr>
        <w:t>e</w:t>
      </w:r>
      <w:r w:rsidR="009610A4" w:rsidRPr="009610A4">
        <w:rPr>
          <w:rStyle w:val="AERbody"/>
        </w:rPr>
        <w:t>ductions are</w:t>
      </w:r>
      <w:r w:rsidR="009610A4">
        <w:rPr>
          <w:rStyle w:val="AERbody"/>
        </w:rPr>
        <w:t xml:space="preserve"> </w:t>
      </w:r>
      <w:r w:rsidR="009610A4" w:rsidRPr="009610A4">
        <w:rPr>
          <w:rStyle w:val="AERbody"/>
        </w:rPr>
        <w:t>subject to a materiality threshold. Unregulated use of shared assets is material when a service</w:t>
      </w:r>
      <w:r w:rsidR="009610A4">
        <w:rPr>
          <w:rStyle w:val="AERbody"/>
        </w:rPr>
        <w:t xml:space="preserve"> </w:t>
      </w:r>
      <w:r w:rsidR="009610A4" w:rsidRPr="009610A4">
        <w:rPr>
          <w:rStyle w:val="AERbody"/>
        </w:rPr>
        <w:t>provider's unregulated revenues from shared assets in a specific regulatory year are expected to be</w:t>
      </w:r>
      <w:r w:rsidR="009610A4">
        <w:rPr>
          <w:rStyle w:val="AERbody"/>
        </w:rPr>
        <w:t xml:space="preserve"> </w:t>
      </w:r>
      <w:r w:rsidR="009610A4" w:rsidRPr="009610A4">
        <w:rPr>
          <w:rStyle w:val="AERbody"/>
        </w:rPr>
        <w:t>greater than 1 per cent of its</w:t>
      </w:r>
      <w:r w:rsidR="009610A4">
        <w:rPr>
          <w:rStyle w:val="AERbody"/>
        </w:rPr>
        <w:t xml:space="preserve"> MAR for that regulatory year.</w:t>
      </w:r>
      <w:r w:rsidR="009610A4">
        <w:rPr>
          <w:rStyle w:val="FootnoteReference"/>
        </w:rPr>
        <w:footnoteReference w:id="26"/>
      </w:r>
    </w:p>
    <w:p w:rsidR="006F7DFD" w:rsidRPr="006F7DFD" w:rsidRDefault="006F7DFD" w:rsidP="006F7DFD">
      <w:pPr>
        <w:rPr>
          <w:rStyle w:val="AERbody"/>
        </w:rPr>
      </w:pPr>
      <w:r>
        <w:rPr>
          <w:rStyle w:val="AERbody"/>
        </w:rPr>
        <w:t>AusNet Services</w:t>
      </w:r>
      <w:r w:rsidRPr="006F7DFD">
        <w:rPr>
          <w:rStyle w:val="AERbody"/>
        </w:rPr>
        <w:t xml:space="preserve"> </w:t>
      </w:r>
      <w:r w:rsidR="00CB5742">
        <w:rPr>
          <w:rStyle w:val="AERbody"/>
        </w:rPr>
        <w:t>submitted</w:t>
      </w:r>
      <w:r w:rsidRPr="006F7DFD">
        <w:rPr>
          <w:rStyle w:val="AERbody"/>
        </w:rPr>
        <w:t xml:space="preserve"> </w:t>
      </w:r>
      <w:r w:rsidR="00CB5742">
        <w:rPr>
          <w:rStyle w:val="AERbody"/>
        </w:rPr>
        <w:t xml:space="preserve">its </w:t>
      </w:r>
      <w:r w:rsidRPr="006F7DFD">
        <w:rPr>
          <w:rStyle w:val="AERbody"/>
        </w:rPr>
        <w:t xml:space="preserve">shared asset unregulated revenues are forecast to be </w:t>
      </w:r>
      <w:r w:rsidR="00CB5742">
        <w:rPr>
          <w:rStyle w:val="AERbody"/>
        </w:rPr>
        <w:t xml:space="preserve">between </w:t>
      </w:r>
      <w:r>
        <w:rPr>
          <w:rStyle w:val="AERbody"/>
        </w:rPr>
        <w:t>2.5 to 3</w:t>
      </w:r>
      <w:r w:rsidR="000036C1">
        <w:rPr>
          <w:rStyle w:val="AERbody"/>
        </w:rPr>
        <w:t>.0</w:t>
      </w:r>
      <w:r w:rsidRPr="006F7DFD">
        <w:rPr>
          <w:rStyle w:val="AERbody"/>
        </w:rPr>
        <w:t xml:space="preserve"> per cent of its </w:t>
      </w:r>
      <w:r w:rsidR="00CB5742">
        <w:rPr>
          <w:rStyle w:val="AERbody"/>
        </w:rPr>
        <w:t xml:space="preserve">proposed </w:t>
      </w:r>
      <w:r w:rsidRPr="006F7DFD">
        <w:rPr>
          <w:rStyle w:val="AERbody"/>
        </w:rPr>
        <w:t>total revenues in each year of the 201</w:t>
      </w:r>
      <w:r>
        <w:rPr>
          <w:rStyle w:val="AERbody"/>
        </w:rPr>
        <w:t>7</w:t>
      </w:r>
      <w:r w:rsidRPr="006F7DFD">
        <w:rPr>
          <w:rStyle w:val="AERbody"/>
        </w:rPr>
        <w:t>–</w:t>
      </w:r>
      <w:r>
        <w:rPr>
          <w:rStyle w:val="AERbody"/>
        </w:rPr>
        <w:t>22</w:t>
      </w:r>
      <w:r w:rsidRPr="006F7DFD">
        <w:rPr>
          <w:rStyle w:val="AERbody"/>
        </w:rPr>
        <w:t xml:space="preserve"> regulatory </w:t>
      </w:r>
      <w:r w:rsidR="00CB5742">
        <w:rPr>
          <w:rStyle w:val="AERbody"/>
        </w:rPr>
        <w:t xml:space="preserve">control </w:t>
      </w:r>
      <w:r w:rsidRPr="006F7DFD">
        <w:rPr>
          <w:rStyle w:val="AERbody"/>
        </w:rPr>
        <w:t>period.</w:t>
      </w:r>
      <w:r>
        <w:rPr>
          <w:rStyle w:val="FootnoteReference"/>
        </w:rPr>
        <w:footnoteReference w:id="27"/>
      </w:r>
      <w:r w:rsidRPr="006F7DFD">
        <w:rPr>
          <w:rStyle w:val="AERbody"/>
        </w:rPr>
        <w:t xml:space="preserve"> </w:t>
      </w:r>
      <w:r>
        <w:rPr>
          <w:rStyle w:val="AERbody"/>
        </w:rPr>
        <w:t>AusNet Services</w:t>
      </w:r>
      <w:r w:rsidRPr="006F7DFD">
        <w:rPr>
          <w:rStyle w:val="AERbody"/>
        </w:rPr>
        <w:t xml:space="preserve"> therefore proposed reductions in its total revenues</w:t>
      </w:r>
      <w:r>
        <w:rPr>
          <w:rStyle w:val="AERbody"/>
        </w:rPr>
        <w:t xml:space="preserve"> for each year of that period.</w:t>
      </w:r>
    </w:p>
    <w:p w:rsidR="006F7DFD" w:rsidRPr="006F7DFD" w:rsidRDefault="006F7DFD" w:rsidP="006F7DFD">
      <w:pPr>
        <w:rPr>
          <w:rStyle w:val="AERbody"/>
        </w:rPr>
      </w:pPr>
      <w:r w:rsidRPr="006F7DFD">
        <w:rPr>
          <w:rStyle w:val="AERbody"/>
        </w:rPr>
        <w:t xml:space="preserve">We consider </w:t>
      </w:r>
      <w:r>
        <w:rPr>
          <w:rStyle w:val="AERbody"/>
        </w:rPr>
        <w:t>AusNet Services’</w:t>
      </w:r>
      <w:r w:rsidRPr="006F7DFD">
        <w:rPr>
          <w:rStyle w:val="AERbody"/>
        </w:rPr>
        <w:t xml:space="preserve"> forecasts are reasonable, based on its reporting of historical shared assets revenue and our assessment of this revenue source for other service providers.</w:t>
      </w:r>
      <w:r>
        <w:rPr>
          <w:rStyle w:val="FootnoteReference"/>
        </w:rPr>
        <w:footnoteReference w:id="28"/>
      </w:r>
      <w:r w:rsidRPr="006F7DFD">
        <w:rPr>
          <w:rStyle w:val="AERbody"/>
        </w:rPr>
        <w:t xml:space="preserve"> However, </w:t>
      </w:r>
      <w:r>
        <w:rPr>
          <w:rStyle w:val="AERbody"/>
        </w:rPr>
        <w:t>AusNet Services’</w:t>
      </w:r>
      <w:r w:rsidRPr="006F7DFD">
        <w:rPr>
          <w:rStyle w:val="AERbody"/>
        </w:rPr>
        <w:t xml:space="preserve"> forecast unregulated revenues must now be compared to the regulated revenues we determine, rather than those proposed by </w:t>
      </w:r>
      <w:r>
        <w:rPr>
          <w:rStyle w:val="AERbody"/>
        </w:rPr>
        <w:t>AusNet Services</w:t>
      </w:r>
      <w:r w:rsidRPr="006F7DFD">
        <w:rPr>
          <w:rStyle w:val="AERbody"/>
        </w:rPr>
        <w:t xml:space="preserve">. Our </w:t>
      </w:r>
      <w:r>
        <w:rPr>
          <w:rStyle w:val="AERbody"/>
        </w:rPr>
        <w:t>draft</w:t>
      </w:r>
      <w:r w:rsidRPr="006F7DFD">
        <w:rPr>
          <w:rStyle w:val="AERbody"/>
        </w:rPr>
        <w:t xml:space="preserve"> decision sets lower expected </w:t>
      </w:r>
      <w:r w:rsidR="00CA2421">
        <w:rPr>
          <w:rStyle w:val="AERbody"/>
        </w:rPr>
        <w:t>MAR</w:t>
      </w:r>
      <w:r w:rsidR="00C0485E">
        <w:rPr>
          <w:rStyle w:val="AERbody"/>
        </w:rPr>
        <w:t>s</w:t>
      </w:r>
      <w:r w:rsidR="00CA2421" w:rsidRPr="006F7DFD">
        <w:rPr>
          <w:rStyle w:val="AERbody"/>
        </w:rPr>
        <w:t xml:space="preserve"> </w:t>
      </w:r>
      <w:r w:rsidRPr="006F7DFD">
        <w:rPr>
          <w:rStyle w:val="AERbody"/>
        </w:rPr>
        <w:t xml:space="preserve">than </w:t>
      </w:r>
      <w:r>
        <w:rPr>
          <w:rStyle w:val="AERbody"/>
        </w:rPr>
        <w:t xml:space="preserve">AusNet Services’ </w:t>
      </w:r>
      <w:r w:rsidRPr="006F7DFD">
        <w:rPr>
          <w:rStyle w:val="AERbody"/>
        </w:rPr>
        <w:t xml:space="preserve">proposal, so we estimate that the unregulated revenues will be between </w:t>
      </w:r>
      <w:r w:rsidR="005E51AA">
        <w:rPr>
          <w:rStyle w:val="AERbody"/>
        </w:rPr>
        <w:t>2.8</w:t>
      </w:r>
      <w:r w:rsidRPr="006F7DFD">
        <w:rPr>
          <w:rStyle w:val="AERbody"/>
        </w:rPr>
        <w:t xml:space="preserve"> and </w:t>
      </w:r>
      <w:r w:rsidR="005E51AA">
        <w:rPr>
          <w:rStyle w:val="AERbody"/>
        </w:rPr>
        <w:t>3.2</w:t>
      </w:r>
      <w:r>
        <w:rPr>
          <w:rStyle w:val="AERbody"/>
        </w:rPr>
        <w:t> </w:t>
      </w:r>
      <w:r w:rsidRPr="006F7DFD">
        <w:rPr>
          <w:rStyle w:val="AERbody"/>
        </w:rPr>
        <w:t xml:space="preserve">per cent of its expected </w:t>
      </w:r>
      <w:r w:rsidR="00CA2421">
        <w:rPr>
          <w:rStyle w:val="AERbody"/>
        </w:rPr>
        <w:t xml:space="preserve">MARs </w:t>
      </w:r>
      <w:r>
        <w:rPr>
          <w:rStyle w:val="AERbody"/>
        </w:rPr>
        <w:t>in each year of the 2017</w:t>
      </w:r>
      <w:r w:rsidRPr="006F7DFD">
        <w:rPr>
          <w:rStyle w:val="AERbody"/>
        </w:rPr>
        <w:t>–</w:t>
      </w:r>
      <w:r>
        <w:rPr>
          <w:rStyle w:val="AERbody"/>
        </w:rPr>
        <w:t>22</w:t>
      </w:r>
      <w:r w:rsidRPr="006F7DFD">
        <w:rPr>
          <w:rStyle w:val="AERbody"/>
        </w:rPr>
        <w:t xml:space="preserve"> regulatory control period. We are satisfied that </w:t>
      </w:r>
      <w:r w:rsidR="0034421C">
        <w:rPr>
          <w:rStyle w:val="AERbody"/>
        </w:rPr>
        <w:t>AusNet Services’</w:t>
      </w:r>
      <w:r w:rsidRPr="006F7DFD">
        <w:rPr>
          <w:rStyle w:val="AERbody"/>
        </w:rPr>
        <w:t xml:space="preserve"> shared asset unregulated</w:t>
      </w:r>
      <w:r>
        <w:rPr>
          <w:rStyle w:val="AERbody"/>
        </w:rPr>
        <w:t xml:space="preserve"> </w:t>
      </w:r>
      <w:r w:rsidRPr="006F7DFD">
        <w:rPr>
          <w:rStyle w:val="AERbody"/>
        </w:rPr>
        <w:t>revenues meet the materiality threshold in each year of the 20</w:t>
      </w:r>
      <w:r>
        <w:rPr>
          <w:rStyle w:val="AERbody"/>
        </w:rPr>
        <w:t>17</w:t>
      </w:r>
      <w:r w:rsidRPr="006F7DFD">
        <w:rPr>
          <w:rStyle w:val="AERbody"/>
        </w:rPr>
        <w:t>–2</w:t>
      </w:r>
      <w:r>
        <w:rPr>
          <w:rStyle w:val="AERbody"/>
        </w:rPr>
        <w:t>2</w:t>
      </w:r>
      <w:r w:rsidRPr="006F7DFD">
        <w:rPr>
          <w:rStyle w:val="AERbody"/>
        </w:rPr>
        <w:t xml:space="preserve"> regulatory control period.</w:t>
      </w:r>
    </w:p>
    <w:p w:rsidR="006F7DFD" w:rsidRDefault="00CB5742" w:rsidP="006F7DFD">
      <w:pPr>
        <w:rPr>
          <w:rStyle w:val="AERbody"/>
        </w:rPr>
      </w:pPr>
      <w:r>
        <w:rPr>
          <w:rStyle w:val="AERbody"/>
        </w:rPr>
        <w:t xml:space="preserve">For this </w:t>
      </w:r>
      <w:r w:rsidR="006F7DFD">
        <w:rPr>
          <w:rStyle w:val="AERbody"/>
        </w:rPr>
        <w:t>draft</w:t>
      </w:r>
      <w:r w:rsidR="006F7DFD" w:rsidRPr="006F7DFD">
        <w:rPr>
          <w:rStyle w:val="AERbody"/>
        </w:rPr>
        <w:t xml:space="preserve"> decision</w:t>
      </w:r>
      <w:r>
        <w:rPr>
          <w:rStyle w:val="AERbody"/>
        </w:rPr>
        <w:t xml:space="preserve">, we </w:t>
      </w:r>
      <w:r w:rsidR="006F7DFD" w:rsidRPr="006F7DFD">
        <w:rPr>
          <w:rStyle w:val="AERbody"/>
        </w:rPr>
        <w:t xml:space="preserve">therefore apply a shared asset revenue adjustment as shown in </w:t>
      </w:r>
      <w:r w:rsidR="0034421C">
        <w:rPr>
          <w:rStyle w:val="AERbody"/>
        </w:rPr>
        <w:fldChar w:fldCharType="begin"/>
      </w:r>
      <w:r w:rsidR="0034421C">
        <w:rPr>
          <w:rStyle w:val="AERbody"/>
        </w:rPr>
        <w:instrText xml:space="preserve"> REF _Ref437940438 \h </w:instrText>
      </w:r>
      <w:r w:rsidR="0034421C">
        <w:rPr>
          <w:rStyle w:val="AERbody"/>
        </w:rPr>
      </w:r>
      <w:r w:rsidR="0034421C">
        <w:rPr>
          <w:rStyle w:val="AERbody"/>
        </w:rPr>
        <w:fldChar w:fldCharType="separate"/>
      </w:r>
      <w:r w:rsidR="00D56C84">
        <w:t xml:space="preserve">Table </w:t>
      </w:r>
      <w:r w:rsidR="00D56C84">
        <w:rPr>
          <w:noProof/>
        </w:rPr>
        <w:t>1</w:t>
      </w:r>
      <w:r w:rsidR="00D56C84">
        <w:t>.</w:t>
      </w:r>
      <w:r w:rsidR="00D56C84">
        <w:rPr>
          <w:noProof/>
        </w:rPr>
        <w:t>5</w:t>
      </w:r>
      <w:r w:rsidR="0034421C">
        <w:rPr>
          <w:rStyle w:val="AERbody"/>
        </w:rPr>
        <w:fldChar w:fldCharType="end"/>
      </w:r>
      <w:r w:rsidR="006F7DFD" w:rsidRPr="006F7DFD">
        <w:rPr>
          <w:rStyle w:val="AERbody"/>
        </w:rPr>
        <w:t xml:space="preserve">, consistent with the proposal from </w:t>
      </w:r>
      <w:r w:rsidR="006F7DFD">
        <w:rPr>
          <w:rStyle w:val="AERbody"/>
        </w:rPr>
        <w:t>AusNet Services</w:t>
      </w:r>
      <w:r w:rsidR="006F7DFD" w:rsidRPr="006F7DFD">
        <w:rPr>
          <w:rStyle w:val="AERbody"/>
        </w:rPr>
        <w:t>. The shared asset revenue adjustment is a total reduction of $</w:t>
      </w:r>
      <w:r w:rsidR="006F7DFD">
        <w:rPr>
          <w:rStyle w:val="AERbody"/>
        </w:rPr>
        <w:t>8.7 </w:t>
      </w:r>
      <w:r w:rsidR="006F7DFD" w:rsidRPr="006F7DFD">
        <w:rPr>
          <w:rStyle w:val="AERbody"/>
        </w:rPr>
        <w:t>mil</w:t>
      </w:r>
      <w:r w:rsidR="006F7DFD">
        <w:rPr>
          <w:rStyle w:val="AERbody"/>
        </w:rPr>
        <w:t>lion ($ nominal) across the 2017</w:t>
      </w:r>
      <w:r w:rsidR="006F7DFD" w:rsidRPr="006F7DFD">
        <w:rPr>
          <w:rStyle w:val="AERbody"/>
        </w:rPr>
        <w:t>–2</w:t>
      </w:r>
      <w:r w:rsidR="006F7DFD">
        <w:rPr>
          <w:rStyle w:val="AERbody"/>
        </w:rPr>
        <w:t>2</w:t>
      </w:r>
      <w:r w:rsidR="006F7DFD" w:rsidRPr="006F7DFD">
        <w:rPr>
          <w:rStyle w:val="AERbody"/>
        </w:rPr>
        <w:t xml:space="preserve"> regulatory control period.</w:t>
      </w:r>
    </w:p>
    <w:p w:rsidR="0034421C" w:rsidRDefault="0034421C" w:rsidP="0034421C">
      <w:pPr>
        <w:pStyle w:val="Caption"/>
      </w:pPr>
      <w:bookmarkStart w:id="36" w:name="_Ref437940438"/>
      <w:r>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rsidR="003A7EEB">
        <w:t>.</w:t>
      </w:r>
      <w:fldSimple w:instr=" SEQ Table \* ARABIC \s 1 ">
        <w:r w:rsidR="00D56C84">
          <w:rPr>
            <w:noProof/>
          </w:rPr>
          <w:t>5</w:t>
        </w:r>
      </w:fldSimple>
      <w:bookmarkEnd w:id="36"/>
      <w:r>
        <w:tab/>
      </w:r>
      <w:r w:rsidRPr="0034421C">
        <w:t xml:space="preserve">AER's </w:t>
      </w:r>
      <w:r>
        <w:t>draft</w:t>
      </w:r>
      <w:r w:rsidRPr="0034421C">
        <w:t xml:space="preserve"> decision on </w:t>
      </w:r>
      <w:r>
        <w:t>AusNet Services’</w:t>
      </w:r>
      <w:r w:rsidRPr="0034421C">
        <w:t xml:space="preserve"> shared asset revenue adjustment ($million, nominal)</w:t>
      </w:r>
    </w:p>
    <w:tbl>
      <w:tblPr>
        <w:tblStyle w:val="AERtable-numbers"/>
        <w:tblW w:w="8596" w:type="dxa"/>
        <w:tblLayout w:type="fixed"/>
        <w:tblLook w:val="04A0" w:firstRow="1" w:lastRow="0" w:firstColumn="1" w:lastColumn="0" w:noHBand="0" w:noVBand="1"/>
      </w:tblPr>
      <w:tblGrid>
        <w:gridCol w:w="3227"/>
        <w:gridCol w:w="894"/>
        <w:gridCol w:w="895"/>
        <w:gridCol w:w="895"/>
        <w:gridCol w:w="895"/>
        <w:gridCol w:w="895"/>
        <w:gridCol w:w="895"/>
      </w:tblGrid>
      <w:tr w:rsidR="006F7DFD" w:rsidRPr="006F7DFD" w:rsidTr="006F7DF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27" w:type="dxa"/>
            <w:noWrap/>
            <w:hideMark/>
          </w:tcPr>
          <w:p w:rsidR="006F7DFD" w:rsidRPr="006F7DFD" w:rsidRDefault="006F7DFD" w:rsidP="006F7DFD">
            <w:r w:rsidRPr="006F7DFD">
              <w:t> </w:t>
            </w:r>
          </w:p>
        </w:tc>
        <w:tc>
          <w:tcPr>
            <w:tcW w:w="894"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2017–18</w:t>
            </w:r>
          </w:p>
        </w:tc>
        <w:tc>
          <w:tcPr>
            <w:tcW w:w="895"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2018–19</w:t>
            </w:r>
          </w:p>
        </w:tc>
        <w:tc>
          <w:tcPr>
            <w:tcW w:w="895"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2019–20</w:t>
            </w:r>
          </w:p>
        </w:tc>
        <w:tc>
          <w:tcPr>
            <w:tcW w:w="895"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2020–21</w:t>
            </w:r>
          </w:p>
        </w:tc>
        <w:tc>
          <w:tcPr>
            <w:tcW w:w="895"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2021–22</w:t>
            </w:r>
          </w:p>
        </w:tc>
        <w:tc>
          <w:tcPr>
            <w:tcW w:w="895" w:type="dxa"/>
            <w:noWrap/>
            <w:hideMark/>
          </w:tcPr>
          <w:p w:rsidR="006F7DFD" w:rsidRPr="006F7DFD" w:rsidRDefault="006F7DFD" w:rsidP="006F7DFD">
            <w:pPr>
              <w:cnfStyle w:val="100000000000" w:firstRow="1" w:lastRow="0" w:firstColumn="0" w:lastColumn="0" w:oddVBand="0" w:evenVBand="0" w:oddHBand="0" w:evenHBand="0" w:firstRowFirstColumn="0" w:firstRowLastColumn="0" w:lastRowFirstColumn="0" w:lastRowLastColumn="0"/>
            </w:pPr>
            <w:r w:rsidRPr="006F7DFD">
              <w:t>Total</w:t>
            </w:r>
          </w:p>
        </w:tc>
      </w:tr>
      <w:tr w:rsidR="000D02F8" w:rsidRPr="006F7DFD" w:rsidTr="006F7DFD">
        <w:trPr>
          <w:trHeight w:val="263"/>
        </w:trPr>
        <w:tc>
          <w:tcPr>
            <w:cnfStyle w:val="001000000000" w:firstRow="0" w:lastRow="0" w:firstColumn="1" w:lastColumn="0" w:oddVBand="0" w:evenVBand="0" w:oddHBand="0" w:evenHBand="0" w:firstRowFirstColumn="0" w:firstRowLastColumn="0" w:lastRowFirstColumn="0" w:lastRowLastColumn="0"/>
            <w:tcW w:w="3227" w:type="dxa"/>
            <w:noWrap/>
          </w:tcPr>
          <w:p w:rsidR="000D02F8" w:rsidRPr="006F7DFD" w:rsidRDefault="000D02F8" w:rsidP="000D02F8">
            <w:r>
              <w:t>AusNet Services’ proposed s</w:t>
            </w:r>
            <w:r w:rsidRPr="006F7DFD">
              <w:t>hared asset revenue adjustment</w:t>
            </w:r>
          </w:p>
        </w:tc>
        <w:tc>
          <w:tcPr>
            <w:tcW w:w="894"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–1.5</w:t>
            </w:r>
          </w:p>
        </w:tc>
        <w:tc>
          <w:tcPr>
            <w:tcW w:w="895"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–1.6</w:t>
            </w:r>
          </w:p>
        </w:tc>
        <w:tc>
          <w:tcPr>
            <w:tcW w:w="895"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–1.7</w:t>
            </w:r>
          </w:p>
        </w:tc>
        <w:tc>
          <w:tcPr>
            <w:tcW w:w="895"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–1.8</w:t>
            </w:r>
          </w:p>
        </w:tc>
        <w:tc>
          <w:tcPr>
            <w:tcW w:w="895"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–2.0</w:t>
            </w:r>
          </w:p>
        </w:tc>
        <w:tc>
          <w:tcPr>
            <w:tcW w:w="895" w:type="dxa"/>
            <w:noWrap/>
          </w:tcPr>
          <w:p w:rsidR="000D02F8" w:rsidRPr="006F7DFD" w:rsidRDefault="000D02F8" w:rsidP="00566C05">
            <w:pPr>
              <w:cnfStyle w:val="000000000000" w:firstRow="0" w:lastRow="0" w:firstColumn="0" w:lastColumn="0" w:oddVBand="0" w:evenVBand="0" w:oddHBand="0" w:evenHBand="0" w:firstRowFirstColumn="0" w:firstRowLastColumn="0" w:lastRowFirstColumn="0" w:lastRowLastColumn="0"/>
            </w:pPr>
            <w:r w:rsidRPr="006F7DFD">
              <w:t>–8.7</w:t>
            </w:r>
          </w:p>
        </w:tc>
      </w:tr>
      <w:tr w:rsidR="006F7DFD" w:rsidRPr="006F7DFD" w:rsidTr="006F7DF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27" w:type="dxa"/>
            <w:noWrap/>
            <w:hideMark/>
          </w:tcPr>
          <w:p w:rsidR="006F7DFD" w:rsidRPr="006F7DFD" w:rsidRDefault="000D02F8" w:rsidP="000D02F8">
            <w:r>
              <w:t>AER draft decision s</w:t>
            </w:r>
            <w:r w:rsidR="006F7DFD" w:rsidRPr="006F7DFD">
              <w:t>hared asset revenue adjustment</w:t>
            </w:r>
          </w:p>
        </w:tc>
        <w:tc>
          <w:tcPr>
            <w:tcW w:w="894"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–1.5</w:t>
            </w:r>
          </w:p>
        </w:tc>
        <w:tc>
          <w:tcPr>
            <w:tcW w:w="895"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–1.6</w:t>
            </w:r>
          </w:p>
        </w:tc>
        <w:tc>
          <w:tcPr>
            <w:tcW w:w="895"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–1.7</w:t>
            </w:r>
          </w:p>
        </w:tc>
        <w:tc>
          <w:tcPr>
            <w:tcW w:w="895"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–1.8</w:t>
            </w:r>
          </w:p>
        </w:tc>
        <w:tc>
          <w:tcPr>
            <w:tcW w:w="895"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–2.0</w:t>
            </w:r>
          </w:p>
        </w:tc>
        <w:tc>
          <w:tcPr>
            <w:tcW w:w="895" w:type="dxa"/>
            <w:noWrap/>
            <w:hideMark/>
          </w:tcPr>
          <w:p w:rsidR="006F7DFD" w:rsidRPr="006F7DFD" w:rsidRDefault="006F7DFD" w:rsidP="006F7DFD">
            <w:pPr>
              <w:cnfStyle w:val="000000010000" w:firstRow="0" w:lastRow="0" w:firstColumn="0" w:lastColumn="0" w:oddVBand="0" w:evenVBand="0" w:oddHBand="0" w:evenHBand="1" w:firstRowFirstColumn="0" w:firstRowLastColumn="0" w:lastRowFirstColumn="0" w:lastRowLastColumn="0"/>
            </w:pPr>
            <w:r w:rsidRPr="006F7DFD">
              <w:t>–8.7</w:t>
            </w:r>
          </w:p>
        </w:tc>
      </w:tr>
    </w:tbl>
    <w:p w:rsidR="006F7DFD" w:rsidRPr="006F7DFD" w:rsidRDefault="006F7DFD" w:rsidP="006F7DFD">
      <w:pPr>
        <w:pStyle w:val="AERtablesource"/>
        <w:rPr>
          <w:rStyle w:val="AERbody"/>
          <w:sz w:val="16"/>
        </w:rPr>
      </w:pPr>
      <w:r w:rsidRPr="006F7DFD">
        <w:rPr>
          <w:rStyle w:val="AERbody"/>
          <w:sz w:val="16"/>
        </w:rPr>
        <w:t>Source:</w:t>
      </w:r>
      <w:r w:rsidRPr="006F7DFD">
        <w:rPr>
          <w:rStyle w:val="AERbody"/>
          <w:sz w:val="16"/>
        </w:rPr>
        <w:tab/>
      </w:r>
      <w:r w:rsidR="0088272F">
        <w:t xml:space="preserve">AusNet Services, </w:t>
      </w:r>
      <w:r w:rsidR="0088272F" w:rsidRPr="00CB5742">
        <w:rPr>
          <w:rStyle w:val="AERtextitalic"/>
        </w:rPr>
        <w:t>Revenue proposal</w:t>
      </w:r>
      <w:r w:rsidR="0088272F">
        <w:t xml:space="preserve">, </w:t>
      </w:r>
      <w:r w:rsidR="00510086">
        <w:t xml:space="preserve">October 2015, </w:t>
      </w:r>
      <w:r w:rsidR="0088272F">
        <w:t>p. 151</w:t>
      </w:r>
      <w:r w:rsidRPr="006F7DFD">
        <w:rPr>
          <w:rStyle w:val="AERbody"/>
          <w:sz w:val="16"/>
        </w:rPr>
        <w:t>.</w:t>
      </w:r>
    </w:p>
    <w:p w:rsidR="00CB51D7" w:rsidRPr="00CB51D7" w:rsidRDefault="00CB51D7" w:rsidP="00167E3A">
      <w:pPr>
        <w:pStyle w:val="Heading3"/>
        <w:keepNext/>
        <w:rPr>
          <w:rStyle w:val="AERbody"/>
          <w:color w:val="70635A" w:themeColor="text2"/>
          <w:sz w:val="28"/>
        </w:rPr>
      </w:pPr>
      <w:bookmarkStart w:id="37" w:name="_Ref437867027"/>
      <w:bookmarkStart w:id="38" w:name="_Toc456169879"/>
      <w:r w:rsidRPr="00CB51D7">
        <w:rPr>
          <w:rStyle w:val="AERbody"/>
          <w:color w:val="70635A" w:themeColor="text2"/>
          <w:sz w:val="28"/>
        </w:rPr>
        <w:lastRenderedPageBreak/>
        <w:t>Indicative transmission charges and impact on electricity bills</w:t>
      </w:r>
      <w:bookmarkEnd w:id="37"/>
      <w:bookmarkEnd w:id="38"/>
    </w:p>
    <w:p w:rsidR="00211DCF" w:rsidRDefault="00211DCF" w:rsidP="00211DCF">
      <w:r>
        <w:t>Our draft decision on AusNet Services' expected MAR ultimately affects the annual electricity bills paid by customers in Victoria. There are several steps required to translate our revenue decision into indicative transmission charges, and then to estimate bill impact.</w:t>
      </w:r>
    </w:p>
    <w:p w:rsidR="00211DCF" w:rsidRPr="00C729DC" w:rsidRDefault="00211DCF" w:rsidP="00211DCF">
      <w:r>
        <w:t xml:space="preserve">Since we regulate AusNet Services' prescribed transmission services under a revenue cap, </w:t>
      </w:r>
      <w:r w:rsidRPr="00446442">
        <w:t xml:space="preserve">changes in the consumption of electricity will affect the </w:t>
      </w:r>
      <w:r>
        <w:t>transmission charges</w:t>
      </w:r>
      <w:r w:rsidRPr="00446442">
        <w:t xml:space="preserve"> ultimately </w:t>
      </w:r>
      <w:r>
        <w:t xml:space="preserve">paid by </w:t>
      </w:r>
      <w:r w:rsidRPr="00446442">
        <w:t>consumers.</w:t>
      </w:r>
      <w:r>
        <w:t xml:space="preserve"> </w:t>
      </w:r>
      <w:r w:rsidRPr="00C729DC">
        <w:t xml:space="preserve">We estimate the </w:t>
      </w:r>
      <w:r>
        <w:t xml:space="preserve">indicative </w:t>
      </w:r>
      <w:r w:rsidRPr="00C729DC">
        <w:t xml:space="preserve">effect of </w:t>
      </w:r>
      <w:r>
        <w:t>our</w:t>
      </w:r>
      <w:r w:rsidRPr="00C729DC">
        <w:t xml:space="preserve"> draft decision on forecast average transmission charges in </w:t>
      </w:r>
      <w:r>
        <w:t>Victoria</w:t>
      </w:r>
      <w:r w:rsidRPr="00C729DC">
        <w:t xml:space="preserve"> by</w:t>
      </w:r>
      <w:r>
        <w:t xml:space="preserve">: </w:t>
      </w:r>
    </w:p>
    <w:p w:rsidR="00211DCF" w:rsidRPr="00211DCF" w:rsidRDefault="00211DCF" w:rsidP="00211DCF">
      <w:pPr>
        <w:pStyle w:val="AERbulletlistfirststyle"/>
      </w:pPr>
      <w:r w:rsidRPr="00211DCF">
        <w:t xml:space="preserve">taking </w:t>
      </w:r>
      <w:r>
        <w:t>AusNet Service</w:t>
      </w:r>
      <w:r w:rsidRPr="00211DCF">
        <w:t>s' annual expected MAR determined in this draft decision,</w:t>
      </w:r>
      <w:r w:rsidR="00EC76C0">
        <w:rPr>
          <w:rStyle w:val="FootnoteReference"/>
        </w:rPr>
        <w:footnoteReference w:id="29"/>
      </w:r>
      <w:r w:rsidRPr="00211DCF">
        <w:t xml:space="preserve"> and </w:t>
      </w:r>
    </w:p>
    <w:p w:rsidR="00211DCF" w:rsidRPr="00211DCF" w:rsidRDefault="00211DCF" w:rsidP="00211DCF">
      <w:pPr>
        <w:pStyle w:val="AERbulletlistfirststyle"/>
      </w:pPr>
      <w:r w:rsidRPr="00211DCF">
        <w:t>dividing it by the forecast annual energy delivered in</w:t>
      </w:r>
      <w:r>
        <w:t xml:space="preserve"> Victoria.</w:t>
      </w:r>
      <w:r>
        <w:rPr>
          <w:rStyle w:val="FootnoteReference"/>
        </w:rPr>
        <w:footnoteReference w:id="30"/>
      </w:r>
    </w:p>
    <w:p w:rsidR="00211DCF" w:rsidRPr="00C729DC" w:rsidRDefault="00211DCF" w:rsidP="00211DCF">
      <w:r w:rsidRPr="00C729DC">
        <w:t xml:space="preserve">Based on this approach, we estimate that this draft decision will result in a </w:t>
      </w:r>
      <w:r w:rsidR="009A2502">
        <w:t>modest increase</w:t>
      </w:r>
      <w:r w:rsidR="009A2502" w:rsidRPr="00C729DC">
        <w:t xml:space="preserve"> </w:t>
      </w:r>
      <w:r>
        <w:t>in</w:t>
      </w:r>
      <w:r w:rsidRPr="00C729DC">
        <w:t xml:space="preserve"> </w:t>
      </w:r>
      <w:r>
        <w:t xml:space="preserve">annual </w:t>
      </w:r>
      <w:r w:rsidRPr="00C729DC">
        <w:t>average transmission charges from 201</w:t>
      </w:r>
      <w:r>
        <w:t>6</w:t>
      </w:r>
      <w:r w:rsidRPr="00C729DC">
        <w:t>–1</w:t>
      </w:r>
      <w:r>
        <w:t>7</w:t>
      </w:r>
      <w:r w:rsidRPr="00C729DC">
        <w:t xml:space="preserve"> to 20</w:t>
      </w:r>
      <w:r>
        <w:t>21</w:t>
      </w:r>
      <w:r w:rsidRPr="00C729DC">
        <w:t>–</w:t>
      </w:r>
      <w:r>
        <w:t>22</w:t>
      </w:r>
      <w:r w:rsidRPr="00C729DC">
        <w:t>.</w:t>
      </w:r>
      <w:r w:rsidRPr="00C729DC">
        <w:rPr>
          <w:rStyle w:val="FootnoteReference"/>
        </w:rPr>
        <w:footnoteReference w:id="31"/>
      </w:r>
      <w:r w:rsidRPr="00C729DC">
        <w:t xml:space="preserve"> </w:t>
      </w:r>
      <w:r w:rsidRPr="00C729DC">
        <w:fldChar w:fldCharType="begin"/>
      </w:r>
      <w:r w:rsidRPr="00C729DC">
        <w:instrText xml:space="preserve"> REF _Ref363816331 \h </w:instrText>
      </w:r>
      <w:r>
        <w:instrText xml:space="preserve"> \* MERGEFORMAT </w:instrText>
      </w:r>
      <w:r w:rsidRPr="00C729DC">
        <w:fldChar w:fldCharType="separate"/>
      </w:r>
      <w:r w:rsidR="00D56C84" w:rsidRPr="00211DCF">
        <w:t xml:space="preserve">Figure </w:t>
      </w:r>
      <w:r w:rsidR="00D56C84">
        <w:rPr>
          <w:noProof/>
        </w:rPr>
        <w:t>1.4</w:t>
      </w:r>
      <w:r w:rsidRPr="00C729DC">
        <w:fldChar w:fldCharType="end"/>
      </w:r>
      <w:r w:rsidRPr="00C729DC">
        <w:t xml:space="preserve"> shows the indicative average transmission charges resulting from this draft decision compared with the average transmission charges from 20</w:t>
      </w:r>
      <w:r>
        <w:t>14</w:t>
      </w:r>
      <w:r w:rsidRPr="00C729DC">
        <w:t xml:space="preserve"> to 201</w:t>
      </w:r>
      <w:r>
        <w:t>7</w:t>
      </w:r>
      <w:r w:rsidRPr="00C729DC">
        <w:t xml:space="preserve"> in </w:t>
      </w:r>
      <w:r>
        <w:t>nominal</w:t>
      </w:r>
      <w:r w:rsidRPr="00C729DC">
        <w:t xml:space="preserve"> dollar terms. The average transmission charges are forecast to </w:t>
      </w:r>
      <w:r w:rsidR="00575274">
        <w:t>in</w:t>
      </w:r>
      <w:r w:rsidR="00575274" w:rsidRPr="00C729DC">
        <w:t xml:space="preserve">crease </w:t>
      </w:r>
      <w:r w:rsidRPr="00C729DC">
        <w:t>from around $</w:t>
      </w:r>
      <w:r w:rsidR="00276989">
        <w:t>12.1</w:t>
      </w:r>
      <w:r>
        <w:t xml:space="preserve"> </w:t>
      </w:r>
      <w:r w:rsidRPr="00C729DC">
        <w:t>per MWh in 201</w:t>
      </w:r>
      <w:r>
        <w:t>6</w:t>
      </w:r>
      <w:r w:rsidRPr="00C729DC">
        <w:t>–1</w:t>
      </w:r>
      <w:r>
        <w:t>7</w:t>
      </w:r>
      <w:r w:rsidRPr="00C729DC">
        <w:t xml:space="preserve"> to $</w:t>
      </w:r>
      <w:r w:rsidR="005E51AA">
        <w:t>12.</w:t>
      </w:r>
      <w:r w:rsidR="00D12553">
        <w:t>3</w:t>
      </w:r>
      <w:r w:rsidRPr="00C729DC">
        <w:t> per MWh in 20</w:t>
      </w:r>
      <w:r>
        <w:t>2</w:t>
      </w:r>
      <w:r w:rsidRPr="00C729DC">
        <w:t>1–</w:t>
      </w:r>
      <w:r>
        <w:t>22</w:t>
      </w:r>
      <w:r w:rsidRPr="00C729DC">
        <w:t xml:space="preserve">. </w:t>
      </w:r>
    </w:p>
    <w:p w:rsidR="00211DCF" w:rsidRPr="00211DCF" w:rsidRDefault="00211DCF" w:rsidP="00211DCF">
      <w:pPr>
        <w:pStyle w:val="Caption"/>
      </w:pPr>
      <w:bookmarkStart w:id="39" w:name="_Ref363816331"/>
      <w:r w:rsidRPr="00211DCF">
        <w:lastRenderedPageBreak/>
        <w:t xml:space="preserve">Figure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t>.</w:t>
      </w:r>
      <w:fldSimple w:instr=" SEQ Figure \* ARABIC \s 1 ">
        <w:r w:rsidR="00D56C84">
          <w:rPr>
            <w:noProof/>
          </w:rPr>
          <w:t>4</w:t>
        </w:r>
      </w:fldSimple>
      <w:bookmarkEnd w:id="39"/>
      <w:r w:rsidRPr="00211DCF">
        <w:tab/>
        <w:t>Indicative transmission price path from 20</w:t>
      </w:r>
      <w:r>
        <w:t>14</w:t>
      </w:r>
      <w:r w:rsidRPr="00211DCF">
        <w:t>–</w:t>
      </w:r>
      <w:r>
        <w:t>15 to 2021</w:t>
      </w:r>
      <w:r w:rsidRPr="00211DCF">
        <w:t>–</w:t>
      </w:r>
      <w:r>
        <w:t>22</w:t>
      </w:r>
      <w:r w:rsidRPr="00211DCF">
        <w:t xml:space="preserve"> for </w:t>
      </w:r>
      <w:r>
        <w:t xml:space="preserve">Victoria </w:t>
      </w:r>
      <w:r w:rsidRPr="00211DCF">
        <w:t>($/MWh, nominal)</w:t>
      </w:r>
    </w:p>
    <w:p w:rsidR="00211DCF" w:rsidRPr="00C729DC" w:rsidRDefault="00D12553" w:rsidP="00E52F38">
      <w:pPr>
        <w:pStyle w:val="AERtablesource"/>
      </w:pPr>
      <w:r w:rsidRPr="00D12553">
        <w:rPr>
          <w:noProof/>
          <w:lang w:eastAsia="en-AU"/>
        </w:rPr>
        <w:drawing>
          <wp:inline distT="0" distB="0" distL="0" distR="0" wp14:anchorId="6E90F792" wp14:editId="4A768769">
            <wp:extent cx="5348605" cy="3234690"/>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8605" cy="3234690"/>
                    </a:xfrm>
                    <a:prstGeom prst="rect">
                      <a:avLst/>
                    </a:prstGeom>
                    <a:noFill/>
                    <a:ln>
                      <a:noFill/>
                    </a:ln>
                  </pic:spPr>
                </pic:pic>
              </a:graphicData>
            </a:graphic>
          </wp:inline>
        </w:drawing>
      </w:r>
    </w:p>
    <w:p w:rsidR="00E52F38" w:rsidRPr="009B1601" w:rsidRDefault="00E52F38" w:rsidP="00E52F38">
      <w:pPr>
        <w:pStyle w:val="AERtablesource"/>
        <w:rPr>
          <w:rStyle w:val="AERsuperscript"/>
          <w:vertAlign w:val="baseline"/>
        </w:rPr>
      </w:pPr>
      <w:r w:rsidRPr="009B1601">
        <w:rPr>
          <w:rStyle w:val="AERsuperscript"/>
          <w:vertAlign w:val="baseline"/>
        </w:rPr>
        <w:t>Source:</w:t>
      </w:r>
      <w:r w:rsidRPr="009B1601">
        <w:rPr>
          <w:rStyle w:val="AERsuperscript"/>
          <w:vertAlign w:val="baseline"/>
        </w:rPr>
        <w:tab/>
        <w:t>AER analysis.</w:t>
      </w:r>
    </w:p>
    <w:p w:rsidR="00A6747E" w:rsidRDefault="00211DCF" w:rsidP="00211DCF">
      <w:r>
        <w:t xml:space="preserve">We then estimate the indicative impact of transmission charges on electricity bills. </w:t>
      </w:r>
      <w:r w:rsidRPr="00C729DC">
        <w:t xml:space="preserve">In </w:t>
      </w:r>
      <w:r>
        <w:t>Victoria</w:t>
      </w:r>
      <w:r w:rsidRPr="00C729DC">
        <w:t xml:space="preserve">, transmission charges represent approximately </w:t>
      </w:r>
      <w:r>
        <w:t>5</w:t>
      </w:r>
      <w:r w:rsidRPr="00C729DC">
        <w:t> per cent on average of a typical</w:t>
      </w:r>
      <w:r w:rsidR="00D733C7">
        <w:t xml:space="preserve"> residential</w:t>
      </w:r>
      <w:r w:rsidRPr="00C729DC">
        <w:t xml:space="preserve"> customer's </w:t>
      </w:r>
      <w:r>
        <w:t xml:space="preserve">annual </w:t>
      </w:r>
      <w:r w:rsidRPr="00C729DC">
        <w:t xml:space="preserve">electricity </w:t>
      </w:r>
      <w:r>
        <w:t>bill</w:t>
      </w:r>
      <w:r w:rsidRPr="00C729DC">
        <w:t>.</w:t>
      </w:r>
      <w:r w:rsidRPr="00C729DC">
        <w:rPr>
          <w:rStyle w:val="FootnoteReference"/>
        </w:rPr>
        <w:footnoteReference w:id="32"/>
      </w:r>
      <w:r w:rsidRPr="00C729DC">
        <w:t xml:space="preserve"> </w:t>
      </w:r>
      <w:r w:rsidR="00164C8E" w:rsidRPr="00164C8E">
        <w:t xml:space="preserve">This small percentage </w:t>
      </w:r>
      <w:r w:rsidR="003A61C7">
        <w:t xml:space="preserve">largely </w:t>
      </w:r>
      <w:r w:rsidR="00164C8E" w:rsidRPr="00164C8E">
        <w:t xml:space="preserve">explains the relatively modest </w:t>
      </w:r>
      <w:r w:rsidR="00263A68">
        <w:t xml:space="preserve">average annual electricity </w:t>
      </w:r>
      <w:r w:rsidR="00164C8E" w:rsidRPr="00164C8E">
        <w:t xml:space="preserve">bill impacts </w:t>
      </w:r>
      <w:r w:rsidR="00263A68">
        <w:t>arising from our draft decision</w:t>
      </w:r>
      <w:r w:rsidR="00164C8E" w:rsidRPr="00164C8E">
        <w:t xml:space="preserve">. </w:t>
      </w:r>
      <w:r>
        <w:t>We expect that our draft decision</w:t>
      </w:r>
      <w:r w:rsidR="008A1D9A">
        <w:t xml:space="preserve"> </w:t>
      </w:r>
      <w:r>
        <w:t xml:space="preserve">will </w:t>
      </w:r>
      <w:r w:rsidR="002065FB">
        <w:t>result in</w:t>
      </w:r>
      <w:r w:rsidR="008A1D9A">
        <w:t xml:space="preserve"> the transmission component of the</w:t>
      </w:r>
      <w:r w:rsidR="002065FB">
        <w:t xml:space="preserve"> </w:t>
      </w:r>
      <w:r>
        <w:t>average residential customer's annual electricity bill in Victoria</w:t>
      </w:r>
      <w:r w:rsidR="002065FB">
        <w:t xml:space="preserve"> remaining </w:t>
      </w:r>
      <w:r w:rsidR="002065FB" w:rsidRPr="002065FB">
        <w:t>generally constant over the 2017–22 regulatory control period</w:t>
      </w:r>
      <w:r>
        <w:t>.</w:t>
      </w:r>
    </w:p>
    <w:p w:rsidR="00211DCF" w:rsidRDefault="002065FB" w:rsidP="00211DCF">
      <w:r>
        <w:t>T</w:t>
      </w:r>
      <w:r w:rsidR="00211DCF" w:rsidRPr="00C729DC">
        <w:t xml:space="preserve">he </w:t>
      </w:r>
      <w:r w:rsidR="008A1D9A">
        <w:t xml:space="preserve">transmission component of </w:t>
      </w:r>
      <w:r w:rsidR="007866D2">
        <w:t xml:space="preserve">the average </w:t>
      </w:r>
      <w:r w:rsidR="00211DCF" w:rsidRPr="00C729DC">
        <w:t xml:space="preserve">residential </w:t>
      </w:r>
      <w:r w:rsidR="00211DCF">
        <w:t xml:space="preserve">customer's annual </w:t>
      </w:r>
      <w:r w:rsidR="00211DCF" w:rsidRPr="00C729DC">
        <w:t xml:space="preserve">electricity </w:t>
      </w:r>
      <w:r w:rsidR="00211DCF">
        <w:t xml:space="preserve">bill in </w:t>
      </w:r>
      <w:r>
        <w:t xml:space="preserve">2021–22 is </w:t>
      </w:r>
      <w:r w:rsidR="008A07DB">
        <w:t xml:space="preserve">expected to </w:t>
      </w:r>
      <w:r w:rsidR="00901715">
        <w:t xml:space="preserve">be </w:t>
      </w:r>
      <w:r w:rsidR="008A07DB">
        <w:t xml:space="preserve">only </w:t>
      </w:r>
      <w:r w:rsidR="00263A68">
        <w:t xml:space="preserve">about </w:t>
      </w:r>
      <w:r w:rsidR="008A07DB">
        <w:t>$1</w:t>
      </w:r>
      <w:r w:rsidR="00A35B32">
        <w:t xml:space="preserve"> above the 2016–17 level.</w:t>
      </w:r>
      <w:r w:rsidR="00211DCF">
        <w:t xml:space="preserve"> </w:t>
      </w:r>
      <w:r w:rsidR="00C95806">
        <w:t xml:space="preserve">By </w:t>
      </w:r>
      <w:r w:rsidR="00211DCF" w:rsidRPr="00C729DC">
        <w:t xml:space="preserve">comparison, </w:t>
      </w:r>
      <w:r w:rsidR="00A35B32">
        <w:t xml:space="preserve">had we accepted </w:t>
      </w:r>
      <w:r w:rsidR="00211DCF">
        <w:t>AusNet Services’ proposal, the</w:t>
      </w:r>
      <w:r w:rsidR="00211DCF" w:rsidRPr="00C729DC">
        <w:t xml:space="preserve"> </w:t>
      </w:r>
      <w:r w:rsidR="00A35B32">
        <w:t xml:space="preserve">expected </w:t>
      </w:r>
      <w:r w:rsidR="008A1D9A">
        <w:t xml:space="preserve">transmission component of the </w:t>
      </w:r>
      <w:r w:rsidR="00211DCF" w:rsidRPr="00C729DC">
        <w:t xml:space="preserve">average </w:t>
      </w:r>
      <w:r w:rsidR="00211DCF">
        <w:t xml:space="preserve">annual </w:t>
      </w:r>
      <w:r w:rsidR="00A35B32">
        <w:t xml:space="preserve">residential </w:t>
      </w:r>
      <w:r w:rsidR="00211DCF">
        <w:t xml:space="preserve">electricity bill </w:t>
      </w:r>
      <w:r w:rsidR="00A35B32">
        <w:t>in 2021–22</w:t>
      </w:r>
      <w:r w:rsidR="00211DCF">
        <w:t xml:space="preserve"> would increase</w:t>
      </w:r>
      <w:r w:rsidR="00211DCF" w:rsidRPr="00C729DC">
        <w:t xml:space="preserve"> approximately $</w:t>
      </w:r>
      <w:r w:rsidR="00A35B32">
        <w:t>16</w:t>
      </w:r>
      <w:r w:rsidR="00211DCF" w:rsidRPr="00C729DC">
        <w:t xml:space="preserve"> </w:t>
      </w:r>
      <w:r w:rsidR="000036C1">
        <w:t>($ nominal)</w:t>
      </w:r>
      <w:r w:rsidR="00A35B32">
        <w:t xml:space="preserve"> </w:t>
      </w:r>
      <w:r w:rsidR="00211DCF" w:rsidRPr="00C729DC">
        <w:t xml:space="preserve">or </w:t>
      </w:r>
      <w:r w:rsidR="00F66546">
        <w:t>1</w:t>
      </w:r>
      <w:r w:rsidR="005E51AA">
        <w:t>.2</w:t>
      </w:r>
      <w:r w:rsidR="00211DCF" w:rsidRPr="00C729DC">
        <w:t xml:space="preserve"> </w:t>
      </w:r>
      <w:r w:rsidR="000036C1">
        <w:t>per cent</w:t>
      </w:r>
      <w:r w:rsidR="00A35B32">
        <w:t xml:space="preserve"> above </w:t>
      </w:r>
      <w:r w:rsidR="00211DCF">
        <w:t>the 201</w:t>
      </w:r>
      <w:r w:rsidR="00A35B32">
        <w:t>6</w:t>
      </w:r>
      <w:r w:rsidR="00211DCF">
        <w:t>–</w:t>
      </w:r>
      <w:r w:rsidR="00A35B32">
        <w:t>17 level</w:t>
      </w:r>
      <w:r w:rsidR="00211DCF" w:rsidRPr="00C729DC">
        <w:t>.</w:t>
      </w:r>
    </w:p>
    <w:p w:rsidR="00211DCF" w:rsidRPr="00147651" w:rsidRDefault="00211DCF" w:rsidP="00211DCF">
      <w:r>
        <w:t>O</w:t>
      </w:r>
      <w:r w:rsidRPr="00147651">
        <w:t>ur estimated potential impact is based on the typic</w:t>
      </w:r>
      <w:r w:rsidR="00C95806">
        <w:t xml:space="preserve">al annual electricity usage of </w:t>
      </w:r>
      <w:r w:rsidR="00A6646A">
        <w:t>4000 </w:t>
      </w:r>
      <w:r w:rsidRPr="00147651">
        <w:t>kWh</w:t>
      </w:r>
      <w:r>
        <w:t xml:space="preserve"> per annum for a residential customer in Victoria</w:t>
      </w:r>
      <w:r w:rsidRPr="00147651">
        <w:t>.</w:t>
      </w:r>
      <w:r w:rsidRPr="00147651">
        <w:rPr>
          <w:rStyle w:val="FootnoteReference"/>
        </w:rPr>
        <w:footnoteReference w:id="33"/>
      </w:r>
      <w:r w:rsidRPr="00147651">
        <w:t xml:space="preserve"> </w:t>
      </w:r>
      <w:r>
        <w:t>C</w:t>
      </w:r>
      <w:r w:rsidRPr="00147651">
        <w:t xml:space="preserve">ustomers with different usage will experience different changes. We </w:t>
      </w:r>
      <w:r>
        <w:t xml:space="preserve">also </w:t>
      </w:r>
      <w:r w:rsidRPr="00147651">
        <w:t xml:space="preserve">note that there are other factors, such as distribution network costs, wholesale and retail costs, which affect </w:t>
      </w:r>
      <w:r w:rsidR="007866D2">
        <w:t xml:space="preserve">overall </w:t>
      </w:r>
      <w:r w:rsidRPr="00147651">
        <w:t xml:space="preserve">electricity </w:t>
      </w:r>
      <w:r>
        <w:t>bills</w:t>
      </w:r>
      <w:r w:rsidRPr="00147651">
        <w:t xml:space="preserve">. </w:t>
      </w:r>
    </w:p>
    <w:p w:rsidR="00EE633C" w:rsidRDefault="00211DCF" w:rsidP="00211DCF">
      <w:r w:rsidRPr="00C729DC">
        <w:lastRenderedPageBreak/>
        <w:t xml:space="preserve">Similarly, for </w:t>
      </w:r>
      <w:r>
        <w:t xml:space="preserve">small </w:t>
      </w:r>
      <w:r w:rsidRPr="00C729DC">
        <w:t>busines</w:t>
      </w:r>
      <w:r>
        <w:t>s customer</w:t>
      </w:r>
      <w:r w:rsidR="00EE633C">
        <w:t>s</w:t>
      </w:r>
      <w:r>
        <w:t xml:space="preserve"> </w:t>
      </w:r>
      <w:r w:rsidRPr="00C729DC">
        <w:t xml:space="preserve">in </w:t>
      </w:r>
      <w:r w:rsidR="00C95806">
        <w:t>Victoria</w:t>
      </w:r>
      <w:r w:rsidR="00E6103C">
        <w:t xml:space="preserve">—for which </w:t>
      </w:r>
      <w:r w:rsidR="00E6103C" w:rsidRPr="00C729DC">
        <w:t xml:space="preserve">transmission charges represent approximately </w:t>
      </w:r>
      <w:r w:rsidR="00E6103C">
        <w:t>4</w:t>
      </w:r>
      <w:r w:rsidR="00E6103C" w:rsidRPr="00C729DC">
        <w:t> per cent  of a typical</w:t>
      </w:r>
      <w:r w:rsidR="00E6103C">
        <w:t xml:space="preserve"> annual </w:t>
      </w:r>
      <w:r w:rsidR="00E6103C" w:rsidRPr="00C729DC">
        <w:t xml:space="preserve">electricity </w:t>
      </w:r>
      <w:r w:rsidR="00E6103C">
        <w:t>bill</w:t>
      </w:r>
      <w:r w:rsidR="00EE633C">
        <w:t xml:space="preserve">—we have estimated the impact </w:t>
      </w:r>
      <w:r w:rsidR="007866D2">
        <w:t xml:space="preserve">of our draft decision </w:t>
      </w:r>
      <w:r w:rsidR="00A54873">
        <w:t>for</w:t>
      </w:r>
      <w:r w:rsidR="00EE633C">
        <w:t xml:space="preserve"> two customer categories:</w:t>
      </w:r>
      <w:r w:rsidR="00EE633C" w:rsidRPr="00C729DC">
        <w:rPr>
          <w:rStyle w:val="FootnoteReference"/>
        </w:rPr>
        <w:footnoteReference w:id="34"/>
      </w:r>
    </w:p>
    <w:p w:rsidR="00EE633C" w:rsidRDefault="00EE633C" w:rsidP="006149A6">
      <w:pPr>
        <w:pStyle w:val="AERbulletlistfirststyle"/>
      </w:pPr>
      <w:r>
        <w:t xml:space="preserve">Small business (flat)—representing </w:t>
      </w:r>
      <w:r w:rsidRPr="00EE633C">
        <w:t>small business cust</w:t>
      </w:r>
      <w:r>
        <w:t>omers on a flat tariff using 12 </w:t>
      </w:r>
      <w:r w:rsidRPr="00EE633C">
        <w:t xml:space="preserve">000 kWh per </w:t>
      </w:r>
      <w:r>
        <w:t>annum</w:t>
      </w:r>
    </w:p>
    <w:p w:rsidR="00EE633C" w:rsidRDefault="00EE633C" w:rsidP="006149A6">
      <w:pPr>
        <w:pStyle w:val="AERbulletlistfirststyle"/>
      </w:pPr>
      <w:r>
        <w:t xml:space="preserve">Small business (TOU)—representing </w:t>
      </w:r>
      <w:r w:rsidRPr="00EE633C">
        <w:t>small business cust</w:t>
      </w:r>
      <w:r>
        <w:t xml:space="preserve">omers on </w:t>
      </w:r>
      <w:r w:rsidRPr="00EE633C">
        <w:t>a time-of-use tariff using 40</w:t>
      </w:r>
      <w:r>
        <w:t> </w:t>
      </w:r>
      <w:r w:rsidRPr="00EE633C">
        <w:t xml:space="preserve">000 kWh per </w:t>
      </w:r>
      <w:r>
        <w:t>annum</w:t>
      </w:r>
      <w:r w:rsidRPr="00EE633C">
        <w:t>.</w:t>
      </w:r>
    </w:p>
    <w:p w:rsidR="00211DCF" w:rsidRDefault="00A35B32" w:rsidP="00211DCF">
      <w:r>
        <w:t>We expect o</w:t>
      </w:r>
      <w:r w:rsidR="00211DCF" w:rsidRPr="00C729DC">
        <w:t xml:space="preserve">ur draft decision </w:t>
      </w:r>
      <w:r>
        <w:t xml:space="preserve">will result in </w:t>
      </w:r>
      <w:r w:rsidR="00211DCF" w:rsidRPr="00C729DC">
        <w:t xml:space="preserve">the </w:t>
      </w:r>
      <w:r w:rsidR="008A1D9A">
        <w:t xml:space="preserve">transmission component of the </w:t>
      </w:r>
      <w:r w:rsidR="00211DCF" w:rsidRPr="00C729DC">
        <w:t xml:space="preserve">average </w:t>
      </w:r>
      <w:r w:rsidR="00211DCF">
        <w:t xml:space="preserve">small </w:t>
      </w:r>
      <w:r w:rsidR="00211DCF" w:rsidRPr="00C729DC">
        <w:t>business</w:t>
      </w:r>
      <w:r w:rsidR="00845F19">
        <w:t xml:space="preserve"> (flat)</w:t>
      </w:r>
      <w:r w:rsidR="00211DCF" w:rsidRPr="00C729DC">
        <w:t xml:space="preserve"> </w:t>
      </w:r>
      <w:r w:rsidR="00EE633C">
        <w:t>customer's annual</w:t>
      </w:r>
      <w:r w:rsidR="00211DCF">
        <w:t xml:space="preserve"> electricity bill</w:t>
      </w:r>
      <w:r w:rsidR="00211DCF" w:rsidRPr="00C729DC">
        <w:t xml:space="preserve"> </w:t>
      </w:r>
      <w:r>
        <w:t xml:space="preserve">in 2021–22 to be </w:t>
      </w:r>
      <w:r w:rsidR="00211DCF" w:rsidRPr="00C729DC">
        <w:t>about $</w:t>
      </w:r>
      <w:r w:rsidR="003A61C7">
        <w:t>3</w:t>
      </w:r>
      <w:r>
        <w:t xml:space="preserve"> </w:t>
      </w:r>
      <w:r w:rsidR="000036C1">
        <w:t>($ nominal)</w:t>
      </w:r>
      <w:r w:rsidDel="00A35B32">
        <w:t xml:space="preserve"> </w:t>
      </w:r>
      <w:r w:rsidR="00211DCF" w:rsidRPr="00C729DC">
        <w:t xml:space="preserve">or </w:t>
      </w:r>
      <w:r w:rsidR="005E51AA">
        <w:t>0.1</w:t>
      </w:r>
      <w:r w:rsidR="00211DCF" w:rsidRPr="00C729DC">
        <w:t xml:space="preserve"> per cent</w:t>
      </w:r>
      <w:r>
        <w:t xml:space="preserve"> above </w:t>
      </w:r>
      <w:r w:rsidR="00A54873">
        <w:t xml:space="preserve">the </w:t>
      </w:r>
      <w:r>
        <w:t>2016–17 level</w:t>
      </w:r>
      <w:r w:rsidR="00C95806">
        <w:t>.</w:t>
      </w:r>
      <w:r w:rsidR="00211DCF">
        <w:t xml:space="preserve"> </w:t>
      </w:r>
      <w:r w:rsidR="00C95806">
        <w:t xml:space="preserve">By </w:t>
      </w:r>
      <w:r w:rsidR="00211DCF" w:rsidRPr="00C729DC">
        <w:t xml:space="preserve">comparison, </w:t>
      </w:r>
      <w:r>
        <w:t xml:space="preserve">had we accepted </w:t>
      </w:r>
      <w:r w:rsidR="00C95806">
        <w:t>AusNet Service</w:t>
      </w:r>
      <w:r w:rsidR="00211DCF">
        <w:t>s</w:t>
      </w:r>
      <w:r w:rsidR="00211DCF" w:rsidRPr="00C729DC">
        <w:t>' proposal</w:t>
      </w:r>
      <w:r w:rsidR="00211DCF">
        <w:t xml:space="preserve">, the </w:t>
      </w:r>
      <w:r>
        <w:t xml:space="preserve">expected </w:t>
      </w:r>
      <w:r w:rsidR="008A1D9A">
        <w:t xml:space="preserve">transmission component of the </w:t>
      </w:r>
      <w:r w:rsidR="00211DCF" w:rsidRPr="00C729DC">
        <w:t xml:space="preserve">average </w:t>
      </w:r>
      <w:r w:rsidR="00211DCF">
        <w:t xml:space="preserve">annual </w:t>
      </w:r>
      <w:r w:rsidR="00211DCF" w:rsidRPr="005D1C3A">
        <w:t xml:space="preserve">small business </w:t>
      </w:r>
      <w:r w:rsidR="00845F19">
        <w:t xml:space="preserve">(flat) </w:t>
      </w:r>
      <w:r w:rsidR="00A54873">
        <w:t>electricity</w:t>
      </w:r>
      <w:r w:rsidR="00A54873" w:rsidRPr="005D1C3A">
        <w:t xml:space="preserve"> </w:t>
      </w:r>
      <w:r w:rsidR="00A54873">
        <w:t>bill</w:t>
      </w:r>
      <w:r w:rsidR="00211DCF">
        <w:t xml:space="preserve"> in </w:t>
      </w:r>
      <w:r>
        <w:t xml:space="preserve">2021–22 </w:t>
      </w:r>
      <w:r w:rsidR="00211DCF">
        <w:t xml:space="preserve">would </w:t>
      </w:r>
      <w:r w:rsidR="003C4D5F">
        <w:t>increase</w:t>
      </w:r>
      <w:r w:rsidR="00211DCF">
        <w:t xml:space="preserve"> </w:t>
      </w:r>
      <w:r w:rsidR="00211DCF" w:rsidRPr="00C729DC">
        <w:t>approximately $</w:t>
      </w:r>
      <w:r>
        <w:t>31</w:t>
      </w:r>
      <w:r w:rsidR="000036C1">
        <w:t xml:space="preserve"> ($ nominal</w:t>
      </w:r>
      <w:r>
        <w:t xml:space="preserve">) </w:t>
      </w:r>
      <w:r w:rsidR="00211DCF" w:rsidRPr="00C729DC">
        <w:t xml:space="preserve">or </w:t>
      </w:r>
      <w:r w:rsidR="00A6747E">
        <w:t>0.9</w:t>
      </w:r>
      <w:r w:rsidR="00A6747E" w:rsidRPr="00C729DC">
        <w:t xml:space="preserve"> </w:t>
      </w:r>
      <w:r w:rsidR="00211DCF" w:rsidRPr="00C729DC">
        <w:t>per cent</w:t>
      </w:r>
      <w:r w:rsidR="00A6747E">
        <w:t xml:space="preserve"> above </w:t>
      </w:r>
      <w:r w:rsidR="00211DCF">
        <w:t>the 201</w:t>
      </w:r>
      <w:r w:rsidR="00A6747E">
        <w:t>6</w:t>
      </w:r>
      <w:r w:rsidR="00211DCF">
        <w:t>–</w:t>
      </w:r>
      <w:r w:rsidR="00A6747E">
        <w:t>17 level</w:t>
      </w:r>
      <w:r w:rsidR="00211DCF" w:rsidRPr="00C729DC">
        <w:t>.</w:t>
      </w:r>
      <w:r w:rsidR="00845F19">
        <w:t xml:space="preserve"> Likewise, </w:t>
      </w:r>
      <w:r w:rsidR="00845F19" w:rsidRPr="00C729DC">
        <w:t xml:space="preserve">the </w:t>
      </w:r>
      <w:r w:rsidR="007866D2">
        <w:t xml:space="preserve">transmission component of the </w:t>
      </w:r>
      <w:r w:rsidR="00845F19" w:rsidRPr="00C729DC">
        <w:t xml:space="preserve">average </w:t>
      </w:r>
      <w:r w:rsidR="00845F19">
        <w:t xml:space="preserve">small </w:t>
      </w:r>
      <w:r w:rsidR="00845F19" w:rsidRPr="00C729DC">
        <w:t>business</w:t>
      </w:r>
      <w:r w:rsidR="00845F19">
        <w:t xml:space="preserve"> (TOU)</w:t>
      </w:r>
      <w:r w:rsidR="00845F19" w:rsidRPr="00C729DC">
        <w:t xml:space="preserve"> </w:t>
      </w:r>
      <w:r w:rsidR="00845F19">
        <w:t>customer's annual electricity bill</w:t>
      </w:r>
      <w:r w:rsidR="00845F19" w:rsidRPr="00C729DC">
        <w:t xml:space="preserve"> </w:t>
      </w:r>
      <w:r w:rsidR="00A6747E">
        <w:t xml:space="preserve">in 2021–22 </w:t>
      </w:r>
      <w:r w:rsidR="00A54873">
        <w:t>is</w:t>
      </w:r>
      <w:r w:rsidR="00845F19" w:rsidRPr="00C729DC">
        <w:t xml:space="preserve"> expected </w:t>
      </w:r>
      <w:r w:rsidR="00A54873">
        <w:t xml:space="preserve">to </w:t>
      </w:r>
      <w:r w:rsidR="00A6747E">
        <w:t xml:space="preserve">be </w:t>
      </w:r>
      <w:r w:rsidR="00845F19" w:rsidRPr="00C729DC">
        <w:t>about $</w:t>
      </w:r>
      <w:r w:rsidR="003A61C7">
        <w:t>8</w:t>
      </w:r>
      <w:r w:rsidR="00845F19">
        <w:t xml:space="preserve"> </w:t>
      </w:r>
      <w:r w:rsidR="003C4D5F">
        <w:t>(</w:t>
      </w:r>
      <w:r w:rsidR="000036C1">
        <w:t>$ nominal)</w:t>
      </w:r>
      <w:r w:rsidR="00A6747E">
        <w:t xml:space="preserve"> </w:t>
      </w:r>
      <w:r w:rsidR="003C4D5F">
        <w:t>or 0.1</w:t>
      </w:r>
      <w:r w:rsidR="00845F19" w:rsidRPr="00C729DC">
        <w:t xml:space="preserve"> per cent</w:t>
      </w:r>
      <w:r w:rsidR="00A6747E">
        <w:t xml:space="preserve"> above </w:t>
      </w:r>
      <w:r w:rsidR="00A54873">
        <w:t xml:space="preserve">the </w:t>
      </w:r>
      <w:r w:rsidR="00A6747E">
        <w:t>2016–17 level as a result of our draft decision</w:t>
      </w:r>
      <w:r w:rsidR="00845F19">
        <w:t>.</w:t>
      </w:r>
      <w:r w:rsidR="00845F19" w:rsidRPr="00C729DC">
        <w:t xml:space="preserve"> </w:t>
      </w:r>
      <w:r w:rsidR="00845F19">
        <w:t xml:space="preserve">By </w:t>
      </w:r>
      <w:r w:rsidR="00845F19" w:rsidRPr="00C729DC">
        <w:t xml:space="preserve">comparison, </w:t>
      </w:r>
      <w:r w:rsidR="00A6747E">
        <w:t xml:space="preserve">had we accepted </w:t>
      </w:r>
      <w:r w:rsidR="00845F19">
        <w:t>AusNet Services</w:t>
      </w:r>
      <w:r w:rsidR="00845F19" w:rsidRPr="00C729DC">
        <w:t>' proposal</w:t>
      </w:r>
      <w:r w:rsidR="00845F19">
        <w:t xml:space="preserve">, the </w:t>
      </w:r>
      <w:r w:rsidR="00A54873">
        <w:t xml:space="preserve">expected </w:t>
      </w:r>
      <w:r w:rsidR="007866D2">
        <w:t xml:space="preserve">transmission component of the </w:t>
      </w:r>
      <w:r w:rsidR="00845F19" w:rsidRPr="00C729DC">
        <w:t xml:space="preserve">average </w:t>
      </w:r>
      <w:r w:rsidR="00845F19">
        <w:t xml:space="preserve">annual </w:t>
      </w:r>
      <w:r w:rsidR="00845F19" w:rsidRPr="005D1C3A">
        <w:t xml:space="preserve">small business </w:t>
      </w:r>
      <w:r w:rsidR="00845F19">
        <w:t xml:space="preserve">(TOU) </w:t>
      </w:r>
      <w:r w:rsidR="00A54873">
        <w:t>electricity</w:t>
      </w:r>
      <w:r w:rsidR="00A54873" w:rsidRPr="005D1C3A">
        <w:t xml:space="preserve"> </w:t>
      </w:r>
      <w:r w:rsidR="00A54873">
        <w:t xml:space="preserve">bill </w:t>
      </w:r>
      <w:r w:rsidR="00845F19">
        <w:t xml:space="preserve">in </w:t>
      </w:r>
      <w:r w:rsidR="00A6747E">
        <w:t xml:space="preserve">2021–22 </w:t>
      </w:r>
      <w:r w:rsidR="00845F19">
        <w:t xml:space="preserve">would </w:t>
      </w:r>
      <w:r w:rsidR="003C4D5F">
        <w:t>increase</w:t>
      </w:r>
      <w:r w:rsidR="00845F19">
        <w:t xml:space="preserve"> </w:t>
      </w:r>
      <w:r w:rsidR="00845F19" w:rsidRPr="00C729DC">
        <w:t>approximately $</w:t>
      </w:r>
      <w:r w:rsidR="00A6747E">
        <w:t>76</w:t>
      </w:r>
      <w:r w:rsidR="00845F19">
        <w:t xml:space="preserve"> </w:t>
      </w:r>
      <w:r w:rsidR="000036C1">
        <w:t>($ nominal)</w:t>
      </w:r>
      <w:r w:rsidR="00A6747E">
        <w:t xml:space="preserve"> </w:t>
      </w:r>
      <w:r w:rsidR="00845F19" w:rsidRPr="00C729DC">
        <w:t xml:space="preserve">or </w:t>
      </w:r>
      <w:r w:rsidR="003C4D5F">
        <w:t>0.</w:t>
      </w:r>
      <w:r w:rsidR="00A6747E">
        <w:t>9</w:t>
      </w:r>
      <w:r w:rsidR="00845F19" w:rsidRPr="00C729DC">
        <w:t xml:space="preserve"> per cent</w:t>
      </w:r>
      <w:r w:rsidR="00A6747E">
        <w:t xml:space="preserve"> above </w:t>
      </w:r>
      <w:r w:rsidR="00845F19">
        <w:t>the 201</w:t>
      </w:r>
      <w:r w:rsidR="00A6747E">
        <w:t>6</w:t>
      </w:r>
      <w:r w:rsidR="00845F19">
        <w:t>–</w:t>
      </w:r>
      <w:r w:rsidR="00A6747E">
        <w:t>17 level</w:t>
      </w:r>
      <w:r w:rsidR="00845F19" w:rsidRPr="00C729DC">
        <w:t>.</w:t>
      </w:r>
    </w:p>
    <w:p w:rsidR="00211DCF" w:rsidRPr="00C729DC" w:rsidRDefault="003A7EEB" w:rsidP="00211DCF">
      <w:r>
        <w:fldChar w:fldCharType="begin"/>
      </w:r>
      <w:r>
        <w:instrText xml:space="preserve"> REF _Ref441242075 \h </w:instrText>
      </w:r>
      <w:r>
        <w:fldChar w:fldCharType="separate"/>
      </w:r>
      <w:r w:rsidR="00D56C84">
        <w:t xml:space="preserve">Table </w:t>
      </w:r>
      <w:r w:rsidR="00D56C84">
        <w:rPr>
          <w:noProof/>
        </w:rPr>
        <w:t>1</w:t>
      </w:r>
      <w:r w:rsidR="00D56C84">
        <w:t>.</w:t>
      </w:r>
      <w:r w:rsidR="00D56C84">
        <w:rPr>
          <w:noProof/>
        </w:rPr>
        <w:t>6</w:t>
      </w:r>
      <w:r>
        <w:fldChar w:fldCharType="end"/>
      </w:r>
      <w:r w:rsidR="00194B25">
        <w:t xml:space="preserve"> </w:t>
      </w:r>
      <w:r w:rsidR="00211DCF" w:rsidRPr="00C729DC">
        <w:t xml:space="preserve">shows our estimated impact of this draft decision </w:t>
      </w:r>
      <w:r w:rsidR="00211DCF">
        <w:t>over the 201</w:t>
      </w:r>
      <w:r w:rsidR="00194B25">
        <w:t>7</w:t>
      </w:r>
      <w:r w:rsidR="00211DCF">
        <w:t>–</w:t>
      </w:r>
      <w:r w:rsidR="00194B25">
        <w:t>22 regulatory control</w:t>
      </w:r>
      <w:r w:rsidR="00211DCF">
        <w:t xml:space="preserve"> period compared with </w:t>
      </w:r>
      <w:r w:rsidR="00194B25">
        <w:t>AusNet Services</w:t>
      </w:r>
      <w:r w:rsidR="00211DCF" w:rsidRPr="00C729DC">
        <w:t xml:space="preserve">' proposal on the average </w:t>
      </w:r>
      <w:r w:rsidR="00211DCF">
        <w:t>annual</w:t>
      </w:r>
      <w:r w:rsidR="00211DCF" w:rsidRPr="00C729DC">
        <w:t xml:space="preserve"> electricity </w:t>
      </w:r>
      <w:r w:rsidR="00211DCF">
        <w:t xml:space="preserve">bills for residential and small </w:t>
      </w:r>
      <w:r w:rsidR="00211DCF" w:rsidRPr="00C729DC">
        <w:t>business customer</w:t>
      </w:r>
      <w:r w:rsidR="00211DCF">
        <w:t xml:space="preserve">s in </w:t>
      </w:r>
      <w:r w:rsidR="00194B25">
        <w:t>Victoria</w:t>
      </w:r>
      <w:r w:rsidR="00211DCF">
        <w:t>.</w:t>
      </w:r>
    </w:p>
    <w:p w:rsidR="00194B25" w:rsidRPr="00C729DC" w:rsidRDefault="003A7EEB" w:rsidP="00A6747E">
      <w:pPr>
        <w:pStyle w:val="Caption"/>
      </w:pPr>
      <w:bookmarkStart w:id="40" w:name="_Ref441242075"/>
      <w:r>
        <w:lastRenderedPageBreak/>
        <w:t xml:space="preserve">Table </w:t>
      </w:r>
      <w:r w:rsidR="002347F2">
        <w:fldChar w:fldCharType="begin"/>
      </w:r>
      <w:r w:rsidR="002347F2">
        <w:instrText xml:space="preserve"> STYLEREF 1 \s </w:instrText>
      </w:r>
      <w:r w:rsidR="002347F2">
        <w:fldChar w:fldCharType="separate"/>
      </w:r>
      <w:r w:rsidR="00D56C84">
        <w:rPr>
          <w:noProof/>
        </w:rPr>
        <w:t>1</w:t>
      </w:r>
      <w:r w:rsidR="002347F2">
        <w:rPr>
          <w:noProof/>
        </w:rPr>
        <w:fldChar w:fldCharType="end"/>
      </w:r>
      <w:r>
        <w:t>.</w:t>
      </w:r>
      <w:fldSimple w:instr=" SEQ Table \* ARABIC \s 1 ">
        <w:r w:rsidR="00D56C84">
          <w:rPr>
            <w:noProof/>
          </w:rPr>
          <w:t>6</w:t>
        </w:r>
      </w:fldSimple>
      <w:bookmarkEnd w:id="40"/>
      <w:r w:rsidR="00194B25" w:rsidRPr="00C729DC">
        <w:tab/>
        <w:t>AER</w:t>
      </w:r>
      <w:r w:rsidR="00194B25">
        <w:t>'s</w:t>
      </w:r>
      <w:r w:rsidR="00194B25" w:rsidRPr="00C729DC">
        <w:t xml:space="preserve"> estimated impact of </w:t>
      </w:r>
      <w:r w:rsidR="00194B25">
        <w:t>our final</w:t>
      </w:r>
      <w:r w:rsidR="00194B25">
        <w:tab/>
      </w:r>
      <w:r w:rsidR="00194B25" w:rsidRPr="00C729DC">
        <w:t>decision</w:t>
      </w:r>
      <w:r w:rsidR="00194B25">
        <w:t xml:space="preserve"> and AusNet Services’ proposal</w:t>
      </w:r>
      <w:r w:rsidR="00194B25" w:rsidRPr="00C729DC">
        <w:t xml:space="preserve"> on the average </w:t>
      </w:r>
      <w:r w:rsidR="00194B25">
        <w:t>annual electricity bills for the</w:t>
      </w:r>
      <w:r w:rsidR="00194B25" w:rsidRPr="00C729DC">
        <w:t xml:space="preserve"> 201</w:t>
      </w:r>
      <w:r w:rsidR="00194B25">
        <w:t>7</w:t>
      </w:r>
      <w:r w:rsidR="00194B25" w:rsidRPr="00C729DC">
        <w:t>–</w:t>
      </w:r>
      <w:r w:rsidR="00194B25">
        <w:t>22 regulatory control period ($ nominal)</w:t>
      </w:r>
    </w:p>
    <w:tbl>
      <w:tblPr>
        <w:tblStyle w:val="AERtable-numbers"/>
        <w:tblW w:w="9077" w:type="dxa"/>
        <w:tblLook w:val="04A0" w:firstRow="1" w:lastRow="0" w:firstColumn="1" w:lastColumn="0" w:noHBand="0" w:noVBand="1"/>
      </w:tblPr>
      <w:tblGrid>
        <w:gridCol w:w="2572"/>
        <w:gridCol w:w="973"/>
        <w:gridCol w:w="1109"/>
        <w:gridCol w:w="1170"/>
        <w:gridCol w:w="1171"/>
        <w:gridCol w:w="1041"/>
        <w:gridCol w:w="1041"/>
      </w:tblGrid>
      <w:tr w:rsidR="000036C1" w:rsidRPr="00731756" w:rsidTr="000036C1">
        <w:trPr>
          <w:cnfStyle w:val="100000000000" w:firstRow="1" w:lastRow="0" w:firstColumn="0" w:lastColumn="0" w:oddVBand="0" w:evenVBand="0" w:oddHBand="0" w:evenHBand="0" w:firstRowFirstColumn="0" w:firstRowLastColumn="0" w:lastRowFirstColumn="0" w:lastRowLastColumn="0"/>
          <w:trHeight w:val="462"/>
          <w:tblHeader/>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p>
        </w:tc>
        <w:tc>
          <w:tcPr>
            <w:tcW w:w="973"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2016–17</w:t>
            </w:r>
          </w:p>
        </w:tc>
        <w:tc>
          <w:tcPr>
            <w:tcW w:w="1109"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2017–18</w:t>
            </w:r>
          </w:p>
        </w:tc>
        <w:tc>
          <w:tcPr>
            <w:tcW w:w="1170"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2018–19</w:t>
            </w:r>
          </w:p>
        </w:tc>
        <w:tc>
          <w:tcPr>
            <w:tcW w:w="1171"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2019–20</w:t>
            </w:r>
          </w:p>
        </w:tc>
        <w:tc>
          <w:tcPr>
            <w:tcW w:w="1041"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2020–21</w:t>
            </w:r>
          </w:p>
        </w:tc>
        <w:tc>
          <w:tcPr>
            <w:tcW w:w="1041" w:type="dxa"/>
            <w:vAlign w:val="bottom"/>
          </w:tcPr>
          <w:p w:rsidR="000036C1" w:rsidRPr="000036C1" w:rsidRDefault="000036C1" w:rsidP="00A6747E">
            <w:pPr>
              <w:keepNext/>
              <w:cnfStyle w:val="100000000000" w:firstRow="1" w:lastRow="0" w:firstColumn="0" w:lastColumn="0" w:oddVBand="0" w:evenVBand="0" w:oddHBand="0" w:evenHBand="0" w:firstRowFirstColumn="0" w:firstRowLastColumn="0" w:lastRowFirstColumn="0" w:lastRowLastColumn="0"/>
            </w:pPr>
            <w:r w:rsidRPr="000036C1">
              <w:t>2021–22</w:t>
            </w:r>
          </w:p>
        </w:tc>
      </w:tr>
      <w:tr w:rsidR="000036C1" w:rsidRPr="00731756" w:rsidTr="000036C1">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rPr>
                <w:rStyle w:val="Strong"/>
              </w:rPr>
            </w:pPr>
            <w:r w:rsidRPr="00731756">
              <w:rPr>
                <w:rStyle w:val="Strong"/>
              </w:rPr>
              <w:t xml:space="preserve">AER </w:t>
            </w:r>
            <w:r>
              <w:rPr>
                <w:rStyle w:val="Strong"/>
              </w:rPr>
              <w:t>draft</w:t>
            </w:r>
            <w:r w:rsidRPr="00731756">
              <w:rPr>
                <w:rStyle w:val="Strong"/>
              </w:rPr>
              <w:t xml:space="preserve"> decision</w:t>
            </w:r>
          </w:p>
        </w:tc>
        <w:tc>
          <w:tcPr>
            <w:tcW w:w="973"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09"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70"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7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 </w:t>
            </w:r>
          </w:p>
        </w:tc>
      </w:tr>
      <w:tr w:rsidR="00EB42D0" w:rsidRPr="00731756" w:rsidTr="006149A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Pr="00731756" w:rsidRDefault="00EB42D0" w:rsidP="00A6747E">
            <w:pPr>
              <w:keepNext/>
            </w:pPr>
            <w:r>
              <w:t>R</w:t>
            </w:r>
            <w:r w:rsidRPr="00731756">
              <w:t>esidential annual bill</w:t>
            </w:r>
          </w:p>
        </w:tc>
        <w:tc>
          <w:tcPr>
            <w:tcW w:w="973" w:type="dxa"/>
            <w:vAlign w:val="bottom"/>
          </w:tcPr>
          <w:p w:rsidR="00EB42D0" w:rsidRPr="000036C1" w:rsidRDefault="00EB42D0" w:rsidP="00A6747E">
            <w:pPr>
              <w:keepNext/>
              <w:cnfStyle w:val="000000010000" w:firstRow="0" w:lastRow="0" w:firstColumn="0" w:lastColumn="0" w:oddVBand="0" w:evenVBand="0" w:oddHBand="0" w:evenHBand="1" w:firstRowFirstColumn="0" w:firstRowLastColumn="0" w:lastRowFirstColumn="0" w:lastRowLastColumn="0"/>
            </w:pPr>
            <w:r w:rsidRPr="000036C1">
              <w:t>1419</w:t>
            </w:r>
            <w:r w:rsidRPr="000036C1">
              <w:rPr>
                <w:rStyle w:val="AERsuperscript"/>
              </w:rPr>
              <w:t>a</w:t>
            </w:r>
          </w:p>
        </w:tc>
        <w:tc>
          <w:tcPr>
            <w:tcW w:w="1109"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1418</w:t>
            </w:r>
          </w:p>
        </w:tc>
        <w:tc>
          <w:tcPr>
            <w:tcW w:w="1170"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1419</w:t>
            </w:r>
          </w:p>
        </w:tc>
        <w:tc>
          <w:tcPr>
            <w:tcW w:w="117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1419</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1420</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1421</w:t>
            </w:r>
          </w:p>
        </w:tc>
      </w:tr>
      <w:tr w:rsidR="00EB42D0" w:rsidRPr="00731756" w:rsidTr="006149A6">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Pr="00731756" w:rsidRDefault="00EB42D0" w:rsidP="00A6747E">
            <w:pPr>
              <w:keepNext/>
            </w:pPr>
            <w:r w:rsidRPr="00731756">
              <w:t>Annual change</w:t>
            </w:r>
            <w:r w:rsidRPr="006149A6">
              <w:rPr>
                <w:rStyle w:val="AERsuperscript"/>
              </w:rPr>
              <w:t>d</w:t>
            </w:r>
          </w:p>
        </w:tc>
        <w:tc>
          <w:tcPr>
            <w:tcW w:w="973" w:type="dxa"/>
            <w:vAlign w:val="bottom"/>
          </w:tcPr>
          <w:p w:rsidR="00EB42D0" w:rsidRPr="000036C1" w:rsidRDefault="00EB42D0"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09"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(–0.1%)</w:t>
            </w:r>
          </w:p>
        </w:tc>
        <w:tc>
          <w:tcPr>
            <w:tcW w:w="1170"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0 (0</w:t>
            </w:r>
            <w:r w:rsidR="00EC7935">
              <w:t>.0</w:t>
            </w:r>
            <w:r w:rsidRPr="00E271D3">
              <w:t>%)</w:t>
            </w:r>
          </w:p>
        </w:tc>
        <w:tc>
          <w:tcPr>
            <w:tcW w:w="117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0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(0.1%)</w:t>
            </w:r>
          </w:p>
        </w:tc>
      </w:tr>
      <w:tr w:rsidR="00EB42D0" w:rsidRPr="00731756" w:rsidTr="006149A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Pr="00731756" w:rsidRDefault="00EB42D0" w:rsidP="00A6747E">
            <w:pPr>
              <w:keepNext/>
            </w:pPr>
            <w:r>
              <w:t>Small business</w:t>
            </w:r>
            <w:r w:rsidRPr="00731756">
              <w:t xml:space="preserve"> </w:t>
            </w:r>
            <w:r>
              <w:t xml:space="preserve">(flat) </w:t>
            </w:r>
            <w:r w:rsidRPr="00731756">
              <w:t>annual bill</w:t>
            </w:r>
          </w:p>
        </w:tc>
        <w:tc>
          <w:tcPr>
            <w:tcW w:w="973" w:type="dxa"/>
            <w:vAlign w:val="bottom"/>
          </w:tcPr>
          <w:p w:rsidR="00EB42D0" w:rsidRPr="000036C1" w:rsidRDefault="00EB42D0" w:rsidP="00A6747E">
            <w:pPr>
              <w:keepNext/>
              <w:cnfStyle w:val="000000010000" w:firstRow="0" w:lastRow="0" w:firstColumn="0" w:lastColumn="0" w:oddVBand="0" w:evenVBand="0" w:oddHBand="0" w:evenHBand="1" w:firstRowFirstColumn="0" w:firstRowLastColumn="0" w:lastRowFirstColumn="0" w:lastRowLastColumn="0"/>
            </w:pPr>
            <w:r w:rsidRPr="000036C1">
              <w:t>3332</w:t>
            </w:r>
            <w:r w:rsidRPr="000036C1">
              <w:rPr>
                <w:rStyle w:val="AERsuperscript"/>
              </w:rPr>
              <w:t>b</w:t>
            </w:r>
          </w:p>
        </w:tc>
        <w:tc>
          <w:tcPr>
            <w:tcW w:w="1109"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3330</w:t>
            </w:r>
          </w:p>
        </w:tc>
        <w:tc>
          <w:tcPr>
            <w:tcW w:w="1170"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3331</w:t>
            </w:r>
          </w:p>
        </w:tc>
        <w:tc>
          <w:tcPr>
            <w:tcW w:w="117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3331</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3333</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3335</w:t>
            </w:r>
          </w:p>
        </w:tc>
      </w:tr>
      <w:tr w:rsidR="00EB42D0" w:rsidRPr="00731756" w:rsidTr="006149A6">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Pr="00731756" w:rsidRDefault="00EB42D0" w:rsidP="00A6747E">
            <w:pPr>
              <w:keepNext/>
            </w:pPr>
            <w:r w:rsidRPr="00731756">
              <w:t>Annual change</w:t>
            </w:r>
            <w:r w:rsidRPr="00254BED">
              <w:rPr>
                <w:rStyle w:val="AERsuperscript"/>
              </w:rPr>
              <w:t>d</w:t>
            </w:r>
          </w:p>
        </w:tc>
        <w:tc>
          <w:tcPr>
            <w:tcW w:w="973" w:type="dxa"/>
            <w:vAlign w:val="bottom"/>
          </w:tcPr>
          <w:p w:rsidR="00EB42D0" w:rsidRPr="000036C1" w:rsidRDefault="00EB42D0"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09"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–2 (–0.1%)</w:t>
            </w:r>
          </w:p>
        </w:tc>
        <w:tc>
          <w:tcPr>
            <w:tcW w:w="1170"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w:t>
            </w:r>
            <w:r w:rsidR="00EC7935">
              <w:t>.0</w:t>
            </w:r>
            <w:r w:rsidRPr="00E271D3">
              <w:t>%)</w:t>
            </w:r>
          </w:p>
        </w:tc>
        <w:tc>
          <w:tcPr>
            <w:tcW w:w="117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1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2 (0.1%)</w:t>
            </w:r>
          </w:p>
        </w:tc>
      </w:tr>
      <w:tr w:rsidR="00EB42D0" w:rsidRPr="00731756" w:rsidTr="006149A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Default="00EB42D0" w:rsidP="00A6747E">
            <w:pPr>
              <w:keepNext/>
              <w:rPr>
                <w:rStyle w:val="Strong"/>
              </w:rPr>
            </w:pPr>
            <w:r>
              <w:t>Small business</w:t>
            </w:r>
            <w:r w:rsidRPr="00731756">
              <w:t xml:space="preserve"> </w:t>
            </w:r>
            <w:r>
              <w:t xml:space="preserve">(TOU) </w:t>
            </w:r>
            <w:r w:rsidRPr="00731756">
              <w:t>annual bill</w:t>
            </w:r>
          </w:p>
        </w:tc>
        <w:tc>
          <w:tcPr>
            <w:tcW w:w="973" w:type="dxa"/>
            <w:vAlign w:val="bottom"/>
          </w:tcPr>
          <w:p w:rsidR="00EB42D0" w:rsidRPr="000036C1" w:rsidRDefault="00EB42D0" w:rsidP="00A6747E">
            <w:pPr>
              <w:keepNext/>
              <w:cnfStyle w:val="000000010000" w:firstRow="0" w:lastRow="0" w:firstColumn="0" w:lastColumn="0" w:oddVBand="0" w:evenVBand="0" w:oddHBand="0" w:evenHBand="1" w:firstRowFirstColumn="0" w:firstRowLastColumn="0" w:lastRowFirstColumn="0" w:lastRowLastColumn="0"/>
            </w:pPr>
            <w:r w:rsidRPr="000036C1">
              <w:t>8247</w:t>
            </w:r>
            <w:r w:rsidRPr="000036C1">
              <w:rPr>
                <w:rStyle w:val="AERsuperscript"/>
              </w:rPr>
              <w:t>c</w:t>
            </w:r>
          </w:p>
        </w:tc>
        <w:tc>
          <w:tcPr>
            <w:tcW w:w="1109"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8242</w:t>
            </w:r>
          </w:p>
        </w:tc>
        <w:tc>
          <w:tcPr>
            <w:tcW w:w="1170"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8244</w:t>
            </w:r>
          </w:p>
        </w:tc>
        <w:tc>
          <w:tcPr>
            <w:tcW w:w="117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8246</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8249</w:t>
            </w:r>
          </w:p>
        </w:tc>
        <w:tc>
          <w:tcPr>
            <w:tcW w:w="1041" w:type="dxa"/>
            <w:vAlign w:val="top"/>
          </w:tcPr>
          <w:p w:rsidR="00EB42D0" w:rsidRPr="00A6747E" w:rsidRDefault="00EB42D0" w:rsidP="00A6747E">
            <w:pPr>
              <w:keepNext/>
              <w:cnfStyle w:val="000000010000" w:firstRow="0" w:lastRow="0" w:firstColumn="0" w:lastColumn="0" w:oddVBand="0" w:evenVBand="0" w:oddHBand="0" w:evenHBand="1" w:firstRowFirstColumn="0" w:firstRowLastColumn="0" w:lastRowFirstColumn="0" w:lastRowLastColumn="0"/>
            </w:pPr>
            <w:r w:rsidRPr="00E271D3">
              <w:t>8255</w:t>
            </w:r>
          </w:p>
        </w:tc>
      </w:tr>
      <w:tr w:rsidR="00EB42D0" w:rsidRPr="00731756" w:rsidTr="006149A6">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EB42D0" w:rsidRDefault="00EB42D0" w:rsidP="00A6747E">
            <w:pPr>
              <w:keepNext/>
              <w:rPr>
                <w:rStyle w:val="Strong"/>
              </w:rPr>
            </w:pPr>
            <w:r w:rsidRPr="00731756">
              <w:t>Annual change</w:t>
            </w:r>
            <w:r w:rsidRPr="00254BED">
              <w:rPr>
                <w:rStyle w:val="AERsuperscript"/>
              </w:rPr>
              <w:t>d</w:t>
            </w:r>
          </w:p>
        </w:tc>
        <w:tc>
          <w:tcPr>
            <w:tcW w:w="973" w:type="dxa"/>
            <w:vAlign w:val="bottom"/>
          </w:tcPr>
          <w:p w:rsidR="00EB42D0" w:rsidRPr="000036C1" w:rsidRDefault="00EB42D0" w:rsidP="00A6747E">
            <w:pPr>
              <w:keepNext/>
              <w:cnfStyle w:val="000000000000" w:firstRow="0" w:lastRow="0" w:firstColumn="0" w:lastColumn="0" w:oddVBand="0" w:evenVBand="0" w:oddHBand="0" w:evenHBand="0" w:firstRowFirstColumn="0" w:firstRowLastColumn="0" w:lastRowFirstColumn="0" w:lastRowLastColumn="0"/>
            </w:pPr>
            <w:r w:rsidRPr="000036C1">
              <w:t> </w:t>
            </w:r>
          </w:p>
        </w:tc>
        <w:tc>
          <w:tcPr>
            <w:tcW w:w="1109"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–5 (–0.1%)</w:t>
            </w:r>
          </w:p>
        </w:tc>
        <w:tc>
          <w:tcPr>
            <w:tcW w:w="1170"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2 (0</w:t>
            </w:r>
            <w:r w:rsidR="00EC7935">
              <w:t>.0</w:t>
            </w:r>
            <w:r w:rsidRPr="00E271D3">
              <w:t>%)</w:t>
            </w:r>
          </w:p>
        </w:tc>
        <w:tc>
          <w:tcPr>
            <w:tcW w:w="117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2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3 (0</w:t>
            </w:r>
            <w:r w:rsidR="00EC7935">
              <w:t>.0</w:t>
            </w:r>
            <w:r w:rsidRPr="00E271D3">
              <w:t>%)</w:t>
            </w:r>
          </w:p>
        </w:tc>
        <w:tc>
          <w:tcPr>
            <w:tcW w:w="1041" w:type="dxa"/>
            <w:vAlign w:val="top"/>
          </w:tcPr>
          <w:p w:rsidR="00EB42D0" w:rsidRPr="00A6747E" w:rsidRDefault="00EB42D0" w:rsidP="00A6747E">
            <w:pPr>
              <w:keepNext/>
              <w:cnfStyle w:val="000000000000" w:firstRow="0" w:lastRow="0" w:firstColumn="0" w:lastColumn="0" w:oddVBand="0" w:evenVBand="0" w:oddHBand="0" w:evenHBand="0" w:firstRowFirstColumn="0" w:firstRowLastColumn="0" w:lastRowFirstColumn="0" w:lastRowLastColumn="0"/>
            </w:pPr>
            <w:r w:rsidRPr="00E271D3">
              <w:t>6 (0.1%)</w:t>
            </w:r>
          </w:p>
        </w:tc>
      </w:tr>
      <w:tr w:rsidR="000036C1" w:rsidRPr="00731756" w:rsidTr="000036C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rPr>
                <w:rStyle w:val="Strong"/>
              </w:rPr>
            </w:pPr>
            <w:r>
              <w:rPr>
                <w:rStyle w:val="Strong"/>
              </w:rPr>
              <w:t>AusNet Services proposal</w:t>
            </w:r>
          </w:p>
        </w:tc>
        <w:tc>
          <w:tcPr>
            <w:tcW w:w="973"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09"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70"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7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r>
      <w:tr w:rsidR="000036C1" w:rsidRPr="00731756" w:rsidTr="000036C1">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t>R</w:t>
            </w:r>
            <w:r w:rsidRPr="00731756">
              <w:t>esidential annual bill</w:t>
            </w:r>
          </w:p>
        </w:tc>
        <w:tc>
          <w:tcPr>
            <w:tcW w:w="973"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1419</w:t>
            </w:r>
            <w:r w:rsidRPr="000036C1">
              <w:rPr>
                <w:rStyle w:val="AERsuperscript"/>
              </w:rPr>
              <w:t>a</w:t>
            </w:r>
          </w:p>
        </w:tc>
        <w:tc>
          <w:tcPr>
            <w:tcW w:w="1109"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1428</w:t>
            </w:r>
          </w:p>
        </w:tc>
        <w:tc>
          <w:tcPr>
            <w:tcW w:w="1170"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1430</w:t>
            </w:r>
          </w:p>
        </w:tc>
        <w:tc>
          <w:tcPr>
            <w:tcW w:w="117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1431</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1433</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1436</w:t>
            </w:r>
          </w:p>
        </w:tc>
      </w:tr>
      <w:tr w:rsidR="000036C1" w:rsidRPr="00731756" w:rsidTr="000036C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rsidRPr="00731756">
              <w:t>Annual change</w:t>
            </w:r>
            <w:r w:rsidRPr="00254BED">
              <w:rPr>
                <w:rStyle w:val="AERsuperscript"/>
              </w:rPr>
              <w:t>d</w:t>
            </w:r>
          </w:p>
        </w:tc>
        <w:tc>
          <w:tcPr>
            <w:tcW w:w="973"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09"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8 (0.6%)</w:t>
            </w:r>
          </w:p>
        </w:tc>
        <w:tc>
          <w:tcPr>
            <w:tcW w:w="1170"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2 (0.1%)</w:t>
            </w:r>
          </w:p>
        </w:tc>
        <w:tc>
          <w:tcPr>
            <w:tcW w:w="117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2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2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2 (0.2%)</w:t>
            </w:r>
          </w:p>
        </w:tc>
      </w:tr>
      <w:tr w:rsidR="000036C1" w:rsidRPr="00731756" w:rsidTr="000036C1">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t>Small business</w:t>
            </w:r>
            <w:r w:rsidRPr="00731756">
              <w:t xml:space="preserve"> </w:t>
            </w:r>
            <w:r>
              <w:t xml:space="preserve">(flat) </w:t>
            </w:r>
            <w:r w:rsidRPr="00731756">
              <w:t>annual bill</w:t>
            </w:r>
          </w:p>
        </w:tc>
        <w:tc>
          <w:tcPr>
            <w:tcW w:w="973"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3332</w:t>
            </w:r>
            <w:r w:rsidRPr="000036C1">
              <w:rPr>
                <w:rStyle w:val="AERsuperscript"/>
              </w:rPr>
              <w:t>b</w:t>
            </w:r>
          </w:p>
        </w:tc>
        <w:tc>
          <w:tcPr>
            <w:tcW w:w="1109"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3348</w:t>
            </w:r>
          </w:p>
        </w:tc>
        <w:tc>
          <w:tcPr>
            <w:tcW w:w="1170"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3351</w:t>
            </w:r>
          </w:p>
        </w:tc>
        <w:tc>
          <w:tcPr>
            <w:tcW w:w="117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3354</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3358</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3363</w:t>
            </w:r>
          </w:p>
        </w:tc>
      </w:tr>
      <w:tr w:rsidR="000036C1" w:rsidRPr="00731756" w:rsidTr="000036C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rsidRPr="00731756">
              <w:t>Annual change</w:t>
            </w:r>
            <w:r w:rsidRPr="00254BED">
              <w:rPr>
                <w:rStyle w:val="AERsuperscript"/>
              </w:rPr>
              <w:t>d</w:t>
            </w:r>
          </w:p>
        </w:tc>
        <w:tc>
          <w:tcPr>
            <w:tcW w:w="973"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09"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16 (0.5%)</w:t>
            </w:r>
          </w:p>
        </w:tc>
        <w:tc>
          <w:tcPr>
            <w:tcW w:w="1170"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3 (0.1%)</w:t>
            </w:r>
          </w:p>
        </w:tc>
        <w:tc>
          <w:tcPr>
            <w:tcW w:w="117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3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4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5 (0.1%)</w:t>
            </w:r>
          </w:p>
        </w:tc>
      </w:tr>
      <w:tr w:rsidR="000036C1" w:rsidRPr="00731756" w:rsidTr="000036C1">
        <w:trPr>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t>Small business</w:t>
            </w:r>
            <w:r w:rsidRPr="00731756">
              <w:t xml:space="preserve"> </w:t>
            </w:r>
            <w:r>
              <w:t xml:space="preserve">(TOU) </w:t>
            </w:r>
            <w:r w:rsidRPr="00731756">
              <w:t>annual bill</w:t>
            </w:r>
          </w:p>
        </w:tc>
        <w:tc>
          <w:tcPr>
            <w:tcW w:w="973"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8247</w:t>
            </w:r>
            <w:r w:rsidRPr="000036C1">
              <w:rPr>
                <w:rStyle w:val="AERsuperscript"/>
              </w:rPr>
              <w:t>c</w:t>
            </w:r>
          </w:p>
        </w:tc>
        <w:tc>
          <w:tcPr>
            <w:tcW w:w="1109"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8286</w:t>
            </w:r>
          </w:p>
        </w:tc>
        <w:tc>
          <w:tcPr>
            <w:tcW w:w="1170"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8295</w:t>
            </w:r>
          </w:p>
        </w:tc>
        <w:tc>
          <w:tcPr>
            <w:tcW w:w="117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8303</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8312</w:t>
            </w:r>
          </w:p>
        </w:tc>
        <w:tc>
          <w:tcPr>
            <w:tcW w:w="1041" w:type="dxa"/>
            <w:vAlign w:val="bottom"/>
          </w:tcPr>
          <w:p w:rsidR="000036C1" w:rsidRPr="000036C1" w:rsidRDefault="000036C1" w:rsidP="00A6747E">
            <w:pPr>
              <w:keepNext/>
              <w:cnfStyle w:val="000000000000" w:firstRow="0" w:lastRow="0" w:firstColumn="0" w:lastColumn="0" w:oddVBand="0" w:evenVBand="0" w:oddHBand="0" w:evenHBand="0" w:firstRowFirstColumn="0" w:firstRowLastColumn="0" w:lastRowFirstColumn="0" w:lastRowLastColumn="0"/>
            </w:pPr>
            <w:r w:rsidRPr="000036C1">
              <w:t>8323</w:t>
            </w:r>
          </w:p>
        </w:tc>
      </w:tr>
      <w:tr w:rsidR="000036C1" w:rsidRPr="00731756" w:rsidTr="000036C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72" w:type="dxa"/>
          </w:tcPr>
          <w:p w:rsidR="000036C1" w:rsidRPr="00731756" w:rsidRDefault="000036C1" w:rsidP="00A6747E">
            <w:pPr>
              <w:keepNext/>
            </w:pPr>
            <w:r w:rsidRPr="00731756">
              <w:t>Annual change</w:t>
            </w:r>
            <w:r w:rsidRPr="00254BED">
              <w:rPr>
                <w:rStyle w:val="AERsuperscript"/>
              </w:rPr>
              <w:t>d</w:t>
            </w:r>
          </w:p>
        </w:tc>
        <w:tc>
          <w:tcPr>
            <w:tcW w:w="973"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 </w:t>
            </w:r>
          </w:p>
        </w:tc>
        <w:tc>
          <w:tcPr>
            <w:tcW w:w="1109"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39 (0.5%)</w:t>
            </w:r>
          </w:p>
        </w:tc>
        <w:tc>
          <w:tcPr>
            <w:tcW w:w="1170"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8 (0.1%)</w:t>
            </w:r>
          </w:p>
        </w:tc>
        <w:tc>
          <w:tcPr>
            <w:tcW w:w="117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8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9 (0.1%)</w:t>
            </w:r>
          </w:p>
        </w:tc>
        <w:tc>
          <w:tcPr>
            <w:tcW w:w="1041" w:type="dxa"/>
            <w:vAlign w:val="bottom"/>
          </w:tcPr>
          <w:p w:rsidR="000036C1" w:rsidRPr="000036C1" w:rsidRDefault="000036C1" w:rsidP="00A6747E">
            <w:pPr>
              <w:keepNext/>
              <w:cnfStyle w:val="000000010000" w:firstRow="0" w:lastRow="0" w:firstColumn="0" w:lastColumn="0" w:oddVBand="0" w:evenVBand="0" w:oddHBand="0" w:evenHBand="1" w:firstRowFirstColumn="0" w:firstRowLastColumn="0" w:lastRowFirstColumn="0" w:lastRowLastColumn="0"/>
            </w:pPr>
            <w:r w:rsidRPr="000036C1">
              <w:t>11 (0.1%)</w:t>
            </w:r>
          </w:p>
        </w:tc>
      </w:tr>
    </w:tbl>
    <w:p w:rsidR="00194B25" w:rsidRDefault="00194B25" w:rsidP="00194B25">
      <w:pPr>
        <w:pStyle w:val="AERtablesource"/>
      </w:pPr>
      <w:r w:rsidRPr="00C729DC">
        <w:t>Source:</w:t>
      </w:r>
      <w:r w:rsidRPr="00C729DC">
        <w:tab/>
      </w:r>
      <w:r>
        <w:t>AER analysis;</w:t>
      </w:r>
      <w:r w:rsidR="00E6103C">
        <w:t xml:space="preserve"> </w:t>
      </w:r>
      <w:r w:rsidR="00045228" w:rsidRPr="00A6646A">
        <w:t xml:space="preserve">ESCV, </w:t>
      </w:r>
      <w:r w:rsidR="00045228" w:rsidRPr="00A54873">
        <w:rPr>
          <w:rStyle w:val="AERtextitalic"/>
        </w:rPr>
        <w:t>Energy Retailers Comparative Performance Report — Pricing 2014–15</w:t>
      </w:r>
      <w:r w:rsidR="00045228" w:rsidRPr="00A6646A">
        <w:t>, January 2016</w:t>
      </w:r>
      <w:r w:rsidR="00045228">
        <w:t>, p. XIII; AEMO,</w:t>
      </w:r>
      <w:r w:rsidR="00045228" w:rsidRPr="00424732">
        <w:t xml:space="preserve"> </w:t>
      </w:r>
      <w:r w:rsidR="00045228" w:rsidRPr="00CC57BF">
        <w:rPr>
          <w:rStyle w:val="AERtextitalic"/>
        </w:rPr>
        <w:t>National electricity forecasting report</w:t>
      </w:r>
      <w:r w:rsidR="00045228">
        <w:rPr>
          <w:rStyle w:val="AERtextitalic"/>
        </w:rPr>
        <w:t xml:space="preserve"> for the national electricity market - Update</w:t>
      </w:r>
      <w:r w:rsidR="00045228" w:rsidRPr="00424732">
        <w:t xml:space="preserve">, </w:t>
      </w:r>
      <w:r w:rsidR="00045228">
        <w:t>December 2015, table 3, Medium</w:t>
      </w:r>
      <w:r>
        <w:t>.</w:t>
      </w:r>
    </w:p>
    <w:p w:rsidR="00045228" w:rsidRDefault="00045228" w:rsidP="00045228">
      <w:pPr>
        <w:pStyle w:val="AERtablesource"/>
      </w:pPr>
      <w:r>
        <w:t>(a)</w:t>
      </w:r>
      <w:r w:rsidRPr="00064DEE">
        <w:t xml:space="preserve"> </w:t>
      </w:r>
      <w:r>
        <w:tab/>
      </w:r>
      <w:r w:rsidRPr="006E438C">
        <w:t xml:space="preserve">Based on </w:t>
      </w:r>
      <w:r>
        <w:t xml:space="preserve">weighted </w:t>
      </w:r>
      <w:r w:rsidRPr="006E438C">
        <w:t xml:space="preserve">average </w:t>
      </w:r>
      <w:r>
        <w:t>standing offers at June 2016 from</w:t>
      </w:r>
      <w:r w:rsidRPr="006E438C">
        <w:t xml:space="preserve"> Switch</w:t>
      </w:r>
      <w:r w:rsidR="00EC7935">
        <w:t>O</w:t>
      </w:r>
      <w:r w:rsidRPr="006E438C">
        <w:t xml:space="preserve">n comparison tool </w:t>
      </w:r>
      <w:r>
        <w:t>for DNSP service areas (p</w:t>
      </w:r>
      <w:r w:rsidRPr="006E438C">
        <w:t>ostcodes</w:t>
      </w:r>
      <w:r>
        <w:t>:</w:t>
      </w:r>
      <w:r w:rsidRPr="006E438C">
        <w:t xml:space="preserve"> 3000, 3047, 3134, 3199, 3550)</w:t>
      </w:r>
      <w:r>
        <w:t xml:space="preserve"> </w:t>
      </w:r>
      <w:r w:rsidRPr="006E438C">
        <w:t xml:space="preserve">using </w:t>
      </w:r>
      <w:r>
        <w:t>consumption of 4000 kWh per annum converted to middle of year 2016–17 dollar terms.</w:t>
      </w:r>
    </w:p>
    <w:p w:rsidR="00045228" w:rsidRDefault="00045228" w:rsidP="00045228">
      <w:pPr>
        <w:pStyle w:val="AERtablesource"/>
      </w:pPr>
      <w:r>
        <w:t>(b)</w:t>
      </w:r>
      <w:r>
        <w:tab/>
        <w:t xml:space="preserve">Based on weighted average of Victorian bills in </w:t>
      </w:r>
      <w:r w:rsidRPr="00045228">
        <w:t xml:space="preserve">ESCV, </w:t>
      </w:r>
      <w:r w:rsidRPr="00A54873">
        <w:rPr>
          <w:rStyle w:val="AERtextitalic"/>
        </w:rPr>
        <w:t>Energy Retailers Comparative Performance Report — Pricing 2014–15</w:t>
      </w:r>
      <w:r w:rsidRPr="00045228">
        <w:t>, January 2016</w:t>
      </w:r>
      <w:r>
        <w:t>, converted to middle of year 2016–17 dollar terms</w:t>
      </w:r>
      <w:r w:rsidRPr="00045228">
        <w:t>.</w:t>
      </w:r>
    </w:p>
    <w:p w:rsidR="00045228" w:rsidRDefault="00045228" w:rsidP="00045228">
      <w:pPr>
        <w:pStyle w:val="AERtablesource"/>
      </w:pPr>
      <w:r>
        <w:t>(c)</w:t>
      </w:r>
      <w:r>
        <w:tab/>
      </w:r>
      <w:r w:rsidRPr="00045228">
        <w:t xml:space="preserve"> </w:t>
      </w:r>
      <w:r>
        <w:t xml:space="preserve">Based on weighted average of Victorian bills in </w:t>
      </w:r>
      <w:r w:rsidRPr="00045228">
        <w:t>ESCV</w:t>
      </w:r>
      <w:r w:rsidRPr="00A54873">
        <w:rPr>
          <w:rStyle w:val="AERtextitalic"/>
        </w:rPr>
        <w:t>, Energy Retailers Comparative Performance Report — Pricing 2014–15, January 2016</w:t>
      </w:r>
      <w:r>
        <w:t>, converted to middle of year 2016–17 dollar terms</w:t>
      </w:r>
      <w:r w:rsidRPr="00045228">
        <w:t>.</w:t>
      </w:r>
    </w:p>
    <w:p w:rsidR="00045228" w:rsidRDefault="00045228" w:rsidP="00045228">
      <w:pPr>
        <w:pStyle w:val="AERtablesource"/>
      </w:pPr>
      <w:r>
        <w:t>(d)</w:t>
      </w:r>
      <w:r>
        <w:tab/>
      </w:r>
      <w:r w:rsidRPr="00045228">
        <w:t xml:space="preserve">Annual change amounts and percentages are indicative. They are derived by varying the </w:t>
      </w:r>
      <w:r>
        <w:t>transmission</w:t>
      </w:r>
      <w:r w:rsidRPr="00045228">
        <w:t xml:space="preserve"> component of 201</w:t>
      </w:r>
      <w:r>
        <w:t>6–17</w:t>
      </w:r>
      <w:r w:rsidRPr="00045228">
        <w:t xml:space="preserve"> bill amounts in proportion to yearly expected revenue divided by </w:t>
      </w:r>
      <w:r>
        <w:t xml:space="preserve">AEMO </w:t>
      </w:r>
      <w:r w:rsidRPr="00045228">
        <w:t>forecast demand</w:t>
      </w:r>
      <w:r>
        <w:t xml:space="preserve"> (Victoria)</w:t>
      </w:r>
      <w:r w:rsidRPr="00045228">
        <w:t>. Actual bill impacts will vary depending on electricity consumption and tariff class.</w:t>
      </w:r>
    </w:p>
    <w:sectPr w:rsidR="00045228"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9A" w:rsidRPr="00290C63" w:rsidRDefault="008A1D9A" w:rsidP="00290C63">
      <w:r>
        <w:separator/>
      </w:r>
    </w:p>
    <w:p w:rsidR="008A1D9A" w:rsidRDefault="008A1D9A"/>
  </w:endnote>
  <w:endnote w:type="continuationSeparator" w:id="0">
    <w:p w:rsidR="008A1D9A" w:rsidRPr="00290C63" w:rsidRDefault="008A1D9A" w:rsidP="00290C63">
      <w:r>
        <w:continuationSeparator/>
      </w:r>
    </w:p>
    <w:p w:rsidR="008A1D9A" w:rsidRDefault="008A1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9A" w:rsidRPr="00290C63" w:rsidRDefault="008A1D9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A1D9A" w:rsidRDefault="008A1D9A"/>
  <w:p w:rsidR="008A1D9A" w:rsidRDefault="008A1D9A"/>
  <w:p w:rsidR="008A1D9A" w:rsidRDefault="008A1D9A"/>
  <w:p w:rsidR="008A1D9A" w:rsidRDefault="008A1D9A"/>
  <w:p w:rsidR="008A1D9A" w:rsidRDefault="008A1D9A"/>
  <w:p w:rsidR="008A1D9A" w:rsidRDefault="008A1D9A"/>
  <w:p w:rsidR="008A1D9A" w:rsidRDefault="008A1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8A1D9A" w:rsidRDefault="008A1D9A">
        <w:pPr>
          <w:pStyle w:val="Footer"/>
        </w:pPr>
        <w:r>
          <w:fldChar w:fldCharType="begin"/>
        </w:r>
        <w:r>
          <w:instrText xml:space="preserve"> PAGE   \* MERGEFORMAT </w:instrText>
        </w:r>
        <w:r>
          <w:fldChar w:fldCharType="separate"/>
        </w:r>
        <w:r w:rsidR="002347F2">
          <w:rPr>
            <w:noProof/>
          </w:rPr>
          <w:t>1-1</w:t>
        </w:r>
        <w:r>
          <w:rPr>
            <w:noProof/>
          </w:rPr>
          <w:fldChar w:fldCharType="end"/>
        </w:r>
        <w:r>
          <w:rPr>
            <w:noProof/>
          </w:rPr>
          <w:t xml:space="preserve">          </w:t>
        </w:r>
        <w:r w:rsidRPr="00FD5E78">
          <w:rPr>
            <w:noProof/>
            <w:sz w:val="16"/>
            <w:szCs w:val="16"/>
          </w:rPr>
          <w:t xml:space="preserve">Attachment 1 </w:t>
        </w:r>
        <w:r w:rsidRPr="00FD5E78">
          <w:rPr>
            <w:rFonts w:cs="Gautami"/>
            <w:noProof/>
            <w:sz w:val="16"/>
            <w:szCs w:val="16"/>
          </w:rPr>
          <w:t xml:space="preserve">– </w:t>
        </w:r>
        <w:r w:rsidRPr="00FD5E78">
          <w:rPr>
            <w:sz w:val="16"/>
            <w:szCs w:val="16"/>
          </w:rPr>
          <w:t>Maximum allowed revenue</w:t>
        </w:r>
        <w:r w:rsidRPr="00FD5E78">
          <w:rPr>
            <w:rFonts w:cs="Gautami"/>
            <w:noProof/>
            <w:sz w:val="16"/>
            <w:szCs w:val="16"/>
          </w:rPr>
          <w:t xml:space="preserve"> | </w:t>
        </w:r>
        <w:r>
          <w:rPr>
            <w:rFonts w:cs="Gautami"/>
            <w:noProof/>
            <w:sz w:val="16"/>
            <w:szCs w:val="16"/>
          </w:rPr>
          <w:t>Draft</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8A1D9A" w:rsidRDefault="008A1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9A" w:rsidRPr="00290C63" w:rsidRDefault="008A1D9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A1D9A" w:rsidRDefault="008A1D9A">
    <w:pPr>
      <w:pStyle w:val="Footer"/>
    </w:pPr>
  </w:p>
  <w:p w:rsidR="008A1D9A" w:rsidRDefault="008A1D9A"/>
  <w:p w:rsidR="008A1D9A" w:rsidRDefault="008A1D9A"/>
  <w:p w:rsidR="008A1D9A" w:rsidRDefault="008A1D9A"/>
  <w:p w:rsidR="008A1D9A" w:rsidRDefault="008A1D9A"/>
  <w:p w:rsidR="008A1D9A" w:rsidRDefault="008A1D9A"/>
  <w:p w:rsidR="008A1D9A" w:rsidRDefault="008A1D9A"/>
  <w:p w:rsidR="008A1D9A" w:rsidRDefault="008A1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9A" w:rsidRPr="00290C63" w:rsidRDefault="008A1D9A" w:rsidP="00290C63">
      <w:r>
        <w:separator/>
      </w:r>
    </w:p>
    <w:p w:rsidR="008A1D9A" w:rsidRDefault="008A1D9A"/>
  </w:footnote>
  <w:footnote w:type="continuationSeparator" w:id="0">
    <w:p w:rsidR="008A1D9A" w:rsidRPr="00290C63" w:rsidRDefault="008A1D9A" w:rsidP="00290C63">
      <w:r>
        <w:continuationSeparator/>
      </w:r>
    </w:p>
    <w:p w:rsidR="008A1D9A" w:rsidRDefault="008A1D9A"/>
  </w:footnote>
  <w:footnote w:id="1">
    <w:p w:rsidR="008A1D9A" w:rsidRDefault="008A1D9A" w:rsidP="00C26737">
      <w:pPr>
        <w:pStyle w:val="FootnoteText"/>
      </w:pPr>
      <w:r>
        <w:rPr>
          <w:rStyle w:val="FootnoteReference"/>
        </w:rPr>
        <w:footnoteRef/>
      </w:r>
      <w:r>
        <w:t xml:space="preserve"> </w:t>
      </w:r>
      <w:r>
        <w:tab/>
      </w:r>
      <w:r w:rsidRPr="000F0122">
        <w:t>NER, c</w:t>
      </w:r>
      <w:r>
        <w:t>ll.</w:t>
      </w:r>
      <w:r w:rsidRPr="000F0122">
        <w:t xml:space="preserve"> 6A.4.2(a)(1)–(3)</w:t>
      </w:r>
      <w:r>
        <w:t>, 6A.5.3(c)</w:t>
      </w:r>
      <w:r w:rsidRPr="000F0122">
        <w:t xml:space="preserve"> and 6A.6.8.</w:t>
      </w:r>
    </w:p>
  </w:footnote>
  <w:footnote w:id="2">
    <w:p w:rsidR="008A1D9A" w:rsidRDefault="008A1D9A">
      <w:pPr>
        <w:pStyle w:val="FootnoteText"/>
      </w:pPr>
      <w:r>
        <w:rPr>
          <w:rStyle w:val="FootnoteReference"/>
        </w:rPr>
        <w:footnoteRef/>
      </w:r>
      <w:r>
        <w:t xml:space="preserve"> </w:t>
      </w:r>
      <w:r>
        <w:tab/>
        <w:t>AusNet Services</w:t>
      </w:r>
      <w:r w:rsidRPr="00C10597">
        <w:t xml:space="preserve"> is not required to apply an X factor for 201</w:t>
      </w:r>
      <w:r>
        <w:t>7</w:t>
      </w:r>
      <w:r w:rsidRPr="00C10597">
        <w:t>–1</w:t>
      </w:r>
      <w:r>
        <w:t>8</w:t>
      </w:r>
      <w:r w:rsidRPr="00C10597">
        <w:t xml:space="preserve"> </w:t>
      </w:r>
      <w:r w:rsidRPr="006D43B4">
        <w:t xml:space="preserve">because </w:t>
      </w:r>
      <w:r>
        <w:t xml:space="preserve">we </w:t>
      </w:r>
      <w:r w:rsidRPr="006D43B4">
        <w:t>set</w:t>
      </w:r>
      <w:r>
        <w:t xml:space="preserve"> the 2017–18 MAR</w:t>
      </w:r>
      <w:r w:rsidRPr="006D43B4">
        <w:t xml:space="preserve"> in </w:t>
      </w:r>
      <w:r>
        <w:t>this</w:t>
      </w:r>
      <w:r w:rsidRPr="006D43B4">
        <w:t xml:space="preserve"> </w:t>
      </w:r>
      <w:r>
        <w:t>decision</w:t>
      </w:r>
      <w:r w:rsidRPr="00C10597">
        <w:t>.</w:t>
      </w:r>
    </w:p>
  </w:footnote>
  <w:footnote w:id="3">
    <w:p w:rsidR="008A1D9A" w:rsidRDefault="008A1D9A">
      <w:pPr>
        <w:pStyle w:val="FootnoteText"/>
      </w:pPr>
      <w:r>
        <w:rPr>
          <w:rStyle w:val="FootnoteReference"/>
        </w:rPr>
        <w:footnoteRef/>
      </w:r>
      <w:r>
        <w:t xml:space="preserve"> </w:t>
      </w:r>
      <w:r>
        <w:tab/>
      </w:r>
      <w:r w:rsidRPr="00574EC2">
        <w:t>NER, cl</w:t>
      </w:r>
      <w:r>
        <w:t>l</w:t>
      </w:r>
      <w:r w:rsidRPr="00574EC2">
        <w:t>.6A.5.1 and 6A.5.3.</w:t>
      </w:r>
    </w:p>
  </w:footnote>
  <w:footnote w:id="4">
    <w:p w:rsidR="008A1D9A" w:rsidRDefault="008A1D9A">
      <w:pPr>
        <w:pStyle w:val="FootnoteText"/>
      </w:pPr>
      <w:r>
        <w:rPr>
          <w:rStyle w:val="FootnoteReference"/>
        </w:rPr>
        <w:footnoteRef/>
      </w:r>
      <w:r>
        <w:t xml:space="preserve"> </w:t>
      </w:r>
      <w:r>
        <w:tab/>
      </w:r>
      <w:r w:rsidRPr="00574EC2">
        <w:t>NER, cl</w:t>
      </w:r>
      <w:r>
        <w:t>l</w:t>
      </w:r>
      <w:r w:rsidRPr="00574EC2">
        <w:t>. 6A.5.3(c)(1) and (4).</w:t>
      </w:r>
    </w:p>
  </w:footnote>
  <w:footnote w:id="5">
    <w:p w:rsidR="008A1D9A" w:rsidRDefault="008A1D9A">
      <w:pPr>
        <w:pStyle w:val="FootnoteText"/>
      </w:pPr>
      <w:r>
        <w:rPr>
          <w:rStyle w:val="FootnoteReference"/>
        </w:rPr>
        <w:footnoteRef/>
      </w:r>
      <w:r>
        <w:t xml:space="preserve"> </w:t>
      </w:r>
      <w:r>
        <w:tab/>
      </w:r>
      <w:r w:rsidRPr="00574EC2">
        <w:t>NER, cl. 6A.5.4.</w:t>
      </w:r>
    </w:p>
  </w:footnote>
  <w:footnote w:id="6">
    <w:p w:rsidR="008A1D9A" w:rsidRDefault="008A1D9A">
      <w:pPr>
        <w:pStyle w:val="FootnoteText"/>
      </w:pPr>
      <w:r>
        <w:rPr>
          <w:rStyle w:val="FootnoteReference"/>
        </w:rPr>
        <w:footnoteRef/>
      </w:r>
      <w:r>
        <w:t xml:space="preserve"> </w:t>
      </w:r>
      <w:r>
        <w:tab/>
      </w:r>
      <w:r w:rsidRPr="00574EC2">
        <w:t>NER, cl. 6A.5.</w:t>
      </w:r>
    </w:p>
  </w:footnote>
  <w:footnote w:id="7">
    <w:p w:rsidR="008A1D9A" w:rsidRDefault="008A1D9A">
      <w:pPr>
        <w:pStyle w:val="FootnoteText"/>
      </w:pPr>
      <w:r>
        <w:rPr>
          <w:rStyle w:val="FootnoteReference"/>
        </w:rPr>
        <w:footnoteRef/>
      </w:r>
      <w:r>
        <w:t xml:space="preserve"> </w:t>
      </w:r>
      <w:r>
        <w:tab/>
        <w:t>NER, cll</w:t>
      </w:r>
      <w:r w:rsidRPr="00574EC2">
        <w:t>. 6A.5.3 and 6A.6.8.</w:t>
      </w:r>
    </w:p>
  </w:footnote>
  <w:footnote w:id="8">
    <w:p w:rsidR="008A1D9A" w:rsidRDefault="008A1D9A">
      <w:pPr>
        <w:pStyle w:val="FootnoteText"/>
      </w:pPr>
      <w:r>
        <w:rPr>
          <w:rStyle w:val="FootnoteReference"/>
        </w:rPr>
        <w:footnoteRef/>
      </w:r>
      <w:r>
        <w:t xml:space="preserve"> </w:t>
      </w:r>
      <w:r>
        <w:tab/>
      </w:r>
      <w:r w:rsidRPr="00574EC2">
        <w:t>NER, cl. 6A.5.1(a).</w:t>
      </w:r>
    </w:p>
  </w:footnote>
  <w:footnote w:id="9">
    <w:p w:rsidR="008A1D9A" w:rsidRDefault="008A1D9A" w:rsidP="00DD25CD">
      <w:pPr>
        <w:pStyle w:val="FootnoteText"/>
      </w:pPr>
      <w:r>
        <w:rPr>
          <w:rStyle w:val="FootnoteReference"/>
        </w:rPr>
        <w:footnoteRef/>
      </w:r>
      <w:r>
        <w:t xml:space="preserve"> </w:t>
      </w:r>
      <w:r>
        <w:tab/>
        <w:t>The MAR for year 1 of the next regulatory control period may include adjustment for the performance incentive that applied during the previous regulatory control period, and under or over recovery adjustments from previous regulatory years.</w:t>
      </w:r>
    </w:p>
  </w:footnote>
  <w:footnote w:id="10">
    <w:p w:rsidR="008A1D9A" w:rsidRDefault="008A1D9A">
      <w:pPr>
        <w:pStyle w:val="FootnoteText"/>
      </w:pPr>
      <w:r>
        <w:rPr>
          <w:rStyle w:val="FootnoteReference"/>
        </w:rPr>
        <w:footnoteRef/>
      </w:r>
      <w:r>
        <w:t xml:space="preserve"> </w:t>
      </w:r>
      <w:r>
        <w:tab/>
      </w:r>
      <w:r w:rsidRPr="00361E04">
        <w:t xml:space="preserve">There are trade-offs that are not modelled in the PTRM but are reflected in the inputs to the PTRM. For example, service quality is not explicitly modelled in the PTRM, but the trade-offs between service quality and price are </w:t>
      </w:r>
      <w:r>
        <w:t>r</w:t>
      </w:r>
      <w:r w:rsidRPr="00361E04">
        <w:t>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11">
    <w:p w:rsidR="008A1D9A" w:rsidRDefault="008A1D9A">
      <w:pPr>
        <w:pStyle w:val="FootnoteText"/>
      </w:pPr>
      <w:r>
        <w:rPr>
          <w:rStyle w:val="FootnoteReference"/>
        </w:rPr>
        <w:footnoteRef/>
      </w:r>
      <w:r>
        <w:t xml:space="preserve"> </w:t>
      </w:r>
      <w:r>
        <w:tab/>
        <w:t>NER, cl. 6A.6.8(a</w:t>
      </w:r>
      <w:r w:rsidRPr="00D905AD">
        <w:t>).</w:t>
      </w:r>
    </w:p>
  </w:footnote>
  <w:footnote w:id="12">
    <w:p w:rsidR="008A1D9A" w:rsidRDefault="008A1D9A">
      <w:pPr>
        <w:pStyle w:val="FootnoteText"/>
      </w:pPr>
      <w:r>
        <w:rPr>
          <w:rStyle w:val="FootnoteReference"/>
        </w:rPr>
        <w:footnoteRef/>
      </w:r>
      <w:r>
        <w:t xml:space="preserve"> </w:t>
      </w:r>
      <w:r>
        <w:tab/>
      </w:r>
      <w:r w:rsidRPr="00D905AD">
        <w:t>NER, cl. 6A.6.8(c)(1).</w:t>
      </w:r>
    </w:p>
  </w:footnote>
  <w:footnote w:id="13">
    <w:p w:rsidR="008A1D9A" w:rsidRDefault="008A1D9A">
      <w:pPr>
        <w:pStyle w:val="FootnoteText"/>
      </w:pPr>
      <w:r>
        <w:rPr>
          <w:rStyle w:val="FootnoteReference"/>
        </w:rPr>
        <w:footnoteRef/>
      </w:r>
      <w:r>
        <w:t xml:space="preserve"> </w:t>
      </w:r>
      <w:r>
        <w:tab/>
      </w:r>
      <w:r w:rsidRPr="00D905AD">
        <w:t>NER, cl. 6A.6.8(c)(2).</w:t>
      </w:r>
    </w:p>
  </w:footnote>
  <w:footnote w:id="14">
    <w:p w:rsidR="008A1D9A" w:rsidRDefault="008A1D9A" w:rsidP="00CB51D7">
      <w:pPr>
        <w:pStyle w:val="FootnoteText"/>
      </w:pPr>
      <w:r>
        <w:rPr>
          <w:rStyle w:val="FootnoteReference"/>
        </w:rPr>
        <w:footnoteRef/>
      </w:r>
      <w:r>
        <w:t xml:space="preserve"> </w:t>
      </w:r>
      <w:r>
        <w:tab/>
        <w:t>In the case of making the annual adjustment for year 2, the previous year's AR would be the same as the approved smoothed revenue for year 1 as contained in the PTRM.</w:t>
      </w:r>
    </w:p>
  </w:footnote>
  <w:footnote w:id="15">
    <w:p w:rsidR="008A1D9A" w:rsidRDefault="008A1D9A">
      <w:pPr>
        <w:pStyle w:val="FootnoteText"/>
      </w:pPr>
      <w:r>
        <w:rPr>
          <w:rStyle w:val="FootnoteReference"/>
        </w:rPr>
        <w:footnoteRef/>
      </w:r>
      <w:r>
        <w:t xml:space="preserve"> </w:t>
      </w:r>
      <w:r>
        <w:tab/>
      </w:r>
      <w:r w:rsidRPr="00AA50BF">
        <w:t>NER, cl. 6A.7.4.</w:t>
      </w:r>
    </w:p>
  </w:footnote>
  <w:footnote w:id="16">
    <w:p w:rsidR="008A1D9A" w:rsidRDefault="008A1D9A">
      <w:pPr>
        <w:pStyle w:val="FootnoteText"/>
      </w:pPr>
      <w:r>
        <w:rPr>
          <w:rStyle w:val="FootnoteReference"/>
        </w:rPr>
        <w:footnoteRef/>
      </w:r>
      <w:r>
        <w:t xml:space="preserve"> </w:t>
      </w:r>
      <w:r>
        <w:tab/>
      </w:r>
      <w:r w:rsidRPr="00AA50BF">
        <w:t>NER, cl</w:t>
      </w:r>
      <w:r>
        <w:t>l</w:t>
      </w:r>
      <w:r w:rsidRPr="00AA50BF">
        <w:t>. 6A.7.2 and 6A.7.3.</w:t>
      </w:r>
    </w:p>
  </w:footnote>
  <w:footnote w:id="17">
    <w:p w:rsidR="008A1D9A" w:rsidRDefault="008A1D9A">
      <w:pPr>
        <w:pStyle w:val="FootnoteText"/>
      </w:pPr>
      <w:r>
        <w:rPr>
          <w:rStyle w:val="FootnoteReference"/>
        </w:rPr>
        <w:footnoteRef/>
      </w:r>
      <w:r>
        <w:t xml:space="preserve"> </w:t>
      </w:r>
      <w:r>
        <w:tab/>
        <w:t>NER, cll 6A.23.3(c)(2)(iii) and 6A.24.4(c).</w:t>
      </w:r>
    </w:p>
  </w:footnote>
  <w:footnote w:id="18">
    <w:p w:rsidR="008A1D9A" w:rsidRDefault="008A1D9A">
      <w:pPr>
        <w:pStyle w:val="FootnoteText"/>
      </w:pPr>
      <w:r>
        <w:rPr>
          <w:rStyle w:val="FootnoteReference"/>
        </w:rPr>
        <w:footnoteRef/>
      </w:r>
      <w:r>
        <w:t xml:space="preserve"> </w:t>
      </w:r>
      <w:r>
        <w:tab/>
      </w:r>
      <w:r w:rsidRPr="00E92071">
        <w:t>NER, cl. 6A.24.1(d).</w:t>
      </w:r>
    </w:p>
  </w:footnote>
  <w:footnote w:id="19">
    <w:p w:rsidR="008A1D9A" w:rsidRDefault="008A1D9A">
      <w:pPr>
        <w:pStyle w:val="FootnoteText"/>
      </w:pPr>
      <w:r>
        <w:rPr>
          <w:rStyle w:val="FootnoteReference"/>
        </w:rPr>
        <w:footnoteRef/>
      </w:r>
      <w:r>
        <w:t xml:space="preserve"> </w:t>
      </w:r>
      <w:r>
        <w:tab/>
        <w:t>AusNet Services</w:t>
      </w:r>
      <w:r w:rsidRPr="00C10597">
        <w:t xml:space="preserve"> is not required to apply an X factor for 201</w:t>
      </w:r>
      <w:r>
        <w:t>7</w:t>
      </w:r>
      <w:r w:rsidRPr="00C10597">
        <w:t>–1</w:t>
      </w:r>
      <w:r>
        <w:t>8</w:t>
      </w:r>
      <w:r w:rsidRPr="00C10597">
        <w:t xml:space="preserve"> </w:t>
      </w:r>
      <w:r w:rsidRPr="006D43B4">
        <w:t xml:space="preserve">because </w:t>
      </w:r>
      <w:r>
        <w:t xml:space="preserve">we </w:t>
      </w:r>
      <w:r w:rsidRPr="006D43B4">
        <w:t>set</w:t>
      </w:r>
      <w:r>
        <w:t xml:space="preserve"> the 2017–18 MAR</w:t>
      </w:r>
      <w:r w:rsidRPr="006D43B4">
        <w:t xml:space="preserve"> in </w:t>
      </w:r>
      <w:r>
        <w:t>this</w:t>
      </w:r>
      <w:r w:rsidRPr="006D43B4">
        <w:t xml:space="preserve"> </w:t>
      </w:r>
      <w:r>
        <w:t>decision</w:t>
      </w:r>
      <w:r w:rsidRPr="00C10597">
        <w:t>.</w:t>
      </w:r>
    </w:p>
  </w:footnote>
  <w:footnote w:id="20">
    <w:p w:rsidR="008A1D9A" w:rsidRDefault="008A1D9A" w:rsidP="003366A6">
      <w:pPr>
        <w:pStyle w:val="FootnoteText"/>
      </w:pPr>
      <w:r>
        <w:rPr>
          <w:rStyle w:val="FootnoteReference"/>
        </w:rPr>
        <w:footnoteRef/>
      </w:r>
      <w:r>
        <w:t xml:space="preserve"> </w:t>
      </w:r>
      <w:r>
        <w:tab/>
        <w:t>NER, cl. 6A.5.3(c)(3).</w:t>
      </w:r>
    </w:p>
  </w:footnote>
  <w:footnote w:id="21">
    <w:p w:rsidR="008A1D9A" w:rsidRDefault="008A1D9A" w:rsidP="003366A6">
      <w:pPr>
        <w:pStyle w:val="FootnoteText"/>
      </w:pPr>
      <w:r>
        <w:rPr>
          <w:rStyle w:val="FootnoteReference"/>
        </w:rPr>
        <w:footnoteRef/>
      </w:r>
      <w:r>
        <w:t xml:space="preserve"> </w:t>
      </w:r>
      <w:r>
        <w:tab/>
        <w:t xml:space="preserve">NER, </w:t>
      </w:r>
      <w:r w:rsidRPr="00FC276A">
        <w:t>cl</w:t>
      </w:r>
      <w:r>
        <w:t>.</w:t>
      </w:r>
      <w:r w:rsidRPr="00FC276A">
        <w:t xml:space="preserve"> 6A.6.8(c)(2)</w:t>
      </w:r>
      <w:r>
        <w:t xml:space="preserve">. </w:t>
      </w:r>
      <w:r w:rsidRPr="00C729DC">
        <w:t>We consider a divergence of up to 3 per cent between the expected MAR and annual building block revenue requirement for the last year of the regulatory control period is appropriate, if this can achieve smoother price changes for users over the regulatory control period. In the present circumstances, based on the X factors we have determined</w:t>
      </w:r>
      <w:r w:rsidRPr="00000365">
        <w:t xml:space="preserve"> </w:t>
      </w:r>
      <w:r>
        <w:t>for AusNet Services</w:t>
      </w:r>
      <w:r w:rsidRPr="00C729DC">
        <w:t xml:space="preserve">, this divergence is </w:t>
      </w:r>
      <w:r>
        <w:t>around 2.4</w:t>
      </w:r>
      <w:r w:rsidRPr="00C729DC">
        <w:t xml:space="preserve"> per cent.</w:t>
      </w:r>
    </w:p>
  </w:footnote>
  <w:footnote w:id="22">
    <w:p w:rsidR="008A1D9A" w:rsidRDefault="008A1D9A">
      <w:pPr>
        <w:pStyle w:val="FootnoteText"/>
      </w:pPr>
      <w:r>
        <w:rPr>
          <w:rStyle w:val="FootnoteReference"/>
        </w:rPr>
        <w:footnoteRef/>
      </w:r>
      <w:r>
        <w:t xml:space="preserve"> </w:t>
      </w:r>
      <w:r>
        <w:tab/>
      </w:r>
      <w:r w:rsidRPr="00FC276A">
        <w:t xml:space="preserve">In </w:t>
      </w:r>
      <w:r>
        <w:t>real 2016–17 dollar terms</w:t>
      </w:r>
      <w:r w:rsidRPr="00FC276A">
        <w:t>, t</w:t>
      </w:r>
      <w:r>
        <w:t>he average decrease</w:t>
      </w:r>
      <w:r w:rsidRPr="00FC276A">
        <w:t xml:space="preserve"> </w:t>
      </w:r>
      <w:r>
        <w:t>in our approved expected MAR for AusNet Services</w:t>
      </w:r>
      <w:r w:rsidRPr="00FC276A">
        <w:t xml:space="preserve"> </w:t>
      </w:r>
      <w:r>
        <w:t>is</w:t>
      </w:r>
      <w:r w:rsidRPr="00FC276A">
        <w:t xml:space="preserve"> </w:t>
      </w:r>
      <w:r>
        <w:t xml:space="preserve">1.5 </w:t>
      </w:r>
      <w:r w:rsidRPr="00FC276A">
        <w:t>per cent per annum over the</w:t>
      </w:r>
      <w:r>
        <w:t xml:space="preserve"> 2017–22</w:t>
      </w:r>
      <w:r w:rsidRPr="00FC276A">
        <w:t xml:space="preserve"> regulatory control period</w:t>
      </w:r>
      <w:r>
        <w:t>.</w:t>
      </w:r>
    </w:p>
  </w:footnote>
  <w:footnote w:id="23">
    <w:p w:rsidR="008A1D9A" w:rsidRDefault="008A1D9A" w:rsidP="009B1601">
      <w:pPr>
        <w:pStyle w:val="FootnoteText"/>
      </w:pPr>
      <w:r>
        <w:rPr>
          <w:rStyle w:val="FootnoteReference"/>
        </w:rPr>
        <w:footnoteRef/>
      </w:r>
      <w:r>
        <w:t xml:space="preserve"> </w:t>
      </w:r>
      <w:r>
        <w:tab/>
        <w:t>In real 2016–17 dollar terms, this consists an initial decrease of 3.0 per cent from 2016–17 to 2017–18, followed by subsequent average annual decreases of 1.1per cent during the remainder of the 2017–22 regulatory control period.</w:t>
      </w:r>
    </w:p>
  </w:footnote>
  <w:footnote w:id="24">
    <w:p w:rsidR="008A1D9A" w:rsidRDefault="008A1D9A">
      <w:pPr>
        <w:pStyle w:val="FootnoteText"/>
      </w:pPr>
      <w:r>
        <w:rPr>
          <w:rStyle w:val="FootnoteReference"/>
        </w:rPr>
        <w:footnoteRef/>
      </w:r>
      <w:r>
        <w:t xml:space="preserve"> </w:t>
      </w:r>
      <w:r>
        <w:tab/>
        <w:t>NER, cl. 6A.5.5.</w:t>
      </w:r>
    </w:p>
  </w:footnote>
  <w:footnote w:id="25">
    <w:p w:rsidR="008A1D9A" w:rsidRDefault="008A1D9A">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26">
    <w:p w:rsidR="008A1D9A" w:rsidRDefault="008A1D9A">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27">
    <w:p w:rsidR="008A1D9A" w:rsidRDefault="008A1D9A">
      <w:pPr>
        <w:pStyle w:val="FootnoteText"/>
      </w:pPr>
      <w:r>
        <w:rPr>
          <w:rStyle w:val="FootnoteReference"/>
        </w:rPr>
        <w:footnoteRef/>
      </w:r>
      <w:r>
        <w:t xml:space="preserve"> </w:t>
      </w:r>
      <w:r>
        <w:tab/>
        <w:t xml:space="preserve">AusNet Services, </w:t>
      </w:r>
      <w:r w:rsidRPr="00CB5742">
        <w:rPr>
          <w:rStyle w:val="AERtextitalic"/>
        </w:rPr>
        <w:t>Revenue proposal</w:t>
      </w:r>
      <w:r>
        <w:t>, p. 150.</w:t>
      </w:r>
    </w:p>
  </w:footnote>
  <w:footnote w:id="28">
    <w:p w:rsidR="008A1D9A" w:rsidRDefault="008A1D9A">
      <w:pPr>
        <w:pStyle w:val="FootnoteText"/>
      </w:pPr>
      <w:r>
        <w:rPr>
          <w:rStyle w:val="FootnoteReference"/>
        </w:rPr>
        <w:footnoteRef/>
      </w:r>
      <w:r>
        <w:t xml:space="preserve"> </w:t>
      </w:r>
      <w:r>
        <w:tab/>
        <w:t>This was undertaken when we developed our</w:t>
      </w:r>
      <w:r w:rsidRPr="00F40AF1">
        <w:t xml:space="preserve"> shared asset guideline</w:t>
      </w:r>
      <w:r>
        <w:t>, during the 2013 calendar year, as part of our Better Regulation work program.</w:t>
      </w:r>
    </w:p>
  </w:footnote>
  <w:footnote w:id="29">
    <w:p w:rsidR="008A1D9A" w:rsidRDefault="008A1D9A">
      <w:pPr>
        <w:pStyle w:val="FootnoteText"/>
      </w:pPr>
      <w:r>
        <w:rPr>
          <w:rStyle w:val="FootnoteReference"/>
        </w:rPr>
        <w:footnoteRef/>
      </w:r>
      <w:r>
        <w:t xml:space="preserve"> </w:t>
      </w:r>
      <w:r>
        <w:tab/>
        <w:t>This excludes the Murraylink portion of MAR allocated to Victorian customers. Historically, Murraylink’s MAR is about 2.5 per cent of AusNet Services’ MAR. Murraylink’s reset for its next regulatory control period commences from 1 July 2018.</w:t>
      </w:r>
    </w:p>
  </w:footnote>
  <w:footnote w:id="30">
    <w:p w:rsidR="008A1D9A" w:rsidRDefault="008A1D9A">
      <w:pPr>
        <w:pStyle w:val="FootnoteText"/>
      </w:pPr>
      <w:r>
        <w:rPr>
          <w:rStyle w:val="FootnoteReference"/>
        </w:rPr>
        <w:footnoteRef/>
      </w:r>
      <w:r>
        <w:t xml:space="preserve"> </w:t>
      </w:r>
      <w:r>
        <w:tab/>
        <w:t>AEMO,</w:t>
      </w:r>
      <w:r w:rsidRPr="00424732">
        <w:t xml:space="preserve"> </w:t>
      </w:r>
      <w:r w:rsidRPr="00CC57BF">
        <w:rPr>
          <w:rStyle w:val="AERtextitalic"/>
        </w:rPr>
        <w:t>National electricity forecasting report</w:t>
      </w:r>
      <w:r>
        <w:rPr>
          <w:rStyle w:val="AERtextitalic"/>
        </w:rPr>
        <w:t xml:space="preserve"> for the national electricity market - Update</w:t>
      </w:r>
      <w:r w:rsidRPr="00424732">
        <w:t xml:space="preserve">, </w:t>
      </w:r>
      <w:r>
        <w:t xml:space="preserve">December 2015, table 3, Medium; AEMO, </w:t>
      </w:r>
      <w:r w:rsidRPr="00276989">
        <w:rPr>
          <w:rStyle w:val="AERtextitalic"/>
        </w:rPr>
        <w:t>Forecasting Dynamic Interface</w:t>
      </w:r>
      <w:r>
        <w:t xml:space="preserve">, available at: </w:t>
      </w:r>
      <w:r w:rsidRPr="00276989">
        <w:t>http://forecasting.aemo.com.au/</w:t>
      </w:r>
      <w:r>
        <w:t>.</w:t>
      </w:r>
    </w:p>
  </w:footnote>
  <w:footnote w:id="31">
    <w:p w:rsidR="008A1D9A" w:rsidRDefault="008A1D9A" w:rsidP="00211DCF">
      <w:pPr>
        <w:pStyle w:val="FootnoteText"/>
      </w:pPr>
      <w:r>
        <w:rPr>
          <w:rStyle w:val="FootnoteReference"/>
        </w:rPr>
        <w:footnoteRef/>
      </w:r>
      <w:r>
        <w:t xml:space="preserve"> </w:t>
      </w:r>
      <w:r>
        <w:tab/>
        <w:t>On average, the draft decision</w:t>
      </w:r>
      <w:r w:rsidRPr="00724E58">
        <w:t xml:space="preserve"> </w:t>
      </w:r>
      <w:r>
        <w:t>transmission revenues will increase by 0.9 </w:t>
      </w:r>
      <w:r w:rsidRPr="00724E58">
        <w:t xml:space="preserve">per cent </w:t>
      </w:r>
      <w:r>
        <w:t xml:space="preserve">($ nominal) </w:t>
      </w:r>
      <w:r w:rsidRPr="00724E58">
        <w:t xml:space="preserve">per </w:t>
      </w:r>
      <w:r w:rsidRPr="005E2807">
        <w:t>annum from 201</w:t>
      </w:r>
      <w:r>
        <w:t>6</w:t>
      </w:r>
      <w:r w:rsidRPr="005E2807">
        <w:t>–1</w:t>
      </w:r>
      <w:r>
        <w:t>7</w:t>
      </w:r>
      <w:r w:rsidRPr="005E2807">
        <w:t xml:space="preserve"> to 20</w:t>
      </w:r>
      <w:r>
        <w:t>21</w:t>
      </w:r>
      <w:r w:rsidRPr="005E2807">
        <w:t>–</w:t>
      </w:r>
      <w:r>
        <w:t>22</w:t>
      </w:r>
      <w:r w:rsidRPr="005E2807">
        <w:t xml:space="preserve">. The forecast energy delivered in </w:t>
      </w:r>
      <w:r>
        <w:t>Victoria</w:t>
      </w:r>
      <w:r w:rsidRPr="005E2807">
        <w:t xml:space="preserve"> will </w:t>
      </w:r>
      <w:r>
        <w:t>in</w:t>
      </w:r>
      <w:r w:rsidRPr="005E2807">
        <w:t>crease by an average of</w:t>
      </w:r>
      <w:r>
        <w:t xml:space="preserve"> 0.6 </w:t>
      </w:r>
      <w:r w:rsidRPr="005E2807">
        <w:t>per</w:t>
      </w:r>
      <w:r w:rsidRPr="00724E58">
        <w:t xml:space="preserve"> cent per</w:t>
      </w:r>
      <w:r>
        <w:t xml:space="preserve"> </w:t>
      </w:r>
      <w:r w:rsidRPr="00724E58">
        <w:t xml:space="preserve">annum </w:t>
      </w:r>
      <w:r>
        <w:t>across that period</w:t>
      </w:r>
      <w:r w:rsidRPr="00724E58">
        <w:t>.</w:t>
      </w:r>
      <w:r>
        <w:t xml:space="preserve"> As a result, the indicative transmission charge will increase by 0.4 per cent ($ nominal) per annum from 2016–17 to 2021–22. </w:t>
      </w:r>
    </w:p>
  </w:footnote>
  <w:footnote w:id="32">
    <w:p w:rsidR="008A1D9A" w:rsidRDefault="008A1D9A" w:rsidP="00211DCF">
      <w:pPr>
        <w:pStyle w:val="FootnoteText"/>
      </w:pPr>
      <w:r>
        <w:rPr>
          <w:rStyle w:val="FootnoteReference"/>
        </w:rPr>
        <w:footnoteRef/>
      </w:r>
      <w:r>
        <w:t xml:space="preserve"> </w:t>
      </w:r>
      <w:r>
        <w:tab/>
        <w:t xml:space="preserve">AusNet Services, </w:t>
      </w:r>
      <w:r w:rsidRPr="00E6103C">
        <w:rPr>
          <w:rStyle w:val="AERtextitalic"/>
        </w:rPr>
        <w:t>Reset RIN – Table 7.6.1</w:t>
      </w:r>
      <w:r>
        <w:t>, October 2015</w:t>
      </w:r>
      <w:r w:rsidRPr="006C0DA4">
        <w:t>.</w:t>
      </w:r>
    </w:p>
  </w:footnote>
  <w:footnote w:id="33">
    <w:p w:rsidR="008A1D9A" w:rsidRDefault="008A1D9A" w:rsidP="00211DCF">
      <w:pPr>
        <w:pStyle w:val="FootnoteText"/>
      </w:pPr>
      <w:r>
        <w:rPr>
          <w:rStyle w:val="FootnoteReference"/>
        </w:rPr>
        <w:footnoteRef/>
      </w:r>
      <w:r>
        <w:t xml:space="preserve"> </w:t>
      </w:r>
      <w:r>
        <w:tab/>
      </w:r>
      <w:r w:rsidRPr="00A6646A">
        <w:t xml:space="preserve">ESCV, </w:t>
      </w:r>
      <w:r w:rsidRPr="00A54873">
        <w:rPr>
          <w:rStyle w:val="AERtextitalic"/>
        </w:rPr>
        <w:t>Energy Retailers Comparative Performance Report — Pricing 2014–15</w:t>
      </w:r>
      <w:r w:rsidRPr="00A6646A">
        <w:t>, January 2016</w:t>
      </w:r>
      <w:r>
        <w:t>, p. XIII.</w:t>
      </w:r>
    </w:p>
  </w:footnote>
  <w:footnote w:id="34">
    <w:p w:rsidR="008A1D9A" w:rsidRDefault="008A1D9A" w:rsidP="00EE633C">
      <w:pPr>
        <w:pStyle w:val="FootnoteText"/>
      </w:pPr>
      <w:r>
        <w:rPr>
          <w:rStyle w:val="FootnoteReference"/>
        </w:rPr>
        <w:footnoteRef/>
      </w:r>
      <w:r>
        <w:t xml:space="preserve"> </w:t>
      </w:r>
      <w:r>
        <w:tab/>
        <w:t xml:space="preserve">AusNet Services, </w:t>
      </w:r>
      <w:r w:rsidRPr="00E6103C">
        <w:rPr>
          <w:rStyle w:val="AERtextitalic"/>
        </w:rPr>
        <w:t>Reset RIN – Table 7.6.1</w:t>
      </w:r>
      <w:r>
        <w:t>, October 2015</w:t>
      </w:r>
      <w:r w:rsidRPr="006C0DA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F" w:rsidRDefault="008A5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F" w:rsidRDefault="008A5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F" w:rsidRDefault="008A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usnet services 2017-22 - draft decision - attachment 1 - maximum allowed revenue (AER2015-004423).docx"/>
  </w:docVars>
  <w:rsids>
    <w:rsidRoot w:val="00961A4A"/>
    <w:rsid w:val="000035FC"/>
    <w:rsid w:val="000036C1"/>
    <w:rsid w:val="00005540"/>
    <w:rsid w:val="000145A0"/>
    <w:rsid w:val="00014B8C"/>
    <w:rsid w:val="00015209"/>
    <w:rsid w:val="00015FBE"/>
    <w:rsid w:val="00021202"/>
    <w:rsid w:val="00021C2B"/>
    <w:rsid w:val="0002517F"/>
    <w:rsid w:val="0003578C"/>
    <w:rsid w:val="000358DD"/>
    <w:rsid w:val="00045228"/>
    <w:rsid w:val="00046194"/>
    <w:rsid w:val="00063247"/>
    <w:rsid w:val="00070F9F"/>
    <w:rsid w:val="0007137B"/>
    <w:rsid w:val="00077389"/>
    <w:rsid w:val="00085663"/>
    <w:rsid w:val="00085EBF"/>
    <w:rsid w:val="00086871"/>
    <w:rsid w:val="000A3020"/>
    <w:rsid w:val="000A6C7B"/>
    <w:rsid w:val="000B321F"/>
    <w:rsid w:val="000C2B40"/>
    <w:rsid w:val="000D02F8"/>
    <w:rsid w:val="000D122C"/>
    <w:rsid w:val="000E1819"/>
    <w:rsid w:val="000E4821"/>
    <w:rsid w:val="000E6C72"/>
    <w:rsid w:val="000F2B6A"/>
    <w:rsid w:val="000F2E07"/>
    <w:rsid w:val="00116EB2"/>
    <w:rsid w:val="001203C4"/>
    <w:rsid w:val="00124609"/>
    <w:rsid w:val="00126A4C"/>
    <w:rsid w:val="001449DE"/>
    <w:rsid w:val="0014573B"/>
    <w:rsid w:val="001573E4"/>
    <w:rsid w:val="00157EA3"/>
    <w:rsid w:val="00160756"/>
    <w:rsid w:val="00164C8E"/>
    <w:rsid w:val="00167E3A"/>
    <w:rsid w:val="0017232E"/>
    <w:rsid w:val="00174102"/>
    <w:rsid w:val="0017507C"/>
    <w:rsid w:val="001754EE"/>
    <w:rsid w:val="00180157"/>
    <w:rsid w:val="001802DE"/>
    <w:rsid w:val="00185C55"/>
    <w:rsid w:val="00185CB9"/>
    <w:rsid w:val="00186F77"/>
    <w:rsid w:val="001921F2"/>
    <w:rsid w:val="001926A4"/>
    <w:rsid w:val="00192AD5"/>
    <w:rsid w:val="00194B25"/>
    <w:rsid w:val="001A05A2"/>
    <w:rsid w:val="001B45A0"/>
    <w:rsid w:val="001C68A0"/>
    <w:rsid w:val="001D055E"/>
    <w:rsid w:val="001F492E"/>
    <w:rsid w:val="001F6DA3"/>
    <w:rsid w:val="002010BC"/>
    <w:rsid w:val="002016E7"/>
    <w:rsid w:val="00202E03"/>
    <w:rsid w:val="0020492C"/>
    <w:rsid w:val="002065FB"/>
    <w:rsid w:val="002078BC"/>
    <w:rsid w:val="00211DCF"/>
    <w:rsid w:val="00224DB9"/>
    <w:rsid w:val="00227D4D"/>
    <w:rsid w:val="00233775"/>
    <w:rsid w:val="002347F2"/>
    <w:rsid w:val="00251745"/>
    <w:rsid w:val="002624C0"/>
    <w:rsid w:val="00263A68"/>
    <w:rsid w:val="00263AC0"/>
    <w:rsid w:val="00264264"/>
    <w:rsid w:val="0026772D"/>
    <w:rsid w:val="00276989"/>
    <w:rsid w:val="00286874"/>
    <w:rsid w:val="002876B3"/>
    <w:rsid w:val="00290C63"/>
    <w:rsid w:val="00296B65"/>
    <w:rsid w:val="00297C2E"/>
    <w:rsid w:val="002A0C23"/>
    <w:rsid w:val="002A7DEF"/>
    <w:rsid w:val="002C11E2"/>
    <w:rsid w:val="002C233C"/>
    <w:rsid w:val="002D72E8"/>
    <w:rsid w:val="002E7B22"/>
    <w:rsid w:val="002F01AF"/>
    <w:rsid w:val="002F7986"/>
    <w:rsid w:val="00301B40"/>
    <w:rsid w:val="003029EE"/>
    <w:rsid w:val="00305CC8"/>
    <w:rsid w:val="00307F6D"/>
    <w:rsid w:val="003177A2"/>
    <w:rsid w:val="003271B5"/>
    <w:rsid w:val="00327A1E"/>
    <w:rsid w:val="00331264"/>
    <w:rsid w:val="00334C8D"/>
    <w:rsid w:val="003366A6"/>
    <w:rsid w:val="00336954"/>
    <w:rsid w:val="00343A18"/>
    <w:rsid w:val="0034421C"/>
    <w:rsid w:val="003518B3"/>
    <w:rsid w:val="00357283"/>
    <w:rsid w:val="00361E04"/>
    <w:rsid w:val="003846F1"/>
    <w:rsid w:val="003903F6"/>
    <w:rsid w:val="003918A1"/>
    <w:rsid w:val="003A61C7"/>
    <w:rsid w:val="003A7EEB"/>
    <w:rsid w:val="003B484F"/>
    <w:rsid w:val="003B7FBA"/>
    <w:rsid w:val="003C0311"/>
    <w:rsid w:val="003C0635"/>
    <w:rsid w:val="003C303F"/>
    <w:rsid w:val="003C36D2"/>
    <w:rsid w:val="003C3A9C"/>
    <w:rsid w:val="003C4D5F"/>
    <w:rsid w:val="003F174D"/>
    <w:rsid w:val="00400514"/>
    <w:rsid w:val="00415F31"/>
    <w:rsid w:val="00423A77"/>
    <w:rsid w:val="004565DD"/>
    <w:rsid w:val="0045777E"/>
    <w:rsid w:val="00474653"/>
    <w:rsid w:val="00477F4B"/>
    <w:rsid w:val="00480B4B"/>
    <w:rsid w:val="00485DC4"/>
    <w:rsid w:val="00491349"/>
    <w:rsid w:val="00492389"/>
    <w:rsid w:val="004A43D1"/>
    <w:rsid w:val="004B4412"/>
    <w:rsid w:val="004B7943"/>
    <w:rsid w:val="004C348C"/>
    <w:rsid w:val="004D4888"/>
    <w:rsid w:val="004D55BA"/>
    <w:rsid w:val="004E22EC"/>
    <w:rsid w:val="004F6A0E"/>
    <w:rsid w:val="004F7D91"/>
    <w:rsid w:val="00510086"/>
    <w:rsid w:val="00513714"/>
    <w:rsid w:val="00530128"/>
    <w:rsid w:val="00532467"/>
    <w:rsid w:val="00540418"/>
    <w:rsid w:val="00544C12"/>
    <w:rsid w:val="00553342"/>
    <w:rsid w:val="00564A4D"/>
    <w:rsid w:val="00566C05"/>
    <w:rsid w:val="00567BA5"/>
    <w:rsid w:val="00571B35"/>
    <w:rsid w:val="00571B3F"/>
    <w:rsid w:val="00571D57"/>
    <w:rsid w:val="00574EC2"/>
    <w:rsid w:val="00575274"/>
    <w:rsid w:val="0057588D"/>
    <w:rsid w:val="00577A09"/>
    <w:rsid w:val="005829C2"/>
    <w:rsid w:val="00584D8F"/>
    <w:rsid w:val="00595223"/>
    <w:rsid w:val="005A404D"/>
    <w:rsid w:val="005B1E3C"/>
    <w:rsid w:val="005B704A"/>
    <w:rsid w:val="005C26CC"/>
    <w:rsid w:val="005D291E"/>
    <w:rsid w:val="005D7BA2"/>
    <w:rsid w:val="005E1C36"/>
    <w:rsid w:val="005E36C2"/>
    <w:rsid w:val="005E51AA"/>
    <w:rsid w:val="005F3CA6"/>
    <w:rsid w:val="005F406B"/>
    <w:rsid w:val="005F4893"/>
    <w:rsid w:val="00612F4F"/>
    <w:rsid w:val="006149A6"/>
    <w:rsid w:val="00615C6B"/>
    <w:rsid w:val="00621DCE"/>
    <w:rsid w:val="00632D6D"/>
    <w:rsid w:val="00633A3F"/>
    <w:rsid w:val="00642C3E"/>
    <w:rsid w:val="006537AA"/>
    <w:rsid w:val="0066104A"/>
    <w:rsid w:val="00663DAD"/>
    <w:rsid w:val="00675E20"/>
    <w:rsid w:val="00676679"/>
    <w:rsid w:val="00683C89"/>
    <w:rsid w:val="006A08A8"/>
    <w:rsid w:val="006B2395"/>
    <w:rsid w:val="006B4CF9"/>
    <w:rsid w:val="006B7AC8"/>
    <w:rsid w:val="006C1736"/>
    <w:rsid w:val="006D5008"/>
    <w:rsid w:val="006D550F"/>
    <w:rsid w:val="006D6655"/>
    <w:rsid w:val="006E438C"/>
    <w:rsid w:val="006F692A"/>
    <w:rsid w:val="006F7DFD"/>
    <w:rsid w:val="00701CAB"/>
    <w:rsid w:val="00707563"/>
    <w:rsid w:val="00713956"/>
    <w:rsid w:val="0072348C"/>
    <w:rsid w:val="00724A37"/>
    <w:rsid w:val="007303C3"/>
    <w:rsid w:val="00731756"/>
    <w:rsid w:val="007429BE"/>
    <w:rsid w:val="00743223"/>
    <w:rsid w:val="00746513"/>
    <w:rsid w:val="00746E01"/>
    <w:rsid w:val="00757364"/>
    <w:rsid w:val="00757BDF"/>
    <w:rsid w:val="007609D0"/>
    <w:rsid w:val="00763E5D"/>
    <w:rsid w:val="00767740"/>
    <w:rsid w:val="00777EE6"/>
    <w:rsid w:val="00782EEA"/>
    <w:rsid w:val="007866D2"/>
    <w:rsid w:val="00796270"/>
    <w:rsid w:val="007B1291"/>
    <w:rsid w:val="007B186E"/>
    <w:rsid w:val="007B2C72"/>
    <w:rsid w:val="007C1C53"/>
    <w:rsid w:val="007C438A"/>
    <w:rsid w:val="007C6FC7"/>
    <w:rsid w:val="007C74BB"/>
    <w:rsid w:val="007D456E"/>
    <w:rsid w:val="007E18B9"/>
    <w:rsid w:val="007E4904"/>
    <w:rsid w:val="007E4CB5"/>
    <w:rsid w:val="007F066B"/>
    <w:rsid w:val="00800A30"/>
    <w:rsid w:val="008033C4"/>
    <w:rsid w:val="00806C88"/>
    <w:rsid w:val="0081034E"/>
    <w:rsid w:val="00821FFA"/>
    <w:rsid w:val="008344F6"/>
    <w:rsid w:val="0083510F"/>
    <w:rsid w:val="00842AFA"/>
    <w:rsid w:val="00845F19"/>
    <w:rsid w:val="00847B4E"/>
    <w:rsid w:val="00851209"/>
    <w:rsid w:val="00866A2D"/>
    <w:rsid w:val="0088272F"/>
    <w:rsid w:val="008837AC"/>
    <w:rsid w:val="008A07DB"/>
    <w:rsid w:val="008A1D9A"/>
    <w:rsid w:val="008A3A33"/>
    <w:rsid w:val="008A566F"/>
    <w:rsid w:val="008A587D"/>
    <w:rsid w:val="008B02C3"/>
    <w:rsid w:val="008B35CD"/>
    <w:rsid w:val="008B5FCC"/>
    <w:rsid w:val="008C5486"/>
    <w:rsid w:val="008D1661"/>
    <w:rsid w:val="008E7031"/>
    <w:rsid w:val="008E77DE"/>
    <w:rsid w:val="008F07A3"/>
    <w:rsid w:val="009001B6"/>
    <w:rsid w:val="00900E1B"/>
    <w:rsid w:val="00901715"/>
    <w:rsid w:val="0090431C"/>
    <w:rsid w:val="00906396"/>
    <w:rsid w:val="00907A05"/>
    <w:rsid w:val="00915F5D"/>
    <w:rsid w:val="009233EE"/>
    <w:rsid w:val="009460AA"/>
    <w:rsid w:val="00951978"/>
    <w:rsid w:val="009610A4"/>
    <w:rsid w:val="00961A4A"/>
    <w:rsid w:val="009661DE"/>
    <w:rsid w:val="009822FF"/>
    <w:rsid w:val="00983C25"/>
    <w:rsid w:val="009856B7"/>
    <w:rsid w:val="00985C86"/>
    <w:rsid w:val="009937B8"/>
    <w:rsid w:val="00996349"/>
    <w:rsid w:val="00996A8E"/>
    <w:rsid w:val="009A2502"/>
    <w:rsid w:val="009A5FC3"/>
    <w:rsid w:val="009A7D9D"/>
    <w:rsid w:val="009B090B"/>
    <w:rsid w:val="009B1601"/>
    <w:rsid w:val="009B74B0"/>
    <w:rsid w:val="009C02C2"/>
    <w:rsid w:val="009C0D47"/>
    <w:rsid w:val="009D3906"/>
    <w:rsid w:val="009D6B46"/>
    <w:rsid w:val="009E4C22"/>
    <w:rsid w:val="009F4940"/>
    <w:rsid w:val="009F5BA1"/>
    <w:rsid w:val="009F66BE"/>
    <w:rsid w:val="00A0149E"/>
    <w:rsid w:val="00A02A88"/>
    <w:rsid w:val="00A0562E"/>
    <w:rsid w:val="00A0726D"/>
    <w:rsid w:val="00A32FBB"/>
    <w:rsid w:val="00A3402F"/>
    <w:rsid w:val="00A344D3"/>
    <w:rsid w:val="00A35B32"/>
    <w:rsid w:val="00A428EE"/>
    <w:rsid w:val="00A4478A"/>
    <w:rsid w:val="00A44852"/>
    <w:rsid w:val="00A54873"/>
    <w:rsid w:val="00A57D04"/>
    <w:rsid w:val="00A60A26"/>
    <w:rsid w:val="00A61598"/>
    <w:rsid w:val="00A63EDD"/>
    <w:rsid w:val="00A641E3"/>
    <w:rsid w:val="00A6646A"/>
    <w:rsid w:val="00A66547"/>
    <w:rsid w:val="00A6747E"/>
    <w:rsid w:val="00A704B2"/>
    <w:rsid w:val="00A84A99"/>
    <w:rsid w:val="00A84F46"/>
    <w:rsid w:val="00A871F4"/>
    <w:rsid w:val="00A9087C"/>
    <w:rsid w:val="00AA3B8E"/>
    <w:rsid w:val="00AA50BF"/>
    <w:rsid w:val="00AB4D90"/>
    <w:rsid w:val="00AC0C43"/>
    <w:rsid w:val="00AC0F99"/>
    <w:rsid w:val="00AC1B2C"/>
    <w:rsid w:val="00AC3264"/>
    <w:rsid w:val="00AC4546"/>
    <w:rsid w:val="00AD2B38"/>
    <w:rsid w:val="00AE1BF1"/>
    <w:rsid w:val="00AF0649"/>
    <w:rsid w:val="00AF0DD2"/>
    <w:rsid w:val="00B02706"/>
    <w:rsid w:val="00B06C2F"/>
    <w:rsid w:val="00B10FB1"/>
    <w:rsid w:val="00B13048"/>
    <w:rsid w:val="00B16832"/>
    <w:rsid w:val="00B1716D"/>
    <w:rsid w:val="00B17A1D"/>
    <w:rsid w:val="00B207A0"/>
    <w:rsid w:val="00B217BD"/>
    <w:rsid w:val="00B2303F"/>
    <w:rsid w:val="00B408B4"/>
    <w:rsid w:val="00B514DD"/>
    <w:rsid w:val="00B52AF0"/>
    <w:rsid w:val="00B551BA"/>
    <w:rsid w:val="00B561BD"/>
    <w:rsid w:val="00B56E03"/>
    <w:rsid w:val="00B66780"/>
    <w:rsid w:val="00B8080B"/>
    <w:rsid w:val="00B82223"/>
    <w:rsid w:val="00B87BA5"/>
    <w:rsid w:val="00B87C39"/>
    <w:rsid w:val="00B9562D"/>
    <w:rsid w:val="00B9733D"/>
    <w:rsid w:val="00BA4665"/>
    <w:rsid w:val="00BB2FB2"/>
    <w:rsid w:val="00BB3304"/>
    <w:rsid w:val="00BB3456"/>
    <w:rsid w:val="00BD3446"/>
    <w:rsid w:val="00BD5D87"/>
    <w:rsid w:val="00BE1F1B"/>
    <w:rsid w:val="00BE47B5"/>
    <w:rsid w:val="00C0485E"/>
    <w:rsid w:val="00C23C12"/>
    <w:rsid w:val="00C25FA6"/>
    <w:rsid w:val="00C26737"/>
    <w:rsid w:val="00C420BC"/>
    <w:rsid w:val="00C51F98"/>
    <w:rsid w:val="00C538A9"/>
    <w:rsid w:val="00C53B5A"/>
    <w:rsid w:val="00C54F5A"/>
    <w:rsid w:val="00C569B4"/>
    <w:rsid w:val="00C67A92"/>
    <w:rsid w:val="00C81758"/>
    <w:rsid w:val="00C84560"/>
    <w:rsid w:val="00C86679"/>
    <w:rsid w:val="00C8739E"/>
    <w:rsid w:val="00C95806"/>
    <w:rsid w:val="00CA2421"/>
    <w:rsid w:val="00CA489E"/>
    <w:rsid w:val="00CA67ED"/>
    <w:rsid w:val="00CB0279"/>
    <w:rsid w:val="00CB51D7"/>
    <w:rsid w:val="00CB5742"/>
    <w:rsid w:val="00CB666B"/>
    <w:rsid w:val="00CC1405"/>
    <w:rsid w:val="00CC7F1D"/>
    <w:rsid w:val="00CE484B"/>
    <w:rsid w:val="00CE4F90"/>
    <w:rsid w:val="00CF6177"/>
    <w:rsid w:val="00D006AE"/>
    <w:rsid w:val="00D01CF0"/>
    <w:rsid w:val="00D0442A"/>
    <w:rsid w:val="00D12553"/>
    <w:rsid w:val="00D1563D"/>
    <w:rsid w:val="00D17061"/>
    <w:rsid w:val="00D27530"/>
    <w:rsid w:val="00D325B8"/>
    <w:rsid w:val="00D51ADA"/>
    <w:rsid w:val="00D56C84"/>
    <w:rsid w:val="00D61388"/>
    <w:rsid w:val="00D61A54"/>
    <w:rsid w:val="00D64DEA"/>
    <w:rsid w:val="00D7168E"/>
    <w:rsid w:val="00D71E57"/>
    <w:rsid w:val="00D733C7"/>
    <w:rsid w:val="00D80893"/>
    <w:rsid w:val="00D82349"/>
    <w:rsid w:val="00D84854"/>
    <w:rsid w:val="00D905AD"/>
    <w:rsid w:val="00D92CF1"/>
    <w:rsid w:val="00D92D38"/>
    <w:rsid w:val="00D950F5"/>
    <w:rsid w:val="00DA4752"/>
    <w:rsid w:val="00DA61F3"/>
    <w:rsid w:val="00DA6A65"/>
    <w:rsid w:val="00DB0F93"/>
    <w:rsid w:val="00DB1A67"/>
    <w:rsid w:val="00DB48C6"/>
    <w:rsid w:val="00DB5074"/>
    <w:rsid w:val="00DC5D3C"/>
    <w:rsid w:val="00DC7981"/>
    <w:rsid w:val="00DD1300"/>
    <w:rsid w:val="00DD25CD"/>
    <w:rsid w:val="00DE1093"/>
    <w:rsid w:val="00DE3695"/>
    <w:rsid w:val="00DE4EFA"/>
    <w:rsid w:val="00DE5520"/>
    <w:rsid w:val="00DE563D"/>
    <w:rsid w:val="00E044C6"/>
    <w:rsid w:val="00E04818"/>
    <w:rsid w:val="00E06442"/>
    <w:rsid w:val="00E23993"/>
    <w:rsid w:val="00E25B8C"/>
    <w:rsid w:val="00E36618"/>
    <w:rsid w:val="00E43C30"/>
    <w:rsid w:val="00E44BBC"/>
    <w:rsid w:val="00E50AEB"/>
    <w:rsid w:val="00E52F38"/>
    <w:rsid w:val="00E6103C"/>
    <w:rsid w:val="00E65C85"/>
    <w:rsid w:val="00E66199"/>
    <w:rsid w:val="00E755EC"/>
    <w:rsid w:val="00E7624D"/>
    <w:rsid w:val="00E84435"/>
    <w:rsid w:val="00E92071"/>
    <w:rsid w:val="00E97452"/>
    <w:rsid w:val="00EA3D42"/>
    <w:rsid w:val="00EA6B1B"/>
    <w:rsid w:val="00EB42D0"/>
    <w:rsid w:val="00EC04F1"/>
    <w:rsid w:val="00EC76C0"/>
    <w:rsid w:val="00EC7935"/>
    <w:rsid w:val="00ED2A57"/>
    <w:rsid w:val="00ED60B4"/>
    <w:rsid w:val="00ED6698"/>
    <w:rsid w:val="00ED7323"/>
    <w:rsid w:val="00EE28F3"/>
    <w:rsid w:val="00EE50D1"/>
    <w:rsid w:val="00EE633C"/>
    <w:rsid w:val="00EF5110"/>
    <w:rsid w:val="00EF6D51"/>
    <w:rsid w:val="00F05F77"/>
    <w:rsid w:val="00F0689C"/>
    <w:rsid w:val="00F10411"/>
    <w:rsid w:val="00F15882"/>
    <w:rsid w:val="00F171E0"/>
    <w:rsid w:val="00F20BD3"/>
    <w:rsid w:val="00F33D1C"/>
    <w:rsid w:val="00F373A5"/>
    <w:rsid w:val="00F46895"/>
    <w:rsid w:val="00F47559"/>
    <w:rsid w:val="00F64C7B"/>
    <w:rsid w:val="00F66546"/>
    <w:rsid w:val="00F676DD"/>
    <w:rsid w:val="00F73143"/>
    <w:rsid w:val="00F75A26"/>
    <w:rsid w:val="00F76706"/>
    <w:rsid w:val="00F83FAD"/>
    <w:rsid w:val="00F952A0"/>
    <w:rsid w:val="00FA3C7F"/>
    <w:rsid w:val="00FB60FE"/>
    <w:rsid w:val="00FB74E2"/>
    <w:rsid w:val="00FC4C18"/>
    <w:rsid w:val="00FD5614"/>
    <w:rsid w:val="00FD5E78"/>
    <w:rsid w:val="00FE0BE1"/>
    <w:rsid w:val="00FE1DE9"/>
    <w:rsid w:val="00FE36AF"/>
    <w:rsid w:val="00FE39C2"/>
    <w:rsid w:val="00FE3C32"/>
    <w:rsid w:val="00FE4200"/>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eastAsia="Times New Roman"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eastAsia="Times New Roman" w:cs="Times New Roman"/>
      <w:sz w:val="20"/>
      <w:szCs w:val="24"/>
    </w:rPr>
  </w:style>
  <w:style w:type="character" w:customStyle="1" w:styleId="HeadingBoldBlueChar">
    <w:name w:val="Heading Bold Blue Char"/>
    <w:basedOn w:val="DefaultParagraphFont"/>
    <w:link w:val="HeadingBoldBlue"/>
    <w:rsid w:val="00211DCF"/>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eastAsia="Calibr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eastAsia="Times New Roman"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eastAsia="Times New Roman"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eastAsia="Times New Roman"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eastAsia="Times New Roman" w:cs="Times New Roman"/>
      <w:sz w:val="20"/>
      <w:szCs w:val="24"/>
    </w:rPr>
  </w:style>
  <w:style w:type="character" w:customStyle="1" w:styleId="HeadingBoldBlueChar">
    <w:name w:val="Heading Bold Blue Char"/>
    <w:basedOn w:val="DefaultParagraphFont"/>
    <w:link w:val="HeadingBoldBlue"/>
    <w:rsid w:val="00211DCF"/>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eastAsia="Calibr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eastAsia="Times New Roman"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eastAsia="Times New Roman"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6730433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93348484">
      <w:bodyDiv w:val="1"/>
      <w:marLeft w:val="0"/>
      <w:marRight w:val="0"/>
      <w:marTop w:val="0"/>
      <w:marBottom w:val="0"/>
      <w:divBdr>
        <w:top w:val="none" w:sz="0" w:space="0" w:color="auto"/>
        <w:left w:val="none" w:sz="0" w:space="0" w:color="auto"/>
        <w:bottom w:val="none" w:sz="0" w:space="0" w:color="auto"/>
        <w:right w:val="none" w:sz="0" w:space="0" w:color="auto"/>
      </w:divBdr>
    </w:div>
    <w:div w:id="1915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190ED7-5922-480E-AA70-8AA4B247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5E5F632A</Template>
  <TotalTime>0</TotalTime>
  <Pages>23</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AusNet Services 2017-22 - Draft decision - Attachment 1 - Maximum allowed revenue</vt:lpstr>
    </vt:vector>
  </TitlesOfParts>
  <LinksUpToDate>false</LinksUpToDate>
  <CharactersWithSpaces>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AusNet Services 2017-22 - Draft decision - Attachment 1 - Maximum allowed revenue</dc:title>
  <dc:creator/>
  <cp:lastModifiedBy/>
  <cp:revision>1</cp:revision>
  <dcterms:created xsi:type="dcterms:W3CDTF">2016-07-18T00:34:00Z</dcterms:created>
  <dcterms:modified xsi:type="dcterms:W3CDTF">2016-07-18T00:34:00Z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\\cdchnas-evs02\home$\mleco\ausnet services 2017-22 - draft decision - attachment 1 - maximum allowed revenue (AER2015-004423).docx</vt:lpwstr>
  </property>
</Properties>
</file>