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155FFD" w:rsidP="00290C63">
          <w:r w:rsidRPr="00155FFD">
            <w:rPr>
              <w:noProof/>
              <w:lang w:eastAsia="en-AU"/>
            </w:rPr>
            <w:drawing>
              <wp:anchor distT="0" distB="0" distL="114300" distR="114300" simplePos="0" relativeHeight="251659264" behindDoc="1" locked="0" layoutInCell="1" allowOverlap="1" wp14:anchorId="59281D25" wp14:editId="72F2FA1E">
                <wp:simplePos x="0" y="0"/>
                <wp:positionH relativeFrom="column">
                  <wp:posOffset>-1097915</wp:posOffset>
                </wp:positionH>
                <wp:positionV relativeFrom="paragraph">
                  <wp:posOffset>-918845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155FFD" w:rsidRDefault="00155FFD" w:rsidP="008F07A3">
          <w:pPr>
            <w:pStyle w:val="ReportSubtitle"/>
          </w:pPr>
          <w:r>
            <w:t>2017–18 to 2021–22</w:t>
          </w:r>
        </w:p>
        <w:p w:rsidR="008F07A3" w:rsidRPr="000A6C7B" w:rsidRDefault="008F07A3" w:rsidP="008F07A3">
          <w:pPr>
            <w:pStyle w:val="ReportSubtitle"/>
          </w:pPr>
        </w:p>
        <w:p w:rsidR="000A6C7B" w:rsidRPr="000A6C7B" w:rsidRDefault="00DA4752" w:rsidP="008F07A3">
          <w:pPr>
            <w:pStyle w:val="ReportSubtitle"/>
          </w:pPr>
          <w:r>
            <w:t>Attachment 1</w:t>
          </w:r>
          <w:r w:rsidR="008157EF">
            <w:t>0</w:t>
          </w:r>
          <w:r>
            <w:t xml:space="preserve"> </w:t>
          </w:r>
          <w:r w:rsidR="00415F31">
            <w:rPr>
              <w:rFonts w:cs="Arial"/>
            </w:rPr>
            <w:t>–</w:t>
          </w:r>
          <w:r>
            <w:t xml:space="preserve"> </w:t>
          </w:r>
          <w:r w:rsidR="008157EF">
            <w:t>Capital expenditure sharing scheme</w:t>
          </w:r>
        </w:p>
        <w:p w:rsidR="00B9733D" w:rsidRDefault="00B9733D" w:rsidP="00327A1E">
          <w:pPr>
            <w:pStyle w:val="ReportDate"/>
          </w:pPr>
        </w:p>
        <w:p w:rsidR="000A6C7B" w:rsidRPr="00327A1E" w:rsidRDefault="00155FFD"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xml:space="preserve">© Commonwealth of </w:t>
      </w:r>
      <w:r w:rsidR="00DD03C7">
        <w:t>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F9103F">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56602644"/>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56602645"/>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C60823"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2644" w:history="1">
            <w:r w:rsidR="00C60823" w:rsidRPr="00624331">
              <w:rPr>
                <w:rStyle w:val="Hyperlink"/>
              </w:rPr>
              <w:t>Note</w:t>
            </w:r>
            <w:r w:rsidR="00C60823">
              <w:rPr>
                <w:webHidden/>
              </w:rPr>
              <w:tab/>
            </w:r>
            <w:r w:rsidR="00C60823">
              <w:rPr>
                <w:webHidden/>
              </w:rPr>
              <w:fldChar w:fldCharType="begin"/>
            </w:r>
            <w:r w:rsidR="00C60823">
              <w:rPr>
                <w:webHidden/>
              </w:rPr>
              <w:instrText xml:space="preserve"> PAGEREF _Toc456602644 \h </w:instrText>
            </w:r>
            <w:r w:rsidR="00C60823">
              <w:rPr>
                <w:webHidden/>
              </w:rPr>
            </w:r>
            <w:r w:rsidR="00C60823">
              <w:rPr>
                <w:webHidden/>
              </w:rPr>
              <w:fldChar w:fldCharType="separate"/>
            </w:r>
            <w:r w:rsidR="00C60823">
              <w:rPr>
                <w:webHidden/>
              </w:rPr>
              <w:t>10-2</w:t>
            </w:r>
            <w:r w:rsidR="00C60823">
              <w:rPr>
                <w:webHidden/>
              </w:rPr>
              <w:fldChar w:fldCharType="end"/>
            </w:r>
          </w:hyperlink>
        </w:p>
        <w:p w:rsidR="00C60823" w:rsidRDefault="00DD7E3B">
          <w:pPr>
            <w:pStyle w:val="TOC1"/>
            <w:rPr>
              <w:rFonts w:asciiTheme="minorHAnsi" w:eastAsiaTheme="minorEastAsia" w:hAnsiTheme="minorHAnsi"/>
              <w:b w:val="0"/>
              <w:color w:val="auto"/>
              <w:sz w:val="22"/>
              <w:lang w:val="en-AU" w:eastAsia="en-AU"/>
            </w:rPr>
          </w:pPr>
          <w:hyperlink w:anchor="_Toc456602645" w:history="1">
            <w:r w:rsidR="00C60823" w:rsidRPr="00624331">
              <w:rPr>
                <w:rStyle w:val="Hyperlink"/>
              </w:rPr>
              <w:t>Contents</w:t>
            </w:r>
            <w:r w:rsidR="00C60823">
              <w:rPr>
                <w:webHidden/>
              </w:rPr>
              <w:tab/>
            </w:r>
            <w:r w:rsidR="00C60823">
              <w:rPr>
                <w:webHidden/>
              </w:rPr>
              <w:fldChar w:fldCharType="begin"/>
            </w:r>
            <w:r w:rsidR="00C60823">
              <w:rPr>
                <w:webHidden/>
              </w:rPr>
              <w:instrText xml:space="preserve"> PAGEREF _Toc456602645 \h </w:instrText>
            </w:r>
            <w:r w:rsidR="00C60823">
              <w:rPr>
                <w:webHidden/>
              </w:rPr>
            </w:r>
            <w:r w:rsidR="00C60823">
              <w:rPr>
                <w:webHidden/>
              </w:rPr>
              <w:fldChar w:fldCharType="separate"/>
            </w:r>
            <w:r w:rsidR="00C60823">
              <w:rPr>
                <w:webHidden/>
              </w:rPr>
              <w:t>10-3</w:t>
            </w:r>
            <w:r w:rsidR="00C60823">
              <w:rPr>
                <w:webHidden/>
              </w:rPr>
              <w:fldChar w:fldCharType="end"/>
            </w:r>
          </w:hyperlink>
        </w:p>
        <w:p w:rsidR="00C60823" w:rsidRDefault="00DD7E3B">
          <w:pPr>
            <w:pStyle w:val="TOC1"/>
            <w:rPr>
              <w:rFonts w:asciiTheme="minorHAnsi" w:eastAsiaTheme="minorEastAsia" w:hAnsiTheme="minorHAnsi"/>
              <w:b w:val="0"/>
              <w:color w:val="auto"/>
              <w:sz w:val="22"/>
              <w:lang w:val="en-AU" w:eastAsia="en-AU"/>
            </w:rPr>
          </w:pPr>
          <w:hyperlink w:anchor="_Toc456602646" w:history="1">
            <w:r w:rsidR="00C60823" w:rsidRPr="00624331">
              <w:rPr>
                <w:rStyle w:val="Hyperlink"/>
              </w:rPr>
              <w:t>Shortened forms</w:t>
            </w:r>
            <w:r w:rsidR="00C60823">
              <w:rPr>
                <w:webHidden/>
              </w:rPr>
              <w:tab/>
            </w:r>
            <w:r w:rsidR="00C60823">
              <w:rPr>
                <w:webHidden/>
              </w:rPr>
              <w:fldChar w:fldCharType="begin"/>
            </w:r>
            <w:r w:rsidR="00C60823">
              <w:rPr>
                <w:webHidden/>
              </w:rPr>
              <w:instrText xml:space="preserve"> PAGEREF _Toc456602646 \h </w:instrText>
            </w:r>
            <w:r w:rsidR="00C60823">
              <w:rPr>
                <w:webHidden/>
              </w:rPr>
            </w:r>
            <w:r w:rsidR="00C60823">
              <w:rPr>
                <w:webHidden/>
              </w:rPr>
              <w:fldChar w:fldCharType="separate"/>
            </w:r>
            <w:r w:rsidR="00C60823">
              <w:rPr>
                <w:webHidden/>
              </w:rPr>
              <w:t>10-4</w:t>
            </w:r>
            <w:r w:rsidR="00C60823">
              <w:rPr>
                <w:webHidden/>
              </w:rPr>
              <w:fldChar w:fldCharType="end"/>
            </w:r>
          </w:hyperlink>
        </w:p>
        <w:p w:rsidR="00C60823" w:rsidRDefault="00DD7E3B">
          <w:pPr>
            <w:pStyle w:val="TOC1"/>
            <w:rPr>
              <w:rFonts w:asciiTheme="minorHAnsi" w:eastAsiaTheme="minorEastAsia" w:hAnsiTheme="minorHAnsi"/>
              <w:b w:val="0"/>
              <w:color w:val="auto"/>
              <w:sz w:val="22"/>
              <w:lang w:val="en-AU" w:eastAsia="en-AU"/>
            </w:rPr>
          </w:pPr>
          <w:hyperlink w:anchor="_Toc456602647" w:history="1">
            <w:r w:rsidR="00C60823" w:rsidRPr="00624331">
              <w:rPr>
                <w:rStyle w:val="Hyperlink"/>
              </w:rPr>
              <w:t>10</w:t>
            </w:r>
            <w:r w:rsidR="00C60823">
              <w:rPr>
                <w:rFonts w:asciiTheme="minorHAnsi" w:eastAsiaTheme="minorEastAsia" w:hAnsiTheme="minorHAnsi"/>
                <w:b w:val="0"/>
                <w:color w:val="auto"/>
                <w:sz w:val="22"/>
                <w:lang w:val="en-AU" w:eastAsia="en-AU"/>
              </w:rPr>
              <w:tab/>
            </w:r>
            <w:r w:rsidR="00C60823" w:rsidRPr="00624331">
              <w:rPr>
                <w:rStyle w:val="Hyperlink"/>
              </w:rPr>
              <w:t>Capital expenditure sharing scheme</w:t>
            </w:r>
            <w:r w:rsidR="00C60823">
              <w:rPr>
                <w:webHidden/>
              </w:rPr>
              <w:tab/>
            </w:r>
            <w:r w:rsidR="00C60823">
              <w:rPr>
                <w:webHidden/>
              </w:rPr>
              <w:fldChar w:fldCharType="begin"/>
            </w:r>
            <w:r w:rsidR="00C60823">
              <w:rPr>
                <w:webHidden/>
              </w:rPr>
              <w:instrText xml:space="preserve"> PAGEREF _Toc456602647 \h </w:instrText>
            </w:r>
            <w:r w:rsidR="00C60823">
              <w:rPr>
                <w:webHidden/>
              </w:rPr>
            </w:r>
            <w:r w:rsidR="00C60823">
              <w:rPr>
                <w:webHidden/>
              </w:rPr>
              <w:fldChar w:fldCharType="separate"/>
            </w:r>
            <w:r w:rsidR="00C60823">
              <w:rPr>
                <w:webHidden/>
              </w:rPr>
              <w:t>10-6</w:t>
            </w:r>
            <w:r w:rsidR="00C60823">
              <w:rPr>
                <w:webHidden/>
              </w:rPr>
              <w:fldChar w:fldCharType="end"/>
            </w:r>
          </w:hyperlink>
        </w:p>
        <w:p w:rsidR="00C60823" w:rsidRDefault="00DD7E3B">
          <w:pPr>
            <w:pStyle w:val="TOC2"/>
            <w:tabs>
              <w:tab w:val="left" w:pos="1276"/>
            </w:tabs>
            <w:rPr>
              <w:rFonts w:asciiTheme="minorHAnsi" w:eastAsiaTheme="minorEastAsia" w:hAnsiTheme="minorHAnsi"/>
              <w:b w:val="0"/>
              <w:color w:val="auto"/>
              <w:sz w:val="22"/>
              <w:lang w:eastAsia="en-AU"/>
            </w:rPr>
          </w:pPr>
          <w:hyperlink w:anchor="_Toc456602648" w:history="1">
            <w:r w:rsidR="00C60823" w:rsidRPr="00624331">
              <w:rPr>
                <w:rStyle w:val="Hyperlink"/>
              </w:rPr>
              <w:t>10.1</w:t>
            </w:r>
            <w:r w:rsidR="00C60823">
              <w:rPr>
                <w:rFonts w:asciiTheme="minorHAnsi" w:eastAsiaTheme="minorEastAsia" w:hAnsiTheme="minorHAnsi"/>
                <w:b w:val="0"/>
                <w:color w:val="auto"/>
                <w:sz w:val="22"/>
                <w:lang w:eastAsia="en-AU"/>
              </w:rPr>
              <w:tab/>
            </w:r>
            <w:r w:rsidR="00C60823" w:rsidRPr="00624331">
              <w:rPr>
                <w:rStyle w:val="Hyperlink"/>
              </w:rPr>
              <w:t>Draft decision</w:t>
            </w:r>
            <w:r w:rsidR="00C60823">
              <w:rPr>
                <w:webHidden/>
              </w:rPr>
              <w:tab/>
            </w:r>
            <w:r w:rsidR="00C60823">
              <w:rPr>
                <w:webHidden/>
              </w:rPr>
              <w:fldChar w:fldCharType="begin"/>
            </w:r>
            <w:r w:rsidR="00C60823">
              <w:rPr>
                <w:webHidden/>
              </w:rPr>
              <w:instrText xml:space="preserve"> PAGEREF _Toc456602648 \h </w:instrText>
            </w:r>
            <w:r w:rsidR="00C60823">
              <w:rPr>
                <w:webHidden/>
              </w:rPr>
            </w:r>
            <w:r w:rsidR="00C60823">
              <w:rPr>
                <w:webHidden/>
              </w:rPr>
              <w:fldChar w:fldCharType="separate"/>
            </w:r>
            <w:r w:rsidR="00C60823">
              <w:rPr>
                <w:webHidden/>
              </w:rPr>
              <w:t>10-6</w:t>
            </w:r>
            <w:r w:rsidR="00C60823">
              <w:rPr>
                <w:webHidden/>
              </w:rPr>
              <w:fldChar w:fldCharType="end"/>
            </w:r>
          </w:hyperlink>
        </w:p>
        <w:p w:rsidR="00C60823" w:rsidRDefault="00DD7E3B">
          <w:pPr>
            <w:pStyle w:val="TOC2"/>
            <w:tabs>
              <w:tab w:val="left" w:pos="1276"/>
            </w:tabs>
            <w:rPr>
              <w:rFonts w:asciiTheme="minorHAnsi" w:eastAsiaTheme="minorEastAsia" w:hAnsiTheme="minorHAnsi"/>
              <w:b w:val="0"/>
              <w:color w:val="auto"/>
              <w:sz w:val="22"/>
              <w:lang w:eastAsia="en-AU"/>
            </w:rPr>
          </w:pPr>
          <w:hyperlink w:anchor="_Toc456602649" w:history="1">
            <w:r w:rsidR="00C60823" w:rsidRPr="00624331">
              <w:rPr>
                <w:rStyle w:val="Hyperlink"/>
              </w:rPr>
              <w:t>10.2</w:t>
            </w:r>
            <w:r w:rsidR="00C60823">
              <w:rPr>
                <w:rFonts w:asciiTheme="minorHAnsi" w:eastAsiaTheme="minorEastAsia" w:hAnsiTheme="minorHAnsi"/>
                <w:b w:val="0"/>
                <w:color w:val="auto"/>
                <w:sz w:val="22"/>
                <w:lang w:eastAsia="en-AU"/>
              </w:rPr>
              <w:tab/>
            </w:r>
            <w:r w:rsidR="00C60823" w:rsidRPr="00624331">
              <w:rPr>
                <w:rStyle w:val="Hyperlink"/>
              </w:rPr>
              <w:t>AusNet Services’ proposal</w:t>
            </w:r>
            <w:r w:rsidR="00C60823">
              <w:rPr>
                <w:webHidden/>
              </w:rPr>
              <w:tab/>
            </w:r>
            <w:r w:rsidR="00C60823">
              <w:rPr>
                <w:webHidden/>
              </w:rPr>
              <w:fldChar w:fldCharType="begin"/>
            </w:r>
            <w:r w:rsidR="00C60823">
              <w:rPr>
                <w:webHidden/>
              </w:rPr>
              <w:instrText xml:space="preserve"> PAGEREF _Toc456602649 \h </w:instrText>
            </w:r>
            <w:r w:rsidR="00C60823">
              <w:rPr>
                <w:webHidden/>
              </w:rPr>
            </w:r>
            <w:r w:rsidR="00C60823">
              <w:rPr>
                <w:webHidden/>
              </w:rPr>
              <w:fldChar w:fldCharType="separate"/>
            </w:r>
            <w:r w:rsidR="00C60823">
              <w:rPr>
                <w:webHidden/>
              </w:rPr>
              <w:t>10-7</w:t>
            </w:r>
            <w:r w:rsidR="00C60823">
              <w:rPr>
                <w:webHidden/>
              </w:rPr>
              <w:fldChar w:fldCharType="end"/>
            </w:r>
          </w:hyperlink>
        </w:p>
        <w:p w:rsidR="00C60823" w:rsidRDefault="00DD7E3B">
          <w:pPr>
            <w:pStyle w:val="TOC2"/>
            <w:tabs>
              <w:tab w:val="left" w:pos="1276"/>
            </w:tabs>
            <w:rPr>
              <w:rFonts w:asciiTheme="minorHAnsi" w:eastAsiaTheme="minorEastAsia" w:hAnsiTheme="minorHAnsi"/>
              <w:b w:val="0"/>
              <w:color w:val="auto"/>
              <w:sz w:val="22"/>
              <w:lang w:eastAsia="en-AU"/>
            </w:rPr>
          </w:pPr>
          <w:hyperlink w:anchor="_Toc456602650" w:history="1">
            <w:r w:rsidR="00C60823" w:rsidRPr="00624331">
              <w:rPr>
                <w:rStyle w:val="Hyperlink"/>
              </w:rPr>
              <w:t>10.3</w:t>
            </w:r>
            <w:r w:rsidR="00C60823">
              <w:rPr>
                <w:rFonts w:asciiTheme="minorHAnsi" w:eastAsiaTheme="minorEastAsia" w:hAnsiTheme="minorHAnsi"/>
                <w:b w:val="0"/>
                <w:color w:val="auto"/>
                <w:sz w:val="22"/>
                <w:lang w:eastAsia="en-AU"/>
              </w:rPr>
              <w:tab/>
            </w:r>
            <w:r w:rsidR="00C60823" w:rsidRPr="00624331">
              <w:rPr>
                <w:rStyle w:val="Hyperlink"/>
              </w:rPr>
              <w:t>AER’s assessment approach</w:t>
            </w:r>
            <w:r w:rsidR="00C60823">
              <w:rPr>
                <w:webHidden/>
              </w:rPr>
              <w:tab/>
            </w:r>
            <w:r w:rsidR="00C60823">
              <w:rPr>
                <w:webHidden/>
              </w:rPr>
              <w:fldChar w:fldCharType="begin"/>
            </w:r>
            <w:r w:rsidR="00C60823">
              <w:rPr>
                <w:webHidden/>
              </w:rPr>
              <w:instrText xml:space="preserve"> PAGEREF _Toc456602650 \h </w:instrText>
            </w:r>
            <w:r w:rsidR="00C60823">
              <w:rPr>
                <w:webHidden/>
              </w:rPr>
            </w:r>
            <w:r w:rsidR="00C60823">
              <w:rPr>
                <w:webHidden/>
              </w:rPr>
              <w:fldChar w:fldCharType="separate"/>
            </w:r>
            <w:r w:rsidR="00C60823">
              <w:rPr>
                <w:webHidden/>
              </w:rPr>
              <w:t>10-7</w:t>
            </w:r>
            <w:r w:rsidR="00C60823">
              <w:rPr>
                <w:webHidden/>
              </w:rPr>
              <w:fldChar w:fldCharType="end"/>
            </w:r>
          </w:hyperlink>
        </w:p>
        <w:p w:rsidR="00C60823" w:rsidRDefault="00DD7E3B">
          <w:pPr>
            <w:pStyle w:val="TOC2"/>
            <w:tabs>
              <w:tab w:val="left" w:pos="1276"/>
            </w:tabs>
            <w:rPr>
              <w:rFonts w:asciiTheme="minorHAnsi" w:eastAsiaTheme="minorEastAsia" w:hAnsiTheme="minorHAnsi"/>
              <w:b w:val="0"/>
              <w:color w:val="auto"/>
              <w:sz w:val="22"/>
              <w:lang w:eastAsia="en-AU"/>
            </w:rPr>
          </w:pPr>
          <w:hyperlink w:anchor="_Toc456602651" w:history="1">
            <w:r w:rsidR="00C60823" w:rsidRPr="00624331">
              <w:rPr>
                <w:rStyle w:val="Hyperlink"/>
              </w:rPr>
              <w:t>10.4</w:t>
            </w:r>
            <w:r w:rsidR="00C60823">
              <w:rPr>
                <w:rFonts w:asciiTheme="minorHAnsi" w:eastAsiaTheme="minorEastAsia" w:hAnsiTheme="minorHAnsi"/>
                <w:b w:val="0"/>
                <w:color w:val="auto"/>
                <w:sz w:val="22"/>
                <w:lang w:eastAsia="en-AU"/>
              </w:rPr>
              <w:tab/>
            </w:r>
            <w:r w:rsidR="00C60823" w:rsidRPr="00624331">
              <w:rPr>
                <w:rStyle w:val="Hyperlink"/>
              </w:rPr>
              <w:t>Inter-relationships</w:t>
            </w:r>
            <w:r w:rsidR="00C60823">
              <w:rPr>
                <w:webHidden/>
              </w:rPr>
              <w:tab/>
            </w:r>
            <w:r w:rsidR="00C60823">
              <w:rPr>
                <w:webHidden/>
              </w:rPr>
              <w:fldChar w:fldCharType="begin"/>
            </w:r>
            <w:r w:rsidR="00C60823">
              <w:rPr>
                <w:webHidden/>
              </w:rPr>
              <w:instrText xml:space="preserve"> PAGEREF _Toc456602651 \h </w:instrText>
            </w:r>
            <w:r w:rsidR="00C60823">
              <w:rPr>
                <w:webHidden/>
              </w:rPr>
            </w:r>
            <w:r w:rsidR="00C60823">
              <w:rPr>
                <w:webHidden/>
              </w:rPr>
              <w:fldChar w:fldCharType="separate"/>
            </w:r>
            <w:r w:rsidR="00C60823">
              <w:rPr>
                <w:webHidden/>
              </w:rPr>
              <w:t>10-7</w:t>
            </w:r>
            <w:r w:rsidR="00C60823">
              <w:rPr>
                <w:webHidden/>
              </w:rPr>
              <w:fldChar w:fldCharType="end"/>
            </w:r>
          </w:hyperlink>
        </w:p>
        <w:p w:rsidR="00C60823" w:rsidRDefault="00DD7E3B">
          <w:pPr>
            <w:pStyle w:val="TOC2"/>
            <w:tabs>
              <w:tab w:val="left" w:pos="1276"/>
            </w:tabs>
            <w:rPr>
              <w:rFonts w:asciiTheme="minorHAnsi" w:eastAsiaTheme="minorEastAsia" w:hAnsiTheme="minorHAnsi"/>
              <w:b w:val="0"/>
              <w:color w:val="auto"/>
              <w:sz w:val="22"/>
              <w:lang w:eastAsia="en-AU"/>
            </w:rPr>
          </w:pPr>
          <w:hyperlink w:anchor="_Toc456602652" w:history="1">
            <w:r w:rsidR="00C60823" w:rsidRPr="00624331">
              <w:rPr>
                <w:rStyle w:val="Hyperlink"/>
              </w:rPr>
              <w:t>10.5</w:t>
            </w:r>
            <w:r w:rsidR="00C60823">
              <w:rPr>
                <w:rFonts w:asciiTheme="minorHAnsi" w:eastAsiaTheme="minorEastAsia" w:hAnsiTheme="minorHAnsi"/>
                <w:b w:val="0"/>
                <w:color w:val="auto"/>
                <w:sz w:val="22"/>
                <w:lang w:eastAsia="en-AU"/>
              </w:rPr>
              <w:tab/>
            </w:r>
            <w:r w:rsidR="00C60823" w:rsidRPr="00624331">
              <w:rPr>
                <w:rStyle w:val="Hyperlink"/>
              </w:rPr>
              <w:t>Reasons for draft decision</w:t>
            </w:r>
            <w:r w:rsidR="00C60823">
              <w:rPr>
                <w:webHidden/>
              </w:rPr>
              <w:tab/>
            </w:r>
            <w:r w:rsidR="00C60823">
              <w:rPr>
                <w:webHidden/>
              </w:rPr>
              <w:fldChar w:fldCharType="begin"/>
            </w:r>
            <w:r w:rsidR="00C60823">
              <w:rPr>
                <w:webHidden/>
              </w:rPr>
              <w:instrText xml:space="preserve"> PAGEREF _Toc456602652 \h </w:instrText>
            </w:r>
            <w:r w:rsidR="00C60823">
              <w:rPr>
                <w:webHidden/>
              </w:rPr>
            </w:r>
            <w:r w:rsidR="00C60823">
              <w:rPr>
                <w:webHidden/>
              </w:rPr>
              <w:fldChar w:fldCharType="separate"/>
            </w:r>
            <w:r w:rsidR="00C60823">
              <w:rPr>
                <w:webHidden/>
              </w:rPr>
              <w:t>10-8</w:t>
            </w:r>
            <w:r w:rsidR="00C60823">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56602646"/>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8157EF" w:rsidP="008157EF">
      <w:pPr>
        <w:pStyle w:val="Heading1"/>
      </w:pPr>
      <w:bookmarkStart w:id="10" w:name="_Toc456602647"/>
      <w:r>
        <w:lastRenderedPageBreak/>
        <w:t>Capital expenditure sharing scheme</w:t>
      </w:r>
      <w:bookmarkEnd w:id="10"/>
    </w:p>
    <w:p w:rsidR="000A779A" w:rsidRDefault="000A779A" w:rsidP="000A779A">
      <w:pPr>
        <w:numPr>
          <w:ilvl w:val="0"/>
          <w:numId w:val="25"/>
        </w:numPr>
      </w:pPr>
      <w:bookmarkStart w:id="11" w:name="_Toc403144136"/>
      <w:r>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w:t>
      </w:r>
      <w:r w:rsidRPr="008526D5">
        <w:t xml:space="preserve">CESS to </w:t>
      </w:r>
      <w:r w:rsidR="00934CD5">
        <w:t xml:space="preserve">AusNet Services </w:t>
      </w:r>
      <w:r w:rsidRPr="008526D5">
        <w:t xml:space="preserve">in the </w:t>
      </w:r>
      <w:r>
        <w:t>2017–22 regulatory control period.</w:t>
      </w:r>
    </w:p>
    <w:p w:rsidR="000A779A" w:rsidRDefault="000A779A" w:rsidP="000A779A">
      <w:pPr>
        <w:numPr>
          <w:ilvl w:val="0"/>
          <w:numId w:val="25"/>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service providers and consumers. </w:t>
      </w:r>
    </w:p>
    <w:p w:rsidR="000A779A" w:rsidRDefault="000A779A" w:rsidP="000A779A">
      <w:pPr>
        <w:numPr>
          <w:ilvl w:val="0"/>
          <w:numId w:val="25"/>
        </w:numPr>
      </w:pPr>
      <w:r>
        <w:t xml:space="preserve">The CESS works as follows: </w:t>
      </w:r>
    </w:p>
    <w:p w:rsidR="000A779A" w:rsidRPr="000A779A" w:rsidRDefault="000A779A" w:rsidP="000A779A">
      <w:pPr>
        <w:pStyle w:val="AERbulletlistfirststyle"/>
      </w:pPr>
      <w:r>
        <w:t xml:space="preserve">We calculate the cumulative underspend or overspend for the current regulatory control period in net present value terms. </w:t>
      </w:r>
    </w:p>
    <w:p w:rsidR="000A779A" w:rsidRPr="000A779A" w:rsidRDefault="000A779A" w:rsidP="000A779A">
      <w:pPr>
        <w:pStyle w:val="AERbulletlistfirststyle"/>
      </w:pPr>
      <w:r>
        <w:t xml:space="preserve">We apply the sharing ratio of 30 per cent to the cumulative underspend or overspend to work out what the </w:t>
      </w:r>
      <w:r w:rsidRPr="000A779A">
        <w:t>service provider's share of the under</w:t>
      </w:r>
      <w:r>
        <w:t>-</w:t>
      </w:r>
      <w:r w:rsidRPr="000A779A">
        <w:t>spend or overspend should be.</w:t>
      </w:r>
    </w:p>
    <w:p w:rsidR="000A779A" w:rsidRPr="000A779A" w:rsidRDefault="000A779A" w:rsidP="000A779A">
      <w:pPr>
        <w:pStyle w:val="AERbulletlistfirststyle"/>
      </w:pPr>
      <w:r>
        <w:t xml:space="preserve">We calculate the CESS payments taking into account the financing benefit or cost to the </w:t>
      </w:r>
      <w:r w:rsidRPr="000A779A">
        <w:t>service provider of the under</w:t>
      </w:r>
      <w:r>
        <w:t>-</w:t>
      </w:r>
      <w:r w:rsidRPr="000A779A">
        <w:t>spends or over</w:t>
      </w:r>
      <w:r>
        <w:t>-</w:t>
      </w:r>
      <w:r w:rsidRPr="000A779A">
        <w:t>spends.</w:t>
      </w:r>
      <w:r w:rsidRPr="000A779A">
        <w:rPr>
          <w:rStyle w:val="FootnoteReference"/>
        </w:rPr>
        <w:footnoteReference w:id="2"/>
      </w:r>
      <w:r w:rsidRPr="000A779A">
        <w:t xml:space="preserve"> We can also make further adjustments to account for deferral of capex and ex post exclusions of capex from the RAB.</w:t>
      </w:r>
      <w:r w:rsidRPr="000A779A">
        <w:rPr>
          <w:rStyle w:val="FootnoteReference"/>
        </w:rPr>
        <w:footnoteReference w:id="3"/>
      </w:r>
      <w:r w:rsidRPr="000A779A">
        <w:t xml:space="preserve"> </w:t>
      </w:r>
    </w:p>
    <w:p w:rsidR="000A779A" w:rsidRPr="000A779A" w:rsidRDefault="000A779A" w:rsidP="000A779A">
      <w:pPr>
        <w:pStyle w:val="AERbulletlistfirststyle"/>
      </w:pPr>
      <w:r>
        <w:t xml:space="preserve">The CESS payments will be added or subtracted to the </w:t>
      </w:r>
      <w:r w:rsidRPr="000A779A">
        <w:t>service provider's regulated revenue as a separate building block in the next regulatory control period.</w:t>
      </w:r>
    </w:p>
    <w:p w:rsidR="000A779A" w:rsidRDefault="000A779A" w:rsidP="000A779A">
      <w:pPr>
        <w:numPr>
          <w:ilvl w:val="0"/>
          <w:numId w:val="25"/>
        </w:numPr>
      </w:pPr>
      <w:r>
        <w:t>Under the CESS a service provider retains 30 per cent of an under-spend or over-spend, while consumers retain 70 per cent of the under-spend on over-spend. This means that for a one dollar saving in capex the service provider</w:t>
      </w:r>
      <w:r w:rsidRPr="004903FE" w:rsidDel="001F2206">
        <w:t xml:space="preserve"> </w:t>
      </w:r>
      <w:r>
        <w:t xml:space="preserve">keeps 30 cents of the benefit while consumers keep 70 cents of the benefit. </w:t>
      </w:r>
    </w:p>
    <w:p w:rsidR="00DE563D" w:rsidRDefault="000A779A" w:rsidP="001754EE">
      <w:pPr>
        <w:pStyle w:val="Heading2"/>
      </w:pPr>
      <w:bookmarkStart w:id="12" w:name="_Toc456602648"/>
      <w:r>
        <w:t>Draft</w:t>
      </w:r>
      <w:r w:rsidR="00DE563D" w:rsidRPr="001754EE">
        <w:t xml:space="preserve"> decision</w:t>
      </w:r>
      <w:bookmarkEnd w:id="11"/>
      <w:bookmarkEnd w:id="12"/>
    </w:p>
    <w:p w:rsidR="00492389" w:rsidRDefault="000A779A" w:rsidP="000A779A">
      <w:r>
        <w:lastRenderedPageBreak/>
        <w:t>We will apply the CESS as set out in version 1 of the capital expenditure incentives guideline to</w:t>
      </w:r>
      <w:r w:rsidR="00922610">
        <w:t xml:space="preserve"> AusNet Services</w:t>
      </w:r>
      <w:r>
        <w:t xml:space="preserve"> in the 2017–22</w:t>
      </w:r>
      <w:r w:rsidRPr="00DF6CC5">
        <w:t xml:space="preserve"> regulatory control period</w:t>
      </w:r>
      <w:r>
        <w:t>.</w:t>
      </w:r>
      <w:r w:rsidRPr="0037766C">
        <w:rPr>
          <w:rStyle w:val="FootnoteReference"/>
        </w:rPr>
        <w:footnoteReference w:id="4"/>
      </w:r>
      <w:r>
        <w:t xml:space="preserve"> T</w:t>
      </w:r>
      <w:r w:rsidRPr="00343B4B">
        <w:t xml:space="preserve">he guideline provides for the exclusion </w:t>
      </w:r>
      <w:r>
        <w:t xml:space="preserve">from the CESS </w:t>
      </w:r>
      <w:r w:rsidRPr="00343B4B">
        <w:t xml:space="preserve">of capex the service provider incurs in delivering a priority project approved under the network capability component of the </w:t>
      </w:r>
      <w:r>
        <w:t xml:space="preserve">Service Target Performance Incentive Scheme (STPIS) </w:t>
      </w:r>
      <w:r w:rsidRPr="00343B4B">
        <w:t>for transmission network service providers.</w:t>
      </w:r>
      <w:r w:rsidRPr="00343B4B">
        <w:rPr>
          <w:rStyle w:val="FootnoteReference"/>
        </w:rPr>
        <w:footnoteReference w:id="5"/>
      </w:r>
      <w:r>
        <w:t xml:space="preserve"> This is consistent with the proposed approach we set out in our framework and approach paper.</w:t>
      </w:r>
      <w:r>
        <w:rPr>
          <w:rStyle w:val="FootnoteReference"/>
        </w:rPr>
        <w:footnoteReference w:id="6"/>
      </w:r>
      <w:bookmarkStart w:id="13" w:name="_Toc403144137"/>
      <w:r w:rsidR="00492389" w:rsidRPr="00C10597">
        <w:t xml:space="preserve"> </w:t>
      </w:r>
    </w:p>
    <w:p w:rsidR="00DE563D" w:rsidRPr="001754EE" w:rsidRDefault="000B321F" w:rsidP="001754EE">
      <w:pPr>
        <w:pStyle w:val="Heading2"/>
      </w:pPr>
      <w:bookmarkStart w:id="14" w:name="_Toc456602649"/>
      <w:r>
        <w:t>AusNet Services</w:t>
      </w:r>
      <w:r w:rsidR="00415F31" w:rsidRPr="001754EE">
        <w:t>’</w:t>
      </w:r>
      <w:r w:rsidR="00DE563D" w:rsidRPr="001754EE">
        <w:t xml:space="preserve"> proposal</w:t>
      </w:r>
      <w:bookmarkEnd w:id="13"/>
      <w:bookmarkEnd w:id="14"/>
    </w:p>
    <w:p w:rsidR="000B321F" w:rsidRDefault="000A779A" w:rsidP="00FE55BF">
      <w:r>
        <w:t xml:space="preserve">AusNet Services' </w:t>
      </w:r>
      <w:r w:rsidR="004A6DDA">
        <w:t>supported the application of</w:t>
      </w:r>
      <w:r>
        <w:t xml:space="preserve"> the CESS as set out in the capex incentives guideline.</w:t>
      </w:r>
      <w:r w:rsidR="004A6DDA">
        <w:rPr>
          <w:rStyle w:val="FootnoteReference"/>
        </w:rPr>
        <w:footnoteReference w:id="7"/>
      </w:r>
    </w:p>
    <w:p w:rsidR="00DE563D" w:rsidRDefault="00DE563D" w:rsidP="001754EE">
      <w:pPr>
        <w:pStyle w:val="Heading2"/>
      </w:pPr>
      <w:bookmarkStart w:id="15" w:name="_Toc403144138"/>
      <w:bookmarkStart w:id="16" w:name="_Toc456602650"/>
      <w:r w:rsidRPr="001754EE">
        <w:t>AER’s</w:t>
      </w:r>
      <w:r>
        <w:t xml:space="preserve"> assessment approach</w:t>
      </w:r>
      <w:bookmarkEnd w:id="15"/>
      <w:bookmarkEnd w:id="16"/>
    </w:p>
    <w:p w:rsidR="000A779A" w:rsidRDefault="000A779A" w:rsidP="000A779A">
      <w:pPr>
        <w:numPr>
          <w:ilvl w:val="0"/>
          <w:numId w:val="25"/>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AF29A1">
        <w:rPr>
          <w:rStyle w:val="FootnoteReference"/>
        </w:rPr>
        <w:footnoteReference w:id="8"/>
      </w:r>
    </w:p>
    <w:p w:rsidR="000A779A" w:rsidRPr="000A779A" w:rsidRDefault="000A779A" w:rsidP="000A779A">
      <w:pPr>
        <w:pStyle w:val="AERbulletlistfirststyle"/>
      </w:pPr>
      <w:r>
        <w:rPr>
          <w:rStyle w:val="AERbody"/>
        </w:rPr>
        <w:t xml:space="preserve">make that decision in a manner </w:t>
      </w:r>
      <w:r w:rsidRPr="000A779A">
        <w:t>that contributes to the capex incentive objective</w:t>
      </w:r>
      <w:r w:rsidRPr="000A779A">
        <w:rPr>
          <w:rStyle w:val="FootnoteReference"/>
        </w:rPr>
        <w:footnoteReference w:id="9"/>
      </w:r>
    </w:p>
    <w:p w:rsidR="000A779A" w:rsidRPr="000A779A" w:rsidRDefault="000A779A" w:rsidP="000A779A">
      <w:pPr>
        <w:pStyle w:val="AERbulletlistfirststyle"/>
      </w:pPr>
      <w:r>
        <w:t xml:space="preserve">take into </w:t>
      </w:r>
      <w:r w:rsidRPr="000A779A">
        <w:t>account the CESS principles,</w:t>
      </w:r>
      <w:r w:rsidRPr="000A779A">
        <w:rPr>
          <w:rStyle w:val="FootnoteReference"/>
        </w:rPr>
        <w:footnoteReference w:id="10"/>
      </w:r>
      <w:r w:rsidRPr="000A779A">
        <w:t xml:space="preserve"> the </w:t>
      </w:r>
      <w:r w:rsidRPr="000A779A">
        <w:rPr>
          <w:rStyle w:val="AERbody"/>
        </w:rPr>
        <w:t>capex objectives,</w:t>
      </w:r>
      <w:r w:rsidRPr="000A779A">
        <w:rPr>
          <w:rStyle w:val="FootnoteReference"/>
        </w:rPr>
        <w:footnoteReference w:id="11"/>
      </w:r>
      <w:r w:rsidRPr="000A779A">
        <w:rPr>
          <w:rStyle w:val="AERtextitalic"/>
        </w:rPr>
        <w:t xml:space="preserve"> </w:t>
      </w:r>
      <w:r w:rsidRPr="000A779A">
        <w:t>other incentive schemes, and, where relevant the</w:t>
      </w:r>
      <w:r w:rsidRPr="000A779A">
        <w:rPr>
          <w:rStyle w:val="AERtextitalic"/>
        </w:rPr>
        <w:t xml:space="preserve"> </w:t>
      </w:r>
      <w:r w:rsidRPr="000A779A">
        <w:rPr>
          <w:rStyle w:val="AERbody"/>
        </w:rPr>
        <w:t>opex objectives,</w:t>
      </w:r>
      <w:r w:rsidRPr="000A779A">
        <w:rPr>
          <w:rStyle w:val="AERtextitalic"/>
        </w:rPr>
        <w:t xml:space="preserve"> </w:t>
      </w:r>
      <w:r w:rsidRPr="000A779A">
        <w:t>as they apply to the particular service provider, and the circumstances of the service provider.</w:t>
      </w:r>
    </w:p>
    <w:p w:rsidR="000B321F" w:rsidRDefault="000A779A" w:rsidP="000A779A">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0A779A" w:rsidRDefault="000A779A" w:rsidP="000A779A">
      <w:pPr>
        <w:pStyle w:val="Heading2"/>
      </w:pPr>
      <w:bookmarkStart w:id="17" w:name="_Toc456602651"/>
      <w:r>
        <w:t>Inter-relationships</w:t>
      </w:r>
      <w:bookmarkEnd w:id="17"/>
    </w:p>
    <w:p w:rsidR="000A779A" w:rsidRDefault="000A779A" w:rsidP="000A779A">
      <w:pPr>
        <w:numPr>
          <w:ilvl w:val="0"/>
          <w:numId w:val="25"/>
        </w:numPr>
      </w:pPr>
      <w:r w:rsidRPr="000A779A">
        <w:t xml:space="preserve">The CESS relates to the incentives </w:t>
      </w:r>
      <w:r>
        <w:t>AusNet Services'</w:t>
      </w:r>
      <w:r w:rsidRPr="000A779A">
        <w:t xml:space="preserve"> faces to incur efficient opex, conduct demand management and maintain or improve service levels.</w:t>
      </w:r>
      <w:r w:rsidRPr="000A779A">
        <w:rPr>
          <w:rStyle w:val="FootnoteReference"/>
        </w:rPr>
        <w:footnoteReference w:id="12"/>
      </w:r>
      <w:r w:rsidRPr="000A779A">
        <w:t xml:space="preserve"> We aim to incentivise network service providers to make efficient decisions on when and what type of expenditure to incur and to balance expenditure efficiencies with service quality. We discuss these interrelationships where relevant in our capex attachment. </w:t>
      </w:r>
    </w:p>
    <w:p w:rsidR="00F9103F" w:rsidRPr="000A779A" w:rsidRDefault="00F9103F" w:rsidP="000A779A">
      <w:pPr>
        <w:numPr>
          <w:ilvl w:val="0"/>
          <w:numId w:val="25"/>
        </w:numPr>
      </w:pPr>
    </w:p>
    <w:p w:rsidR="00DE563D" w:rsidRDefault="00DE563D" w:rsidP="001754EE">
      <w:pPr>
        <w:pStyle w:val="Heading2"/>
      </w:pPr>
      <w:bookmarkStart w:id="18" w:name="_Toc403144140"/>
      <w:bookmarkStart w:id="19" w:name="_Toc456602652"/>
      <w:r w:rsidRPr="001754EE">
        <w:lastRenderedPageBreak/>
        <w:t>Reasons</w:t>
      </w:r>
      <w:r>
        <w:t xml:space="preserve"> for </w:t>
      </w:r>
      <w:r w:rsidR="000B321F">
        <w:t>draft</w:t>
      </w:r>
      <w:r>
        <w:t xml:space="preserve"> decision</w:t>
      </w:r>
      <w:bookmarkEnd w:id="18"/>
      <w:bookmarkEnd w:id="19"/>
    </w:p>
    <w:p w:rsidR="000A779A" w:rsidRPr="000A779A" w:rsidRDefault="000A779A" w:rsidP="000A779A">
      <w:pPr>
        <w:numPr>
          <w:ilvl w:val="0"/>
          <w:numId w:val="25"/>
        </w:numPr>
      </w:pPr>
      <w:r w:rsidRPr="000A779A">
        <w:t xml:space="preserve">We are satisfied with </w:t>
      </w:r>
      <w:r w:rsidR="00922610">
        <w:t>AusNet Services'</w:t>
      </w:r>
      <w:r w:rsidRPr="000A779A">
        <w:t xml:space="preserve"> proposal to apply the CESS as set out in the capex incentives guideline. This includes the exclusion provided for under the CESS of capex the service provider incurs in delivering a priority project approved under the network capability component of the transmission STPIS.</w:t>
      </w:r>
    </w:p>
    <w:p w:rsidR="00934CD5" w:rsidRPr="000A779A" w:rsidRDefault="00934CD5" w:rsidP="00934CD5">
      <w:pPr>
        <w:numPr>
          <w:ilvl w:val="0"/>
          <w:numId w:val="25"/>
        </w:numPr>
      </w:pPr>
      <w:r>
        <w:t xml:space="preserve">The reasons for our preference for a CESS are set out in our </w:t>
      </w:r>
      <w:r w:rsidR="00922610">
        <w:t>capital expenditure incentive guideline.</w:t>
      </w:r>
      <w:r w:rsidR="00922610">
        <w:rPr>
          <w:rStyle w:val="FootnoteReference"/>
        </w:rPr>
        <w:footnoteReference w:id="13"/>
      </w:r>
      <w:r w:rsidR="00922610">
        <w:t xml:space="preserve"> In developing the g</w:t>
      </w:r>
      <w:r>
        <w:t>uideline we took into account the capex incentive objective, capex criteria, capex objectives and the NEO.</w:t>
      </w:r>
    </w:p>
    <w:sectPr w:rsidR="00934CD5" w:rsidRPr="000A779A"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3D" w:rsidRPr="00290C63" w:rsidRDefault="00B9733D" w:rsidP="00290C63">
      <w:r>
        <w:separator/>
      </w:r>
    </w:p>
    <w:p w:rsidR="00B9733D" w:rsidRDefault="00B9733D"/>
  </w:endnote>
  <w:endnote w:type="continuationSeparator" w:id="0">
    <w:p w:rsidR="00B9733D" w:rsidRPr="00290C63" w:rsidRDefault="00B9733D" w:rsidP="00290C63">
      <w:r>
        <w:continuationSeparator/>
      </w:r>
    </w:p>
    <w:p w:rsidR="00B9733D" w:rsidRDefault="00B97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D" w:rsidRPr="00290C63" w:rsidRDefault="00B9733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9733D" w:rsidRDefault="00B9733D"/>
  <w:p w:rsidR="00B9733D" w:rsidRDefault="00B9733D"/>
  <w:p w:rsidR="00B9733D" w:rsidRDefault="00B9733D"/>
  <w:p w:rsidR="00B9733D" w:rsidRDefault="00B9733D"/>
  <w:p w:rsidR="00B9733D" w:rsidRDefault="00B9733D"/>
  <w:p w:rsidR="00B9733D" w:rsidRDefault="00B9733D"/>
  <w:p w:rsidR="00B9733D" w:rsidRDefault="00B973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B9733D" w:rsidRDefault="00B9733D">
        <w:pPr>
          <w:pStyle w:val="Footer"/>
        </w:pPr>
        <w:r>
          <w:fldChar w:fldCharType="begin"/>
        </w:r>
        <w:r>
          <w:instrText xml:space="preserve"> PAGE   \* MERGEFORMAT </w:instrText>
        </w:r>
        <w:r>
          <w:fldChar w:fldCharType="separate"/>
        </w:r>
        <w:r w:rsidR="00DD7E3B">
          <w:rPr>
            <w:noProof/>
          </w:rPr>
          <w:t>10-1</w:t>
        </w:r>
        <w:r>
          <w:rPr>
            <w:noProof/>
          </w:rPr>
          <w:fldChar w:fldCharType="end"/>
        </w:r>
        <w:r>
          <w:rPr>
            <w:noProof/>
          </w:rPr>
          <w:t xml:space="preserve">          </w:t>
        </w:r>
        <w:r w:rsidRPr="00FD5E78">
          <w:rPr>
            <w:noProof/>
            <w:sz w:val="16"/>
            <w:szCs w:val="16"/>
          </w:rPr>
          <w:t>Attachment 1</w:t>
        </w:r>
        <w:r w:rsidR="008157EF">
          <w:rPr>
            <w:noProof/>
            <w:sz w:val="16"/>
            <w:szCs w:val="16"/>
          </w:rPr>
          <w:t>0</w:t>
        </w:r>
        <w:r w:rsidRPr="00FD5E78">
          <w:rPr>
            <w:noProof/>
            <w:sz w:val="16"/>
            <w:szCs w:val="16"/>
          </w:rPr>
          <w:t xml:space="preserve"> </w:t>
        </w:r>
        <w:r w:rsidRPr="00FD5E78">
          <w:rPr>
            <w:rFonts w:cs="Gautami"/>
            <w:noProof/>
            <w:sz w:val="16"/>
            <w:szCs w:val="16"/>
          </w:rPr>
          <w:t xml:space="preserve">– </w:t>
        </w:r>
        <w:r w:rsidR="008157EF">
          <w:rPr>
            <w:sz w:val="16"/>
            <w:szCs w:val="16"/>
          </w:rPr>
          <w:t>Capital expenditure sharing scheme</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sidR="000B321F">
          <w:rPr>
            <w:rFonts w:cs="Gautami"/>
            <w:noProof/>
            <w:sz w:val="16"/>
            <w:szCs w:val="16"/>
          </w:rPr>
          <w:t>7</w:t>
        </w:r>
        <w:r w:rsidRPr="00FD5E78">
          <w:rPr>
            <w:rFonts w:cs="Gautami"/>
            <w:noProof/>
            <w:sz w:val="16"/>
            <w:szCs w:val="16"/>
          </w:rPr>
          <w:t>–</w:t>
        </w:r>
        <w:r w:rsidR="000B321F">
          <w:rPr>
            <w:rFonts w:cs="Gautami"/>
            <w:noProof/>
            <w:sz w:val="16"/>
            <w:szCs w:val="16"/>
          </w:rPr>
          <w:t>22</w:t>
        </w:r>
      </w:p>
    </w:sdtContent>
  </w:sdt>
  <w:p w:rsidR="00B9733D" w:rsidRDefault="00B973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D" w:rsidRPr="00290C63" w:rsidRDefault="00B9733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9733D" w:rsidRDefault="00B9733D">
    <w:pPr>
      <w:pStyle w:val="Footer"/>
    </w:pPr>
  </w:p>
  <w:p w:rsidR="00B9733D" w:rsidRDefault="00B9733D"/>
  <w:p w:rsidR="00B9733D" w:rsidRDefault="00B9733D"/>
  <w:p w:rsidR="00B9733D" w:rsidRDefault="00B9733D"/>
  <w:p w:rsidR="00B9733D" w:rsidRDefault="00B9733D"/>
  <w:p w:rsidR="00B9733D" w:rsidRDefault="00B9733D"/>
  <w:p w:rsidR="00B9733D" w:rsidRDefault="00B9733D"/>
  <w:p w:rsidR="00B9733D" w:rsidRDefault="00B97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3D" w:rsidRPr="00290C63" w:rsidRDefault="00B9733D" w:rsidP="00290C63">
      <w:r>
        <w:separator/>
      </w:r>
    </w:p>
    <w:p w:rsidR="00B9733D" w:rsidRDefault="00B9733D"/>
  </w:footnote>
  <w:footnote w:type="continuationSeparator" w:id="0">
    <w:p w:rsidR="00B9733D" w:rsidRPr="00290C63" w:rsidRDefault="00B9733D" w:rsidP="00290C63">
      <w:r>
        <w:continuationSeparator/>
      </w:r>
    </w:p>
    <w:p w:rsidR="00B9733D" w:rsidRDefault="00B9733D"/>
  </w:footnote>
  <w:footnote w:id="1">
    <w:p w:rsidR="000A779A" w:rsidRDefault="000A779A" w:rsidP="000A779A">
      <w:pPr>
        <w:pStyle w:val="FootnoteText"/>
      </w:pPr>
      <w:r>
        <w:rPr>
          <w:rStyle w:val="FootnoteReference"/>
        </w:rPr>
        <w:footnoteRef/>
      </w:r>
      <w:r>
        <w:t xml:space="preserve"> </w:t>
      </w:r>
      <w:r>
        <w:tab/>
      </w:r>
      <w:r w:rsidRPr="00F007E7">
        <w:t xml:space="preserve">AER, </w:t>
      </w:r>
      <w:r w:rsidRPr="004A7AE9">
        <w:rPr>
          <w:rStyle w:val="AERtextitalic"/>
        </w:rPr>
        <w:t>Capital Expenditure Incentive Guideline for Electricity Network Service Providers</w:t>
      </w:r>
      <w:r w:rsidRPr="00F007E7">
        <w:t>, November 2013, pp. 5–9. (AER,</w:t>
      </w:r>
      <w:r>
        <w:t xml:space="preserve"> </w:t>
      </w:r>
      <w:r w:rsidRPr="004A7AE9">
        <w:rPr>
          <w:rStyle w:val="AERtextitalic"/>
        </w:rPr>
        <w:t>Capex incentive guideline</w:t>
      </w:r>
      <w:r w:rsidRPr="00F007E7">
        <w:t>, November 2013).</w:t>
      </w:r>
    </w:p>
  </w:footnote>
  <w:footnote w:id="2">
    <w:p w:rsidR="000A779A" w:rsidRDefault="000A779A" w:rsidP="000A779A">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of the overspend.</w:t>
      </w:r>
    </w:p>
  </w:footnote>
  <w:footnote w:id="3">
    <w:p w:rsidR="000A779A" w:rsidRDefault="000A779A" w:rsidP="000A779A">
      <w:pPr>
        <w:pStyle w:val="FootnoteText"/>
      </w:pPr>
      <w:r>
        <w:rPr>
          <w:rStyle w:val="FootnoteReference"/>
        </w:rPr>
        <w:footnoteRef/>
      </w:r>
      <w:r>
        <w:t xml:space="preserve"> </w:t>
      </w:r>
      <w:r>
        <w:tab/>
        <w:t xml:space="preserve">The capex incentive guideline outlines how we may exclude capex from the RAB. AER, </w:t>
      </w:r>
      <w:r>
        <w:rPr>
          <w:rStyle w:val="AERtextitalic"/>
        </w:rPr>
        <w:t>Capex incentive guideline</w:t>
      </w:r>
      <w:r>
        <w:t>, November 2013, pp. 13</w:t>
      </w:r>
      <w:r w:rsidRPr="0095438A">
        <w:t>–</w:t>
      </w:r>
      <w:r>
        <w:t>20.</w:t>
      </w:r>
    </w:p>
  </w:footnote>
  <w:footnote w:id="4">
    <w:p w:rsidR="000A779A" w:rsidRDefault="000A779A" w:rsidP="000A779A">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5">
    <w:p w:rsidR="000A779A" w:rsidRDefault="000A779A" w:rsidP="000A779A">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6">
    <w:p w:rsidR="000A779A" w:rsidRDefault="000A779A" w:rsidP="000A779A">
      <w:pPr>
        <w:pStyle w:val="FootnoteText"/>
      </w:pPr>
      <w:r>
        <w:rPr>
          <w:rStyle w:val="FootnoteReference"/>
        </w:rPr>
        <w:footnoteRef/>
      </w:r>
      <w:r>
        <w:t xml:space="preserve"> </w:t>
      </w:r>
      <w:r>
        <w:tab/>
        <w:t xml:space="preserve">AER, </w:t>
      </w:r>
      <w:r w:rsidRPr="00CD7A30">
        <w:rPr>
          <w:rStyle w:val="AERtextitalic"/>
        </w:rPr>
        <w:t>Framework and approach paper</w:t>
      </w:r>
      <w:r w:rsidR="004A6DDA">
        <w:rPr>
          <w:rStyle w:val="AERtextitalic"/>
        </w:rPr>
        <w:t>, AusNet Services</w:t>
      </w:r>
      <w:r>
        <w:t xml:space="preserve">, </w:t>
      </w:r>
      <w:r w:rsidR="004A6DDA">
        <w:t>April 2015, p. 23</w:t>
      </w:r>
      <w:r>
        <w:t>.</w:t>
      </w:r>
    </w:p>
  </w:footnote>
  <w:footnote w:id="7">
    <w:p w:rsidR="004A6DDA" w:rsidRDefault="004A6DDA">
      <w:pPr>
        <w:pStyle w:val="FootnoteText"/>
      </w:pPr>
      <w:r>
        <w:rPr>
          <w:rStyle w:val="FootnoteReference"/>
        </w:rPr>
        <w:footnoteRef/>
      </w:r>
      <w:r>
        <w:t xml:space="preserve"> </w:t>
      </w:r>
      <w:r>
        <w:tab/>
        <w:t xml:space="preserve">AusNet Services, </w:t>
      </w:r>
      <w:r w:rsidRPr="004A6DDA">
        <w:rPr>
          <w:rStyle w:val="AERtextitalic"/>
        </w:rPr>
        <w:t>Regulatory proposal</w:t>
      </w:r>
      <w:r>
        <w:t>, October 2015, p.170.</w:t>
      </w:r>
    </w:p>
  </w:footnote>
  <w:footnote w:id="8">
    <w:p w:rsidR="000A779A" w:rsidRDefault="000A779A" w:rsidP="000A779A">
      <w:pPr>
        <w:pStyle w:val="FootnoteText"/>
      </w:pPr>
      <w:r>
        <w:rPr>
          <w:rStyle w:val="FootnoteReference"/>
        </w:rPr>
        <w:footnoteRef/>
      </w:r>
      <w:r>
        <w:t xml:space="preserve"> </w:t>
      </w:r>
      <w:r>
        <w:tab/>
        <w:t>NER, cl. 6A.6.5A.</w:t>
      </w:r>
    </w:p>
  </w:footnote>
  <w:footnote w:id="9">
    <w:p w:rsidR="000A779A" w:rsidRDefault="000A779A" w:rsidP="000A779A">
      <w:pPr>
        <w:pStyle w:val="FootnoteText"/>
      </w:pPr>
      <w:r>
        <w:rPr>
          <w:rStyle w:val="FootnoteReference"/>
        </w:rPr>
        <w:footnoteRef/>
      </w:r>
      <w:r>
        <w:t xml:space="preserve"> </w:t>
      </w:r>
      <w:r>
        <w:tab/>
        <w:t xml:space="preserve">NER, cl. </w:t>
      </w:r>
      <w:r w:rsidRPr="00BD64DE">
        <w:t>6</w:t>
      </w:r>
      <w:r>
        <w:t>A.5</w:t>
      </w:r>
      <w:r w:rsidRPr="00BD64DE">
        <w:t>A(a)</w:t>
      </w:r>
      <w:r>
        <w:t xml:space="preserve">; the capex criteria are set out in cl. </w:t>
      </w:r>
      <w:r w:rsidRPr="00BD64DE">
        <w:t>6</w:t>
      </w:r>
      <w:r>
        <w:t>A.6.7(c)(1)-(3) of the NER.</w:t>
      </w:r>
    </w:p>
  </w:footnote>
  <w:footnote w:id="10">
    <w:p w:rsidR="000A779A" w:rsidRDefault="000A779A" w:rsidP="000A779A">
      <w:pPr>
        <w:pStyle w:val="FootnoteText"/>
      </w:pPr>
      <w:r>
        <w:rPr>
          <w:rStyle w:val="FootnoteReference"/>
        </w:rPr>
        <w:footnoteRef/>
      </w:r>
      <w:r>
        <w:t xml:space="preserve"> </w:t>
      </w:r>
      <w:r>
        <w:tab/>
        <w:t>NER, cl. 6A.6.5A(c).</w:t>
      </w:r>
    </w:p>
  </w:footnote>
  <w:footnote w:id="11">
    <w:p w:rsidR="000A779A" w:rsidRDefault="000A779A" w:rsidP="000A779A">
      <w:pPr>
        <w:pStyle w:val="FootnoteText"/>
      </w:pPr>
      <w:r>
        <w:rPr>
          <w:rStyle w:val="FootnoteReference"/>
        </w:rPr>
        <w:footnoteRef/>
      </w:r>
      <w:r>
        <w:t xml:space="preserve"> </w:t>
      </w:r>
      <w:r>
        <w:tab/>
        <w:t>NER, cl. 6A.6.7(a).</w:t>
      </w:r>
    </w:p>
  </w:footnote>
  <w:footnote w:id="12">
    <w:p w:rsidR="000A779A" w:rsidRDefault="000A779A" w:rsidP="000A779A">
      <w:pPr>
        <w:pStyle w:val="FootnoteText"/>
      </w:pPr>
      <w:r>
        <w:rPr>
          <w:rStyle w:val="FootnoteReference"/>
        </w:rPr>
        <w:footnoteRef/>
      </w:r>
      <w:r>
        <w:t xml:space="preserve"> </w:t>
      </w:r>
      <w:r>
        <w:tab/>
        <w:t xml:space="preserve">Related schemes are the efficiency benefit sharing scheme (EBSS) for opex, and the service target performance incentive scheme (STPIS) for service levels. </w:t>
      </w:r>
    </w:p>
  </w:footnote>
  <w:footnote w:id="13">
    <w:p w:rsidR="00922610" w:rsidRDefault="00922610">
      <w:pPr>
        <w:pStyle w:val="FootnoteText"/>
      </w:pPr>
      <w:r>
        <w:rPr>
          <w:rStyle w:val="FootnoteReference"/>
        </w:rPr>
        <w:footnoteRef/>
      </w:r>
      <w:r>
        <w:t xml:space="preserve"> </w:t>
      </w:r>
      <w:r>
        <w:tab/>
        <w:t xml:space="preserve">AER, </w:t>
      </w:r>
      <w:r>
        <w:rPr>
          <w:rStyle w:val="AERtextitalic"/>
        </w:rPr>
        <w:t>Capex incentive guideline</w:t>
      </w:r>
      <w:r>
        <w:t>, November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22" w:rsidRDefault="00790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22" w:rsidRDefault="00790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22" w:rsidRDefault="00790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340AF524"/>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RFmDGvcmymX+RMcjPvMxsQTxXjDFM4bmJ088BW0HI8=" w:saltValue="EE6n70Dsm8jBY9tX5Cx95g==" w:algorithmName="SHA-256"/>
  <w:defaultTabStop w:val="3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10 - capital expenditure sharing scheme (AER2015-004432).docx"/>
  </w:docVars>
  <w:rsids>
    <w:rsidRoot w:val="00961A4A"/>
    <w:rsid w:val="000035FC"/>
    <w:rsid w:val="00005540"/>
    <w:rsid w:val="00021202"/>
    <w:rsid w:val="00021C2B"/>
    <w:rsid w:val="0002517F"/>
    <w:rsid w:val="0003578C"/>
    <w:rsid w:val="00063247"/>
    <w:rsid w:val="00070F9F"/>
    <w:rsid w:val="0007137B"/>
    <w:rsid w:val="00077389"/>
    <w:rsid w:val="00085663"/>
    <w:rsid w:val="00085EBF"/>
    <w:rsid w:val="00086871"/>
    <w:rsid w:val="000A3020"/>
    <w:rsid w:val="000A6C7B"/>
    <w:rsid w:val="000A779A"/>
    <w:rsid w:val="000B321F"/>
    <w:rsid w:val="000C2B40"/>
    <w:rsid w:val="000D122C"/>
    <w:rsid w:val="000E1819"/>
    <w:rsid w:val="000E4821"/>
    <w:rsid w:val="000E6C72"/>
    <w:rsid w:val="00116EB2"/>
    <w:rsid w:val="001203C4"/>
    <w:rsid w:val="00124609"/>
    <w:rsid w:val="00126A4C"/>
    <w:rsid w:val="0014573B"/>
    <w:rsid w:val="00155FFD"/>
    <w:rsid w:val="001573E4"/>
    <w:rsid w:val="00160756"/>
    <w:rsid w:val="0017232E"/>
    <w:rsid w:val="00174102"/>
    <w:rsid w:val="001754EE"/>
    <w:rsid w:val="00180157"/>
    <w:rsid w:val="00185C55"/>
    <w:rsid w:val="00185CB9"/>
    <w:rsid w:val="00186F77"/>
    <w:rsid w:val="001921F2"/>
    <w:rsid w:val="001926A4"/>
    <w:rsid w:val="00192AD5"/>
    <w:rsid w:val="001B45A0"/>
    <w:rsid w:val="001D055E"/>
    <w:rsid w:val="001F492E"/>
    <w:rsid w:val="001F6DA3"/>
    <w:rsid w:val="002010BC"/>
    <w:rsid w:val="002016E7"/>
    <w:rsid w:val="00202E03"/>
    <w:rsid w:val="0020492C"/>
    <w:rsid w:val="00224DB9"/>
    <w:rsid w:val="00233775"/>
    <w:rsid w:val="00251745"/>
    <w:rsid w:val="002540AD"/>
    <w:rsid w:val="00263AC0"/>
    <w:rsid w:val="00264264"/>
    <w:rsid w:val="0026772D"/>
    <w:rsid w:val="00286874"/>
    <w:rsid w:val="002876B3"/>
    <w:rsid w:val="00290C63"/>
    <w:rsid w:val="00296B65"/>
    <w:rsid w:val="00297C2E"/>
    <w:rsid w:val="002A0C23"/>
    <w:rsid w:val="002A7DEF"/>
    <w:rsid w:val="002C233C"/>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903F6"/>
    <w:rsid w:val="003B484F"/>
    <w:rsid w:val="003B7FBA"/>
    <w:rsid w:val="003C303F"/>
    <w:rsid w:val="003C3A9C"/>
    <w:rsid w:val="003F174D"/>
    <w:rsid w:val="00400514"/>
    <w:rsid w:val="00415F31"/>
    <w:rsid w:val="00423A77"/>
    <w:rsid w:val="0045777E"/>
    <w:rsid w:val="00480B4B"/>
    <w:rsid w:val="00485DC4"/>
    <w:rsid w:val="00491349"/>
    <w:rsid w:val="00492389"/>
    <w:rsid w:val="004A43D1"/>
    <w:rsid w:val="004A6DDA"/>
    <w:rsid w:val="004B4412"/>
    <w:rsid w:val="004C348C"/>
    <w:rsid w:val="004D4888"/>
    <w:rsid w:val="004D55BA"/>
    <w:rsid w:val="004E22EC"/>
    <w:rsid w:val="004F6A0E"/>
    <w:rsid w:val="00530128"/>
    <w:rsid w:val="00532467"/>
    <w:rsid w:val="00540418"/>
    <w:rsid w:val="00544C12"/>
    <w:rsid w:val="00553342"/>
    <w:rsid w:val="00564A4D"/>
    <w:rsid w:val="00567BA5"/>
    <w:rsid w:val="00571B35"/>
    <w:rsid w:val="00571D57"/>
    <w:rsid w:val="00577A09"/>
    <w:rsid w:val="005829C2"/>
    <w:rsid w:val="00584D8F"/>
    <w:rsid w:val="005A404D"/>
    <w:rsid w:val="005B1E3C"/>
    <w:rsid w:val="005B704A"/>
    <w:rsid w:val="005C26CC"/>
    <w:rsid w:val="005D7BA2"/>
    <w:rsid w:val="005E1C36"/>
    <w:rsid w:val="005E36C2"/>
    <w:rsid w:val="005F3CA6"/>
    <w:rsid w:val="00612F4F"/>
    <w:rsid w:val="00615C6B"/>
    <w:rsid w:val="00621DCE"/>
    <w:rsid w:val="00632D6D"/>
    <w:rsid w:val="00642C3E"/>
    <w:rsid w:val="006537AA"/>
    <w:rsid w:val="0066104A"/>
    <w:rsid w:val="00663DAD"/>
    <w:rsid w:val="00675E20"/>
    <w:rsid w:val="00676679"/>
    <w:rsid w:val="00683C89"/>
    <w:rsid w:val="006A08A8"/>
    <w:rsid w:val="006B2395"/>
    <w:rsid w:val="006B4CF9"/>
    <w:rsid w:val="006B7AC8"/>
    <w:rsid w:val="006C1736"/>
    <w:rsid w:val="006D5008"/>
    <w:rsid w:val="006D550F"/>
    <w:rsid w:val="00701CAB"/>
    <w:rsid w:val="00707563"/>
    <w:rsid w:val="00713956"/>
    <w:rsid w:val="0072348C"/>
    <w:rsid w:val="00724A37"/>
    <w:rsid w:val="007303C3"/>
    <w:rsid w:val="00731756"/>
    <w:rsid w:val="007429BE"/>
    <w:rsid w:val="00743223"/>
    <w:rsid w:val="00746513"/>
    <w:rsid w:val="00746E01"/>
    <w:rsid w:val="00757364"/>
    <w:rsid w:val="00757BDF"/>
    <w:rsid w:val="007609D0"/>
    <w:rsid w:val="00763E5D"/>
    <w:rsid w:val="00767740"/>
    <w:rsid w:val="00777EE6"/>
    <w:rsid w:val="00782EEA"/>
    <w:rsid w:val="00790822"/>
    <w:rsid w:val="00796270"/>
    <w:rsid w:val="007B186E"/>
    <w:rsid w:val="007B2C72"/>
    <w:rsid w:val="007C1C53"/>
    <w:rsid w:val="007C74BB"/>
    <w:rsid w:val="007D456E"/>
    <w:rsid w:val="007E4904"/>
    <w:rsid w:val="007E4CB5"/>
    <w:rsid w:val="007F066B"/>
    <w:rsid w:val="00800A30"/>
    <w:rsid w:val="008033C4"/>
    <w:rsid w:val="00806C88"/>
    <w:rsid w:val="0081034E"/>
    <w:rsid w:val="008157EF"/>
    <w:rsid w:val="008344F6"/>
    <w:rsid w:val="0083510F"/>
    <w:rsid w:val="00842AFA"/>
    <w:rsid w:val="00851209"/>
    <w:rsid w:val="008837AC"/>
    <w:rsid w:val="008A587D"/>
    <w:rsid w:val="008B35CD"/>
    <w:rsid w:val="008B5FCC"/>
    <w:rsid w:val="008C5486"/>
    <w:rsid w:val="008D1661"/>
    <w:rsid w:val="008E7031"/>
    <w:rsid w:val="008E77DE"/>
    <w:rsid w:val="008F07A3"/>
    <w:rsid w:val="009001B6"/>
    <w:rsid w:val="00900E1B"/>
    <w:rsid w:val="0090431C"/>
    <w:rsid w:val="00922610"/>
    <w:rsid w:val="009233EE"/>
    <w:rsid w:val="00934CD5"/>
    <w:rsid w:val="009460AA"/>
    <w:rsid w:val="00951978"/>
    <w:rsid w:val="00961A4A"/>
    <w:rsid w:val="009661DE"/>
    <w:rsid w:val="00983C25"/>
    <w:rsid w:val="009856B7"/>
    <w:rsid w:val="00985C86"/>
    <w:rsid w:val="00996349"/>
    <w:rsid w:val="00996A8E"/>
    <w:rsid w:val="009A5FC3"/>
    <w:rsid w:val="009A7D9D"/>
    <w:rsid w:val="009B090B"/>
    <w:rsid w:val="009B74B0"/>
    <w:rsid w:val="009C0D47"/>
    <w:rsid w:val="009D3906"/>
    <w:rsid w:val="009D6B46"/>
    <w:rsid w:val="009F4940"/>
    <w:rsid w:val="009F5BA1"/>
    <w:rsid w:val="00A02A88"/>
    <w:rsid w:val="00A0562E"/>
    <w:rsid w:val="00A0726D"/>
    <w:rsid w:val="00A32FBB"/>
    <w:rsid w:val="00A344D3"/>
    <w:rsid w:val="00A428EE"/>
    <w:rsid w:val="00A4478A"/>
    <w:rsid w:val="00A44852"/>
    <w:rsid w:val="00A57D04"/>
    <w:rsid w:val="00A60A26"/>
    <w:rsid w:val="00A61598"/>
    <w:rsid w:val="00A63EDD"/>
    <w:rsid w:val="00A704B2"/>
    <w:rsid w:val="00A84A99"/>
    <w:rsid w:val="00A84F46"/>
    <w:rsid w:val="00A871F4"/>
    <w:rsid w:val="00AA3B8E"/>
    <w:rsid w:val="00AB4D90"/>
    <w:rsid w:val="00AC0C43"/>
    <w:rsid w:val="00AC1B2C"/>
    <w:rsid w:val="00AC3264"/>
    <w:rsid w:val="00AC4546"/>
    <w:rsid w:val="00AE1BF1"/>
    <w:rsid w:val="00AF0DD2"/>
    <w:rsid w:val="00B06C2F"/>
    <w:rsid w:val="00B13048"/>
    <w:rsid w:val="00B1716D"/>
    <w:rsid w:val="00B17A1D"/>
    <w:rsid w:val="00B207A0"/>
    <w:rsid w:val="00B217BD"/>
    <w:rsid w:val="00B2303F"/>
    <w:rsid w:val="00B514DD"/>
    <w:rsid w:val="00B52AF0"/>
    <w:rsid w:val="00B561BD"/>
    <w:rsid w:val="00B56E03"/>
    <w:rsid w:val="00B8080B"/>
    <w:rsid w:val="00B82223"/>
    <w:rsid w:val="00B87BA5"/>
    <w:rsid w:val="00B87C39"/>
    <w:rsid w:val="00B9562D"/>
    <w:rsid w:val="00B9733D"/>
    <w:rsid w:val="00BA4665"/>
    <w:rsid w:val="00BB2FB2"/>
    <w:rsid w:val="00BB3304"/>
    <w:rsid w:val="00BD3446"/>
    <w:rsid w:val="00BD5D87"/>
    <w:rsid w:val="00BE1F1B"/>
    <w:rsid w:val="00BE47B5"/>
    <w:rsid w:val="00C14EB2"/>
    <w:rsid w:val="00C25FA6"/>
    <w:rsid w:val="00C26737"/>
    <w:rsid w:val="00C420BC"/>
    <w:rsid w:val="00C538A9"/>
    <w:rsid w:val="00C53B5A"/>
    <w:rsid w:val="00C54F5A"/>
    <w:rsid w:val="00C569B4"/>
    <w:rsid w:val="00C60823"/>
    <w:rsid w:val="00C64773"/>
    <w:rsid w:val="00C67A92"/>
    <w:rsid w:val="00C81758"/>
    <w:rsid w:val="00C84560"/>
    <w:rsid w:val="00C86679"/>
    <w:rsid w:val="00C8739E"/>
    <w:rsid w:val="00CA489E"/>
    <w:rsid w:val="00CA67ED"/>
    <w:rsid w:val="00CB0279"/>
    <w:rsid w:val="00CB666B"/>
    <w:rsid w:val="00CC7F1D"/>
    <w:rsid w:val="00CE484B"/>
    <w:rsid w:val="00CF6177"/>
    <w:rsid w:val="00D006AE"/>
    <w:rsid w:val="00D01CF0"/>
    <w:rsid w:val="00D0442A"/>
    <w:rsid w:val="00D1563D"/>
    <w:rsid w:val="00D17061"/>
    <w:rsid w:val="00D27530"/>
    <w:rsid w:val="00D325B8"/>
    <w:rsid w:val="00D61388"/>
    <w:rsid w:val="00D61A54"/>
    <w:rsid w:val="00D64DEA"/>
    <w:rsid w:val="00D7168E"/>
    <w:rsid w:val="00D71E57"/>
    <w:rsid w:val="00D80893"/>
    <w:rsid w:val="00D84854"/>
    <w:rsid w:val="00D92CF1"/>
    <w:rsid w:val="00D92D38"/>
    <w:rsid w:val="00D950F5"/>
    <w:rsid w:val="00DA4752"/>
    <w:rsid w:val="00DA61F3"/>
    <w:rsid w:val="00DA6A65"/>
    <w:rsid w:val="00DB0F93"/>
    <w:rsid w:val="00DB1A67"/>
    <w:rsid w:val="00DB48C6"/>
    <w:rsid w:val="00DB5074"/>
    <w:rsid w:val="00DC5D3C"/>
    <w:rsid w:val="00DC7981"/>
    <w:rsid w:val="00DD03C7"/>
    <w:rsid w:val="00DD7E3B"/>
    <w:rsid w:val="00DE1093"/>
    <w:rsid w:val="00DE3695"/>
    <w:rsid w:val="00DE4EFA"/>
    <w:rsid w:val="00DE5520"/>
    <w:rsid w:val="00DE563D"/>
    <w:rsid w:val="00E04818"/>
    <w:rsid w:val="00E06442"/>
    <w:rsid w:val="00E23993"/>
    <w:rsid w:val="00E25B8C"/>
    <w:rsid w:val="00E43C30"/>
    <w:rsid w:val="00E65C85"/>
    <w:rsid w:val="00E66199"/>
    <w:rsid w:val="00E755EC"/>
    <w:rsid w:val="00E7624D"/>
    <w:rsid w:val="00E97452"/>
    <w:rsid w:val="00EA3D42"/>
    <w:rsid w:val="00EA6B1B"/>
    <w:rsid w:val="00EC04F1"/>
    <w:rsid w:val="00ED2A57"/>
    <w:rsid w:val="00ED7323"/>
    <w:rsid w:val="00EE28F3"/>
    <w:rsid w:val="00EE50D1"/>
    <w:rsid w:val="00EF5110"/>
    <w:rsid w:val="00EF6D51"/>
    <w:rsid w:val="00F0689C"/>
    <w:rsid w:val="00F10411"/>
    <w:rsid w:val="00F15882"/>
    <w:rsid w:val="00F171E0"/>
    <w:rsid w:val="00F20BD3"/>
    <w:rsid w:val="00F33D1C"/>
    <w:rsid w:val="00F373A5"/>
    <w:rsid w:val="00F47559"/>
    <w:rsid w:val="00F64C7B"/>
    <w:rsid w:val="00F676DD"/>
    <w:rsid w:val="00F73143"/>
    <w:rsid w:val="00F75A26"/>
    <w:rsid w:val="00F76706"/>
    <w:rsid w:val="00F83FAD"/>
    <w:rsid w:val="00F9103F"/>
    <w:rsid w:val="00F952A0"/>
    <w:rsid w:val="00FA3C7F"/>
    <w:rsid w:val="00FB60FE"/>
    <w:rsid w:val="00FB74E2"/>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115580-7EEE-4636-BFE1-A96941A4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3F0E8F96</Template>
  <TotalTime>0</TotalTime>
  <Pages>9</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AusNet Services 2017-22 - Draft decision - Attachment 10 - Capital expenditure sharing scheme</vt:lpstr>
    </vt:vector>
  </TitlesOfParts>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10 - Capital expenditure sharing scheme</dc:title>
  <dc:creator/>
  <cp:lastModifiedBy/>
  <cp:revision>1</cp:revision>
  <dcterms:created xsi:type="dcterms:W3CDTF">2016-07-18T00:56:00Z</dcterms:created>
  <dcterms:modified xsi:type="dcterms:W3CDTF">2016-07-18T00:56:00Z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\\cdchnas-evs02\home$\mleco\ausnet services 2017-22 - draft decision - attachment 10 - capital expenditure sharing scheme (AER2015-004432).docx</vt:lpwstr>
  </property>
</Properties>
</file>