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120A8" w:rsidP="00290C63">
          <w:r w:rsidRPr="00DB723B">
            <w:rPr>
              <w:noProof/>
              <w:lang w:eastAsia="en-AU"/>
            </w:rPr>
            <w:drawing>
              <wp:anchor distT="0" distB="0" distL="114300" distR="114300" simplePos="0" relativeHeight="251661312" behindDoc="1" locked="0" layoutInCell="1" allowOverlap="1" wp14:anchorId="118E82A4" wp14:editId="23369224">
                <wp:simplePos x="0" y="0"/>
                <wp:positionH relativeFrom="column">
                  <wp:posOffset>-1106170</wp:posOffset>
                </wp:positionH>
                <wp:positionV relativeFrom="paragraph">
                  <wp:posOffset>-909651</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120A8" w:rsidRDefault="000120A8" w:rsidP="008F07A3">
          <w:pPr>
            <w:pStyle w:val="ReportSubtitle"/>
          </w:pPr>
          <w:r>
            <w:t>2017–18 to 2021–22</w:t>
          </w:r>
        </w:p>
        <w:p w:rsidR="008F07A3" w:rsidRPr="000A6C7B" w:rsidRDefault="008F07A3" w:rsidP="008F07A3">
          <w:pPr>
            <w:pStyle w:val="ReportSubtitle"/>
          </w:pPr>
        </w:p>
        <w:p w:rsidR="000A6C7B" w:rsidRPr="000A6C7B" w:rsidRDefault="00DA4752" w:rsidP="008F07A3">
          <w:pPr>
            <w:pStyle w:val="ReportSubtitle"/>
          </w:pPr>
          <w:r>
            <w:t>Attachment 1</w:t>
          </w:r>
          <w:r w:rsidR="008C55FA">
            <w:t>3</w:t>
          </w:r>
          <w:r>
            <w:t xml:space="preserve"> </w:t>
          </w:r>
          <w:r w:rsidR="00415F31">
            <w:rPr>
              <w:rFonts w:cs="Arial"/>
            </w:rPr>
            <w:t>–</w:t>
          </w:r>
          <w:r>
            <w:t xml:space="preserve"> </w:t>
          </w:r>
          <w:r w:rsidR="008C55FA">
            <w:t>Pass through events</w:t>
          </w:r>
        </w:p>
        <w:p w:rsidR="00B9733D" w:rsidRDefault="00B9733D" w:rsidP="00327A1E">
          <w:pPr>
            <w:pStyle w:val="ReportDate"/>
          </w:pPr>
        </w:p>
        <w:p w:rsidR="000A6C7B" w:rsidRPr="00327A1E" w:rsidRDefault="000120A8"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8136FB">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bookmarkStart w:id="0" w:name="_GoBack"/>
      <w:bookmarkEnd w:id="0"/>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B466BE">
        <w:t>1300 585 565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8136FB">
        <w:t>56417</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F365B3">
      <w:pPr>
        <w:pStyle w:val="UnnumberedHeading"/>
        <w:numPr>
          <w:ilvl w:val="0"/>
          <w:numId w:val="23"/>
        </w:numPr>
      </w:pPr>
      <w:bookmarkStart w:id="5" w:name="_Toc456603316"/>
      <w:r>
        <w:lastRenderedPageBreak/>
        <w:t>N</w:t>
      </w:r>
      <w:r w:rsidR="008F07A3">
        <w:t>ote</w:t>
      </w:r>
      <w:bookmarkEnd w:id="1"/>
      <w:bookmarkEnd w:id="2"/>
      <w:bookmarkEnd w:id="3"/>
      <w:bookmarkEnd w:id="4"/>
      <w:bookmarkEnd w:id="5"/>
    </w:p>
    <w:p w:rsidR="00415F31" w:rsidRDefault="00415F31" w:rsidP="00F365B3">
      <w:pPr>
        <w:numPr>
          <w:ilvl w:val="0"/>
          <w:numId w:val="24"/>
        </w:numPr>
        <w:spacing w:before="0" w:after="240" w:line="288" w:lineRule="auto"/>
        <w:jc w:val="both"/>
      </w:pPr>
    </w:p>
    <w:p w:rsidR="00415F31" w:rsidRDefault="008F07A3" w:rsidP="00F365B3">
      <w:pPr>
        <w:numPr>
          <w:ilvl w:val="0"/>
          <w:numId w:val="24"/>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F365B3">
      <w:pPr>
        <w:numPr>
          <w:ilvl w:val="0"/>
          <w:numId w:val="24"/>
        </w:numPr>
        <w:spacing w:before="0" w:after="240" w:line="288" w:lineRule="auto"/>
        <w:jc w:val="both"/>
      </w:pPr>
      <w:r>
        <w:t xml:space="preserve">The </w:t>
      </w:r>
      <w:r w:rsidR="000B321F">
        <w:t>draft</w:t>
      </w:r>
      <w:r>
        <w:t xml:space="preserve"> decision includes the following documents:</w:t>
      </w:r>
    </w:p>
    <w:p w:rsidR="00415F31" w:rsidRDefault="00415F31" w:rsidP="00F365B3">
      <w:pPr>
        <w:numPr>
          <w:ilvl w:val="0"/>
          <w:numId w:val="24"/>
        </w:numPr>
        <w:spacing w:before="0" w:after="240" w:line="288" w:lineRule="auto"/>
        <w:jc w:val="both"/>
      </w:pPr>
      <w:r>
        <w:t>Overview</w:t>
      </w:r>
    </w:p>
    <w:p w:rsidR="00415F31" w:rsidRDefault="00415F31" w:rsidP="00F365B3">
      <w:pPr>
        <w:numPr>
          <w:ilvl w:val="0"/>
          <w:numId w:val="24"/>
        </w:numPr>
        <w:spacing w:before="0" w:after="240" w:line="288" w:lineRule="auto"/>
        <w:jc w:val="both"/>
      </w:pPr>
      <w:r>
        <w:t>Attachment 1 – maximum allowed revenue</w:t>
      </w:r>
    </w:p>
    <w:p w:rsidR="00415F31" w:rsidRDefault="00415F31" w:rsidP="00F365B3">
      <w:pPr>
        <w:numPr>
          <w:ilvl w:val="0"/>
          <w:numId w:val="24"/>
        </w:numPr>
        <w:spacing w:before="0" w:after="240" w:line="288" w:lineRule="auto"/>
        <w:jc w:val="both"/>
      </w:pPr>
      <w:r>
        <w:t>Attachment 2 – regulatory asset base</w:t>
      </w:r>
    </w:p>
    <w:p w:rsidR="00415F31" w:rsidRDefault="00415F31" w:rsidP="00F365B3">
      <w:pPr>
        <w:numPr>
          <w:ilvl w:val="0"/>
          <w:numId w:val="24"/>
        </w:numPr>
        <w:spacing w:before="0" w:after="240" w:line="288" w:lineRule="auto"/>
        <w:jc w:val="both"/>
      </w:pPr>
      <w:r>
        <w:t>Attachment 3 – rate of return</w:t>
      </w:r>
    </w:p>
    <w:p w:rsidR="00415F31" w:rsidRDefault="00415F31" w:rsidP="00F365B3">
      <w:pPr>
        <w:numPr>
          <w:ilvl w:val="0"/>
          <w:numId w:val="24"/>
        </w:numPr>
        <w:spacing w:before="0" w:after="240" w:line="288" w:lineRule="auto"/>
        <w:jc w:val="both"/>
      </w:pPr>
      <w:r>
        <w:t>Attachment 4 – value of imputation credits</w:t>
      </w:r>
    </w:p>
    <w:p w:rsidR="00415F31" w:rsidRDefault="00415F31" w:rsidP="00F365B3">
      <w:pPr>
        <w:numPr>
          <w:ilvl w:val="0"/>
          <w:numId w:val="24"/>
        </w:numPr>
        <w:spacing w:before="0" w:after="240" w:line="288" w:lineRule="auto"/>
        <w:jc w:val="both"/>
      </w:pPr>
      <w:r>
        <w:t>Attachment 5 – regulatory depreciation</w:t>
      </w:r>
    </w:p>
    <w:p w:rsidR="00415F31" w:rsidRDefault="00415F31" w:rsidP="00F365B3">
      <w:pPr>
        <w:numPr>
          <w:ilvl w:val="0"/>
          <w:numId w:val="24"/>
        </w:numPr>
        <w:spacing w:before="0" w:after="240" w:line="288" w:lineRule="auto"/>
        <w:jc w:val="both"/>
      </w:pPr>
      <w:r>
        <w:t xml:space="preserve">Attachment 6 – capital expenditure </w:t>
      </w:r>
    </w:p>
    <w:p w:rsidR="00415F31" w:rsidRDefault="00415F31" w:rsidP="00F365B3">
      <w:pPr>
        <w:numPr>
          <w:ilvl w:val="0"/>
          <w:numId w:val="24"/>
        </w:numPr>
        <w:spacing w:before="0" w:after="240" w:line="288" w:lineRule="auto"/>
        <w:jc w:val="both"/>
      </w:pPr>
      <w:r>
        <w:t>Attachment 7 – operating expenditure</w:t>
      </w:r>
    </w:p>
    <w:p w:rsidR="00415F31" w:rsidRDefault="00415F31" w:rsidP="00F365B3">
      <w:pPr>
        <w:numPr>
          <w:ilvl w:val="0"/>
          <w:numId w:val="24"/>
        </w:numPr>
        <w:spacing w:before="0" w:after="240" w:line="288" w:lineRule="auto"/>
        <w:jc w:val="both"/>
      </w:pPr>
      <w:r>
        <w:t>Attachment 8 – corporate income tax</w:t>
      </w:r>
    </w:p>
    <w:p w:rsidR="00415F31" w:rsidRDefault="00415F31" w:rsidP="00F365B3">
      <w:pPr>
        <w:numPr>
          <w:ilvl w:val="0"/>
          <w:numId w:val="24"/>
        </w:numPr>
        <w:spacing w:before="0" w:after="240" w:line="288" w:lineRule="auto"/>
        <w:jc w:val="both"/>
      </w:pPr>
      <w:r>
        <w:t>Attachment 9 – efficiency benefit sharing scheme</w:t>
      </w:r>
    </w:p>
    <w:p w:rsidR="00415F31" w:rsidRDefault="00415F31" w:rsidP="00F365B3">
      <w:pPr>
        <w:numPr>
          <w:ilvl w:val="0"/>
          <w:numId w:val="24"/>
        </w:numPr>
        <w:spacing w:before="0" w:after="240" w:line="288" w:lineRule="auto"/>
        <w:jc w:val="both"/>
      </w:pPr>
      <w:r>
        <w:t>Attachment 10 – capital expenditure sharing scheme</w:t>
      </w:r>
    </w:p>
    <w:p w:rsidR="00415F31" w:rsidRDefault="00415F31" w:rsidP="00F365B3">
      <w:pPr>
        <w:numPr>
          <w:ilvl w:val="0"/>
          <w:numId w:val="24"/>
        </w:numPr>
        <w:spacing w:before="0" w:after="240" w:line="288" w:lineRule="auto"/>
        <w:jc w:val="both"/>
      </w:pPr>
      <w:r>
        <w:t>Attachment 11 – service target performance incentive scheme</w:t>
      </w:r>
    </w:p>
    <w:p w:rsidR="00415F31" w:rsidRPr="00D904FA" w:rsidRDefault="00415F31" w:rsidP="00F365B3">
      <w:pPr>
        <w:numPr>
          <w:ilvl w:val="0"/>
          <w:numId w:val="24"/>
        </w:numPr>
        <w:spacing w:before="0" w:after="240" w:line="288" w:lineRule="auto"/>
        <w:jc w:val="both"/>
      </w:pPr>
      <w:r>
        <w:t xml:space="preserve">Attachment 12 – </w:t>
      </w:r>
      <w:r w:rsidRPr="00D904FA">
        <w:t>pricing methodology</w:t>
      </w:r>
    </w:p>
    <w:p w:rsidR="00415F31" w:rsidRPr="00D904FA" w:rsidRDefault="00415F31" w:rsidP="00F365B3">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F365B3">
      <w:pPr>
        <w:numPr>
          <w:ilvl w:val="0"/>
          <w:numId w:val="24"/>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F365B3">
      <w:pPr>
        <w:pStyle w:val="UnnumberedHeading"/>
        <w:numPr>
          <w:ilvl w:val="0"/>
          <w:numId w:val="23"/>
        </w:numPr>
      </w:pPr>
      <w:bookmarkStart w:id="6" w:name="_Toc403144133"/>
      <w:bookmarkStart w:id="7" w:name="_Toc45660331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8377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3316" w:history="1">
            <w:r w:rsidR="00C8377E" w:rsidRPr="001244E5">
              <w:rPr>
                <w:rStyle w:val="Hyperlink"/>
              </w:rPr>
              <w:t>Note</w:t>
            </w:r>
            <w:r w:rsidR="00C8377E">
              <w:rPr>
                <w:webHidden/>
              </w:rPr>
              <w:tab/>
            </w:r>
            <w:r w:rsidR="00C8377E">
              <w:rPr>
                <w:webHidden/>
              </w:rPr>
              <w:fldChar w:fldCharType="begin"/>
            </w:r>
            <w:r w:rsidR="00C8377E">
              <w:rPr>
                <w:webHidden/>
              </w:rPr>
              <w:instrText xml:space="preserve"> PAGEREF _Toc456603316 \h </w:instrText>
            </w:r>
            <w:r w:rsidR="00C8377E">
              <w:rPr>
                <w:webHidden/>
              </w:rPr>
            </w:r>
            <w:r w:rsidR="00C8377E">
              <w:rPr>
                <w:webHidden/>
              </w:rPr>
              <w:fldChar w:fldCharType="separate"/>
            </w:r>
            <w:r w:rsidR="00C8377E">
              <w:rPr>
                <w:webHidden/>
              </w:rPr>
              <w:t>13-2</w:t>
            </w:r>
            <w:r w:rsidR="00C8377E">
              <w:rPr>
                <w:webHidden/>
              </w:rPr>
              <w:fldChar w:fldCharType="end"/>
            </w:r>
          </w:hyperlink>
        </w:p>
        <w:p w:rsidR="00C8377E" w:rsidRDefault="000F3998">
          <w:pPr>
            <w:pStyle w:val="TOC1"/>
            <w:rPr>
              <w:rFonts w:asciiTheme="minorHAnsi" w:eastAsiaTheme="minorEastAsia" w:hAnsiTheme="minorHAnsi"/>
              <w:b w:val="0"/>
              <w:color w:val="auto"/>
              <w:sz w:val="22"/>
              <w:lang w:val="en-AU" w:eastAsia="en-AU"/>
            </w:rPr>
          </w:pPr>
          <w:hyperlink w:anchor="_Toc456603317" w:history="1">
            <w:r w:rsidR="00C8377E" w:rsidRPr="001244E5">
              <w:rPr>
                <w:rStyle w:val="Hyperlink"/>
              </w:rPr>
              <w:t>Contents</w:t>
            </w:r>
            <w:r w:rsidR="00C8377E">
              <w:rPr>
                <w:webHidden/>
              </w:rPr>
              <w:tab/>
            </w:r>
            <w:r w:rsidR="00C8377E">
              <w:rPr>
                <w:webHidden/>
              </w:rPr>
              <w:fldChar w:fldCharType="begin"/>
            </w:r>
            <w:r w:rsidR="00C8377E">
              <w:rPr>
                <w:webHidden/>
              </w:rPr>
              <w:instrText xml:space="preserve"> PAGEREF _Toc456603317 \h </w:instrText>
            </w:r>
            <w:r w:rsidR="00C8377E">
              <w:rPr>
                <w:webHidden/>
              </w:rPr>
            </w:r>
            <w:r w:rsidR="00C8377E">
              <w:rPr>
                <w:webHidden/>
              </w:rPr>
              <w:fldChar w:fldCharType="separate"/>
            </w:r>
            <w:r w:rsidR="00C8377E">
              <w:rPr>
                <w:webHidden/>
              </w:rPr>
              <w:t>13-3</w:t>
            </w:r>
            <w:r w:rsidR="00C8377E">
              <w:rPr>
                <w:webHidden/>
              </w:rPr>
              <w:fldChar w:fldCharType="end"/>
            </w:r>
          </w:hyperlink>
        </w:p>
        <w:p w:rsidR="00C8377E" w:rsidRDefault="000F3998">
          <w:pPr>
            <w:pStyle w:val="TOC1"/>
            <w:rPr>
              <w:rFonts w:asciiTheme="minorHAnsi" w:eastAsiaTheme="minorEastAsia" w:hAnsiTheme="minorHAnsi"/>
              <w:b w:val="0"/>
              <w:color w:val="auto"/>
              <w:sz w:val="22"/>
              <w:lang w:val="en-AU" w:eastAsia="en-AU"/>
            </w:rPr>
          </w:pPr>
          <w:hyperlink w:anchor="_Toc456603318" w:history="1">
            <w:r w:rsidR="00C8377E" w:rsidRPr="001244E5">
              <w:rPr>
                <w:rStyle w:val="Hyperlink"/>
              </w:rPr>
              <w:t>Shortened forms</w:t>
            </w:r>
            <w:r w:rsidR="00C8377E">
              <w:rPr>
                <w:webHidden/>
              </w:rPr>
              <w:tab/>
            </w:r>
            <w:r w:rsidR="00C8377E">
              <w:rPr>
                <w:webHidden/>
              </w:rPr>
              <w:fldChar w:fldCharType="begin"/>
            </w:r>
            <w:r w:rsidR="00C8377E">
              <w:rPr>
                <w:webHidden/>
              </w:rPr>
              <w:instrText xml:space="preserve"> PAGEREF _Toc456603318 \h </w:instrText>
            </w:r>
            <w:r w:rsidR="00C8377E">
              <w:rPr>
                <w:webHidden/>
              </w:rPr>
            </w:r>
            <w:r w:rsidR="00C8377E">
              <w:rPr>
                <w:webHidden/>
              </w:rPr>
              <w:fldChar w:fldCharType="separate"/>
            </w:r>
            <w:r w:rsidR="00C8377E">
              <w:rPr>
                <w:webHidden/>
              </w:rPr>
              <w:t>13-4</w:t>
            </w:r>
            <w:r w:rsidR="00C8377E">
              <w:rPr>
                <w:webHidden/>
              </w:rPr>
              <w:fldChar w:fldCharType="end"/>
            </w:r>
          </w:hyperlink>
        </w:p>
        <w:p w:rsidR="00C8377E" w:rsidRDefault="000F3998">
          <w:pPr>
            <w:pStyle w:val="TOC1"/>
            <w:rPr>
              <w:rFonts w:asciiTheme="minorHAnsi" w:eastAsiaTheme="minorEastAsia" w:hAnsiTheme="minorHAnsi"/>
              <w:b w:val="0"/>
              <w:color w:val="auto"/>
              <w:sz w:val="22"/>
              <w:lang w:val="en-AU" w:eastAsia="en-AU"/>
            </w:rPr>
          </w:pPr>
          <w:hyperlink w:anchor="_Toc456603319" w:history="1">
            <w:r w:rsidR="00C8377E" w:rsidRPr="001244E5">
              <w:rPr>
                <w:rStyle w:val="Hyperlink"/>
              </w:rPr>
              <w:t>13</w:t>
            </w:r>
            <w:r w:rsidR="00C8377E">
              <w:rPr>
                <w:rFonts w:asciiTheme="minorHAnsi" w:eastAsiaTheme="minorEastAsia" w:hAnsiTheme="minorHAnsi"/>
                <w:b w:val="0"/>
                <w:color w:val="auto"/>
                <w:sz w:val="22"/>
                <w:lang w:val="en-AU" w:eastAsia="en-AU"/>
              </w:rPr>
              <w:tab/>
            </w:r>
            <w:r w:rsidR="00C8377E" w:rsidRPr="001244E5">
              <w:rPr>
                <w:rStyle w:val="Hyperlink"/>
              </w:rPr>
              <w:t>Pass through events</w:t>
            </w:r>
            <w:r w:rsidR="00C8377E">
              <w:rPr>
                <w:webHidden/>
              </w:rPr>
              <w:tab/>
            </w:r>
            <w:r w:rsidR="00C8377E">
              <w:rPr>
                <w:webHidden/>
              </w:rPr>
              <w:fldChar w:fldCharType="begin"/>
            </w:r>
            <w:r w:rsidR="00C8377E">
              <w:rPr>
                <w:webHidden/>
              </w:rPr>
              <w:instrText xml:space="preserve"> PAGEREF _Toc456603319 \h </w:instrText>
            </w:r>
            <w:r w:rsidR="00C8377E">
              <w:rPr>
                <w:webHidden/>
              </w:rPr>
            </w:r>
            <w:r w:rsidR="00C8377E">
              <w:rPr>
                <w:webHidden/>
              </w:rPr>
              <w:fldChar w:fldCharType="separate"/>
            </w:r>
            <w:r w:rsidR="00C8377E">
              <w:rPr>
                <w:webHidden/>
              </w:rPr>
              <w:t>13-6</w:t>
            </w:r>
            <w:r w:rsidR="00C8377E">
              <w:rPr>
                <w:webHidden/>
              </w:rPr>
              <w:fldChar w:fldCharType="end"/>
            </w:r>
          </w:hyperlink>
        </w:p>
        <w:p w:rsidR="00C8377E" w:rsidRDefault="000F3998">
          <w:pPr>
            <w:pStyle w:val="TOC2"/>
            <w:tabs>
              <w:tab w:val="left" w:pos="1276"/>
            </w:tabs>
            <w:rPr>
              <w:rFonts w:asciiTheme="minorHAnsi" w:eastAsiaTheme="minorEastAsia" w:hAnsiTheme="minorHAnsi"/>
              <w:b w:val="0"/>
              <w:color w:val="auto"/>
              <w:sz w:val="22"/>
              <w:lang w:eastAsia="en-AU"/>
            </w:rPr>
          </w:pPr>
          <w:hyperlink w:anchor="_Toc456603320" w:history="1">
            <w:r w:rsidR="00C8377E" w:rsidRPr="001244E5">
              <w:rPr>
                <w:rStyle w:val="Hyperlink"/>
              </w:rPr>
              <w:t>13.1</w:t>
            </w:r>
            <w:r w:rsidR="00C8377E">
              <w:rPr>
                <w:rFonts w:asciiTheme="minorHAnsi" w:eastAsiaTheme="minorEastAsia" w:hAnsiTheme="minorHAnsi"/>
                <w:b w:val="0"/>
                <w:color w:val="auto"/>
                <w:sz w:val="22"/>
                <w:lang w:eastAsia="en-AU"/>
              </w:rPr>
              <w:tab/>
            </w:r>
            <w:r w:rsidR="00C8377E" w:rsidRPr="001244E5">
              <w:rPr>
                <w:rStyle w:val="Hyperlink"/>
              </w:rPr>
              <w:t>Draft decision</w:t>
            </w:r>
            <w:r w:rsidR="00C8377E">
              <w:rPr>
                <w:webHidden/>
              </w:rPr>
              <w:tab/>
            </w:r>
            <w:r w:rsidR="00C8377E">
              <w:rPr>
                <w:webHidden/>
              </w:rPr>
              <w:fldChar w:fldCharType="begin"/>
            </w:r>
            <w:r w:rsidR="00C8377E">
              <w:rPr>
                <w:webHidden/>
              </w:rPr>
              <w:instrText xml:space="preserve"> PAGEREF _Toc456603320 \h </w:instrText>
            </w:r>
            <w:r w:rsidR="00C8377E">
              <w:rPr>
                <w:webHidden/>
              </w:rPr>
            </w:r>
            <w:r w:rsidR="00C8377E">
              <w:rPr>
                <w:webHidden/>
              </w:rPr>
              <w:fldChar w:fldCharType="separate"/>
            </w:r>
            <w:r w:rsidR="00C8377E">
              <w:rPr>
                <w:webHidden/>
              </w:rPr>
              <w:t>13-6</w:t>
            </w:r>
            <w:r w:rsidR="00C8377E">
              <w:rPr>
                <w:webHidden/>
              </w:rPr>
              <w:fldChar w:fldCharType="end"/>
            </w:r>
          </w:hyperlink>
        </w:p>
        <w:p w:rsidR="00C8377E" w:rsidRDefault="000F3998">
          <w:pPr>
            <w:pStyle w:val="TOC2"/>
            <w:tabs>
              <w:tab w:val="left" w:pos="1276"/>
            </w:tabs>
            <w:rPr>
              <w:rFonts w:asciiTheme="minorHAnsi" w:eastAsiaTheme="minorEastAsia" w:hAnsiTheme="minorHAnsi"/>
              <w:b w:val="0"/>
              <w:color w:val="auto"/>
              <w:sz w:val="22"/>
              <w:lang w:eastAsia="en-AU"/>
            </w:rPr>
          </w:pPr>
          <w:hyperlink w:anchor="_Toc456603321" w:history="1">
            <w:r w:rsidR="00C8377E" w:rsidRPr="001244E5">
              <w:rPr>
                <w:rStyle w:val="Hyperlink"/>
              </w:rPr>
              <w:t>13.2</w:t>
            </w:r>
            <w:r w:rsidR="00C8377E">
              <w:rPr>
                <w:rFonts w:asciiTheme="minorHAnsi" w:eastAsiaTheme="minorEastAsia" w:hAnsiTheme="minorHAnsi"/>
                <w:b w:val="0"/>
                <w:color w:val="auto"/>
                <w:sz w:val="22"/>
                <w:lang w:eastAsia="en-AU"/>
              </w:rPr>
              <w:tab/>
            </w:r>
            <w:r w:rsidR="00C8377E" w:rsidRPr="001244E5">
              <w:rPr>
                <w:rStyle w:val="Hyperlink"/>
              </w:rPr>
              <w:t>AusNet Services' proposal</w:t>
            </w:r>
            <w:r w:rsidR="00C8377E">
              <w:rPr>
                <w:webHidden/>
              </w:rPr>
              <w:tab/>
            </w:r>
            <w:r w:rsidR="00C8377E">
              <w:rPr>
                <w:webHidden/>
              </w:rPr>
              <w:fldChar w:fldCharType="begin"/>
            </w:r>
            <w:r w:rsidR="00C8377E">
              <w:rPr>
                <w:webHidden/>
              </w:rPr>
              <w:instrText xml:space="preserve"> PAGEREF _Toc456603321 \h </w:instrText>
            </w:r>
            <w:r w:rsidR="00C8377E">
              <w:rPr>
                <w:webHidden/>
              </w:rPr>
            </w:r>
            <w:r w:rsidR="00C8377E">
              <w:rPr>
                <w:webHidden/>
              </w:rPr>
              <w:fldChar w:fldCharType="separate"/>
            </w:r>
            <w:r w:rsidR="00C8377E">
              <w:rPr>
                <w:webHidden/>
              </w:rPr>
              <w:t>13-7</w:t>
            </w:r>
            <w:r w:rsidR="00C8377E">
              <w:rPr>
                <w:webHidden/>
              </w:rPr>
              <w:fldChar w:fldCharType="end"/>
            </w:r>
          </w:hyperlink>
        </w:p>
        <w:p w:rsidR="00C8377E" w:rsidRDefault="000F3998">
          <w:pPr>
            <w:pStyle w:val="TOC2"/>
            <w:tabs>
              <w:tab w:val="left" w:pos="1276"/>
            </w:tabs>
            <w:rPr>
              <w:rFonts w:asciiTheme="minorHAnsi" w:eastAsiaTheme="minorEastAsia" w:hAnsiTheme="minorHAnsi"/>
              <w:b w:val="0"/>
              <w:color w:val="auto"/>
              <w:sz w:val="22"/>
              <w:lang w:eastAsia="en-AU"/>
            </w:rPr>
          </w:pPr>
          <w:hyperlink w:anchor="_Toc456603322" w:history="1">
            <w:r w:rsidR="00C8377E" w:rsidRPr="001244E5">
              <w:rPr>
                <w:rStyle w:val="Hyperlink"/>
              </w:rPr>
              <w:t>13.3</w:t>
            </w:r>
            <w:r w:rsidR="00C8377E">
              <w:rPr>
                <w:rFonts w:asciiTheme="minorHAnsi" w:eastAsiaTheme="minorEastAsia" w:hAnsiTheme="minorHAnsi"/>
                <w:b w:val="0"/>
                <w:color w:val="auto"/>
                <w:sz w:val="22"/>
                <w:lang w:eastAsia="en-AU"/>
              </w:rPr>
              <w:tab/>
            </w:r>
            <w:r w:rsidR="00C8377E" w:rsidRPr="001244E5">
              <w:rPr>
                <w:rStyle w:val="Hyperlink"/>
              </w:rPr>
              <w:t>AER’s assessment approach</w:t>
            </w:r>
            <w:r w:rsidR="00C8377E">
              <w:rPr>
                <w:webHidden/>
              </w:rPr>
              <w:tab/>
            </w:r>
            <w:r w:rsidR="00C8377E">
              <w:rPr>
                <w:webHidden/>
              </w:rPr>
              <w:fldChar w:fldCharType="begin"/>
            </w:r>
            <w:r w:rsidR="00C8377E">
              <w:rPr>
                <w:webHidden/>
              </w:rPr>
              <w:instrText xml:space="preserve"> PAGEREF _Toc456603322 \h </w:instrText>
            </w:r>
            <w:r w:rsidR="00C8377E">
              <w:rPr>
                <w:webHidden/>
              </w:rPr>
            </w:r>
            <w:r w:rsidR="00C8377E">
              <w:rPr>
                <w:webHidden/>
              </w:rPr>
              <w:fldChar w:fldCharType="separate"/>
            </w:r>
            <w:r w:rsidR="00C8377E">
              <w:rPr>
                <w:webHidden/>
              </w:rPr>
              <w:t>13-9</w:t>
            </w:r>
            <w:r w:rsidR="00C8377E">
              <w:rPr>
                <w:webHidden/>
              </w:rPr>
              <w:fldChar w:fldCharType="end"/>
            </w:r>
          </w:hyperlink>
        </w:p>
        <w:p w:rsidR="00C8377E" w:rsidRDefault="000F3998">
          <w:pPr>
            <w:pStyle w:val="TOC3"/>
            <w:rPr>
              <w:rFonts w:asciiTheme="minorHAnsi" w:eastAsiaTheme="minorEastAsia" w:hAnsiTheme="minorHAnsi"/>
              <w:lang w:eastAsia="en-AU"/>
            </w:rPr>
          </w:pPr>
          <w:hyperlink w:anchor="_Toc456603323" w:history="1">
            <w:r w:rsidR="00C8377E" w:rsidRPr="001244E5">
              <w:rPr>
                <w:rStyle w:val="Hyperlink"/>
              </w:rPr>
              <w:t>13.3.1</w:t>
            </w:r>
            <w:r w:rsidR="00C8377E">
              <w:rPr>
                <w:rFonts w:asciiTheme="minorHAnsi" w:eastAsiaTheme="minorEastAsia" w:hAnsiTheme="minorHAnsi"/>
                <w:lang w:eastAsia="en-AU"/>
              </w:rPr>
              <w:tab/>
            </w:r>
            <w:r w:rsidR="00C8377E" w:rsidRPr="001244E5">
              <w:rPr>
                <w:rStyle w:val="Hyperlink"/>
              </w:rPr>
              <w:t>Interrelationships</w:t>
            </w:r>
            <w:r w:rsidR="00C8377E">
              <w:rPr>
                <w:webHidden/>
              </w:rPr>
              <w:tab/>
            </w:r>
            <w:r w:rsidR="00C8377E">
              <w:rPr>
                <w:webHidden/>
              </w:rPr>
              <w:fldChar w:fldCharType="begin"/>
            </w:r>
            <w:r w:rsidR="00C8377E">
              <w:rPr>
                <w:webHidden/>
              </w:rPr>
              <w:instrText xml:space="preserve"> PAGEREF _Toc456603323 \h </w:instrText>
            </w:r>
            <w:r w:rsidR="00C8377E">
              <w:rPr>
                <w:webHidden/>
              </w:rPr>
            </w:r>
            <w:r w:rsidR="00C8377E">
              <w:rPr>
                <w:webHidden/>
              </w:rPr>
              <w:fldChar w:fldCharType="separate"/>
            </w:r>
            <w:r w:rsidR="00C8377E">
              <w:rPr>
                <w:webHidden/>
              </w:rPr>
              <w:t>13-12</w:t>
            </w:r>
            <w:r w:rsidR="00C8377E">
              <w:rPr>
                <w:webHidden/>
              </w:rPr>
              <w:fldChar w:fldCharType="end"/>
            </w:r>
          </w:hyperlink>
        </w:p>
        <w:p w:rsidR="00C8377E" w:rsidRDefault="000F3998">
          <w:pPr>
            <w:pStyle w:val="TOC2"/>
            <w:tabs>
              <w:tab w:val="left" w:pos="1276"/>
            </w:tabs>
            <w:rPr>
              <w:rFonts w:asciiTheme="minorHAnsi" w:eastAsiaTheme="minorEastAsia" w:hAnsiTheme="minorHAnsi"/>
              <w:b w:val="0"/>
              <w:color w:val="auto"/>
              <w:sz w:val="22"/>
              <w:lang w:eastAsia="en-AU"/>
            </w:rPr>
          </w:pPr>
          <w:hyperlink w:anchor="_Toc456603324" w:history="1">
            <w:r w:rsidR="00C8377E" w:rsidRPr="001244E5">
              <w:rPr>
                <w:rStyle w:val="Hyperlink"/>
              </w:rPr>
              <w:t>13.4</w:t>
            </w:r>
            <w:r w:rsidR="00C8377E">
              <w:rPr>
                <w:rFonts w:asciiTheme="minorHAnsi" w:eastAsiaTheme="minorEastAsia" w:hAnsiTheme="minorHAnsi"/>
                <w:b w:val="0"/>
                <w:color w:val="auto"/>
                <w:sz w:val="22"/>
                <w:lang w:eastAsia="en-AU"/>
              </w:rPr>
              <w:tab/>
            </w:r>
            <w:r w:rsidR="00C8377E" w:rsidRPr="001244E5">
              <w:rPr>
                <w:rStyle w:val="Hyperlink"/>
              </w:rPr>
              <w:t>Reasons for draft decision</w:t>
            </w:r>
            <w:r w:rsidR="00C8377E">
              <w:rPr>
                <w:webHidden/>
              </w:rPr>
              <w:tab/>
            </w:r>
            <w:r w:rsidR="00C8377E">
              <w:rPr>
                <w:webHidden/>
              </w:rPr>
              <w:fldChar w:fldCharType="begin"/>
            </w:r>
            <w:r w:rsidR="00C8377E">
              <w:rPr>
                <w:webHidden/>
              </w:rPr>
              <w:instrText xml:space="preserve"> PAGEREF _Toc456603324 \h </w:instrText>
            </w:r>
            <w:r w:rsidR="00C8377E">
              <w:rPr>
                <w:webHidden/>
              </w:rPr>
            </w:r>
            <w:r w:rsidR="00C8377E">
              <w:rPr>
                <w:webHidden/>
              </w:rPr>
              <w:fldChar w:fldCharType="separate"/>
            </w:r>
            <w:r w:rsidR="00C8377E">
              <w:rPr>
                <w:webHidden/>
              </w:rPr>
              <w:t>13-13</w:t>
            </w:r>
            <w:r w:rsidR="00C8377E">
              <w:rPr>
                <w:webHidden/>
              </w:rPr>
              <w:fldChar w:fldCharType="end"/>
            </w:r>
          </w:hyperlink>
        </w:p>
        <w:p w:rsidR="00C8377E" w:rsidRDefault="000F3998">
          <w:pPr>
            <w:pStyle w:val="TOC3"/>
            <w:rPr>
              <w:rFonts w:asciiTheme="minorHAnsi" w:eastAsiaTheme="minorEastAsia" w:hAnsiTheme="minorHAnsi"/>
              <w:lang w:eastAsia="en-AU"/>
            </w:rPr>
          </w:pPr>
          <w:hyperlink w:anchor="_Toc456603325" w:history="1">
            <w:r w:rsidR="00C8377E" w:rsidRPr="001244E5">
              <w:rPr>
                <w:rStyle w:val="Hyperlink"/>
              </w:rPr>
              <w:t>13.4.1</w:t>
            </w:r>
            <w:r w:rsidR="00C8377E">
              <w:rPr>
                <w:rFonts w:asciiTheme="minorHAnsi" w:eastAsiaTheme="minorEastAsia" w:hAnsiTheme="minorHAnsi"/>
                <w:lang w:eastAsia="en-AU"/>
              </w:rPr>
              <w:tab/>
            </w:r>
            <w:r w:rsidR="00C8377E" w:rsidRPr="001244E5">
              <w:rPr>
                <w:rStyle w:val="Hyperlink"/>
              </w:rPr>
              <w:t>Insurer credit risk event</w:t>
            </w:r>
            <w:r w:rsidR="00C8377E">
              <w:rPr>
                <w:webHidden/>
              </w:rPr>
              <w:tab/>
            </w:r>
            <w:r w:rsidR="00C8377E">
              <w:rPr>
                <w:webHidden/>
              </w:rPr>
              <w:fldChar w:fldCharType="begin"/>
            </w:r>
            <w:r w:rsidR="00C8377E">
              <w:rPr>
                <w:webHidden/>
              </w:rPr>
              <w:instrText xml:space="preserve"> PAGEREF _Toc456603325 \h </w:instrText>
            </w:r>
            <w:r w:rsidR="00C8377E">
              <w:rPr>
                <w:webHidden/>
              </w:rPr>
            </w:r>
            <w:r w:rsidR="00C8377E">
              <w:rPr>
                <w:webHidden/>
              </w:rPr>
              <w:fldChar w:fldCharType="separate"/>
            </w:r>
            <w:r w:rsidR="00C8377E">
              <w:rPr>
                <w:webHidden/>
              </w:rPr>
              <w:t>13-13</w:t>
            </w:r>
            <w:r w:rsidR="00C8377E">
              <w:rPr>
                <w:webHidden/>
              </w:rPr>
              <w:fldChar w:fldCharType="end"/>
            </w:r>
          </w:hyperlink>
        </w:p>
        <w:p w:rsidR="00C8377E" w:rsidRDefault="000F3998">
          <w:pPr>
            <w:pStyle w:val="TOC3"/>
            <w:rPr>
              <w:rFonts w:asciiTheme="minorHAnsi" w:eastAsiaTheme="minorEastAsia" w:hAnsiTheme="minorHAnsi"/>
              <w:lang w:eastAsia="en-AU"/>
            </w:rPr>
          </w:pPr>
          <w:hyperlink w:anchor="_Toc456603326" w:history="1">
            <w:r w:rsidR="00C8377E" w:rsidRPr="001244E5">
              <w:rPr>
                <w:rStyle w:val="Hyperlink"/>
              </w:rPr>
              <w:t>13.4.2</w:t>
            </w:r>
            <w:r w:rsidR="00C8377E">
              <w:rPr>
                <w:rFonts w:asciiTheme="minorHAnsi" w:eastAsiaTheme="minorEastAsia" w:hAnsiTheme="minorHAnsi"/>
                <w:lang w:eastAsia="en-AU"/>
              </w:rPr>
              <w:tab/>
            </w:r>
            <w:r w:rsidR="00C8377E" w:rsidRPr="001244E5">
              <w:rPr>
                <w:rStyle w:val="Hyperlink"/>
              </w:rPr>
              <w:t>Terrorism event, Insurance cap event, Natural disaster event</w:t>
            </w:r>
            <w:r w:rsidR="00C8377E">
              <w:rPr>
                <w:webHidden/>
              </w:rPr>
              <w:tab/>
            </w:r>
            <w:r w:rsidR="00C8377E">
              <w:rPr>
                <w:webHidden/>
              </w:rPr>
              <w:fldChar w:fldCharType="begin"/>
            </w:r>
            <w:r w:rsidR="00C8377E">
              <w:rPr>
                <w:webHidden/>
              </w:rPr>
              <w:instrText xml:space="preserve"> PAGEREF _Toc456603326 \h </w:instrText>
            </w:r>
            <w:r w:rsidR="00C8377E">
              <w:rPr>
                <w:webHidden/>
              </w:rPr>
            </w:r>
            <w:r w:rsidR="00C8377E">
              <w:rPr>
                <w:webHidden/>
              </w:rPr>
              <w:fldChar w:fldCharType="separate"/>
            </w:r>
            <w:r w:rsidR="00C8377E">
              <w:rPr>
                <w:webHidden/>
              </w:rPr>
              <w:t>13-13</w:t>
            </w:r>
            <w:r w:rsidR="00C8377E">
              <w:rPr>
                <w:webHidden/>
              </w:rPr>
              <w:fldChar w:fldCharType="end"/>
            </w:r>
          </w:hyperlink>
        </w:p>
        <w:p w:rsidR="00C8377E" w:rsidRDefault="000F3998">
          <w:pPr>
            <w:pStyle w:val="TOC3"/>
            <w:rPr>
              <w:rFonts w:asciiTheme="minorHAnsi" w:eastAsiaTheme="minorEastAsia" w:hAnsiTheme="minorHAnsi"/>
              <w:lang w:eastAsia="en-AU"/>
            </w:rPr>
          </w:pPr>
          <w:hyperlink w:anchor="_Toc456603327" w:history="1">
            <w:r w:rsidR="00C8377E" w:rsidRPr="001244E5">
              <w:rPr>
                <w:rStyle w:val="Hyperlink"/>
              </w:rPr>
              <w:t>13.4.3</w:t>
            </w:r>
            <w:r w:rsidR="00C8377E">
              <w:rPr>
                <w:rFonts w:asciiTheme="minorHAnsi" w:eastAsiaTheme="minorEastAsia" w:hAnsiTheme="minorHAnsi"/>
                <w:lang w:eastAsia="en-AU"/>
              </w:rPr>
              <w:tab/>
            </w:r>
            <w:r w:rsidR="00C8377E" w:rsidRPr="001244E5">
              <w:rPr>
                <w:rStyle w:val="Hyperlink"/>
              </w:rPr>
              <w:t>Decommissioning of Point Henry – Geelong Terminal Station 220kV Lines Event</w:t>
            </w:r>
            <w:r w:rsidR="00C8377E">
              <w:rPr>
                <w:webHidden/>
              </w:rPr>
              <w:tab/>
            </w:r>
            <w:r w:rsidR="00C8377E">
              <w:rPr>
                <w:webHidden/>
              </w:rPr>
              <w:fldChar w:fldCharType="begin"/>
            </w:r>
            <w:r w:rsidR="00C8377E">
              <w:rPr>
                <w:webHidden/>
              </w:rPr>
              <w:instrText xml:space="preserve"> PAGEREF _Toc456603327 \h </w:instrText>
            </w:r>
            <w:r w:rsidR="00C8377E">
              <w:rPr>
                <w:webHidden/>
              </w:rPr>
            </w:r>
            <w:r w:rsidR="00C8377E">
              <w:rPr>
                <w:webHidden/>
              </w:rPr>
              <w:fldChar w:fldCharType="separate"/>
            </w:r>
            <w:r w:rsidR="00C8377E">
              <w:rPr>
                <w:webHidden/>
              </w:rPr>
              <w:t>13-16</w:t>
            </w:r>
            <w:r w:rsidR="00C8377E">
              <w:rPr>
                <w:webHidden/>
              </w:rPr>
              <w:fldChar w:fldCharType="end"/>
            </w:r>
          </w:hyperlink>
        </w:p>
        <w:p w:rsidR="00C8377E" w:rsidRDefault="000F3998">
          <w:pPr>
            <w:pStyle w:val="TOC3"/>
            <w:rPr>
              <w:rFonts w:asciiTheme="minorHAnsi" w:eastAsiaTheme="minorEastAsia" w:hAnsiTheme="minorHAnsi"/>
              <w:lang w:eastAsia="en-AU"/>
            </w:rPr>
          </w:pPr>
          <w:hyperlink w:anchor="_Toc456603328" w:history="1">
            <w:r w:rsidR="00C8377E" w:rsidRPr="001244E5">
              <w:rPr>
                <w:rStyle w:val="Hyperlink"/>
              </w:rPr>
              <w:t>13.4.4</w:t>
            </w:r>
            <w:r w:rsidR="00C8377E">
              <w:rPr>
                <w:rFonts w:asciiTheme="minorHAnsi" w:eastAsiaTheme="minorEastAsia" w:hAnsiTheme="minorHAnsi"/>
                <w:lang w:eastAsia="en-AU"/>
              </w:rPr>
              <w:tab/>
            </w:r>
            <w:r w:rsidR="00C8377E" w:rsidRPr="001244E5">
              <w:rPr>
                <w:rStyle w:val="Hyperlink"/>
              </w:rPr>
              <w:t>Confidential nominated pass through event</w:t>
            </w:r>
            <w:r w:rsidR="00C8377E">
              <w:rPr>
                <w:webHidden/>
              </w:rPr>
              <w:tab/>
            </w:r>
            <w:r w:rsidR="00C8377E">
              <w:rPr>
                <w:webHidden/>
              </w:rPr>
              <w:fldChar w:fldCharType="begin"/>
            </w:r>
            <w:r w:rsidR="00C8377E">
              <w:rPr>
                <w:webHidden/>
              </w:rPr>
              <w:instrText xml:space="preserve"> PAGEREF _Toc456603328 \h </w:instrText>
            </w:r>
            <w:r w:rsidR="00C8377E">
              <w:rPr>
                <w:webHidden/>
              </w:rPr>
            </w:r>
            <w:r w:rsidR="00C8377E">
              <w:rPr>
                <w:webHidden/>
              </w:rPr>
              <w:fldChar w:fldCharType="separate"/>
            </w:r>
            <w:r w:rsidR="00C8377E">
              <w:rPr>
                <w:webHidden/>
              </w:rPr>
              <w:t>13-17</w:t>
            </w:r>
            <w:r w:rsidR="00C8377E">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F365B3">
      <w:pPr>
        <w:pStyle w:val="UnnumberedHeading"/>
        <w:numPr>
          <w:ilvl w:val="0"/>
          <w:numId w:val="23"/>
        </w:numPr>
      </w:pPr>
      <w:bookmarkStart w:id="8" w:name="_Toc404700925"/>
      <w:bookmarkStart w:id="9" w:name="_Toc456603318"/>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Shortened form</w:t>
            </w:r>
          </w:p>
        </w:tc>
        <w:tc>
          <w:tcPr>
            <w:tcW w:w="4621" w:type="dxa"/>
          </w:tcPr>
          <w:p w:rsidR="00415F31" w:rsidRDefault="00415F31" w:rsidP="00F365B3">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AARR</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AEMC</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AEMO</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AER</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ASRR</w:t>
            </w:r>
          </w:p>
        </w:tc>
        <w:tc>
          <w:tcPr>
            <w:tcW w:w="4621" w:type="dxa"/>
          </w:tcPr>
          <w:p w:rsidR="00415F31" w:rsidRDefault="009D3906"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augex</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capex</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CCP</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CESS</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CPI</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DRP</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EBSS</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ERP</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MAR</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MRP</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NEL</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NEM</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NEO</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NER</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NSP</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lastRenderedPageBreak/>
              <w:t>NTSC</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opex</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PPI</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PTRM</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RAB</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RBA</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repex</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RFM</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RIN</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RPP</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SLCAPM</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STPIS</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TNSP</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TUoS</w:t>
            </w:r>
          </w:p>
        </w:tc>
        <w:tc>
          <w:tcPr>
            <w:tcW w:w="4621" w:type="dxa"/>
          </w:tcPr>
          <w:p w:rsidR="00415F31" w:rsidRDefault="00415F31" w:rsidP="00F365B3">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F365B3">
            <w:pPr>
              <w:numPr>
                <w:ilvl w:val="0"/>
                <w:numId w:val="24"/>
              </w:numPr>
              <w:spacing w:after="240" w:line="288" w:lineRule="auto"/>
              <w:jc w:val="both"/>
            </w:pPr>
            <w:r>
              <w:t>WACC</w:t>
            </w:r>
          </w:p>
        </w:tc>
        <w:tc>
          <w:tcPr>
            <w:tcW w:w="4621" w:type="dxa"/>
          </w:tcPr>
          <w:p w:rsidR="00415F31" w:rsidRDefault="00415F31" w:rsidP="00F365B3">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F365B3">
      <w:pPr>
        <w:numPr>
          <w:ilvl w:val="0"/>
          <w:numId w:val="24"/>
        </w:numPr>
      </w:pPr>
    </w:p>
    <w:p w:rsidR="00DE563D" w:rsidRDefault="00DE563D" w:rsidP="00DE563D"/>
    <w:p w:rsidR="00DE563D" w:rsidRDefault="008C55FA" w:rsidP="008C55FA">
      <w:pPr>
        <w:pStyle w:val="Heading1"/>
      </w:pPr>
      <w:bookmarkStart w:id="10" w:name="_Toc456603319"/>
      <w:r>
        <w:lastRenderedPageBreak/>
        <w:t>Pass through events</w:t>
      </w:r>
      <w:bookmarkEnd w:id="10"/>
    </w:p>
    <w:p w:rsidR="00DB150D" w:rsidRDefault="00DB150D" w:rsidP="00F365B3">
      <w:pPr>
        <w:numPr>
          <w:ilvl w:val="0"/>
          <w:numId w:val="24"/>
        </w:numPr>
      </w:pPr>
      <w:r>
        <w:t xml:space="preserve">During the regulatory control period, a service provider can apply to us to pass material changes in its costs arising from </w:t>
      </w:r>
      <w:r w:rsidR="003971CD">
        <w:t xml:space="preserve">pre-defined exogenous </w:t>
      </w:r>
      <w:r>
        <w:t>events through to customers, in the form of higher or lower network charges.</w:t>
      </w:r>
      <w:r w:rsidRPr="006502ED">
        <w:t xml:space="preserve"> </w:t>
      </w:r>
      <w:r>
        <w:t>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Pr>
          <w:rStyle w:val="FootnoteReference"/>
        </w:rPr>
        <w:footnoteReference w:id="1"/>
      </w:r>
    </w:p>
    <w:p w:rsidR="00DB150D" w:rsidRPr="006502ED" w:rsidRDefault="00DB150D" w:rsidP="00E666DE">
      <w:r w:rsidRPr="00E666DE">
        <w:t>The NER include the following pass through events for all transmission</w:t>
      </w:r>
      <w:r>
        <w:t xml:space="preserve"> determinations</w:t>
      </w:r>
      <w:r w:rsidRPr="006502ED">
        <w:t>:</w:t>
      </w:r>
      <w:r>
        <w:rPr>
          <w:rStyle w:val="FootnoteReference"/>
        </w:rPr>
        <w:footnoteReference w:id="2"/>
      </w:r>
    </w:p>
    <w:p w:rsidR="00DB150D" w:rsidRPr="006502ED" w:rsidRDefault="00DB150D" w:rsidP="00DB150D">
      <w:pPr>
        <w:pStyle w:val="AERbulletlistfirststyle"/>
      </w:pPr>
      <w:r w:rsidRPr="006502ED">
        <w:t>a regulatory change event</w:t>
      </w:r>
    </w:p>
    <w:p w:rsidR="00DB150D" w:rsidRPr="006502ED" w:rsidRDefault="00DB150D" w:rsidP="00DB150D">
      <w:pPr>
        <w:pStyle w:val="AERbulletlistfirststyle"/>
      </w:pPr>
      <w:r w:rsidRPr="006502ED">
        <w:t>a service standard event</w:t>
      </w:r>
    </w:p>
    <w:p w:rsidR="00DB150D" w:rsidRPr="00196CE3" w:rsidRDefault="00DB150D" w:rsidP="00DB150D">
      <w:pPr>
        <w:pStyle w:val="AERbulletlistfirststyle"/>
      </w:pPr>
      <w:r w:rsidRPr="00196CE3">
        <w:t>a tax change event</w:t>
      </w:r>
    </w:p>
    <w:p w:rsidR="00DB150D" w:rsidRPr="00E666DE" w:rsidRDefault="00DB150D" w:rsidP="00E666DE">
      <w:pPr>
        <w:pStyle w:val="AERbulletlistfirststyle"/>
      </w:pPr>
      <w:r w:rsidRPr="00E666DE">
        <w:rPr>
          <w:rStyle w:val="AERbody"/>
        </w:rPr>
        <w:t>an</w:t>
      </w:r>
      <w:r w:rsidRPr="00E666DE">
        <w:t xml:space="preserve"> </w:t>
      </w:r>
      <w:r w:rsidRPr="00E666DE">
        <w:rPr>
          <w:rStyle w:val="AERbody"/>
        </w:rPr>
        <w:t>insurance event</w:t>
      </w:r>
    </w:p>
    <w:p w:rsidR="00DB150D" w:rsidRPr="00DB150D" w:rsidRDefault="00DB150D" w:rsidP="004646BB">
      <w:r>
        <w:t>I</w:t>
      </w:r>
      <w:r w:rsidRPr="00DB150D">
        <w:t xml:space="preserve">n addition to </w:t>
      </w:r>
      <w:r w:rsidR="005C751D">
        <w:t>these prescribed events, other 'n</w:t>
      </w:r>
      <w:r w:rsidRPr="00DB150D">
        <w:t>ominated</w:t>
      </w:r>
      <w:r w:rsidR="005C751D">
        <w:t>'</w:t>
      </w:r>
      <w:r w:rsidRPr="00DB150D">
        <w:t xml:space="preserve"> pass through events may be specified in a determination for a regulatory control period.</w:t>
      </w:r>
      <w:r w:rsidRPr="00DB150D">
        <w:rPr>
          <w:rStyle w:val="FootnoteReference"/>
        </w:rPr>
        <w:footnoteReference w:id="3"/>
      </w:r>
      <w:r w:rsidRPr="00DB150D">
        <w:t xml:space="preserve"> </w:t>
      </w:r>
    </w:p>
    <w:p w:rsidR="00DB150D" w:rsidRPr="006502ED" w:rsidRDefault="00DB150D" w:rsidP="00DB150D">
      <w:r w:rsidRPr="006502ED">
        <w:t xml:space="preserve">This attachment sets out our </w:t>
      </w:r>
      <w:r>
        <w:t>draft</w:t>
      </w:r>
      <w:r w:rsidRPr="006502ED">
        <w:t xml:space="preserve"> decision on the </w:t>
      </w:r>
      <w:r>
        <w:t>nominated</w:t>
      </w:r>
      <w:r w:rsidRPr="006502ED">
        <w:t xml:space="preserve"> pass through events </w:t>
      </w:r>
      <w:r>
        <w:t xml:space="preserve">that will apply </w:t>
      </w:r>
      <w:r w:rsidRPr="00E666DE">
        <w:t xml:space="preserve">to </w:t>
      </w:r>
      <w:r w:rsidRPr="00E666DE">
        <w:rPr>
          <w:rStyle w:val="AERbody"/>
        </w:rPr>
        <w:t>AusNet Services</w:t>
      </w:r>
      <w:r w:rsidRPr="00E666DE">
        <w:t xml:space="preserve"> for the </w:t>
      </w:r>
      <w:r w:rsidRPr="00E666DE">
        <w:rPr>
          <w:rStyle w:val="AERbody"/>
        </w:rPr>
        <w:t>2017–22</w:t>
      </w:r>
      <w:r w:rsidRPr="00E666DE">
        <w:t xml:space="preserve"> regulatory</w:t>
      </w:r>
      <w:r w:rsidRPr="006502ED">
        <w:t xml:space="preserve"> control period.</w:t>
      </w:r>
    </w:p>
    <w:p w:rsidR="00DE563D" w:rsidRPr="001754EE" w:rsidRDefault="000B321F" w:rsidP="001754EE">
      <w:pPr>
        <w:pStyle w:val="Heading2"/>
      </w:pPr>
      <w:bookmarkStart w:id="11" w:name="_Toc403144136"/>
      <w:bookmarkStart w:id="12" w:name="_Toc456603320"/>
      <w:r>
        <w:t>D</w:t>
      </w:r>
      <w:r w:rsidR="004646BB">
        <w:t>raft</w:t>
      </w:r>
      <w:r w:rsidR="00DE563D" w:rsidRPr="001754EE">
        <w:t xml:space="preserve"> decision</w:t>
      </w:r>
      <w:bookmarkEnd w:id="11"/>
      <w:bookmarkEnd w:id="12"/>
    </w:p>
    <w:p w:rsidR="005C751D" w:rsidRDefault="00DB150D" w:rsidP="00F365B3">
      <w:pPr>
        <w:numPr>
          <w:ilvl w:val="0"/>
          <w:numId w:val="24"/>
        </w:numPr>
      </w:pPr>
      <w:bookmarkStart w:id="13" w:name="_Toc403144137"/>
      <w:r>
        <w:t xml:space="preserve">We accept the </w:t>
      </w:r>
      <w:r w:rsidR="005C751D">
        <w:t>Insurer Credit Risk Event as proposed by AusNet Services.</w:t>
      </w:r>
    </w:p>
    <w:p w:rsidR="00DB150D" w:rsidRDefault="005C751D" w:rsidP="00F365B3">
      <w:pPr>
        <w:numPr>
          <w:ilvl w:val="0"/>
          <w:numId w:val="24"/>
        </w:numPr>
      </w:pPr>
      <w:r>
        <w:t xml:space="preserve">We also accept the </w:t>
      </w:r>
      <w:r w:rsidR="00DB150D">
        <w:t>following nominated pass through events</w:t>
      </w:r>
      <w:r>
        <w:t xml:space="preserve">, with minor modifications to the definitions as set out </w:t>
      </w:r>
      <w:r w:rsidR="00B5713D">
        <w:t xml:space="preserve">in section </w:t>
      </w:r>
      <w:r w:rsidR="00B5713D">
        <w:fldChar w:fldCharType="begin"/>
      </w:r>
      <w:r w:rsidR="00B5713D">
        <w:instrText xml:space="preserve"> REF _Ref452453387 \r \h </w:instrText>
      </w:r>
      <w:r w:rsidR="00B5713D">
        <w:fldChar w:fldCharType="separate"/>
      </w:r>
      <w:r w:rsidR="009D5EDD">
        <w:t>13.4.2</w:t>
      </w:r>
      <w:r w:rsidR="00B5713D">
        <w:fldChar w:fldCharType="end"/>
      </w:r>
      <w:r>
        <w:t xml:space="preserve"> of this attachment</w:t>
      </w:r>
      <w:r w:rsidR="00DB150D">
        <w:t>:</w:t>
      </w:r>
    </w:p>
    <w:p w:rsidR="00DB150D" w:rsidRPr="00DB150D" w:rsidRDefault="00DB150D" w:rsidP="00DB150D">
      <w:pPr>
        <w:pStyle w:val="AERbulletlistfirststyle"/>
      </w:pPr>
      <w:r>
        <w:t>Terrorism event</w:t>
      </w:r>
    </w:p>
    <w:p w:rsidR="00DB150D" w:rsidRPr="00DB150D" w:rsidRDefault="00DB150D" w:rsidP="00DB150D">
      <w:pPr>
        <w:pStyle w:val="AERbulletlistfirststyle"/>
      </w:pPr>
      <w:r>
        <w:t>Insurance cap event</w:t>
      </w:r>
    </w:p>
    <w:p w:rsidR="00DB150D" w:rsidRPr="00DB150D" w:rsidRDefault="00DB150D" w:rsidP="00DB150D">
      <w:pPr>
        <w:pStyle w:val="AERbulletlistfirststyle"/>
      </w:pPr>
      <w:r>
        <w:t>Natural disaster event</w:t>
      </w:r>
      <w:r w:rsidR="005C751D">
        <w:t>.</w:t>
      </w:r>
    </w:p>
    <w:p w:rsidR="00DB150D" w:rsidRDefault="00DB150D" w:rsidP="00DB150D">
      <w:r w:rsidRPr="006502ED">
        <w:t xml:space="preserve">We do not accept </w:t>
      </w:r>
      <w:r>
        <w:t>the remaining nominated pass through events AusNet Services proposed:</w:t>
      </w:r>
    </w:p>
    <w:p w:rsidR="00DB150D" w:rsidRPr="00DB150D" w:rsidRDefault="00DB150D" w:rsidP="00DB150D">
      <w:pPr>
        <w:pStyle w:val="AERbulletlistfirststyle"/>
      </w:pPr>
      <w:r w:rsidRPr="00180BEB">
        <w:t>Decommissioning of Point Henry – Geelong Terminal Station 220kV Lines Event</w:t>
      </w:r>
    </w:p>
    <w:p w:rsidR="00DB150D" w:rsidRPr="00DB150D" w:rsidRDefault="00DB150D" w:rsidP="00DB150D">
      <w:pPr>
        <w:pStyle w:val="AERbulletlistfirststyle"/>
      </w:pPr>
      <w:r>
        <w:t xml:space="preserve">The confidential nominated pass through </w:t>
      </w:r>
      <w:r w:rsidRPr="00DB150D">
        <w:t>event.</w:t>
      </w:r>
    </w:p>
    <w:p w:rsidR="00DB150D" w:rsidRDefault="00DB150D" w:rsidP="00DB150D">
      <w:r>
        <w:lastRenderedPageBreak/>
        <w:t xml:space="preserve">The reasons for our draft decision are set out in section </w:t>
      </w:r>
      <w:r>
        <w:fldChar w:fldCharType="begin"/>
      </w:r>
      <w:r>
        <w:instrText xml:space="preserve"> REF _Ref436741659 \r \h </w:instrText>
      </w:r>
      <w:r>
        <w:fldChar w:fldCharType="separate"/>
      </w:r>
      <w:r w:rsidR="009D5EDD">
        <w:t>13.4</w:t>
      </w:r>
      <w:r>
        <w:fldChar w:fldCharType="end"/>
      </w:r>
      <w:r>
        <w:t>.</w:t>
      </w:r>
    </w:p>
    <w:p w:rsidR="004646BB" w:rsidRDefault="004646BB" w:rsidP="004646BB">
      <w:pPr>
        <w:pStyle w:val="Heading2"/>
      </w:pPr>
      <w:bookmarkStart w:id="14" w:name="_Toc456603321"/>
      <w:r>
        <w:t>AusNet Services' proposal</w:t>
      </w:r>
      <w:bookmarkEnd w:id="14"/>
    </w:p>
    <w:p w:rsidR="004646BB" w:rsidRDefault="004646BB" w:rsidP="004646BB">
      <w:r w:rsidRPr="00C4578E">
        <w:t>AusNet Services proposed six nominated pass through events in addition to the events prescribed by the NER.</w:t>
      </w:r>
      <w:r>
        <w:rPr>
          <w:rStyle w:val="FootnoteReference"/>
        </w:rPr>
        <w:footnoteReference w:id="4"/>
      </w:r>
      <w:r w:rsidRPr="00C4578E">
        <w:t xml:space="preserve"> </w:t>
      </w:r>
    </w:p>
    <w:p w:rsidR="004646BB" w:rsidRDefault="004646BB" w:rsidP="004646BB">
      <w:r w:rsidRPr="00C4578E">
        <w:t>Three of these events</w:t>
      </w:r>
      <w:r>
        <w:t>—the terrorism event, insurance cap event and natural disaster event—</w:t>
      </w:r>
      <w:r w:rsidRPr="00C4578E">
        <w:t>were also included in AusNet</w:t>
      </w:r>
      <w:r>
        <w:t xml:space="preserve"> Services</w:t>
      </w:r>
      <w:r w:rsidRPr="00C4578E">
        <w:t xml:space="preserve">’ current transmission determination, but AusNet </w:t>
      </w:r>
      <w:r>
        <w:t xml:space="preserve">Services </w:t>
      </w:r>
      <w:r w:rsidRPr="00C4578E">
        <w:t>has proposed changes to the definitions of these events</w:t>
      </w:r>
      <w:r>
        <w:t xml:space="preserve"> for the 2017–22 regulatory control period</w:t>
      </w:r>
      <w:r w:rsidRPr="00C4578E">
        <w:t xml:space="preserve">. </w:t>
      </w:r>
    </w:p>
    <w:p w:rsidR="004646BB" w:rsidRDefault="004646BB" w:rsidP="004646BB">
      <w:r>
        <w:t xml:space="preserve">Two </w:t>
      </w:r>
      <w:r w:rsidRPr="00C4578E">
        <w:t>of these events—the insurer credit risk event</w:t>
      </w:r>
      <w:r>
        <w:t xml:space="preserve"> and the d</w:t>
      </w:r>
      <w:r w:rsidRPr="00C4578E">
        <w:t>ecommissioning of the point Henry to Geelong Terminal Station 220kV lines event—are new events for AusNet Services</w:t>
      </w:r>
      <w:r w:rsidR="00B5713D">
        <w:t>’ transmission network</w:t>
      </w:r>
      <w:r w:rsidRPr="00C4578E">
        <w:t>.</w:t>
      </w:r>
      <w:r>
        <w:t xml:space="preserve"> </w:t>
      </w:r>
    </w:p>
    <w:p w:rsidR="004646BB" w:rsidRDefault="004646BB" w:rsidP="004646BB">
      <w:r>
        <w:t>A third new event was submitted in confidence</w:t>
      </w:r>
      <w:r w:rsidR="00B5713D">
        <w:t>. Details of this event are</w:t>
      </w:r>
      <w:r>
        <w:t xml:space="preserve"> discussed separately in confidential </w:t>
      </w:r>
      <w:r w:rsidRPr="00E666DE">
        <w:t>appendix A to</w:t>
      </w:r>
      <w:r>
        <w:t xml:space="preserve"> this attachment. </w:t>
      </w:r>
      <w:r w:rsidRPr="00180BEB">
        <w:t>AusNet Services</w:t>
      </w:r>
      <w:r>
        <w:t xml:space="preserve"> stated in its proposal that </w:t>
      </w:r>
      <w:r w:rsidRPr="00180BEB">
        <w:t>is open to disclosing the details of the proposed event to stakeholders on request, subject to suitable confidentiality agreements being put in place.</w:t>
      </w:r>
      <w:r>
        <w:rPr>
          <w:rStyle w:val="FootnoteReference"/>
        </w:rPr>
        <w:footnoteReference w:id="5"/>
      </w:r>
    </w:p>
    <w:p w:rsidR="004646BB" w:rsidRDefault="004646BB" w:rsidP="004646BB">
      <w:r w:rsidRPr="00C4578E">
        <w:t>AusNet Services</w:t>
      </w:r>
      <w:r>
        <w:t>’</w:t>
      </w:r>
      <w:r w:rsidRPr="00C4578E">
        <w:t xml:space="preserve"> proposed nominated pass through events are set out in</w:t>
      </w:r>
      <w:r w:rsidR="00F365B3">
        <w:t xml:space="preserve"> </w:t>
      </w:r>
      <w:r w:rsidR="00F365B3">
        <w:fldChar w:fldCharType="begin"/>
      </w:r>
      <w:r w:rsidR="00F365B3">
        <w:instrText xml:space="preserve"> REF _Ref436748663 \h </w:instrText>
      </w:r>
      <w:r w:rsidR="00F365B3">
        <w:fldChar w:fldCharType="separate"/>
      </w:r>
      <w:r w:rsidR="009D5EDD">
        <w:t xml:space="preserve">Table </w:t>
      </w:r>
      <w:r w:rsidR="009D5EDD">
        <w:rPr>
          <w:noProof/>
        </w:rPr>
        <w:t>13</w:t>
      </w:r>
      <w:r w:rsidR="009D5EDD">
        <w:noBreakHyphen/>
      </w:r>
      <w:r w:rsidR="009D5EDD">
        <w:rPr>
          <w:noProof/>
        </w:rPr>
        <w:t>1</w:t>
      </w:r>
      <w:r w:rsidR="00F365B3">
        <w:fldChar w:fldCharType="end"/>
      </w:r>
      <w:r w:rsidRPr="00C4578E">
        <w:rPr>
          <w:rStyle w:val="AERbody"/>
        </w:rPr>
        <w:t xml:space="preserve">. </w:t>
      </w:r>
    </w:p>
    <w:p w:rsidR="004646BB" w:rsidRDefault="004646BB" w:rsidP="004646BB">
      <w:pPr>
        <w:pStyle w:val="Caption"/>
      </w:pPr>
      <w:bookmarkStart w:id="15" w:name="_Ref436748663"/>
      <w:r>
        <w:t xml:space="preserve">Table </w:t>
      </w:r>
      <w:r w:rsidR="000F3998">
        <w:fldChar w:fldCharType="begin"/>
      </w:r>
      <w:r w:rsidR="000F3998">
        <w:instrText xml:space="preserve"> STYLEREF 1 \s </w:instrText>
      </w:r>
      <w:r w:rsidR="000F3998">
        <w:fldChar w:fldCharType="separate"/>
      </w:r>
      <w:r w:rsidR="009D5EDD">
        <w:rPr>
          <w:noProof/>
        </w:rPr>
        <w:t>13</w:t>
      </w:r>
      <w:r w:rsidR="000F3998">
        <w:rPr>
          <w:noProof/>
        </w:rPr>
        <w:fldChar w:fldCharType="end"/>
      </w:r>
      <w:r>
        <w:noBreakHyphen/>
      </w:r>
      <w:r w:rsidR="000F3998">
        <w:fldChar w:fldCharType="begin"/>
      </w:r>
      <w:r w:rsidR="000F3998">
        <w:instrText xml:space="preserve"> SEQ Table \* ARABIC \s 1 </w:instrText>
      </w:r>
      <w:r w:rsidR="000F3998">
        <w:fldChar w:fldCharType="separate"/>
      </w:r>
      <w:r w:rsidR="009D5EDD">
        <w:rPr>
          <w:noProof/>
        </w:rPr>
        <w:t>1</w:t>
      </w:r>
      <w:r w:rsidR="000F3998">
        <w:rPr>
          <w:noProof/>
        </w:rPr>
        <w:fldChar w:fldCharType="end"/>
      </w:r>
      <w:bookmarkEnd w:id="15"/>
      <w:r w:rsidRPr="00C4578E">
        <w:tab/>
        <w:t>AusNet Services’ proposed pass through events</w:t>
      </w:r>
    </w:p>
    <w:tbl>
      <w:tblPr>
        <w:tblStyle w:val="AERtable-text0"/>
        <w:tblW w:w="0" w:type="auto"/>
        <w:tblLook w:val="04A0" w:firstRow="1" w:lastRow="0" w:firstColumn="1" w:lastColumn="0" w:noHBand="0" w:noVBand="1"/>
      </w:tblPr>
      <w:tblGrid>
        <w:gridCol w:w="3085"/>
        <w:gridCol w:w="5608"/>
      </w:tblGrid>
      <w:tr w:rsidR="004646BB" w:rsidTr="004646BB">
        <w:trPr>
          <w:cnfStyle w:val="100000000000" w:firstRow="1" w:lastRow="0" w:firstColumn="0" w:lastColumn="0" w:oddVBand="0" w:evenVBand="0" w:oddHBand="0" w:evenHBand="0" w:firstRowFirstColumn="0" w:firstRowLastColumn="0" w:lastRowFirstColumn="0" w:lastRowLastColumn="0"/>
          <w:tblHeader/>
        </w:trPr>
        <w:tc>
          <w:tcPr>
            <w:tcW w:w="3085" w:type="dxa"/>
          </w:tcPr>
          <w:p w:rsidR="004646BB" w:rsidRPr="004646BB" w:rsidRDefault="004646BB" w:rsidP="004646BB">
            <w:r>
              <w:t>Proposed event</w:t>
            </w:r>
          </w:p>
        </w:tc>
        <w:tc>
          <w:tcPr>
            <w:tcW w:w="5608" w:type="dxa"/>
          </w:tcPr>
          <w:p w:rsidR="004646BB" w:rsidRPr="004646BB" w:rsidRDefault="008E08B1" w:rsidP="008E08B1">
            <w:r>
              <w:t>AusNet Services’ p</w:t>
            </w:r>
            <w:r w:rsidR="004646BB" w:rsidRPr="004646BB">
              <w:t xml:space="preserve">roposed definition </w:t>
            </w:r>
          </w:p>
        </w:tc>
      </w:tr>
      <w:tr w:rsidR="004646BB" w:rsidTr="004646BB">
        <w:tc>
          <w:tcPr>
            <w:tcW w:w="3085" w:type="dxa"/>
          </w:tcPr>
          <w:p w:rsidR="004646BB" w:rsidRPr="004646BB" w:rsidRDefault="004646BB" w:rsidP="004646BB">
            <w:r>
              <w:t>Terrorism event</w:t>
            </w:r>
          </w:p>
        </w:tc>
        <w:tc>
          <w:tcPr>
            <w:tcW w:w="5608" w:type="dxa"/>
          </w:tcPr>
          <w:p w:rsidR="00730768" w:rsidRPr="00FA5365" w:rsidRDefault="00134F95" w:rsidP="00730768">
            <w:r w:rsidRPr="00FA5365">
              <w:t xml:space="preserve"> </w:t>
            </w:r>
            <w:r w:rsidR="00730768" w:rsidRPr="00FA5365">
              <w:rPr>
                <w:iCs/>
              </w:rPr>
              <w:t xml:space="preserve">A terrorism event occurs if: </w:t>
            </w:r>
          </w:p>
          <w:p w:rsidR="00730768" w:rsidRPr="00FA5365" w:rsidRDefault="00730768" w:rsidP="00730768">
            <w:r w:rsidRPr="00FA5365">
              <w:rPr>
                <w:iCs/>
              </w:rP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AusNet Services in providing prescribed transmission services. </w:t>
            </w:r>
          </w:p>
          <w:p w:rsidR="00730768" w:rsidRPr="00FA5365" w:rsidRDefault="00730768" w:rsidP="00730768">
            <w:r w:rsidRPr="00FA5365">
              <w:rPr>
                <w:iCs/>
              </w:rPr>
              <w:t xml:space="preserve">Note: In assessing a terrorism event pass through application, the AER will have regard to, amongst other things: </w:t>
            </w:r>
          </w:p>
          <w:p w:rsidR="00730768" w:rsidRPr="00FA5365" w:rsidRDefault="00730768" w:rsidP="00730768">
            <w:r w:rsidRPr="00FA5365">
              <w:rPr>
                <w:iCs/>
              </w:rPr>
              <w:t xml:space="preserve">i. whether AusNet Services has insurance against the event, including coverage from the Australian Reinsurance Pool; </w:t>
            </w:r>
          </w:p>
          <w:p w:rsidR="00730768" w:rsidRPr="00FA5365" w:rsidRDefault="00730768" w:rsidP="00730768">
            <w:r w:rsidRPr="00FA5365">
              <w:rPr>
                <w:iCs/>
              </w:rPr>
              <w:t xml:space="preserve">ii. the level of insurance that an efficient and prudent NSP would obtain in respect of the event; and </w:t>
            </w:r>
          </w:p>
          <w:p w:rsidR="004646BB" w:rsidRPr="00FA5365" w:rsidRDefault="00730768" w:rsidP="008244AC">
            <w:r w:rsidRPr="00FA5365">
              <w:rPr>
                <w:iCs/>
              </w:rPr>
              <w:t>iii. whether a declaration has been made by a relevant government authority that a terrorism event has occurred.</w:t>
            </w:r>
          </w:p>
        </w:tc>
      </w:tr>
      <w:tr w:rsidR="004646BB" w:rsidTr="004646BB">
        <w:trPr>
          <w:cnfStyle w:val="000000010000" w:firstRow="0" w:lastRow="0" w:firstColumn="0" w:lastColumn="0" w:oddVBand="0" w:evenVBand="0" w:oddHBand="0" w:evenHBand="1" w:firstRowFirstColumn="0" w:firstRowLastColumn="0" w:lastRowFirstColumn="0" w:lastRowLastColumn="0"/>
        </w:trPr>
        <w:tc>
          <w:tcPr>
            <w:tcW w:w="3085" w:type="dxa"/>
          </w:tcPr>
          <w:p w:rsidR="004646BB" w:rsidRPr="004646BB" w:rsidRDefault="004646BB" w:rsidP="004646BB">
            <w:r>
              <w:t>Insurance cap event</w:t>
            </w:r>
          </w:p>
        </w:tc>
        <w:tc>
          <w:tcPr>
            <w:tcW w:w="5608" w:type="dxa"/>
          </w:tcPr>
          <w:p w:rsidR="00730768" w:rsidRPr="00FA5365" w:rsidRDefault="00730768" w:rsidP="00730768">
            <w:r w:rsidRPr="00FA5365">
              <w:rPr>
                <w:iCs/>
              </w:rPr>
              <w:t xml:space="preserve">An insurance cap event occurs if: </w:t>
            </w:r>
          </w:p>
          <w:p w:rsidR="00730768" w:rsidRPr="00FA5365" w:rsidRDefault="00730768" w:rsidP="00730768">
            <w:r w:rsidRPr="00FA5365">
              <w:rPr>
                <w:iCs/>
              </w:rPr>
              <w:lastRenderedPageBreak/>
              <w:t xml:space="preserve">1. AusNet Services makes a claim or claims and receives the benefit of a payment or payments under a relevant insurance policy; </w:t>
            </w:r>
          </w:p>
          <w:p w:rsidR="00730768" w:rsidRPr="00FA5365" w:rsidRDefault="00730768" w:rsidP="00730768">
            <w:r w:rsidRPr="00FA5365">
              <w:rPr>
                <w:iCs/>
              </w:rPr>
              <w:t xml:space="preserve">2. AusNet Services incurs costs beyond the relevant policy limit; and </w:t>
            </w:r>
          </w:p>
          <w:p w:rsidR="00730768" w:rsidRPr="00FA5365" w:rsidRDefault="00730768" w:rsidP="00730768">
            <w:r w:rsidRPr="00FA5365">
              <w:rPr>
                <w:iCs/>
              </w:rPr>
              <w:t xml:space="preserve">3. the costs beyond the relevant policy limit materially increase the costs to AusNet Services in providing prescribed transmission services. </w:t>
            </w:r>
          </w:p>
          <w:p w:rsidR="00730768" w:rsidRPr="00FA5365" w:rsidRDefault="00730768" w:rsidP="00730768">
            <w:r w:rsidRPr="00FA5365">
              <w:rPr>
                <w:iCs/>
              </w:rPr>
              <w:t xml:space="preserve">For this insurance cap event: </w:t>
            </w:r>
          </w:p>
          <w:p w:rsidR="00730768" w:rsidRPr="00FA5365" w:rsidRDefault="00730768" w:rsidP="00730768">
            <w:r w:rsidRPr="00FA5365">
              <w:rPr>
                <w:iCs/>
              </w:rPr>
              <w:t xml:space="preserve">4. the relevant policy limit is the greater of: </w:t>
            </w:r>
          </w:p>
          <w:p w:rsidR="00730768" w:rsidRPr="00FA5365" w:rsidRDefault="00730768" w:rsidP="00730768">
            <w:r w:rsidRPr="00FA5365">
              <w:rPr>
                <w:iCs/>
              </w:rPr>
              <w:t xml:space="preserve">a. AusNet Services’ actual policy limit at the time of the event that gives, or would have given rise to a claim; and </w:t>
            </w:r>
          </w:p>
          <w:p w:rsidR="00730768" w:rsidRPr="00FA5365" w:rsidRDefault="00730768" w:rsidP="00730768">
            <w:r w:rsidRPr="00FA5365">
              <w:rPr>
                <w:iCs/>
              </w:rPr>
              <w:t xml:space="preserve">b. subject to paragraph c, the policy limit that is explicitly or implicitly commensurate with the allowance for insurance premiums that is included in the forecast operating expenditure allowance approved in the AER's final decision for the regulatory control period; </w:t>
            </w:r>
          </w:p>
          <w:p w:rsidR="00730768" w:rsidRPr="00FA5365" w:rsidRDefault="00730768" w:rsidP="00730768">
            <w:pPr>
              <w:rPr>
                <w:iCs/>
              </w:rPr>
            </w:pPr>
            <w:r w:rsidRPr="00FA5365">
              <w:rPr>
                <w:iCs/>
              </w:rPr>
              <w:t>c. the policy limit in paragraph b will not be taken as the greater policy limit if that policy limit at the time of the event that gives rise to a claim, was not available to AusNet Services for reasons beyond its control;</w:t>
            </w:r>
          </w:p>
          <w:p w:rsidR="00730768" w:rsidRPr="00FA5365" w:rsidRDefault="00730768" w:rsidP="00730768">
            <w:pPr>
              <w:rPr>
                <w:iCs/>
              </w:rPr>
            </w:pPr>
            <w:r w:rsidRPr="00FA5365">
              <w:rPr>
                <w:iCs/>
              </w:rPr>
              <w:t xml:space="preserve">5. a relevant insurance policy is an insurance policy held during the 2017–22 regulatory control period or a previous regulatory control period in which AusNet Services was regulated. </w:t>
            </w:r>
          </w:p>
          <w:p w:rsidR="00730768" w:rsidRPr="00FA5365" w:rsidRDefault="00730768" w:rsidP="00730768">
            <w:pPr>
              <w:rPr>
                <w:iCs/>
              </w:rPr>
            </w:pPr>
            <w:r w:rsidRPr="00FA5365">
              <w:rPr>
                <w:iCs/>
              </w:rPr>
              <w:t xml:space="preserve">Note: for the avoidance of doubt, in assessing an insurance cap event cost pass through application under Rule 6A7.3, the AER will have regard to, amongst other things: </w:t>
            </w:r>
          </w:p>
          <w:p w:rsidR="00730768" w:rsidRPr="00FA5365" w:rsidRDefault="00730768" w:rsidP="00730768">
            <w:pPr>
              <w:rPr>
                <w:iCs/>
              </w:rPr>
            </w:pPr>
            <w:r w:rsidRPr="00FA5365">
              <w:rPr>
                <w:iCs/>
              </w:rPr>
              <w:t xml:space="preserve">i. the relevant insurance policy for the event; and </w:t>
            </w:r>
          </w:p>
          <w:p w:rsidR="008244AC" w:rsidRPr="00FA5365" w:rsidRDefault="00730768" w:rsidP="00730768">
            <w:pPr>
              <w:rPr>
                <w:iCs/>
              </w:rPr>
            </w:pPr>
            <w:r w:rsidRPr="00FA5365">
              <w:rPr>
                <w:iCs/>
              </w:rPr>
              <w:t>ii. the level of insurance that an efficient and prudent TNSP would obtain in respect of the event.</w:t>
            </w:r>
          </w:p>
        </w:tc>
      </w:tr>
      <w:tr w:rsidR="004646BB" w:rsidTr="004646BB">
        <w:tc>
          <w:tcPr>
            <w:tcW w:w="3085" w:type="dxa"/>
          </w:tcPr>
          <w:p w:rsidR="004646BB" w:rsidRPr="004646BB" w:rsidRDefault="004646BB" w:rsidP="004646BB">
            <w:r>
              <w:lastRenderedPageBreak/>
              <w:t>Natural disaster event</w:t>
            </w:r>
          </w:p>
        </w:tc>
        <w:tc>
          <w:tcPr>
            <w:tcW w:w="5608" w:type="dxa"/>
          </w:tcPr>
          <w:p w:rsidR="00730768" w:rsidRPr="00FA5365" w:rsidRDefault="00730768" w:rsidP="00730768">
            <w:r w:rsidRPr="00FA5365">
              <w:rPr>
                <w:iCs/>
              </w:rPr>
              <w:t xml:space="preserve">A natural disaster event occurs if: </w:t>
            </w:r>
          </w:p>
          <w:p w:rsidR="00730768" w:rsidRPr="00FA5365" w:rsidRDefault="00730768" w:rsidP="00730768">
            <w:r w:rsidRPr="00FA5365">
              <w:rPr>
                <w:iCs/>
              </w:rPr>
              <w:t xml:space="preserve">Any major fire, flood, earthquake or other natural disaster occurs during the 2017-22 regulatory control period and materially increases the costs to AusNet Services in providing prescribed transmission services, provided the fire, flood or other event was not a consequence of the acts or omissions of the service provider. </w:t>
            </w:r>
          </w:p>
          <w:p w:rsidR="00730768" w:rsidRPr="00FA5365" w:rsidRDefault="00730768" w:rsidP="00730768">
            <w:r w:rsidRPr="00FA5365">
              <w:rPr>
                <w:iCs/>
              </w:rPr>
              <w:t xml:space="preserve">The term ‘major’ in the above paragraph means an event that is serious and significant. It does not mean material as that term is defined in the Rules (that is 1 per cent of the TNSP’s annual revenue requirement for that regulatory year). </w:t>
            </w:r>
          </w:p>
          <w:p w:rsidR="00730768" w:rsidRPr="00FA5365" w:rsidRDefault="00730768" w:rsidP="00730768">
            <w:r w:rsidRPr="00FA5365">
              <w:rPr>
                <w:iCs/>
              </w:rPr>
              <w:t xml:space="preserve">Note: In assessing a natural disaster event pass through application, the AER will have regard to, amongst other things: </w:t>
            </w:r>
          </w:p>
          <w:p w:rsidR="00730768" w:rsidRPr="00FA5365" w:rsidRDefault="00730768" w:rsidP="00730768">
            <w:r w:rsidRPr="00FA5365">
              <w:rPr>
                <w:iCs/>
              </w:rPr>
              <w:t xml:space="preserve">i. whether AusNet Services has insurance against the event; </w:t>
            </w:r>
          </w:p>
          <w:p w:rsidR="00730768" w:rsidRPr="00FA5365" w:rsidRDefault="00730768" w:rsidP="00730768">
            <w:r w:rsidRPr="00FA5365">
              <w:rPr>
                <w:iCs/>
              </w:rPr>
              <w:t xml:space="preserve">ii. the level of insurance that an efficient and prudent NSP would obtain in respect of the event; and </w:t>
            </w:r>
          </w:p>
          <w:p w:rsidR="004646BB" w:rsidRPr="00FA5365" w:rsidRDefault="00730768" w:rsidP="00730768">
            <w:r w:rsidRPr="00FA5365">
              <w:rPr>
                <w:iCs/>
              </w:rPr>
              <w:t>iii. whether a relevant government authority has made a declaration that a natural disaster has occurred.</w:t>
            </w:r>
          </w:p>
        </w:tc>
      </w:tr>
      <w:tr w:rsidR="004646BB" w:rsidTr="004646BB">
        <w:trPr>
          <w:cnfStyle w:val="000000010000" w:firstRow="0" w:lastRow="0" w:firstColumn="0" w:lastColumn="0" w:oddVBand="0" w:evenVBand="0" w:oddHBand="0" w:evenHBand="1" w:firstRowFirstColumn="0" w:firstRowLastColumn="0" w:lastRowFirstColumn="0" w:lastRowLastColumn="0"/>
        </w:trPr>
        <w:tc>
          <w:tcPr>
            <w:tcW w:w="3085" w:type="dxa"/>
          </w:tcPr>
          <w:p w:rsidR="004646BB" w:rsidRPr="004646BB" w:rsidRDefault="004646BB" w:rsidP="004646BB">
            <w:r>
              <w:t>Insurer credit risk event</w:t>
            </w:r>
          </w:p>
        </w:tc>
        <w:tc>
          <w:tcPr>
            <w:tcW w:w="5608" w:type="dxa"/>
          </w:tcPr>
          <w:p w:rsidR="004646BB" w:rsidRPr="004646BB" w:rsidRDefault="004646BB" w:rsidP="004646BB">
            <w:r>
              <w:t>An insurer’s credit risk event occurs if:</w:t>
            </w:r>
          </w:p>
          <w:p w:rsidR="004646BB" w:rsidRPr="004646BB" w:rsidRDefault="004646BB" w:rsidP="004646BB">
            <w:r>
              <w:t>A nominated insurer of AusNet Services becomes insolvent, and as a result, in respect of an existing, or potential, claim for a risk that was insured by the insolvent insurer, AusNet Services:</w:t>
            </w:r>
          </w:p>
          <w:p w:rsidR="004646BB" w:rsidRPr="004646BB" w:rsidRDefault="004646BB" w:rsidP="004646BB">
            <w:r>
              <w:t>1. is subject to a materially higher or lower claim limit or a materially higher or lower deductible than would have otherwise applied under the insolvent insurer’s policy; or</w:t>
            </w:r>
          </w:p>
          <w:p w:rsidR="004646BB" w:rsidRPr="004646BB" w:rsidRDefault="004646BB" w:rsidP="004646BB">
            <w:r>
              <w:lastRenderedPageBreak/>
              <w:t>2. incurs additional costs associated with self-funding an insurance claim, which would otherwise have been covered by the insolvent insurer.</w:t>
            </w:r>
          </w:p>
          <w:p w:rsidR="004646BB" w:rsidRPr="004646BB" w:rsidRDefault="004646BB" w:rsidP="004646BB">
            <w:r>
              <w:t>Note: In assessing an insurer's credit risk event pass through application, the AER will have regard to, amongst other things:</w:t>
            </w:r>
          </w:p>
          <w:p w:rsidR="004646BB" w:rsidRPr="004646BB" w:rsidRDefault="004646BB" w:rsidP="004646BB">
            <w:r>
              <w:t>i. AusNet Services’ attempts to mitigate and prevent the event from occurring by reviewing and considering the insurer’s track record, size, credit rating and reputation; and</w:t>
            </w:r>
          </w:p>
          <w:p w:rsidR="004646BB" w:rsidRPr="004646BB" w:rsidRDefault="004646BB" w:rsidP="004646BB">
            <w:r>
              <w:t>ii. in the event that a claim would have been made after the insurance provider became insolvent, whether AusNet Services had reasonable opportunity to insure the risk with a different provider.”</w:t>
            </w:r>
          </w:p>
        </w:tc>
      </w:tr>
      <w:tr w:rsidR="004646BB" w:rsidTr="004646BB">
        <w:tc>
          <w:tcPr>
            <w:tcW w:w="3085" w:type="dxa"/>
          </w:tcPr>
          <w:p w:rsidR="004646BB" w:rsidRPr="004646BB" w:rsidRDefault="004646BB" w:rsidP="004646BB">
            <w:r w:rsidRPr="00180BEB">
              <w:lastRenderedPageBreak/>
              <w:t>Decommissioning of Point Henry – Geelong Terminal Station 220kV Lines Event</w:t>
            </w:r>
          </w:p>
        </w:tc>
        <w:tc>
          <w:tcPr>
            <w:tcW w:w="5608" w:type="dxa"/>
          </w:tcPr>
          <w:p w:rsidR="004646BB" w:rsidRPr="004646BB" w:rsidRDefault="004646BB" w:rsidP="004646BB">
            <w:r>
              <w:t>“A PTH-GTS line decommissioning event occurs if AusNet Services is required by a relevant authority to remove all, or part of, the 220kV lines between Point Henry and Geelong Terminal Station and associated infrastructure.</w:t>
            </w:r>
          </w:p>
          <w:p w:rsidR="004646BB" w:rsidRPr="004646BB" w:rsidRDefault="004646BB" w:rsidP="004646BB">
            <w:r>
              <w:t>Note: In assessing a PTH-GTS line decommissioning event pass through application, the AER will have regard to, amongst other things:</w:t>
            </w:r>
          </w:p>
          <w:p w:rsidR="004646BB" w:rsidRPr="004646BB" w:rsidRDefault="004646BB" w:rsidP="004646BB">
            <w:r>
              <w:t>i. The origin and nature of the requirement to remove all, or part of, the lines and associated infrastructure;</w:t>
            </w:r>
          </w:p>
          <w:p w:rsidR="004646BB" w:rsidRPr="004646BB" w:rsidRDefault="004646BB" w:rsidP="004646BB">
            <w:r>
              <w:t>ii. Any payments received by AusNet Services for the return of the easements to the landholders; and</w:t>
            </w:r>
          </w:p>
          <w:p w:rsidR="004646BB" w:rsidRPr="004646BB" w:rsidRDefault="004646BB" w:rsidP="004646BB">
            <w:r>
              <w:t>iii. AusNet Services’ actions in seeking to minimise the costs of the PHT-GTS line decommissioning event.”</w:t>
            </w:r>
          </w:p>
        </w:tc>
      </w:tr>
      <w:tr w:rsidR="004646BB" w:rsidTr="004646BB">
        <w:trPr>
          <w:cnfStyle w:val="000000010000" w:firstRow="0" w:lastRow="0" w:firstColumn="0" w:lastColumn="0" w:oddVBand="0" w:evenVBand="0" w:oddHBand="0" w:evenHBand="1" w:firstRowFirstColumn="0" w:firstRowLastColumn="0" w:lastRowFirstColumn="0" w:lastRowLastColumn="0"/>
        </w:trPr>
        <w:tc>
          <w:tcPr>
            <w:tcW w:w="3085" w:type="dxa"/>
          </w:tcPr>
          <w:p w:rsidR="004646BB" w:rsidRPr="004646BB" w:rsidRDefault="004646BB" w:rsidP="004646BB">
            <w:r>
              <w:t>Confidential event</w:t>
            </w:r>
          </w:p>
        </w:tc>
        <w:tc>
          <w:tcPr>
            <w:tcW w:w="5608" w:type="dxa"/>
          </w:tcPr>
          <w:p w:rsidR="004646BB" w:rsidRPr="004646BB" w:rsidRDefault="004646BB" w:rsidP="004646BB">
            <w:r>
              <w:t>AusNet Services has submitted all details of this proposed event, including its definition and AusNet Services’ submissions in support of this event</w:t>
            </w:r>
            <w:r w:rsidR="001C0276">
              <w:t>, to us</w:t>
            </w:r>
            <w:r>
              <w:t xml:space="preserve"> in confidence.</w:t>
            </w:r>
          </w:p>
          <w:p w:rsidR="004646BB" w:rsidRPr="004646BB" w:rsidRDefault="004646BB" w:rsidP="004646BB">
            <w:r w:rsidRPr="00180BEB">
              <w:t>AusNet Services</w:t>
            </w:r>
            <w:r w:rsidRPr="004646BB">
              <w:t xml:space="preserve"> stated in its proposal that is open to disclosing the details of the proposed event to stakeholders on request, subject to suitable confidentiality agreements being put in place.</w:t>
            </w:r>
            <w:r w:rsidRPr="004646BB">
              <w:rPr>
                <w:rStyle w:val="FootnoteReference"/>
              </w:rPr>
              <w:footnoteReference w:id="6"/>
            </w:r>
          </w:p>
        </w:tc>
      </w:tr>
    </w:tbl>
    <w:p w:rsidR="004646BB" w:rsidRPr="006E3B8F" w:rsidRDefault="004646BB" w:rsidP="004646BB">
      <w:pPr>
        <w:pStyle w:val="FootnoteText"/>
      </w:pPr>
      <w:r w:rsidRPr="006E3B8F">
        <w:t>Source:</w:t>
      </w:r>
      <w:r>
        <w:tab/>
        <w:t xml:space="preserve">AusNet Services, </w:t>
      </w:r>
      <w:r w:rsidRPr="004646BB">
        <w:t>AusNet Transmission Group Pty Ltd Transmission Revenue Review 2017–22</w:t>
      </w:r>
      <w:r>
        <w:t>, October 2015, pp. 314–319.</w:t>
      </w:r>
    </w:p>
    <w:p w:rsidR="004646BB" w:rsidRPr="006502ED" w:rsidRDefault="004646BB" w:rsidP="00DB150D"/>
    <w:p w:rsidR="004646BB" w:rsidRDefault="004646BB" w:rsidP="004646BB">
      <w:pPr>
        <w:pStyle w:val="Heading2"/>
      </w:pPr>
      <w:bookmarkStart w:id="16" w:name="_Toc432762766"/>
      <w:bookmarkStart w:id="17" w:name="_Toc456603322"/>
      <w:bookmarkEnd w:id="13"/>
      <w:r w:rsidRPr="0074565D">
        <w:t>AER’s assessment approach</w:t>
      </w:r>
      <w:bookmarkEnd w:id="16"/>
      <w:bookmarkEnd w:id="17"/>
    </w:p>
    <w:p w:rsidR="004646BB" w:rsidRDefault="004646BB" w:rsidP="004646BB">
      <w:r>
        <w:t>The NER set out how we must assess nominated pass through events proposed by a service provider, and how we must assess an application from a service provider to pass through changes in costs where an event occurs.</w:t>
      </w:r>
    </w:p>
    <w:p w:rsidR="004646BB" w:rsidRPr="00D2131E" w:rsidRDefault="004646BB" w:rsidP="004646BB">
      <w:r>
        <w:t xml:space="preserve">In this decision, our task is to determine whether to accept the nominated pass through events. </w:t>
      </w:r>
    </w:p>
    <w:p w:rsidR="004646BB" w:rsidRPr="006502ED" w:rsidRDefault="004646BB" w:rsidP="00F365B3">
      <w:pPr>
        <w:numPr>
          <w:ilvl w:val="0"/>
          <w:numId w:val="24"/>
        </w:numPr>
      </w:pPr>
      <w:r w:rsidRPr="006502ED">
        <w:t>The NER include the following pass through events</w:t>
      </w:r>
      <w:r>
        <w:t xml:space="preserve"> for </w:t>
      </w:r>
      <w:r w:rsidRPr="00E666DE">
        <w:t>all transmission</w:t>
      </w:r>
      <w:r>
        <w:t xml:space="preserve"> determinations</w:t>
      </w:r>
      <w:r w:rsidRPr="006502ED">
        <w:t>:</w:t>
      </w:r>
      <w:r>
        <w:rPr>
          <w:rStyle w:val="FootnoteReference"/>
        </w:rPr>
        <w:footnoteReference w:id="7"/>
      </w:r>
    </w:p>
    <w:p w:rsidR="004646BB" w:rsidRPr="006502ED" w:rsidRDefault="004646BB" w:rsidP="004646BB">
      <w:pPr>
        <w:pStyle w:val="AERbulletlistfirststyle"/>
      </w:pPr>
      <w:r w:rsidRPr="006502ED">
        <w:lastRenderedPageBreak/>
        <w:t>a regulatory change event</w:t>
      </w:r>
    </w:p>
    <w:p w:rsidR="004646BB" w:rsidRPr="006502ED" w:rsidRDefault="004646BB" w:rsidP="004646BB">
      <w:pPr>
        <w:pStyle w:val="AERbulletlistfirststyle"/>
      </w:pPr>
      <w:r w:rsidRPr="006502ED">
        <w:t>a service standard event</w:t>
      </w:r>
    </w:p>
    <w:p w:rsidR="004646BB" w:rsidRPr="00196CE3" w:rsidRDefault="004646BB" w:rsidP="004646BB">
      <w:pPr>
        <w:pStyle w:val="AERbulletlistfirststyle"/>
      </w:pPr>
      <w:r w:rsidRPr="00196CE3">
        <w:t>a tax change event</w:t>
      </w:r>
    </w:p>
    <w:p w:rsidR="004646BB" w:rsidRPr="00E666DE" w:rsidRDefault="004646BB" w:rsidP="004646BB">
      <w:pPr>
        <w:pStyle w:val="AERbulletlistfirststyle"/>
      </w:pPr>
      <w:r w:rsidRPr="00E666DE">
        <w:t>an insurance event</w:t>
      </w:r>
    </w:p>
    <w:p w:rsidR="004646BB" w:rsidRDefault="004646BB" w:rsidP="004646BB">
      <w:r w:rsidRPr="00E666DE">
        <w:t>They also allow a service provider</w:t>
      </w:r>
      <w:r>
        <w:t xml:space="preserve"> to propose other events be specified in a determination as a pass through event for that determination.</w:t>
      </w:r>
      <w:r>
        <w:rPr>
          <w:rStyle w:val="FootnoteReference"/>
        </w:rPr>
        <w:footnoteReference w:id="8"/>
      </w:r>
      <w:r>
        <w:t xml:space="preserve"> Our draft decision must include a decision on the additional (nominated) pass through events that are to apply for the regulatory control period.</w:t>
      </w:r>
      <w:r>
        <w:rPr>
          <w:rStyle w:val="FootnoteReference"/>
        </w:rPr>
        <w:footnoteReference w:id="9"/>
      </w:r>
      <w:r>
        <w:t xml:space="preserve"> </w:t>
      </w:r>
    </w:p>
    <w:p w:rsidR="004646BB" w:rsidRPr="002B285B" w:rsidRDefault="004646BB" w:rsidP="004646BB">
      <w:r>
        <w:t xml:space="preserve">Our assessment approach is </w:t>
      </w:r>
      <w:r w:rsidRPr="002B285B">
        <w:t xml:space="preserve">guided by the National Electricity Objective (NEO) and the Revenue and Pricing Principles. </w:t>
      </w:r>
      <w:r>
        <w:t>These provide</w:t>
      </w:r>
      <w:r w:rsidRPr="002B285B">
        <w:t xml:space="preserve"> the </w:t>
      </w:r>
      <w:r>
        <w:t>service provider</w:t>
      </w:r>
      <w:r w:rsidRPr="002B285B">
        <w:t xml:space="preserve"> with a reasonable opportunity to recover at least the efficient costs </w:t>
      </w:r>
      <w:r>
        <w:t>incurred in providing services</w:t>
      </w:r>
      <w:r w:rsidR="001C0276">
        <w:t xml:space="preserve"> and complying with its obligations</w:t>
      </w:r>
      <w:r>
        <w:t>.</w:t>
      </w:r>
      <w:r w:rsidRPr="002B285B">
        <w:rPr>
          <w:rStyle w:val="AERsuperscript"/>
        </w:rPr>
        <w:footnoteReference w:id="10"/>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11"/>
      </w:r>
      <w:r w:rsidRPr="002B285B">
        <w:rPr>
          <w:rStyle w:val="AERsuperscript"/>
        </w:rPr>
        <w:t xml:space="preserve"> </w:t>
      </w:r>
      <w:r>
        <w:t xml:space="preserve">Together, they </w:t>
      </w:r>
      <w:r w:rsidRPr="002B285B">
        <w:t>promote a balance between the economic costs and risk</w:t>
      </w:r>
      <w:r w:rsidR="001C0276">
        <w:t xml:space="preserve">s of the potential for under and over investment by a service provider, </w:t>
      </w:r>
      <w:r>
        <w:t>to</w:t>
      </w:r>
      <w:r w:rsidRPr="002B285B">
        <w:t xml:space="preserve"> promot</w:t>
      </w:r>
      <w:r>
        <w:t>e</w:t>
      </w:r>
      <w:r w:rsidRPr="002B285B">
        <w:t xml:space="preserve"> efficient investment.</w:t>
      </w:r>
      <w:r w:rsidRPr="002B285B">
        <w:rPr>
          <w:rStyle w:val="AERsuperscript"/>
        </w:rPr>
        <w:footnoteReference w:id="12"/>
      </w:r>
      <w:r w:rsidRPr="002B285B">
        <w:t xml:space="preserve"> </w:t>
      </w:r>
      <w:r>
        <w:t xml:space="preserve">In the context of pass through events, we have particular regard to the impact on price, quality, reliability and security of supply that may arise as a result of any change in the efficient operation of, and ability and incentive </w:t>
      </w:r>
      <w:r w:rsidR="006654E2">
        <w:t>of</w:t>
      </w:r>
      <w:r>
        <w:t>, a service provider to invest in its network.</w:t>
      </w:r>
      <w:r>
        <w:rPr>
          <w:rStyle w:val="FootnoteReference"/>
        </w:rPr>
        <w:footnoteReference w:id="13"/>
      </w:r>
    </w:p>
    <w:p w:rsidR="004646BB" w:rsidRPr="002B285B" w:rsidRDefault="004646BB" w:rsidP="004646BB">
      <w:r>
        <w:t xml:space="preserve">In determining whether we accept a nominated pass through event, we must take into account the </w:t>
      </w:r>
      <w:r w:rsidRPr="002B285B">
        <w:t>nominated pass through event considerations</w:t>
      </w:r>
      <w:r>
        <w:t>:</w:t>
      </w:r>
      <w:r>
        <w:rPr>
          <w:rStyle w:val="FootnoteReference"/>
        </w:rPr>
        <w:footnoteReference w:id="14"/>
      </w:r>
      <w:r w:rsidRPr="002B285B">
        <w:t xml:space="preserve"> </w:t>
      </w:r>
    </w:p>
    <w:p w:rsidR="004646BB" w:rsidRPr="0053614D" w:rsidRDefault="004646BB" w:rsidP="004646BB">
      <w:pPr>
        <w:pStyle w:val="AERquote"/>
      </w:pPr>
      <w:r w:rsidRPr="0053614D">
        <w:t xml:space="preserve">The </w:t>
      </w:r>
      <w:r w:rsidRPr="0053614D">
        <w:rPr>
          <w:rStyle w:val="AERtextitalic"/>
        </w:rPr>
        <w:t>nominated pass through event considerations</w:t>
      </w:r>
      <w:r w:rsidRPr="0053614D">
        <w:t xml:space="preserve"> are:</w:t>
      </w:r>
    </w:p>
    <w:p w:rsidR="004646BB" w:rsidRPr="00930CEF" w:rsidRDefault="004646BB" w:rsidP="004646BB">
      <w:pPr>
        <w:pStyle w:val="AERquote"/>
      </w:pPr>
      <w:r w:rsidRPr="00930CEF">
        <w:t xml:space="preserve">(a) whether the event proposed is an event covered by a category of </w:t>
      </w:r>
      <w:r w:rsidRPr="003855FF">
        <w:rPr>
          <w:rStyle w:val="AERtextitalic"/>
        </w:rPr>
        <w:t>pass through event</w:t>
      </w:r>
      <w:r w:rsidRPr="004646BB">
        <w:t xml:space="preserve"> </w:t>
      </w:r>
      <w:r w:rsidRPr="00930CEF">
        <w:t>specified in clause 6.6.1(a1)(1) to (4) (in the case of a distribution determination) or clause 6A.7.3(a1)(1) to</w:t>
      </w:r>
      <w:r>
        <w:t xml:space="preserve"> </w:t>
      </w:r>
      <w:r w:rsidRPr="00930CEF">
        <w:t xml:space="preserve">(4) (in the case of a </w:t>
      </w:r>
      <w:r w:rsidRPr="0053614D">
        <w:rPr>
          <w:rStyle w:val="AERtextitalic"/>
        </w:rPr>
        <w:t>transmission determination</w:t>
      </w:r>
      <w:r w:rsidRPr="00930CEF">
        <w:t>);</w:t>
      </w:r>
    </w:p>
    <w:p w:rsidR="004646BB" w:rsidRPr="00930CEF" w:rsidRDefault="004646BB" w:rsidP="004646BB">
      <w:pPr>
        <w:pStyle w:val="AERquote"/>
      </w:pPr>
      <w:r w:rsidRPr="00930CEF">
        <w:t>(b) whether the nature or type of event can be clearly identified at the time the determination is made for the service provider;</w:t>
      </w:r>
    </w:p>
    <w:p w:rsidR="004646BB" w:rsidRPr="00930CEF" w:rsidRDefault="004646BB" w:rsidP="004646BB">
      <w:pPr>
        <w:pStyle w:val="AERquote"/>
      </w:pPr>
      <w:r w:rsidRPr="00930CEF">
        <w:t>(c) whether a prudent service provider could reasonably prevent an event of that nature or type from occurring or substantially mitigate the cost impact of such an event;</w:t>
      </w:r>
    </w:p>
    <w:p w:rsidR="004646BB" w:rsidRDefault="004646BB" w:rsidP="004646BB">
      <w:pPr>
        <w:pStyle w:val="AERquote"/>
      </w:pPr>
      <w:r w:rsidRPr="00930CEF">
        <w:lastRenderedPageBreak/>
        <w:t>(d) whether the relevant service provider could insure against the event, having regard to:</w:t>
      </w:r>
    </w:p>
    <w:p w:rsidR="004646BB" w:rsidRPr="00930CEF" w:rsidRDefault="004646BB" w:rsidP="004646BB">
      <w:pPr>
        <w:pStyle w:val="AERquoteindent2"/>
      </w:pPr>
      <w:r w:rsidRPr="00930CEF">
        <w:t>(1) the availability (including the extent of availability in terms of liability limits) of insurance against the event on reasonable commercial terms; or</w:t>
      </w:r>
    </w:p>
    <w:p w:rsidR="004646BB" w:rsidRPr="00930CEF" w:rsidRDefault="004646BB" w:rsidP="004646BB">
      <w:pPr>
        <w:pStyle w:val="AERquoteindent2"/>
      </w:pPr>
      <w:r w:rsidRPr="00930CEF">
        <w:t>(2) whether the event can be self-insured on the basis that:</w:t>
      </w:r>
    </w:p>
    <w:p w:rsidR="004646BB" w:rsidRPr="00034A56" w:rsidRDefault="004646BB" w:rsidP="004646BB">
      <w:pPr>
        <w:pStyle w:val="AERquoteindent3"/>
      </w:pPr>
      <w:r w:rsidRPr="00930CEF">
        <w:t>(i)</w:t>
      </w:r>
      <w:r>
        <w:tab/>
      </w:r>
      <w:r w:rsidRPr="00930CEF">
        <w:t xml:space="preserve">it is </w:t>
      </w:r>
      <w:r w:rsidRPr="00034A56">
        <w:t>possible to calculate the self-insurance premium; and</w:t>
      </w:r>
    </w:p>
    <w:p w:rsidR="004646BB" w:rsidRPr="00930CEF" w:rsidRDefault="004646BB" w:rsidP="004646BB">
      <w:pPr>
        <w:pStyle w:val="AERquoteindent3"/>
      </w:pPr>
      <w:r w:rsidRPr="00034A56">
        <w:t>(ii)</w:t>
      </w:r>
      <w:r>
        <w:tab/>
      </w:r>
      <w:r w:rsidRPr="00034A56">
        <w:t>the potential cost to the relevant service provider would not have a significant impact</w:t>
      </w:r>
      <w:r w:rsidRPr="00930CEF">
        <w:t xml:space="preserve"> on the service provider’s ability to provide </w:t>
      </w:r>
      <w:r w:rsidRPr="003855FF">
        <w:rPr>
          <w:rStyle w:val="AERtextitalic"/>
        </w:rPr>
        <w:t>network services</w:t>
      </w:r>
      <w:r w:rsidRPr="00930CEF">
        <w:t>; and.</w:t>
      </w:r>
    </w:p>
    <w:p w:rsidR="004646BB" w:rsidRPr="00930CEF" w:rsidRDefault="004646BB" w:rsidP="004646BB">
      <w:pPr>
        <w:pStyle w:val="AERquote"/>
      </w:pPr>
      <w:r w:rsidRPr="00930CEF">
        <w:t xml:space="preserve">(e) any other matter the AER considers relevant and which the AER has notified </w:t>
      </w:r>
      <w:r w:rsidRPr="0053614D">
        <w:rPr>
          <w:rStyle w:val="AERtextitalic"/>
        </w:rPr>
        <w:t>Network Service Providers</w:t>
      </w:r>
      <w:r w:rsidRPr="00930CEF">
        <w:t xml:space="preserve"> is a nominated pass through event consideration</w:t>
      </w:r>
      <w:r>
        <w:t>.</w:t>
      </w:r>
    </w:p>
    <w:p w:rsidR="004646BB" w:rsidRDefault="004646BB" w:rsidP="004646BB">
      <w:r>
        <w:t xml:space="preserve">The </w:t>
      </w:r>
      <w:r w:rsidR="008C20B5">
        <w:t xml:space="preserve">AEMC described the </w:t>
      </w:r>
      <w:r>
        <w:t xml:space="preserve">purpose of the nominated pass through event considerations </w:t>
      </w:r>
      <w:r w:rsidR="00F80EE4">
        <w:t>as</w:t>
      </w:r>
      <w:r>
        <w:t>:</w:t>
      </w:r>
    </w:p>
    <w:p w:rsidR="004646BB" w:rsidRPr="004646BB" w:rsidRDefault="004646BB" w:rsidP="004646BB">
      <w:pPr>
        <w:pStyle w:val="AERbulletlistfirststyle"/>
      </w:pPr>
      <w:r>
        <w:t>t</w:t>
      </w:r>
      <w:r w:rsidRPr="004646BB">
        <w:t>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4646BB">
        <w:rPr>
          <w:rStyle w:val="FootnoteReference"/>
        </w:rPr>
        <w:footnoteReference w:id="15"/>
      </w:r>
    </w:p>
    <w:p w:rsidR="004646BB" w:rsidRPr="004646BB" w:rsidRDefault="004646BB" w:rsidP="004646BB">
      <w:pPr>
        <w:pStyle w:val="AERbulletlistfirststyle"/>
      </w:pPr>
      <w:r>
        <w:t xml:space="preserve">that a pass through event should only be accepted when it is the least inefficient </w:t>
      </w:r>
      <w:r w:rsidRPr="004646BB">
        <w:t>option and event avoidance, mitigation, commercial insurance and self-insurance are found to be inappropriate. That is, it is included after ascertaining the most efficient allocation of risks between a service provider and end customers.</w:t>
      </w:r>
      <w:r w:rsidRPr="004646BB">
        <w:rPr>
          <w:rStyle w:val="FootnoteReference"/>
        </w:rPr>
        <w:footnoteReference w:id="16"/>
      </w:r>
    </w:p>
    <w:p w:rsidR="004646BB" w:rsidRDefault="004646BB" w:rsidP="004646BB">
      <w:r>
        <w:t>In turn, this protects the incentive regime under the NER by limiting the erosion of incentives on service providers to use market based mechanisms to mitigate the cost impacts that would arise.</w:t>
      </w:r>
      <w:r>
        <w:rPr>
          <w:rStyle w:val="FootnoteReference"/>
        </w:rPr>
        <w:footnoteReference w:id="17"/>
      </w:r>
      <w:r>
        <w:t xml:space="preserve"> This promotes the efficient investment in, and efficient operation and use of, network services for the long term interests of consumers with respect to price.</w:t>
      </w:r>
      <w:r>
        <w:rPr>
          <w:rStyle w:val="FootnoteReference"/>
        </w:rPr>
        <w:footnoteReference w:id="18"/>
      </w:r>
      <w:r>
        <w:t xml:space="preserve"> </w:t>
      </w:r>
    </w:p>
    <w:p w:rsidR="004646BB" w:rsidRDefault="004646BB" w:rsidP="00BC671B">
      <w:pPr>
        <w:pStyle w:val="Heading3"/>
        <w:keepNext/>
      </w:pPr>
      <w:bookmarkStart w:id="18" w:name="_Toc419287638"/>
      <w:bookmarkStart w:id="19" w:name="_Toc432762767"/>
      <w:bookmarkStart w:id="20" w:name="_Toc456603323"/>
      <w:r>
        <w:lastRenderedPageBreak/>
        <w:t>Interrelationships</w:t>
      </w:r>
      <w:bookmarkEnd w:id="18"/>
      <w:bookmarkEnd w:id="19"/>
      <w:bookmarkEnd w:id="20"/>
    </w:p>
    <w:p w:rsidR="008E3C6E" w:rsidRDefault="008E3C6E" w:rsidP="00BC671B">
      <w:pPr>
        <w:keepNext/>
      </w:pPr>
      <w:r>
        <w:t xml:space="preserve">The pass through mechanism is not the only way in which service providers can manage their risks under a transmission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revenue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7A10D3" w:rsidRPr="004646BB" w:rsidRDefault="007A10D3" w:rsidP="007A10D3">
      <w:r w:rsidRPr="004646BB">
        <w:t xml:space="preserve">For systemic risks, service providers are compensated through the allowed rate of return. Service providers also face business-specific, or residual, risks. Service </w:t>
      </w:r>
      <w:r w:rsidR="001C0276">
        <w:t>p</w:t>
      </w:r>
      <w:r w:rsidRPr="004646BB">
        <w:t>roviders are compensated for the prudent and efficient management of these risks through the forecast opex and capex we include in our revenue determination for strategies such as:</w:t>
      </w:r>
    </w:p>
    <w:p w:rsidR="007A10D3" w:rsidRPr="004646BB" w:rsidRDefault="007A10D3" w:rsidP="007A10D3">
      <w:pPr>
        <w:pStyle w:val="AERbulletlistfirststyle"/>
      </w:pPr>
      <w:r w:rsidRPr="004646BB">
        <w:t>prevention (avoiding the risk)</w:t>
      </w:r>
    </w:p>
    <w:p w:rsidR="007A10D3" w:rsidRPr="004646BB" w:rsidRDefault="007A10D3" w:rsidP="007A10D3">
      <w:pPr>
        <w:pStyle w:val="AERbulletlistfirststyle"/>
      </w:pPr>
      <w:r w:rsidRPr="004646BB">
        <w:t>mitigation (reducing the probability and impact of the risk)</w:t>
      </w:r>
    </w:p>
    <w:p w:rsidR="007A10D3" w:rsidRPr="004646BB" w:rsidRDefault="007A10D3" w:rsidP="007A10D3">
      <w:pPr>
        <w:pStyle w:val="AERbulletlistfirststyle"/>
      </w:pPr>
      <w:r w:rsidRPr="004646BB">
        <w:t>insurance (transferring the risk to another party)</w:t>
      </w:r>
    </w:p>
    <w:p w:rsidR="007A10D3" w:rsidRPr="004646BB" w:rsidRDefault="007A10D3" w:rsidP="007A10D3">
      <w:pPr>
        <w:pStyle w:val="AERbulletlistfirststyle"/>
      </w:pPr>
      <w:r w:rsidRPr="004646BB">
        <w:t>self-insurance (putting aside funds to manage the likely costs associated with a risk event).</w:t>
      </w:r>
    </w:p>
    <w:p w:rsidR="008E3C6E" w:rsidRDefault="007A10D3" w:rsidP="008E3C6E">
      <w:r w:rsidRPr="00930CEF">
        <w:t xml:space="preserve">An efficient business will manage its risk by employing the most cost effective combination of these strategies. </w:t>
      </w:r>
      <w:r w:rsidR="008E3C6E">
        <w:t>In order to maintain appropriate incentives under our determinations, we only accept nominated pass through events where we are satisfied that event avoidance, mitigation, commercial insurance and self-insurance under approved forecasts of prudent and efficient opex and capex are either unavailable or inappropriate.</w:t>
      </w:r>
      <w:r w:rsidR="008E3C6E">
        <w:rPr>
          <w:rStyle w:val="FootnoteReference"/>
        </w:rPr>
        <w:footnoteReference w:id="19"/>
      </w:r>
      <w:r w:rsidR="008E3C6E">
        <w:t xml:space="preserve"> </w:t>
      </w:r>
    </w:p>
    <w:p w:rsidR="008E3C6E" w:rsidRDefault="00DA452C" w:rsidP="008E3C6E">
      <w:r w:rsidRPr="00DA452C">
        <w:t xml:space="preserve">In general, </w:t>
      </w:r>
      <w:r w:rsidR="007075A1">
        <w:t xml:space="preserve">in respect of smaller projects a service provider </w:t>
      </w:r>
      <w:r w:rsidR="007075A1" w:rsidRPr="00DA452C">
        <w:t>should be using up its existing expenditure</w:t>
      </w:r>
      <w:r w:rsidR="007075A1">
        <w:t xml:space="preserve"> </w:t>
      </w:r>
      <w:r w:rsidR="007075A1" w:rsidRPr="00DA452C">
        <w:t>allowance, or reprioritising or substituting its projects, to avoid seeking cost recovery</w:t>
      </w:r>
      <w:r w:rsidR="007075A1">
        <w:t xml:space="preserve"> </w:t>
      </w:r>
      <w:r w:rsidR="007075A1" w:rsidRPr="00DA452C">
        <w:t xml:space="preserve">through the </w:t>
      </w:r>
      <w:r w:rsidR="00150657">
        <w:t>pass through</w:t>
      </w:r>
      <w:r w:rsidR="007075A1" w:rsidRPr="00DA452C">
        <w:t xml:space="preserve"> mechanisms</w:t>
      </w:r>
      <w:r w:rsidR="007075A1">
        <w:t>.</w:t>
      </w:r>
      <w:r w:rsidR="007075A1">
        <w:rPr>
          <w:rStyle w:val="FootnoteReference"/>
        </w:rPr>
        <w:footnoteReference w:id="20"/>
      </w:r>
      <w:r w:rsidRPr="00DA452C">
        <w:t xml:space="preserve"> </w:t>
      </w:r>
      <w:r w:rsidR="00150657">
        <w:t>This is reflected in the m</w:t>
      </w:r>
      <w:r w:rsidR="008E3C6E">
        <w:t>ateriality threshold that applies to applications for cost pass through determinations.</w:t>
      </w:r>
      <w:r w:rsidR="008E3C6E">
        <w:rPr>
          <w:rStyle w:val="FootnoteReference"/>
        </w:rPr>
        <w:footnoteReference w:id="21"/>
      </w:r>
      <w:r w:rsidR="008E3C6E">
        <w:t xml:space="preserve"> </w:t>
      </w:r>
    </w:p>
    <w:p w:rsidR="007A10D3" w:rsidRDefault="007A10D3" w:rsidP="00672FF5">
      <w:r>
        <w:t>Cost pass through amounts approved in a regulatory control period are added to (or in the case of a negative pass through deducted from) forecast opex and capex for the purpose of calculating efficiency carryover amounts under the EBSS and CESS.</w:t>
      </w:r>
      <w:r>
        <w:rPr>
          <w:rStyle w:val="FootnoteReference"/>
        </w:rPr>
        <w:footnoteReference w:id="22"/>
      </w:r>
      <w:r>
        <w:t xml:space="preserve"> </w:t>
      </w:r>
    </w:p>
    <w:p w:rsidR="00672FF5" w:rsidRDefault="00672FF5" w:rsidP="00672FF5">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rsidR="00EA0C7F">
        <w:t>regulatory asset base (</w:t>
      </w:r>
      <w:r w:rsidRPr="00672FF5">
        <w:t>RAB</w:t>
      </w:r>
      <w:r w:rsidR="00EA0C7F">
        <w:t>)</w:t>
      </w:r>
      <w:r w:rsidRPr="00672FF5">
        <w:t xml:space="preserve"> for the next regulatory period</w:t>
      </w:r>
      <w:r>
        <w:t>.</w:t>
      </w:r>
      <w:r w:rsidR="00EA0C7F">
        <w:rPr>
          <w:rStyle w:val="FootnoteReference"/>
        </w:rPr>
        <w:footnoteReference w:id="23"/>
      </w:r>
      <w:r w:rsidR="007A10D3">
        <w:t xml:space="preserve"> </w:t>
      </w:r>
    </w:p>
    <w:p w:rsidR="00DE563D" w:rsidRDefault="00DE563D" w:rsidP="001754EE">
      <w:pPr>
        <w:pStyle w:val="Heading2"/>
      </w:pPr>
      <w:bookmarkStart w:id="21" w:name="_Toc403144140"/>
      <w:bookmarkStart w:id="22" w:name="_Ref436741659"/>
      <w:bookmarkStart w:id="23" w:name="_Ref436748368"/>
      <w:bookmarkStart w:id="24" w:name="_Toc456603324"/>
      <w:r w:rsidRPr="001754EE">
        <w:lastRenderedPageBreak/>
        <w:t>Reasons</w:t>
      </w:r>
      <w:r>
        <w:t xml:space="preserve"> for </w:t>
      </w:r>
      <w:r w:rsidR="000B321F">
        <w:t>draft</w:t>
      </w:r>
      <w:r>
        <w:t xml:space="preserve"> decision</w:t>
      </w:r>
      <w:bookmarkEnd w:id="21"/>
      <w:bookmarkEnd w:id="22"/>
      <w:bookmarkEnd w:id="23"/>
      <w:bookmarkEnd w:id="24"/>
      <w:r>
        <w:t xml:space="preserve"> </w:t>
      </w:r>
    </w:p>
    <w:p w:rsidR="004646BB" w:rsidRDefault="004646BB" w:rsidP="004646BB">
      <w:r w:rsidRPr="00930CEF">
        <w:t xml:space="preserve">In this section we set out the reasons for our </w:t>
      </w:r>
      <w:r>
        <w:t>draft</w:t>
      </w:r>
      <w:r w:rsidRPr="00930CEF">
        <w:t xml:space="preserve"> decisions on each of AusNet Services’ proposed pass through events. </w:t>
      </w:r>
      <w:r w:rsidR="00B5713D">
        <w:t>We received no submissions on this element of AusNet Services’ proposal.</w:t>
      </w:r>
    </w:p>
    <w:p w:rsidR="00E50E84" w:rsidRDefault="00E50E84" w:rsidP="00E50E84">
      <w:pPr>
        <w:pStyle w:val="Heading3"/>
      </w:pPr>
      <w:bookmarkStart w:id="25" w:name="_Toc456603325"/>
      <w:r>
        <w:t>Insurer credit risk event</w:t>
      </w:r>
      <w:bookmarkEnd w:id="25"/>
    </w:p>
    <w:p w:rsidR="00E50E84" w:rsidRDefault="00E50E84" w:rsidP="00E50E84">
      <w:r>
        <w:t>We accept the Insurer Credit Risk Event as proposed by AusNet Services.</w:t>
      </w:r>
    </w:p>
    <w:p w:rsidR="00E50E84" w:rsidRPr="00E50E84" w:rsidRDefault="00E50E84" w:rsidP="00E50E84">
      <w:r w:rsidRPr="00E50E84">
        <w:t>The proposed insurer credit risk event was not included in AusNet Services’ current transmission determination. AusNet Services submitted that:</w:t>
      </w:r>
      <w:r w:rsidRPr="00E50E84">
        <w:rPr>
          <w:vertAlign w:val="superscript"/>
        </w:rPr>
        <w:footnoteReference w:id="24"/>
      </w:r>
    </w:p>
    <w:p w:rsidR="00E50E84" w:rsidRPr="00E50E84" w:rsidRDefault="00E50E84" w:rsidP="00CD137E">
      <w:pPr>
        <w:pStyle w:val="AERquote"/>
      </w:pPr>
      <w:r w:rsidRPr="00E50E84">
        <w:t>…its inclusion for the forthcoming [2017–22] regulatory control period is warranted because it meets all of the requirements of the nominated pass through event considerations.</w:t>
      </w:r>
    </w:p>
    <w:p w:rsidR="00E50E84" w:rsidRPr="00E50E84" w:rsidRDefault="00E50E84" w:rsidP="00CD137E">
      <w:pPr>
        <w:pStyle w:val="AERquote"/>
      </w:pPr>
      <w:r w:rsidRPr="00E50E84">
        <w:t>…its proposed definition aligns with that approved by the AER in its April 2015 final decision for TransGrid.</w:t>
      </w:r>
    </w:p>
    <w:p w:rsidR="00CD137E" w:rsidRDefault="00CD137E" w:rsidP="00CD137E">
      <w:r>
        <w:t xml:space="preserve">We are satisfied this event is supported by the nominated pass through event considerations.  It is not covered by the prescribed events, and its nature can be clearly identified at the time of our transmission determination.  </w:t>
      </w:r>
      <w:r w:rsidR="00B5713D">
        <w:t>To i</w:t>
      </w:r>
      <w:r>
        <w:t>nsur</w:t>
      </w:r>
      <w:r w:rsidR="00B5713D">
        <w:t>e</w:t>
      </w:r>
      <w:r>
        <w:t xml:space="preserve"> or self –insure </w:t>
      </w:r>
      <w:r w:rsidR="00B5713D">
        <w:t xml:space="preserve">fully </w:t>
      </w:r>
      <w:r>
        <w:t xml:space="preserve">against the event is unlikely to be prudent or efficient.  Provided </w:t>
      </w:r>
      <w:r w:rsidR="000C11CE">
        <w:t>AusNet Services</w:t>
      </w:r>
      <w:r>
        <w:t xml:space="preserve"> has taken appropriate measures to prevent the event from occurring and mitigate its impact, we consider sharing th</w:t>
      </w:r>
      <w:r w:rsidR="000C11CE">
        <w:t>e remaining</w:t>
      </w:r>
      <w:r>
        <w:t xml:space="preserve"> risk between AusNet Services and its customers by way of the pass through provisions is likely to be</w:t>
      </w:r>
      <w:r w:rsidR="00EF0242">
        <w:t xml:space="preserve">st achieve the NEO, particularly with regard to </w:t>
      </w:r>
      <w:r>
        <w:t>the long term interest of consumers with respect to price.</w:t>
      </w:r>
    </w:p>
    <w:p w:rsidR="004646BB" w:rsidRPr="004646BB" w:rsidRDefault="004646BB" w:rsidP="004646BB">
      <w:pPr>
        <w:pStyle w:val="Heading3"/>
      </w:pPr>
      <w:bookmarkStart w:id="26" w:name="_Ref452453387"/>
      <w:bookmarkStart w:id="27" w:name="_Toc456603326"/>
      <w:r>
        <w:t>Terrorism event, Insurance cap event</w:t>
      </w:r>
      <w:r w:rsidR="008067AB">
        <w:t>, N</w:t>
      </w:r>
      <w:r>
        <w:t>atural disaster event</w:t>
      </w:r>
      <w:bookmarkEnd w:id="26"/>
      <w:bookmarkEnd w:id="27"/>
      <w:r w:rsidR="008067AB">
        <w:t xml:space="preserve"> </w:t>
      </w:r>
    </w:p>
    <w:p w:rsidR="004646BB" w:rsidRDefault="004646BB" w:rsidP="004646BB">
      <w:r>
        <w:t>Our draft decision accepts AusNet Services’ proposed terr</w:t>
      </w:r>
      <w:r w:rsidR="00791CC5">
        <w:t>orism event, insurance cap event</w:t>
      </w:r>
      <w:r w:rsidR="008067AB">
        <w:t xml:space="preserve"> </w:t>
      </w:r>
      <w:r w:rsidR="00791CC5">
        <w:t>and natural</w:t>
      </w:r>
      <w:r>
        <w:t xml:space="preserve"> disaster event</w:t>
      </w:r>
      <w:r w:rsidR="00E50E84">
        <w:t xml:space="preserve"> with the minor amendments to the definitions set out in Table 13.2 below</w:t>
      </w:r>
      <w:r>
        <w:t>.</w:t>
      </w:r>
    </w:p>
    <w:p w:rsidR="000C11CE" w:rsidRDefault="004646BB" w:rsidP="004646BB">
      <w:r>
        <w:t>AusNet Services’ current transmission determination</w:t>
      </w:r>
      <w:r w:rsidR="009630FD">
        <w:t xml:space="preserve"> includes a terrorism event, insurance cap event and natural disaster event</w:t>
      </w:r>
      <w:r>
        <w:t>. AusNet Services proposed th</w:t>
      </w:r>
      <w:r w:rsidR="009630FD">
        <w:t xml:space="preserve">ese events </w:t>
      </w:r>
      <w:r>
        <w:t xml:space="preserve">continue to apply for the 2017–22 regulatory control period. </w:t>
      </w:r>
    </w:p>
    <w:p w:rsidR="004646BB" w:rsidRDefault="004646BB" w:rsidP="004646BB">
      <w:r>
        <w:t>We are satisfied that these nominated pass through events are consistent with the nominated pass through event considerations because:</w:t>
      </w:r>
    </w:p>
    <w:p w:rsidR="004646BB" w:rsidRPr="004646BB" w:rsidRDefault="006A2A7F" w:rsidP="006A2A7F">
      <w:pPr>
        <w:pStyle w:val="AERbulletlistfirststyle"/>
      </w:pPr>
      <w:r>
        <w:lastRenderedPageBreak/>
        <w:t>These events are not covered by the prescribed pass through events under the NER.</w:t>
      </w:r>
      <w:r>
        <w:rPr>
          <w:rStyle w:val="FootnoteReference"/>
        </w:rPr>
        <w:footnoteReference w:id="25"/>
      </w:r>
    </w:p>
    <w:p w:rsidR="004646BB" w:rsidRPr="004646BB" w:rsidRDefault="006A2A7F" w:rsidP="006A2A7F">
      <w:pPr>
        <w:pStyle w:val="AERbulletlistfirststyle"/>
      </w:pPr>
      <w:r>
        <w:t>The nature and type of events can be clearly identified at the time of our decision</w:t>
      </w:r>
      <w:r w:rsidR="00F14E38">
        <w:t xml:space="preserve">, and where there is room for doubt appropriate parameters can be </w:t>
      </w:r>
      <w:r w:rsidR="008067AB">
        <w:t>applied through our assessment of a pass through application</w:t>
      </w:r>
      <w:r>
        <w:t>.</w:t>
      </w:r>
      <w:r>
        <w:rPr>
          <w:rStyle w:val="FootnoteReference"/>
        </w:rPr>
        <w:footnoteReference w:id="26"/>
      </w:r>
    </w:p>
    <w:p w:rsidR="004646BB" w:rsidRDefault="006A2A7F" w:rsidP="004646BB">
      <w:pPr>
        <w:pStyle w:val="AERbulletlistfirststyle"/>
      </w:pPr>
      <w:r>
        <w:t>While a prudent service provider could take steps to reduce the likelihood of these events and the cost impact of the events should they occur</w:t>
      </w:r>
      <w:r w:rsidR="001C0276">
        <w:t>,</w:t>
      </w:r>
      <w:r w:rsidR="00E63219">
        <w:rPr>
          <w:rStyle w:val="FootnoteReference"/>
        </w:rPr>
        <w:footnoteReference w:id="27"/>
      </w:r>
      <w:r>
        <w:t xml:space="preserve"> </w:t>
      </w:r>
      <w:r w:rsidR="00E63219">
        <w:t>and could insure or self-insure against the event</w:t>
      </w:r>
      <w:r w:rsidR="001C0276">
        <w:t>,</w:t>
      </w:r>
      <w:r w:rsidR="00E63219">
        <w:rPr>
          <w:rStyle w:val="FootnoteReference"/>
        </w:rPr>
        <w:footnoteReference w:id="28"/>
      </w:r>
      <w:r w:rsidR="00E63219">
        <w:t xml:space="preserve"> </w:t>
      </w:r>
      <w:r>
        <w:t>expenditure beyond a certain point (e.g. to eliminate, rather than manage, risk) is likely to be imprudent or inefficient</w:t>
      </w:r>
      <w:r w:rsidR="004646BB">
        <w:t>.</w:t>
      </w:r>
      <w:r>
        <w:t xml:space="preserve"> In such circumstances we consider a sharing of risk between AusNet Services and its customers is appropriate and more likely to be in the long term interest of consumers with respect to price.</w:t>
      </w:r>
    </w:p>
    <w:p w:rsidR="000C11CE" w:rsidRDefault="000C11CE" w:rsidP="000C11CE">
      <w:r>
        <w:t xml:space="preserve">AusNet Services proposed amendments to the definitions of these events in its current transmission determination, </w:t>
      </w:r>
      <w:r w:rsidR="00D628FE">
        <w:t>which</w:t>
      </w:r>
      <w:r>
        <w:t xml:space="preserve"> align</w:t>
      </w:r>
      <w:r w:rsidR="00D628FE">
        <w:t>ed</w:t>
      </w:r>
      <w:r>
        <w:t xml:space="preserve"> them with the nominated pass through events we approved for TransGrid (the New South Wales electricity transmission network service provider) in April 2015.</w:t>
      </w:r>
      <w:r>
        <w:rPr>
          <w:rStyle w:val="FootnoteReference"/>
        </w:rPr>
        <w:footnoteReference w:id="29"/>
      </w:r>
    </w:p>
    <w:p w:rsidR="005549FD" w:rsidRPr="00714201" w:rsidRDefault="005549FD" w:rsidP="005549FD">
      <w:pPr>
        <w:rPr>
          <w:rStyle w:val="AERtexthighlight"/>
        </w:rPr>
      </w:pPr>
      <w:r>
        <w:t>However in more recent decisions</w:t>
      </w:r>
      <w:r w:rsidR="000C11CE">
        <w:t>—including our final decision on AusNet Services’ distribution determination for 2016–20,</w:t>
      </w:r>
      <w:r w:rsidR="00D628FE">
        <w:rPr>
          <w:rStyle w:val="FootnoteReference"/>
        </w:rPr>
        <w:footnoteReference w:id="30"/>
      </w:r>
      <w:r>
        <w:t xml:space="preserve"> we have made minor amendments to these definitions.  These are set out in Table 13.2.</w:t>
      </w:r>
      <w:r w:rsidR="000C11CE">
        <w:t xml:space="preserve"> To provide consistency</w:t>
      </w:r>
      <w:r w:rsidR="00D628FE">
        <w:t xml:space="preserve"> between AusNet Services’ transmission and distribution determinations in the treatment of similar risks, our draft decision is that these more recent definitions should apply in its transmission determination also.</w:t>
      </w:r>
    </w:p>
    <w:p w:rsidR="005549FD" w:rsidRDefault="005549FD" w:rsidP="005549FD">
      <w:pPr>
        <w:pStyle w:val="Tabletitle"/>
      </w:pPr>
      <w:r>
        <w:t xml:space="preserve">Table 13.2: AER </w:t>
      </w:r>
      <w:r w:rsidR="00D628FE">
        <w:t>draft decision definitions – Terrorism, insurance cap and natural disaster events</w:t>
      </w:r>
    </w:p>
    <w:tbl>
      <w:tblPr>
        <w:tblStyle w:val="AERtable-text0"/>
        <w:tblW w:w="0" w:type="auto"/>
        <w:tblLook w:val="04A0" w:firstRow="1" w:lastRow="0" w:firstColumn="1" w:lastColumn="0" w:noHBand="0" w:noVBand="1"/>
      </w:tblPr>
      <w:tblGrid>
        <w:gridCol w:w="3085"/>
        <w:gridCol w:w="5608"/>
      </w:tblGrid>
      <w:tr w:rsidR="00E50E84" w:rsidTr="00E666DE">
        <w:trPr>
          <w:cnfStyle w:val="100000000000" w:firstRow="1" w:lastRow="0" w:firstColumn="0" w:lastColumn="0" w:oddVBand="0" w:evenVBand="0" w:oddHBand="0" w:evenHBand="0" w:firstRowFirstColumn="0" w:firstRowLastColumn="0" w:lastRowFirstColumn="0" w:lastRowLastColumn="0"/>
          <w:tblHeader/>
        </w:trPr>
        <w:tc>
          <w:tcPr>
            <w:tcW w:w="3085" w:type="dxa"/>
          </w:tcPr>
          <w:p w:rsidR="00E50E84" w:rsidRPr="004646BB" w:rsidRDefault="00E50E84" w:rsidP="00E666DE">
            <w:r>
              <w:t>Proposed event</w:t>
            </w:r>
          </w:p>
        </w:tc>
        <w:tc>
          <w:tcPr>
            <w:tcW w:w="5608" w:type="dxa"/>
          </w:tcPr>
          <w:p w:rsidR="00E50E84" w:rsidRPr="004646BB" w:rsidRDefault="008E08B1" w:rsidP="00E666DE">
            <w:r>
              <w:t xml:space="preserve">AER draft decision </w:t>
            </w:r>
            <w:r w:rsidR="00E50E84" w:rsidRPr="004646BB">
              <w:t xml:space="preserve"> definition </w:t>
            </w:r>
          </w:p>
        </w:tc>
      </w:tr>
      <w:tr w:rsidR="00E50E84" w:rsidTr="00E666DE">
        <w:tc>
          <w:tcPr>
            <w:tcW w:w="3085" w:type="dxa"/>
          </w:tcPr>
          <w:p w:rsidR="00E50E84" w:rsidRPr="004646BB" w:rsidRDefault="00E50E84" w:rsidP="00E666DE">
            <w:r>
              <w:t>Terrorism event</w:t>
            </w:r>
          </w:p>
        </w:tc>
        <w:tc>
          <w:tcPr>
            <w:tcW w:w="5608" w:type="dxa"/>
          </w:tcPr>
          <w:p w:rsidR="00E50E84" w:rsidRPr="00AD7DC4" w:rsidRDefault="00E50E84" w:rsidP="00E666DE">
            <w:r w:rsidRPr="00AD7DC4">
              <w:t>A terrorism event occurs if:</w:t>
            </w:r>
          </w:p>
          <w:p w:rsidR="00E50E84" w:rsidRPr="004646BB" w:rsidRDefault="00AD7DC4" w:rsidP="00E666DE">
            <w:r>
              <w:t>A</w:t>
            </w:r>
            <w:r w:rsidR="00E50E84">
              <w:t>n act (including, but not limited to, the use of force or violence or the threat of force or violence) of any person or group of persons (whether acting alone or on behalf of or in connection with any org</w:t>
            </w:r>
            <w:r>
              <w:t xml:space="preserve">anisation or government), which </w:t>
            </w:r>
            <w:r w:rsidR="00E50E84">
              <w:t xml:space="preserve">from its nature or context is done for, or in connection with, political, religious, ideological, ethnic or similar purposes or reasons (including the intention to influence or intimidate any government and/or put the public, or any section of the public, in fear) and </w:t>
            </w:r>
            <w:r w:rsidR="00E50E84" w:rsidRPr="00AD7DC4">
              <w:t xml:space="preserve">which </w:t>
            </w:r>
            <w:r w:rsidR="00E50E84" w:rsidRPr="008244AC">
              <w:rPr>
                <w:strike/>
              </w:rPr>
              <w:t>materially</w:t>
            </w:r>
            <w:r w:rsidR="00E50E84">
              <w:t xml:space="preserve"> increases the costs to AusNet Services in providing prescribed transmission services.</w:t>
            </w:r>
          </w:p>
          <w:p w:rsidR="00E50E84" w:rsidRPr="004646BB" w:rsidRDefault="00E50E84" w:rsidP="00E666DE">
            <w:r>
              <w:t>Note: In assessing a terrorism event pass through</w:t>
            </w:r>
            <w:r w:rsidRPr="004646BB">
              <w:t xml:space="preserve"> application, the AER will </w:t>
            </w:r>
            <w:r w:rsidRPr="004646BB">
              <w:lastRenderedPageBreak/>
              <w:t>have regard to, amongst other things:</w:t>
            </w:r>
          </w:p>
          <w:p w:rsidR="00E50E84" w:rsidRPr="004646BB" w:rsidRDefault="00E50E84" w:rsidP="00AD7DC4">
            <w:pPr>
              <w:pStyle w:val="AERnumberedlistthirdstyle"/>
            </w:pPr>
            <w:r>
              <w:t xml:space="preserve">whether AusNet Services has insurance against the event </w:t>
            </w:r>
            <w:r w:rsidRPr="008244AC">
              <w:rPr>
                <w:strike/>
              </w:rPr>
              <w:t>including coverage from the Australian Reinsurance Pool</w:t>
            </w:r>
            <w:r>
              <w:t>;</w:t>
            </w:r>
          </w:p>
          <w:p w:rsidR="00E50E84" w:rsidRPr="004646BB" w:rsidRDefault="00E50E84" w:rsidP="00AD7DC4">
            <w:pPr>
              <w:pStyle w:val="AERnumberedlistthirdstyle"/>
            </w:pPr>
            <w:r>
              <w:t>the level of insurance that an efficient and prudent NSP would obtain in respect of the event; and</w:t>
            </w:r>
          </w:p>
          <w:p w:rsidR="00E50E84" w:rsidRPr="004646BB" w:rsidRDefault="00E50E84" w:rsidP="00AD7DC4">
            <w:pPr>
              <w:pStyle w:val="AERnumberedlistthirdstyle"/>
            </w:pPr>
            <w:r>
              <w:t>whether a declaration has been made by a relevant government authority that a</w:t>
            </w:r>
            <w:r w:rsidR="00D628FE">
              <w:rPr>
                <w:u w:val="single"/>
              </w:rPr>
              <w:t>n act of</w:t>
            </w:r>
            <w:r>
              <w:t xml:space="preserve"> terrorism </w:t>
            </w:r>
            <w:r w:rsidRPr="00D628FE">
              <w:rPr>
                <w:strike/>
              </w:rPr>
              <w:t>event</w:t>
            </w:r>
            <w:r>
              <w:t xml:space="preserve"> has occurred.</w:t>
            </w:r>
          </w:p>
        </w:tc>
      </w:tr>
      <w:tr w:rsidR="00E50E84" w:rsidTr="00E666DE">
        <w:trPr>
          <w:cnfStyle w:val="000000010000" w:firstRow="0" w:lastRow="0" w:firstColumn="0" w:lastColumn="0" w:oddVBand="0" w:evenVBand="0" w:oddHBand="0" w:evenHBand="1" w:firstRowFirstColumn="0" w:firstRowLastColumn="0" w:lastRowFirstColumn="0" w:lastRowLastColumn="0"/>
        </w:trPr>
        <w:tc>
          <w:tcPr>
            <w:tcW w:w="3085" w:type="dxa"/>
          </w:tcPr>
          <w:p w:rsidR="00E50E84" w:rsidRPr="004646BB" w:rsidRDefault="00E50E84" w:rsidP="00E666DE">
            <w:r>
              <w:lastRenderedPageBreak/>
              <w:t>Insurance cap event</w:t>
            </w:r>
          </w:p>
        </w:tc>
        <w:tc>
          <w:tcPr>
            <w:tcW w:w="5608" w:type="dxa"/>
          </w:tcPr>
          <w:p w:rsidR="00E50E84" w:rsidRPr="004646BB" w:rsidRDefault="00E50E84" w:rsidP="00E666DE">
            <w:r>
              <w:t>An insurance cap event occurs if:</w:t>
            </w:r>
          </w:p>
          <w:p w:rsidR="00E50E84" w:rsidRPr="004646BB" w:rsidRDefault="00E50E84" w:rsidP="00657815">
            <w:pPr>
              <w:pStyle w:val="ListNumber"/>
            </w:pPr>
            <w:r>
              <w:t>AusNet Services makes a claim or claims and receives the benefit of a payment or payments under a relevant insurance policy;</w:t>
            </w:r>
          </w:p>
          <w:p w:rsidR="00E50E84" w:rsidRPr="004646BB" w:rsidRDefault="00E50E84" w:rsidP="00657815">
            <w:pPr>
              <w:pStyle w:val="ListNumber"/>
            </w:pPr>
            <w:r>
              <w:t>AusNet Services incurs costs beyond the relevant policy limit; and</w:t>
            </w:r>
          </w:p>
          <w:p w:rsidR="00E50E84" w:rsidRPr="004646BB" w:rsidRDefault="00E50E84" w:rsidP="00657815">
            <w:pPr>
              <w:pStyle w:val="ListNumber"/>
            </w:pPr>
            <w:r>
              <w:t xml:space="preserve">the costs beyond the relevant policy limit </w:t>
            </w:r>
            <w:r w:rsidRPr="00657815">
              <w:t>materially</w:t>
            </w:r>
            <w:r>
              <w:t xml:space="preserve"> increase the costs to AusNet Services in providing prescribed transmission services.</w:t>
            </w:r>
          </w:p>
          <w:p w:rsidR="00E50E84" w:rsidRPr="004646BB" w:rsidRDefault="00E50E84" w:rsidP="00E666DE">
            <w:r>
              <w:t>For this insurance cap event:</w:t>
            </w:r>
          </w:p>
          <w:p w:rsidR="00E50E84" w:rsidRPr="008244AC" w:rsidRDefault="00E50E84" w:rsidP="00E666DE">
            <w:pPr>
              <w:rPr>
                <w:strike/>
              </w:rPr>
            </w:pPr>
            <w:r w:rsidRPr="008244AC">
              <w:rPr>
                <w:strike/>
              </w:rPr>
              <w:t>4. the relevant policy limit is the greater of:</w:t>
            </w:r>
          </w:p>
          <w:p w:rsidR="00E50E84" w:rsidRPr="008244AC" w:rsidRDefault="00E50E84" w:rsidP="00E666DE">
            <w:pPr>
              <w:rPr>
                <w:strike/>
              </w:rPr>
            </w:pPr>
            <w:r w:rsidRPr="008244AC">
              <w:rPr>
                <w:strike/>
              </w:rPr>
              <w:t>a. AusNet Services’ actual policy limit at the time of the event that gives, or would have given rise to a claim; and</w:t>
            </w:r>
          </w:p>
          <w:p w:rsidR="00E50E84" w:rsidRPr="008244AC" w:rsidRDefault="00E50E84" w:rsidP="00E666DE">
            <w:pPr>
              <w:rPr>
                <w:strike/>
              </w:rPr>
            </w:pPr>
            <w:r w:rsidRPr="008244AC">
              <w:rPr>
                <w:strike/>
              </w:rPr>
              <w:t>b. subject to paragraph c, the policy limit that is explicitly or implicitly commensurate with the allowance for insurance premiums that is included in the forecast operating expenditure allowance approved in the AER's final decision for the regulatory control period;</w:t>
            </w:r>
          </w:p>
          <w:p w:rsidR="00E50E84" w:rsidRPr="008244AC" w:rsidRDefault="00E50E84" w:rsidP="00E666DE">
            <w:pPr>
              <w:rPr>
                <w:strike/>
              </w:rPr>
            </w:pPr>
            <w:r w:rsidRPr="008244AC">
              <w:rPr>
                <w:strike/>
              </w:rPr>
              <w:t xml:space="preserve">c. the policy limit in paragraph b will not be taken as the greater policy limit if that policy limit at the time of the event that gives rise to a claim, was not available to AusNet Services for reasons beyond its control; </w:t>
            </w:r>
          </w:p>
          <w:p w:rsidR="00E50E84" w:rsidRPr="004646BB" w:rsidRDefault="00E50E84" w:rsidP="00657815">
            <w:pPr>
              <w:pStyle w:val="ListNumber"/>
            </w:pPr>
            <w:r>
              <w:t>a relevant insurance policy is an insurance policy held during the 2017–22 regulatory control period or a previous regulatory control period in which AusNet Services was regulated.</w:t>
            </w:r>
          </w:p>
          <w:p w:rsidR="00E50E84" w:rsidRPr="004646BB" w:rsidRDefault="00E50E84" w:rsidP="00E666DE">
            <w:r>
              <w:t xml:space="preserve">Note: </w:t>
            </w:r>
            <w:r w:rsidRPr="004E2E40">
              <w:rPr>
                <w:strike/>
              </w:rPr>
              <w:t>for the avoidance of doubt, in assessing an insurance cap event cost pass through application</w:t>
            </w:r>
            <w:r w:rsidRPr="00657815">
              <w:t xml:space="preserve"> </w:t>
            </w:r>
            <w:r w:rsidR="004E2E40">
              <w:rPr>
                <w:u w:val="single"/>
              </w:rPr>
              <w:t>in making a determination</w:t>
            </w:r>
            <w:r w:rsidR="00D62329">
              <w:rPr>
                <w:u w:val="single"/>
              </w:rPr>
              <w:t xml:space="preserve"> on an Insurance Cap Event</w:t>
            </w:r>
            <w:r w:rsidR="00D62329">
              <w:t>,</w:t>
            </w:r>
            <w:r>
              <w:rPr>
                <w:u w:val="single"/>
              </w:rPr>
              <w:t xml:space="preserve"> </w:t>
            </w:r>
            <w:r>
              <w:t>the AER will have regard to, amongst other things:</w:t>
            </w:r>
          </w:p>
          <w:p w:rsidR="00E50E84" w:rsidRPr="00657815" w:rsidRDefault="00E50E84" w:rsidP="00657815">
            <w:pPr>
              <w:pStyle w:val="AERnumberedlistthirdstyle"/>
              <w:numPr>
                <w:ilvl w:val="0"/>
                <w:numId w:val="31"/>
              </w:numPr>
            </w:pPr>
            <w:r w:rsidRPr="00657815">
              <w:t xml:space="preserve">the relevant insurance policy for the event; </w:t>
            </w:r>
            <w:r w:rsidRPr="00657815">
              <w:rPr>
                <w:strike/>
              </w:rPr>
              <w:t>and</w:t>
            </w:r>
          </w:p>
          <w:p w:rsidR="00E50E84" w:rsidRDefault="00E50E84" w:rsidP="00657815">
            <w:pPr>
              <w:pStyle w:val="AERnumberedlistthirdstyle"/>
              <w:rPr>
                <w:u w:val="single"/>
              </w:rPr>
            </w:pPr>
            <w:r>
              <w:t>the level of insurance that an efficient and prudent TNSP would obtain in respect of the event</w:t>
            </w:r>
            <w:r>
              <w:rPr>
                <w:u w:val="single"/>
              </w:rPr>
              <w:t>;</w:t>
            </w:r>
            <w:r w:rsidR="00D62329">
              <w:rPr>
                <w:u w:val="single"/>
              </w:rPr>
              <w:t>and</w:t>
            </w:r>
          </w:p>
          <w:p w:rsidR="00E50E84" w:rsidRPr="008244AC" w:rsidRDefault="00E50E84" w:rsidP="00657815">
            <w:pPr>
              <w:pStyle w:val="AERnumberedlistthirdstyle"/>
              <w:rPr>
                <w:u w:val="single"/>
              </w:rPr>
            </w:pPr>
            <w:r>
              <w:rPr>
                <w:u w:val="single"/>
              </w:rPr>
              <w:t>any assessment by the AER of AusNet Services</w:t>
            </w:r>
            <w:r w:rsidR="009D5EDD">
              <w:rPr>
                <w:u w:val="single"/>
              </w:rPr>
              <w:t>’</w:t>
            </w:r>
            <w:r>
              <w:rPr>
                <w:u w:val="single"/>
              </w:rPr>
              <w:t xml:space="preserve"> insurance in making its </w:t>
            </w:r>
            <w:r w:rsidR="00D628FE">
              <w:rPr>
                <w:u w:val="single"/>
              </w:rPr>
              <w:t xml:space="preserve">transmission </w:t>
            </w:r>
            <w:r>
              <w:rPr>
                <w:u w:val="single"/>
              </w:rPr>
              <w:t>determination for the relevant period.</w:t>
            </w:r>
          </w:p>
        </w:tc>
      </w:tr>
      <w:tr w:rsidR="00E50E84" w:rsidTr="00E666DE">
        <w:tc>
          <w:tcPr>
            <w:tcW w:w="3085" w:type="dxa"/>
          </w:tcPr>
          <w:p w:rsidR="00E50E84" w:rsidRPr="004646BB" w:rsidRDefault="00E50E84" w:rsidP="00E666DE">
            <w:r>
              <w:t>Natural disaster event</w:t>
            </w:r>
          </w:p>
        </w:tc>
        <w:tc>
          <w:tcPr>
            <w:tcW w:w="5608" w:type="dxa"/>
          </w:tcPr>
          <w:p w:rsidR="00E50E84" w:rsidRPr="00BD6EB1" w:rsidRDefault="00E50E84" w:rsidP="00E666DE">
            <w:pPr>
              <w:rPr>
                <w:strike/>
              </w:rPr>
            </w:pPr>
            <w:r w:rsidRPr="00BD6EB1">
              <w:rPr>
                <w:strike/>
              </w:rPr>
              <w:t>A natural disaster event occurs if:</w:t>
            </w:r>
          </w:p>
          <w:p w:rsidR="00E50E84" w:rsidRPr="004646BB" w:rsidRDefault="00E50E84" w:rsidP="00E666DE">
            <w:r>
              <w:rPr>
                <w:u w:val="single"/>
              </w:rPr>
              <w:t xml:space="preserve">Natural Disaster Event means any natural disaster including but not limited to  </w:t>
            </w:r>
            <w:r w:rsidRPr="00BD6EB1">
              <w:rPr>
                <w:strike/>
                <w:u w:val="single"/>
              </w:rPr>
              <w:t>a</w:t>
            </w:r>
            <w:r w:rsidRPr="00BD6EB1">
              <w:rPr>
                <w:strike/>
              </w:rPr>
              <w:t>ny major</w:t>
            </w:r>
            <w:r>
              <w:t xml:space="preserve"> fire, flood </w:t>
            </w:r>
            <w:r>
              <w:rPr>
                <w:u w:val="single"/>
              </w:rPr>
              <w:t>or</w:t>
            </w:r>
            <w:r>
              <w:t xml:space="preserve"> earthquake </w:t>
            </w:r>
            <w:r w:rsidRPr="000F6854">
              <w:rPr>
                <w:strike/>
              </w:rPr>
              <w:t>or other natural disaster</w:t>
            </w:r>
            <w:r>
              <w:t xml:space="preserve"> </w:t>
            </w:r>
            <w:r>
              <w:rPr>
                <w:u w:val="single"/>
              </w:rPr>
              <w:t xml:space="preserve">that </w:t>
            </w:r>
            <w:r>
              <w:t xml:space="preserve">occurs during the 2017-22 regulatory control period </w:t>
            </w:r>
            <w:r w:rsidRPr="000F6854">
              <w:rPr>
                <w:strike/>
              </w:rPr>
              <w:t>and materially</w:t>
            </w:r>
            <w:r>
              <w:t xml:space="preserve"> </w:t>
            </w:r>
            <w:r>
              <w:rPr>
                <w:u w:val="single"/>
              </w:rPr>
              <w:t xml:space="preserve">that </w:t>
            </w:r>
            <w:r>
              <w:t>increases the costs to AusNet Services in providing prescribed transmission services, provided the fire, flood or other event was not a consequence of the acts or omissions of the service provider.</w:t>
            </w:r>
          </w:p>
          <w:p w:rsidR="00E50E84" w:rsidRPr="000F6854" w:rsidRDefault="00E50E84" w:rsidP="00E666DE">
            <w:pPr>
              <w:rPr>
                <w:strike/>
              </w:rPr>
            </w:pPr>
            <w:r w:rsidRPr="000F6854">
              <w:rPr>
                <w:strike/>
              </w:rPr>
              <w:t>The term ‘major’ in the above paragraph means an event that is serious and significant. It does not mean material as that term is defined in the Rules (that is 1 per cent of the TNSP’s annual revenue requirement for that regulatory year).</w:t>
            </w:r>
          </w:p>
          <w:p w:rsidR="00E50E84" w:rsidRPr="004646BB" w:rsidRDefault="00E50E84" w:rsidP="00E666DE">
            <w:r>
              <w:t>Note: In assessing a Natural Disaster Event pass through application, the AER will have regard to, amongst other things:</w:t>
            </w:r>
          </w:p>
          <w:p w:rsidR="00E50E84" w:rsidRPr="000F6854" w:rsidRDefault="00E50E84" w:rsidP="00E666DE">
            <w:pPr>
              <w:rPr>
                <w:u w:val="single"/>
              </w:rPr>
            </w:pPr>
            <w:r>
              <w:t xml:space="preserve">(i) whether AusNet Services has insurance against the event; </w:t>
            </w:r>
            <w:r>
              <w:rPr>
                <w:u w:val="single"/>
              </w:rPr>
              <w:t>and</w:t>
            </w:r>
          </w:p>
          <w:p w:rsidR="00E50E84" w:rsidRPr="004646BB" w:rsidRDefault="00E50E84" w:rsidP="00E666DE">
            <w:r>
              <w:lastRenderedPageBreak/>
              <w:t>(ii) the level of insurance that an efficient and prudent NSP would obtain in respect of the event</w:t>
            </w:r>
            <w:r w:rsidR="00D628FE">
              <w:rPr>
                <w:u w:val="single"/>
              </w:rPr>
              <w:t>.</w:t>
            </w:r>
            <w:r w:rsidRPr="00D628FE">
              <w:rPr>
                <w:strike/>
              </w:rPr>
              <w:t>; and</w:t>
            </w:r>
          </w:p>
          <w:p w:rsidR="00E50E84" w:rsidRPr="004646BB" w:rsidRDefault="00E50E84" w:rsidP="00E666DE">
            <w:r>
              <w:t>ii</w:t>
            </w:r>
            <w:r w:rsidRPr="000F6854">
              <w:rPr>
                <w:strike/>
              </w:rPr>
              <w:t>i. whether a relevant government authority has made a declaration that a natural disaster has occurred.”</w:t>
            </w:r>
          </w:p>
        </w:tc>
      </w:tr>
    </w:tbl>
    <w:p w:rsidR="00AD7DC4" w:rsidRDefault="00AD7DC4" w:rsidP="00AD7DC4">
      <w:r w:rsidRPr="00184703">
        <w:lastRenderedPageBreak/>
        <w:t>In respe</w:t>
      </w:r>
      <w:r>
        <w:t xml:space="preserve">ct of the Insurance Cap Event, the effect of these amendments is to recognise that the </w:t>
      </w:r>
      <w:r w:rsidRPr="006E5117">
        <w:t xml:space="preserve">approved operating expenditure </w:t>
      </w:r>
      <w:r>
        <w:t>in a transmission determination</w:t>
      </w:r>
      <w:r w:rsidRPr="006E5117">
        <w:t xml:space="preserve"> may not unambiguously imply a particular level of insurance cover. </w:t>
      </w:r>
      <w:r>
        <w:t>We have therefore removed this limb from the definition, and added a note that we will take into account, where relevant, any assessments or analysis we have undertaken in relation to insurance when making our final decision on total forecast opex. The revised definition also removes</w:t>
      </w:r>
      <w:r w:rsidRPr="002163F7">
        <w:t xml:space="preserve"> </w:t>
      </w:r>
      <w:r>
        <w:t>the reference to an event 'materially' increasing costs, to avoid any confusion with the materiality threshold applying to all pass through events.</w:t>
      </w:r>
    </w:p>
    <w:p w:rsidR="00AD7DC4" w:rsidRDefault="00AD7DC4" w:rsidP="00AD7DC4">
      <w:r>
        <w:t>In respect of the Terrorism Event, these amendments again remove the reference to an event 'materially' increasing costs, to avoid any confusion with the materiality threshold applying to all pass through events. They also remove circularity in the definition and notes on the factors we may have regard to in assessment of a pass through application.</w:t>
      </w:r>
    </w:p>
    <w:p w:rsidR="00AD7DC4" w:rsidRDefault="00AD7DC4" w:rsidP="00AD7DC4">
      <w:r>
        <w:t>In respect of the natural disaster event, these amendments remove the adjectives 'major' and 'materially' from the definition - this will avoid any confusion with the materiality threshold applying to all pass through events. We have also removed the reference to whether a government authority has declared an occurrence to be a natural disaster. This consideration received criticism in other regulatory processes on the basis it could create uncertainty and introduce irrelevant considerations. While we do not believe these concerns are well founded, we are satisfied it is unnecessary to refer to it explicitly in the definition.</w:t>
      </w:r>
    </w:p>
    <w:p w:rsidR="004646BB" w:rsidRPr="004646BB" w:rsidRDefault="004646BB" w:rsidP="004646BB">
      <w:pPr>
        <w:pStyle w:val="Heading3"/>
      </w:pPr>
      <w:bookmarkStart w:id="28" w:name="_Toc456603327"/>
      <w:r w:rsidRPr="00180BEB">
        <w:t>Decommissioning of Point Henry – Geelong Terminal Station 220kV Lines Event</w:t>
      </w:r>
      <w:bookmarkEnd w:id="28"/>
    </w:p>
    <w:p w:rsidR="004646BB" w:rsidRDefault="004646BB" w:rsidP="004646BB">
      <w:r>
        <w:t xml:space="preserve">Our draft decision does not accept AusNet Services’ proposed </w:t>
      </w:r>
      <w:r w:rsidRPr="00180BEB">
        <w:t>Decommissioning of Point Henry – Geelong Terminal Station 220kV Lines Event</w:t>
      </w:r>
      <w:r>
        <w:t>.</w:t>
      </w:r>
    </w:p>
    <w:p w:rsidR="004646BB" w:rsidRPr="004646BB" w:rsidRDefault="004646BB" w:rsidP="00672FF5">
      <w:r>
        <w:t>We are not satisfied that this nominated pass through event is consistent with the nominated pass through event considerations because</w:t>
      </w:r>
      <w:r w:rsidR="00672FF5">
        <w:t xml:space="preserve"> t</w:t>
      </w:r>
      <w:r w:rsidR="009630FD">
        <w:t xml:space="preserve">he event is triggered by a </w:t>
      </w:r>
      <w:r w:rsidR="00130231">
        <w:t>requirement imposed by a relevant authority</w:t>
      </w:r>
      <w:r w:rsidR="00672FF5">
        <w:t xml:space="preserve">. It is </w:t>
      </w:r>
      <w:r>
        <w:t xml:space="preserve">therefore likely covered by </w:t>
      </w:r>
      <w:r w:rsidR="00441E6D">
        <w:t xml:space="preserve">either </w:t>
      </w:r>
      <w:r w:rsidR="00130231">
        <w:t>the prescribed</w:t>
      </w:r>
      <w:r w:rsidR="00441E6D">
        <w:t xml:space="preserve"> service standard event or</w:t>
      </w:r>
      <w:r w:rsidR="00130231">
        <w:t xml:space="preserve"> </w:t>
      </w:r>
      <w:r>
        <w:t>reg</w:t>
      </w:r>
      <w:r w:rsidR="00130231">
        <w:t>ulatory</w:t>
      </w:r>
      <w:r>
        <w:t xml:space="preserve"> change event</w:t>
      </w:r>
      <w:r w:rsidR="00130231">
        <w:t>.</w:t>
      </w:r>
      <w:r w:rsidR="00A75F96">
        <w:rPr>
          <w:rStyle w:val="FootnoteReference"/>
        </w:rPr>
        <w:footnoteReference w:id="31"/>
      </w:r>
    </w:p>
    <w:p w:rsidR="004646BB" w:rsidRPr="004646BB" w:rsidRDefault="00F365B3" w:rsidP="00854FED">
      <w:pPr>
        <w:pStyle w:val="Heading3"/>
        <w:keepNext/>
      </w:pPr>
      <w:bookmarkStart w:id="29" w:name="_Toc456603328"/>
      <w:r>
        <w:lastRenderedPageBreak/>
        <w:t>C</w:t>
      </w:r>
      <w:r w:rsidR="004646BB">
        <w:t>onfidential nominated pass through event</w:t>
      </w:r>
      <w:bookmarkEnd w:id="29"/>
    </w:p>
    <w:p w:rsidR="004646BB" w:rsidRDefault="004646BB" w:rsidP="00854FED">
      <w:pPr>
        <w:keepNext/>
      </w:pPr>
      <w:r>
        <w:t xml:space="preserve">Our draft decision does not </w:t>
      </w:r>
      <w:r w:rsidR="00F365B3">
        <w:t>accept</w:t>
      </w:r>
      <w:r>
        <w:t xml:space="preserve"> the confidential nominated pass through event proposed by AusNet Services.</w:t>
      </w:r>
    </w:p>
    <w:p w:rsidR="004646BB" w:rsidRDefault="004646BB" w:rsidP="004646BB">
      <w:r>
        <w:t>We are not satisfied that this nominated pass through event is consistent with the nominated pass through event considerations because:</w:t>
      </w:r>
    </w:p>
    <w:p w:rsidR="004646BB" w:rsidRPr="004646BB" w:rsidRDefault="004646BB" w:rsidP="00F365B3">
      <w:pPr>
        <w:pStyle w:val="AERbulletlistfirststyle"/>
      </w:pPr>
      <w:r>
        <w:t xml:space="preserve">The nature </w:t>
      </w:r>
      <w:r w:rsidRPr="004646BB">
        <w:t>or type of event has not been clearly identified.</w:t>
      </w:r>
      <w:r w:rsidR="00BA5C90">
        <w:rPr>
          <w:rStyle w:val="FootnoteReference"/>
        </w:rPr>
        <w:footnoteReference w:id="32"/>
      </w:r>
      <w:r w:rsidRPr="004646BB">
        <w:t xml:space="preserve"> </w:t>
      </w:r>
      <w:r w:rsidR="00D074B1">
        <w:t>On the basis of t</w:t>
      </w:r>
      <w:r w:rsidRPr="004646BB">
        <w:t xml:space="preserve">he information </w:t>
      </w:r>
      <w:r w:rsidR="00222982">
        <w:t>AusNet Servic</w:t>
      </w:r>
      <w:r w:rsidR="00D074B1">
        <w:t>es has provided in its proposal,</w:t>
      </w:r>
      <w:r w:rsidRPr="004646BB">
        <w:t xml:space="preserve"> the nature of this event could vary considerably depending on AusNet Services’ choices within the regulatory control period.</w:t>
      </w:r>
    </w:p>
    <w:p w:rsidR="004646BB" w:rsidRPr="004646BB" w:rsidRDefault="004646BB" w:rsidP="00F365B3">
      <w:pPr>
        <w:pStyle w:val="AERbulletlistfirststyle"/>
      </w:pPr>
      <w:r>
        <w:t>A</w:t>
      </w:r>
      <w:r w:rsidRPr="004646BB">
        <w:t xml:space="preserve"> prudent service provider could reasonably prevent an event of this nature or type from occurring or substantially mitigate the cost impact of such an event</w:t>
      </w:r>
      <w:r w:rsidR="00F365B3">
        <w:t>:</w:t>
      </w:r>
      <w:r w:rsidRPr="004646BB">
        <w:t xml:space="preserve"> </w:t>
      </w:r>
    </w:p>
    <w:p w:rsidR="004646BB" w:rsidRPr="004646BB" w:rsidRDefault="004646BB" w:rsidP="00F365B3">
      <w:pPr>
        <w:pStyle w:val="AERbulletlistsecondstyle"/>
      </w:pPr>
      <w:r w:rsidRPr="0072061E">
        <w:t>The event is foreseeable. We do not accept AusNet Services’ submission that it is not possible to predict the likely timeframes for this event.</w:t>
      </w:r>
      <w:r w:rsidRPr="004646BB">
        <w:t xml:space="preserve"> </w:t>
      </w:r>
    </w:p>
    <w:p w:rsidR="004646BB" w:rsidRPr="004646BB" w:rsidRDefault="004646BB" w:rsidP="00F365B3">
      <w:pPr>
        <w:pStyle w:val="AERbulletlistsecondstyle"/>
      </w:pPr>
      <w:r>
        <w:t>The event is controllable</w:t>
      </w:r>
      <w:r w:rsidRPr="004646BB">
        <w:t xml:space="preserve">. The risk that </w:t>
      </w:r>
      <w:r w:rsidR="00854FED">
        <w:t>AusNet Services’</w:t>
      </w:r>
      <w:r w:rsidRPr="004646BB">
        <w:t xml:space="preserve"> seeks to address through this event relates to costs that AusNet Services is better placed to manage than its customers</w:t>
      </w:r>
      <w:r w:rsidR="001C0276">
        <w:t>. T</w:t>
      </w:r>
      <w:r w:rsidRPr="004646BB">
        <w:t>he nature and impact of the event will result</w:t>
      </w:r>
      <w:r w:rsidR="001C0276">
        <w:t xml:space="preserve"> </w:t>
      </w:r>
      <w:r w:rsidRPr="004646BB">
        <w:t xml:space="preserve">from AusNet Services’ decision on its preferred </w:t>
      </w:r>
      <w:r w:rsidR="001C0276">
        <w:t>option</w:t>
      </w:r>
      <w:r w:rsidR="00854FED">
        <w:t xml:space="preserve"> to address those risks</w:t>
      </w:r>
      <w:r w:rsidR="00BA5C90">
        <w:t>, allowing AusNet Services to substantially mitigate its cost impact</w:t>
      </w:r>
      <w:r w:rsidRPr="004646BB">
        <w:t>.</w:t>
      </w:r>
      <w:r w:rsidR="00BA5C90">
        <w:rPr>
          <w:rStyle w:val="FootnoteReference"/>
        </w:rPr>
        <w:footnoteReference w:id="33"/>
      </w:r>
      <w:r w:rsidRPr="004646BB">
        <w:t xml:space="preserve"> Inclusion of a nominated pass through event for this risk weakens the incentive AusNet Services would otherwise have to choose the most </w:t>
      </w:r>
      <w:r w:rsidR="00854FED">
        <w:t xml:space="preserve">prudent and </w:t>
      </w:r>
      <w:r w:rsidRPr="004646BB">
        <w:t>efficient option.</w:t>
      </w:r>
    </w:p>
    <w:p w:rsidR="004646BB" w:rsidRPr="004646BB" w:rsidRDefault="004646BB" w:rsidP="00F365B3">
      <w:pPr>
        <w:pStyle w:val="AERbulletlistsecondstyle"/>
      </w:pPr>
      <w:r>
        <w:t>AusNet Services’ proposal includes f</w:t>
      </w:r>
      <w:r w:rsidRPr="004646BB">
        <w:t xml:space="preserve">orecast opex that addresses this risk in whole (in the case of one </w:t>
      </w:r>
      <w:r w:rsidR="001C0276">
        <w:t xml:space="preserve">possible </w:t>
      </w:r>
      <w:r w:rsidRPr="004646BB">
        <w:t>scenario) or in part (in the case of another).</w:t>
      </w:r>
      <w:r w:rsidR="00BA5C90">
        <w:rPr>
          <w:rStyle w:val="FootnoteReference"/>
        </w:rPr>
        <w:footnoteReference w:id="34"/>
      </w:r>
      <w:r w:rsidRPr="004646BB">
        <w:t xml:space="preserve"> Inclusion of a nominated pass through event for this risk weakens the incentive AusNet Services would otherwise have to </w:t>
      </w:r>
      <w:r w:rsidR="00BA5C90">
        <w:t>manage its risk</w:t>
      </w:r>
      <w:r w:rsidR="00854FED">
        <w:t xml:space="preserve"> within</w:t>
      </w:r>
      <w:r w:rsidR="00BA5C90">
        <w:t>,</w:t>
      </w:r>
      <w:r w:rsidR="00854FED">
        <w:t xml:space="preserve"> or </w:t>
      </w:r>
      <w:r w:rsidRPr="004646BB">
        <w:t>outperform</w:t>
      </w:r>
      <w:r w:rsidR="00BA5C90">
        <w:t>,</w:t>
      </w:r>
      <w:r w:rsidRPr="004646BB">
        <w:t xml:space="preserve"> that forecast.</w:t>
      </w:r>
    </w:p>
    <w:p w:rsidR="00F365B3" w:rsidRPr="00F365B3" w:rsidRDefault="00F365B3" w:rsidP="00F365B3">
      <w:r w:rsidRPr="00F365B3">
        <w:t xml:space="preserve">Our reasons for </w:t>
      </w:r>
      <w:r w:rsidR="001C0276">
        <w:t>our draft decision on this nominated pass through event</w:t>
      </w:r>
      <w:r w:rsidRPr="00F365B3">
        <w:t xml:space="preserve"> are set out in full in confidential appendix </w:t>
      </w:r>
      <w:r w:rsidR="00854FED">
        <w:t>13</w:t>
      </w:r>
      <w:r w:rsidRPr="00F365B3">
        <w:t>A.</w:t>
      </w:r>
    </w:p>
    <w:p w:rsidR="000B321F" w:rsidRDefault="000B321F" w:rsidP="00540418">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DD" w:rsidRPr="00290C63" w:rsidRDefault="009D5EDD" w:rsidP="00290C63">
      <w:r>
        <w:separator/>
      </w:r>
    </w:p>
    <w:p w:rsidR="009D5EDD" w:rsidRDefault="009D5EDD"/>
  </w:endnote>
  <w:endnote w:type="continuationSeparator" w:id="0">
    <w:p w:rsidR="009D5EDD" w:rsidRPr="00290C63" w:rsidRDefault="009D5EDD" w:rsidP="00290C63">
      <w:r>
        <w:continuationSeparator/>
      </w:r>
    </w:p>
    <w:p w:rsidR="009D5EDD" w:rsidRDefault="009D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DD" w:rsidRPr="00290C63" w:rsidRDefault="009D5ED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D5EDD" w:rsidRDefault="009D5EDD"/>
  <w:p w:rsidR="009D5EDD" w:rsidRDefault="009D5EDD"/>
  <w:p w:rsidR="009D5EDD" w:rsidRDefault="009D5EDD"/>
  <w:p w:rsidR="009D5EDD" w:rsidRDefault="009D5EDD"/>
  <w:p w:rsidR="009D5EDD" w:rsidRDefault="009D5EDD"/>
  <w:p w:rsidR="009D5EDD" w:rsidRDefault="009D5EDD"/>
  <w:p w:rsidR="009D5EDD" w:rsidRDefault="009D5E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D5EDD" w:rsidRDefault="009D5EDD">
        <w:pPr>
          <w:pStyle w:val="Footer"/>
        </w:pPr>
        <w:r>
          <w:fldChar w:fldCharType="begin"/>
        </w:r>
        <w:r>
          <w:instrText xml:space="preserve"> PAGE   \* MERGEFORMAT </w:instrText>
        </w:r>
        <w:r>
          <w:fldChar w:fldCharType="separate"/>
        </w:r>
        <w:r w:rsidR="000F3998">
          <w:rPr>
            <w:noProof/>
          </w:rPr>
          <w:t>13-1</w:t>
        </w:r>
        <w:r>
          <w:rPr>
            <w:noProof/>
          </w:rPr>
          <w:fldChar w:fldCharType="end"/>
        </w:r>
        <w:r>
          <w:rPr>
            <w:noProof/>
          </w:rPr>
          <w:t xml:space="preserve">          </w:t>
        </w:r>
        <w:r w:rsidRPr="00FD5E78">
          <w:rPr>
            <w:noProof/>
            <w:sz w:val="16"/>
            <w:szCs w:val="16"/>
          </w:rPr>
          <w:t>Attachment 1</w:t>
        </w:r>
        <w:r>
          <w:rPr>
            <w:noProof/>
            <w:sz w:val="16"/>
            <w:szCs w:val="16"/>
          </w:rPr>
          <w:t>3</w:t>
        </w:r>
        <w:r w:rsidRPr="00FD5E78">
          <w:rPr>
            <w:noProof/>
            <w:sz w:val="16"/>
            <w:szCs w:val="16"/>
          </w:rPr>
          <w:t xml:space="preserve"> </w:t>
        </w:r>
        <w:r w:rsidRPr="00FD5E78">
          <w:rPr>
            <w:rFonts w:cs="Gautami"/>
            <w:noProof/>
            <w:sz w:val="16"/>
            <w:szCs w:val="16"/>
          </w:rPr>
          <w:t xml:space="preserve">– </w:t>
        </w:r>
        <w:r>
          <w:rPr>
            <w:sz w:val="16"/>
            <w:szCs w:val="16"/>
          </w:rPr>
          <w:t>Pass through events</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9D5EDD" w:rsidRDefault="009D5E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DD" w:rsidRPr="00290C63" w:rsidRDefault="009D5ED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D5EDD" w:rsidRDefault="009D5EDD">
    <w:pPr>
      <w:pStyle w:val="Footer"/>
    </w:pPr>
  </w:p>
  <w:p w:rsidR="009D5EDD" w:rsidRDefault="009D5EDD"/>
  <w:p w:rsidR="009D5EDD" w:rsidRDefault="009D5EDD"/>
  <w:p w:rsidR="009D5EDD" w:rsidRDefault="009D5EDD"/>
  <w:p w:rsidR="009D5EDD" w:rsidRDefault="009D5EDD"/>
  <w:p w:rsidR="009D5EDD" w:rsidRDefault="009D5EDD"/>
  <w:p w:rsidR="009D5EDD" w:rsidRDefault="009D5EDD"/>
  <w:p w:rsidR="009D5EDD" w:rsidRDefault="009D5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DD" w:rsidRPr="00290C63" w:rsidRDefault="009D5EDD" w:rsidP="00290C63">
      <w:r>
        <w:separator/>
      </w:r>
    </w:p>
    <w:p w:rsidR="009D5EDD" w:rsidRDefault="009D5EDD"/>
  </w:footnote>
  <w:footnote w:type="continuationSeparator" w:id="0">
    <w:p w:rsidR="009D5EDD" w:rsidRPr="00290C63" w:rsidRDefault="009D5EDD" w:rsidP="00290C63">
      <w:r>
        <w:continuationSeparator/>
      </w:r>
    </w:p>
    <w:p w:rsidR="009D5EDD" w:rsidRDefault="009D5EDD"/>
  </w:footnote>
  <w:footnote w:id="1">
    <w:p w:rsidR="009D5EDD" w:rsidRDefault="009D5EDD" w:rsidP="00DB150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w:t>
      </w:r>
    </w:p>
  </w:footnote>
  <w:footnote w:id="2">
    <w:p w:rsidR="009D5EDD" w:rsidRDefault="009D5EDD" w:rsidP="00DB150D">
      <w:pPr>
        <w:pStyle w:val="FootnoteText"/>
      </w:pPr>
      <w:r>
        <w:rPr>
          <w:rStyle w:val="FootnoteReference"/>
        </w:rPr>
        <w:footnoteRef/>
      </w:r>
      <w:r>
        <w:t xml:space="preserve"> </w:t>
      </w:r>
      <w:r>
        <w:tab/>
        <w:t>NER, cl. 6A.7.3(a1)(1)–(4). Each of these prescribed events is defined in Chapter 10 (Glossary) of the NER.</w:t>
      </w:r>
    </w:p>
  </w:footnote>
  <w:footnote w:id="3">
    <w:p w:rsidR="009D5EDD" w:rsidRDefault="009D5EDD" w:rsidP="00DB150D">
      <w:pPr>
        <w:pStyle w:val="FootnoteText"/>
      </w:pPr>
      <w:r>
        <w:rPr>
          <w:rStyle w:val="FootnoteReference"/>
        </w:rPr>
        <w:footnoteRef/>
      </w:r>
      <w:r>
        <w:t xml:space="preserve"> </w:t>
      </w:r>
      <w:r>
        <w:tab/>
      </w:r>
      <w:r w:rsidRPr="000F74F9">
        <w:t>NER, cl</w:t>
      </w:r>
      <w:r>
        <w:t>.</w:t>
      </w:r>
      <w:r w:rsidRPr="000F74F9">
        <w:t xml:space="preserve"> </w:t>
      </w:r>
      <w:r>
        <w:t>6A.7.3(a1)(5) .</w:t>
      </w:r>
    </w:p>
  </w:footnote>
  <w:footnote w:id="4">
    <w:p w:rsidR="009D5EDD" w:rsidRPr="00C4578E" w:rsidRDefault="009D5EDD" w:rsidP="004646BB">
      <w:pPr>
        <w:pStyle w:val="FootnoteText"/>
      </w:pPr>
      <w:r>
        <w:rPr>
          <w:rStyle w:val="FootnoteReference"/>
        </w:rPr>
        <w:footnoteRef/>
      </w:r>
      <w:r>
        <w:t xml:space="preserve"> </w:t>
      </w:r>
      <w:r>
        <w:tab/>
        <w:t xml:space="preserve">AusNet Services, </w:t>
      </w:r>
      <w:r>
        <w:rPr>
          <w:i/>
        </w:rPr>
        <w:t>AusNet Transmission Group Pty Ltd Transmission Revenue Review 2017–22</w:t>
      </w:r>
      <w:r>
        <w:t>, October 2015, p. 313.</w:t>
      </w:r>
    </w:p>
  </w:footnote>
  <w:footnote w:id="5">
    <w:p w:rsidR="009D5EDD" w:rsidRDefault="009D5EDD" w:rsidP="004646BB">
      <w:pPr>
        <w:pStyle w:val="FootnoteText"/>
      </w:pPr>
      <w:r>
        <w:rPr>
          <w:rStyle w:val="FootnoteReference"/>
        </w:rPr>
        <w:footnoteRef/>
      </w:r>
      <w:r>
        <w:t xml:space="preserve"> </w:t>
      </w:r>
      <w:r>
        <w:tab/>
        <w:t xml:space="preserve">AusNet Services, </w:t>
      </w:r>
      <w:r>
        <w:rPr>
          <w:i/>
        </w:rPr>
        <w:t>AusNet Transmission Group Pty Ltd Transmission Revenue Review 2017–22</w:t>
      </w:r>
      <w:r>
        <w:t>, October 2015, p. 312.</w:t>
      </w:r>
    </w:p>
  </w:footnote>
  <w:footnote w:id="6">
    <w:p w:rsidR="009D5EDD" w:rsidRDefault="009D5EDD" w:rsidP="004646BB">
      <w:pPr>
        <w:pStyle w:val="FootnoteText"/>
      </w:pPr>
      <w:r>
        <w:rPr>
          <w:rStyle w:val="FootnoteReference"/>
        </w:rPr>
        <w:footnoteRef/>
      </w:r>
      <w:r>
        <w:t xml:space="preserve"> </w:t>
      </w:r>
      <w:r>
        <w:tab/>
        <w:t xml:space="preserve">AusNet Services, </w:t>
      </w:r>
      <w:r>
        <w:rPr>
          <w:i/>
        </w:rPr>
        <w:t>AusNet Transmission Group Pty Ltd Transmission Revenue Review 2017–22</w:t>
      </w:r>
      <w:r>
        <w:t>, October 2015, p. 312.</w:t>
      </w:r>
    </w:p>
  </w:footnote>
  <w:footnote w:id="7">
    <w:p w:rsidR="009D5EDD" w:rsidRDefault="009D5EDD" w:rsidP="004646BB">
      <w:pPr>
        <w:pStyle w:val="FootnoteText"/>
      </w:pPr>
      <w:r>
        <w:rPr>
          <w:rStyle w:val="FootnoteReference"/>
        </w:rPr>
        <w:footnoteRef/>
      </w:r>
      <w:r>
        <w:t xml:space="preserve"> </w:t>
      </w:r>
      <w:r>
        <w:tab/>
        <w:t>NER, cl. 6A.7.3(a1)(1)–(4). Each of these prescribed events is defined in Chapter 10 (Glossary) of the NER.</w:t>
      </w:r>
    </w:p>
  </w:footnote>
  <w:footnote w:id="8">
    <w:p w:rsidR="009D5EDD" w:rsidRDefault="009D5EDD" w:rsidP="004646BB">
      <w:pPr>
        <w:pStyle w:val="FootnoteText"/>
      </w:pPr>
      <w:r>
        <w:rPr>
          <w:rStyle w:val="FootnoteReference"/>
        </w:rPr>
        <w:footnoteRef/>
      </w:r>
      <w:r>
        <w:t xml:space="preserve"> </w:t>
      </w:r>
      <w:r>
        <w:tab/>
        <w:t>NER, cl. 6A.7.3(a1)(5).</w:t>
      </w:r>
    </w:p>
  </w:footnote>
  <w:footnote w:id="9">
    <w:p w:rsidR="009D5EDD" w:rsidRDefault="009D5EDD" w:rsidP="004646BB">
      <w:pPr>
        <w:pStyle w:val="FootnoteText"/>
      </w:pPr>
      <w:r>
        <w:rPr>
          <w:rStyle w:val="FootnoteReference"/>
        </w:rPr>
        <w:footnoteRef/>
      </w:r>
      <w:r>
        <w:t xml:space="preserve"> </w:t>
      </w:r>
      <w:r>
        <w:tab/>
        <w:t>NER, cl. 6A.14.1(9) .</w:t>
      </w:r>
    </w:p>
  </w:footnote>
  <w:footnote w:id="10">
    <w:p w:rsidR="009D5EDD" w:rsidRDefault="009D5EDD" w:rsidP="004646BB">
      <w:pPr>
        <w:pStyle w:val="FootnoteText"/>
      </w:pPr>
      <w:r>
        <w:rPr>
          <w:rStyle w:val="FootnoteReference"/>
        </w:rPr>
        <w:footnoteRef/>
      </w:r>
      <w:r>
        <w:t xml:space="preserve"> </w:t>
      </w:r>
      <w:r>
        <w:tab/>
        <w:t>NEL, s</w:t>
      </w:r>
      <w:r w:rsidRPr="00CE34CA">
        <w:t>.</w:t>
      </w:r>
      <w:r>
        <w:t xml:space="preserve"> </w:t>
      </w:r>
      <w:r w:rsidRPr="00CE34CA">
        <w:t>7A(2).</w:t>
      </w:r>
    </w:p>
  </w:footnote>
  <w:footnote w:id="11">
    <w:p w:rsidR="009D5EDD" w:rsidRDefault="009D5EDD" w:rsidP="004646BB">
      <w:pPr>
        <w:pStyle w:val="FootnoteText"/>
      </w:pPr>
      <w:r>
        <w:rPr>
          <w:rStyle w:val="FootnoteReference"/>
        </w:rPr>
        <w:footnoteRef/>
      </w:r>
      <w:r>
        <w:t xml:space="preserve"> </w:t>
      </w:r>
      <w:r>
        <w:tab/>
        <w:t>NEL, s</w:t>
      </w:r>
      <w:r w:rsidRPr="00CE34CA">
        <w:t>.</w:t>
      </w:r>
      <w:r>
        <w:t xml:space="preserve"> </w:t>
      </w:r>
      <w:r w:rsidRPr="00CE34CA">
        <w:t>7A(3)</w:t>
      </w:r>
      <w:r>
        <w:t>.</w:t>
      </w:r>
    </w:p>
  </w:footnote>
  <w:footnote w:id="12">
    <w:p w:rsidR="009D5EDD" w:rsidRDefault="009D5EDD" w:rsidP="004646BB">
      <w:pPr>
        <w:pStyle w:val="FootnoteText"/>
      </w:pPr>
      <w:r>
        <w:rPr>
          <w:rStyle w:val="FootnoteReference"/>
        </w:rPr>
        <w:footnoteRef/>
      </w:r>
      <w:r>
        <w:t xml:space="preserve"> </w:t>
      </w:r>
      <w:r>
        <w:tab/>
        <w:t>NEL, s</w:t>
      </w:r>
      <w:r w:rsidRPr="005D0FD3">
        <w:t>.</w:t>
      </w:r>
      <w:r>
        <w:t xml:space="preserve"> </w:t>
      </w:r>
      <w:r w:rsidRPr="005D0FD3">
        <w:t>7A(6)</w:t>
      </w:r>
      <w:r>
        <w:t>.</w:t>
      </w:r>
    </w:p>
  </w:footnote>
  <w:footnote w:id="13">
    <w:p w:rsidR="009D5EDD" w:rsidRDefault="009D5EDD" w:rsidP="004646BB">
      <w:pPr>
        <w:pStyle w:val="FootnoteText"/>
      </w:pPr>
      <w:r>
        <w:rPr>
          <w:rStyle w:val="FootnoteReference"/>
        </w:rPr>
        <w:footnoteRef/>
      </w:r>
      <w:r>
        <w:t xml:space="preserve"> </w:t>
      </w:r>
      <w:r>
        <w:tab/>
        <w:t xml:space="preserve">NEL, s. 7; AEMC 2012, </w:t>
      </w:r>
      <w:r>
        <w:rPr>
          <w:i/>
        </w:rPr>
        <w:t xml:space="preserve">Cost pass through arrangements for Network Service Providers, Rule Determination, </w:t>
      </w:r>
      <w:r>
        <w:t>2 August 2012, Sydney, p. 6.</w:t>
      </w:r>
    </w:p>
  </w:footnote>
  <w:footnote w:id="14">
    <w:p w:rsidR="009D5EDD" w:rsidRDefault="009D5EDD" w:rsidP="004646BB">
      <w:pPr>
        <w:pStyle w:val="FootnoteText"/>
      </w:pPr>
      <w:r>
        <w:rPr>
          <w:rStyle w:val="FootnoteReference"/>
        </w:rPr>
        <w:footnoteRef/>
      </w:r>
      <w:r>
        <w:t xml:space="preserve"> </w:t>
      </w:r>
      <w:r>
        <w:tab/>
      </w:r>
      <w:r w:rsidRPr="00930CEF">
        <w:t xml:space="preserve">NER, cl. </w:t>
      </w:r>
      <w:r>
        <w:t>6A.6.9(b)</w:t>
      </w:r>
      <w:r w:rsidRPr="00930CEF">
        <w:t xml:space="preserve">; NER </w:t>
      </w:r>
      <w:r>
        <w:t>Chapter 10: G</w:t>
      </w:r>
      <w:r w:rsidRPr="00930CEF">
        <w:t>lossary, definition of 'nominated pass through event considerations'.</w:t>
      </w:r>
    </w:p>
  </w:footnote>
  <w:footnote w:id="15">
    <w:p w:rsidR="009D5EDD" w:rsidRDefault="009D5EDD" w:rsidP="004646BB">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16">
    <w:p w:rsidR="009D5EDD" w:rsidRDefault="009D5EDD" w:rsidP="004646BB">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17">
    <w:p w:rsidR="009D5EDD" w:rsidRDefault="009D5EDD" w:rsidP="004646BB">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8">
    <w:p w:rsidR="009D5EDD" w:rsidRDefault="009D5EDD" w:rsidP="004646BB">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9">
    <w:p w:rsidR="009D5EDD" w:rsidRDefault="009D5EDD" w:rsidP="008E3C6E">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pp. 19–20.</w:t>
      </w:r>
    </w:p>
  </w:footnote>
  <w:footnote w:id="20">
    <w:p w:rsidR="009D5EDD" w:rsidRDefault="009D5EDD">
      <w:pPr>
        <w:pStyle w:val="FootnoteText"/>
      </w:pPr>
      <w:r>
        <w:rPr>
          <w:rStyle w:val="FootnoteReference"/>
        </w:rPr>
        <w:footnoteRef/>
      </w:r>
      <w:r>
        <w:t xml:space="preserve"> </w:t>
      </w:r>
      <w:r>
        <w:tab/>
      </w:r>
      <w:r w:rsidRPr="007075A1">
        <w:t xml:space="preserve">AEMC 2012, </w:t>
      </w:r>
      <w:r w:rsidRPr="007075A1">
        <w:rPr>
          <w:rStyle w:val="AERtextitalic"/>
        </w:rPr>
        <w:t>Economic Regulation of Network Service Providers, and Price and Revenue Regulation of Gas Services, Final Position Paper</w:t>
      </w:r>
      <w:r w:rsidRPr="007075A1">
        <w:t>, 29 November 2012, Sydney</w:t>
      </w:r>
      <w:r>
        <w:t>, p. 186.</w:t>
      </w:r>
    </w:p>
  </w:footnote>
  <w:footnote w:id="21">
    <w:p w:rsidR="009D5EDD" w:rsidRDefault="009D5EDD" w:rsidP="008E3C6E">
      <w:pPr>
        <w:pStyle w:val="FootnoteText"/>
      </w:pPr>
      <w:r>
        <w:rPr>
          <w:rStyle w:val="FootnoteReference"/>
        </w:rPr>
        <w:footnoteRef/>
      </w:r>
      <w:r>
        <w:t xml:space="preserve"> </w:t>
      </w:r>
      <w:r>
        <w:tab/>
        <w:t>NER, Chapter 10: Glossary, definition of ‘materially’.</w:t>
      </w:r>
    </w:p>
  </w:footnote>
  <w:footnote w:id="22">
    <w:p w:rsidR="009D5EDD" w:rsidRDefault="009D5EDD" w:rsidP="007A10D3">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23">
    <w:p w:rsidR="009D5EDD" w:rsidRDefault="009D5EDD">
      <w:pPr>
        <w:pStyle w:val="FootnoteText"/>
      </w:pPr>
      <w:r>
        <w:rPr>
          <w:rStyle w:val="FootnoteReference"/>
        </w:rPr>
        <w:footnoteRef/>
      </w:r>
      <w:r>
        <w:t xml:space="preserve"> </w:t>
      </w:r>
      <w:r>
        <w:tab/>
        <w:t>NER, cl. S6A.2.1(f)(1)(ii).</w:t>
      </w:r>
    </w:p>
  </w:footnote>
  <w:footnote w:id="24">
    <w:p w:rsidR="009D5EDD" w:rsidRDefault="009D5EDD" w:rsidP="00E50E84">
      <w:pPr>
        <w:pStyle w:val="FootnoteText"/>
      </w:pPr>
      <w:r>
        <w:rPr>
          <w:rStyle w:val="FootnoteReference"/>
        </w:rPr>
        <w:footnoteRef/>
      </w:r>
      <w:r>
        <w:t xml:space="preserve"> </w:t>
      </w:r>
      <w:r>
        <w:tab/>
        <w:t xml:space="preserve">AusNet Services, </w:t>
      </w:r>
      <w:r>
        <w:rPr>
          <w:i/>
        </w:rPr>
        <w:t>AusNet Transmission Group Pty Ltd Transmission Revenue Review 2017–22</w:t>
      </w:r>
      <w:r>
        <w:t>, October 2015, p. 316.</w:t>
      </w:r>
    </w:p>
  </w:footnote>
  <w:footnote w:id="25">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(a).</w:t>
      </w:r>
    </w:p>
  </w:footnote>
  <w:footnote w:id="26">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(b).</w:t>
      </w:r>
    </w:p>
  </w:footnote>
  <w:footnote w:id="27">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(c).</w:t>
      </w:r>
    </w:p>
  </w:footnote>
  <w:footnote w:id="28">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(d).</w:t>
      </w:r>
    </w:p>
  </w:footnote>
  <w:footnote w:id="29">
    <w:p w:rsidR="009D5EDD" w:rsidRDefault="009D5EDD" w:rsidP="000C11CE">
      <w:pPr>
        <w:pStyle w:val="FootnoteText"/>
      </w:pPr>
      <w:r>
        <w:rPr>
          <w:rStyle w:val="FootnoteReference"/>
        </w:rPr>
        <w:footnoteRef/>
      </w:r>
      <w:r>
        <w:t xml:space="preserve"> </w:t>
      </w:r>
      <w:r>
        <w:tab/>
        <w:t xml:space="preserve">AusNet Services, </w:t>
      </w:r>
      <w:r>
        <w:rPr>
          <w:i/>
        </w:rPr>
        <w:t>AusNet Transmission Group Pty Ltd Transmission Revenue Review 2017–22</w:t>
      </w:r>
      <w:r>
        <w:t>, October 2015, pp. 314–316.</w:t>
      </w:r>
    </w:p>
  </w:footnote>
  <w:footnote w:id="30">
    <w:p w:rsidR="009D5EDD" w:rsidRDefault="009D5EDD">
      <w:pPr>
        <w:pStyle w:val="FootnoteText"/>
      </w:pPr>
      <w:r>
        <w:rPr>
          <w:rStyle w:val="FootnoteReference"/>
        </w:rPr>
        <w:footnoteRef/>
      </w:r>
      <w:r>
        <w:t xml:space="preserve"> </w:t>
      </w:r>
      <w:r>
        <w:tab/>
      </w:r>
      <w:r w:rsidRPr="00D628FE">
        <w:t>AER</w:t>
      </w:r>
      <w:r>
        <w:t>,</w:t>
      </w:r>
      <w:r w:rsidRPr="00D628FE">
        <w:t xml:space="preserve"> </w:t>
      </w:r>
      <w:r w:rsidRPr="00D628FE">
        <w:rPr>
          <w:rStyle w:val="AERtextitalic"/>
        </w:rPr>
        <w:t>Final decision AusNet distribution determination - Attachment 15 - Pass through events</w:t>
      </w:r>
      <w:r>
        <w:t>,</w:t>
      </w:r>
      <w:r w:rsidRPr="00D628FE">
        <w:t xml:space="preserve"> May 2016</w:t>
      </w:r>
      <w:r>
        <w:t xml:space="preserve">, pp. 6–8. </w:t>
      </w:r>
    </w:p>
  </w:footnote>
  <w:footnote w:id="31">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(a) and definitions of 'regulatory change event' and ‘service standard event’; NEL, s. 2D—Meaning of regulatory obligation or requirement.</w:t>
      </w:r>
    </w:p>
  </w:footnote>
  <w:footnote w:id="32">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(b).</w:t>
      </w:r>
    </w:p>
  </w:footnote>
  <w:footnote w:id="33">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(c).</w:t>
      </w:r>
    </w:p>
  </w:footnote>
  <w:footnote w:id="34">
    <w:p w:rsidR="009D5EDD" w:rsidRDefault="009D5EDD">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20" w:rsidRDefault="00606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20" w:rsidRDefault="00606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20" w:rsidRDefault="00606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0BD32AD"/>
    <w:multiLevelType w:val="hybridMultilevel"/>
    <w:tmpl w:val="CC186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C122DBE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D3FC27E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3"/>
  </w:num>
  <w:num w:numId="16">
    <w:abstractNumId w:val="20"/>
  </w:num>
  <w:num w:numId="17">
    <w:abstractNumId w:val="9"/>
  </w:num>
  <w:num w:numId="18">
    <w:abstractNumId w:val="15"/>
  </w:num>
  <w:num w:numId="19">
    <w:abstractNumId w:val="21"/>
  </w:num>
  <w:num w:numId="20">
    <w:abstractNumId w:val="28"/>
  </w:num>
  <w:num w:numId="21">
    <w:abstractNumId w:val="25"/>
  </w:num>
  <w:num w:numId="22">
    <w:abstractNumId w:val="22"/>
  </w:num>
  <w:num w:numId="23">
    <w:abstractNumId w:val="16"/>
  </w:num>
  <w:num w:numId="24">
    <w:abstractNumId w:val="24"/>
  </w:num>
  <w:num w:numId="25">
    <w:abstractNumId w:val="26"/>
  </w:num>
  <w:num w:numId="26">
    <w:abstractNumId w:val="18"/>
  </w:num>
  <w:num w:numId="27">
    <w:abstractNumId w:val="14"/>
  </w:num>
  <w:num w:numId="28">
    <w:abstractNumId w:val="17"/>
  </w:num>
  <w:num w:numId="29">
    <w:abstractNumId w:val="1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2."/>
        <w:lvlJc w:val="left"/>
        <w:pPr>
          <w:tabs>
            <w:tab w:val="num" w:pos="357"/>
          </w:tabs>
          <w:ind w:left="357" w:hanging="357"/>
        </w:pPr>
        <w:rPr>
          <w:rFonts w:hint="default"/>
        </w:rPr>
      </w:lvl>
    </w:lvlOverride>
  </w:num>
  <w:num w:numId="30">
    <w:abstractNumId w:val="28"/>
  </w:num>
  <w:num w:numId="31">
    <w:abstractNumId w:val="28"/>
    <w:lvlOverride w:ilvl="0">
      <w:startOverride w:val="1"/>
    </w:lvlOverride>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13 - pass through events (AER2015-004435).docx"/>
  </w:docVars>
  <w:rsids>
    <w:rsidRoot w:val="00961A4A"/>
    <w:rsid w:val="000035FC"/>
    <w:rsid w:val="00005540"/>
    <w:rsid w:val="000120A8"/>
    <w:rsid w:val="00021202"/>
    <w:rsid w:val="00021C2B"/>
    <w:rsid w:val="0002517F"/>
    <w:rsid w:val="0003578C"/>
    <w:rsid w:val="0004671E"/>
    <w:rsid w:val="00063247"/>
    <w:rsid w:val="00066697"/>
    <w:rsid w:val="00070F9F"/>
    <w:rsid w:val="0007137B"/>
    <w:rsid w:val="00077389"/>
    <w:rsid w:val="00085663"/>
    <w:rsid w:val="00085990"/>
    <w:rsid w:val="00085EBF"/>
    <w:rsid w:val="00086871"/>
    <w:rsid w:val="000A3020"/>
    <w:rsid w:val="000A6C7B"/>
    <w:rsid w:val="000B321F"/>
    <w:rsid w:val="000C11CE"/>
    <w:rsid w:val="000C2B40"/>
    <w:rsid w:val="000D122C"/>
    <w:rsid w:val="000E1819"/>
    <w:rsid w:val="000E4821"/>
    <w:rsid w:val="000E6C72"/>
    <w:rsid w:val="000F3998"/>
    <w:rsid w:val="000F3D82"/>
    <w:rsid w:val="000F6854"/>
    <w:rsid w:val="00116EB2"/>
    <w:rsid w:val="001203C4"/>
    <w:rsid w:val="00124609"/>
    <w:rsid w:val="001253AF"/>
    <w:rsid w:val="00126A4C"/>
    <w:rsid w:val="00130231"/>
    <w:rsid w:val="00134F95"/>
    <w:rsid w:val="00142F25"/>
    <w:rsid w:val="0014573B"/>
    <w:rsid w:val="00147E09"/>
    <w:rsid w:val="00150657"/>
    <w:rsid w:val="001573E4"/>
    <w:rsid w:val="00160756"/>
    <w:rsid w:val="0017232E"/>
    <w:rsid w:val="00172ECF"/>
    <w:rsid w:val="00174102"/>
    <w:rsid w:val="001754EE"/>
    <w:rsid w:val="00176550"/>
    <w:rsid w:val="00180157"/>
    <w:rsid w:val="00185C55"/>
    <w:rsid w:val="00185CB9"/>
    <w:rsid w:val="00186F77"/>
    <w:rsid w:val="001921F2"/>
    <w:rsid w:val="001926A4"/>
    <w:rsid w:val="00192AD5"/>
    <w:rsid w:val="001B45A0"/>
    <w:rsid w:val="001C0276"/>
    <w:rsid w:val="001D055E"/>
    <w:rsid w:val="001F492E"/>
    <w:rsid w:val="001F6DA3"/>
    <w:rsid w:val="002010BC"/>
    <w:rsid w:val="002016E7"/>
    <w:rsid w:val="00202E03"/>
    <w:rsid w:val="0020492C"/>
    <w:rsid w:val="00222982"/>
    <w:rsid w:val="00224DB9"/>
    <w:rsid w:val="002259CD"/>
    <w:rsid w:val="00233775"/>
    <w:rsid w:val="00251745"/>
    <w:rsid w:val="00263AC0"/>
    <w:rsid w:val="00264264"/>
    <w:rsid w:val="0026772D"/>
    <w:rsid w:val="00271BBF"/>
    <w:rsid w:val="00286874"/>
    <w:rsid w:val="002876B3"/>
    <w:rsid w:val="00290C63"/>
    <w:rsid w:val="00296B65"/>
    <w:rsid w:val="00297C2E"/>
    <w:rsid w:val="002A0C23"/>
    <w:rsid w:val="002A7DEF"/>
    <w:rsid w:val="002A7E13"/>
    <w:rsid w:val="002B5991"/>
    <w:rsid w:val="002C233C"/>
    <w:rsid w:val="002D72E8"/>
    <w:rsid w:val="002E7B22"/>
    <w:rsid w:val="002F7986"/>
    <w:rsid w:val="00301B40"/>
    <w:rsid w:val="003029EE"/>
    <w:rsid w:val="00305CC8"/>
    <w:rsid w:val="00307F6D"/>
    <w:rsid w:val="003177A2"/>
    <w:rsid w:val="00325C54"/>
    <w:rsid w:val="003271B5"/>
    <w:rsid w:val="00327A1E"/>
    <w:rsid w:val="00331264"/>
    <w:rsid w:val="00334C8D"/>
    <w:rsid w:val="00343A18"/>
    <w:rsid w:val="003518B3"/>
    <w:rsid w:val="003846F1"/>
    <w:rsid w:val="003903F6"/>
    <w:rsid w:val="00391454"/>
    <w:rsid w:val="003971CD"/>
    <w:rsid w:val="003B484F"/>
    <w:rsid w:val="003B6D6E"/>
    <w:rsid w:val="003B7FBA"/>
    <w:rsid w:val="003C303F"/>
    <w:rsid w:val="003C3A9C"/>
    <w:rsid w:val="003F174D"/>
    <w:rsid w:val="003F1B09"/>
    <w:rsid w:val="003F6C50"/>
    <w:rsid w:val="00400514"/>
    <w:rsid w:val="0040328A"/>
    <w:rsid w:val="00407A55"/>
    <w:rsid w:val="00415F31"/>
    <w:rsid w:val="00423A77"/>
    <w:rsid w:val="00441E6D"/>
    <w:rsid w:val="004430B2"/>
    <w:rsid w:val="0045777E"/>
    <w:rsid w:val="004646BB"/>
    <w:rsid w:val="00480B4B"/>
    <w:rsid w:val="00485DC4"/>
    <w:rsid w:val="00491349"/>
    <w:rsid w:val="00492389"/>
    <w:rsid w:val="004A43D1"/>
    <w:rsid w:val="004B4412"/>
    <w:rsid w:val="004C18FE"/>
    <w:rsid w:val="004C348C"/>
    <w:rsid w:val="004D4888"/>
    <w:rsid w:val="004D55BA"/>
    <w:rsid w:val="004E11C6"/>
    <w:rsid w:val="004E22EC"/>
    <w:rsid w:val="004E2E40"/>
    <w:rsid w:val="004E4C53"/>
    <w:rsid w:val="004F4893"/>
    <w:rsid w:val="004F6A0E"/>
    <w:rsid w:val="00530128"/>
    <w:rsid w:val="00532467"/>
    <w:rsid w:val="00540418"/>
    <w:rsid w:val="00544C12"/>
    <w:rsid w:val="00553342"/>
    <w:rsid w:val="005549FD"/>
    <w:rsid w:val="00564A4D"/>
    <w:rsid w:val="00567BA5"/>
    <w:rsid w:val="00571B35"/>
    <w:rsid w:val="00571D57"/>
    <w:rsid w:val="00577A09"/>
    <w:rsid w:val="005829C2"/>
    <w:rsid w:val="00584D8F"/>
    <w:rsid w:val="005A404D"/>
    <w:rsid w:val="005B1E3C"/>
    <w:rsid w:val="005B704A"/>
    <w:rsid w:val="005C26CC"/>
    <w:rsid w:val="005C751D"/>
    <w:rsid w:val="005D10E3"/>
    <w:rsid w:val="005D7BA2"/>
    <w:rsid w:val="005E1C36"/>
    <w:rsid w:val="005E36C2"/>
    <w:rsid w:val="005F3CA6"/>
    <w:rsid w:val="00606320"/>
    <w:rsid w:val="00612F4F"/>
    <w:rsid w:val="00615C6B"/>
    <w:rsid w:val="00621DCE"/>
    <w:rsid w:val="00632D6D"/>
    <w:rsid w:val="006361C9"/>
    <w:rsid w:val="006377F4"/>
    <w:rsid w:val="00642C3E"/>
    <w:rsid w:val="006537AA"/>
    <w:rsid w:val="00657815"/>
    <w:rsid w:val="0066104A"/>
    <w:rsid w:val="00663DAD"/>
    <w:rsid w:val="006654E2"/>
    <w:rsid w:val="00672FF5"/>
    <w:rsid w:val="00675E20"/>
    <w:rsid w:val="00676679"/>
    <w:rsid w:val="006810AE"/>
    <w:rsid w:val="00683C89"/>
    <w:rsid w:val="006A08A8"/>
    <w:rsid w:val="006A2A7F"/>
    <w:rsid w:val="006B2395"/>
    <w:rsid w:val="006B4CF9"/>
    <w:rsid w:val="006B7AC8"/>
    <w:rsid w:val="006C1736"/>
    <w:rsid w:val="006D5008"/>
    <w:rsid w:val="006D550F"/>
    <w:rsid w:val="00701CAB"/>
    <w:rsid w:val="00707563"/>
    <w:rsid w:val="007075A1"/>
    <w:rsid w:val="00713956"/>
    <w:rsid w:val="0072348C"/>
    <w:rsid w:val="00724A37"/>
    <w:rsid w:val="007303C3"/>
    <w:rsid w:val="00730768"/>
    <w:rsid w:val="00731756"/>
    <w:rsid w:val="007429BE"/>
    <w:rsid w:val="00743223"/>
    <w:rsid w:val="00746513"/>
    <w:rsid w:val="00746E01"/>
    <w:rsid w:val="00757364"/>
    <w:rsid w:val="00757BDF"/>
    <w:rsid w:val="007609D0"/>
    <w:rsid w:val="00763E5D"/>
    <w:rsid w:val="00767740"/>
    <w:rsid w:val="00777EE6"/>
    <w:rsid w:val="00782EEA"/>
    <w:rsid w:val="00791CC5"/>
    <w:rsid w:val="00796270"/>
    <w:rsid w:val="00797980"/>
    <w:rsid w:val="007A10D3"/>
    <w:rsid w:val="007B186E"/>
    <w:rsid w:val="007B2C72"/>
    <w:rsid w:val="007C1C53"/>
    <w:rsid w:val="007C74BB"/>
    <w:rsid w:val="007D456E"/>
    <w:rsid w:val="007E1339"/>
    <w:rsid w:val="007E4904"/>
    <w:rsid w:val="007E4CB5"/>
    <w:rsid w:val="007F066B"/>
    <w:rsid w:val="00800A30"/>
    <w:rsid w:val="008033C4"/>
    <w:rsid w:val="008067AB"/>
    <w:rsid w:val="00806C88"/>
    <w:rsid w:val="0081034E"/>
    <w:rsid w:val="008136FB"/>
    <w:rsid w:val="008244AC"/>
    <w:rsid w:val="008344F6"/>
    <w:rsid w:val="0083510F"/>
    <w:rsid w:val="00842AFA"/>
    <w:rsid w:val="00851209"/>
    <w:rsid w:val="00854FED"/>
    <w:rsid w:val="008676D9"/>
    <w:rsid w:val="008837AC"/>
    <w:rsid w:val="008A0CF9"/>
    <w:rsid w:val="008A587D"/>
    <w:rsid w:val="008B35CD"/>
    <w:rsid w:val="008B5FCC"/>
    <w:rsid w:val="008C20B5"/>
    <w:rsid w:val="008C5486"/>
    <w:rsid w:val="008C55FA"/>
    <w:rsid w:val="008D1661"/>
    <w:rsid w:val="008E08B1"/>
    <w:rsid w:val="008E3C6E"/>
    <w:rsid w:val="008E7031"/>
    <w:rsid w:val="008E77DE"/>
    <w:rsid w:val="008F07A3"/>
    <w:rsid w:val="009001B6"/>
    <w:rsid w:val="00900E1B"/>
    <w:rsid w:val="0090431C"/>
    <w:rsid w:val="009233EE"/>
    <w:rsid w:val="009334FF"/>
    <w:rsid w:val="009460AA"/>
    <w:rsid w:val="00951978"/>
    <w:rsid w:val="00961A4A"/>
    <w:rsid w:val="009630FD"/>
    <w:rsid w:val="009661DE"/>
    <w:rsid w:val="00983C25"/>
    <w:rsid w:val="009856B7"/>
    <w:rsid w:val="00985C86"/>
    <w:rsid w:val="00996349"/>
    <w:rsid w:val="00996A8E"/>
    <w:rsid w:val="009A5FC3"/>
    <w:rsid w:val="009A7D9D"/>
    <w:rsid w:val="009B090B"/>
    <w:rsid w:val="009B5627"/>
    <w:rsid w:val="009B74B0"/>
    <w:rsid w:val="009C0D47"/>
    <w:rsid w:val="009C37EE"/>
    <w:rsid w:val="009D3906"/>
    <w:rsid w:val="009D5EDD"/>
    <w:rsid w:val="009D6B46"/>
    <w:rsid w:val="009F4940"/>
    <w:rsid w:val="009F5BA1"/>
    <w:rsid w:val="00A02A88"/>
    <w:rsid w:val="00A0562E"/>
    <w:rsid w:val="00A0726D"/>
    <w:rsid w:val="00A32FBB"/>
    <w:rsid w:val="00A344D3"/>
    <w:rsid w:val="00A428EE"/>
    <w:rsid w:val="00A4478A"/>
    <w:rsid w:val="00A44852"/>
    <w:rsid w:val="00A57D04"/>
    <w:rsid w:val="00A60A26"/>
    <w:rsid w:val="00A61598"/>
    <w:rsid w:val="00A63EDD"/>
    <w:rsid w:val="00A704B2"/>
    <w:rsid w:val="00A75F96"/>
    <w:rsid w:val="00A84A99"/>
    <w:rsid w:val="00A84F46"/>
    <w:rsid w:val="00A871F4"/>
    <w:rsid w:val="00AA3B8E"/>
    <w:rsid w:val="00AB4D90"/>
    <w:rsid w:val="00AC0C43"/>
    <w:rsid w:val="00AC1B2C"/>
    <w:rsid w:val="00AC3264"/>
    <w:rsid w:val="00AC4546"/>
    <w:rsid w:val="00AD7DC4"/>
    <w:rsid w:val="00AE1BF1"/>
    <w:rsid w:val="00AE3B3D"/>
    <w:rsid w:val="00AF0DD2"/>
    <w:rsid w:val="00B06C2F"/>
    <w:rsid w:val="00B13048"/>
    <w:rsid w:val="00B1716D"/>
    <w:rsid w:val="00B17A1D"/>
    <w:rsid w:val="00B207A0"/>
    <w:rsid w:val="00B217BD"/>
    <w:rsid w:val="00B2303F"/>
    <w:rsid w:val="00B35DFB"/>
    <w:rsid w:val="00B466BE"/>
    <w:rsid w:val="00B514DD"/>
    <w:rsid w:val="00B52AF0"/>
    <w:rsid w:val="00B561BD"/>
    <w:rsid w:val="00B56E03"/>
    <w:rsid w:val="00B5713D"/>
    <w:rsid w:val="00B65C83"/>
    <w:rsid w:val="00B8080B"/>
    <w:rsid w:val="00B82223"/>
    <w:rsid w:val="00B87BA5"/>
    <w:rsid w:val="00B87C39"/>
    <w:rsid w:val="00B9562D"/>
    <w:rsid w:val="00B9733D"/>
    <w:rsid w:val="00BA2AAF"/>
    <w:rsid w:val="00BA4665"/>
    <w:rsid w:val="00BA5C90"/>
    <w:rsid w:val="00BB2FB2"/>
    <w:rsid w:val="00BB3304"/>
    <w:rsid w:val="00BB751F"/>
    <w:rsid w:val="00BC671B"/>
    <w:rsid w:val="00BD3446"/>
    <w:rsid w:val="00BD5D87"/>
    <w:rsid w:val="00BD6EB1"/>
    <w:rsid w:val="00BD77D0"/>
    <w:rsid w:val="00BE1F1B"/>
    <w:rsid w:val="00BE47B5"/>
    <w:rsid w:val="00C25FA6"/>
    <w:rsid w:val="00C26737"/>
    <w:rsid w:val="00C420BC"/>
    <w:rsid w:val="00C45DCD"/>
    <w:rsid w:val="00C538A9"/>
    <w:rsid w:val="00C53B5A"/>
    <w:rsid w:val="00C54F5A"/>
    <w:rsid w:val="00C569B4"/>
    <w:rsid w:val="00C67A92"/>
    <w:rsid w:val="00C81758"/>
    <w:rsid w:val="00C8377E"/>
    <w:rsid w:val="00C84560"/>
    <w:rsid w:val="00C86679"/>
    <w:rsid w:val="00C8739E"/>
    <w:rsid w:val="00CA0B6F"/>
    <w:rsid w:val="00CA489E"/>
    <w:rsid w:val="00CA67ED"/>
    <w:rsid w:val="00CB0279"/>
    <w:rsid w:val="00CB666B"/>
    <w:rsid w:val="00CC1A6B"/>
    <w:rsid w:val="00CC7F1D"/>
    <w:rsid w:val="00CD137E"/>
    <w:rsid w:val="00CE484B"/>
    <w:rsid w:val="00CF6177"/>
    <w:rsid w:val="00D006AE"/>
    <w:rsid w:val="00D01CF0"/>
    <w:rsid w:val="00D0442A"/>
    <w:rsid w:val="00D074B1"/>
    <w:rsid w:val="00D1563D"/>
    <w:rsid w:val="00D17061"/>
    <w:rsid w:val="00D27530"/>
    <w:rsid w:val="00D325B8"/>
    <w:rsid w:val="00D61388"/>
    <w:rsid w:val="00D61A54"/>
    <w:rsid w:val="00D62329"/>
    <w:rsid w:val="00D628FE"/>
    <w:rsid w:val="00D62B54"/>
    <w:rsid w:val="00D64DEA"/>
    <w:rsid w:val="00D7168E"/>
    <w:rsid w:val="00D71E57"/>
    <w:rsid w:val="00D80893"/>
    <w:rsid w:val="00D84854"/>
    <w:rsid w:val="00D92CF1"/>
    <w:rsid w:val="00D92D38"/>
    <w:rsid w:val="00D950F5"/>
    <w:rsid w:val="00DA452C"/>
    <w:rsid w:val="00DA4752"/>
    <w:rsid w:val="00DA61F3"/>
    <w:rsid w:val="00DA6A65"/>
    <w:rsid w:val="00DB0F93"/>
    <w:rsid w:val="00DB150D"/>
    <w:rsid w:val="00DB1A67"/>
    <w:rsid w:val="00DB48C6"/>
    <w:rsid w:val="00DB5074"/>
    <w:rsid w:val="00DC5D3C"/>
    <w:rsid w:val="00DC7981"/>
    <w:rsid w:val="00DE0144"/>
    <w:rsid w:val="00DE1093"/>
    <w:rsid w:val="00DE3695"/>
    <w:rsid w:val="00DE385A"/>
    <w:rsid w:val="00DE4EFA"/>
    <w:rsid w:val="00DE5520"/>
    <w:rsid w:val="00DE563D"/>
    <w:rsid w:val="00E04818"/>
    <w:rsid w:val="00E0633E"/>
    <w:rsid w:val="00E06442"/>
    <w:rsid w:val="00E23993"/>
    <w:rsid w:val="00E25B8C"/>
    <w:rsid w:val="00E43C30"/>
    <w:rsid w:val="00E50E84"/>
    <w:rsid w:val="00E63219"/>
    <w:rsid w:val="00E65C85"/>
    <w:rsid w:val="00E66199"/>
    <w:rsid w:val="00E666DE"/>
    <w:rsid w:val="00E755EC"/>
    <w:rsid w:val="00E7624D"/>
    <w:rsid w:val="00E76747"/>
    <w:rsid w:val="00E84C0F"/>
    <w:rsid w:val="00E97452"/>
    <w:rsid w:val="00EA0C7F"/>
    <w:rsid w:val="00EA3D42"/>
    <w:rsid w:val="00EA6B1B"/>
    <w:rsid w:val="00EC04F1"/>
    <w:rsid w:val="00ED2A57"/>
    <w:rsid w:val="00ED7323"/>
    <w:rsid w:val="00EE28F3"/>
    <w:rsid w:val="00EE50D1"/>
    <w:rsid w:val="00EE7759"/>
    <w:rsid w:val="00EF0242"/>
    <w:rsid w:val="00EF5110"/>
    <w:rsid w:val="00EF6D51"/>
    <w:rsid w:val="00F024C8"/>
    <w:rsid w:val="00F0689C"/>
    <w:rsid w:val="00F10411"/>
    <w:rsid w:val="00F14E38"/>
    <w:rsid w:val="00F15882"/>
    <w:rsid w:val="00F171E0"/>
    <w:rsid w:val="00F20BD3"/>
    <w:rsid w:val="00F33D1C"/>
    <w:rsid w:val="00F365B3"/>
    <w:rsid w:val="00F373A5"/>
    <w:rsid w:val="00F47559"/>
    <w:rsid w:val="00F64C7B"/>
    <w:rsid w:val="00F676DD"/>
    <w:rsid w:val="00F73143"/>
    <w:rsid w:val="00F75A26"/>
    <w:rsid w:val="00F76706"/>
    <w:rsid w:val="00F80EE4"/>
    <w:rsid w:val="00F83FAD"/>
    <w:rsid w:val="00F952A0"/>
    <w:rsid w:val="00F97CBF"/>
    <w:rsid w:val="00FA3C7F"/>
    <w:rsid w:val="00FA5365"/>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3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Default">
    <w:name w:val="Default"/>
    <w:rsid w:val="009D5EDD"/>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3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Default">
    <w:name w:val="Default"/>
    <w:rsid w:val="009D5EDD"/>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427BB-BEF9-4570-841F-A418282C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9B9BC685</Template>
  <TotalTime>0</TotalTime>
  <Pages>18</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AusNet Services 2017-22 - Draft decision - Attachment 13 - Pass through events</vt:lpstr>
    </vt:vector>
  </TitlesOfParts>
  <LinksUpToDate>false</LinksUpToDate>
  <CharactersWithSpaces>31793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13 - Pass through events</dc:title>
  <dc:creator/>
  <cp:lastModifiedBy/>
  <cp:revision>1</cp:revision>
  <dcterms:created xsi:type="dcterms:W3CDTF">2016-07-18T01:07:00Z</dcterms:created>
  <dcterms:modified xsi:type="dcterms:W3CDTF">2016-07-18T01:07:00Z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13 - pass through events (AER2015-004435).docx</vt:lpwstr>
  </property>
</Properties>
</file>