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134EDD" w:rsidP="00290C63">
          <w:r w:rsidRPr="00134EDD">
            <w:rPr>
              <w:noProof/>
              <w:lang w:eastAsia="en-AU"/>
            </w:rPr>
            <w:drawing>
              <wp:anchor distT="0" distB="0" distL="114300" distR="114300" simplePos="0" relativeHeight="251659264" behindDoc="1" locked="0" layoutInCell="1" allowOverlap="1" wp14:anchorId="7A4DFA60" wp14:editId="1C8B33BB">
                <wp:simplePos x="0" y="0"/>
                <wp:positionH relativeFrom="column">
                  <wp:posOffset>-1098163</wp:posOffset>
                </wp:positionH>
                <wp:positionV relativeFrom="paragraph">
                  <wp:posOffset>-911142</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B214F9" w:rsidP="00B214F9">
          <w:pPr>
            <w:pStyle w:val="ReportSubtitle"/>
          </w:pPr>
          <w:r>
            <w:t>201</w:t>
          </w:r>
          <w:r w:rsidR="00134EDD">
            <w:t>7</w:t>
          </w:r>
          <w:r>
            <w:t>–1</w:t>
          </w:r>
          <w:r w:rsidR="00134EDD">
            <w:t>8</w:t>
          </w:r>
          <w:r>
            <w:t xml:space="preserve"> to 2021–22</w:t>
          </w:r>
        </w:p>
        <w:p w:rsidR="008F07A3" w:rsidRPr="000A6C7B" w:rsidRDefault="008F07A3" w:rsidP="008F07A3">
          <w:pPr>
            <w:pStyle w:val="ReportSubtitle"/>
          </w:pPr>
        </w:p>
        <w:p w:rsidR="000A6C7B" w:rsidRPr="000A6C7B" w:rsidRDefault="00DA4752" w:rsidP="008F07A3">
          <w:pPr>
            <w:pStyle w:val="ReportSubtitle"/>
          </w:pPr>
          <w:r>
            <w:t>Attachment 1</w:t>
          </w:r>
          <w:r w:rsidR="00481F73">
            <w:t>4</w:t>
          </w:r>
          <w:r>
            <w:t xml:space="preserve"> </w:t>
          </w:r>
          <w:r w:rsidR="00415F31">
            <w:rPr>
              <w:rFonts w:cs="Arial"/>
            </w:rPr>
            <w:t>–</w:t>
          </w:r>
          <w:r>
            <w:t xml:space="preserve"> </w:t>
          </w:r>
          <w:r w:rsidR="00481F73">
            <w:t>Negotiating framework</w:t>
          </w:r>
        </w:p>
        <w:p w:rsidR="00B9733D" w:rsidRDefault="00B9733D" w:rsidP="00327A1E">
          <w:pPr>
            <w:pStyle w:val="ReportDate"/>
          </w:pPr>
        </w:p>
        <w:p w:rsidR="000A6C7B" w:rsidRPr="00327A1E" w:rsidRDefault="00B214F9"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F73917">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r>
      <w:r w:rsidR="001C4925">
        <w:t>56417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56603697"/>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5660369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AC707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03697" w:history="1">
            <w:r w:rsidR="00AC7070" w:rsidRPr="008563C8">
              <w:rPr>
                <w:rStyle w:val="Hyperlink"/>
              </w:rPr>
              <w:t>Note</w:t>
            </w:r>
            <w:r w:rsidR="00AC7070">
              <w:rPr>
                <w:webHidden/>
              </w:rPr>
              <w:tab/>
            </w:r>
            <w:r w:rsidR="00AC7070">
              <w:rPr>
                <w:webHidden/>
              </w:rPr>
              <w:fldChar w:fldCharType="begin"/>
            </w:r>
            <w:r w:rsidR="00AC7070">
              <w:rPr>
                <w:webHidden/>
              </w:rPr>
              <w:instrText xml:space="preserve"> PAGEREF _Toc456603697 \h </w:instrText>
            </w:r>
            <w:r w:rsidR="00AC7070">
              <w:rPr>
                <w:webHidden/>
              </w:rPr>
            </w:r>
            <w:r w:rsidR="00AC7070">
              <w:rPr>
                <w:webHidden/>
              </w:rPr>
              <w:fldChar w:fldCharType="separate"/>
            </w:r>
            <w:r w:rsidR="00AC7070">
              <w:rPr>
                <w:webHidden/>
              </w:rPr>
              <w:t>14-2</w:t>
            </w:r>
            <w:r w:rsidR="00AC7070">
              <w:rPr>
                <w:webHidden/>
              </w:rPr>
              <w:fldChar w:fldCharType="end"/>
            </w:r>
          </w:hyperlink>
        </w:p>
        <w:p w:rsidR="00AC7070" w:rsidRDefault="00C909C5">
          <w:pPr>
            <w:pStyle w:val="TOC1"/>
            <w:rPr>
              <w:rFonts w:asciiTheme="minorHAnsi" w:eastAsiaTheme="minorEastAsia" w:hAnsiTheme="minorHAnsi"/>
              <w:b w:val="0"/>
              <w:color w:val="auto"/>
              <w:sz w:val="22"/>
              <w:lang w:val="en-AU" w:eastAsia="en-AU"/>
            </w:rPr>
          </w:pPr>
          <w:hyperlink w:anchor="_Toc456603698" w:history="1">
            <w:r w:rsidR="00AC7070" w:rsidRPr="008563C8">
              <w:rPr>
                <w:rStyle w:val="Hyperlink"/>
              </w:rPr>
              <w:t>Contents</w:t>
            </w:r>
            <w:r w:rsidR="00AC7070">
              <w:rPr>
                <w:webHidden/>
              </w:rPr>
              <w:tab/>
            </w:r>
            <w:r w:rsidR="00AC7070">
              <w:rPr>
                <w:webHidden/>
              </w:rPr>
              <w:fldChar w:fldCharType="begin"/>
            </w:r>
            <w:r w:rsidR="00AC7070">
              <w:rPr>
                <w:webHidden/>
              </w:rPr>
              <w:instrText xml:space="preserve"> PAGEREF _Toc456603698 \h </w:instrText>
            </w:r>
            <w:r w:rsidR="00AC7070">
              <w:rPr>
                <w:webHidden/>
              </w:rPr>
            </w:r>
            <w:r w:rsidR="00AC7070">
              <w:rPr>
                <w:webHidden/>
              </w:rPr>
              <w:fldChar w:fldCharType="separate"/>
            </w:r>
            <w:r w:rsidR="00AC7070">
              <w:rPr>
                <w:webHidden/>
              </w:rPr>
              <w:t>14-3</w:t>
            </w:r>
            <w:r w:rsidR="00AC7070">
              <w:rPr>
                <w:webHidden/>
              </w:rPr>
              <w:fldChar w:fldCharType="end"/>
            </w:r>
          </w:hyperlink>
        </w:p>
        <w:p w:rsidR="00AC7070" w:rsidRDefault="00C909C5">
          <w:pPr>
            <w:pStyle w:val="TOC1"/>
            <w:rPr>
              <w:rFonts w:asciiTheme="minorHAnsi" w:eastAsiaTheme="minorEastAsia" w:hAnsiTheme="minorHAnsi"/>
              <w:b w:val="0"/>
              <w:color w:val="auto"/>
              <w:sz w:val="22"/>
              <w:lang w:val="en-AU" w:eastAsia="en-AU"/>
            </w:rPr>
          </w:pPr>
          <w:hyperlink w:anchor="_Toc456603699" w:history="1">
            <w:r w:rsidR="00AC7070" w:rsidRPr="008563C8">
              <w:rPr>
                <w:rStyle w:val="Hyperlink"/>
              </w:rPr>
              <w:t>Shortened forms</w:t>
            </w:r>
            <w:r w:rsidR="00AC7070">
              <w:rPr>
                <w:webHidden/>
              </w:rPr>
              <w:tab/>
            </w:r>
            <w:r w:rsidR="00AC7070">
              <w:rPr>
                <w:webHidden/>
              </w:rPr>
              <w:fldChar w:fldCharType="begin"/>
            </w:r>
            <w:r w:rsidR="00AC7070">
              <w:rPr>
                <w:webHidden/>
              </w:rPr>
              <w:instrText xml:space="preserve"> PAGEREF _Toc456603699 \h </w:instrText>
            </w:r>
            <w:r w:rsidR="00AC7070">
              <w:rPr>
                <w:webHidden/>
              </w:rPr>
            </w:r>
            <w:r w:rsidR="00AC7070">
              <w:rPr>
                <w:webHidden/>
              </w:rPr>
              <w:fldChar w:fldCharType="separate"/>
            </w:r>
            <w:r w:rsidR="00AC7070">
              <w:rPr>
                <w:webHidden/>
              </w:rPr>
              <w:t>14-4</w:t>
            </w:r>
            <w:r w:rsidR="00AC7070">
              <w:rPr>
                <w:webHidden/>
              </w:rPr>
              <w:fldChar w:fldCharType="end"/>
            </w:r>
          </w:hyperlink>
        </w:p>
        <w:p w:rsidR="00AC7070" w:rsidRDefault="00C909C5">
          <w:pPr>
            <w:pStyle w:val="TOC1"/>
            <w:rPr>
              <w:rFonts w:asciiTheme="minorHAnsi" w:eastAsiaTheme="minorEastAsia" w:hAnsiTheme="minorHAnsi"/>
              <w:b w:val="0"/>
              <w:color w:val="auto"/>
              <w:sz w:val="22"/>
              <w:lang w:val="en-AU" w:eastAsia="en-AU"/>
            </w:rPr>
          </w:pPr>
          <w:hyperlink w:anchor="_Toc456603700" w:history="1">
            <w:r w:rsidR="00AC7070" w:rsidRPr="008563C8">
              <w:rPr>
                <w:rStyle w:val="Hyperlink"/>
              </w:rPr>
              <w:t>14</w:t>
            </w:r>
            <w:r w:rsidR="00AC7070">
              <w:rPr>
                <w:rFonts w:asciiTheme="minorHAnsi" w:eastAsiaTheme="minorEastAsia" w:hAnsiTheme="minorHAnsi"/>
                <w:b w:val="0"/>
                <w:color w:val="auto"/>
                <w:sz w:val="22"/>
                <w:lang w:val="en-AU" w:eastAsia="en-AU"/>
              </w:rPr>
              <w:tab/>
            </w:r>
            <w:r w:rsidR="00AC7070" w:rsidRPr="008563C8">
              <w:rPr>
                <w:rStyle w:val="Hyperlink"/>
              </w:rPr>
              <w:t>Negotiating framework</w:t>
            </w:r>
            <w:r w:rsidR="00AC7070">
              <w:rPr>
                <w:webHidden/>
              </w:rPr>
              <w:tab/>
            </w:r>
            <w:r w:rsidR="00AC7070">
              <w:rPr>
                <w:webHidden/>
              </w:rPr>
              <w:fldChar w:fldCharType="begin"/>
            </w:r>
            <w:r w:rsidR="00AC7070">
              <w:rPr>
                <w:webHidden/>
              </w:rPr>
              <w:instrText xml:space="preserve"> PAGEREF _Toc456603700 \h </w:instrText>
            </w:r>
            <w:r w:rsidR="00AC7070">
              <w:rPr>
                <w:webHidden/>
              </w:rPr>
            </w:r>
            <w:r w:rsidR="00AC7070">
              <w:rPr>
                <w:webHidden/>
              </w:rPr>
              <w:fldChar w:fldCharType="separate"/>
            </w:r>
            <w:r w:rsidR="00AC7070">
              <w:rPr>
                <w:webHidden/>
              </w:rPr>
              <w:t>14-6</w:t>
            </w:r>
            <w:r w:rsidR="00AC7070">
              <w:rPr>
                <w:webHidden/>
              </w:rPr>
              <w:fldChar w:fldCharType="end"/>
            </w:r>
          </w:hyperlink>
        </w:p>
        <w:p w:rsidR="00AC7070" w:rsidRDefault="00C909C5">
          <w:pPr>
            <w:pStyle w:val="TOC2"/>
            <w:tabs>
              <w:tab w:val="left" w:pos="1276"/>
            </w:tabs>
            <w:rPr>
              <w:rFonts w:asciiTheme="minorHAnsi" w:eastAsiaTheme="minorEastAsia" w:hAnsiTheme="minorHAnsi"/>
              <w:b w:val="0"/>
              <w:color w:val="auto"/>
              <w:sz w:val="22"/>
              <w:lang w:eastAsia="en-AU"/>
            </w:rPr>
          </w:pPr>
          <w:hyperlink w:anchor="_Toc456603701" w:history="1">
            <w:r w:rsidR="00AC7070" w:rsidRPr="008563C8">
              <w:rPr>
                <w:rStyle w:val="Hyperlink"/>
              </w:rPr>
              <w:t>14.1</w:t>
            </w:r>
            <w:r w:rsidR="00AC7070">
              <w:rPr>
                <w:rFonts w:asciiTheme="minorHAnsi" w:eastAsiaTheme="minorEastAsia" w:hAnsiTheme="minorHAnsi"/>
                <w:b w:val="0"/>
                <w:color w:val="auto"/>
                <w:sz w:val="22"/>
                <w:lang w:eastAsia="en-AU"/>
              </w:rPr>
              <w:tab/>
            </w:r>
            <w:r w:rsidR="00AC7070" w:rsidRPr="008563C8">
              <w:rPr>
                <w:rStyle w:val="Hyperlink"/>
              </w:rPr>
              <w:t>Draft decision</w:t>
            </w:r>
            <w:r w:rsidR="00AC7070">
              <w:rPr>
                <w:webHidden/>
              </w:rPr>
              <w:tab/>
            </w:r>
            <w:r w:rsidR="00AC7070">
              <w:rPr>
                <w:webHidden/>
              </w:rPr>
              <w:fldChar w:fldCharType="begin"/>
            </w:r>
            <w:r w:rsidR="00AC7070">
              <w:rPr>
                <w:webHidden/>
              </w:rPr>
              <w:instrText xml:space="preserve"> PAGEREF _Toc456603701 \h </w:instrText>
            </w:r>
            <w:r w:rsidR="00AC7070">
              <w:rPr>
                <w:webHidden/>
              </w:rPr>
            </w:r>
            <w:r w:rsidR="00AC7070">
              <w:rPr>
                <w:webHidden/>
              </w:rPr>
              <w:fldChar w:fldCharType="separate"/>
            </w:r>
            <w:r w:rsidR="00AC7070">
              <w:rPr>
                <w:webHidden/>
              </w:rPr>
              <w:t>14-6</w:t>
            </w:r>
            <w:r w:rsidR="00AC7070">
              <w:rPr>
                <w:webHidden/>
              </w:rPr>
              <w:fldChar w:fldCharType="end"/>
            </w:r>
          </w:hyperlink>
        </w:p>
        <w:p w:rsidR="00AC7070" w:rsidRDefault="00C909C5">
          <w:pPr>
            <w:pStyle w:val="TOC2"/>
            <w:tabs>
              <w:tab w:val="left" w:pos="1276"/>
            </w:tabs>
            <w:rPr>
              <w:rFonts w:asciiTheme="minorHAnsi" w:eastAsiaTheme="minorEastAsia" w:hAnsiTheme="minorHAnsi"/>
              <w:b w:val="0"/>
              <w:color w:val="auto"/>
              <w:sz w:val="22"/>
              <w:lang w:eastAsia="en-AU"/>
            </w:rPr>
          </w:pPr>
          <w:hyperlink w:anchor="_Toc456603702" w:history="1">
            <w:r w:rsidR="00AC7070" w:rsidRPr="008563C8">
              <w:rPr>
                <w:rStyle w:val="Hyperlink"/>
              </w:rPr>
              <w:t>14.2</w:t>
            </w:r>
            <w:r w:rsidR="00AC7070">
              <w:rPr>
                <w:rFonts w:asciiTheme="minorHAnsi" w:eastAsiaTheme="minorEastAsia" w:hAnsiTheme="minorHAnsi"/>
                <w:b w:val="0"/>
                <w:color w:val="auto"/>
                <w:sz w:val="22"/>
                <w:lang w:eastAsia="en-AU"/>
              </w:rPr>
              <w:tab/>
            </w:r>
            <w:r w:rsidR="00AC7070" w:rsidRPr="008563C8">
              <w:rPr>
                <w:rStyle w:val="Hyperlink"/>
              </w:rPr>
              <w:t>AusNet Services’ proposal</w:t>
            </w:r>
            <w:r w:rsidR="00AC7070">
              <w:rPr>
                <w:webHidden/>
              </w:rPr>
              <w:tab/>
            </w:r>
            <w:r w:rsidR="00AC7070">
              <w:rPr>
                <w:webHidden/>
              </w:rPr>
              <w:fldChar w:fldCharType="begin"/>
            </w:r>
            <w:r w:rsidR="00AC7070">
              <w:rPr>
                <w:webHidden/>
              </w:rPr>
              <w:instrText xml:space="preserve"> PAGEREF _Toc456603702 \h </w:instrText>
            </w:r>
            <w:r w:rsidR="00AC7070">
              <w:rPr>
                <w:webHidden/>
              </w:rPr>
            </w:r>
            <w:r w:rsidR="00AC7070">
              <w:rPr>
                <w:webHidden/>
              </w:rPr>
              <w:fldChar w:fldCharType="separate"/>
            </w:r>
            <w:r w:rsidR="00AC7070">
              <w:rPr>
                <w:webHidden/>
              </w:rPr>
              <w:t>14-6</w:t>
            </w:r>
            <w:r w:rsidR="00AC7070">
              <w:rPr>
                <w:webHidden/>
              </w:rPr>
              <w:fldChar w:fldCharType="end"/>
            </w:r>
          </w:hyperlink>
        </w:p>
        <w:p w:rsidR="00AC7070" w:rsidRDefault="00C909C5">
          <w:pPr>
            <w:pStyle w:val="TOC2"/>
            <w:tabs>
              <w:tab w:val="left" w:pos="1276"/>
            </w:tabs>
            <w:rPr>
              <w:rFonts w:asciiTheme="minorHAnsi" w:eastAsiaTheme="minorEastAsia" w:hAnsiTheme="minorHAnsi"/>
              <w:b w:val="0"/>
              <w:color w:val="auto"/>
              <w:sz w:val="22"/>
              <w:lang w:eastAsia="en-AU"/>
            </w:rPr>
          </w:pPr>
          <w:hyperlink w:anchor="_Toc456603703" w:history="1">
            <w:r w:rsidR="00AC7070" w:rsidRPr="008563C8">
              <w:rPr>
                <w:rStyle w:val="Hyperlink"/>
              </w:rPr>
              <w:t>14.3</w:t>
            </w:r>
            <w:r w:rsidR="00AC7070">
              <w:rPr>
                <w:rFonts w:asciiTheme="minorHAnsi" w:eastAsiaTheme="minorEastAsia" w:hAnsiTheme="minorHAnsi"/>
                <w:b w:val="0"/>
                <w:color w:val="auto"/>
                <w:sz w:val="22"/>
                <w:lang w:eastAsia="en-AU"/>
              </w:rPr>
              <w:tab/>
            </w:r>
            <w:r w:rsidR="00AC7070" w:rsidRPr="008563C8">
              <w:rPr>
                <w:rStyle w:val="Hyperlink"/>
              </w:rPr>
              <w:t>AER’s assessment approach</w:t>
            </w:r>
            <w:r w:rsidR="00AC7070">
              <w:rPr>
                <w:webHidden/>
              </w:rPr>
              <w:tab/>
            </w:r>
            <w:r w:rsidR="00AC7070">
              <w:rPr>
                <w:webHidden/>
              </w:rPr>
              <w:fldChar w:fldCharType="begin"/>
            </w:r>
            <w:r w:rsidR="00AC7070">
              <w:rPr>
                <w:webHidden/>
              </w:rPr>
              <w:instrText xml:space="preserve"> PAGEREF _Toc456603703 \h </w:instrText>
            </w:r>
            <w:r w:rsidR="00AC7070">
              <w:rPr>
                <w:webHidden/>
              </w:rPr>
            </w:r>
            <w:r w:rsidR="00AC7070">
              <w:rPr>
                <w:webHidden/>
              </w:rPr>
              <w:fldChar w:fldCharType="separate"/>
            </w:r>
            <w:r w:rsidR="00AC7070">
              <w:rPr>
                <w:webHidden/>
              </w:rPr>
              <w:t>14-7</w:t>
            </w:r>
            <w:r w:rsidR="00AC7070">
              <w:rPr>
                <w:webHidden/>
              </w:rPr>
              <w:fldChar w:fldCharType="end"/>
            </w:r>
          </w:hyperlink>
        </w:p>
        <w:p w:rsidR="00AC7070" w:rsidRDefault="00C909C5">
          <w:pPr>
            <w:pStyle w:val="TOC2"/>
            <w:tabs>
              <w:tab w:val="left" w:pos="1276"/>
            </w:tabs>
            <w:rPr>
              <w:rFonts w:asciiTheme="minorHAnsi" w:eastAsiaTheme="minorEastAsia" w:hAnsiTheme="minorHAnsi"/>
              <w:b w:val="0"/>
              <w:color w:val="auto"/>
              <w:sz w:val="22"/>
              <w:lang w:eastAsia="en-AU"/>
            </w:rPr>
          </w:pPr>
          <w:hyperlink w:anchor="_Toc456603704" w:history="1">
            <w:r w:rsidR="00AC7070" w:rsidRPr="008563C8">
              <w:rPr>
                <w:rStyle w:val="Hyperlink"/>
              </w:rPr>
              <w:t>14.4</w:t>
            </w:r>
            <w:r w:rsidR="00AC7070">
              <w:rPr>
                <w:rFonts w:asciiTheme="minorHAnsi" w:eastAsiaTheme="minorEastAsia" w:hAnsiTheme="minorHAnsi"/>
                <w:b w:val="0"/>
                <w:color w:val="auto"/>
                <w:sz w:val="22"/>
                <w:lang w:eastAsia="en-AU"/>
              </w:rPr>
              <w:tab/>
            </w:r>
            <w:r w:rsidR="00AC7070" w:rsidRPr="008563C8">
              <w:rPr>
                <w:rStyle w:val="Hyperlink"/>
              </w:rPr>
              <w:t>Reasons for draft decision</w:t>
            </w:r>
            <w:r w:rsidR="00AC7070">
              <w:rPr>
                <w:webHidden/>
              </w:rPr>
              <w:tab/>
            </w:r>
            <w:r w:rsidR="00AC7070">
              <w:rPr>
                <w:webHidden/>
              </w:rPr>
              <w:fldChar w:fldCharType="begin"/>
            </w:r>
            <w:r w:rsidR="00AC7070">
              <w:rPr>
                <w:webHidden/>
              </w:rPr>
              <w:instrText xml:space="preserve"> PAGEREF _Toc456603704 \h </w:instrText>
            </w:r>
            <w:r w:rsidR="00AC7070">
              <w:rPr>
                <w:webHidden/>
              </w:rPr>
            </w:r>
            <w:r w:rsidR="00AC7070">
              <w:rPr>
                <w:webHidden/>
              </w:rPr>
              <w:fldChar w:fldCharType="separate"/>
            </w:r>
            <w:r w:rsidR="00AC7070">
              <w:rPr>
                <w:webHidden/>
              </w:rPr>
              <w:t>14-7</w:t>
            </w:r>
            <w:r w:rsidR="00AC7070">
              <w:rPr>
                <w:webHidden/>
              </w:rPr>
              <w:fldChar w:fldCharType="end"/>
            </w:r>
          </w:hyperlink>
        </w:p>
        <w:p w:rsidR="00AC7070" w:rsidRDefault="00C909C5">
          <w:pPr>
            <w:pStyle w:val="TOC2"/>
            <w:tabs>
              <w:tab w:val="left" w:pos="1276"/>
            </w:tabs>
            <w:rPr>
              <w:rFonts w:asciiTheme="minorHAnsi" w:eastAsiaTheme="minorEastAsia" w:hAnsiTheme="minorHAnsi"/>
              <w:b w:val="0"/>
              <w:color w:val="auto"/>
              <w:sz w:val="22"/>
              <w:lang w:eastAsia="en-AU"/>
            </w:rPr>
          </w:pPr>
          <w:hyperlink w:anchor="_Toc456603705" w:history="1">
            <w:r w:rsidR="00AC7070" w:rsidRPr="008563C8">
              <w:rPr>
                <w:rStyle w:val="Hyperlink"/>
              </w:rPr>
              <w:t>14.5</w:t>
            </w:r>
            <w:r w:rsidR="00AC7070">
              <w:rPr>
                <w:rFonts w:asciiTheme="minorHAnsi" w:eastAsiaTheme="minorEastAsia" w:hAnsiTheme="minorHAnsi"/>
                <w:b w:val="0"/>
                <w:color w:val="auto"/>
                <w:sz w:val="22"/>
                <w:lang w:eastAsia="en-AU"/>
              </w:rPr>
              <w:tab/>
            </w:r>
            <w:r w:rsidR="00AC7070" w:rsidRPr="008563C8">
              <w:rPr>
                <w:rStyle w:val="Hyperlink"/>
              </w:rPr>
              <w:t>Negotiated transmission service criteria</w:t>
            </w:r>
            <w:r w:rsidR="00AC7070">
              <w:rPr>
                <w:webHidden/>
              </w:rPr>
              <w:tab/>
            </w:r>
            <w:r w:rsidR="00AC7070">
              <w:rPr>
                <w:webHidden/>
              </w:rPr>
              <w:fldChar w:fldCharType="begin"/>
            </w:r>
            <w:r w:rsidR="00AC7070">
              <w:rPr>
                <w:webHidden/>
              </w:rPr>
              <w:instrText xml:space="preserve"> PAGEREF _Toc456603705 \h </w:instrText>
            </w:r>
            <w:r w:rsidR="00AC7070">
              <w:rPr>
                <w:webHidden/>
              </w:rPr>
            </w:r>
            <w:r w:rsidR="00AC7070">
              <w:rPr>
                <w:webHidden/>
              </w:rPr>
              <w:fldChar w:fldCharType="separate"/>
            </w:r>
            <w:r w:rsidR="00AC7070">
              <w:rPr>
                <w:webHidden/>
              </w:rPr>
              <w:t>14-9</w:t>
            </w:r>
            <w:r w:rsidR="00AC7070">
              <w:rPr>
                <w:webHidden/>
              </w:rPr>
              <w:fldChar w:fldCharType="end"/>
            </w:r>
          </w:hyperlink>
        </w:p>
        <w:p w:rsidR="00AC7070" w:rsidRDefault="00C909C5">
          <w:pPr>
            <w:pStyle w:val="TOC3"/>
            <w:rPr>
              <w:rFonts w:asciiTheme="minorHAnsi" w:eastAsiaTheme="minorEastAsia" w:hAnsiTheme="minorHAnsi"/>
              <w:lang w:eastAsia="en-AU"/>
            </w:rPr>
          </w:pPr>
          <w:hyperlink w:anchor="_Toc456603706" w:history="1">
            <w:r w:rsidR="00AC7070" w:rsidRPr="008563C8">
              <w:rPr>
                <w:rStyle w:val="Hyperlink"/>
                <w14:scene3d>
                  <w14:camera w14:prst="orthographicFront"/>
                  <w14:lightRig w14:rig="threePt" w14:dir="t">
                    <w14:rot w14:lat="0" w14:lon="0" w14:rev="0"/>
                  </w14:lightRig>
                </w14:scene3d>
              </w:rPr>
              <w:t>14.5.1</w:t>
            </w:r>
            <w:r w:rsidR="00AC7070">
              <w:rPr>
                <w:rFonts w:asciiTheme="minorHAnsi" w:eastAsiaTheme="minorEastAsia" w:hAnsiTheme="minorHAnsi"/>
                <w:lang w:eastAsia="en-AU"/>
              </w:rPr>
              <w:tab/>
            </w:r>
            <w:r w:rsidR="00AC7070" w:rsidRPr="008563C8">
              <w:rPr>
                <w:rStyle w:val="Hyperlink"/>
              </w:rPr>
              <w:t>The NTCS</w:t>
            </w:r>
            <w:r w:rsidR="00AC7070">
              <w:rPr>
                <w:webHidden/>
              </w:rPr>
              <w:tab/>
            </w:r>
            <w:r w:rsidR="00AC7070">
              <w:rPr>
                <w:webHidden/>
              </w:rPr>
              <w:fldChar w:fldCharType="begin"/>
            </w:r>
            <w:r w:rsidR="00AC7070">
              <w:rPr>
                <w:webHidden/>
              </w:rPr>
              <w:instrText xml:space="preserve"> PAGEREF _Toc456603706 \h </w:instrText>
            </w:r>
            <w:r w:rsidR="00AC7070">
              <w:rPr>
                <w:webHidden/>
              </w:rPr>
            </w:r>
            <w:r w:rsidR="00AC7070">
              <w:rPr>
                <w:webHidden/>
              </w:rPr>
              <w:fldChar w:fldCharType="separate"/>
            </w:r>
            <w:r w:rsidR="00AC7070">
              <w:rPr>
                <w:webHidden/>
              </w:rPr>
              <w:t>14-9</w:t>
            </w:r>
            <w:r w:rsidR="00AC7070">
              <w:rPr>
                <w:webHidden/>
              </w:rPr>
              <w:fldChar w:fldCharType="end"/>
            </w:r>
          </w:hyperlink>
        </w:p>
        <w:p w:rsidR="00AC7070" w:rsidRDefault="00C909C5">
          <w:pPr>
            <w:pStyle w:val="TOC4"/>
            <w:rPr>
              <w:rFonts w:asciiTheme="minorHAnsi" w:eastAsiaTheme="minorEastAsia" w:hAnsiTheme="minorHAnsi"/>
              <w:lang w:eastAsia="en-AU"/>
            </w:rPr>
          </w:pPr>
          <w:hyperlink w:anchor="_Toc456603707" w:history="1">
            <w:r w:rsidR="00AC7070" w:rsidRPr="008563C8">
              <w:rPr>
                <w:rStyle w:val="Hyperlink"/>
              </w:rPr>
              <w:t>National Electricity Objective</w:t>
            </w:r>
            <w:r w:rsidR="00AC7070">
              <w:rPr>
                <w:webHidden/>
              </w:rPr>
              <w:tab/>
            </w:r>
            <w:r w:rsidR="00AC7070">
              <w:rPr>
                <w:webHidden/>
              </w:rPr>
              <w:fldChar w:fldCharType="begin"/>
            </w:r>
            <w:r w:rsidR="00AC7070">
              <w:rPr>
                <w:webHidden/>
              </w:rPr>
              <w:instrText xml:space="preserve"> PAGEREF _Toc456603707 \h </w:instrText>
            </w:r>
            <w:r w:rsidR="00AC7070">
              <w:rPr>
                <w:webHidden/>
              </w:rPr>
            </w:r>
            <w:r w:rsidR="00AC7070">
              <w:rPr>
                <w:webHidden/>
              </w:rPr>
              <w:fldChar w:fldCharType="separate"/>
            </w:r>
            <w:r w:rsidR="00AC7070">
              <w:rPr>
                <w:webHidden/>
              </w:rPr>
              <w:t>14-9</w:t>
            </w:r>
            <w:r w:rsidR="00AC7070">
              <w:rPr>
                <w:webHidden/>
              </w:rPr>
              <w:fldChar w:fldCharType="end"/>
            </w:r>
          </w:hyperlink>
        </w:p>
        <w:p w:rsidR="00AC7070" w:rsidRDefault="00C909C5">
          <w:pPr>
            <w:pStyle w:val="TOC4"/>
            <w:rPr>
              <w:rFonts w:asciiTheme="minorHAnsi" w:eastAsiaTheme="minorEastAsia" w:hAnsiTheme="minorHAnsi"/>
              <w:lang w:eastAsia="en-AU"/>
            </w:rPr>
          </w:pPr>
          <w:hyperlink w:anchor="_Toc456603708" w:history="1">
            <w:r w:rsidR="00AC7070" w:rsidRPr="008563C8">
              <w:rPr>
                <w:rStyle w:val="Hyperlink"/>
              </w:rPr>
              <w:t>Criteria for terms and conditions of access</w:t>
            </w:r>
            <w:r w:rsidR="00AC7070">
              <w:rPr>
                <w:webHidden/>
              </w:rPr>
              <w:tab/>
            </w:r>
            <w:r w:rsidR="00AC7070">
              <w:rPr>
                <w:webHidden/>
              </w:rPr>
              <w:fldChar w:fldCharType="begin"/>
            </w:r>
            <w:r w:rsidR="00AC7070">
              <w:rPr>
                <w:webHidden/>
              </w:rPr>
              <w:instrText xml:space="preserve"> PAGEREF _Toc456603708 \h </w:instrText>
            </w:r>
            <w:r w:rsidR="00AC7070">
              <w:rPr>
                <w:webHidden/>
              </w:rPr>
            </w:r>
            <w:r w:rsidR="00AC7070">
              <w:rPr>
                <w:webHidden/>
              </w:rPr>
              <w:fldChar w:fldCharType="separate"/>
            </w:r>
            <w:r w:rsidR="00AC7070">
              <w:rPr>
                <w:webHidden/>
              </w:rPr>
              <w:t>14-9</w:t>
            </w:r>
            <w:r w:rsidR="00AC7070">
              <w:rPr>
                <w:webHidden/>
              </w:rPr>
              <w:fldChar w:fldCharType="end"/>
            </w:r>
          </w:hyperlink>
        </w:p>
        <w:p w:rsidR="00AC7070" w:rsidRDefault="00C909C5">
          <w:pPr>
            <w:pStyle w:val="TOC5"/>
            <w:rPr>
              <w:rFonts w:asciiTheme="minorHAnsi" w:eastAsiaTheme="minorEastAsia" w:hAnsiTheme="minorHAnsi"/>
              <w:lang w:eastAsia="en-AU"/>
            </w:rPr>
          </w:pPr>
          <w:hyperlink w:anchor="_Toc456603709" w:history="1">
            <w:r w:rsidR="00AC7070" w:rsidRPr="008563C8">
              <w:rPr>
                <w:rStyle w:val="Hyperlink"/>
              </w:rPr>
              <w:t>Terms and conditions of access</w:t>
            </w:r>
            <w:r w:rsidR="00AC7070">
              <w:rPr>
                <w:webHidden/>
              </w:rPr>
              <w:tab/>
            </w:r>
            <w:r w:rsidR="00AC7070">
              <w:rPr>
                <w:webHidden/>
              </w:rPr>
              <w:fldChar w:fldCharType="begin"/>
            </w:r>
            <w:r w:rsidR="00AC7070">
              <w:rPr>
                <w:webHidden/>
              </w:rPr>
              <w:instrText xml:space="preserve"> PAGEREF _Toc456603709 \h </w:instrText>
            </w:r>
            <w:r w:rsidR="00AC7070">
              <w:rPr>
                <w:webHidden/>
              </w:rPr>
            </w:r>
            <w:r w:rsidR="00AC7070">
              <w:rPr>
                <w:webHidden/>
              </w:rPr>
              <w:fldChar w:fldCharType="separate"/>
            </w:r>
            <w:r w:rsidR="00AC7070">
              <w:rPr>
                <w:webHidden/>
              </w:rPr>
              <w:t>14-9</w:t>
            </w:r>
            <w:r w:rsidR="00AC7070">
              <w:rPr>
                <w:webHidden/>
              </w:rPr>
              <w:fldChar w:fldCharType="end"/>
            </w:r>
          </w:hyperlink>
        </w:p>
        <w:p w:rsidR="00AC7070" w:rsidRDefault="00C909C5">
          <w:pPr>
            <w:pStyle w:val="TOC4"/>
            <w:rPr>
              <w:rFonts w:asciiTheme="minorHAnsi" w:eastAsiaTheme="minorEastAsia" w:hAnsiTheme="minorHAnsi"/>
              <w:lang w:eastAsia="en-AU"/>
            </w:rPr>
          </w:pPr>
          <w:hyperlink w:anchor="_Toc456603710" w:history="1">
            <w:r w:rsidR="00AC7070" w:rsidRPr="008563C8">
              <w:rPr>
                <w:rStyle w:val="Hyperlink"/>
              </w:rPr>
              <w:t>Price of services</w:t>
            </w:r>
            <w:r w:rsidR="00AC7070">
              <w:rPr>
                <w:webHidden/>
              </w:rPr>
              <w:tab/>
            </w:r>
            <w:r w:rsidR="00AC7070">
              <w:rPr>
                <w:webHidden/>
              </w:rPr>
              <w:fldChar w:fldCharType="begin"/>
            </w:r>
            <w:r w:rsidR="00AC7070">
              <w:rPr>
                <w:webHidden/>
              </w:rPr>
              <w:instrText xml:space="preserve"> PAGEREF _Toc456603710 \h </w:instrText>
            </w:r>
            <w:r w:rsidR="00AC7070">
              <w:rPr>
                <w:webHidden/>
              </w:rPr>
            </w:r>
            <w:r w:rsidR="00AC7070">
              <w:rPr>
                <w:webHidden/>
              </w:rPr>
              <w:fldChar w:fldCharType="separate"/>
            </w:r>
            <w:r w:rsidR="00AC7070">
              <w:rPr>
                <w:webHidden/>
              </w:rPr>
              <w:t>14-9</w:t>
            </w:r>
            <w:r w:rsidR="00AC7070">
              <w:rPr>
                <w:webHidden/>
              </w:rPr>
              <w:fldChar w:fldCharType="end"/>
            </w:r>
          </w:hyperlink>
        </w:p>
        <w:p w:rsidR="00AC7070" w:rsidRDefault="00C909C5">
          <w:pPr>
            <w:pStyle w:val="TOC4"/>
            <w:rPr>
              <w:rFonts w:asciiTheme="minorHAnsi" w:eastAsiaTheme="minorEastAsia" w:hAnsiTheme="minorHAnsi"/>
              <w:lang w:eastAsia="en-AU"/>
            </w:rPr>
          </w:pPr>
          <w:hyperlink w:anchor="_Toc456603711" w:history="1">
            <w:r w:rsidR="00AC7070" w:rsidRPr="008563C8">
              <w:rPr>
                <w:rStyle w:val="Hyperlink"/>
              </w:rPr>
              <w:t>Criteria for access charges</w:t>
            </w:r>
            <w:r w:rsidR="00AC7070">
              <w:rPr>
                <w:webHidden/>
              </w:rPr>
              <w:tab/>
            </w:r>
            <w:r w:rsidR="00AC7070">
              <w:rPr>
                <w:webHidden/>
              </w:rPr>
              <w:fldChar w:fldCharType="begin"/>
            </w:r>
            <w:r w:rsidR="00AC7070">
              <w:rPr>
                <w:webHidden/>
              </w:rPr>
              <w:instrText xml:space="preserve"> PAGEREF _Toc456603711 \h </w:instrText>
            </w:r>
            <w:r w:rsidR="00AC7070">
              <w:rPr>
                <w:webHidden/>
              </w:rPr>
            </w:r>
            <w:r w:rsidR="00AC7070">
              <w:rPr>
                <w:webHidden/>
              </w:rPr>
              <w:fldChar w:fldCharType="separate"/>
            </w:r>
            <w:r w:rsidR="00AC7070">
              <w:rPr>
                <w:webHidden/>
              </w:rPr>
              <w:t>14-10</w:t>
            </w:r>
            <w:r w:rsidR="00AC7070">
              <w:rPr>
                <w:webHidden/>
              </w:rPr>
              <w:fldChar w:fldCharType="end"/>
            </w:r>
          </w:hyperlink>
        </w:p>
        <w:p w:rsidR="00AC7070" w:rsidRDefault="00C909C5">
          <w:pPr>
            <w:pStyle w:val="TOC5"/>
            <w:rPr>
              <w:rFonts w:asciiTheme="minorHAnsi" w:eastAsiaTheme="minorEastAsia" w:hAnsiTheme="minorHAnsi"/>
              <w:lang w:eastAsia="en-AU"/>
            </w:rPr>
          </w:pPr>
          <w:hyperlink w:anchor="_Toc456603712" w:history="1">
            <w:r w:rsidR="00AC7070" w:rsidRPr="008563C8">
              <w:rPr>
                <w:rStyle w:val="Hyperlink"/>
              </w:rPr>
              <w:t>Access charges</w:t>
            </w:r>
            <w:r w:rsidR="00AC7070">
              <w:rPr>
                <w:webHidden/>
              </w:rPr>
              <w:tab/>
            </w:r>
            <w:r w:rsidR="00AC7070">
              <w:rPr>
                <w:webHidden/>
              </w:rPr>
              <w:fldChar w:fldCharType="begin"/>
            </w:r>
            <w:r w:rsidR="00AC7070">
              <w:rPr>
                <w:webHidden/>
              </w:rPr>
              <w:instrText xml:space="preserve"> PAGEREF _Toc456603712 \h </w:instrText>
            </w:r>
            <w:r w:rsidR="00AC7070">
              <w:rPr>
                <w:webHidden/>
              </w:rPr>
            </w:r>
            <w:r w:rsidR="00AC7070">
              <w:rPr>
                <w:webHidden/>
              </w:rPr>
              <w:fldChar w:fldCharType="separate"/>
            </w:r>
            <w:r w:rsidR="00AC7070">
              <w:rPr>
                <w:webHidden/>
              </w:rPr>
              <w:t>14-10</w:t>
            </w:r>
            <w:r w:rsidR="00AC7070">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56603699"/>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481F73" w:rsidP="001C4925">
      <w:pPr>
        <w:pStyle w:val="Heading1"/>
      </w:pPr>
      <w:bookmarkStart w:id="10" w:name="_Toc456603700"/>
      <w:r>
        <w:lastRenderedPageBreak/>
        <w:t>Negotiating framework</w:t>
      </w:r>
      <w:bookmarkEnd w:id="10"/>
    </w:p>
    <w:p w:rsidR="00481F73" w:rsidRPr="0096778C" w:rsidRDefault="00481F73" w:rsidP="00481F73">
      <w:pPr>
        <w:numPr>
          <w:ilvl w:val="0"/>
          <w:numId w:val="25"/>
        </w:numPr>
      </w:pPr>
      <w:r>
        <w:t>Our</w:t>
      </w:r>
      <w:r w:rsidRPr="0096778C">
        <w:t xml:space="preserve"> transmission determination imposes control over revenues that a transmission </w:t>
      </w:r>
      <w:r>
        <w:t>business</w:t>
      </w:r>
      <w:r w:rsidRPr="0096778C">
        <w:t xml:space="preserve"> can recover from </w:t>
      </w:r>
      <w:r>
        <w:t>its</w:t>
      </w:r>
      <w:r w:rsidRPr="0096778C">
        <w:t xml:space="preserve"> provision of prescribed transmission services. </w:t>
      </w:r>
      <w:r>
        <w:t>But we do not determine the terms and conditions of n</w:t>
      </w:r>
      <w:r w:rsidRPr="0096778C">
        <w:t xml:space="preserve">egotiated transmission services. Under the National Electricity Rules (NER), </w:t>
      </w:r>
      <w:r>
        <w:t xml:space="preserve">negotiated services are provided under an agreement or as a result of a determination of a commercial arbitrator. </w:t>
      </w:r>
      <w:r w:rsidRPr="0096778C">
        <w:t xml:space="preserve">These processes are facilitated by: </w:t>
      </w:r>
    </w:p>
    <w:p w:rsidR="00481F73" w:rsidRPr="00481F73" w:rsidRDefault="00481F73" w:rsidP="00481F73">
      <w:pPr>
        <w:pStyle w:val="AERbulletlistfirststyle"/>
      </w:pPr>
      <w:r w:rsidRPr="0096778C">
        <w:t>a negotiating framework</w:t>
      </w:r>
    </w:p>
    <w:p w:rsidR="00481F73" w:rsidRPr="00481F73" w:rsidRDefault="00481F73" w:rsidP="00481F73">
      <w:pPr>
        <w:pStyle w:val="AERbulletlistfirststyle"/>
      </w:pPr>
      <w:r w:rsidRPr="0096778C">
        <w:t>negotiated transmission service criteria (NTSC)</w:t>
      </w:r>
      <w:r w:rsidRPr="00481F73">
        <w:t>.</w:t>
      </w:r>
    </w:p>
    <w:p w:rsidR="00481F73" w:rsidRPr="00481F73" w:rsidRDefault="00481F73" w:rsidP="00481F73">
      <w:pPr>
        <w:numPr>
          <w:ilvl w:val="0"/>
          <w:numId w:val="25"/>
        </w:numPr>
      </w:pPr>
      <w:r w:rsidRPr="0096778C">
        <w:t xml:space="preserve">A </w:t>
      </w:r>
      <w:r>
        <w:t>transmission business</w:t>
      </w:r>
      <w:r w:rsidRPr="0096778C">
        <w:t xml:space="preserve"> must prepare a negotiating framework </w:t>
      </w:r>
      <w:r>
        <w:t>that</w:t>
      </w:r>
      <w:r w:rsidRPr="0096778C">
        <w:t xml:space="preserve"> sets out procedures for negotiating the terms and conditions of access to a negotiated transmission service.</w:t>
      </w:r>
      <w:r>
        <w:t xml:space="preserve"> </w:t>
      </w:r>
      <w:r w:rsidRPr="0096778C">
        <w:t>The NTSC</w:t>
      </w:r>
      <w:r w:rsidR="00016180">
        <w:t>, which we develop in consultation with stakeholders,</w:t>
      </w:r>
      <w:r w:rsidRPr="0096778C">
        <w:t xml:space="preserve"> set out criteria that a </w:t>
      </w:r>
      <w:r>
        <w:t>transmission business</w:t>
      </w:r>
      <w:r w:rsidRPr="0096778C">
        <w:t xml:space="preserve"> must apply in negotiating </w:t>
      </w:r>
      <w:r>
        <w:t xml:space="preserve">those </w:t>
      </w:r>
      <w:r w:rsidRPr="0096778C">
        <w:t xml:space="preserve">terms and conditions, including the prices and access charges for negotiated transmission services. They also contain the criteria that a commercial arbitrator must apply to resolve disputes about such terms and conditions and/or access charges. This attachment sets out </w:t>
      </w:r>
      <w:r>
        <w:t>our</w:t>
      </w:r>
      <w:r w:rsidRPr="0096778C">
        <w:t xml:space="preserve"> considerations and conclusions on </w:t>
      </w:r>
      <w:r>
        <w:t>AusNet Services'</w:t>
      </w:r>
      <w:r w:rsidRPr="0096778C">
        <w:t xml:space="preserve"> proposed negotiating framework and</w:t>
      </w:r>
      <w:r>
        <w:t xml:space="preserve"> the</w:t>
      </w:r>
      <w:r w:rsidRPr="0096778C">
        <w:t xml:space="preserve"> NTSC.</w:t>
      </w:r>
    </w:p>
    <w:p w:rsidR="00492389" w:rsidRDefault="00D83FC7" w:rsidP="00481F73">
      <w:pPr>
        <w:pStyle w:val="Heading2"/>
      </w:pPr>
      <w:bookmarkStart w:id="11" w:name="_Toc403144136"/>
      <w:bookmarkStart w:id="12" w:name="_Toc456603701"/>
      <w:r>
        <w:t>Draft</w:t>
      </w:r>
      <w:r w:rsidR="00DE563D" w:rsidRPr="001754EE">
        <w:t xml:space="preserve"> decision</w:t>
      </w:r>
      <w:bookmarkStart w:id="13" w:name="_Toc403144137"/>
      <w:bookmarkEnd w:id="11"/>
      <w:bookmarkEnd w:id="12"/>
    </w:p>
    <w:p w:rsidR="00481F73" w:rsidRPr="00481F73" w:rsidRDefault="00481F73" w:rsidP="00481F73">
      <w:r>
        <w:t>We approve</w:t>
      </w:r>
      <w:r w:rsidRPr="00FF366B">
        <w:t xml:space="preserve"> </w:t>
      </w:r>
      <w:r>
        <w:t>AusNet Services'</w:t>
      </w:r>
      <w:r w:rsidRPr="00FF366B">
        <w:t xml:space="preserve"> proposed negotiating framework </w:t>
      </w:r>
      <w:r>
        <w:t>because</w:t>
      </w:r>
      <w:r w:rsidRPr="00FF366B">
        <w:t xml:space="preserve"> </w:t>
      </w:r>
      <w:r>
        <w:t>it meets the requirements in the NER.</w:t>
      </w:r>
      <w:r>
        <w:rPr>
          <w:rStyle w:val="FootnoteReference"/>
        </w:rPr>
        <w:footnoteReference w:id="1"/>
      </w:r>
      <w:r w:rsidRPr="00FF366B">
        <w:t xml:space="preserve"> </w:t>
      </w:r>
      <w:r>
        <w:t xml:space="preserve">Further, our draft decision is that the </w:t>
      </w:r>
      <w:r w:rsidRPr="00FF366B">
        <w:t xml:space="preserve">NTSC </w:t>
      </w:r>
      <w:r>
        <w:t>we published in November 2015</w:t>
      </w:r>
      <w:r w:rsidRPr="00FF366B">
        <w:t xml:space="preserve"> will ap</w:t>
      </w:r>
      <w:r>
        <w:t>ply to AusNet Services in the 2017–22 regulatory control period, because those criteria give</w:t>
      </w:r>
      <w:r w:rsidRPr="00FF366B">
        <w:t xml:space="preserve"> effect to the negotiated transmission service principles</w:t>
      </w:r>
      <w:r>
        <w:t>.</w:t>
      </w:r>
      <w:r>
        <w:rPr>
          <w:rStyle w:val="FootnoteReference"/>
        </w:rPr>
        <w:footnoteReference w:id="2"/>
      </w:r>
      <w:r w:rsidRPr="00FF366B">
        <w:t xml:space="preserve"> </w:t>
      </w:r>
    </w:p>
    <w:p w:rsidR="00DE563D" w:rsidRDefault="000B321F" w:rsidP="001754EE">
      <w:pPr>
        <w:pStyle w:val="Heading2"/>
      </w:pPr>
      <w:bookmarkStart w:id="14" w:name="_Toc456603702"/>
      <w:r>
        <w:t>AusNet Services</w:t>
      </w:r>
      <w:r w:rsidR="00415F31" w:rsidRPr="001754EE">
        <w:t>’</w:t>
      </w:r>
      <w:r w:rsidR="00DE563D" w:rsidRPr="001754EE">
        <w:t xml:space="preserve"> proposal</w:t>
      </w:r>
      <w:bookmarkEnd w:id="13"/>
      <w:bookmarkEnd w:id="14"/>
    </w:p>
    <w:p w:rsidR="007E261E" w:rsidRDefault="007E261E" w:rsidP="00481F73">
      <w:pPr>
        <w:numPr>
          <w:ilvl w:val="0"/>
          <w:numId w:val="25"/>
        </w:numPr>
      </w:pPr>
      <w:r>
        <w:t>On 30 October 2015, AusNet Services submitted its proposed negotiating framework.</w:t>
      </w:r>
    </w:p>
    <w:p w:rsidR="00481F73" w:rsidRDefault="007E261E" w:rsidP="00481F73">
      <w:pPr>
        <w:numPr>
          <w:ilvl w:val="0"/>
          <w:numId w:val="25"/>
        </w:numPr>
      </w:pPr>
      <w:r>
        <w:t>AusNet Services</w:t>
      </w:r>
      <w:r w:rsidR="001A649E">
        <w:t xml:space="preserve">' </w:t>
      </w:r>
      <w:r w:rsidR="00481F73">
        <w:t>provides transmission services in conjunction with</w:t>
      </w:r>
      <w:r w:rsidR="001A649E">
        <w:t xml:space="preserve"> the Australian Energy Market Operator</w:t>
      </w:r>
      <w:r>
        <w:t xml:space="preserve"> </w:t>
      </w:r>
      <w:r w:rsidR="001A649E">
        <w:t>(</w:t>
      </w:r>
      <w:r>
        <w:t>AEMO</w:t>
      </w:r>
      <w:r w:rsidR="001A649E">
        <w:t>)</w:t>
      </w:r>
      <w:r w:rsidR="00481F73">
        <w:t xml:space="preserve">. </w:t>
      </w:r>
      <w:r>
        <w:t>AusNet Services</w:t>
      </w:r>
      <w:r w:rsidR="00481F73">
        <w:t xml:space="preserve"> provides and offers connection services whereas AEMO provides shared transmission services. Because of this </w:t>
      </w:r>
      <w:r>
        <w:t>AusNet Services</w:t>
      </w:r>
      <w:r w:rsidR="001A649E">
        <w:t xml:space="preserve"> proposal states that it</w:t>
      </w:r>
      <w:r w:rsidR="00481F73">
        <w:t xml:space="preserve"> worked with AEMO to devise a common negotiating framework for them both.</w:t>
      </w:r>
      <w:r w:rsidR="00481F73">
        <w:rPr>
          <w:rStyle w:val="FootnoteReference"/>
        </w:rPr>
        <w:footnoteReference w:id="3"/>
      </w:r>
      <w:r w:rsidR="00481F73">
        <w:t xml:space="preserve"> </w:t>
      </w:r>
      <w:r w:rsidR="001A649E">
        <w:t>We approved a common negotiating framework for AusNet Services and AEMO in 2014.</w:t>
      </w:r>
      <w:r w:rsidR="009C605C">
        <w:rPr>
          <w:rStyle w:val="FootnoteReference"/>
        </w:rPr>
        <w:footnoteReference w:id="4"/>
      </w:r>
    </w:p>
    <w:p w:rsidR="00481F73" w:rsidRDefault="00481F73" w:rsidP="00481F73">
      <w:pPr>
        <w:numPr>
          <w:ilvl w:val="0"/>
          <w:numId w:val="25"/>
        </w:numPr>
      </w:pPr>
      <w:r>
        <w:lastRenderedPageBreak/>
        <w:t xml:space="preserve">Given AEMO's transmission responsibilities, </w:t>
      </w:r>
      <w:r w:rsidR="00673560">
        <w:t>AusNet Services</w:t>
      </w:r>
      <w:r>
        <w:t xml:space="preserve"> outlined how their common negotiating framework would operate. Negotiated transmission services include connection services that are provided to service a specific user, or group of users, at a single transmission connection point.</w:t>
      </w:r>
      <w:r>
        <w:rPr>
          <w:rStyle w:val="FootnoteReference"/>
        </w:rPr>
        <w:footnoteReference w:id="5"/>
      </w:r>
      <w:r>
        <w:t xml:space="preserve"> They also include negotiated transmission services which exceed the network performance requirements under jurisdictional electricity legislation.</w:t>
      </w:r>
      <w:r>
        <w:rPr>
          <w:rStyle w:val="FootnoteReference"/>
        </w:rPr>
        <w:footnoteReference w:id="6"/>
      </w:r>
      <w:r>
        <w:t xml:space="preserve"> Of these types of negotiated services </w:t>
      </w:r>
      <w:r w:rsidR="00673560">
        <w:t>AusNet Services</w:t>
      </w:r>
      <w:r>
        <w:t xml:space="preserve"> stated that it is responsible for connection services whereas AEMO is responsible for shared transmission services. This is such that </w:t>
      </w:r>
      <w:r w:rsidR="00673560">
        <w:t>AusNet Services</w:t>
      </w:r>
      <w:r>
        <w:t xml:space="preserve"> proposed that its common negotiating framework applies to:</w:t>
      </w:r>
    </w:p>
    <w:p w:rsidR="00481F73" w:rsidRPr="00481F73" w:rsidRDefault="00673560" w:rsidP="00481F73">
      <w:pPr>
        <w:pStyle w:val="AERbulletlistfirststyle"/>
      </w:pPr>
      <w:r>
        <w:t>AusNet Services</w:t>
      </w:r>
      <w:r w:rsidR="00481F73">
        <w:t xml:space="preserve"> and each Service Appli</w:t>
      </w:r>
      <w:r>
        <w:t>cant who applies in writing to AusNet Services</w:t>
      </w:r>
      <w:r w:rsidR="00481F73">
        <w:t xml:space="preserve"> for the provision of connection service</w:t>
      </w:r>
      <w:r>
        <w:t>s which are negotiated services</w:t>
      </w:r>
      <w:r w:rsidR="00481F73">
        <w:t xml:space="preserve"> </w:t>
      </w:r>
    </w:p>
    <w:p w:rsidR="00481F73" w:rsidRPr="00481F73" w:rsidRDefault="00481F73" w:rsidP="00481F73">
      <w:pPr>
        <w:pStyle w:val="AERbulletlistfirststyle"/>
      </w:pPr>
      <w:r>
        <w:t>AEMO and each Service Applicant who applies in writing to AEMO for the provision of shared transmission services which are negotiated services.</w:t>
      </w:r>
    </w:p>
    <w:p w:rsidR="00481F73" w:rsidRPr="00481F73" w:rsidRDefault="00A35D5E" w:rsidP="00A35D5E">
      <w:pPr>
        <w:pStyle w:val="AERbulletlistfirststyle"/>
        <w:numPr>
          <w:ilvl w:val="0"/>
          <w:numId w:val="0"/>
        </w:numPr>
      </w:pPr>
      <w:r w:rsidRPr="00A35D5E">
        <w:t>In respect of enquiries for connection to its transmission network, AusNet Services or the relevant</w:t>
      </w:r>
      <w:r>
        <w:t xml:space="preserve"> transmission business</w:t>
      </w:r>
      <w:r w:rsidRPr="00A35D5E">
        <w:t xml:space="preserve"> (as applicable) has primary responsibility for assessing and advising a Service Applicant on</w:t>
      </w:r>
      <w:r>
        <w:t xml:space="preserve"> </w:t>
      </w:r>
      <w:r w:rsidRPr="00A35D5E">
        <w:t>the connection assets at the physical interface with its transmission network (network exit services</w:t>
      </w:r>
      <w:r>
        <w:t xml:space="preserve"> </w:t>
      </w:r>
      <w:r w:rsidRPr="00A35D5E">
        <w:t>and network entry services).</w:t>
      </w:r>
      <w:r w:rsidR="00481F73" w:rsidRPr="00481F73">
        <w:rPr>
          <w:rStyle w:val="FootnoteReference"/>
        </w:rPr>
        <w:footnoteReference w:id="7"/>
      </w:r>
      <w:r w:rsidR="00481F73" w:rsidRPr="00481F73">
        <w:t xml:space="preserve"> </w:t>
      </w:r>
    </w:p>
    <w:p w:rsidR="00DE563D" w:rsidRDefault="00DE563D" w:rsidP="001754EE">
      <w:pPr>
        <w:pStyle w:val="Heading2"/>
      </w:pPr>
      <w:bookmarkStart w:id="15" w:name="_Toc403144138"/>
      <w:bookmarkStart w:id="16" w:name="_Toc456603703"/>
      <w:r w:rsidRPr="001754EE">
        <w:t>AER’s</w:t>
      </w:r>
      <w:r>
        <w:t xml:space="preserve"> assessment approach</w:t>
      </w:r>
      <w:bookmarkEnd w:id="15"/>
      <w:bookmarkEnd w:id="16"/>
    </w:p>
    <w:p w:rsidR="00673560" w:rsidRPr="00DF4F38" w:rsidRDefault="00673560" w:rsidP="00673560">
      <w:r>
        <w:t>To be approved,</w:t>
      </w:r>
      <w:r w:rsidRPr="00DF4F38">
        <w:t xml:space="preserve"> a proposed negotiating framework must specify each requirement</w:t>
      </w:r>
      <w:r w:rsidR="00016180">
        <w:t xml:space="preserve"> set out</w:t>
      </w:r>
      <w:r w:rsidRPr="00DF4F38">
        <w:t xml:space="preserve"> in clause</w:t>
      </w:r>
      <w:r>
        <w:t> 6A.9.5(c) of the NER. We</w:t>
      </w:r>
      <w:r w:rsidRPr="00DF4F38">
        <w:t xml:space="preserve"> examined whether </w:t>
      </w:r>
      <w:r w:rsidR="001A649E">
        <w:t>AusNet Services</w:t>
      </w:r>
      <w:r>
        <w:t>'</w:t>
      </w:r>
      <w:r w:rsidRPr="00DF4F38">
        <w:t xml:space="preserve"> proposed negotiating framework met these requirements.</w:t>
      </w:r>
    </w:p>
    <w:p w:rsidR="00673560" w:rsidRPr="00673560" w:rsidRDefault="00673560" w:rsidP="00673560">
      <w:pPr>
        <w:numPr>
          <w:ilvl w:val="0"/>
          <w:numId w:val="25"/>
        </w:numPr>
      </w:pPr>
      <w:r>
        <w:t>We consider</w:t>
      </w:r>
      <w:r w:rsidRPr="00DF4F38">
        <w:t xml:space="preserve"> NTSC that adopt the negotiated transmission service principles would satisfy the NER requirements. </w:t>
      </w:r>
      <w:r>
        <w:t>We</w:t>
      </w:r>
      <w:r w:rsidRPr="00DF4F38">
        <w:t xml:space="preserve"> thus assessed whether </w:t>
      </w:r>
      <w:r>
        <w:t>our</w:t>
      </w:r>
      <w:r w:rsidRPr="00DF4F38">
        <w:t xml:space="preserve"> proposed NTSC reflect the negotiating transmission service principles in clause 6A.9.1 of the NER.</w:t>
      </w:r>
    </w:p>
    <w:p w:rsidR="00210BDC" w:rsidRDefault="00DE563D" w:rsidP="00210BDC">
      <w:pPr>
        <w:pStyle w:val="Heading2"/>
      </w:pPr>
      <w:bookmarkStart w:id="17" w:name="_Toc403144140"/>
      <w:bookmarkStart w:id="18" w:name="_Toc456603704"/>
      <w:r w:rsidRPr="001754EE">
        <w:t>Reasons</w:t>
      </w:r>
      <w:r>
        <w:t xml:space="preserve"> for </w:t>
      </w:r>
      <w:r w:rsidR="000B321F">
        <w:t>draft</w:t>
      </w:r>
      <w:r>
        <w:t xml:space="preserve"> decision</w:t>
      </w:r>
      <w:bookmarkEnd w:id="17"/>
      <w:bookmarkEnd w:id="18"/>
      <w:r>
        <w:t xml:space="preserve"> </w:t>
      </w:r>
    </w:p>
    <w:p w:rsidR="00673560" w:rsidRDefault="00673560" w:rsidP="00673560">
      <w:pPr>
        <w:numPr>
          <w:ilvl w:val="0"/>
          <w:numId w:val="25"/>
        </w:numPr>
      </w:pPr>
      <w:r>
        <w:t xml:space="preserve">We </w:t>
      </w:r>
      <w:r w:rsidRPr="00DF4F38">
        <w:t xml:space="preserve">approve </w:t>
      </w:r>
      <w:r w:rsidR="001A649E">
        <w:t>AusNet Services</w:t>
      </w:r>
      <w:r>
        <w:t xml:space="preserve"> proposed negotiating framework because it</w:t>
      </w:r>
      <w:r w:rsidRPr="00DF4F38">
        <w:t xml:space="preserve"> </w:t>
      </w:r>
      <w:r w:rsidR="00016180">
        <w:t>complies with the</w:t>
      </w:r>
      <w:r>
        <w:t xml:space="preserve"> minimum</w:t>
      </w:r>
      <w:r w:rsidRPr="00DF4F38">
        <w:t xml:space="preserve"> requirements</w:t>
      </w:r>
      <w:r>
        <w:t xml:space="preserve"> in the NER.</w:t>
      </w:r>
      <w:r>
        <w:rPr>
          <w:rStyle w:val="FootnoteReference"/>
        </w:rPr>
        <w:footnoteReference w:id="8"/>
      </w:r>
      <w:r>
        <w:t xml:space="preserve"> Those requirements include, among other things, a statement that </w:t>
      </w:r>
      <w:r w:rsidR="001A649E">
        <w:t>AusNet Services</w:t>
      </w:r>
      <w:r>
        <w:t xml:space="preserve"> will negotiate in good faith and a description of procedures for dealing with disputes. </w:t>
      </w:r>
    </w:p>
    <w:p w:rsidR="00673560" w:rsidRDefault="00673560" w:rsidP="00673560">
      <w:pPr>
        <w:numPr>
          <w:ilvl w:val="0"/>
          <w:numId w:val="25"/>
        </w:numPr>
      </w:pPr>
      <w:r>
        <w:fldChar w:fldCharType="begin"/>
      </w:r>
      <w:r>
        <w:instrText xml:space="preserve"> REF _Ref357173680 \h </w:instrText>
      </w:r>
      <w:r>
        <w:fldChar w:fldCharType="separate"/>
      </w:r>
      <w:r w:rsidR="001C4925">
        <w:t xml:space="preserve">Table </w:t>
      </w:r>
      <w:r w:rsidR="001C4925">
        <w:rPr>
          <w:noProof/>
        </w:rPr>
        <w:t>14</w:t>
      </w:r>
      <w:r w:rsidR="001C4925" w:rsidRPr="00673560">
        <w:t>.</w:t>
      </w:r>
      <w:r w:rsidR="001C4925">
        <w:rPr>
          <w:noProof/>
        </w:rPr>
        <w:t>1</w:t>
      </w:r>
      <w:r>
        <w:fldChar w:fldCharType="end"/>
      </w:r>
      <w:r>
        <w:t xml:space="preserve"> summarises our findings on </w:t>
      </w:r>
      <w:r w:rsidR="001A649E">
        <w:t>AusNet Services</w:t>
      </w:r>
      <w:r>
        <w:t xml:space="preserve"> proposed negotiating framework. It shows that each of the requirements under the NER for a negotiating framework is satisfactorily addressed.</w:t>
      </w:r>
    </w:p>
    <w:p w:rsidR="00673560" w:rsidRPr="00673560" w:rsidRDefault="00673560" w:rsidP="00673560">
      <w:pPr>
        <w:pStyle w:val="Caption"/>
      </w:pPr>
      <w:bookmarkStart w:id="19" w:name="_Ref357173680"/>
      <w:r>
        <w:lastRenderedPageBreak/>
        <w:t xml:space="preserve">Table </w:t>
      </w:r>
      <w:fldSimple w:instr=" STYLEREF 1 \s ">
        <w:r w:rsidR="001C4925">
          <w:rPr>
            <w:noProof/>
          </w:rPr>
          <w:t>14</w:t>
        </w:r>
      </w:fldSimple>
      <w:r w:rsidRPr="00673560">
        <w:t>.</w:t>
      </w:r>
      <w:r w:rsidR="00C909C5">
        <w:fldChar w:fldCharType="begin"/>
      </w:r>
      <w:r w:rsidR="00C909C5">
        <w:instrText xml:space="preserve"> SEQ Table \* ARABIC \s 1 </w:instrText>
      </w:r>
      <w:r w:rsidR="00C909C5">
        <w:fldChar w:fldCharType="separate"/>
      </w:r>
      <w:r w:rsidR="00A35D5E">
        <w:rPr>
          <w:noProof/>
        </w:rPr>
        <w:t>1</w:t>
      </w:r>
      <w:r w:rsidR="00C909C5">
        <w:rPr>
          <w:noProof/>
        </w:rPr>
        <w:fldChar w:fldCharType="end"/>
      </w:r>
      <w:bookmarkEnd w:id="19"/>
      <w:r w:rsidRPr="00673560">
        <w:tab/>
        <w:t xml:space="preserve">AER’s assessment of </w:t>
      </w:r>
      <w:r w:rsidR="001A649E">
        <w:t>AusNet Services'</w:t>
      </w:r>
      <w:r w:rsidRPr="00673560">
        <w:t xml:space="preserve"> proposed negotiating framework </w:t>
      </w:r>
    </w:p>
    <w:tbl>
      <w:tblPr>
        <w:tblStyle w:val="AERtable-text0"/>
        <w:tblW w:w="0" w:type="auto"/>
        <w:tblLook w:val="04A0" w:firstRow="1" w:lastRow="0" w:firstColumn="1" w:lastColumn="0" w:noHBand="0" w:noVBand="1"/>
      </w:tblPr>
      <w:tblGrid>
        <w:gridCol w:w="4365"/>
        <w:gridCol w:w="4328"/>
      </w:tblGrid>
      <w:tr w:rsidR="00673560" w:rsidTr="00673560">
        <w:trPr>
          <w:cnfStyle w:val="100000000000" w:firstRow="1" w:lastRow="0" w:firstColumn="0" w:lastColumn="0" w:oddVBand="0" w:evenVBand="0" w:oddHBand="0" w:evenHBand="0" w:firstRowFirstColumn="0" w:firstRowLastColumn="0" w:lastRowFirstColumn="0" w:lastRowLastColumn="0"/>
        </w:trPr>
        <w:tc>
          <w:tcPr>
            <w:tcW w:w="4621" w:type="dxa"/>
          </w:tcPr>
          <w:p w:rsidR="00673560" w:rsidRPr="00673560" w:rsidRDefault="00673560" w:rsidP="00673560">
            <w:r w:rsidRPr="00673560">
              <w:t>NER requirements</w:t>
            </w:r>
          </w:p>
        </w:tc>
        <w:tc>
          <w:tcPr>
            <w:tcW w:w="4621" w:type="dxa"/>
          </w:tcPr>
          <w:p w:rsidR="00673560" w:rsidRPr="00673560" w:rsidRDefault="00673560" w:rsidP="00673560">
            <w:r w:rsidRPr="00673560">
              <w:t>AER assessment</w:t>
            </w:r>
          </w:p>
        </w:tc>
      </w:tr>
      <w:tr w:rsidR="00673560" w:rsidTr="00673560">
        <w:tc>
          <w:tcPr>
            <w:tcW w:w="4621" w:type="dxa"/>
          </w:tcPr>
          <w:p w:rsidR="00673560" w:rsidRPr="00673560" w:rsidRDefault="00673560" w:rsidP="00673560">
            <w:r w:rsidRPr="00673560">
              <w:t xml:space="preserve">Requirement for </w:t>
            </w:r>
            <w:r w:rsidR="001A649E">
              <w:t>AusNet Services</w:t>
            </w:r>
            <w:r w:rsidRPr="00673560">
              <w:t xml:space="preserve"> and the applicant of a negotiated transmission service to negotiate in good faith—clause 6A.9.5(c)(1) </w:t>
            </w:r>
          </w:p>
        </w:tc>
        <w:tc>
          <w:tcPr>
            <w:tcW w:w="4621" w:type="dxa"/>
          </w:tcPr>
          <w:p w:rsidR="00673560" w:rsidRPr="00673560" w:rsidRDefault="00673560" w:rsidP="00673560">
            <w:r w:rsidRPr="00673560">
              <w:t xml:space="preserve">Section 4 of </w:t>
            </w:r>
            <w:r w:rsidR="001A649E">
              <w:t>AusNet Services'</w:t>
            </w:r>
            <w:r w:rsidRPr="00673560">
              <w:t xml:space="preserve"> proposed negotiating framework satisfies this requirement.</w:t>
            </w:r>
          </w:p>
        </w:tc>
      </w:tr>
      <w:tr w:rsidR="00673560" w:rsidTr="00673560">
        <w:trPr>
          <w:cnfStyle w:val="000000010000" w:firstRow="0" w:lastRow="0" w:firstColumn="0" w:lastColumn="0" w:oddVBand="0" w:evenVBand="0" w:oddHBand="0" w:evenHBand="1" w:firstRowFirstColumn="0" w:firstRowLastColumn="0" w:lastRowFirstColumn="0" w:lastRowLastColumn="0"/>
        </w:trPr>
        <w:tc>
          <w:tcPr>
            <w:tcW w:w="4621" w:type="dxa"/>
          </w:tcPr>
          <w:p w:rsidR="00673560" w:rsidRPr="00673560" w:rsidRDefault="00673560" w:rsidP="00673560">
            <w:r w:rsidRPr="00673560">
              <w:t xml:space="preserve">Requirement for </w:t>
            </w:r>
            <w:r w:rsidR="001A649E">
              <w:t>AusNet Services</w:t>
            </w:r>
            <w:r w:rsidRPr="00673560">
              <w:t xml:space="preserve"> to provide all such commercial information reasonably required to enable the applicant of a negotiated transmission service to engage in effective negotiations—clause 6A.9.5(c)(2)</w:t>
            </w:r>
          </w:p>
        </w:tc>
        <w:tc>
          <w:tcPr>
            <w:tcW w:w="4621" w:type="dxa"/>
          </w:tcPr>
          <w:p w:rsidR="00673560" w:rsidRPr="00673560" w:rsidRDefault="00673560" w:rsidP="00673560">
            <w:r w:rsidRPr="00673560">
              <w:t xml:space="preserve">Section 8 of </w:t>
            </w:r>
            <w:r w:rsidR="001A649E">
              <w:t>AusNet Services'</w:t>
            </w:r>
            <w:r w:rsidRPr="00673560">
              <w:t xml:space="preserve"> proposed negotiating framework satisfies this requirement.</w:t>
            </w:r>
          </w:p>
        </w:tc>
      </w:tr>
      <w:tr w:rsidR="00673560" w:rsidTr="00673560">
        <w:tc>
          <w:tcPr>
            <w:tcW w:w="4621" w:type="dxa"/>
          </w:tcPr>
          <w:p w:rsidR="00673560" w:rsidRPr="00673560" w:rsidRDefault="00673560" w:rsidP="00673560">
            <w:r w:rsidRPr="00673560">
              <w:t xml:space="preserve">Requirement for </w:t>
            </w:r>
            <w:r w:rsidR="001A649E">
              <w:t>AusNet Services</w:t>
            </w:r>
            <w:r w:rsidRPr="00673560">
              <w:t xml:space="preserve"> to identify and inform the negotiated transmission service applicant of the reasonable costs of providing the negotiated service; and demonstrate that charges reflect costs—clause 6A.9.5(c)(3) </w:t>
            </w:r>
          </w:p>
        </w:tc>
        <w:tc>
          <w:tcPr>
            <w:tcW w:w="4621" w:type="dxa"/>
          </w:tcPr>
          <w:p w:rsidR="00673560" w:rsidRPr="00673560" w:rsidRDefault="00673560" w:rsidP="00673560">
            <w:r w:rsidRPr="00673560">
              <w:t xml:space="preserve">Section 8 of </w:t>
            </w:r>
            <w:r w:rsidR="001A649E">
              <w:t>AusNet Services'</w:t>
            </w:r>
            <w:r w:rsidRPr="00673560">
              <w:t xml:space="preserve"> proposed negotiating framework satisfies this requirement.</w:t>
            </w:r>
          </w:p>
        </w:tc>
      </w:tr>
      <w:tr w:rsidR="00673560" w:rsidTr="00673560">
        <w:trPr>
          <w:cnfStyle w:val="000000010000" w:firstRow="0" w:lastRow="0" w:firstColumn="0" w:lastColumn="0" w:oddVBand="0" w:evenVBand="0" w:oddHBand="0" w:evenHBand="1" w:firstRowFirstColumn="0" w:firstRowLastColumn="0" w:lastRowFirstColumn="0" w:lastRowLastColumn="0"/>
        </w:trPr>
        <w:tc>
          <w:tcPr>
            <w:tcW w:w="4621" w:type="dxa"/>
          </w:tcPr>
          <w:p w:rsidR="00673560" w:rsidRPr="00673560" w:rsidRDefault="00673560" w:rsidP="00673560">
            <w:r w:rsidRPr="00673560">
              <w:t xml:space="preserve">Requirement for a negotiated transmission service applicant to provide all such commercial information reasonably required to enable </w:t>
            </w:r>
            <w:r w:rsidR="001A649E">
              <w:t>AusNet Services</w:t>
            </w:r>
            <w:r w:rsidRPr="00673560">
              <w:t xml:space="preserve"> to engage in effective negotiation—clause 6A.9.5(c)(4)</w:t>
            </w:r>
          </w:p>
        </w:tc>
        <w:tc>
          <w:tcPr>
            <w:tcW w:w="4621" w:type="dxa"/>
          </w:tcPr>
          <w:p w:rsidR="00673560" w:rsidRPr="00673560" w:rsidRDefault="00673560" w:rsidP="00673560">
            <w:r w:rsidRPr="00673560">
              <w:t xml:space="preserve">Section 8 of </w:t>
            </w:r>
            <w:r w:rsidR="001A649E">
              <w:t>AusNet Services'</w:t>
            </w:r>
            <w:r w:rsidRPr="00673560">
              <w:t xml:space="preserve"> proposed negotiating framework satisfies this requirement.</w:t>
            </w:r>
          </w:p>
        </w:tc>
      </w:tr>
      <w:tr w:rsidR="00673560" w:rsidTr="00673560">
        <w:tc>
          <w:tcPr>
            <w:tcW w:w="4621" w:type="dxa"/>
          </w:tcPr>
          <w:p w:rsidR="00673560" w:rsidRPr="00673560" w:rsidRDefault="00673560" w:rsidP="00673560">
            <w:r w:rsidRPr="00673560">
              <w:t>Requirement to specify a reasonable period of time for commencing, progressing and finalising negotiations; and a requirement for each party to use their reasonable endeavours to adhere to those time periods during the negotiation—clause 6A.9.5(c)(5)</w:t>
            </w:r>
          </w:p>
        </w:tc>
        <w:tc>
          <w:tcPr>
            <w:tcW w:w="4621" w:type="dxa"/>
          </w:tcPr>
          <w:p w:rsidR="00673560" w:rsidRPr="00673560" w:rsidRDefault="00673560" w:rsidP="00673560">
            <w:r w:rsidRPr="00673560">
              <w:t xml:space="preserve">Section 5 of </w:t>
            </w:r>
            <w:r w:rsidR="001A649E">
              <w:t xml:space="preserve">AusNet Services' </w:t>
            </w:r>
            <w:r w:rsidRPr="00673560">
              <w:t>proposed negotiating framework satisfies this requirement.</w:t>
            </w:r>
          </w:p>
        </w:tc>
      </w:tr>
      <w:tr w:rsidR="00673560" w:rsidTr="00673560">
        <w:trPr>
          <w:cnfStyle w:val="000000010000" w:firstRow="0" w:lastRow="0" w:firstColumn="0" w:lastColumn="0" w:oddVBand="0" w:evenVBand="0" w:oddHBand="0" w:evenHBand="1" w:firstRowFirstColumn="0" w:firstRowLastColumn="0" w:lastRowFirstColumn="0" w:lastRowLastColumn="0"/>
        </w:trPr>
        <w:tc>
          <w:tcPr>
            <w:tcW w:w="4621" w:type="dxa"/>
          </w:tcPr>
          <w:p w:rsidR="00673560" w:rsidRPr="00673560" w:rsidRDefault="00673560" w:rsidP="00673560">
            <w:r w:rsidRPr="00673560">
              <w:t>Requirement to specify a process for disputes to be dealt with in accordance with the relevant provisions for dispute resolution</w:t>
            </w:r>
            <w:r w:rsidRPr="008F7543">
              <w:rPr>
                <w:rStyle w:val="FootnoteReference"/>
              </w:rPr>
              <w:footnoteReference w:id="9"/>
            </w:r>
            <w:r w:rsidRPr="00673560">
              <w:t>—clause 6A.9.5(c)(6)</w:t>
            </w:r>
          </w:p>
        </w:tc>
        <w:tc>
          <w:tcPr>
            <w:tcW w:w="4621" w:type="dxa"/>
          </w:tcPr>
          <w:p w:rsidR="00673560" w:rsidRPr="00673560" w:rsidRDefault="00673560" w:rsidP="00673560">
            <w:r w:rsidRPr="00673560">
              <w:t xml:space="preserve">Section 10 of </w:t>
            </w:r>
            <w:r w:rsidR="001A649E">
              <w:t>AusNet Services'</w:t>
            </w:r>
            <w:r w:rsidRPr="00673560">
              <w:t xml:space="preserve"> proposed negotiating framework satisfies this requirement.</w:t>
            </w:r>
          </w:p>
        </w:tc>
      </w:tr>
      <w:tr w:rsidR="00673560" w:rsidTr="00673560">
        <w:tc>
          <w:tcPr>
            <w:tcW w:w="4621" w:type="dxa"/>
          </w:tcPr>
          <w:p w:rsidR="00673560" w:rsidRPr="00673560" w:rsidRDefault="00673560" w:rsidP="00673560">
            <w:r w:rsidRPr="00673560">
              <w:t xml:space="preserve">Requirement to specify arrangements for the payment of </w:t>
            </w:r>
            <w:r w:rsidR="001A649E">
              <w:t>AusNet Services</w:t>
            </w:r>
            <w:r w:rsidRPr="00673560">
              <w:t>’ reasonable direct expenses incurred in processing the application to provide the negotiated transmission service—clause 6A.9.5(c)(7)</w:t>
            </w:r>
          </w:p>
        </w:tc>
        <w:tc>
          <w:tcPr>
            <w:tcW w:w="4621" w:type="dxa"/>
          </w:tcPr>
          <w:p w:rsidR="00673560" w:rsidRPr="00673560" w:rsidRDefault="00673560" w:rsidP="00673560">
            <w:r w:rsidRPr="00673560">
              <w:t xml:space="preserve">Section 6 of </w:t>
            </w:r>
            <w:r w:rsidR="001A649E">
              <w:t>AusNet Services'</w:t>
            </w:r>
            <w:r w:rsidRPr="00673560">
              <w:t xml:space="preserve"> proposed negotiating framework satisfies this requirement.</w:t>
            </w:r>
          </w:p>
        </w:tc>
      </w:tr>
      <w:tr w:rsidR="00673560" w:rsidTr="00673560">
        <w:trPr>
          <w:cnfStyle w:val="000000010000" w:firstRow="0" w:lastRow="0" w:firstColumn="0" w:lastColumn="0" w:oddVBand="0" w:evenVBand="0" w:oddHBand="0" w:evenHBand="1" w:firstRowFirstColumn="0" w:firstRowLastColumn="0" w:lastRowFirstColumn="0" w:lastRowLastColumn="0"/>
        </w:trPr>
        <w:tc>
          <w:tcPr>
            <w:tcW w:w="4621" w:type="dxa"/>
          </w:tcPr>
          <w:p w:rsidR="00673560" w:rsidRPr="00673560" w:rsidRDefault="00673560" w:rsidP="00673560">
            <w:r w:rsidRPr="00673560">
              <w:t xml:space="preserve">Requirement for </w:t>
            </w:r>
            <w:r w:rsidR="001A649E">
              <w:t>AusNet Services</w:t>
            </w:r>
            <w:r w:rsidRPr="00673560">
              <w:t xml:space="preserve"> to determine the potential impact of the provision of a negotiated transmission service on other network users—clause 6A.9.5(c)(8)</w:t>
            </w:r>
          </w:p>
        </w:tc>
        <w:tc>
          <w:tcPr>
            <w:tcW w:w="4621" w:type="dxa"/>
          </w:tcPr>
          <w:p w:rsidR="00673560" w:rsidRPr="00673560" w:rsidRDefault="00673560" w:rsidP="001A649E">
            <w:r w:rsidRPr="00673560">
              <w:t xml:space="preserve">Section 11 of </w:t>
            </w:r>
            <w:r w:rsidR="001A649E">
              <w:t>AusNet Services</w:t>
            </w:r>
            <w:r w:rsidRPr="00673560">
              <w:t>' proposed negotiating framework satisfies this requirement.</w:t>
            </w:r>
          </w:p>
        </w:tc>
      </w:tr>
      <w:tr w:rsidR="00673560" w:rsidTr="00673560">
        <w:trPr>
          <w:trHeight w:val="1151"/>
        </w:trPr>
        <w:tc>
          <w:tcPr>
            <w:tcW w:w="4621" w:type="dxa"/>
          </w:tcPr>
          <w:p w:rsidR="00673560" w:rsidRPr="00673560" w:rsidRDefault="00673560" w:rsidP="00673560">
            <w:r w:rsidRPr="00673560">
              <w:t xml:space="preserve">Requirement for </w:t>
            </w:r>
            <w:r w:rsidR="001A649E">
              <w:t>AusNet Services</w:t>
            </w:r>
            <w:r w:rsidRPr="00673560">
              <w:t xml:space="preserve"> to notify and consult with any affected network user and ensure the negotiated transmission service does not result in noncompliance with obligations in relation to other network users under the NER—clause 6A.9.5(c)(9)</w:t>
            </w:r>
          </w:p>
        </w:tc>
        <w:tc>
          <w:tcPr>
            <w:tcW w:w="4621" w:type="dxa"/>
          </w:tcPr>
          <w:p w:rsidR="00673560" w:rsidRPr="00673560" w:rsidRDefault="00673560" w:rsidP="00673560">
            <w:r w:rsidRPr="00673560">
              <w:t xml:space="preserve">Section 11 of </w:t>
            </w:r>
            <w:r w:rsidR="001A649E">
              <w:t>AusNet Services'</w:t>
            </w:r>
            <w:r w:rsidRPr="00673560">
              <w:t xml:space="preserve"> proposed negotiating framework satisfies this requirement.</w:t>
            </w:r>
          </w:p>
        </w:tc>
      </w:tr>
    </w:tbl>
    <w:p w:rsidR="00673560" w:rsidRDefault="0098429F" w:rsidP="0098429F">
      <w:pPr>
        <w:pStyle w:val="AERtablesource"/>
      </w:pPr>
      <w:r>
        <w:t>Source:</w:t>
      </w:r>
      <w:r>
        <w:tab/>
        <w:t>AER analysis.</w:t>
      </w:r>
    </w:p>
    <w:p w:rsidR="00A35D5E" w:rsidRDefault="00A35D5E" w:rsidP="00A35D5E"/>
    <w:p w:rsidR="00A35D5E" w:rsidRPr="00A35D5E" w:rsidRDefault="00A35D5E" w:rsidP="00A35D5E"/>
    <w:p w:rsidR="0098429F" w:rsidRDefault="0098429F" w:rsidP="0098429F">
      <w:pPr>
        <w:pStyle w:val="Heading2"/>
      </w:pPr>
      <w:bookmarkStart w:id="20" w:name="_Toc456603705"/>
      <w:r>
        <w:lastRenderedPageBreak/>
        <w:t>Negotiated transmission service criteria</w:t>
      </w:r>
      <w:bookmarkEnd w:id="20"/>
    </w:p>
    <w:p w:rsidR="0098429F" w:rsidRDefault="0098429F" w:rsidP="0098429F">
      <w:pPr>
        <w:numPr>
          <w:ilvl w:val="0"/>
          <w:numId w:val="25"/>
        </w:numPr>
      </w:pPr>
      <w:r>
        <w:t xml:space="preserve">In November 2015, we published </w:t>
      </w:r>
      <w:r w:rsidRPr="00912722">
        <w:t>an invitation for submissions on the NTSC. Our draft decision is that the NTSC which we published with that invitation (reproduced in section</w:t>
      </w:r>
      <w:r>
        <w:t xml:space="preserve"> </w:t>
      </w:r>
      <w:r>
        <w:fldChar w:fldCharType="begin"/>
      </w:r>
      <w:r>
        <w:instrText xml:space="preserve"> REF _Ref452473931 \n \h </w:instrText>
      </w:r>
      <w:r>
        <w:fldChar w:fldCharType="separate"/>
      </w:r>
      <w:r w:rsidR="00A35D5E">
        <w:t>12.5.1</w:t>
      </w:r>
      <w:r>
        <w:fldChar w:fldCharType="end"/>
      </w:r>
      <w:r w:rsidRPr="00912722">
        <w:t xml:space="preserve">) </w:t>
      </w:r>
      <w:r>
        <w:t>should apply to SP AusNet's 2017–22</w:t>
      </w:r>
      <w:r w:rsidRPr="00912722">
        <w:t xml:space="preserve"> regulatory control period. This is because it adopts the negotiated transmission service principles as its criteria. </w:t>
      </w:r>
      <w:r>
        <w:t>We did not receive</w:t>
      </w:r>
      <w:r w:rsidRPr="00912722">
        <w:t xml:space="preserve"> stakeholder submissions </w:t>
      </w:r>
      <w:r>
        <w:t xml:space="preserve">on the NTSC. </w:t>
      </w:r>
      <w:r w:rsidRPr="00912722">
        <w:t xml:space="preserve">  </w:t>
      </w:r>
    </w:p>
    <w:p w:rsidR="0098429F" w:rsidRPr="001C4925" w:rsidRDefault="0098429F" w:rsidP="0075367E">
      <w:pPr>
        <w:pStyle w:val="Heading3"/>
        <w:ind w:left="578" w:hanging="578"/>
      </w:pPr>
      <w:bookmarkStart w:id="21" w:name="_Ref452473931"/>
      <w:bookmarkStart w:id="22" w:name="_Toc456603706"/>
      <w:r w:rsidRPr="001C4925">
        <w:t>The NTCS</w:t>
      </w:r>
      <w:bookmarkEnd w:id="21"/>
      <w:bookmarkEnd w:id="22"/>
    </w:p>
    <w:p w:rsidR="0098429F" w:rsidRPr="0098429F" w:rsidRDefault="0098429F" w:rsidP="0098429F">
      <w:pPr>
        <w:pStyle w:val="HeadingBoldItalic"/>
      </w:pPr>
      <w:bookmarkStart w:id="23" w:name="_Toc456603707"/>
      <w:r w:rsidRPr="0098429F">
        <w:t>National Electricity Objective</w:t>
      </w:r>
      <w:bookmarkEnd w:id="23"/>
    </w:p>
    <w:p w:rsidR="0098429F" w:rsidRPr="0098429F" w:rsidRDefault="0098429F" w:rsidP="0098429F">
      <w:pPr>
        <w:pStyle w:val="ListNumber"/>
      </w:pPr>
      <w:r w:rsidRPr="0098429F">
        <w:t>The terms and conditions of access for a negotiated transmission service, including the price that is to be charged for the provision of that service and any access charges, should promote the achievement of the National Electricity Objective.</w:t>
      </w:r>
    </w:p>
    <w:p w:rsidR="0098429F" w:rsidRPr="0098429F" w:rsidRDefault="0098429F" w:rsidP="0098429F">
      <w:pPr>
        <w:pStyle w:val="HeadingBoldItalic"/>
      </w:pPr>
      <w:bookmarkStart w:id="24" w:name="_Toc456603708"/>
      <w:r w:rsidRPr="0098429F">
        <w:t>Criteria for terms and conditions of access</w:t>
      </w:r>
      <w:bookmarkEnd w:id="24"/>
    </w:p>
    <w:p w:rsidR="0098429F" w:rsidRPr="0098429F" w:rsidRDefault="0098429F" w:rsidP="0098429F">
      <w:pPr>
        <w:pStyle w:val="HeadingOrange"/>
      </w:pPr>
      <w:bookmarkStart w:id="25" w:name="_Toc456603709"/>
      <w:r w:rsidRPr="0098429F">
        <w:t>Terms and conditions of access</w:t>
      </w:r>
      <w:bookmarkEnd w:id="25"/>
    </w:p>
    <w:p w:rsidR="0098429F" w:rsidRDefault="0098429F" w:rsidP="0098429F">
      <w:pPr>
        <w:pStyle w:val="ListNumber"/>
      </w:pPr>
      <w:r w:rsidRPr="0098429F">
        <w:t>The terms and conditions of access for a negotiated transmission service must be fair, reasonable, and consistent with the safe and reliable operation of the power system in accordance with the NER.</w:t>
      </w:r>
    </w:p>
    <w:p w:rsidR="0098429F" w:rsidRDefault="0098429F" w:rsidP="0098429F">
      <w:pPr>
        <w:pStyle w:val="ListNumber"/>
      </w:pPr>
      <w:r w:rsidRPr="0098429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98429F" w:rsidRDefault="0098429F" w:rsidP="0098429F">
      <w:pPr>
        <w:pStyle w:val="ListNumber"/>
      </w:pPr>
      <w:r w:rsidRPr="0098429F">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98429F" w:rsidRDefault="0098429F" w:rsidP="0098429F">
      <w:pPr>
        <w:pStyle w:val="HeadingBoldItalic"/>
      </w:pPr>
      <w:bookmarkStart w:id="26" w:name="_Toc456603710"/>
      <w:r w:rsidRPr="0098429F">
        <w:t>Price of services</w:t>
      </w:r>
      <w:bookmarkEnd w:id="26"/>
    </w:p>
    <w:p w:rsidR="0098429F" w:rsidRDefault="0098429F" w:rsidP="0098429F">
      <w:pPr>
        <w:pStyle w:val="ListNumber"/>
      </w:pPr>
      <w:r w:rsidRPr="0098429F">
        <w:t>The price of a negotiated transmission service must reflect the cost that the TNSP has incurred or incurs in providing that service, and must be determined in accordance with the principles and policies set out in the Cost Allocation Methodology.</w:t>
      </w:r>
    </w:p>
    <w:p w:rsidR="0098429F" w:rsidRDefault="0098429F" w:rsidP="0098429F">
      <w:pPr>
        <w:pStyle w:val="ListNumber"/>
      </w:pPr>
      <w:r w:rsidRPr="0098429F">
        <w:t>Subject to criteria 7 and 8, the price for a negotiated transmission service must be at least equal to the avoided cost of providing that service but no more than the cost of providing it on a stand-alone basis.</w:t>
      </w:r>
    </w:p>
    <w:p w:rsidR="0098429F" w:rsidRPr="0098429F" w:rsidRDefault="0098429F" w:rsidP="0098429F">
      <w:pPr>
        <w:pStyle w:val="ListNumber"/>
      </w:pPr>
      <w:r w:rsidRPr="0098429F">
        <w:t>If the negotiated transmission service is a shared transmission service that:</w:t>
      </w:r>
    </w:p>
    <w:p w:rsidR="0098429F" w:rsidRDefault="0098429F" w:rsidP="0098429F">
      <w:pPr>
        <w:pStyle w:val="AERnumberedlistsecondstyle"/>
      </w:pPr>
      <w:r w:rsidRPr="0098429F">
        <w:t>exceeds any network performance requirements which it is required to meet under any relevant electricity legislation; or</w:t>
      </w:r>
    </w:p>
    <w:p w:rsidR="0098429F" w:rsidRPr="0098429F" w:rsidRDefault="0098429F" w:rsidP="0098429F">
      <w:pPr>
        <w:pStyle w:val="AERnumberedlistsecondstyle"/>
      </w:pPr>
      <w:r w:rsidRPr="0098429F">
        <w:t>exceeds the network performance requirements set out in schedule 5.1a and 5.1 of the NER</w:t>
      </w:r>
    </w:p>
    <w:p w:rsidR="0098429F" w:rsidRPr="0098429F" w:rsidRDefault="0098429F" w:rsidP="0098429F">
      <w:pPr>
        <w:pStyle w:val="ListContinue"/>
      </w:pPr>
      <w:r w:rsidRPr="0098429F">
        <w:lastRenderedPageBreak/>
        <w:t>then the difference between the price for that service and the price for the shared transmission service which meets network performance requirements must reflect the TNSP’s incremental cost of providing that service (as appropriate).</w:t>
      </w:r>
    </w:p>
    <w:p w:rsidR="0098429F" w:rsidRDefault="0098429F" w:rsidP="0098429F">
      <w:pPr>
        <w:pStyle w:val="ListNumber"/>
      </w:pPr>
      <w:r w:rsidRPr="0098429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98429F" w:rsidRDefault="0098429F" w:rsidP="0098429F">
      <w:pPr>
        <w:pStyle w:val="ListNumber"/>
      </w:pPr>
      <w:r w:rsidRPr="0098429F">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98429F" w:rsidRDefault="0098429F" w:rsidP="0098429F">
      <w:pPr>
        <w:pStyle w:val="ListNumber"/>
      </w:pPr>
      <w:r w:rsidRPr="0098429F">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98429F" w:rsidRPr="0098429F" w:rsidRDefault="0098429F" w:rsidP="0098429F">
      <w:pPr>
        <w:pStyle w:val="ListNumber"/>
      </w:pPr>
      <w:r w:rsidRPr="0098429F">
        <w:t>The price for a negotiated transmission service must be such as to enable the TNSP to recover the efficient costs of complying with all regulatory obligations associated with the provision of the negotiated transmission service.</w:t>
      </w:r>
    </w:p>
    <w:p w:rsidR="0098429F" w:rsidRPr="0098429F" w:rsidRDefault="0098429F" w:rsidP="0098429F">
      <w:pPr>
        <w:pStyle w:val="HeadingBoldItalic"/>
      </w:pPr>
      <w:bookmarkStart w:id="27" w:name="_Toc456603711"/>
      <w:r w:rsidRPr="0098429F">
        <w:t>Criteria for access charges</w:t>
      </w:r>
      <w:bookmarkEnd w:id="27"/>
    </w:p>
    <w:p w:rsidR="0098429F" w:rsidRPr="0098429F" w:rsidRDefault="0098429F" w:rsidP="0098429F">
      <w:pPr>
        <w:pStyle w:val="HeadingOrange"/>
      </w:pPr>
      <w:bookmarkStart w:id="28" w:name="_Toc456603712"/>
      <w:r w:rsidRPr="0098429F">
        <w:t>Access charges</w:t>
      </w:r>
      <w:bookmarkEnd w:id="28"/>
    </w:p>
    <w:p w:rsidR="0098429F" w:rsidRPr="0098429F" w:rsidRDefault="0098429F" w:rsidP="0098429F">
      <w:pPr>
        <w:pStyle w:val="ListNumber"/>
      </w:pPr>
      <w:r w:rsidRPr="0098429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98429F" w:rsidRPr="0098429F" w:rsidRDefault="0098429F" w:rsidP="0098429F"/>
    <w:p w:rsidR="0098429F" w:rsidRDefault="0098429F" w:rsidP="0098429F"/>
    <w:p w:rsidR="0098429F" w:rsidRPr="0098429F" w:rsidRDefault="0098429F" w:rsidP="0098429F"/>
    <w:sectPr w:rsidR="0098429F" w:rsidRPr="0098429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43" w:rsidRPr="00290C63" w:rsidRDefault="008F7543" w:rsidP="00290C63">
      <w:r>
        <w:separator/>
      </w:r>
    </w:p>
    <w:p w:rsidR="008F7543" w:rsidRDefault="008F7543"/>
  </w:endnote>
  <w:endnote w:type="continuationSeparator" w:id="0">
    <w:p w:rsidR="008F7543" w:rsidRPr="00290C63" w:rsidRDefault="008F7543" w:rsidP="00290C63">
      <w:r>
        <w:continuationSeparator/>
      </w:r>
    </w:p>
    <w:p w:rsidR="008F7543" w:rsidRDefault="008F7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43" w:rsidRPr="00290C63" w:rsidRDefault="008F754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F7543" w:rsidRDefault="008F7543"/>
  <w:p w:rsidR="008F7543" w:rsidRDefault="008F7543"/>
  <w:p w:rsidR="008F7543" w:rsidRDefault="008F7543"/>
  <w:p w:rsidR="008F7543" w:rsidRDefault="008F7543"/>
  <w:p w:rsidR="008F7543" w:rsidRDefault="008F7543"/>
  <w:p w:rsidR="008F7543" w:rsidRDefault="008F7543"/>
  <w:p w:rsidR="008F7543" w:rsidRDefault="008F75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8F7543" w:rsidRDefault="008F7543">
        <w:pPr>
          <w:pStyle w:val="Footer"/>
        </w:pPr>
        <w:r>
          <w:fldChar w:fldCharType="begin"/>
        </w:r>
        <w:r>
          <w:instrText xml:space="preserve"> PAGE   \* MERGEFORMAT </w:instrText>
        </w:r>
        <w:r>
          <w:fldChar w:fldCharType="separate"/>
        </w:r>
        <w:r w:rsidR="00C909C5">
          <w:rPr>
            <w:noProof/>
          </w:rPr>
          <w:t>14-1</w:t>
        </w:r>
        <w:r>
          <w:rPr>
            <w:noProof/>
          </w:rPr>
          <w:fldChar w:fldCharType="end"/>
        </w:r>
        <w:r>
          <w:rPr>
            <w:noProof/>
          </w:rPr>
          <w:t xml:space="preserve">          </w:t>
        </w:r>
        <w:r w:rsidRPr="00FD5E78">
          <w:rPr>
            <w:noProof/>
            <w:sz w:val="16"/>
            <w:szCs w:val="16"/>
          </w:rPr>
          <w:t xml:space="preserve">Attachment </w:t>
        </w:r>
        <w:r w:rsidR="001C4925">
          <w:rPr>
            <w:noProof/>
            <w:sz w:val="16"/>
            <w:szCs w:val="16"/>
          </w:rPr>
          <w:t>14</w:t>
        </w:r>
        <w:r w:rsidRPr="00FD5E78">
          <w:rPr>
            <w:noProof/>
            <w:sz w:val="16"/>
            <w:szCs w:val="16"/>
          </w:rPr>
          <w:t xml:space="preserve"> </w:t>
        </w:r>
        <w:r w:rsidRPr="00FD5E78">
          <w:rPr>
            <w:rFonts w:cs="Gautami"/>
            <w:noProof/>
            <w:sz w:val="16"/>
            <w:szCs w:val="16"/>
          </w:rPr>
          <w:t xml:space="preserve">– </w:t>
        </w:r>
        <w:r w:rsidR="001C4925">
          <w:rPr>
            <w:sz w:val="16"/>
            <w:szCs w:val="16"/>
          </w:rPr>
          <w:t>Negotiating Framework</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8F7543" w:rsidRDefault="008F7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43" w:rsidRPr="00290C63" w:rsidRDefault="008F754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F7543" w:rsidRDefault="008F7543">
    <w:pPr>
      <w:pStyle w:val="Footer"/>
    </w:pPr>
  </w:p>
  <w:p w:rsidR="008F7543" w:rsidRDefault="008F7543"/>
  <w:p w:rsidR="008F7543" w:rsidRDefault="008F7543"/>
  <w:p w:rsidR="008F7543" w:rsidRDefault="008F7543"/>
  <w:p w:rsidR="008F7543" w:rsidRDefault="008F7543"/>
  <w:p w:rsidR="008F7543" w:rsidRDefault="008F7543"/>
  <w:p w:rsidR="008F7543" w:rsidRDefault="008F7543"/>
  <w:p w:rsidR="008F7543" w:rsidRDefault="008F75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43" w:rsidRPr="00290C63" w:rsidRDefault="008F7543" w:rsidP="00290C63">
      <w:r>
        <w:separator/>
      </w:r>
    </w:p>
    <w:p w:rsidR="008F7543" w:rsidRDefault="008F7543"/>
  </w:footnote>
  <w:footnote w:type="continuationSeparator" w:id="0">
    <w:p w:rsidR="008F7543" w:rsidRPr="00290C63" w:rsidRDefault="008F7543" w:rsidP="00290C63">
      <w:r>
        <w:continuationSeparator/>
      </w:r>
    </w:p>
    <w:p w:rsidR="008F7543" w:rsidRDefault="008F7543"/>
  </w:footnote>
  <w:footnote w:id="1">
    <w:p w:rsidR="008F7543" w:rsidRDefault="008F7543" w:rsidP="00481F73">
      <w:pPr>
        <w:pStyle w:val="FootnoteText"/>
      </w:pPr>
      <w:r>
        <w:rPr>
          <w:rStyle w:val="FootnoteReference"/>
        </w:rPr>
        <w:footnoteRef/>
      </w:r>
      <w:r>
        <w:t xml:space="preserve"> </w:t>
      </w:r>
      <w:r>
        <w:tab/>
        <w:t>NER, clause 6A.9.5(c).</w:t>
      </w:r>
    </w:p>
  </w:footnote>
  <w:footnote w:id="2">
    <w:p w:rsidR="008F7543" w:rsidRDefault="008F7543" w:rsidP="00481F73">
      <w:pPr>
        <w:pStyle w:val="FootnoteText"/>
      </w:pPr>
      <w:r>
        <w:rPr>
          <w:rStyle w:val="FootnoteReference"/>
        </w:rPr>
        <w:footnoteRef/>
      </w:r>
      <w:r>
        <w:t xml:space="preserve"> </w:t>
      </w:r>
      <w:r>
        <w:tab/>
        <w:t>NER, clause 6A.9.1.</w:t>
      </w:r>
    </w:p>
  </w:footnote>
  <w:footnote w:id="3">
    <w:p w:rsidR="008F7543" w:rsidRDefault="008F7543" w:rsidP="00481F73">
      <w:pPr>
        <w:pStyle w:val="FootnoteText"/>
      </w:pPr>
      <w:r>
        <w:rPr>
          <w:rStyle w:val="FootnoteReference"/>
        </w:rPr>
        <w:footnoteRef/>
      </w:r>
      <w:r>
        <w:t xml:space="preserve"> </w:t>
      </w:r>
      <w:r>
        <w:tab/>
        <w:t xml:space="preserve">AusNet Services, </w:t>
      </w:r>
      <w:r w:rsidRPr="00A92CBF">
        <w:rPr>
          <w:rStyle w:val="AERtextitalic"/>
        </w:rPr>
        <w:t>Proposed negoti</w:t>
      </w:r>
      <w:r>
        <w:rPr>
          <w:rStyle w:val="AERtextitalic"/>
        </w:rPr>
        <w:t>ating framework for 1 April 2017 to 31 March 2022</w:t>
      </w:r>
      <w:r>
        <w:t>, October 2015, p. 3.</w:t>
      </w:r>
    </w:p>
  </w:footnote>
  <w:footnote w:id="4">
    <w:p w:rsidR="008F7543" w:rsidRDefault="008F7543" w:rsidP="009C605C">
      <w:pPr>
        <w:pStyle w:val="FootnoteText"/>
      </w:pPr>
      <w:r>
        <w:rPr>
          <w:rStyle w:val="FootnoteReference"/>
        </w:rPr>
        <w:footnoteRef/>
      </w:r>
      <w:r>
        <w:t xml:space="preserve"> </w:t>
      </w:r>
      <w:r>
        <w:tab/>
        <w:t xml:space="preserve">AER, </w:t>
      </w:r>
      <w:r w:rsidRPr="009C605C">
        <w:rPr>
          <w:rStyle w:val="AERtextitalic"/>
        </w:rPr>
        <w:t>Final decision for AusNet Services' (then SP AusNet) 2014–17 regulatory control period</w:t>
      </w:r>
      <w:r>
        <w:t xml:space="preserve">, 31 January 2014; AER, </w:t>
      </w:r>
      <w:r w:rsidRPr="009C605C">
        <w:rPr>
          <w:rStyle w:val="AERtextitalic"/>
        </w:rPr>
        <w:t>Final decision for AEMO's 2014–19 regulatory control period</w:t>
      </w:r>
      <w:r>
        <w:t xml:space="preserve">, 1 April 2014. </w:t>
      </w:r>
    </w:p>
  </w:footnote>
  <w:footnote w:id="5">
    <w:p w:rsidR="008F7543" w:rsidRDefault="008F7543" w:rsidP="00481F73">
      <w:pPr>
        <w:pStyle w:val="FootnoteText"/>
      </w:pPr>
      <w:r>
        <w:rPr>
          <w:rStyle w:val="FootnoteReference"/>
        </w:rPr>
        <w:footnoteRef/>
      </w:r>
      <w:r>
        <w:t xml:space="preserve"> </w:t>
      </w:r>
      <w:r>
        <w:tab/>
        <w:t>NER, Chapter 10.</w:t>
      </w:r>
    </w:p>
  </w:footnote>
  <w:footnote w:id="6">
    <w:p w:rsidR="008F7543" w:rsidRDefault="008F7543" w:rsidP="00481F73">
      <w:pPr>
        <w:pStyle w:val="FootnoteText"/>
      </w:pPr>
      <w:r>
        <w:rPr>
          <w:rStyle w:val="FootnoteReference"/>
        </w:rPr>
        <w:footnoteRef/>
      </w:r>
      <w:r>
        <w:t xml:space="preserve"> </w:t>
      </w:r>
      <w:r>
        <w:tab/>
        <w:t>NER, Chapter 10.</w:t>
      </w:r>
    </w:p>
  </w:footnote>
  <w:footnote w:id="7">
    <w:p w:rsidR="008F7543" w:rsidRDefault="008F7543" w:rsidP="00481F73">
      <w:pPr>
        <w:pStyle w:val="FootnoteText"/>
      </w:pPr>
      <w:r>
        <w:rPr>
          <w:rStyle w:val="FootnoteReference"/>
        </w:rPr>
        <w:footnoteRef/>
      </w:r>
      <w:r>
        <w:t xml:space="preserve"> </w:t>
      </w:r>
      <w:r>
        <w:tab/>
        <w:t xml:space="preserve">AusNet Services, </w:t>
      </w:r>
      <w:r w:rsidRPr="00A92CBF">
        <w:rPr>
          <w:rStyle w:val="AERtextitalic"/>
        </w:rPr>
        <w:t>Proposed negoti</w:t>
      </w:r>
      <w:r>
        <w:rPr>
          <w:rStyle w:val="AERtextitalic"/>
        </w:rPr>
        <w:t>ating framework for 1 April 2017 to 31 March 2022</w:t>
      </w:r>
      <w:r>
        <w:t>, October 2015, p.4</w:t>
      </w:r>
    </w:p>
  </w:footnote>
  <w:footnote w:id="8">
    <w:p w:rsidR="008F7543" w:rsidRDefault="008F7543" w:rsidP="00673560">
      <w:pPr>
        <w:pStyle w:val="FootnoteText"/>
      </w:pPr>
      <w:r>
        <w:rPr>
          <w:rStyle w:val="FootnoteReference"/>
        </w:rPr>
        <w:footnoteRef/>
      </w:r>
      <w:r>
        <w:t xml:space="preserve"> </w:t>
      </w:r>
      <w:r>
        <w:tab/>
        <w:t>NER, clause 6A.9.5(c).</w:t>
      </w:r>
    </w:p>
  </w:footnote>
  <w:footnote w:id="9">
    <w:p w:rsidR="008F7543" w:rsidRDefault="008F7543" w:rsidP="00673560">
      <w:pPr>
        <w:pStyle w:val="FootnoteText"/>
      </w:pPr>
      <w:r>
        <w:rPr>
          <w:rStyle w:val="FootnoteReference"/>
        </w:rPr>
        <w:footnoteRef/>
      </w:r>
      <w:r>
        <w:t xml:space="preserve"> </w:t>
      </w:r>
      <w:r>
        <w:tab/>
        <w:t>The relevant provisions for dispute resolution are set out in part K of chapter 6A of the 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7" w:rsidRDefault="004E4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7" w:rsidRDefault="004E4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7" w:rsidRDefault="004E4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C3F44DE"/>
    <w:multiLevelType w:val="multilevel"/>
    <w:tmpl w:val="950A1C52"/>
    <w:numStyleLink w:val="AERHeadings"/>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92056E"/>
    <w:multiLevelType w:val="multilevel"/>
    <w:tmpl w:val="950A1C52"/>
    <w:numStyleLink w:val="AERHeadings"/>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B322A01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5"/>
  </w:num>
  <w:num w:numId="16">
    <w:abstractNumId w:val="31"/>
  </w:num>
  <w:num w:numId="17">
    <w:abstractNumId w:val="10"/>
  </w:num>
  <w:num w:numId="18">
    <w:abstractNumId w:val="20"/>
  </w:num>
  <w:num w:numId="19">
    <w:abstractNumId w:val="32"/>
  </w:num>
  <w:num w:numId="20">
    <w:abstractNumId w:val="39"/>
  </w:num>
  <w:num w:numId="21">
    <w:abstractNumId w:val="16"/>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9"/>
  </w:num>
  <w:num w:numId="30">
    <w:abstractNumId w:val="40"/>
  </w:num>
  <w:num w:numId="31">
    <w:abstractNumId w:val="17"/>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4"/>
  </w:num>
  <w:num w:numId="40">
    <w:abstractNumId w:val="36"/>
  </w:num>
  <w:num w:numId="41">
    <w:abstractNumId w:val="36"/>
  </w:num>
  <w:num w:numId="42">
    <w:abstractNumId w:val="28"/>
  </w:num>
  <w:num w:numId="43">
    <w:abstractNumId w:val="18"/>
  </w:num>
  <w:num w:numId="44">
    <w:abstractNumId w:val="29"/>
  </w:num>
  <w:num w:numId="45">
    <w:abstractNumId w:val="25"/>
  </w:num>
  <w:num w:numId="46">
    <w:abstractNumId w:val="9"/>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MasHjJsEcGCPuM6l6ukh8emirtG+ap+9ji9CxjeszU=" w:saltValue="gpQz8IQR5ekd5a68dpG1Dw==" w:algorithmName="SHA-256"/>
  <w:defaultTabStop w:val="34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14 - negotiating framework (D2016-00069404).docx"/>
  </w:docVars>
  <w:rsids>
    <w:rsidRoot w:val="00961A4A"/>
    <w:rsid w:val="000035FC"/>
    <w:rsid w:val="00005540"/>
    <w:rsid w:val="00016180"/>
    <w:rsid w:val="00021202"/>
    <w:rsid w:val="00021756"/>
    <w:rsid w:val="00021C2B"/>
    <w:rsid w:val="0002517F"/>
    <w:rsid w:val="0003578C"/>
    <w:rsid w:val="00063247"/>
    <w:rsid w:val="00070F9F"/>
    <w:rsid w:val="0007137B"/>
    <w:rsid w:val="00077389"/>
    <w:rsid w:val="00081185"/>
    <w:rsid w:val="00085663"/>
    <w:rsid w:val="00085EBF"/>
    <w:rsid w:val="00086871"/>
    <w:rsid w:val="000A3020"/>
    <w:rsid w:val="000A6C7B"/>
    <w:rsid w:val="000B321F"/>
    <w:rsid w:val="000C2B40"/>
    <w:rsid w:val="000D122C"/>
    <w:rsid w:val="000D6020"/>
    <w:rsid w:val="000E1819"/>
    <w:rsid w:val="000E4821"/>
    <w:rsid w:val="000E6C72"/>
    <w:rsid w:val="00116EB2"/>
    <w:rsid w:val="001203C4"/>
    <w:rsid w:val="00124609"/>
    <w:rsid w:val="00126A4C"/>
    <w:rsid w:val="00134EDD"/>
    <w:rsid w:val="0014573B"/>
    <w:rsid w:val="001573E4"/>
    <w:rsid w:val="00160756"/>
    <w:rsid w:val="001614A2"/>
    <w:rsid w:val="00167073"/>
    <w:rsid w:val="0017232E"/>
    <w:rsid w:val="00174102"/>
    <w:rsid w:val="001754EE"/>
    <w:rsid w:val="00180157"/>
    <w:rsid w:val="00185585"/>
    <w:rsid w:val="00185C55"/>
    <w:rsid w:val="00185CB9"/>
    <w:rsid w:val="00186F77"/>
    <w:rsid w:val="001921F2"/>
    <w:rsid w:val="001926A4"/>
    <w:rsid w:val="00192AD5"/>
    <w:rsid w:val="001A649E"/>
    <w:rsid w:val="001B45A0"/>
    <w:rsid w:val="001C4925"/>
    <w:rsid w:val="001D055E"/>
    <w:rsid w:val="001F492E"/>
    <w:rsid w:val="001F6DA3"/>
    <w:rsid w:val="002010BC"/>
    <w:rsid w:val="002016E7"/>
    <w:rsid w:val="00202E03"/>
    <w:rsid w:val="0020492C"/>
    <w:rsid w:val="00210BDC"/>
    <w:rsid w:val="00224DB9"/>
    <w:rsid w:val="00233775"/>
    <w:rsid w:val="00251745"/>
    <w:rsid w:val="00263AC0"/>
    <w:rsid w:val="00264264"/>
    <w:rsid w:val="0026772D"/>
    <w:rsid w:val="002858E9"/>
    <w:rsid w:val="00286874"/>
    <w:rsid w:val="002876B3"/>
    <w:rsid w:val="00290C63"/>
    <w:rsid w:val="00296B65"/>
    <w:rsid w:val="00297C2E"/>
    <w:rsid w:val="002A0C23"/>
    <w:rsid w:val="002A7DEF"/>
    <w:rsid w:val="002C233C"/>
    <w:rsid w:val="002C2B65"/>
    <w:rsid w:val="002D72E8"/>
    <w:rsid w:val="002E7B22"/>
    <w:rsid w:val="002F7986"/>
    <w:rsid w:val="00301B40"/>
    <w:rsid w:val="003029EE"/>
    <w:rsid w:val="00305CC8"/>
    <w:rsid w:val="00307F6D"/>
    <w:rsid w:val="00316761"/>
    <w:rsid w:val="003177A2"/>
    <w:rsid w:val="003271B5"/>
    <w:rsid w:val="00327A1E"/>
    <w:rsid w:val="00331264"/>
    <w:rsid w:val="00334C8D"/>
    <w:rsid w:val="00343A18"/>
    <w:rsid w:val="003518B3"/>
    <w:rsid w:val="00375DD2"/>
    <w:rsid w:val="00383A22"/>
    <w:rsid w:val="003846F1"/>
    <w:rsid w:val="003903F6"/>
    <w:rsid w:val="003B484F"/>
    <w:rsid w:val="003B7FBA"/>
    <w:rsid w:val="003C303F"/>
    <w:rsid w:val="003C3A9C"/>
    <w:rsid w:val="003F174D"/>
    <w:rsid w:val="00400514"/>
    <w:rsid w:val="00415F31"/>
    <w:rsid w:val="00423A77"/>
    <w:rsid w:val="0045777E"/>
    <w:rsid w:val="00480B4B"/>
    <w:rsid w:val="00481F73"/>
    <w:rsid w:val="00485DC4"/>
    <w:rsid w:val="00491349"/>
    <w:rsid w:val="00492389"/>
    <w:rsid w:val="004A43D1"/>
    <w:rsid w:val="004B4412"/>
    <w:rsid w:val="004C348C"/>
    <w:rsid w:val="004D4888"/>
    <w:rsid w:val="004D55BA"/>
    <w:rsid w:val="004E1F95"/>
    <w:rsid w:val="004E22EC"/>
    <w:rsid w:val="004E49B7"/>
    <w:rsid w:val="004F3EBE"/>
    <w:rsid w:val="004F6A0E"/>
    <w:rsid w:val="00523C2A"/>
    <w:rsid w:val="00530128"/>
    <w:rsid w:val="00532467"/>
    <w:rsid w:val="00540418"/>
    <w:rsid w:val="00544C12"/>
    <w:rsid w:val="00553342"/>
    <w:rsid w:val="00564A4D"/>
    <w:rsid w:val="00567BA5"/>
    <w:rsid w:val="00571B35"/>
    <w:rsid w:val="00571D57"/>
    <w:rsid w:val="00577A09"/>
    <w:rsid w:val="005829C2"/>
    <w:rsid w:val="00584D8F"/>
    <w:rsid w:val="005A404D"/>
    <w:rsid w:val="005B05B6"/>
    <w:rsid w:val="005B1E3C"/>
    <w:rsid w:val="005B704A"/>
    <w:rsid w:val="005C26CC"/>
    <w:rsid w:val="005D7BA2"/>
    <w:rsid w:val="005E1C36"/>
    <w:rsid w:val="005E36C2"/>
    <w:rsid w:val="005F3CA6"/>
    <w:rsid w:val="005F48A8"/>
    <w:rsid w:val="00602FCD"/>
    <w:rsid w:val="00612F4F"/>
    <w:rsid w:val="00615C6B"/>
    <w:rsid w:val="00621DCE"/>
    <w:rsid w:val="00632D6D"/>
    <w:rsid w:val="00642C3E"/>
    <w:rsid w:val="006537AA"/>
    <w:rsid w:val="0066104A"/>
    <w:rsid w:val="00663DAD"/>
    <w:rsid w:val="00673560"/>
    <w:rsid w:val="00675E20"/>
    <w:rsid w:val="00676679"/>
    <w:rsid w:val="00683C89"/>
    <w:rsid w:val="006A08A8"/>
    <w:rsid w:val="006B2395"/>
    <w:rsid w:val="006B4CF9"/>
    <w:rsid w:val="006B7AC8"/>
    <w:rsid w:val="006C1736"/>
    <w:rsid w:val="006D3F5D"/>
    <w:rsid w:val="006D5008"/>
    <w:rsid w:val="006D550F"/>
    <w:rsid w:val="00701CAB"/>
    <w:rsid w:val="00707563"/>
    <w:rsid w:val="00713956"/>
    <w:rsid w:val="0072348C"/>
    <w:rsid w:val="00724A37"/>
    <w:rsid w:val="007303C3"/>
    <w:rsid w:val="00731756"/>
    <w:rsid w:val="007429BE"/>
    <w:rsid w:val="00743223"/>
    <w:rsid w:val="00746513"/>
    <w:rsid w:val="00746E01"/>
    <w:rsid w:val="0075367E"/>
    <w:rsid w:val="00757364"/>
    <w:rsid w:val="00757BDF"/>
    <w:rsid w:val="007609D0"/>
    <w:rsid w:val="00763E5D"/>
    <w:rsid w:val="00767740"/>
    <w:rsid w:val="00770D19"/>
    <w:rsid w:val="00777EE6"/>
    <w:rsid w:val="00782EEA"/>
    <w:rsid w:val="00796270"/>
    <w:rsid w:val="00797FAB"/>
    <w:rsid w:val="007B186E"/>
    <w:rsid w:val="007B2C72"/>
    <w:rsid w:val="007C1C53"/>
    <w:rsid w:val="007C74BB"/>
    <w:rsid w:val="007D456E"/>
    <w:rsid w:val="007E261E"/>
    <w:rsid w:val="007E4904"/>
    <w:rsid w:val="007E4CB5"/>
    <w:rsid w:val="007F066B"/>
    <w:rsid w:val="00800A30"/>
    <w:rsid w:val="008033C4"/>
    <w:rsid w:val="00806C88"/>
    <w:rsid w:val="0081034E"/>
    <w:rsid w:val="008344F6"/>
    <w:rsid w:val="0083510F"/>
    <w:rsid w:val="00842AFA"/>
    <w:rsid w:val="00851209"/>
    <w:rsid w:val="00855630"/>
    <w:rsid w:val="008837AC"/>
    <w:rsid w:val="008A587D"/>
    <w:rsid w:val="008B35CD"/>
    <w:rsid w:val="008B5FCC"/>
    <w:rsid w:val="008C5486"/>
    <w:rsid w:val="008D1661"/>
    <w:rsid w:val="008E0098"/>
    <w:rsid w:val="008E2CBF"/>
    <w:rsid w:val="008E7031"/>
    <w:rsid w:val="008E77DE"/>
    <w:rsid w:val="008F07A3"/>
    <w:rsid w:val="008F7543"/>
    <w:rsid w:val="009001B6"/>
    <w:rsid w:val="00900E1B"/>
    <w:rsid w:val="0090431C"/>
    <w:rsid w:val="009233EE"/>
    <w:rsid w:val="00943764"/>
    <w:rsid w:val="009460AA"/>
    <w:rsid w:val="00951978"/>
    <w:rsid w:val="00961A4A"/>
    <w:rsid w:val="009661DE"/>
    <w:rsid w:val="00983C25"/>
    <w:rsid w:val="0098429F"/>
    <w:rsid w:val="009856B7"/>
    <w:rsid w:val="00985C86"/>
    <w:rsid w:val="00996349"/>
    <w:rsid w:val="00996A8E"/>
    <w:rsid w:val="009A4D5E"/>
    <w:rsid w:val="009A5FC3"/>
    <w:rsid w:val="009A7D9D"/>
    <w:rsid w:val="009B090B"/>
    <w:rsid w:val="009B74B0"/>
    <w:rsid w:val="009C0D47"/>
    <w:rsid w:val="009C605C"/>
    <w:rsid w:val="009D3906"/>
    <w:rsid w:val="009D6B46"/>
    <w:rsid w:val="009F4940"/>
    <w:rsid w:val="009F5BA1"/>
    <w:rsid w:val="00A02A88"/>
    <w:rsid w:val="00A0562E"/>
    <w:rsid w:val="00A0726D"/>
    <w:rsid w:val="00A32FBB"/>
    <w:rsid w:val="00A344D3"/>
    <w:rsid w:val="00A35D5E"/>
    <w:rsid w:val="00A428EE"/>
    <w:rsid w:val="00A4478A"/>
    <w:rsid w:val="00A44852"/>
    <w:rsid w:val="00A44895"/>
    <w:rsid w:val="00A57D04"/>
    <w:rsid w:val="00A60A26"/>
    <w:rsid w:val="00A61598"/>
    <w:rsid w:val="00A63EDD"/>
    <w:rsid w:val="00A704B2"/>
    <w:rsid w:val="00A84A99"/>
    <w:rsid w:val="00A84F46"/>
    <w:rsid w:val="00A871F4"/>
    <w:rsid w:val="00AA3B8E"/>
    <w:rsid w:val="00AB4D90"/>
    <w:rsid w:val="00AC0C43"/>
    <w:rsid w:val="00AC1B2C"/>
    <w:rsid w:val="00AC3264"/>
    <w:rsid w:val="00AC4546"/>
    <w:rsid w:val="00AC7070"/>
    <w:rsid w:val="00AE1BF1"/>
    <w:rsid w:val="00AF0DD2"/>
    <w:rsid w:val="00B06C2F"/>
    <w:rsid w:val="00B13048"/>
    <w:rsid w:val="00B1716D"/>
    <w:rsid w:val="00B17A1D"/>
    <w:rsid w:val="00B207A0"/>
    <w:rsid w:val="00B214F9"/>
    <w:rsid w:val="00B217BD"/>
    <w:rsid w:val="00B2303F"/>
    <w:rsid w:val="00B514DD"/>
    <w:rsid w:val="00B52AF0"/>
    <w:rsid w:val="00B561BD"/>
    <w:rsid w:val="00B56E03"/>
    <w:rsid w:val="00B8080B"/>
    <w:rsid w:val="00B82223"/>
    <w:rsid w:val="00B87BA5"/>
    <w:rsid w:val="00B87C39"/>
    <w:rsid w:val="00B9562D"/>
    <w:rsid w:val="00B9733D"/>
    <w:rsid w:val="00BA4665"/>
    <w:rsid w:val="00BA581C"/>
    <w:rsid w:val="00BB2FB2"/>
    <w:rsid w:val="00BB3304"/>
    <w:rsid w:val="00BD3446"/>
    <w:rsid w:val="00BD5D87"/>
    <w:rsid w:val="00BE1F1B"/>
    <w:rsid w:val="00BE47B5"/>
    <w:rsid w:val="00C25FA6"/>
    <w:rsid w:val="00C26737"/>
    <w:rsid w:val="00C420BC"/>
    <w:rsid w:val="00C538A9"/>
    <w:rsid w:val="00C53B5A"/>
    <w:rsid w:val="00C54F5A"/>
    <w:rsid w:val="00C569B4"/>
    <w:rsid w:val="00C67A92"/>
    <w:rsid w:val="00C81758"/>
    <w:rsid w:val="00C84560"/>
    <w:rsid w:val="00C86679"/>
    <w:rsid w:val="00C8739E"/>
    <w:rsid w:val="00C909C5"/>
    <w:rsid w:val="00CA489E"/>
    <w:rsid w:val="00CA67ED"/>
    <w:rsid w:val="00CB0279"/>
    <w:rsid w:val="00CB666B"/>
    <w:rsid w:val="00CC7F1D"/>
    <w:rsid w:val="00CE484B"/>
    <w:rsid w:val="00CF6177"/>
    <w:rsid w:val="00D006AE"/>
    <w:rsid w:val="00D01CF0"/>
    <w:rsid w:val="00D0442A"/>
    <w:rsid w:val="00D151E7"/>
    <w:rsid w:val="00D15523"/>
    <w:rsid w:val="00D1563D"/>
    <w:rsid w:val="00D17061"/>
    <w:rsid w:val="00D27530"/>
    <w:rsid w:val="00D325B8"/>
    <w:rsid w:val="00D61388"/>
    <w:rsid w:val="00D61A54"/>
    <w:rsid w:val="00D64DEA"/>
    <w:rsid w:val="00D7168E"/>
    <w:rsid w:val="00D71E57"/>
    <w:rsid w:val="00D80893"/>
    <w:rsid w:val="00D83FC7"/>
    <w:rsid w:val="00D84854"/>
    <w:rsid w:val="00D90B80"/>
    <w:rsid w:val="00D92CF1"/>
    <w:rsid w:val="00D92D38"/>
    <w:rsid w:val="00D950F5"/>
    <w:rsid w:val="00DA4752"/>
    <w:rsid w:val="00DA61F3"/>
    <w:rsid w:val="00DA6A65"/>
    <w:rsid w:val="00DB0F93"/>
    <w:rsid w:val="00DB1A67"/>
    <w:rsid w:val="00DB48C6"/>
    <w:rsid w:val="00DB5074"/>
    <w:rsid w:val="00DC5D3C"/>
    <w:rsid w:val="00DC7981"/>
    <w:rsid w:val="00DD03BA"/>
    <w:rsid w:val="00DE1093"/>
    <w:rsid w:val="00DE3695"/>
    <w:rsid w:val="00DE4EFA"/>
    <w:rsid w:val="00DE5520"/>
    <w:rsid w:val="00DE563D"/>
    <w:rsid w:val="00E04818"/>
    <w:rsid w:val="00E06442"/>
    <w:rsid w:val="00E23993"/>
    <w:rsid w:val="00E25B8C"/>
    <w:rsid w:val="00E43C30"/>
    <w:rsid w:val="00E65C85"/>
    <w:rsid w:val="00E66199"/>
    <w:rsid w:val="00E755EC"/>
    <w:rsid w:val="00E7624D"/>
    <w:rsid w:val="00E97452"/>
    <w:rsid w:val="00EA3D42"/>
    <w:rsid w:val="00EA6B1B"/>
    <w:rsid w:val="00EC04F1"/>
    <w:rsid w:val="00ED2A57"/>
    <w:rsid w:val="00ED7323"/>
    <w:rsid w:val="00EE28F3"/>
    <w:rsid w:val="00EE50D1"/>
    <w:rsid w:val="00EF5110"/>
    <w:rsid w:val="00EF6D51"/>
    <w:rsid w:val="00F0689C"/>
    <w:rsid w:val="00F10411"/>
    <w:rsid w:val="00F15882"/>
    <w:rsid w:val="00F171E0"/>
    <w:rsid w:val="00F20BD3"/>
    <w:rsid w:val="00F33D1C"/>
    <w:rsid w:val="00F373A5"/>
    <w:rsid w:val="00F47559"/>
    <w:rsid w:val="00F64C7B"/>
    <w:rsid w:val="00F676DD"/>
    <w:rsid w:val="00F73143"/>
    <w:rsid w:val="00F73917"/>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55BF"/>
    <w:rsid w:val="00FE5E83"/>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6330B-60AB-4EC7-AD2D-BED912BF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4A25AE04</Template>
  <TotalTime>0</TotalTime>
  <Pages>11</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AusNet Services 2017-22 - Draft decision - Attachment 14 - Negotiating framework</vt:lpstr>
    </vt:vector>
  </TitlesOfParts>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14 - Negotiating framework</dc:title>
  <dc:creator/>
  <cp:lastModifiedBy/>
  <cp:revision>1</cp:revision>
  <dcterms:created xsi:type="dcterms:W3CDTF">2016-07-18T01:13:00Z</dcterms:created>
  <dcterms:modified xsi:type="dcterms:W3CDTF">2016-07-18T01:13:00Z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2017-22 - draft decision - attachment 14 - negotiating framework (D2016-00069404).docx</vt:lpwstr>
  </property>
</Properties>
</file>